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BF72E" w14:textId="77777777" w:rsidR="005A4C74" w:rsidRPr="00944651" w:rsidRDefault="005A4C74" w:rsidP="005A4C74">
      <w:pPr>
        <w:spacing w:after="0"/>
        <w:jc w:val="center"/>
        <w:outlineLvl w:val="0"/>
        <w:rPr>
          <w:rFonts w:ascii="Times New Roman" w:hAnsi="Times New Roman"/>
          <w:sz w:val="28"/>
        </w:rPr>
      </w:pPr>
      <w:r w:rsidRPr="00944651">
        <w:rPr>
          <w:rFonts w:ascii="Times New Roman" w:hAnsi="Times New Roman"/>
          <w:sz w:val="28"/>
        </w:rPr>
        <w:t>SYNTHESIS, CHARACTERIZATION AND ELECTROCHEMICAL STUDIES OF TRANSITION METAL COMPLEXES CONTAINING 3,6-BIS(3,5-DIMETHYLPYRAZOLYL) PYRIDAZINE LIGAND</w:t>
      </w:r>
    </w:p>
    <w:p w14:paraId="48869A12" w14:textId="77777777" w:rsidR="005A4C74" w:rsidRPr="00944651" w:rsidRDefault="005A4C74" w:rsidP="005A4C74">
      <w:pPr>
        <w:spacing w:after="0"/>
        <w:jc w:val="center"/>
        <w:outlineLvl w:val="0"/>
        <w:rPr>
          <w:rFonts w:ascii="Times New Roman" w:hAnsi="Times New Roman"/>
          <w:b/>
          <w:sz w:val="24"/>
        </w:rPr>
      </w:pPr>
    </w:p>
    <w:p w14:paraId="73B99A20" w14:textId="15935F08" w:rsidR="005A4C74" w:rsidRPr="00944651" w:rsidRDefault="005A4C74" w:rsidP="005A4C74">
      <w:pPr>
        <w:spacing w:after="0"/>
        <w:jc w:val="center"/>
        <w:outlineLvl w:val="0"/>
        <w:rPr>
          <w:rFonts w:ascii="Times New Roman" w:hAnsi="Times New Roman"/>
          <w:noProof/>
          <w:sz w:val="24"/>
          <w:lang w:val="ms-MY"/>
        </w:rPr>
      </w:pPr>
      <w:r w:rsidRPr="00944651">
        <w:rPr>
          <w:rFonts w:ascii="Times New Roman" w:hAnsi="Times New Roman"/>
          <w:noProof/>
          <w:sz w:val="24"/>
          <w:lang w:val="ms-MY"/>
        </w:rPr>
        <w:t xml:space="preserve">(Sintesis, Pencirian </w:t>
      </w:r>
      <w:r>
        <w:rPr>
          <w:rFonts w:ascii="Times New Roman" w:hAnsi="Times New Roman"/>
          <w:noProof/>
          <w:sz w:val="24"/>
          <w:lang w:val="ms-MY"/>
        </w:rPr>
        <w:t>d</w:t>
      </w:r>
      <w:r w:rsidRPr="00944651">
        <w:rPr>
          <w:rFonts w:ascii="Times New Roman" w:hAnsi="Times New Roman"/>
          <w:noProof/>
          <w:sz w:val="24"/>
          <w:lang w:val="ms-MY"/>
        </w:rPr>
        <w:t xml:space="preserve">an Kajian Elektrokimia </w:t>
      </w:r>
      <w:r>
        <w:rPr>
          <w:rFonts w:ascii="Times New Roman" w:hAnsi="Times New Roman"/>
          <w:noProof/>
          <w:sz w:val="24"/>
          <w:lang w:val="ms-MY"/>
        </w:rPr>
        <w:t>b</w:t>
      </w:r>
      <w:r w:rsidRPr="00944651">
        <w:rPr>
          <w:rFonts w:ascii="Times New Roman" w:hAnsi="Times New Roman"/>
          <w:noProof/>
          <w:sz w:val="24"/>
          <w:lang w:val="ms-MY"/>
        </w:rPr>
        <w:t>agi Kompleks Logam Peralihan</w:t>
      </w:r>
      <w:r>
        <w:rPr>
          <w:rFonts w:ascii="Times New Roman" w:hAnsi="Times New Roman"/>
          <w:noProof/>
          <w:sz w:val="24"/>
          <w:lang w:val="ms-MY"/>
        </w:rPr>
        <w:t xml:space="preserve"> </w:t>
      </w:r>
      <w:r w:rsidRPr="00944651">
        <w:rPr>
          <w:rFonts w:ascii="Times New Roman" w:hAnsi="Times New Roman"/>
          <w:noProof/>
          <w:sz w:val="24"/>
          <w:lang w:val="ms-MY"/>
        </w:rPr>
        <w:t>Mengandungi Ligan 3,6-Bis(3,5-Dimetilpirazolil) Piridazina)</w:t>
      </w:r>
    </w:p>
    <w:p w14:paraId="325ABB6E" w14:textId="77777777" w:rsidR="005A4C74" w:rsidRPr="005A4C74" w:rsidRDefault="005A4C74" w:rsidP="005A4C74">
      <w:pPr>
        <w:spacing w:after="0"/>
        <w:jc w:val="center"/>
        <w:outlineLvl w:val="0"/>
        <w:rPr>
          <w:rFonts w:ascii="Times New Roman" w:hAnsi="Times New Roman"/>
          <w:b/>
          <w:sz w:val="20"/>
          <w:szCs w:val="20"/>
        </w:rPr>
      </w:pPr>
    </w:p>
    <w:p w14:paraId="5DD543E6" w14:textId="77777777" w:rsidR="005A4C74" w:rsidRPr="005A4C74" w:rsidRDefault="005A4C74" w:rsidP="005A4C74">
      <w:pPr>
        <w:spacing w:after="0"/>
        <w:jc w:val="center"/>
        <w:outlineLvl w:val="0"/>
        <w:rPr>
          <w:rFonts w:ascii="Times New Roman" w:hAnsi="Times New Roman"/>
          <w:noProof/>
          <w:sz w:val="20"/>
          <w:szCs w:val="20"/>
          <w:vertAlign w:val="superscript"/>
        </w:rPr>
      </w:pPr>
      <w:r w:rsidRPr="005A4C74">
        <w:rPr>
          <w:rFonts w:ascii="Times New Roman" w:hAnsi="Times New Roman"/>
          <w:noProof/>
          <w:sz w:val="20"/>
          <w:szCs w:val="20"/>
        </w:rPr>
        <w:t>Shankary Selvanathan and Woi Pei Meng*</w:t>
      </w:r>
    </w:p>
    <w:p w14:paraId="599ABFB2" w14:textId="77777777" w:rsidR="005A4C74" w:rsidRPr="00944651" w:rsidRDefault="005A4C74" w:rsidP="005A4C74">
      <w:pPr>
        <w:spacing w:after="0"/>
        <w:jc w:val="center"/>
        <w:outlineLvl w:val="0"/>
        <w:rPr>
          <w:rFonts w:ascii="Times New Roman" w:hAnsi="Times New Roman"/>
          <w:b/>
          <w:noProof/>
          <w:sz w:val="18"/>
          <w:szCs w:val="18"/>
        </w:rPr>
      </w:pPr>
    </w:p>
    <w:p w14:paraId="20B8F425" w14:textId="51B16410" w:rsidR="005A4C74" w:rsidRPr="001212CD" w:rsidRDefault="005A4C74" w:rsidP="005A4C74">
      <w:pPr>
        <w:spacing w:after="0"/>
        <w:jc w:val="center"/>
        <w:outlineLvl w:val="0"/>
        <w:rPr>
          <w:rFonts w:ascii="Times New Roman" w:hAnsi="Times New Roman"/>
          <w:i/>
          <w:noProof/>
          <w:sz w:val="18"/>
          <w:szCs w:val="18"/>
          <w:lang w:val="en-MY"/>
        </w:rPr>
      </w:pPr>
      <w:r w:rsidRPr="00944651">
        <w:rPr>
          <w:rFonts w:ascii="Times New Roman" w:hAnsi="Times New Roman"/>
          <w:i/>
          <w:noProof/>
          <w:sz w:val="18"/>
          <w:szCs w:val="18"/>
        </w:rPr>
        <w:t>Department of Chemistry, Faculty of Science</w:t>
      </w:r>
      <w:r>
        <w:rPr>
          <w:rFonts w:ascii="Times New Roman" w:hAnsi="Times New Roman"/>
          <w:i/>
          <w:noProof/>
          <w:sz w:val="18"/>
          <w:szCs w:val="18"/>
        </w:rPr>
        <w:t>,</w:t>
      </w:r>
    </w:p>
    <w:p w14:paraId="727AF92B" w14:textId="77777777" w:rsidR="005A4C74" w:rsidRPr="00944651" w:rsidRDefault="005A4C74" w:rsidP="005A4C74">
      <w:pPr>
        <w:spacing w:after="0"/>
        <w:jc w:val="center"/>
        <w:outlineLvl w:val="0"/>
        <w:rPr>
          <w:rFonts w:ascii="Times New Roman" w:hAnsi="Times New Roman"/>
          <w:i/>
          <w:noProof/>
          <w:sz w:val="18"/>
          <w:szCs w:val="18"/>
        </w:rPr>
      </w:pPr>
      <w:r w:rsidRPr="00944651">
        <w:rPr>
          <w:rFonts w:ascii="Times New Roman" w:hAnsi="Times New Roman"/>
          <w:i/>
          <w:noProof/>
          <w:sz w:val="18"/>
          <w:szCs w:val="18"/>
        </w:rPr>
        <w:t>Universiti Malaya, 50603 Kuala Lumpur, Malaysia</w:t>
      </w:r>
    </w:p>
    <w:p w14:paraId="72B5DCA1" w14:textId="77777777" w:rsidR="005A4C74" w:rsidRPr="00944651" w:rsidRDefault="005A4C74" w:rsidP="005A4C74">
      <w:pPr>
        <w:spacing w:after="0"/>
        <w:jc w:val="center"/>
        <w:outlineLvl w:val="0"/>
        <w:rPr>
          <w:rFonts w:ascii="Times New Roman" w:hAnsi="Times New Roman"/>
          <w:b/>
          <w:noProof/>
          <w:sz w:val="18"/>
          <w:szCs w:val="18"/>
        </w:rPr>
      </w:pPr>
    </w:p>
    <w:p w14:paraId="45DE0FFD" w14:textId="4B3100EB" w:rsidR="005A4C74" w:rsidRPr="00944651" w:rsidRDefault="005A4C74" w:rsidP="005A4C74">
      <w:pPr>
        <w:spacing w:after="0"/>
        <w:jc w:val="center"/>
        <w:outlineLvl w:val="0"/>
        <w:rPr>
          <w:rFonts w:ascii="Times New Roman" w:hAnsi="Times New Roman"/>
          <w:i/>
          <w:noProof/>
          <w:sz w:val="18"/>
        </w:rPr>
      </w:pPr>
      <w:r w:rsidRPr="001212CD">
        <w:rPr>
          <w:rFonts w:ascii="Times New Roman" w:hAnsi="Times New Roman"/>
          <w:i/>
          <w:noProof/>
          <w:sz w:val="18"/>
        </w:rPr>
        <w:t>*</w:t>
      </w:r>
      <w:r w:rsidRPr="00944651">
        <w:rPr>
          <w:rFonts w:ascii="Times New Roman" w:hAnsi="Times New Roman"/>
          <w:i/>
          <w:noProof/>
          <w:sz w:val="18"/>
        </w:rPr>
        <w:t>Corresponding author:</w:t>
      </w:r>
      <w:r w:rsidR="001212CD">
        <w:rPr>
          <w:rFonts w:ascii="Times New Roman" w:hAnsi="Times New Roman"/>
          <w:i/>
          <w:noProof/>
          <w:sz w:val="18"/>
        </w:rPr>
        <w:t xml:space="preserve">  </w:t>
      </w:r>
      <w:r w:rsidRPr="00944651">
        <w:rPr>
          <w:rFonts w:ascii="Times New Roman" w:hAnsi="Times New Roman"/>
          <w:i/>
          <w:noProof/>
          <w:sz w:val="18"/>
        </w:rPr>
        <w:t>pmwoi@um.edu.my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7E540CFA"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D5397F">
        <w:rPr>
          <w:rFonts w:ascii="Times New Roman" w:hAnsi="Times New Roman"/>
          <w:noProof/>
          <w:sz w:val="18"/>
          <w:szCs w:val="18"/>
          <w:lang w:bidi="ar-SA"/>
        </w:rPr>
        <w:t>2 November 2020</w:t>
      </w:r>
      <w:r w:rsidRPr="00510BA6">
        <w:rPr>
          <w:rFonts w:ascii="Times New Roman" w:hAnsi="Times New Roman"/>
          <w:noProof/>
          <w:sz w:val="18"/>
          <w:szCs w:val="18"/>
          <w:lang w:bidi="ar-SA"/>
        </w:rPr>
        <w:t xml:space="preserve">; Accepted: </w:t>
      </w:r>
      <w:r w:rsidR="00D5397F">
        <w:rPr>
          <w:rFonts w:ascii="Times New Roman" w:hAnsi="Times New Roman"/>
          <w:noProof/>
          <w:sz w:val="18"/>
          <w:szCs w:val="18"/>
          <w:lang w:bidi="ar-SA"/>
        </w:rPr>
        <w:t>21 January 2021</w:t>
      </w:r>
      <w:r w:rsidR="00510BA6" w:rsidRPr="00510BA6">
        <w:rPr>
          <w:rFonts w:ascii="Times New Roman" w:hAnsi="Times New Roman"/>
          <w:noProof/>
          <w:sz w:val="18"/>
          <w:szCs w:val="18"/>
          <w:lang w:bidi="ar-SA"/>
        </w:rPr>
        <w:t xml:space="preserve">; Published: </w:t>
      </w:r>
      <w:r w:rsidR="00D5397F">
        <w:rPr>
          <w:rFonts w:ascii="Times New Roman" w:hAnsi="Times New Roman"/>
          <w:noProof/>
          <w:sz w:val="18"/>
          <w:szCs w:val="18"/>
          <w:lang w:bidi="ar-SA"/>
        </w:rPr>
        <w:t xml:space="preserve"> xx February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60ACB45E" w14:textId="77777777" w:rsidR="001212CD" w:rsidRPr="00944651" w:rsidRDefault="001212CD" w:rsidP="001212CD">
      <w:pPr>
        <w:spacing w:after="0"/>
        <w:jc w:val="both"/>
        <w:outlineLvl w:val="0"/>
        <w:rPr>
          <w:rFonts w:ascii="Times New Roman" w:hAnsi="Times New Roman"/>
          <w:sz w:val="18"/>
          <w:szCs w:val="18"/>
        </w:rPr>
      </w:pPr>
      <w:r w:rsidRPr="00944651">
        <w:rPr>
          <w:rFonts w:ascii="Times New Roman" w:hAnsi="Times New Roman"/>
          <w:sz w:val="18"/>
          <w:szCs w:val="18"/>
        </w:rPr>
        <w:t>Four novel coordination complexes were synthesized based on 3,6-bis (3,5-dimethylpyrazolyl) pyridazine ligand with Cu(II), Fe(II), Ni(II) and Co(II) metals. The synthesized complexes were characterized using several analyses. The infrared (IR) spectra for all the complexes showed a significant shift at the ligand methyl group (C-H), pyrazole ring (C=N), pyridazine ring (C-N) and (N-N) at 2926 cm</w:t>
      </w:r>
      <w:r w:rsidRPr="00944651">
        <w:rPr>
          <w:rFonts w:ascii="Times New Roman" w:hAnsi="Times New Roman"/>
          <w:sz w:val="18"/>
          <w:szCs w:val="18"/>
          <w:vertAlign w:val="superscript"/>
        </w:rPr>
        <w:t>-1</w:t>
      </w:r>
      <w:r w:rsidRPr="00944651">
        <w:rPr>
          <w:rFonts w:ascii="Times New Roman" w:hAnsi="Times New Roman"/>
          <w:sz w:val="18"/>
          <w:szCs w:val="18"/>
        </w:rPr>
        <w:t>, 1137 cm</w:t>
      </w:r>
      <w:r w:rsidRPr="00944651">
        <w:rPr>
          <w:rFonts w:ascii="Times New Roman" w:hAnsi="Times New Roman"/>
          <w:sz w:val="18"/>
          <w:szCs w:val="18"/>
          <w:vertAlign w:val="superscript"/>
        </w:rPr>
        <w:t>-1</w:t>
      </w:r>
      <w:r w:rsidRPr="00944651">
        <w:rPr>
          <w:rFonts w:ascii="Times New Roman" w:hAnsi="Times New Roman"/>
          <w:sz w:val="18"/>
          <w:szCs w:val="18"/>
        </w:rPr>
        <w:t>, 1162 cm</w:t>
      </w:r>
      <w:r w:rsidRPr="00944651">
        <w:rPr>
          <w:rFonts w:ascii="Times New Roman" w:hAnsi="Times New Roman"/>
          <w:sz w:val="18"/>
          <w:szCs w:val="18"/>
          <w:vertAlign w:val="superscript"/>
        </w:rPr>
        <w:t>-1</w:t>
      </w:r>
      <w:r w:rsidRPr="00944651">
        <w:rPr>
          <w:rFonts w:ascii="Times New Roman" w:hAnsi="Times New Roman"/>
          <w:sz w:val="18"/>
          <w:szCs w:val="18"/>
        </w:rPr>
        <w:t xml:space="preserve"> and 970 cm</w:t>
      </w:r>
      <w:r w:rsidRPr="00944651">
        <w:rPr>
          <w:rFonts w:ascii="Times New Roman" w:hAnsi="Times New Roman"/>
          <w:sz w:val="18"/>
          <w:szCs w:val="18"/>
          <w:vertAlign w:val="superscript"/>
        </w:rPr>
        <w:t>-1</w:t>
      </w:r>
      <w:r>
        <w:rPr>
          <w:rFonts w:ascii="Times New Roman" w:hAnsi="Times New Roman"/>
          <w:sz w:val="18"/>
          <w:szCs w:val="18"/>
        </w:rPr>
        <w:t>,</w:t>
      </w:r>
      <w:r w:rsidRPr="00944651">
        <w:rPr>
          <w:rFonts w:ascii="Times New Roman" w:hAnsi="Times New Roman"/>
          <w:sz w:val="18"/>
          <w:szCs w:val="18"/>
          <w:vertAlign w:val="superscript"/>
        </w:rPr>
        <w:t xml:space="preserve"> </w:t>
      </w:r>
      <w:r w:rsidRPr="00944651">
        <w:rPr>
          <w:rFonts w:ascii="Times New Roman" w:hAnsi="Times New Roman"/>
          <w:sz w:val="18"/>
          <w:szCs w:val="18"/>
        </w:rPr>
        <w:t xml:space="preserve">respectively. The elemental analyses of the complexes confined to the stoichiometry of 1:2 ratio between the ligand and the metal cation. The presence of the metal in the complexes was confirmed using the FESEM-EDX analysis. The complexation of the metals to the ligand was evidenced when all the complexes exhibit a significant shift in the position of the characteristic ligand band at around 260 nm due to the </w:t>
      </w:r>
      <w:r w:rsidRPr="00944651">
        <w:rPr>
          <w:rFonts w:ascii="Times New Roman" w:hAnsi="Times New Roman" w:hint="eastAsia"/>
          <w:sz w:val="18"/>
          <w:szCs w:val="18"/>
        </w:rPr>
        <w:t xml:space="preserve">HOMO </w:t>
      </w:r>
      <w:r w:rsidRPr="00944651">
        <w:rPr>
          <w:rFonts w:ascii="Times New Roman" w:hAnsi="Times New Roman"/>
          <w:sz w:val="18"/>
          <w:szCs w:val="18"/>
        </w:rPr>
        <w:t xml:space="preserve">→ </w:t>
      </w:r>
      <w:r w:rsidRPr="00944651">
        <w:rPr>
          <w:rFonts w:ascii="Times New Roman" w:hAnsi="Times New Roman" w:hint="eastAsia"/>
          <w:sz w:val="18"/>
          <w:szCs w:val="18"/>
        </w:rPr>
        <w:t xml:space="preserve">LUMO </w:t>
      </w:r>
      <w:r w:rsidRPr="00944651">
        <w:rPr>
          <w:rFonts w:ascii="Times New Roman" w:hAnsi="Times New Roman"/>
          <w:sz w:val="18"/>
          <w:szCs w:val="18"/>
        </w:rPr>
        <w:t>π →</w:t>
      </w:r>
      <w:r w:rsidRPr="00944651">
        <w:rPr>
          <w:rFonts w:ascii="Times New Roman" w:hAnsi="Times New Roman" w:hint="eastAsia"/>
          <w:sz w:val="18"/>
          <w:szCs w:val="18"/>
        </w:rPr>
        <w:t xml:space="preserve"> </w:t>
      </w:r>
      <w:r w:rsidRPr="00944651">
        <w:rPr>
          <w:rFonts w:ascii="Times New Roman" w:hAnsi="Times New Roman"/>
          <w:sz w:val="18"/>
          <w:szCs w:val="18"/>
        </w:rPr>
        <w:t xml:space="preserve">π* </w:t>
      </w:r>
      <w:r w:rsidRPr="00944651">
        <w:rPr>
          <w:rFonts w:ascii="Times New Roman" w:hAnsi="Times New Roman" w:hint="eastAsia"/>
          <w:sz w:val="18"/>
          <w:szCs w:val="18"/>
        </w:rPr>
        <w:t xml:space="preserve">transitions of the </w:t>
      </w:r>
      <w:r w:rsidRPr="00944651">
        <w:rPr>
          <w:rFonts w:ascii="Times New Roman" w:hAnsi="Times New Roman"/>
          <w:sz w:val="18"/>
          <w:szCs w:val="18"/>
        </w:rPr>
        <w:t xml:space="preserve">pyridazine and pyrazoles groups in the UV-Vis spectrum. Cyclic voltammetry (CV) method was used to explore the redox characteristics of the complexes. The Cu(II), Fe(II) and Ni(II) complexes exhibited quasi-reversible single electron transfer process while no peak was observed in Co(II) complex upon scanning from -1.5 to 1.5 V vs. Ag/AgCl. This observation is speculated to be the effect of poor complexation in between the metal and the ligand. The potential recorded for Cu(II) complex at 0.03 V vs. Ag/AgCl was corresponded to the reduction of Cu(II) to Cu(I) while the potential at  0.75 V was due to the oxidation of Cu(I) to Cu(II). For the Fe(II) complex, the redox couple Fe(II)/Fe(III) was recorded at -0.47 V and -0.67 V during its oxidation and reduction process respectively. Finally, the peak at 0.71 V in the CV of Ni(II) complex is attributed to its oxidation process of Ni(I) to Ni(II) while the peak at 0.12 V is due to its reduction from Ni(II) to Ni(I). </w:t>
      </w:r>
    </w:p>
    <w:p w14:paraId="5C906DFC" w14:textId="77777777" w:rsidR="001212CD" w:rsidRPr="00944651" w:rsidRDefault="001212CD" w:rsidP="001212CD">
      <w:pPr>
        <w:spacing w:after="0"/>
        <w:jc w:val="both"/>
        <w:outlineLvl w:val="0"/>
        <w:rPr>
          <w:rFonts w:ascii="Times New Roman" w:hAnsi="Times New Roman"/>
          <w:sz w:val="18"/>
          <w:szCs w:val="18"/>
        </w:rPr>
      </w:pPr>
    </w:p>
    <w:p w14:paraId="2BD855B5" w14:textId="1A013C22" w:rsidR="001212CD" w:rsidRPr="00944651" w:rsidRDefault="001212CD" w:rsidP="001212CD">
      <w:pPr>
        <w:spacing w:after="0"/>
        <w:jc w:val="both"/>
        <w:outlineLvl w:val="0"/>
        <w:rPr>
          <w:rFonts w:ascii="Times New Roman" w:hAnsi="Times New Roman"/>
          <w:sz w:val="18"/>
          <w:szCs w:val="18"/>
        </w:rPr>
      </w:pPr>
      <w:r w:rsidRPr="00944651">
        <w:rPr>
          <w:rFonts w:ascii="Times New Roman" w:hAnsi="Times New Roman"/>
          <w:b/>
          <w:sz w:val="18"/>
          <w:szCs w:val="18"/>
        </w:rPr>
        <w:t>Keywords:</w:t>
      </w:r>
      <w:r w:rsidRPr="00944651">
        <w:rPr>
          <w:rFonts w:ascii="Times New Roman" w:hAnsi="Times New Roman"/>
          <w:sz w:val="18"/>
          <w:szCs w:val="18"/>
        </w:rPr>
        <w:t xml:space="preserve"> </w:t>
      </w:r>
      <w:r>
        <w:rPr>
          <w:rFonts w:ascii="Times New Roman" w:hAnsi="Times New Roman"/>
          <w:sz w:val="18"/>
          <w:szCs w:val="18"/>
        </w:rPr>
        <w:t xml:space="preserve"> </w:t>
      </w:r>
      <w:r w:rsidRPr="00944651">
        <w:rPr>
          <w:rFonts w:ascii="Times New Roman" w:hAnsi="Times New Roman"/>
          <w:bCs/>
          <w:sz w:val="18"/>
          <w:szCs w:val="18"/>
        </w:rPr>
        <w:t>pyridazine, transition metal, coordination complex, electrochemical behavior</w:t>
      </w:r>
    </w:p>
    <w:p w14:paraId="255CCF95" w14:textId="77777777" w:rsidR="001212CD" w:rsidRPr="00944651" w:rsidRDefault="001212CD" w:rsidP="001212CD">
      <w:pPr>
        <w:spacing w:after="0"/>
        <w:jc w:val="center"/>
        <w:outlineLvl w:val="0"/>
        <w:rPr>
          <w:rFonts w:ascii="Times New Roman" w:hAnsi="Times New Roman"/>
          <w:b/>
          <w:sz w:val="18"/>
          <w:szCs w:val="18"/>
        </w:rPr>
      </w:pPr>
    </w:p>
    <w:p w14:paraId="74943DE6" w14:textId="77777777" w:rsidR="001212CD" w:rsidRPr="00944651" w:rsidRDefault="001212CD" w:rsidP="001212CD">
      <w:pPr>
        <w:spacing w:after="0"/>
        <w:jc w:val="center"/>
        <w:outlineLvl w:val="0"/>
        <w:rPr>
          <w:rFonts w:ascii="Times New Roman" w:hAnsi="Times New Roman"/>
          <w:b/>
          <w:noProof/>
          <w:sz w:val="18"/>
          <w:szCs w:val="18"/>
          <w:lang w:val="ms-MY"/>
        </w:rPr>
      </w:pPr>
      <w:r w:rsidRPr="00944651">
        <w:rPr>
          <w:rFonts w:ascii="Times New Roman" w:hAnsi="Times New Roman"/>
          <w:b/>
          <w:noProof/>
          <w:sz w:val="18"/>
          <w:szCs w:val="18"/>
          <w:lang w:val="ms-MY"/>
        </w:rPr>
        <w:t>Abstrak</w:t>
      </w:r>
    </w:p>
    <w:p w14:paraId="7617984A" w14:textId="77777777" w:rsidR="001212CD" w:rsidRPr="00944651" w:rsidRDefault="001212CD" w:rsidP="001212CD">
      <w:pPr>
        <w:spacing w:after="0"/>
        <w:jc w:val="both"/>
        <w:outlineLvl w:val="0"/>
        <w:rPr>
          <w:rFonts w:ascii="Times New Roman" w:hAnsi="Times New Roman"/>
          <w:noProof/>
          <w:sz w:val="18"/>
          <w:szCs w:val="18"/>
          <w:lang w:val="ms-MY"/>
        </w:rPr>
      </w:pPr>
      <w:r w:rsidRPr="00944651">
        <w:rPr>
          <w:rFonts w:ascii="Times New Roman" w:hAnsi="Times New Roman"/>
          <w:noProof/>
          <w:sz w:val="18"/>
          <w:szCs w:val="18"/>
          <w:lang w:val="ms-MY"/>
        </w:rPr>
        <w:t>Empat kompleks koordinatan novel telah disintesis berdasarkan ligan 3,6-bis(3,5-dimetilpirazolil) piridazina dengan logam Cu(II), Fe(II), Ni(II) dan Co(II). Kompleks yang disintesis dicirikan dengan beberapa kaedah analisis. Spektrum IR bagi kesemua kompleks menunjukkan perubahan yang ketara pada kumpulan metil ligan (C-H), lingkaran pirazol (C=N), lingkaran piridazina (C-N) and (N-N) masing-masing pada 2926 cm</w:t>
      </w:r>
      <w:r w:rsidRPr="00944651">
        <w:rPr>
          <w:rFonts w:ascii="Times New Roman" w:hAnsi="Times New Roman"/>
          <w:noProof/>
          <w:sz w:val="18"/>
          <w:szCs w:val="18"/>
          <w:vertAlign w:val="superscript"/>
          <w:lang w:val="ms-MY"/>
        </w:rPr>
        <w:t>-1</w:t>
      </w:r>
      <w:r w:rsidRPr="00944651">
        <w:rPr>
          <w:rFonts w:ascii="Times New Roman" w:hAnsi="Times New Roman"/>
          <w:noProof/>
          <w:sz w:val="18"/>
          <w:szCs w:val="18"/>
          <w:lang w:val="ms-MY"/>
        </w:rPr>
        <w:t>, 1137 cm</w:t>
      </w:r>
      <w:r w:rsidRPr="00944651">
        <w:rPr>
          <w:rFonts w:ascii="Times New Roman" w:hAnsi="Times New Roman"/>
          <w:noProof/>
          <w:sz w:val="18"/>
          <w:szCs w:val="18"/>
          <w:vertAlign w:val="superscript"/>
          <w:lang w:val="ms-MY"/>
        </w:rPr>
        <w:t>-1</w:t>
      </w:r>
      <w:r w:rsidRPr="00944651">
        <w:rPr>
          <w:rFonts w:ascii="Times New Roman" w:hAnsi="Times New Roman"/>
          <w:noProof/>
          <w:sz w:val="18"/>
          <w:szCs w:val="18"/>
          <w:lang w:val="ms-MY"/>
        </w:rPr>
        <w:t>, 1162 cm</w:t>
      </w:r>
      <w:r w:rsidRPr="00944651">
        <w:rPr>
          <w:rFonts w:ascii="Times New Roman" w:hAnsi="Times New Roman"/>
          <w:noProof/>
          <w:sz w:val="18"/>
          <w:szCs w:val="18"/>
          <w:vertAlign w:val="superscript"/>
          <w:lang w:val="ms-MY"/>
        </w:rPr>
        <w:t>-1</w:t>
      </w:r>
      <w:r w:rsidRPr="00944651">
        <w:rPr>
          <w:rFonts w:ascii="Times New Roman" w:hAnsi="Times New Roman"/>
          <w:noProof/>
          <w:sz w:val="18"/>
          <w:szCs w:val="18"/>
          <w:lang w:val="ms-MY"/>
        </w:rPr>
        <w:t xml:space="preserve"> and 970 cm</w:t>
      </w:r>
      <w:r w:rsidRPr="00944651">
        <w:rPr>
          <w:rFonts w:ascii="Times New Roman" w:hAnsi="Times New Roman"/>
          <w:noProof/>
          <w:sz w:val="18"/>
          <w:szCs w:val="18"/>
          <w:vertAlign w:val="superscript"/>
          <w:lang w:val="ms-MY"/>
        </w:rPr>
        <w:t>-1</w:t>
      </w:r>
      <w:r w:rsidRPr="00944651">
        <w:rPr>
          <w:rFonts w:ascii="Times New Roman" w:hAnsi="Times New Roman"/>
          <w:noProof/>
          <w:sz w:val="18"/>
          <w:szCs w:val="18"/>
          <w:lang w:val="ms-MY"/>
        </w:rPr>
        <w:t>. Analisis unsur kompleks membataskan nisbah stoikiometri ligan: logam kepada 1: 2. Kehadiran logam dalam kompleks juga telah disahkan menerusi analisis FESEM-</w:t>
      </w:r>
      <w:r w:rsidRPr="00944651">
        <w:rPr>
          <w:rFonts w:ascii="Times New Roman" w:hAnsi="Times New Roman"/>
          <w:noProof/>
          <w:sz w:val="18"/>
          <w:szCs w:val="18"/>
          <w:lang w:val="ms-MY"/>
        </w:rPr>
        <w:lastRenderedPageBreak/>
        <w:t>EDX. Pembentukan kompleks bersama logam dan ligan disahkan lebih lanjut kerana semua kompleks mempamerkan perubahan yang sangat ketara dalam pencirian pada 260 nm kerana peralihan HOMO → LUMO π → π* dalam lingkaran pirazol and piridazina menerusi spektrum UV-Vis. Sifat redoks kompleks telah disiasat dengan kaedah elektrokimia voltammetri kitaran (CV). Kompleks Cu(II), Fe(II) dan Ni(II) mempamerkan proses pemindahan elektron tunggal yang seakan-balik manakala tiada puncak diperhatikan bagi kompleks Co(II) apabila kesemua kompleks ini diimbas pada potensi -1.5 ke 1.5 V vs. Ag/AgCl. Potensi untuk kompleks Cu(II) pada 0.03 V vs. Ag/AgCl sepadan dengan penurunan Cu(II) kepada Cu(I) manakala potensi pada 0.75 V adalah disebabkan oleh pengoksidaan Cu(I) kepada Cu(II). Bagi kompleks Fe(II), pasangan redoks Fe(II)/Fe(III) mencatatkan potensi masing-masing pada -0.47 V dan -0.67 V semasa proses pengoksidaan dan penurunan. Akhirnya, potensi pada 0.71 V dalam voltammogram kitaran kompleks Ni(II) adalah disebabkan oleh proses pengoksidaan Ni(II) kepada Ni(I) manakala potensi pada 0.12 V adalah disebabkan oleh penurunan dari Ni(II) ke Ni(I).</w:t>
      </w:r>
    </w:p>
    <w:p w14:paraId="023A32EB" w14:textId="77777777" w:rsidR="001212CD" w:rsidRPr="00944651" w:rsidRDefault="001212CD" w:rsidP="001212CD">
      <w:pPr>
        <w:spacing w:after="0"/>
        <w:jc w:val="both"/>
        <w:outlineLvl w:val="0"/>
        <w:rPr>
          <w:rFonts w:ascii="Times New Roman" w:hAnsi="Times New Roman"/>
          <w:noProof/>
          <w:sz w:val="18"/>
          <w:szCs w:val="18"/>
          <w:lang w:val="ms-MY"/>
        </w:rPr>
      </w:pPr>
    </w:p>
    <w:p w14:paraId="0DC0015E" w14:textId="3C6CABAF" w:rsidR="001212CD" w:rsidRPr="00944651" w:rsidRDefault="001212CD" w:rsidP="001212CD">
      <w:pPr>
        <w:spacing w:after="0"/>
        <w:jc w:val="both"/>
        <w:outlineLvl w:val="0"/>
        <w:rPr>
          <w:rFonts w:ascii="Times New Roman" w:hAnsi="Times New Roman"/>
          <w:b/>
          <w:noProof/>
          <w:sz w:val="18"/>
          <w:szCs w:val="18"/>
          <w:lang w:val="ms-MY"/>
        </w:rPr>
      </w:pPr>
      <w:r w:rsidRPr="00944651">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944651">
        <w:rPr>
          <w:rFonts w:ascii="Times New Roman" w:hAnsi="Times New Roman"/>
          <w:bCs/>
          <w:noProof/>
          <w:sz w:val="18"/>
          <w:szCs w:val="18"/>
          <w:lang w:val="ms-MY"/>
        </w:rPr>
        <w:t>piridazina, logam peralihan, kompleks koordinatan, tindakan elektrokimia</w:t>
      </w:r>
    </w:p>
    <w:p w14:paraId="545ECD12" w14:textId="77777777" w:rsidR="006768E9" w:rsidRPr="00510BA6" w:rsidRDefault="006768E9" w:rsidP="001212CD">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3986BFC1" w14:textId="77777777" w:rsidR="00F51E6D" w:rsidRDefault="00F51E6D" w:rsidP="00510BA6">
      <w:pPr>
        <w:spacing w:after="0"/>
        <w:jc w:val="center"/>
        <w:rPr>
          <w:rFonts w:ascii="Times New Roman" w:hAnsi="Times New Roman"/>
          <w:b/>
          <w:noProof/>
          <w:sz w:val="20"/>
          <w:szCs w:val="20"/>
          <w:lang w:bidi="ar-SA"/>
        </w:rPr>
        <w:sectPr w:rsidR="00F51E6D"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3927738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4ED1C48A"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Coordination chemistry is an interesting field of study which assimilates both the traditional inorganic and organic chemistry disciplines by segregating a new class of compounds, comprising a central metallic atom bound to a group of organic molecules, known as metal complexes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&lt;EndNote&gt;&lt;Cite&gt;&lt;Author&gt;Cargnelutti&lt;/Author&gt;&lt;Year&gt;2021&lt;/Year&gt;&lt;RecNum&gt;99&lt;/RecNum&gt;&lt;DisplayText&gt;[1]&lt;/DisplayText&gt;&lt;record&gt;&lt;rec-number&gt;99&lt;/rec-number&gt;&lt;foreign-keys&gt;&lt;key app="EN" db-id="95rrpzvflp5t9fevvxwxa2epefs0xxppsret" timestamp="1610696790"&gt;99&lt;/key&gt;&lt;/foreign-keys&gt;&lt;ref-type name="Journal Article"&gt;17&lt;/ref-type&gt;&lt;contributors&gt;&lt;authors&gt;&lt;author&gt;Cargnelutti, Roberta&lt;/author&gt;&lt;author&gt;Schumacher, Ricardo F.&lt;/author&gt;&lt;author&gt;Belladona, Andrei L.&lt;/author&gt;&lt;author&gt;Kazmierczak, Jean C.&lt;/author&gt;&lt;/authors&gt;&lt;/contributors&gt;&lt;titles&gt;&lt;title&gt;Coordination chemistry and synthetic approaches of pyridyl-selenium ligands: A decade update&lt;/title&gt;&lt;secondary-title&gt;Coordination Chemistry Reviews&lt;/secondary-title&gt;&lt;/titles&gt;&lt;periodical&gt;&lt;full-title&gt;Coordination Chemistry Reviews&lt;/full-title&gt;&lt;/periodical&gt;&lt;pages&gt;213537&lt;/pages&gt;&lt;volume&gt;426&lt;/volume&gt;&lt;keywords&gt;&lt;keyword&gt;Pyridyl-selenium ligands&lt;/keyword&gt;&lt;keyword&gt;Metal complexes&lt;/keyword&gt;&lt;keyword&gt;Coordination chemistry&lt;/keyword&gt;&lt;keyword&gt;X-ray crystallography&lt;/keyword&gt;&lt;/keywords&gt;&lt;dates&gt;&lt;year&gt;2021&lt;/year&gt;&lt;pub-dates&gt;&lt;date&gt;2021/01/01/&lt;/date&gt;&lt;/pub-dates&gt;&lt;/dates&gt;&lt;isbn&gt;0010-8545&lt;/isbn&gt;&lt;urls&gt;&lt;related-urls&gt;&lt;url&gt;http://www.sciencedirect.com/science/article/pii/S0010854520306196&lt;/url&gt;&lt;/related-urls&gt;&lt;/urls&gt;&lt;electronic-resource-num&gt;https://doi.org/10.1016/j.ccr.2020.213537&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w:t>
      </w:r>
      <w:r w:rsidRPr="001212CD">
        <w:rPr>
          <w:rFonts w:ascii="Times New Roman" w:hAnsi="Times New Roman"/>
          <w:sz w:val="20"/>
          <w:szCs w:val="20"/>
        </w:rPr>
        <w:fldChar w:fldCharType="end"/>
      </w:r>
      <w:r w:rsidRPr="001212CD">
        <w:rPr>
          <w:rFonts w:ascii="Times New Roman" w:hAnsi="Times New Roman"/>
          <w:sz w:val="20"/>
          <w:szCs w:val="20"/>
        </w:rPr>
        <w:t>. These metal complexes possess valuable chemical properties, which pave the way to a variety of applications, particularly as catalysts in various chemical reactions. One of such prospective applications is in the field of electrocatalysis.</w:t>
      </w:r>
    </w:p>
    <w:p w14:paraId="606DC7BC" w14:textId="77777777" w:rsidR="001212CD" w:rsidRPr="001212CD" w:rsidRDefault="001212CD" w:rsidP="001212CD">
      <w:pPr>
        <w:spacing w:after="0"/>
        <w:jc w:val="both"/>
        <w:outlineLvl w:val="0"/>
        <w:rPr>
          <w:rFonts w:ascii="Times New Roman" w:hAnsi="Times New Roman"/>
          <w:sz w:val="20"/>
          <w:szCs w:val="20"/>
        </w:rPr>
      </w:pPr>
    </w:p>
    <w:p w14:paraId="6E945CD2"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Amongst all the other types of metal atoms, transition metals are the commonly used metal center in electrocatalytic metal complexes, namely in catalyzing reaction with having strong interests in environmental conservation such as hydrogen evolution, carbon dioxide reduction and water oxidation processes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&lt;EndNote&gt;&lt;Cite&gt;&lt;Author&gt;Dubois&lt;/Author&gt;&lt;Year&gt;1997&lt;/Year&gt;&lt;RecNum&gt;49&lt;/RecNum&gt;&lt;DisplayText&gt;[2]&lt;/DisplayText&gt;&lt;record&gt;&lt;rec-number&gt;49&lt;/rec-number&gt;&lt;foreign-keys&gt;&lt;key app="EN" db-id="95rrpzvflp5t9fevvxwxa2epefs0xxppsret" timestamp="1596690238"&gt;49&lt;/key&gt;&lt;/foreign-keys&gt;&lt;ref-type name="Journal Article"&gt;17&lt;/ref-type&gt;&lt;contributors&gt;&lt;authors&gt;&lt;author&gt;Dubois, Daniel L.&lt;/author&gt;&lt;/authors&gt;&lt;/contributors&gt;&lt;titles&gt;&lt;title&gt;Development of Transition Metal Phosphine Complexes as Electrocatalysts for CO2 and CO Reduction&lt;/title&gt;&lt;secondary-title&gt;Comments on Inorganic Chemistry&lt;/secondary-title&gt;&lt;/titles&gt;&lt;periodical&gt;&lt;full-title&gt;Comments on Inorganic Chemistry&lt;/full-title&gt;&lt;/periodical&gt;&lt;pages&gt;307-325&lt;/pages&gt;&lt;volume&gt;19&lt;/volume&gt;&lt;number&gt;5&lt;/number&gt;&lt;dates&gt;&lt;year&gt;1997&lt;/year&gt;&lt;pub-dates&gt;&lt;date&gt;1997/10/01&lt;/date&gt;&lt;/pub-dates&gt;&lt;/dates&gt;&lt;publisher&gt;Taylor &amp;amp; Francis&lt;/publisher&gt;&lt;isbn&gt;0260-3594&lt;/isbn&gt;&lt;urls&gt;&lt;related-urls&gt;&lt;url&gt;https://doi.org/10.1080/02603599708032743&lt;/url&gt;&lt;/related-urls&gt;&lt;/urls&gt;&lt;electronic-resource-num&gt;10.1080/02603599708032743&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[2]</w:t>
      </w:r>
      <w:r w:rsidRPr="001212CD">
        <w:rPr>
          <w:rFonts w:ascii="Times New Roman" w:hAnsi="Times New Roman"/>
          <w:sz w:val="20"/>
          <w:szCs w:val="20"/>
        </w:rPr>
        <w:fldChar w:fldCharType="end"/>
      </w:r>
      <w:r w:rsidRPr="001212CD">
        <w:rPr>
          <w:rFonts w:ascii="Times New Roman" w:hAnsi="Times New Roman"/>
          <w:sz w:val="20"/>
          <w:szCs w:val="20"/>
        </w:rPr>
        <w:t>. The first-row transition metals have been the center of attraction of this research due to a few advantages possessed by them. One of which is their lower toxicity property compared to other row transition metals which makes it a suitable choice of metals in order to pursue a green chemistry method. In addition, the 3d transition metals can be found more abundantly in nature.</w:t>
      </w:r>
    </w:p>
    <w:p w14:paraId="4CB9E936" w14:textId="77777777" w:rsidR="001212CD" w:rsidRPr="001212CD" w:rsidRDefault="001212CD" w:rsidP="001212CD">
      <w:pPr>
        <w:spacing w:after="0"/>
        <w:jc w:val="both"/>
        <w:outlineLvl w:val="0"/>
        <w:rPr>
          <w:rFonts w:ascii="Times New Roman" w:hAnsi="Times New Roman"/>
          <w:sz w:val="20"/>
          <w:szCs w:val="20"/>
        </w:rPr>
      </w:pPr>
    </w:p>
    <w:p w14:paraId="13349F73"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The electronic arrangement of transition metals allows them to exist in a variety of oxidation states and they are also able to interchange between the oxidation states, form complexes with the reagent and be a good source for electrons. These characteristics help transition metal complexes to catalyze many redox reactions in nature. The catalytic ability of the transition metal complexes is </w:t>
      </w:r>
      <w:r w:rsidRPr="001212CD">
        <w:rPr>
          <w:rFonts w:ascii="Times New Roman" w:hAnsi="Times New Roman"/>
          <w:sz w:val="20"/>
          <w:szCs w:val="20"/>
        </w:rPr>
        <w:t xml:space="preserve">exploited when it is coupled to an electrochemical cell in which it catalyzes the redox reactions of specific substrate. A fascinating feature in this application is the capacity to alter the potential of the redox reaction by manipulating the metal centers and the corresponding ligands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&lt;EndNote&gt;&lt;Cite&gt;&lt;Author&gt;Cheung&lt;/Author&gt;&lt;Year&gt;2007&lt;/Year&gt;&lt;RecNum&gt;50&lt;/RecNum&gt;&lt;DisplayText&gt;[3]&lt;/DisplayText&gt;&lt;record&gt;&lt;rec-number&gt;50&lt;/rec-number&gt;&lt;foreign-keys&gt;&lt;key app="EN" db-id="95rrpzvflp5t9fevvxwxa2epefs0xxppsret" timestamp="1596690490"&gt;50&lt;/key&gt;&lt;/foreign-keys&gt;&lt;ref-type name="Journal Article"&gt;17&lt;/ref-type&gt;&lt;contributors&gt;&lt;authors&gt;&lt;author&gt;Cheung, Kwong-Chak&lt;/author&gt;&lt;author&gt;Wong, Wing-Leung&lt;/author&gt;&lt;author&gt;Ma, Dik-Lung&lt;/author&gt;&lt;author&gt;Lai, Tat-Shing&lt;/author&gt;&lt;author&gt;Wong, Kwok-Yin&lt;/author&gt;&lt;/authors&gt;&lt;/contributors&gt;&lt;titles&gt;&lt;title&gt;Transition metal complexes as electrocatalysts—Development and applications in electro-oxidation reactions&lt;/title&gt;&lt;secondary-title&gt;Coordination Chemistry Reviews&lt;/secondary-title&gt;&lt;/titles&gt;&lt;periodical&gt;&lt;full-title&gt;Coordination Chemistry Reviews&lt;/full-title&gt;&lt;/periodical&gt;&lt;pages&gt;2367-2385&lt;/pages&gt;&lt;volume&gt;251&lt;/volume&gt;&lt;number&gt;17&lt;/number&gt;&lt;keywords&gt;&lt;keyword&gt;Electro-oxidation&lt;/keyword&gt;&lt;keyword&gt;Electrocatalysts&lt;/keyword&gt;&lt;keyword&gt;Transition metal complexes&lt;/keyword&gt;&lt;/keywords&gt;&lt;dates&gt;&lt;year&gt;2007&lt;/year&gt;&lt;pub-dates&gt;&lt;date&gt;2007/09/01/&lt;/date&gt;&lt;/pub-dates&gt;&lt;/dates&gt;&lt;isbn&gt;0010-8545&lt;/isbn&gt;&lt;urls&gt;&lt;related-urls&gt;&lt;url&gt;http://www.sciencedirect.com/science/article/pii/S0010854507001129&lt;/url&gt;&lt;/related-urls&gt;&lt;/urls&gt;&lt;electronic-resource-num&gt;https://doi.org/10.1016/j.ccr.2007.04.004&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[3]</w:t>
      </w:r>
      <w:r w:rsidRPr="001212CD">
        <w:rPr>
          <w:rFonts w:ascii="Times New Roman" w:hAnsi="Times New Roman"/>
          <w:sz w:val="20"/>
          <w:szCs w:val="20"/>
        </w:rPr>
        <w:fldChar w:fldCharType="end"/>
      </w:r>
      <w:r w:rsidRPr="001212CD">
        <w:rPr>
          <w:rFonts w:ascii="Times New Roman" w:hAnsi="Times New Roman"/>
          <w:sz w:val="20"/>
          <w:szCs w:val="20"/>
        </w:rPr>
        <w:t>.</w:t>
      </w:r>
    </w:p>
    <w:p w14:paraId="64D5C8A8" w14:textId="77777777" w:rsidR="001212CD" w:rsidRPr="001212CD" w:rsidRDefault="001212CD" w:rsidP="001212CD">
      <w:pPr>
        <w:spacing w:after="0"/>
        <w:jc w:val="both"/>
        <w:outlineLvl w:val="0"/>
        <w:rPr>
          <w:rFonts w:ascii="Times New Roman" w:hAnsi="Times New Roman"/>
          <w:sz w:val="20"/>
          <w:szCs w:val="20"/>
        </w:rPr>
      </w:pPr>
    </w:p>
    <w:p w14:paraId="787FB29D"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One of the widely used ligands in coordination chemistry are pyridazines. The two nitrogen atoms in the heterocyclic structure of pyridazine allow it to coordinate with two metal centers close to each other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&lt;EndNote&gt;&lt;Cite&gt;&lt;Author&gt;Grünwald&lt;/Author&gt;&lt;Year&gt;2010&lt;/Year&gt;&lt;RecNum&gt;51&lt;/RecNum&gt;&lt;DisplayText&gt;[4]&lt;/DisplayText&gt;&lt;record&gt;&lt;rec-number&gt;51&lt;/rec-number&gt;&lt;foreign-keys&gt;&lt;key app="EN" db-id="95rrpzvflp5t9fevvxwxa2epefs0xxppsret" timestamp="1596690597"&gt;51&lt;/key&gt;&lt;/foreign-keys&gt;&lt;ref-type name="Journal Article"&gt;17&lt;/ref-type&gt;&lt;contributors&gt;&lt;authors&gt;&lt;author&gt;Grünwald, Katrin R.&lt;/author&gt;&lt;author&gt;Saischek, Gerald&lt;/author&gt;&lt;author&gt;Volpe, Manuel&lt;/author&gt;&lt;author&gt;Belaj, Ferdinand&lt;/author&gt;&lt;author&gt;Mösch-Zanetti, Nadia C.&lt;/author&gt;&lt;/authors&gt;&lt;/contributors&gt;&lt;titles&gt;&lt;title&gt;Pyridazine-Based Ligands and Their Coordinating Ability towards First-Row Transition Metals&lt;/title&gt;&lt;/titles&gt;&lt;pages&gt;2297-2305&lt;/pages&gt;&lt;volume&gt;2010&lt;/volume&gt;&lt;number&gt;15&lt;/number&gt;&lt;dates&gt;&lt;year&gt;2010&lt;/year&gt;&lt;/dates&gt;&lt;isbn&gt;1434-1948&lt;/isbn&gt;&lt;urls&gt;&lt;related-urls&gt;&lt;url&gt;https://chemistry-europe.onlinelibrary.wiley.com/doi/abs/10.1002/ejic.201000120&lt;/url&gt;&lt;/related-urls&gt;&lt;/urls&gt;&lt;electronic-resource-num&gt;10.1002/ejic.201000120&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[4]</w:t>
      </w:r>
      <w:r w:rsidRPr="001212CD">
        <w:rPr>
          <w:rFonts w:ascii="Times New Roman" w:hAnsi="Times New Roman"/>
          <w:sz w:val="20"/>
          <w:szCs w:val="20"/>
        </w:rPr>
        <w:fldChar w:fldCharType="end"/>
      </w:r>
      <w:r w:rsidRPr="001212CD">
        <w:rPr>
          <w:rFonts w:ascii="Times New Roman" w:hAnsi="Times New Roman"/>
          <w:sz w:val="20"/>
          <w:szCs w:val="20"/>
        </w:rPr>
        <w:t xml:space="preserve">. On the other hand, pyrazole is classified as a five membered aromatic structure comprising three carbons and two nitrogens. The idea of having both the six-membered ring structure such as pyridazine and five-membered ring structure such as pyrazole combined as one ligand provides an interesting dimension and geometry upon binding with metals. In return, the complexes of such ligands are expected to have a different electronic properties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&lt;EndNote&gt;&lt;Cite&gt;&lt;Author&gt;Viciano-Chumillas&lt;/Author&gt;&lt;Year&gt;2010&lt;/Year&gt;&lt;RecNum&gt;52&lt;/RecNum&gt;&lt;DisplayText&gt;[5]&lt;/DisplayText&gt;&lt;record&gt;&lt;rec-number&gt;52&lt;/rec-number&gt;&lt;foreign-keys&gt;&lt;key app="EN" db-id="95rrpzvflp5t9fevvxwxa2epefs0xxppsret" timestamp="1596690715"&gt;52&lt;/key&gt;&lt;/foreign-keys&gt;&lt;ref-type name="Journal Article"&gt;17&lt;/ref-type&gt;&lt;contributors&gt;&lt;authors&gt;&lt;author&gt;Viciano-Chumillas, Marta&lt;/author&gt;&lt;author&gt;Tanase, Stefania&lt;/author&gt;&lt;author&gt;de Jongh, L. Jos&lt;/author&gt;&lt;author&gt;Reedijk, Jan&lt;/author&gt;&lt;/authors&gt;&lt;/contributors&gt;&lt;titles&gt;&lt;title&gt;Coordination Versatility of Pyrazole-Based Ligands towards High-Nuclearity Transition-Metal and Rare-Earth Clusters&lt;/title&gt;&lt;/titles&gt;&lt;pages&gt;3403-3418&lt;/pages&gt;&lt;volume&gt;2010&lt;/volume&gt;&lt;number&gt;22&lt;/number&gt;&lt;dates&gt;&lt;year&gt;2010&lt;/year&gt;&lt;/dates&gt;&lt;isbn&gt;1434-1948&lt;/isbn&gt;&lt;urls&gt;&lt;related-urls&gt;&lt;url&gt;https://chemistry-europe.onlinelibrary.wiley.com/doi/abs/10.1002/ejic.201000412&lt;/url&gt;&lt;/related-urls&gt;&lt;/urls&gt;&lt;electronic-resource-num&gt;10.1002/ejic.201000412&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[5]</w:t>
      </w:r>
      <w:r w:rsidRPr="001212CD">
        <w:rPr>
          <w:rFonts w:ascii="Times New Roman" w:hAnsi="Times New Roman"/>
          <w:sz w:val="20"/>
          <w:szCs w:val="20"/>
        </w:rPr>
        <w:fldChar w:fldCharType="end"/>
      </w:r>
      <w:r w:rsidRPr="001212CD">
        <w:rPr>
          <w:rFonts w:ascii="Times New Roman" w:hAnsi="Times New Roman"/>
          <w:sz w:val="20"/>
          <w:szCs w:val="20"/>
        </w:rPr>
        <w:t>.</w:t>
      </w:r>
    </w:p>
    <w:p w14:paraId="55F42C37" w14:textId="77777777" w:rsidR="001212CD" w:rsidRPr="001212CD" w:rsidRDefault="001212CD" w:rsidP="001212CD">
      <w:pPr>
        <w:spacing w:after="0"/>
        <w:jc w:val="both"/>
        <w:outlineLvl w:val="0"/>
        <w:rPr>
          <w:rFonts w:ascii="Times New Roman" w:hAnsi="Times New Roman"/>
          <w:sz w:val="20"/>
          <w:szCs w:val="20"/>
        </w:rPr>
      </w:pPr>
    </w:p>
    <w:p w14:paraId="13512B80"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The target ligand in this study, 3,6-bis-(3,5-dimethylpyrazolyl)-pyridazine is one of such unique ligand molecules that contain both pyridazine and pyrazolyl structures. The ability of the ligand to form a metallacycle leads to a stable mononuclear and polynuclear complexes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&lt;EndNote&gt;&lt;Cite&gt;&lt;Author&gt;Gao&lt;/Author&gt;&lt;Year&gt;2006&lt;/Year&gt;&lt;RecNum&gt;53&lt;/RecNum&gt;&lt;DisplayText&gt;[6]&lt;/DisplayText&gt;&lt;record&gt;&lt;rec-number&gt;53&lt;/rec-number&gt;&lt;foreign-keys&gt;&lt;key app="EN" db-id="95rrpzvflp5t9fevvxwxa2epefs0xxppsret" timestamp="1596690811"&gt;53&lt;/key&gt;&lt;/foreign-keys&gt;&lt;ref-type name="Journal Article"&gt;17&lt;/ref-type&gt;&lt;contributors&gt;&lt;authors&gt;&lt;author&gt;Gao, Hong&lt;/author&gt;&lt;author&gt;Zhang, Zhi-Hui&lt;/author&gt;&lt;author&gt;Jiang, Ping&lt;/author&gt;&lt;author&gt;Li, Xiu-Rong&lt;/author&gt;&lt;/authors&gt;&lt;/contributors&gt;&lt;titles&gt;&lt;title&gt;Synthesis, crystal structures and properties of the novel mononuclear copper(II) and tetranuclear cobalt(II) complexes with 3,6-bis-(3,5-dimethylpyrazolyl)-pyridazine&lt;/title&gt;&lt;secondary-title&gt;Transition Metal Chemistry&lt;/secondary-title&gt;&lt;/titles&gt;&lt;periodical&gt;&lt;full-title&gt;Transition Metal Chemistry&lt;/full-title&gt;&lt;/periodical&gt;&lt;pages&gt;1088-1092&lt;/pages&gt;&lt;volume&gt;31&lt;/volume&gt;&lt;number&gt;8&lt;/number&gt;&lt;dates&gt;&lt;year&gt;2006&lt;/year&gt;&lt;pub-dates&gt;&lt;date&gt;2006/11/01&lt;/date&gt;&lt;/pub-dates&gt;&lt;/dates&gt;&lt;isbn&gt;1572-901X&lt;/isbn&gt;&lt;urls&gt;&lt;related-urls&gt;&lt;url&gt;https://doi.org/10.1007/s11243-006-0114-1&lt;/url&gt;&lt;/related-urls&gt;&lt;/urls&gt;&lt;electronic-resource-num&gt;10.1007/s11243-006-0114-1&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[6]</w:t>
      </w:r>
      <w:r w:rsidRPr="001212CD">
        <w:rPr>
          <w:rFonts w:ascii="Times New Roman" w:hAnsi="Times New Roman"/>
          <w:sz w:val="20"/>
          <w:szCs w:val="20"/>
        </w:rPr>
        <w:fldChar w:fldCharType="end"/>
      </w:r>
      <w:r w:rsidRPr="001212CD">
        <w:rPr>
          <w:rFonts w:ascii="Times New Roman" w:hAnsi="Times New Roman"/>
          <w:sz w:val="20"/>
          <w:szCs w:val="20"/>
        </w:rPr>
        <w:t xml:space="preserve">. However, by far in literature, most of the studies employing this ligand are focused on metals from the lanthanide series. An attempt to pair this ligand with first and second row transition metals for the synthesis of metal complexes is the novel idea being the focus in this study. Hence, in this work we aim to explore the effect of coordinating different </w:t>
      </w:r>
      <w:r w:rsidRPr="001212CD">
        <w:rPr>
          <w:rFonts w:ascii="Times New Roman" w:hAnsi="Times New Roman"/>
          <w:sz w:val="20"/>
          <w:szCs w:val="20"/>
        </w:rPr>
        <w:lastRenderedPageBreak/>
        <w:t>transition metal cations to 3,6-bis-(3,5-dimethylpyrazolyl) pyridazine, follows by investigation and characterization on the electrochemical behavior of the resulting metal complexes.</w:t>
      </w:r>
    </w:p>
    <w:p w14:paraId="2BFE8818" w14:textId="77777777" w:rsidR="001212CD" w:rsidRPr="001212CD" w:rsidRDefault="001212CD" w:rsidP="001212CD">
      <w:pPr>
        <w:spacing w:after="0"/>
        <w:jc w:val="center"/>
        <w:outlineLvl w:val="0"/>
        <w:rPr>
          <w:rFonts w:ascii="Times New Roman" w:hAnsi="Times New Roman"/>
          <w:b/>
          <w:sz w:val="20"/>
          <w:szCs w:val="20"/>
        </w:rPr>
      </w:pPr>
    </w:p>
    <w:p w14:paraId="5EB7DC34" w14:textId="77777777" w:rsidR="001212CD" w:rsidRPr="001212CD" w:rsidRDefault="001212CD" w:rsidP="001212CD">
      <w:pPr>
        <w:spacing w:after="0"/>
        <w:jc w:val="center"/>
        <w:outlineLvl w:val="0"/>
        <w:rPr>
          <w:rFonts w:ascii="Times New Roman" w:hAnsi="Times New Roman"/>
          <w:b/>
          <w:sz w:val="20"/>
          <w:szCs w:val="20"/>
        </w:rPr>
      </w:pPr>
      <w:r w:rsidRPr="001212CD">
        <w:rPr>
          <w:rFonts w:ascii="Times New Roman" w:hAnsi="Times New Roman"/>
          <w:b/>
          <w:sz w:val="20"/>
          <w:szCs w:val="20"/>
        </w:rPr>
        <w:t>Materials and Methods</w:t>
      </w:r>
    </w:p>
    <w:p w14:paraId="4E87AEC6" w14:textId="77777777" w:rsidR="001212CD" w:rsidRPr="001212CD" w:rsidRDefault="001212CD" w:rsidP="001212CD">
      <w:pPr>
        <w:spacing w:after="0"/>
        <w:jc w:val="both"/>
        <w:outlineLvl w:val="0"/>
        <w:rPr>
          <w:rFonts w:ascii="Times New Roman" w:hAnsi="Times New Roman"/>
          <w:b/>
          <w:sz w:val="20"/>
          <w:szCs w:val="20"/>
        </w:rPr>
      </w:pPr>
      <w:r w:rsidRPr="001212CD">
        <w:rPr>
          <w:rFonts w:ascii="Times New Roman" w:hAnsi="Times New Roman"/>
          <w:b/>
          <w:sz w:val="20"/>
          <w:szCs w:val="20"/>
        </w:rPr>
        <w:t xml:space="preserve">Chemicals and reagents </w:t>
      </w:r>
    </w:p>
    <w:p w14:paraId="4648D3BF" w14:textId="77777777" w:rsidR="001212CD" w:rsidRPr="001212CD" w:rsidRDefault="001212CD" w:rsidP="001212CD">
      <w:pPr>
        <w:spacing w:after="0"/>
        <w:jc w:val="both"/>
        <w:outlineLvl w:val="0"/>
        <w:rPr>
          <w:rFonts w:ascii="Times New Roman" w:hAnsi="Times New Roman"/>
          <w:sz w:val="20"/>
          <w:szCs w:val="20"/>
        </w:rPr>
      </w:pPr>
      <w:r w:rsidRPr="001212CD">
        <w:rPr>
          <w:rFonts w:ascii="Times New Roman" w:hAnsi="Times New Roman"/>
          <w:bCs/>
          <w:sz w:val="20"/>
          <w:szCs w:val="20"/>
        </w:rPr>
        <w:t>3,5-dimethylpyrazole (C</w:t>
      </w:r>
      <w:r w:rsidRPr="001212CD">
        <w:rPr>
          <w:rFonts w:ascii="Times New Roman" w:hAnsi="Times New Roman"/>
          <w:bCs/>
          <w:sz w:val="20"/>
          <w:szCs w:val="20"/>
          <w:vertAlign w:val="subscript"/>
        </w:rPr>
        <w:t>5</w:t>
      </w:r>
      <w:r w:rsidRPr="001212CD">
        <w:rPr>
          <w:rFonts w:ascii="Times New Roman" w:hAnsi="Times New Roman"/>
          <w:bCs/>
          <w:sz w:val="20"/>
          <w:szCs w:val="20"/>
        </w:rPr>
        <w:t>H</w:t>
      </w:r>
      <w:r w:rsidRPr="001212CD">
        <w:rPr>
          <w:rFonts w:ascii="Times New Roman" w:hAnsi="Times New Roman"/>
          <w:bCs/>
          <w:sz w:val="20"/>
          <w:szCs w:val="20"/>
          <w:vertAlign w:val="subscript"/>
        </w:rPr>
        <w:t>8</w:t>
      </w:r>
      <w:r w:rsidRPr="001212CD">
        <w:rPr>
          <w:rFonts w:ascii="Times New Roman" w:hAnsi="Times New Roman"/>
          <w:bCs/>
          <w:sz w:val="20"/>
          <w:szCs w:val="20"/>
        </w:rPr>
        <w:t>N</w:t>
      </w:r>
      <w:r w:rsidRPr="001212CD">
        <w:rPr>
          <w:rFonts w:ascii="Times New Roman" w:hAnsi="Times New Roman"/>
          <w:bCs/>
          <w:sz w:val="20"/>
          <w:szCs w:val="20"/>
          <w:vertAlign w:val="subscript"/>
        </w:rPr>
        <w:t>2</w:t>
      </w:r>
      <w:r w:rsidRPr="001212CD">
        <w:rPr>
          <w:rFonts w:ascii="Times New Roman" w:hAnsi="Times New Roman"/>
          <w:bCs/>
          <w:sz w:val="20"/>
          <w:szCs w:val="20"/>
        </w:rPr>
        <w:t>, 99%, Aldrich), 3,6-dichloropyridazine (C</w:t>
      </w:r>
      <w:r w:rsidRPr="001212CD">
        <w:rPr>
          <w:rFonts w:ascii="Times New Roman" w:hAnsi="Times New Roman"/>
          <w:bCs/>
          <w:sz w:val="20"/>
          <w:szCs w:val="20"/>
          <w:vertAlign w:val="subscript"/>
        </w:rPr>
        <w:t>4</w:t>
      </w:r>
      <w:r w:rsidRPr="001212CD">
        <w:rPr>
          <w:rFonts w:ascii="Times New Roman" w:hAnsi="Times New Roman"/>
          <w:bCs/>
          <w:sz w:val="20"/>
          <w:szCs w:val="20"/>
        </w:rPr>
        <w:t>H</w:t>
      </w:r>
      <w:r w:rsidRPr="001212CD">
        <w:rPr>
          <w:rFonts w:ascii="Times New Roman" w:hAnsi="Times New Roman"/>
          <w:bCs/>
          <w:sz w:val="20"/>
          <w:szCs w:val="20"/>
          <w:vertAlign w:val="subscript"/>
        </w:rPr>
        <w:t>2</w:t>
      </w:r>
      <w:r w:rsidRPr="001212CD">
        <w:rPr>
          <w:rFonts w:ascii="Times New Roman" w:hAnsi="Times New Roman"/>
          <w:bCs/>
          <w:sz w:val="20"/>
          <w:szCs w:val="20"/>
        </w:rPr>
        <w:t>Cl</w:t>
      </w:r>
      <w:r w:rsidRPr="001212CD">
        <w:rPr>
          <w:rFonts w:ascii="Times New Roman" w:hAnsi="Times New Roman"/>
          <w:bCs/>
          <w:sz w:val="20"/>
          <w:szCs w:val="20"/>
          <w:vertAlign w:val="subscript"/>
        </w:rPr>
        <w:t>2</w:t>
      </w:r>
      <w:r w:rsidRPr="001212CD">
        <w:rPr>
          <w:rFonts w:ascii="Times New Roman" w:hAnsi="Times New Roman"/>
          <w:bCs/>
          <w:sz w:val="20"/>
          <w:szCs w:val="20"/>
        </w:rPr>
        <w:t>N</w:t>
      </w:r>
      <w:r w:rsidRPr="001212CD">
        <w:rPr>
          <w:rFonts w:ascii="Times New Roman" w:hAnsi="Times New Roman"/>
          <w:bCs/>
          <w:sz w:val="20"/>
          <w:szCs w:val="20"/>
          <w:vertAlign w:val="subscript"/>
        </w:rPr>
        <w:t>2</w:t>
      </w:r>
      <w:r w:rsidRPr="001212CD">
        <w:rPr>
          <w:rFonts w:ascii="Times New Roman" w:hAnsi="Times New Roman"/>
          <w:bCs/>
          <w:sz w:val="20"/>
          <w:szCs w:val="20"/>
        </w:rPr>
        <w:t>, 97%, Aldrich), copper(II) chloride dihydrate (CuCl</w:t>
      </w:r>
      <w:r w:rsidRPr="001212CD">
        <w:rPr>
          <w:rFonts w:ascii="Times New Roman" w:hAnsi="Times New Roman"/>
          <w:bCs/>
          <w:sz w:val="20"/>
          <w:szCs w:val="20"/>
          <w:vertAlign w:val="subscript"/>
        </w:rPr>
        <w:t>2</w:t>
      </w:r>
      <w:r w:rsidRPr="001212CD">
        <w:rPr>
          <w:rFonts w:ascii="Times New Roman" w:hAnsi="Times New Roman"/>
          <w:bCs/>
          <w:sz w:val="20"/>
          <w:szCs w:val="20"/>
        </w:rPr>
        <w:t>·2H</w:t>
      </w:r>
      <w:r w:rsidRPr="001212CD">
        <w:rPr>
          <w:rFonts w:ascii="Times New Roman" w:hAnsi="Times New Roman"/>
          <w:bCs/>
          <w:sz w:val="20"/>
          <w:szCs w:val="20"/>
          <w:vertAlign w:val="subscript"/>
        </w:rPr>
        <w:t>2</w:t>
      </w:r>
      <w:r w:rsidRPr="001212CD">
        <w:rPr>
          <w:rFonts w:ascii="Times New Roman" w:hAnsi="Times New Roman"/>
          <w:bCs/>
          <w:sz w:val="20"/>
          <w:szCs w:val="20"/>
        </w:rPr>
        <w:t>O, 99%, Aldrich), iron(II) chloride tetrahydrate (FeCl</w:t>
      </w:r>
      <w:r w:rsidRPr="001212CD">
        <w:rPr>
          <w:rFonts w:ascii="Times New Roman" w:hAnsi="Times New Roman"/>
          <w:bCs/>
          <w:sz w:val="20"/>
          <w:szCs w:val="20"/>
          <w:vertAlign w:val="subscript"/>
        </w:rPr>
        <w:t>2</w:t>
      </w:r>
      <w:r w:rsidRPr="001212CD">
        <w:rPr>
          <w:rFonts w:ascii="Times New Roman" w:hAnsi="Times New Roman"/>
          <w:bCs/>
          <w:sz w:val="20"/>
          <w:szCs w:val="20"/>
        </w:rPr>
        <w:t>·4H</w:t>
      </w:r>
      <w:r w:rsidRPr="001212CD">
        <w:rPr>
          <w:rFonts w:ascii="Times New Roman" w:hAnsi="Times New Roman"/>
          <w:bCs/>
          <w:sz w:val="20"/>
          <w:szCs w:val="20"/>
          <w:vertAlign w:val="subscript"/>
        </w:rPr>
        <w:t>2</w:t>
      </w:r>
      <w:r w:rsidRPr="001212CD">
        <w:rPr>
          <w:rFonts w:ascii="Times New Roman" w:hAnsi="Times New Roman"/>
          <w:bCs/>
          <w:sz w:val="20"/>
          <w:szCs w:val="20"/>
        </w:rPr>
        <w:t>O, 99%, Aldrich), nickel(II) chloride hexahydrate (NiCl</w:t>
      </w:r>
      <w:r w:rsidRPr="001212CD">
        <w:rPr>
          <w:rFonts w:ascii="Times New Roman" w:hAnsi="Times New Roman"/>
          <w:bCs/>
          <w:sz w:val="20"/>
          <w:szCs w:val="20"/>
          <w:vertAlign w:val="subscript"/>
        </w:rPr>
        <w:t>2</w:t>
      </w:r>
      <w:r w:rsidRPr="001212CD">
        <w:rPr>
          <w:rFonts w:ascii="Times New Roman" w:hAnsi="Times New Roman"/>
          <w:bCs/>
          <w:sz w:val="20"/>
          <w:szCs w:val="20"/>
        </w:rPr>
        <w:t>·6H</w:t>
      </w:r>
      <w:r w:rsidRPr="001212CD">
        <w:rPr>
          <w:rFonts w:ascii="Times New Roman" w:hAnsi="Times New Roman"/>
          <w:bCs/>
          <w:sz w:val="20"/>
          <w:szCs w:val="20"/>
          <w:vertAlign w:val="subscript"/>
        </w:rPr>
        <w:t>2</w:t>
      </w:r>
      <w:r w:rsidRPr="001212CD">
        <w:rPr>
          <w:rFonts w:ascii="Times New Roman" w:hAnsi="Times New Roman"/>
          <w:bCs/>
          <w:sz w:val="20"/>
          <w:szCs w:val="20"/>
        </w:rPr>
        <w:t>O, 99%, Aldrich), cobalt(II) nitrate hexahydrate (Co(NO</w:t>
      </w:r>
      <w:r w:rsidRPr="001212CD">
        <w:rPr>
          <w:rFonts w:ascii="Times New Roman" w:hAnsi="Times New Roman"/>
          <w:bCs/>
          <w:sz w:val="20"/>
          <w:szCs w:val="20"/>
          <w:vertAlign w:val="subscript"/>
        </w:rPr>
        <w:t>3</w:t>
      </w:r>
      <w:r w:rsidRPr="001212CD">
        <w:rPr>
          <w:rFonts w:ascii="Times New Roman" w:hAnsi="Times New Roman"/>
          <w:bCs/>
          <w:sz w:val="20"/>
          <w:szCs w:val="20"/>
        </w:rPr>
        <w:t>)</w:t>
      </w:r>
      <w:r w:rsidRPr="001212CD">
        <w:rPr>
          <w:rFonts w:ascii="Times New Roman" w:hAnsi="Times New Roman"/>
          <w:bCs/>
          <w:sz w:val="20"/>
          <w:szCs w:val="20"/>
          <w:vertAlign w:val="subscript"/>
        </w:rPr>
        <w:t>2</w:t>
      </w:r>
      <w:r w:rsidRPr="001212CD">
        <w:rPr>
          <w:rFonts w:ascii="Times New Roman" w:hAnsi="Times New Roman"/>
          <w:bCs/>
          <w:sz w:val="20"/>
          <w:szCs w:val="20"/>
        </w:rPr>
        <w:t>·6H</w:t>
      </w:r>
      <w:r w:rsidRPr="001212CD">
        <w:rPr>
          <w:rFonts w:ascii="Times New Roman" w:hAnsi="Times New Roman"/>
          <w:bCs/>
          <w:sz w:val="20"/>
          <w:szCs w:val="20"/>
          <w:vertAlign w:val="subscript"/>
        </w:rPr>
        <w:t>2</w:t>
      </w:r>
      <w:r w:rsidRPr="001212CD">
        <w:rPr>
          <w:rFonts w:ascii="Times New Roman" w:hAnsi="Times New Roman"/>
          <w:bCs/>
          <w:sz w:val="20"/>
          <w:szCs w:val="20"/>
        </w:rPr>
        <w:t>O, 98%, Aldrich), sodium hydride (NaH, 90%, Aldrich) and anhydrous dimethylformamide (99.8%, Aldrich) were used as such without further purification.</w:t>
      </w:r>
    </w:p>
    <w:p w14:paraId="72F01CDA" w14:textId="77777777" w:rsidR="001212CD" w:rsidRPr="001212CD" w:rsidRDefault="001212CD" w:rsidP="001212CD">
      <w:pPr>
        <w:spacing w:after="0"/>
        <w:jc w:val="both"/>
        <w:outlineLvl w:val="0"/>
        <w:rPr>
          <w:rFonts w:ascii="Times New Roman" w:hAnsi="Times New Roman"/>
          <w:sz w:val="20"/>
          <w:szCs w:val="20"/>
        </w:rPr>
      </w:pPr>
    </w:p>
    <w:p w14:paraId="008FC891" w14:textId="77777777" w:rsidR="001212CD" w:rsidRPr="001212CD" w:rsidRDefault="001212CD" w:rsidP="001212CD">
      <w:pPr>
        <w:spacing w:after="0"/>
        <w:jc w:val="both"/>
        <w:outlineLvl w:val="0"/>
        <w:rPr>
          <w:rFonts w:ascii="Times New Roman" w:hAnsi="Times New Roman"/>
          <w:b/>
          <w:sz w:val="20"/>
          <w:szCs w:val="20"/>
        </w:rPr>
      </w:pPr>
      <w:r w:rsidRPr="001212CD">
        <w:rPr>
          <w:rFonts w:ascii="Times New Roman" w:hAnsi="Times New Roman"/>
          <w:b/>
          <w:sz w:val="20"/>
          <w:szCs w:val="20"/>
        </w:rPr>
        <w:t xml:space="preserve">Synthesis of 3,6-bis(3,5-dimethylpyrazolyl) pyridazine </w:t>
      </w:r>
    </w:p>
    <w:p w14:paraId="3080A470" w14:textId="350500B0" w:rsidR="00F51E6D" w:rsidRDefault="001212CD" w:rsidP="001212CD">
      <w:pPr>
        <w:spacing w:after="0"/>
        <w:jc w:val="both"/>
        <w:outlineLvl w:val="0"/>
        <w:rPr>
          <w:rFonts w:ascii="Times New Roman" w:hAnsi="Times New Roman"/>
          <w:bCs/>
          <w:sz w:val="20"/>
          <w:szCs w:val="20"/>
        </w:rPr>
      </w:pPr>
      <w:r w:rsidRPr="001212CD">
        <w:rPr>
          <w:rFonts w:ascii="Times New Roman" w:hAnsi="Times New Roman"/>
          <w:bCs/>
          <w:sz w:val="20"/>
          <w:szCs w:val="20"/>
        </w:rPr>
        <w:t>As shown in Figure 1, 3,5-dimethylpyrazole (240.3 mg, 2.5 mmol) and sodium hydride (103.6 mg, 2.5 mmol) were put in the reaction flask under nitrogen gas purging. Anhydrous dimethylformamide (5 mL) was added into the flask. After one hour stirring, the solution was cooled to 0 °C after being kept in an ice bath. 3,6-dichloropyridazine (148.9 mg, 1.0 mmol) was added to the solution and the temperature was maintained at 0 °C for 30 minutes while stirring. The solution was stirred overnight at ambient temperature to yield the desired ligand. The resulting pale-yellow solution was mixed into ice water (100 mL) to obtain white filtrate solid. Synthesis route of the preparation is shown in Figure 2.</w:t>
      </w:r>
    </w:p>
    <w:p w14:paraId="1BF82673" w14:textId="19E7BA55" w:rsidR="00CB0A1B" w:rsidRDefault="00CB0A1B" w:rsidP="001212CD">
      <w:pPr>
        <w:spacing w:after="0"/>
        <w:jc w:val="both"/>
        <w:outlineLvl w:val="0"/>
        <w:rPr>
          <w:rFonts w:ascii="Times New Roman" w:hAnsi="Times New Roman"/>
          <w:bCs/>
          <w:sz w:val="20"/>
          <w:szCs w:val="20"/>
        </w:rPr>
      </w:pPr>
    </w:p>
    <w:p w14:paraId="69E41D54" w14:textId="77777777" w:rsidR="00CB0A1B" w:rsidRPr="001212CD" w:rsidRDefault="00CB0A1B" w:rsidP="001212CD">
      <w:pPr>
        <w:spacing w:after="0"/>
        <w:jc w:val="both"/>
        <w:outlineLvl w:val="0"/>
        <w:rPr>
          <w:rFonts w:ascii="Times New Roman" w:hAnsi="Times New Roman"/>
          <w:bCs/>
          <w:sz w:val="20"/>
          <w:szCs w:val="20"/>
        </w:rPr>
      </w:pPr>
    </w:p>
    <w:p w14:paraId="425A778F" w14:textId="77777777" w:rsidR="00F51E6D" w:rsidRPr="001212CD" w:rsidRDefault="00F51E6D" w:rsidP="00F51E6D">
      <w:pPr>
        <w:pStyle w:val="Heading2"/>
        <w:spacing w:before="0" w:line="276" w:lineRule="auto"/>
        <w:jc w:val="both"/>
        <w:rPr>
          <w:rFonts w:ascii="Times New Roman" w:hAnsi="Times New Roman"/>
          <w:b/>
          <w:bCs/>
          <w:smallCaps w:val="0"/>
          <w:sz w:val="20"/>
          <w:szCs w:val="20"/>
        </w:rPr>
      </w:pPr>
      <w:r w:rsidRPr="001212CD">
        <w:rPr>
          <w:rFonts w:ascii="Times New Roman" w:hAnsi="Times New Roman"/>
          <w:b/>
          <w:bCs/>
          <w:smallCaps w:val="0"/>
          <w:sz w:val="20"/>
          <w:szCs w:val="20"/>
        </w:rPr>
        <w:t>Synthesis of transition metal complexes</w:t>
      </w:r>
    </w:p>
    <w:p w14:paraId="7C4BF923" w14:textId="09A1B725" w:rsidR="00CB0A1B" w:rsidRPr="00CB0A1B" w:rsidRDefault="00F51E6D" w:rsidP="00CB0A1B">
      <w:pPr>
        <w:pStyle w:val="Heading2"/>
        <w:spacing w:before="0" w:line="276" w:lineRule="auto"/>
        <w:jc w:val="both"/>
        <w:rPr>
          <w:rFonts w:ascii="Times New Roman" w:hAnsi="Times New Roman"/>
          <w:smallCaps w:val="0"/>
          <w:sz w:val="20"/>
          <w:szCs w:val="20"/>
        </w:rPr>
      </w:pPr>
      <w:r w:rsidRPr="001212CD">
        <w:rPr>
          <w:rFonts w:ascii="Times New Roman" w:hAnsi="Times New Roman"/>
          <w:smallCaps w:val="0"/>
          <w:sz w:val="20"/>
          <w:szCs w:val="20"/>
        </w:rPr>
        <w:t>DPPMe (53.67 mg, 0.20 mmol) was dissolved in chloroform, CHCl</w:t>
      </w:r>
      <w:r w:rsidRPr="001212CD">
        <w:rPr>
          <w:rFonts w:ascii="Times New Roman" w:hAnsi="Times New Roman"/>
          <w:smallCaps w:val="0"/>
          <w:sz w:val="20"/>
          <w:szCs w:val="20"/>
          <w:vertAlign w:val="subscript"/>
        </w:rPr>
        <w:t>3</w:t>
      </w:r>
      <w:r w:rsidRPr="001212CD">
        <w:rPr>
          <w:rFonts w:ascii="Times New Roman" w:hAnsi="Times New Roman"/>
          <w:smallCaps w:val="0"/>
          <w:sz w:val="20"/>
          <w:szCs w:val="20"/>
        </w:rPr>
        <w:t xml:space="preserve"> (5 mL). The appropriate metal salt (0.40 mmol) was dissolved in MeOH (5 mL) separately and was added dropwise into the previous solution. A colored solid precipitated immediately. The solution was continuously stirred for five hours. The precipitate was filtered and washed with methanol followed by </w:t>
      </w:r>
      <w:r w:rsidRPr="001212CD">
        <w:rPr>
          <w:rFonts w:ascii="Times New Roman" w:hAnsi="Times New Roman"/>
          <w:smallCaps w:val="0"/>
          <w:sz w:val="20"/>
          <w:szCs w:val="20"/>
        </w:rPr>
        <w:t>drying in oven. Table 1 shows the mass of metal salts used in each complex.</w:t>
      </w:r>
    </w:p>
    <w:p w14:paraId="6B817DF6" w14:textId="77777777" w:rsidR="00CB0A1B" w:rsidRDefault="00CB0A1B" w:rsidP="00F51E6D">
      <w:pPr>
        <w:spacing w:after="0"/>
        <w:jc w:val="both"/>
        <w:rPr>
          <w:rFonts w:ascii="Times New Roman" w:hAnsi="Times New Roman"/>
          <w:b/>
          <w:bCs/>
          <w:sz w:val="20"/>
          <w:szCs w:val="20"/>
        </w:rPr>
      </w:pPr>
    </w:p>
    <w:p w14:paraId="79C37DDA" w14:textId="6F46002C" w:rsidR="00F51E6D" w:rsidRPr="001212CD" w:rsidRDefault="00F51E6D" w:rsidP="00F51E6D">
      <w:pPr>
        <w:spacing w:after="0"/>
        <w:jc w:val="both"/>
        <w:rPr>
          <w:rFonts w:ascii="Times New Roman" w:hAnsi="Times New Roman"/>
          <w:b/>
          <w:bCs/>
          <w:sz w:val="20"/>
          <w:szCs w:val="20"/>
        </w:rPr>
      </w:pPr>
      <w:r w:rsidRPr="001212CD">
        <w:rPr>
          <w:rFonts w:ascii="Times New Roman" w:hAnsi="Times New Roman"/>
          <w:b/>
          <w:bCs/>
          <w:sz w:val="20"/>
          <w:szCs w:val="20"/>
        </w:rPr>
        <w:t>Characterization</w:t>
      </w:r>
    </w:p>
    <w:p w14:paraId="5BC00AA8" w14:textId="77777777" w:rsidR="00F51E6D" w:rsidRPr="001212CD" w:rsidRDefault="00F51E6D" w:rsidP="00F51E6D">
      <w:pPr>
        <w:spacing w:after="0"/>
        <w:jc w:val="both"/>
        <w:rPr>
          <w:rFonts w:ascii="Times New Roman" w:hAnsi="Times New Roman"/>
          <w:sz w:val="20"/>
          <w:szCs w:val="20"/>
        </w:rPr>
      </w:pPr>
      <w:r w:rsidRPr="001212CD">
        <w:rPr>
          <w:rFonts w:ascii="Times New Roman" w:hAnsi="Times New Roman"/>
          <w:sz w:val="20"/>
          <w:szCs w:val="20"/>
        </w:rPr>
        <w:t xml:space="preserve">The proton nuclear magnetic resonance, </w:t>
      </w:r>
      <w:r w:rsidRPr="001212CD">
        <w:rPr>
          <w:rFonts w:ascii="Times New Roman" w:hAnsi="Times New Roman"/>
          <w:sz w:val="20"/>
          <w:szCs w:val="20"/>
          <w:vertAlign w:val="superscript"/>
        </w:rPr>
        <w:t>1</w:t>
      </w:r>
      <w:r w:rsidRPr="001212CD">
        <w:rPr>
          <w:rFonts w:ascii="Times New Roman" w:hAnsi="Times New Roman"/>
          <w:sz w:val="20"/>
          <w:szCs w:val="20"/>
        </w:rPr>
        <w:t>H-NMR for the ligand was measured by using the Bruker Advance 400. Deuterated chloroform, CDCl</w:t>
      </w:r>
      <w:r w:rsidRPr="001212CD">
        <w:rPr>
          <w:rFonts w:ascii="Times New Roman" w:hAnsi="Times New Roman"/>
          <w:sz w:val="20"/>
          <w:szCs w:val="20"/>
          <w:vertAlign w:val="subscript"/>
        </w:rPr>
        <w:t>3</w:t>
      </w:r>
      <w:r w:rsidRPr="001212CD">
        <w:rPr>
          <w:rFonts w:ascii="Times New Roman" w:hAnsi="Times New Roman"/>
          <w:sz w:val="20"/>
          <w:szCs w:val="20"/>
        </w:rPr>
        <w:t xml:space="preserve"> was used as the solvent. Infrared spectra were obtained using attenuated total reflection (ATR) with model Perkin-Elmer 400 FT in the range of 4000-400 cm</w:t>
      </w:r>
      <w:r w:rsidRPr="001212CD">
        <w:rPr>
          <w:rFonts w:ascii="Times New Roman" w:hAnsi="Times New Roman"/>
          <w:sz w:val="20"/>
          <w:szCs w:val="20"/>
          <w:vertAlign w:val="superscript"/>
        </w:rPr>
        <w:t>-1</w:t>
      </w:r>
      <w:r w:rsidRPr="001212CD">
        <w:rPr>
          <w:rFonts w:ascii="Times New Roman" w:hAnsi="Times New Roman"/>
          <w:sz w:val="20"/>
          <w:szCs w:val="20"/>
        </w:rPr>
        <w:t>. Carbon, Hydrogen and Nitrogen (CHN) analyzer of model TrueSpec Micro was used to analyze the ligand and metal complexes to determine respective elemental composition. Energy dispersive X-ray spectrometry was performed using INCAEnergy200 to determine the presence and distribution of the transition metal atoms in the metal complexes.</w:t>
      </w:r>
    </w:p>
    <w:p w14:paraId="7165AF9C" w14:textId="77777777" w:rsidR="00F51E6D" w:rsidRPr="001212CD" w:rsidRDefault="00F51E6D" w:rsidP="00F51E6D">
      <w:pPr>
        <w:spacing w:after="0"/>
        <w:jc w:val="both"/>
        <w:rPr>
          <w:rFonts w:ascii="Times New Roman" w:hAnsi="Times New Roman"/>
          <w:sz w:val="20"/>
          <w:szCs w:val="20"/>
        </w:rPr>
      </w:pPr>
    </w:p>
    <w:p w14:paraId="650EF90B" w14:textId="77777777" w:rsidR="00F51E6D" w:rsidRPr="001212CD" w:rsidRDefault="00F51E6D" w:rsidP="00F51E6D">
      <w:pPr>
        <w:spacing w:after="0"/>
        <w:jc w:val="both"/>
        <w:rPr>
          <w:rFonts w:ascii="Times New Roman" w:hAnsi="Times New Roman"/>
          <w:b/>
          <w:bCs/>
          <w:sz w:val="20"/>
          <w:szCs w:val="20"/>
        </w:rPr>
      </w:pPr>
      <w:r w:rsidRPr="001212CD">
        <w:rPr>
          <w:rFonts w:ascii="Times New Roman" w:hAnsi="Times New Roman"/>
          <w:b/>
          <w:bCs/>
          <w:sz w:val="20"/>
          <w:szCs w:val="20"/>
        </w:rPr>
        <w:t>Solubility test</w:t>
      </w:r>
    </w:p>
    <w:p w14:paraId="0A750120" w14:textId="77777777" w:rsidR="00F51E6D" w:rsidRPr="001212CD" w:rsidRDefault="00F51E6D" w:rsidP="00F51E6D">
      <w:pPr>
        <w:spacing w:after="0"/>
        <w:jc w:val="both"/>
        <w:outlineLvl w:val="0"/>
        <w:rPr>
          <w:rFonts w:ascii="Times New Roman" w:hAnsi="Times New Roman"/>
          <w:bCs/>
          <w:sz w:val="20"/>
          <w:szCs w:val="20"/>
        </w:rPr>
      </w:pPr>
      <w:r w:rsidRPr="001212CD">
        <w:rPr>
          <w:rFonts w:ascii="Times New Roman" w:hAnsi="Times New Roman"/>
          <w:bCs/>
          <w:sz w:val="20"/>
          <w:szCs w:val="20"/>
        </w:rPr>
        <w:t xml:space="preserve">Solubility test was done on each of the synthesized metal complexes. Approximately 5 mg of the complex was measured and put into the test tubes containing various solvents such as chloroform, dimethyl sulfoxide, acetonitrile, ethanol, methanol, dimethyl formamide and tetrahydrofuran. The solubility of the complexes in each of the solvent was observed. The same procedure was repeated for the DPPMe ligand. </w:t>
      </w:r>
    </w:p>
    <w:p w14:paraId="45B8F234" w14:textId="77777777" w:rsidR="00F51E6D" w:rsidRPr="001212CD" w:rsidRDefault="00F51E6D" w:rsidP="00F51E6D">
      <w:pPr>
        <w:spacing w:after="0"/>
        <w:jc w:val="both"/>
        <w:outlineLvl w:val="0"/>
        <w:rPr>
          <w:rFonts w:ascii="Times New Roman" w:hAnsi="Times New Roman"/>
          <w:b/>
          <w:sz w:val="20"/>
          <w:szCs w:val="20"/>
        </w:rPr>
      </w:pPr>
    </w:p>
    <w:p w14:paraId="63309CF7" w14:textId="77777777" w:rsidR="00F51E6D" w:rsidRPr="001212CD" w:rsidRDefault="00F51E6D" w:rsidP="00F51E6D">
      <w:pPr>
        <w:spacing w:after="0"/>
        <w:jc w:val="both"/>
        <w:outlineLvl w:val="0"/>
        <w:rPr>
          <w:rFonts w:ascii="Times New Roman" w:hAnsi="Times New Roman"/>
          <w:b/>
          <w:sz w:val="20"/>
          <w:szCs w:val="20"/>
        </w:rPr>
      </w:pPr>
      <w:r w:rsidRPr="001212CD">
        <w:rPr>
          <w:rFonts w:ascii="Times New Roman" w:hAnsi="Times New Roman"/>
          <w:b/>
          <w:sz w:val="20"/>
          <w:szCs w:val="20"/>
        </w:rPr>
        <w:t>Electrochemical study</w:t>
      </w:r>
    </w:p>
    <w:p w14:paraId="5B029508" w14:textId="77777777" w:rsidR="00F51E6D" w:rsidRDefault="00F51E6D" w:rsidP="00F51E6D">
      <w:pPr>
        <w:spacing w:after="0"/>
        <w:jc w:val="both"/>
        <w:rPr>
          <w:rFonts w:ascii="Times New Roman" w:hAnsi="Times New Roman"/>
          <w:bCs/>
          <w:sz w:val="20"/>
          <w:szCs w:val="20"/>
        </w:rPr>
      </w:pPr>
      <w:r w:rsidRPr="001212CD">
        <w:rPr>
          <w:rFonts w:ascii="Times New Roman" w:hAnsi="Times New Roman"/>
          <w:bCs/>
          <w:sz w:val="20"/>
          <w:szCs w:val="20"/>
        </w:rPr>
        <w:t>The electrochemical measurements were performed using potentiostat (AUTOLAB/PGSTAT 302N) which was run by Analysis of Variance software (ANOVA) installed in the computer. Ag/AgCl, platinum rod, and glassy carbon were used in the setup. Prior to the measurement, the metal complex solution was drop-casted on the glassy carbon electrode and left to dry overnight. A thin film of the metal complex was formed on the electrode. All the measurements were performed at room temperature in the potential range from -1.2 V to +1.6 V vs. Ag/AgCl with a scan rate from 10-100 mV s</w:t>
      </w:r>
      <w:r w:rsidRPr="001212CD">
        <w:rPr>
          <w:rFonts w:ascii="Times New Roman" w:hAnsi="Times New Roman"/>
          <w:bCs/>
          <w:sz w:val="20"/>
          <w:szCs w:val="20"/>
          <w:vertAlign w:val="superscript"/>
        </w:rPr>
        <w:t>-1</w:t>
      </w:r>
      <w:r w:rsidRPr="001212CD">
        <w:rPr>
          <w:rFonts w:ascii="Times New Roman" w:hAnsi="Times New Roman"/>
          <w:bCs/>
          <w:sz w:val="20"/>
          <w:szCs w:val="20"/>
        </w:rPr>
        <w:t xml:space="preserve"> and 0.10 M tetrabutylammonium perchlorate [Bu</w:t>
      </w:r>
      <w:r w:rsidRPr="001212CD">
        <w:rPr>
          <w:rFonts w:ascii="Times New Roman" w:hAnsi="Times New Roman"/>
          <w:bCs/>
          <w:sz w:val="20"/>
          <w:szCs w:val="20"/>
          <w:vertAlign w:val="subscript"/>
        </w:rPr>
        <w:t>4</w:t>
      </w:r>
      <w:r w:rsidRPr="001212CD">
        <w:rPr>
          <w:rFonts w:ascii="Times New Roman" w:hAnsi="Times New Roman"/>
          <w:bCs/>
          <w:sz w:val="20"/>
          <w:szCs w:val="20"/>
        </w:rPr>
        <w:t>N(ClO</w:t>
      </w:r>
      <w:r w:rsidRPr="001212CD">
        <w:rPr>
          <w:rFonts w:ascii="Times New Roman" w:hAnsi="Times New Roman"/>
          <w:bCs/>
          <w:sz w:val="20"/>
          <w:szCs w:val="20"/>
          <w:vertAlign w:val="subscript"/>
        </w:rPr>
        <w:t>4</w:t>
      </w:r>
      <w:r w:rsidRPr="001212CD">
        <w:rPr>
          <w:rFonts w:ascii="Times New Roman" w:hAnsi="Times New Roman"/>
          <w:bCs/>
          <w:sz w:val="20"/>
          <w:szCs w:val="20"/>
        </w:rPr>
        <w:t>)] was used as supporting electrolyte in dimethylformamide.</w:t>
      </w:r>
    </w:p>
    <w:p w14:paraId="1066A3C8" w14:textId="77777777" w:rsidR="00F51E6D" w:rsidRDefault="00F51E6D" w:rsidP="001212CD">
      <w:pPr>
        <w:spacing w:after="0"/>
        <w:jc w:val="both"/>
        <w:outlineLvl w:val="0"/>
        <w:rPr>
          <w:rFonts w:ascii="Times New Roman" w:hAnsi="Times New Roman"/>
          <w:b/>
          <w:sz w:val="20"/>
          <w:szCs w:val="20"/>
        </w:rPr>
      </w:pPr>
    </w:p>
    <w:p w14:paraId="537389EC" w14:textId="0D1C43ED" w:rsidR="00F51E6D" w:rsidRDefault="00F51E6D" w:rsidP="001212CD">
      <w:pPr>
        <w:spacing w:after="0"/>
        <w:jc w:val="both"/>
        <w:outlineLvl w:val="0"/>
        <w:rPr>
          <w:rFonts w:ascii="Times New Roman" w:hAnsi="Times New Roman"/>
          <w:b/>
          <w:sz w:val="20"/>
          <w:szCs w:val="20"/>
        </w:rPr>
        <w:sectPr w:rsidR="00F51E6D" w:rsidSect="00F51E6D">
          <w:footerReference w:type="even" r:id="rId13"/>
          <w:type w:val="continuous"/>
          <w:pgSz w:w="12240" w:h="15840" w:code="1"/>
          <w:pgMar w:top="1800" w:right="1469" w:bottom="1699" w:left="1440" w:header="706" w:footer="706" w:gutter="0"/>
          <w:pgNumType w:start="0"/>
          <w:cols w:num="2" w:space="403"/>
          <w:docGrid w:linePitch="360"/>
        </w:sectPr>
      </w:pPr>
    </w:p>
    <w:p w14:paraId="6171F37B" w14:textId="0177292E" w:rsidR="001212CD" w:rsidRDefault="001212CD" w:rsidP="001212CD">
      <w:pPr>
        <w:spacing w:after="0"/>
        <w:jc w:val="both"/>
        <w:outlineLvl w:val="0"/>
        <w:rPr>
          <w:rFonts w:ascii="Times New Roman" w:hAnsi="Times New Roman"/>
          <w:b/>
          <w:sz w:val="20"/>
          <w:szCs w:val="20"/>
        </w:rPr>
      </w:pPr>
    </w:p>
    <w:p w14:paraId="215586F7" w14:textId="77777777" w:rsidR="001212CD" w:rsidRPr="001212CD" w:rsidRDefault="001212CD" w:rsidP="001212CD">
      <w:pPr>
        <w:spacing w:after="0"/>
        <w:jc w:val="both"/>
        <w:outlineLvl w:val="0"/>
        <w:rPr>
          <w:rFonts w:ascii="Times New Roman" w:hAnsi="Times New Roman"/>
          <w:b/>
          <w:sz w:val="20"/>
          <w:szCs w:val="20"/>
        </w:rPr>
      </w:pPr>
    </w:p>
    <w:p w14:paraId="6B968DD6" w14:textId="77777777" w:rsidR="001212CD" w:rsidRPr="001212CD" w:rsidRDefault="001212CD" w:rsidP="001212CD">
      <w:pPr>
        <w:spacing w:after="120"/>
        <w:jc w:val="center"/>
        <w:outlineLvl w:val="0"/>
        <w:rPr>
          <w:rFonts w:ascii="Times New Roman" w:hAnsi="Times New Roman"/>
          <w:b/>
          <w:sz w:val="20"/>
          <w:szCs w:val="20"/>
        </w:rPr>
      </w:pPr>
      <w:r w:rsidRPr="001212CD">
        <w:rPr>
          <w:rFonts w:ascii="Times New Roman" w:hAnsi="Times New Roman"/>
          <w:noProof/>
          <w:sz w:val="20"/>
          <w:szCs w:val="20"/>
          <w:lang w:val="en-MY" w:eastAsia="en-MY"/>
        </w:rPr>
        <w:lastRenderedPageBreak/>
        <w:drawing>
          <wp:inline distT="0" distB="0" distL="0" distR="0" wp14:anchorId="1301EC18" wp14:editId="4BCB0439">
            <wp:extent cx="4276725" cy="2767965"/>
            <wp:effectExtent l="0" t="0" r="0" b="0"/>
            <wp:docPr id="13" name="Picture 13" descr="C:\Users\Shankary\Desktop\MSc Thesis\Reaction scheme.tif"/>
            <wp:cNvGraphicFramePr/>
            <a:graphic xmlns:a="http://schemas.openxmlformats.org/drawingml/2006/main">
              <a:graphicData uri="http://schemas.openxmlformats.org/drawingml/2006/picture">
                <pic:pic xmlns:pic="http://schemas.openxmlformats.org/drawingml/2006/picture">
                  <pic:nvPicPr>
                    <pic:cNvPr id="13" name="Picture 13" descr="C:\Users\Shankary\Desktop\MSc Thesis\Reaction scheme.t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6725" cy="2767965"/>
                    </a:xfrm>
                    <a:prstGeom prst="rect">
                      <a:avLst/>
                    </a:prstGeom>
                    <a:noFill/>
                    <a:ln>
                      <a:noFill/>
                    </a:ln>
                  </pic:spPr>
                </pic:pic>
              </a:graphicData>
            </a:graphic>
          </wp:inline>
        </w:drawing>
      </w:r>
    </w:p>
    <w:p w14:paraId="09CC2C4D" w14:textId="29C14222" w:rsidR="001212CD" w:rsidRPr="001212CD" w:rsidRDefault="001212CD" w:rsidP="001212CD">
      <w:pPr>
        <w:spacing w:after="0"/>
        <w:jc w:val="center"/>
        <w:outlineLvl w:val="0"/>
        <w:rPr>
          <w:rFonts w:ascii="Times New Roman" w:hAnsi="Times New Roman"/>
          <w:bCs/>
          <w:sz w:val="20"/>
          <w:szCs w:val="20"/>
        </w:rPr>
      </w:pPr>
      <w:r w:rsidRPr="001212CD">
        <w:rPr>
          <w:rFonts w:ascii="Times New Roman" w:hAnsi="Times New Roman"/>
          <w:bCs/>
          <w:sz w:val="20"/>
          <w:szCs w:val="20"/>
        </w:rPr>
        <w:t xml:space="preserve">Figure 1. </w:t>
      </w:r>
      <w:r>
        <w:rPr>
          <w:rFonts w:ascii="Times New Roman" w:hAnsi="Times New Roman"/>
          <w:bCs/>
          <w:sz w:val="20"/>
          <w:szCs w:val="20"/>
        </w:rPr>
        <w:t xml:space="preserve"> </w:t>
      </w:r>
      <w:r w:rsidRPr="001212CD">
        <w:rPr>
          <w:rFonts w:ascii="Times New Roman" w:hAnsi="Times New Roman"/>
          <w:bCs/>
          <w:sz w:val="20"/>
          <w:szCs w:val="20"/>
        </w:rPr>
        <w:t>Reaction scheme for synthesis of DPPMe ligand</w:t>
      </w:r>
    </w:p>
    <w:p w14:paraId="78CC4CA0" w14:textId="77777777" w:rsidR="001212CD" w:rsidRPr="001212CD" w:rsidRDefault="001212CD" w:rsidP="001212CD">
      <w:pPr>
        <w:spacing w:after="0"/>
        <w:jc w:val="both"/>
        <w:outlineLvl w:val="0"/>
        <w:rPr>
          <w:rFonts w:ascii="Times New Roman" w:hAnsi="Times New Roman"/>
          <w:bCs/>
          <w:sz w:val="20"/>
          <w:szCs w:val="20"/>
        </w:rPr>
      </w:pPr>
    </w:p>
    <w:p w14:paraId="50A4A157" w14:textId="77777777" w:rsidR="001212CD" w:rsidRPr="001212CD" w:rsidRDefault="001212CD" w:rsidP="001212CD">
      <w:pPr>
        <w:spacing w:after="0"/>
        <w:jc w:val="both"/>
        <w:outlineLvl w:val="0"/>
        <w:rPr>
          <w:rFonts w:ascii="Times New Roman" w:hAnsi="Times New Roman"/>
          <w:bCs/>
          <w:sz w:val="20"/>
          <w:szCs w:val="20"/>
        </w:rPr>
      </w:pPr>
    </w:p>
    <w:p w14:paraId="56CE7353" w14:textId="77777777" w:rsidR="001212CD" w:rsidRPr="001212CD" w:rsidRDefault="001212CD" w:rsidP="001212CD">
      <w:pPr>
        <w:spacing w:after="120"/>
        <w:jc w:val="center"/>
        <w:outlineLvl w:val="0"/>
        <w:rPr>
          <w:rFonts w:ascii="Times New Roman" w:hAnsi="Times New Roman"/>
          <w:bCs/>
          <w:sz w:val="20"/>
          <w:szCs w:val="20"/>
        </w:rPr>
      </w:pPr>
      <w:r w:rsidRPr="001212CD">
        <w:rPr>
          <w:rFonts w:ascii="Times New Roman" w:hAnsi="Times New Roman"/>
          <w:noProof/>
          <w:sz w:val="20"/>
          <w:szCs w:val="20"/>
          <w:lang w:val="en-MY" w:eastAsia="en-MY"/>
        </w:rPr>
        <w:drawing>
          <wp:inline distT="0" distB="0" distL="0" distR="0" wp14:anchorId="466DDEB1" wp14:editId="0004F9EE">
            <wp:extent cx="4280289" cy="936625"/>
            <wp:effectExtent l="0" t="0" r="6350" b="0"/>
            <wp:docPr id="14" name="Picture 14" descr="C:\Users\Shankary\Desktop\MSc Thesis\Figures\reaction route.tif"/>
            <wp:cNvGraphicFramePr/>
            <a:graphic xmlns:a="http://schemas.openxmlformats.org/drawingml/2006/main">
              <a:graphicData uri="http://schemas.openxmlformats.org/drawingml/2006/picture">
                <pic:pic xmlns:pic="http://schemas.openxmlformats.org/drawingml/2006/picture">
                  <pic:nvPicPr>
                    <pic:cNvPr id="14" name="Picture 14" descr="C:\Users\Shankary\Desktop\MSc Thesis\Figures\reaction route.t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4614" cy="939760"/>
                    </a:xfrm>
                    <a:prstGeom prst="rect">
                      <a:avLst/>
                    </a:prstGeom>
                    <a:noFill/>
                    <a:ln>
                      <a:noFill/>
                    </a:ln>
                  </pic:spPr>
                </pic:pic>
              </a:graphicData>
            </a:graphic>
          </wp:inline>
        </w:drawing>
      </w:r>
    </w:p>
    <w:p w14:paraId="492B267F" w14:textId="1481ABC1" w:rsidR="001212CD" w:rsidRPr="001212CD" w:rsidRDefault="001212CD" w:rsidP="001212CD">
      <w:pPr>
        <w:spacing w:after="0"/>
        <w:jc w:val="center"/>
        <w:outlineLvl w:val="0"/>
        <w:rPr>
          <w:rFonts w:ascii="Times New Roman" w:hAnsi="Times New Roman"/>
          <w:bCs/>
          <w:sz w:val="20"/>
          <w:szCs w:val="20"/>
        </w:rPr>
      </w:pPr>
      <w:r w:rsidRPr="001212CD">
        <w:rPr>
          <w:rFonts w:ascii="Times New Roman" w:hAnsi="Times New Roman"/>
          <w:bCs/>
          <w:sz w:val="20"/>
          <w:szCs w:val="20"/>
        </w:rPr>
        <w:t xml:space="preserve">Figure 2. </w:t>
      </w:r>
      <w:r>
        <w:rPr>
          <w:rFonts w:ascii="Times New Roman" w:hAnsi="Times New Roman"/>
          <w:bCs/>
          <w:sz w:val="20"/>
          <w:szCs w:val="20"/>
        </w:rPr>
        <w:t xml:space="preserve"> </w:t>
      </w:r>
      <w:r w:rsidRPr="001212CD">
        <w:rPr>
          <w:rFonts w:ascii="Times New Roman" w:hAnsi="Times New Roman"/>
          <w:bCs/>
          <w:sz w:val="20"/>
          <w:szCs w:val="20"/>
        </w:rPr>
        <w:t>Synthetic route of DPPMe ligand</w:t>
      </w:r>
    </w:p>
    <w:p w14:paraId="2E9BFA5B" w14:textId="29D6CC92" w:rsidR="001212CD" w:rsidRDefault="001212CD" w:rsidP="001212CD">
      <w:pPr>
        <w:spacing w:after="0"/>
        <w:jc w:val="both"/>
        <w:rPr>
          <w:rFonts w:ascii="Times New Roman" w:hAnsi="Times New Roman"/>
          <w:sz w:val="20"/>
          <w:szCs w:val="20"/>
        </w:rPr>
      </w:pPr>
    </w:p>
    <w:p w14:paraId="3072D06F" w14:textId="77777777" w:rsidR="00F46191" w:rsidRPr="001212CD" w:rsidRDefault="00F46191" w:rsidP="001212CD">
      <w:pPr>
        <w:spacing w:after="0"/>
        <w:jc w:val="both"/>
        <w:rPr>
          <w:rFonts w:ascii="Times New Roman" w:hAnsi="Times New Roman"/>
          <w:sz w:val="20"/>
          <w:szCs w:val="20"/>
        </w:rPr>
      </w:pPr>
    </w:p>
    <w:p w14:paraId="070F7D62" w14:textId="290BB60C" w:rsidR="001212CD" w:rsidRPr="001212CD" w:rsidRDefault="001212CD" w:rsidP="001212CD">
      <w:pPr>
        <w:spacing w:after="120"/>
        <w:jc w:val="center"/>
        <w:rPr>
          <w:rFonts w:ascii="Times New Roman" w:hAnsi="Times New Roman"/>
          <w:sz w:val="20"/>
          <w:szCs w:val="20"/>
        </w:rPr>
      </w:pPr>
      <w:r w:rsidRPr="001212CD">
        <w:rPr>
          <w:rFonts w:ascii="Times New Roman" w:hAnsi="Times New Roman"/>
          <w:sz w:val="20"/>
          <w:szCs w:val="20"/>
        </w:rPr>
        <w:t xml:space="preserve">Table 1. </w:t>
      </w:r>
      <w:r>
        <w:rPr>
          <w:rFonts w:ascii="Times New Roman" w:hAnsi="Times New Roman"/>
          <w:sz w:val="20"/>
          <w:szCs w:val="20"/>
        </w:rPr>
        <w:t xml:space="preserve"> </w:t>
      </w:r>
      <w:r w:rsidRPr="001212CD">
        <w:rPr>
          <w:rFonts w:ascii="Times New Roman" w:hAnsi="Times New Roman"/>
          <w:sz w:val="20"/>
          <w:szCs w:val="20"/>
        </w:rPr>
        <w:t>Mass of metal salts used</w:t>
      </w:r>
    </w:p>
    <w:tbl>
      <w:tblPr>
        <w:tblStyle w:val="PlainTable2"/>
        <w:tblW w:w="0" w:type="auto"/>
        <w:jc w:val="center"/>
        <w:tblInd w:w="0" w:type="dxa"/>
        <w:tblLook w:val="04A0" w:firstRow="1" w:lastRow="0" w:firstColumn="1" w:lastColumn="0" w:noHBand="0" w:noVBand="1"/>
      </w:tblPr>
      <w:tblGrid>
        <w:gridCol w:w="1290"/>
        <w:gridCol w:w="1111"/>
        <w:gridCol w:w="1211"/>
        <w:gridCol w:w="1228"/>
      </w:tblGrid>
      <w:tr w:rsidR="001212CD" w:rsidRPr="001212CD" w14:paraId="1175FFE7" w14:textId="77777777" w:rsidTr="001212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single" w:sz="4" w:space="0" w:color="auto"/>
              <w:right w:val="nil"/>
            </w:tcBorders>
            <w:hideMark/>
          </w:tcPr>
          <w:p w14:paraId="7849D12B" w14:textId="77777777" w:rsidR="001212CD" w:rsidRPr="001212CD" w:rsidRDefault="001212CD" w:rsidP="001212CD">
            <w:pPr>
              <w:spacing w:before="60" w:after="60"/>
              <w:jc w:val="both"/>
              <w:rPr>
                <w:rFonts w:ascii="Times New Roman" w:hAnsi="Times New Roman" w:cs="Times New Roman"/>
                <w:b w:val="0"/>
                <w:sz w:val="20"/>
                <w:szCs w:val="20"/>
              </w:rPr>
            </w:pPr>
            <w:r w:rsidRPr="001212CD">
              <w:rPr>
                <w:rFonts w:ascii="Times New Roman" w:hAnsi="Times New Roman" w:cs="Times New Roman"/>
                <w:sz w:val="20"/>
                <w:szCs w:val="20"/>
              </w:rPr>
              <w:t>Metal Salt</w:t>
            </w:r>
          </w:p>
        </w:tc>
        <w:tc>
          <w:tcPr>
            <w:tcW w:w="0" w:type="auto"/>
            <w:tcBorders>
              <w:top w:val="single" w:sz="4" w:space="0" w:color="auto"/>
              <w:left w:val="nil"/>
              <w:bottom w:val="single" w:sz="4" w:space="0" w:color="auto"/>
              <w:right w:val="nil"/>
            </w:tcBorders>
            <w:hideMark/>
          </w:tcPr>
          <w:p w14:paraId="42EA6425" w14:textId="77777777" w:rsidR="001212CD" w:rsidRPr="001212CD" w:rsidRDefault="001212CD" w:rsidP="001212CD">
            <w:pPr>
              <w:spacing w:before="60"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212CD">
              <w:rPr>
                <w:rFonts w:ascii="Times New Roman" w:hAnsi="Times New Roman" w:cs="Times New Roman"/>
                <w:sz w:val="20"/>
                <w:szCs w:val="20"/>
              </w:rPr>
              <w:t>Mass (mg)</w:t>
            </w:r>
          </w:p>
        </w:tc>
        <w:tc>
          <w:tcPr>
            <w:tcW w:w="0" w:type="auto"/>
            <w:tcBorders>
              <w:top w:val="single" w:sz="4" w:space="0" w:color="auto"/>
              <w:left w:val="nil"/>
              <w:bottom w:val="single" w:sz="4" w:space="0" w:color="auto"/>
              <w:right w:val="nil"/>
            </w:tcBorders>
            <w:hideMark/>
          </w:tcPr>
          <w:p w14:paraId="3510AD4B" w14:textId="77777777" w:rsidR="001212CD" w:rsidRPr="001212CD" w:rsidRDefault="001212CD" w:rsidP="001212CD">
            <w:pPr>
              <w:spacing w:before="60"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Yield Color</w:t>
            </w:r>
          </w:p>
        </w:tc>
        <w:tc>
          <w:tcPr>
            <w:tcW w:w="0" w:type="auto"/>
            <w:tcBorders>
              <w:top w:val="single" w:sz="4" w:space="0" w:color="auto"/>
              <w:left w:val="nil"/>
              <w:bottom w:val="single" w:sz="4" w:space="0" w:color="auto"/>
              <w:right w:val="nil"/>
            </w:tcBorders>
            <w:hideMark/>
          </w:tcPr>
          <w:p w14:paraId="5BD4E585" w14:textId="77777777" w:rsidR="001212CD" w:rsidRPr="001212CD" w:rsidRDefault="001212CD" w:rsidP="001212CD">
            <w:pPr>
              <w:spacing w:before="60" w:after="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Designation</w:t>
            </w:r>
          </w:p>
        </w:tc>
      </w:tr>
      <w:tr w:rsidR="001212CD" w:rsidRPr="001212CD" w14:paraId="0DF6EE82" w14:textId="77777777" w:rsidTr="00121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hideMark/>
          </w:tcPr>
          <w:p w14:paraId="76E6F990" w14:textId="77777777" w:rsidR="001212CD" w:rsidRPr="001212CD" w:rsidRDefault="001212CD" w:rsidP="001212CD">
            <w:pPr>
              <w:spacing w:before="60" w:after="0"/>
              <w:jc w:val="both"/>
              <w:rPr>
                <w:rFonts w:ascii="Times New Roman" w:hAnsi="Times New Roman" w:cs="Times New Roman"/>
                <w:b w:val="0"/>
                <w:bCs w:val="0"/>
                <w:sz w:val="20"/>
                <w:szCs w:val="20"/>
              </w:rPr>
            </w:pPr>
            <w:r w:rsidRPr="001212CD">
              <w:rPr>
                <w:rFonts w:ascii="Times New Roman" w:hAnsi="Times New Roman" w:cs="Times New Roman"/>
                <w:b w:val="0"/>
                <w:bCs w:val="0"/>
                <w:sz w:val="20"/>
                <w:szCs w:val="20"/>
              </w:rPr>
              <w:t>CuCl</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vertAlign w:val="superscript"/>
              </w:rPr>
              <w:t>.</w:t>
            </w:r>
            <w:r w:rsidRPr="001212CD">
              <w:rPr>
                <w:rFonts w:ascii="Times New Roman" w:hAnsi="Times New Roman" w:cs="Times New Roman"/>
                <w:b w:val="0"/>
                <w:bCs w:val="0"/>
                <w:sz w:val="20"/>
                <w:szCs w:val="20"/>
              </w:rPr>
              <w:t>2H</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rPr>
              <w:t>O</w:t>
            </w:r>
          </w:p>
        </w:tc>
        <w:tc>
          <w:tcPr>
            <w:tcW w:w="0" w:type="auto"/>
            <w:tcBorders>
              <w:top w:val="single" w:sz="4" w:space="0" w:color="auto"/>
              <w:left w:val="nil"/>
              <w:bottom w:val="nil"/>
              <w:right w:val="nil"/>
            </w:tcBorders>
            <w:hideMark/>
          </w:tcPr>
          <w:p w14:paraId="1600EF71"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34.10</w:t>
            </w:r>
          </w:p>
        </w:tc>
        <w:tc>
          <w:tcPr>
            <w:tcW w:w="0" w:type="auto"/>
            <w:tcBorders>
              <w:top w:val="single" w:sz="4" w:space="0" w:color="auto"/>
              <w:left w:val="nil"/>
              <w:bottom w:val="nil"/>
              <w:right w:val="nil"/>
            </w:tcBorders>
            <w:hideMark/>
          </w:tcPr>
          <w:p w14:paraId="3CEE8BB5"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 xml:space="preserve">Pale green </w:t>
            </w:r>
          </w:p>
        </w:tc>
        <w:tc>
          <w:tcPr>
            <w:tcW w:w="0" w:type="auto"/>
            <w:tcBorders>
              <w:top w:val="single" w:sz="4" w:space="0" w:color="auto"/>
              <w:left w:val="nil"/>
              <w:bottom w:val="nil"/>
              <w:right w:val="nil"/>
            </w:tcBorders>
            <w:hideMark/>
          </w:tcPr>
          <w:p w14:paraId="26726770"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Complex 1</w:t>
            </w:r>
          </w:p>
        </w:tc>
      </w:tr>
      <w:tr w:rsidR="001212CD" w:rsidRPr="001212CD" w14:paraId="1C646BB9" w14:textId="77777777" w:rsidTr="004F108E">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528BB41" w14:textId="77777777" w:rsidR="001212CD" w:rsidRPr="001212CD" w:rsidRDefault="001212CD" w:rsidP="001212CD">
            <w:pPr>
              <w:spacing w:before="60" w:after="0"/>
              <w:jc w:val="both"/>
              <w:rPr>
                <w:rFonts w:ascii="Times New Roman" w:hAnsi="Times New Roman" w:cs="Times New Roman"/>
                <w:b w:val="0"/>
                <w:bCs w:val="0"/>
                <w:sz w:val="20"/>
                <w:szCs w:val="20"/>
              </w:rPr>
            </w:pPr>
            <w:r w:rsidRPr="001212CD">
              <w:rPr>
                <w:rFonts w:ascii="Times New Roman" w:hAnsi="Times New Roman" w:cs="Times New Roman"/>
                <w:b w:val="0"/>
                <w:bCs w:val="0"/>
                <w:sz w:val="20"/>
                <w:szCs w:val="20"/>
              </w:rPr>
              <w:t>FeCl</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vertAlign w:val="superscript"/>
              </w:rPr>
              <w:t>.</w:t>
            </w:r>
            <w:r w:rsidRPr="001212CD">
              <w:rPr>
                <w:rFonts w:ascii="Times New Roman" w:hAnsi="Times New Roman" w:cs="Times New Roman"/>
                <w:b w:val="0"/>
                <w:bCs w:val="0"/>
                <w:sz w:val="20"/>
                <w:szCs w:val="20"/>
              </w:rPr>
              <w:t>4H</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rPr>
              <w:t>O</w:t>
            </w:r>
          </w:p>
        </w:tc>
        <w:tc>
          <w:tcPr>
            <w:tcW w:w="0" w:type="auto"/>
            <w:tcBorders>
              <w:top w:val="nil"/>
              <w:left w:val="nil"/>
              <w:bottom w:val="nil"/>
              <w:right w:val="nil"/>
            </w:tcBorders>
            <w:hideMark/>
          </w:tcPr>
          <w:p w14:paraId="16A49823" w14:textId="77777777" w:rsidR="001212CD" w:rsidRPr="001212CD" w:rsidRDefault="001212CD" w:rsidP="001212CD">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39.76</w:t>
            </w:r>
          </w:p>
        </w:tc>
        <w:tc>
          <w:tcPr>
            <w:tcW w:w="0" w:type="auto"/>
            <w:tcBorders>
              <w:top w:val="nil"/>
              <w:left w:val="nil"/>
              <w:bottom w:val="nil"/>
              <w:right w:val="nil"/>
            </w:tcBorders>
            <w:hideMark/>
          </w:tcPr>
          <w:p w14:paraId="436D434B" w14:textId="77777777" w:rsidR="001212CD" w:rsidRPr="001212CD" w:rsidRDefault="001212CD" w:rsidP="001212CD">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Dark red</w:t>
            </w:r>
          </w:p>
        </w:tc>
        <w:tc>
          <w:tcPr>
            <w:tcW w:w="0" w:type="auto"/>
            <w:tcBorders>
              <w:top w:val="nil"/>
              <w:left w:val="nil"/>
              <w:bottom w:val="nil"/>
              <w:right w:val="nil"/>
            </w:tcBorders>
            <w:hideMark/>
          </w:tcPr>
          <w:p w14:paraId="51BB6026" w14:textId="77777777" w:rsidR="001212CD" w:rsidRPr="001212CD" w:rsidRDefault="001212CD" w:rsidP="001212CD">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Complex 2</w:t>
            </w:r>
          </w:p>
        </w:tc>
      </w:tr>
      <w:tr w:rsidR="001212CD" w:rsidRPr="001212CD" w14:paraId="3CED0BAA" w14:textId="77777777" w:rsidTr="001212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hideMark/>
          </w:tcPr>
          <w:p w14:paraId="53854A7C" w14:textId="77777777" w:rsidR="001212CD" w:rsidRPr="001212CD" w:rsidRDefault="001212CD" w:rsidP="001212CD">
            <w:pPr>
              <w:spacing w:before="60" w:after="0"/>
              <w:jc w:val="both"/>
              <w:rPr>
                <w:rFonts w:ascii="Times New Roman" w:hAnsi="Times New Roman" w:cs="Times New Roman"/>
                <w:b w:val="0"/>
                <w:bCs w:val="0"/>
                <w:sz w:val="20"/>
                <w:szCs w:val="20"/>
              </w:rPr>
            </w:pPr>
            <w:r w:rsidRPr="001212CD">
              <w:rPr>
                <w:rFonts w:ascii="Times New Roman" w:hAnsi="Times New Roman" w:cs="Times New Roman"/>
                <w:b w:val="0"/>
                <w:bCs w:val="0"/>
                <w:sz w:val="20"/>
                <w:szCs w:val="20"/>
              </w:rPr>
              <w:t>NiCl</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vertAlign w:val="superscript"/>
              </w:rPr>
              <w:t>.</w:t>
            </w:r>
            <w:r w:rsidRPr="001212CD">
              <w:rPr>
                <w:rFonts w:ascii="Times New Roman" w:hAnsi="Times New Roman" w:cs="Times New Roman"/>
                <w:b w:val="0"/>
                <w:bCs w:val="0"/>
                <w:sz w:val="20"/>
                <w:szCs w:val="20"/>
              </w:rPr>
              <w:t>6H</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rPr>
              <w:t>O</w:t>
            </w:r>
          </w:p>
        </w:tc>
        <w:tc>
          <w:tcPr>
            <w:tcW w:w="0" w:type="auto"/>
            <w:tcBorders>
              <w:top w:val="nil"/>
              <w:left w:val="nil"/>
              <w:bottom w:val="nil"/>
              <w:right w:val="nil"/>
            </w:tcBorders>
            <w:hideMark/>
          </w:tcPr>
          <w:p w14:paraId="3B874C51"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47.54</w:t>
            </w:r>
          </w:p>
        </w:tc>
        <w:tc>
          <w:tcPr>
            <w:tcW w:w="0" w:type="auto"/>
            <w:tcBorders>
              <w:top w:val="nil"/>
              <w:left w:val="nil"/>
              <w:bottom w:val="nil"/>
              <w:right w:val="nil"/>
            </w:tcBorders>
            <w:hideMark/>
          </w:tcPr>
          <w:p w14:paraId="50878E06"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Dark green</w:t>
            </w:r>
          </w:p>
        </w:tc>
        <w:tc>
          <w:tcPr>
            <w:tcW w:w="0" w:type="auto"/>
            <w:tcBorders>
              <w:top w:val="nil"/>
              <w:left w:val="nil"/>
              <w:bottom w:val="nil"/>
              <w:right w:val="nil"/>
            </w:tcBorders>
            <w:hideMark/>
          </w:tcPr>
          <w:p w14:paraId="7B606AC5" w14:textId="77777777" w:rsidR="001212CD" w:rsidRPr="001212CD" w:rsidRDefault="001212CD" w:rsidP="001212CD">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Complex 3</w:t>
            </w:r>
          </w:p>
        </w:tc>
      </w:tr>
      <w:tr w:rsidR="001212CD" w:rsidRPr="001212CD" w14:paraId="3B5A14D2" w14:textId="77777777" w:rsidTr="001212CD">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6CE55B96" w14:textId="77777777" w:rsidR="001212CD" w:rsidRPr="001212CD" w:rsidRDefault="001212CD" w:rsidP="001212CD">
            <w:pPr>
              <w:spacing w:before="60" w:after="60"/>
              <w:jc w:val="both"/>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CoNO</w:t>
            </w:r>
            <w:r w:rsidRPr="001212CD">
              <w:rPr>
                <w:rFonts w:ascii="Times New Roman" w:hAnsi="Times New Roman" w:cs="Times New Roman"/>
                <w:b w:val="0"/>
                <w:bCs w:val="0"/>
                <w:sz w:val="20"/>
                <w:szCs w:val="20"/>
                <w:vertAlign w:val="subscript"/>
              </w:rPr>
              <w:t>3</w:t>
            </w:r>
            <w:r w:rsidRPr="001212CD">
              <w:rPr>
                <w:rFonts w:ascii="Times New Roman" w:hAnsi="Times New Roman" w:cs="Times New Roman"/>
                <w:b w:val="0"/>
                <w:bCs w:val="0"/>
                <w:sz w:val="20"/>
                <w:szCs w:val="20"/>
                <w:vertAlign w:val="superscript"/>
              </w:rPr>
              <w:t>.</w:t>
            </w:r>
            <w:r w:rsidRPr="001212CD">
              <w:rPr>
                <w:rFonts w:ascii="Times New Roman" w:hAnsi="Times New Roman" w:cs="Times New Roman"/>
                <w:b w:val="0"/>
                <w:bCs w:val="0"/>
                <w:sz w:val="20"/>
                <w:szCs w:val="20"/>
              </w:rPr>
              <w:t>6H</w:t>
            </w:r>
            <w:r w:rsidRPr="001212CD">
              <w:rPr>
                <w:rFonts w:ascii="Times New Roman" w:hAnsi="Times New Roman" w:cs="Times New Roman"/>
                <w:b w:val="0"/>
                <w:bCs w:val="0"/>
                <w:sz w:val="20"/>
                <w:szCs w:val="20"/>
                <w:vertAlign w:val="subscript"/>
              </w:rPr>
              <w:t>2</w:t>
            </w:r>
            <w:r w:rsidRPr="001212CD">
              <w:rPr>
                <w:rFonts w:ascii="Times New Roman" w:hAnsi="Times New Roman" w:cs="Times New Roman"/>
                <w:b w:val="0"/>
                <w:bCs w:val="0"/>
                <w:sz w:val="20"/>
                <w:szCs w:val="20"/>
              </w:rPr>
              <w:t>O</w:t>
            </w:r>
          </w:p>
        </w:tc>
        <w:tc>
          <w:tcPr>
            <w:tcW w:w="0" w:type="auto"/>
            <w:tcBorders>
              <w:top w:val="nil"/>
              <w:left w:val="nil"/>
              <w:bottom w:val="single" w:sz="4" w:space="0" w:color="auto"/>
              <w:right w:val="nil"/>
            </w:tcBorders>
            <w:hideMark/>
          </w:tcPr>
          <w:p w14:paraId="35F779BC" w14:textId="77777777" w:rsidR="001212CD" w:rsidRPr="001212CD" w:rsidRDefault="001212CD" w:rsidP="001212C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47.59</w:t>
            </w:r>
          </w:p>
        </w:tc>
        <w:tc>
          <w:tcPr>
            <w:tcW w:w="0" w:type="auto"/>
            <w:tcBorders>
              <w:top w:val="nil"/>
              <w:left w:val="nil"/>
              <w:bottom w:val="single" w:sz="4" w:space="0" w:color="auto"/>
              <w:right w:val="nil"/>
            </w:tcBorders>
            <w:hideMark/>
          </w:tcPr>
          <w:p w14:paraId="7205FF08" w14:textId="77777777" w:rsidR="001212CD" w:rsidRPr="001212CD" w:rsidRDefault="001212CD" w:rsidP="001212C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Dark orange</w:t>
            </w:r>
          </w:p>
        </w:tc>
        <w:tc>
          <w:tcPr>
            <w:tcW w:w="0" w:type="auto"/>
            <w:tcBorders>
              <w:top w:val="nil"/>
              <w:left w:val="nil"/>
              <w:bottom w:val="single" w:sz="4" w:space="0" w:color="auto"/>
              <w:right w:val="nil"/>
            </w:tcBorders>
            <w:hideMark/>
          </w:tcPr>
          <w:p w14:paraId="6B15B8A9" w14:textId="77777777" w:rsidR="001212CD" w:rsidRPr="001212CD" w:rsidRDefault="001212CD" w:rsidP="001212CD">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Complex 4</w:t>
            </w:r>
          </w:p>
        </w:tc>
      </w:tr>
    </w:tbl>
    <w:p w14:paraId="33E37619" w14:textId="77777777" w:rsidR="001212CD" w:rsidRPr="001212CD" w:rsidRDefault="001212CD" w:rsidP="001212CD">
      <w:pPr>
        <w:spacing w:after="0"/>
        <w:jc w:val="both"/>
        <w:rPr>
          <w:rFonts w:ascii="Times New Roman" w:hAnsi="Times New Roman"/>
          <w:b/>
          <w:bCs/>
          <w:sz w:val="20"/>
          <w:szCs w:val="20"/>
        </w:rPr>
      </w:pPr>
    </w:p>
    <w:p w14:paraId="1D99A09B" w14:textId="77777777" w:rsidR="001212CD" w:rsidRPr="00510BA6" w:rsidRDefault="001212CD" w:rsidP="001212CD">
      <w:pPr>
        <w:spacing w:after="0"/>
        <w:jc w:val="center"/>
        <w:rPr>
          <w:rFonts w:ascii="Times New Roman" w:hAnsi="Times New Roman"/>
          <w:noProof/>
          <w:sz w:val="20"/>
          <w:szCs w:val="20"/>
          <w:lang w:bidi="ar-SA"/>
        </w:rPr>
      </w:pPr>
    </w:p>
    <w:p w14:paraId="1421145A" w14:textId="77777777" w:rsidR="00F51E6D" w:rsidRDefault="00F51E6D" w:rsidP="00510BA6">
      <w:pPr>
        <w:spacing w:after="0"/>
        <w:jc w:val="center"/>
        <w:rPr>
          <w:rFonts w:ascii="Times New Roman" w:hAnsi="Times New Roman"/>
          <w:b/>
          <w:noProof/>
          <w:sz w:val="20"/>
          <w:szCs w:val="20"/>
          <w:lang w:bidi="ar-SA"/>
        </w:rPr>
        <w:sectPr w:rsidR="00F51E6D" w:rsidSect="00F51E6D">
          <w:footerReference w:type="default" r:id="rId16"/>
          <w:type w:val="continuous"/>
          <w:pgSz w:w="12240" w:h="15840" w:code="1"/>
          <w:pgMar w:top="1800" w:right="1469" w:bottom="1699" w:left="1440" w:header="706" w:footer="706" w:gutter="0"/>
          <w:pgNumType w:start="0"/>
          <w:cols w:space="708"/>
          <w:docGrid w:linePitch="360"/>
        </w:sectPr>
      </w:pPr>
    </w:p>
    <w:p w14:paraId="172DB04A" w14:textId="4CA5EA79"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54772FE2" w14:textId="77777777" w:rsidR="001212CD" w:rsidRPr="001212CD" w:rsidRDefault="001212CD" w:rsidP="001212CD">
      <w:pPr>
        <w:spacing w:after="0"/>
        <w:jc w:val="both"/>
        <w:outlineLvl w:val="0"/>
        <w:rPr>
          <w:rFonts w:ascii="Times New Roman" w:hAnsi="Times New Roman"/>
          <w:b/>
          <w:bCs/>
          <w:sz w:val="20"/>
          <w:szCs w:val="20"/>
        </w:rPr>
      </w:pPr>
      <w:r w:rsidRPr="001212CD">
        <w:rPr>
          <w:rFonts w:ascii="Times New Roman" w:hAnsi="Times New Roman"/>
          <w:b/>
          <w:bCs/>
          <w:sz w:val="20"/>
          <w:szCs w:val="20"/>
          <w:vertAlign w:val="superscript"/>
        </w:rPr>
        <w:t>1</w:t>
      </w:r>
      <w:r w:rsidRPr="001212CD">
        <w:rPr>
          <w:rFonts w:ascii="Times New Roman" w:hAnsi="Times New Roman"/>
          <w:b/>
          <w:bCs/>
          <w:sz w:val="20"/>
          <w:szCs w:val="20"/>
        </w:rPr>
        <w:t>H-NMR spectra of DPPMe ligand</w:t>
      </w:r>
    </w:p>
    <w:p w14:paraId="7B74CBE9" w14:textId="20F7DD9F" w:rsidR="001212CD" w:rsidRDefault="001212CD" w:rsidP="001212CD">
      <w:pPr>
        <w:spacing w:after="0"/>
        <w:jc w:val="both"/>
        <w:outlineLvl w:val="0"/>
        <w:rPr>
          <w:rFonts w:ascii="Times New Roman" w:hAnsi="Times New Roman"/>
          <w:sz w:val="20"/>
          <w:szCs w:val="20"/>
        </w:rPr>
      </w:pPr>
      <w:r w:rsidRPr="001212CD">
        <w:rPr>
          <w:rFonts w:ascii="Times New Roman" w:hAnsi="Times New Roman"/>
          <w:sz w:val="20"/>
          <w:szCs w:val="20"/>
        </w:rPr>
        <w:t xml:space="preserve">The </w:t>
      </w:r>
      <w:r w:rsidRPr="001212CD">
        <w:rPr>
          <w:rFonts w:ascii="Times New Roman" w:hAnsi="Times New Roman"/>
          <w:sz w:val="20"/>
          <w:szCs w:val="20"/>
          <w:vertAlign w:val="superscript"/>
        </w:rPr>
        <w:t>1</w:t>
      </w:r>
      <w:r w:rsidRPr="001212CD">
        <w:rPr>
          <w:rFonts w:ascii="Times New Roman" w:hAnsi="Times New Roman"/>
          <w:sz w:val="20"/>
          <w:szCs w:val="20"/>
        </w:rPr>
        <w:t>H-NMR spectrum of the ligand was analyzed in CDCl</w:t>
      </w:r>
      <w:r w:rsidRPr="001212CD">
        <w:rPr>
          <w:rFonts w:ascii="Times New Roman" w:hAnsi="Times New Roman"/>
          <w:sz w:val="20"/>
          <w:szCs w:val="20"/>
          <w:vertAlign w:val="subscript"/>
        </w:rPr>
        <w:t>3</w:t>
      </w:r>
      <w:r w:rsidRPr="001212CD">
        <w:rPr>
          <w:rFonts w:ascii="Times New Roman" w:hAnsi="Times New Roman"/>
          <w:sz w:val="20"/>
          <w:szCs w:val="20"/>
        </w:rPr>
        <w:t xml:space="preserve"> from δ 0.00 – 12.00 ppm. From the spectrum (Figure 3), it shows that the 3,6-dichloropyridazine has been successfully reacted to 3,5-dimethylpyrazole. The singlet peak attributed to the methyl protons is shifted to </w:t>
      </w:r>
      <w:r w:rsidRPr="001212CD">
        <w:rPr>
          <w:rFonts w:ascii="Times New Roman" w:hAnsi="Times New Roman"/>
          <w:sz w:val="20"/>
          <w:szCs w:val="20"/>
        </w:rPr>
        <w:t xml:space="preserve">the upfield at δ 2.22 ppm (H-1) as they were close to the electrons in the ring structure which creates a deshielding effect from its huge anisotropic field.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&lt;EndNote&gt;&lt;Cite&gt;&lt;Author&gt;Baranac-Stojanović&lt;/Author&gt;&lt;Year&gt;2014&lt;/Year&gt;&lt;RecNum&gt;56&lt;/RecNum&gt;&lt;DisplayText&gt;[7]&lt;/DisplayText&gt;&lt;record&gt;&lt;rec-number&gt;56&lt;/rec-number&gt;&lt;foreign-keys&gt;&lt;key app="EN" db-id="95rrpzvflp5t9fevvxwxa2epefs0xxppsret" timestamp="1596691578"&gt;56&lt;/key&gt;&lt;/foreign-keys&gt;&lt;ref-type name="Journal Article"&gt;17&lt;/ref-type&gt;&lt;contributors&gt;&lt;authors&gt;&lt;author&gt;Baranac-Stojanović, Marija&lt;/author&gt;&lt;/authors&gt;&lt;/contributors&gt;&lt;titles&gt;&lt;title&gt;New insight into the anisotropic effects in solution-state NMR spectroscopy&lt;/title&gt;&lt;secondary-title&gt;RSC Advances&lt;/secondary-title&gt;&lt;/titles&gt;&lt;periodical&gt;&lt;full-title&gt;RSC Advances&lt;/full-title&gt;&lt;/periodical&gt;&lt;pages&gt;308-321&lt;/pages&gt;&lt;volume&gt;4&lt;/volume&gt;&lt;number&gt;1&lt;/number&gt;&lt;dates&gt;&lt;year&gt;2014&lt;/year&gt;&lt;/dates&gt;&lt;publisher&gt;The Royal Society of Chemistry&lt;/publisher&gt;&lt;work-type&gt;10.1039/C3RA45512B&lt;/work-type&gt;&lt;urls&gt;&lt;related-urls&gt;&lt;url&gt;http://dx.doi.org/10.1039/C3RA45512B&lt;/url&gt;&lt;/related-urls&gt;&lt;/urls&gt;&lt;electronic-resource-num&gt;10.1039/C3RA45512B&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[7]</w:t>
      </w:r>
      <w:r w:rsidRPr="001212CD">
        <w:rPr>
          <w:rFonts w:ascii="Times New Roman" w:hAnsi="Times New Roman"/>
          <w:sz w:val="20"/>
          <w:szCs w:val="20"/>
        </w:rPr>
        <w:fldChar w:fldCharType="end"/>
      </w:r>
      <w:r w:rsidRPr="001212CD">
        <w:rPr>
          <w:rFonts w:ascii="Times New Roman" w:hAnsi="Times New Roman"/>
          <w:sz w:val="20"/>
          <w:szCs w:val="20"/>
        </w:rPr>
        <w:t xml:space="preserve">. Furthermore, the protons in the aromatic ring of the pyridazine appeared as doublets and gave two different signals at δ 7.50 ppm (H-4) and δ 8.11 ppm (H-5). The proton in the pyrazole ring gives rise a singlet peak as </w:t>
      </w:r>
      <w:r w:rsidRPr="001212CD">
        <w:rPr>
          <w:rFonts w:ascii="Times New Roman" w:hAnsi="Times New Roman"/>
          <w:sz w:val="20"/>
          <w:szCs w:val="20"/>
        </w:rPr>
        <w:lastRenderedPageBreak/>
        <w:t>there is no neighboring protons to couple with at δ 6.09 ppm (H-3). The assignation of chemical shifts is summarized in Table 2.</w:t>
      </w:r>
    </w:p>
    <w:p w14:paraId="5FFDD063" w14:textId="77777777" w:rsidR="00F51E6D" w:rsidRDefault="00F51E6D" w:rsidP="001212CD">
      <w:pPr>
        <w:spacing w:after="0"/>
        <w:jc w:val="both"/>
        <w:outlineLvl w:val="0"/>
        <w:rPr>
          <w:rFonts w:ascii="Times New Roman" w:hAnsi="Times New Roman"/>
          <w:sz w:val="20"/>
          <w:szCs w:val="20"/>
        </w:rPr>
      </w:pPr>
    </w:p>
    <w:p w14:paraId="05B19533" w14:textId="77777777" w:rsidR="00F51E6D" w:rsidRPr="001212CD" w:rsidRDefault="00F51E6D" w:rsidP="00F51E6D">
      <w:pPr>
        <w:spacing w:after="0"/>
        <w:jc w:val="both"/>
        <w:outlineLvl w:val="0"/>
        <w:rPr>
          <w:rFonts w:ascii="Times New Roman" w:hAnsi="Times New Roman"/>
          <w:b/>
          <w:bCs/>
          <w:sz w:val="20"/>
          <w:szCs w:val="20"/>
        </w:rPr>
      </w:pPr>
      <w:r w:rsidRPr="001212CD">
        <w:rPr>
          <w:rFonts w:ascii="Times New Roman" w:hAnsi="Times New Roman"/>
          <w:b/>
          <w:bCs/>
          <w:sz w:val="20"/>
          <w:szCs w:val="20"/>
        </w:rPr>
        <w:t>IR spectra of DPPMe ligand and the metal complexes</w:t>
      </w:r>
    </w:p>
    <w:p w14:paraId="5D9ECC02" w14:textId="4B8D46EF" w:rsidR="00F51E6D" w:rsidRPr="001212CD" w:rsidRDefault="00F51E6D" w:rsidP="00F51E6D">
      <w:pPr>
        <w:spacing w:after="0"/>
        <w:jc w:val="both"/>
        <w:outlineLvl w:val="0"/>
        <w:rPr>
          <w:rFonts w:ascii="Times New Roman" w:hAnsi="Times New Roman"/>
          <w:sz w:val="20"/>
          <w:szCs w:val="20"/>
        </w:rPr>
      </w:pPr>
      <w:r w:rsidRPr="001212CD">
        <w:rPr>
          <w:rFonts w:ascii="Times New Roman" w:hAnsi="Times New Roman"/>
          <w:bCs/>
          <w:sz w:val="20"/>
          <w:szCs w:val="20"/>
        </w:rPr>
        <w:t xml:space="preserve">IR spectroscopy confirmed the introduction of the 3,5-dimethylpyrazole into the pyridazine molecule at position 3 and 6 was confirmed by the appearance of new peaks in the spectrum. Figure 4 shows the IR spectrum of the ligand with each peak assignment color coordinated to its corresponding functional group. The spectrum exhibited new absorption peak at 2926 </w:t>
      </w:r>
      <w:r w:rsidRPr="001212CD">
        <w:rPr>
          <w:rFonts w:ascii="Times New Roman" w:hAnsi="Times New Roman"/>
          <w:sz w:val="20"/>
          <w:szCs w:val="20"/>
        </w:rPr>
        <w:t>cm</w:t>
      </w:r>
      <w:r w:rsidRPr="001212CD">
        <w:rPr>
          <w:rFonts w:ascii="Times New Roman" w:hAnsi="Times New Roman"/>
          <w:sz w:val="20"/>
          <w:szCs w:val="20"/>
          <w:vertAlign w:val="superscript"/>
        </w:rPr>
        <w:t xml:space="preserve">-1 </w:t>
      </w:r>
      <w:r w:rsidRPr="001212CD">
        <w:rPr>
          <w:rFonts w:ascii="Times New Roman" w:hAnsi="Times New Roman"/>
          <w:sz w:val="20"/>
          <w:szCs w:val="20"/>
        </w:rPr>
        <w:t xml:space="preserve">which is attributed to the methyl group attached to the pyrazole group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&lt;EndNote&gt;&lt;Cite&gt;&lt;Author&gt;Kaddouri&lt;/Author&gt;&lt;Year&gt;2019&lt;/Year&gt;&lt;RecNum&gt;57&lt;/RecNum&gt;&lt;DisplayText&gt;[8]&lt;/DisplayText&gt;&lt;record&gt;&lt;rec-number&gt;57&lt;/rec-number&gt;&lt;foreign-keys&gt;&lt;key app="EN" db-id="95rrpzvflp5t9fevvxwxa2epefs0xxppsret" timestamp="1596692326"&gt;57&lt;/key&gt;&lt;/foreign-keys&gt;&lt;ref-type name="Journal Article"&gt;17&lt;/ref-type&gt;&lt;contributors&gt;&lt;authors&gt;&lt;author&gt;Kaddouri, Y.&lt;/author&gt;&lt;author&gt;Abrigach, F.&lt;/author&gt;&lt;author&gt;Mechbal, N.&lt;/author&gt;&lt;author&gt;Karzazi, Y.&lt;/author&gt;&lt;author&gt;El Kodadi, M.&lt;/author&gt;&lt;author&gt;Aouniti, A.&lt;/author&gt;&lt;author&gt;Touzani, R.&lt;/author&gt;&lt;/authors&gt;&lt;/contributors&gt;&lt;titles&gt;&lt;title&gt;Pyrazole Compounds : Synthesis, molecular structure, chemical reactivity, experimental and theoretical DFT FTIR spectra&lt;/title&gt;&lt;secondary-title&gt;Materials Today: Proceedings&lt;/secondary-title&gt;&lt;/titles&gt;&lt;periodical&gt;&lt;full-title&gt;Materials Today: Proceedings&lt;/full-title&gt;&lt;/periodical&gt;&lt;pages&gt;956-963&lt;/pages&gt;&lt;volume&gt;13&lt;/volume&gt;&lt;keywords&gt;&lt;keyword&gt;Pyrazole&lt;/keyword&gt;&lt;keyword&gt;DFT&lt;/keyword&gt;&lt;keyword&gt;FTIR analysis&lt;/keyword&gt;&lt;keyword&gt;HOMO&lt;/keyword&gt;&lt;keyword&gt;LUMO&lt;/keyword&gt;&lt;/keywords&gt;&lt;dates&gt;&lt;year&gt;2019&lt;/year&gt;&lt;pub-dates&gt;&lt;date&gt;2019/01/01/&lt;/date&gt;&lt;/pub-dates&gt;&lt;/dates&gt;&lt;isbn&gt;2214-7853&lt;/isbn&gt;&lt;urls&gt;&lt;related-urls&gt;&lt;url&gt;http://www.sciencedirect.com/science/article/pii/S2214785319306522&lt;/url&gt;&lt;/related-urls&gt;&lt;/urls&gt;&lt;electronic-resource-num&gt;https://doi.org/10.1016/j.matpr.2019.04.060&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[8]</w:t>
      </w:r>
      <w:r w:rsidRPr="001212CD">
        <w:rPr>
          <w:rFonts w:ascii="Times New Roman" w:hAnsi="Times New Roman"/>
          <w:sz w:val="20"/>
          <w:szCs w:val="20"/>
        </w:rPr>
        <w:fldChar w:fldCharType="end"/>
      </w:r>
      <w:r w:rsidRPr="001212CD">
        <w:rPr>
          <w:rFonts w:ascii="Times New Roman" w:hAnsi="Times New Roman"/>
          <w:sz w:val="20"/>
          <w:szCs w:val="20"/>
        </w:rPr>
        <w:t>. The absorption peaks observed at 1443 cm</w:t>
      </w:r>
      <w:r w:rsidRPr="001212CD">
        <w:rPr>
          <w:rFonts w:ascii="Times New Roman" w:hAnsi="Times New Roman"/>
          <w:sz w:val="20"/>
          <w:szCs w:val="20"/>
          <w:vertAlign w:val="superscript"/>
        </w:rPr>
        <w:t>-1</w:t>
      </w:r>
      <w:r w:rsidRPr="001212CD">
        <w:rPr>
          <w:rFonts w:ascii="Times New Roman" w:hAnsi="Times New Roman"/>
          <w:sz w:val="20"/>
          <w:szCs w:val="20"/>
        </w:rPr>
        <w:t xml:space="preserve"> and 1137 cm</w:t>
      </w:r>
      <w:r w:rsidRPr="001212CD">
        <w:rPr>
          <w:rFonts w:ascii="Times New Roman" w:hAnsi="Times New Roman"/>
          <w:sz w:val="20"/>
          <w:szCs w:val="20"/>
          <w:vertAlign w:val="superscript"/>
        </w:rPr>
        <w:t>-1</w:t>
      </w:r>
      <w:r w:rsidRPr="001212CD">
        <w:rPr>
          <w:rFonts w:ascii="Times New Roman" w:hAnsi="Times New Roman"/>
          <w:sz w:val="20"/>
          <w:szCs w:val="20"/>
        </w:rPr>
        <w:t xml:space="preserve"> correspond to the C-N and C=N stretching of the pyrazole structure respectively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&lt;EndNote&gt;&lt;Cite&gt;&lt;Author&gt;Anush&lt;/Author&gt;&lt;Year&gt;2018&lt;/Year&gt;&lt;RecNum&gt;58&lt;/RecNum&gt;&lt;DisplayText&gt;[9]&lt;/DisplayText&gt;&lt;record&gt;&lt;rec-number&gt;58&lt;/rec-number&gt;&lt;foreign-keys&gt;&lt;key app="EN" db-id="95rrpzvflp5t9fevvxwxa2epefs0xxppsret" timestamp="1596692445"&gt;58&lt;/key&gt;&lt;/foreign-keys&gt;&lt;ref-type name="Journal Article"&gt;17&lt;/ref-type&gt;&lt;contributors&gt;&lt;authors&gt;&lt;author&gt;Anush, S. M.&lt;/author&gt;&lt;author&gt;Vishalakshi, B.&lt;/author&gt;&lt;author&gt;Kalluraya, B.&lt;/author&gt;&lt;author&gt;Manju, N.&lt;/author&gt;&lt;/authors&gt;&lt;/contributors&gt;&lt;titles&gt;&lt;title&gt;Synthesis of pyrazole-based Schiff bases of Chitosan: Evaluation of antimicrobial activity&lt;/title&gt;&lt;secondary-title&gt;International Journal of Biological Macromolecules&lt;/secondary-title&gt;&lt;/titles&gt;&lt;periodical&gt;&lt;full-title&gt;International Journal of Biological Macromolecules&lt;/full-title&gt;&lt;/periodical&gt;&lt;pages&gt;446-452&lt;/pages&gt;&lt;volume&gt;119&lt;/volume&gt;&lt;keywords&gt;&lt;keyword&gt;Chitosan&lt;/keyword&gt;&lt;keyword&gt;Chitosan-Schiff base&lt;/keyword&gt;&lt;keyword&gt;Pyrazole&lt;/keyword&gt;&lt;keyword&gt;Antimicrobial activity&lt;/keyword&gt;&lt;/keywords&gt;&lt;dates&gt;&lt;year&gt;2018&lt;/year&gt;&lt;pub-dates&gt;&lt;date&gt;2018/11/01/&lt;/date&gt;&lt;/pub-dates&gt;&lt;/dates&gt;&lt;isbn&gt;0141-8130&lt;/isbn&gt;&lt;urls&gt;&lt;related-urls&gt;&lt;url&gt;http://www.sciencedirect.com/science/article/pii/S0141813018325509&lt;/url&gt;&lt;/related-urls&gt;&lt;/urls&gt;&lt;electronic-resource-num&gt;https://doi.org/10.1016/j.ijbiomac.2018.07.129&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[9]</w:t>
      </w:r>
      <w:r w:rsidRPr="001212CD">
        <w:rPr>
          <w:rFonts w:ascii="Times New Roman" w:hAnsi="Times New Roman"/>
          <w:sz w:val="20"/>
          <w:szCs w:val="20"/>
        </w:rPr>
        <w:fldChar w:fldCharType="end"/>
      </w:r>
      <w:r w:rsidRPr="001212CD">
        <w:rPr>
          <w:rFonts w:ascii="Times New Roman" w:hAnsi="Times New Roman"/>
          <w:sz w:val="20"/>
          <w:szCs w:val="20"/>
        </w:rPr>
        <w:t>. Besides that, the stretching of N-N in the pyridazine and pyrazole group has its own characteristic absorption peaks at 970 cm</w:t>
      </w:r>
      <w:r w:rsidRPr="001212CD">
        <w:rPr>
          <w:rFonts w:ascii="Times New Roman" w:hAnsi="Times New Roman"/>
          <w:sz w:val="20"/>
          <w:szCs w:val="20"/>
          <w:vertAlign w:val="superscript"/>
        </w:rPr>
        <w:t>-1</w:t>
      </w:r>
      <w:r w:rsidRPr="001212CD">
        <w:rPr>
          <w:rFonts w:ascii="Times New Roman" w:hAnsi="Times New Roman"/>
          <w:sz w:val="20"/>
          <w:szCs w:val="20"/>
        </w:rPr>
        <w:t xml:space="preserve"> and 1312 cm</w:t>
      </w:r>
      <w:r w:rsidRPr="001212CD">
        <w:rPr>
          <w:rFonts w:ascii="Times New Roman" w:hAnsi="Times New Roman"/>
          <w:sz w:val="20"/>
          <w:szCs w:val="20"/>
          <w:vertAlign w:val="superscript"/>
        </w:rPr>
        <w:t>-1</w:t>
      </w:r>
      <w:r w:rsidRPr="001212CD">
        <w:rPr>
          <w:rFonts w:ascii="Times New Roman" w:hAnsi="Times New Roman"/>
          <w:sz w:val="20"/>
          <w:szCs w:val="20"/>
        </w:rPr>
        <w:t>, respectively. The C=N belonging</w:t>
      </w:r>
      <w:r>
        <w:rPr>
          <w:rFonts w:ascii="Times New Roman" w:hAnsi="Times New Roman"/>
          <w:sz w:val="20"/>
          <w:szCs w:val="20"/>
        </w:rPr>
        <w:t xml:space="preserve"> </w:t>
      </w:r>
      <w:r w:rsidRPr="001212CD">
        <w:rPr>
          <w:rFonts w:ascii="Times New Roman" w:hAnsi="Times New Roman"/>
          <w:sz w:val="20"/>
          <w:szCs w:val="20"/>
        </w:rPr>
        <w:t xml:space="preserve"> to the pyridazine group was found at 1162 cm</w:t>
      </w:r>
      <w:r w:rsidRPr="001212CD">
        <w:rPr>
          <w:rFonts w:ascii="Times New Roman" w:hAnsi="Times New Roman"/>
          <w:sz w:val="20"/>
          <w:szCs w:val="20"/>
          <w:vertAlign w:val="superscript"/>
        </w:rPr>
        <w:t xml:space="preserve">-1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&lt;EndNote&gt;&lt;Cite&gt;&lt;Author&gt;Figueiredo&lt;/Author&gt;&lt;Year&gt;2008&lt;/Year&gt;&lt;RecNum&gt;59&lt;/RecNum&gt;&lt;DisplayText&gt;[10]&lt;/DisplayText&gt;&lt;record&gt;&lt;rec-number&gt;59&lt;/rec-number&gt;&lt;foreign-keys&gt;&lt;key app="EN" db-id="95rrpzvflp5t9fevvxwxa2epefs0xxppsret" timestamp="1596692517"&gt;59&lt;/key&gt;&lt;/foreign-keys&gt;&lt;ref-type name="Journal Article"&gt;17&lt;/ref-type&gt;&lt;contributors&gt;&lt;authors&gt;&lt;author&gt;Figueiredo, Hugo&lt;/author&gt;&lt;author&gt;Silva, Bruna&lt;/author&gt;&lt;author&gt;Raposo, M. Manuela M.&lt;/author&gt;&lt;author&gt;Fonseca, António M.&lt;/author&gt;&lt;author&gt;Neves, Isabel C.&lt;/author&gt;&lt;author&gt;Quintelas, Cristina&lt;/author&gt;&lt;author&gt;Tavares, Teresa&lt;/author&gt;&lt;/authors&gt;&lt;/contributors&gt;&lt;titles&gt;&lt;title&gt;Immobilization of Fe(III) complexes of pyridazine derivatives prepared from biosorbents supported on zeolites&lt;/title&gt;&lt;secondary-title&gt;Microporous and Mesoporous Materials&lt;/secondary-title&gt;&lt;/titles&gt;&lt;periodical&gt;&lt;full-title&gt;Microporous and Mesoporous Materials&lt;/full-title&gt;&lt;/periodical&gt;&lt;pages&gt;163-171&lt;/pages&gt;&lt;volume&gt;109&lt;/volume&gt;&lt;number&gt;1&lt;/number&gt;&lt;keywords&gt;&lt;keyword&gt;NaY&lt;/keyword&gt;&lt;keyword&gt;Biosorbents&lt;/keyword&gt;&lt;keyword&gt;Fe(III)&lt;/keyword&gt;&lt;keyword&gt;Pyridazine derivative ligand&lt;/keyword&gt;&lt;keyword&gt;Immobilization&lt;/keyword&gt;&lt;/keywords&gt;&lt;dates&gt;&lt;year&gt;2008&lt;/year&gt;&lt;pub-dates&gt;&lt;date&gt;2008/03/01/&lt;/date&gt;&lt;/pub-dates&gt;&lt;/dates&gt;&lt;isbn&gt;1387-1811&lt;/isbn&gt;&lt;urls&gt;&lt;related-urls&gt;&lt;url&gt;http://www.sciencedirect.com/science/article/pii/S1387181107002636&lt;/url&gt;&lt;/related-urls&gt;&lt;/urls&gt;&lt;electronic-resource-num&gt;https://doi.org/10.1016/j.micromeso.2007.04.038&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[10]</w:t>
      </w:r>
      <w:r w:rsidRPr="001212CD">
        <w:rPr>
          <w:rFonts w:ascii="Times New Roman" w:hAnsi="Times New Roman"/>
          <w:sz w:val="20"/>
          <w:szCs w:val="20"/>
        </w:rPr>
        <w:fldChar w:fldCharType="end"/>
      </w:r>
      <w:r w:rsidRPr="001212CD">
        <w:rPr>
          <w:rFonts w:ascii="Times New Roman" w:hAnsi="Times New Roman"/>
          <w:sz w:val="20"/>
          <w:szCs w:val="20"/>
        </w:rPr>
        <w:t>.</w:t>
      </w:r>
      <w:r w:rsidRPr="00F51E6D">
        <w:rPr>
          <w:rFonts w:ascii="Times New Roman" w:hAnsi="Times New Roman"/>
          <w:sz w:val="20"/>
          <w:szCs w:val="20"/>
        </w:rPr>
        <w:t xml:space="preserve"> </w:t>
      </w:r>
      <w:r w:rsidRPr="001212CD">
        <w:rPr>
          <w:rFonts w:ascii="Times New Roman" w:hAnsi="Times New Roman"/>
          <w:sz w:val="20"/>
          <w:szCs w:val="20"/>
        </w:rPr>
        <w:t>When compared to the spectrum of the ligand as in Figure 5, the band attributed to C=N in the pyrazole ring at around 1125-1129 cm</w:t>
      </w:r>
      <w:r w:rsidRPr="001212CD">
        <w:rPr>
          <w:rFonts w:ascii="Times New Roman" w:hAnsi="Times New Roman"/>
          <w:sz w:val="20"/>
          <w:szCs w:val="20"/>
          <w:vertAlign w:val="superscript"/>
        </w:rPr>
        <w:t>-1</w:t>
      </w:r>
      <w:r w:rsidRPr="001212CD">
        <w:rPr>
          <w:rFonts w:ascii="Times New Roman" w:hAnsi="Times New Roman"/>
          <w:sz w:val="20"/>
          <w:szCs w:val="20"/>
        </w:rPr>
        <w:t xml:space="preserve"> in the metal complexes was shifted to lower wavenumber proving that the metal ion did form a bond with the nitrogen atom in the pyrazole structure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&lt;EndNote&gt;&lt;Cite&gt;&lt;Author&gt;Mészáros Szécsényi&lt;/Author&gt;&lt;Year&gt;2003&lt;/Year&gt;&lt;RecNum&gt;60&lt;/RecNum&gt;&lt;DisplayText&gt;[11]&lt;/DisplayText&gt;&lt;record&gt;&lt;rec-number&gt;60&lt;/rec-number&gt;&lt;foreign-keys&gt;&lt;key app="EN" db-id="95rrpzvflp5t9fevvxwxa2epefs0xxppsret" timestamp="1596692801"&gt;60&lt;/key&gt;&lt;/foreign-keys&gt;&lt;ref-type name="Journal Article"&gt;17&lt;/ref-type&gt;&lt;contributors&gt;&lt;authors&gt;&lt;author&gt;Mészáros Szécsényi, K.&lt;/author&gt;&lt;author&gt;Leovac, V. M.&lt;/author&gt;&lt;author&gt;Jacimovic, Z. K.&lt;/author&gt;&lt;author&gt;Pokol, G.&lt;/author&gt;&lt;/authors&gt;&lt;/contributors&gt;&lt;titles&gt;&lt;title&gt;Transition Metal Complexes with Pyrazole Based Ligands&lt;/title&gt;&lt;secondary-title&gt;Journal of Thermal Analysis and Calorimetry&lt;/secondary-title&gt;&lt;/titles&gt;&lt;periodical&gt;&lt;full-title&gt;Journal of Thermal Analysis and Calorimetry&lt;/full-title&gt;&lt;/periodical&gt;&lt;pages&gt;943-952&lt;/pages&gt;&lt;volume&gt;74&lt;/volume&gt;&lt;number&gt;3&lt;/number&gt;&lt;dates&gt;&lt;year&gt;2003&lt;/year&gt;&lt;pub-dates&gt;&lt;date&gt;2003/12/01&lt;/date&gt;&lt;/pub-dates&gt;&lt;/dates&gt;&lt;isbn&gt;1572-8943&lt;/isbn&gt;&lt;urls&gt;&lt;related-urls&gt;&lt;url&gt;https://doi.org/10.1023/B:JTAN.0000011026.41481.bd&lt;/url&gt;&lt;/related-urls&gt;&lt;/urls&gt;&lt;electronic-resource-num&gt;10.1023/B:JTAN.0000011026.41481.bd&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[11]</w:t>
      </w:r>
      <w:r w:rsidRPr="001212CD">
        <w:rPr>
          <w:rFonts w:ascii="Times New Roman" w:hAnsi="Times New Roman"/>
          <w:sz w:val="20"/>
          <w:szCs w:val="20"/>
        </w:rPr>
        <w:fldChar w:fldCharType="end"/>
      </w:r>
      <w:r w:rsidRPr="001212CD">
        <w:rPr>
          <w:rFonts w:ascii="Times New Roman" w:hAnsi="Times New Roman"/>
          <w:sz w:val="20"/>
          <w:szCs w:val="20"/>
        </w:rPr>
        <w:t>. The infrared band obtained at 1162 cm</w:t>
      </w:r>
      <w:r w:rsidRPr="001212CD">
        <w:rPr>
          <w:rFonts w:ascii="Times New Roman" w:hAnsi="Times New Roman"/>
          <w:sz w:val="20"/>
          <w:szCs w:val="20"/>
          <w:vertAlign w:val="superscript"/>
        </w:rPr>
        <w:t>-1</w:t>
      </w:r>
      <w:r w:rsidRPr="001212CD">
        <w:rPr>
          <w:rFonts w:ascii="Times New Roman" w:hAnsi="Times New Roman"/>
          <w:sz w:val="20"/>
          <w:szCs w:val="20"/>
        </w:rPr>
        <w:t xml:space="preserve"> in the free ligand spectrum corresponding to C=N of the pyridazine ring, has been shifted to a higher frequency region at 1168-1171 cm</w:t>
      </w:r>
      <w:r w:rsidRPr="001212CD">
        <w:rPr>
          <w:rFonts w:ascii="Times New Roman" w:hAnsi="Times New Roman"/>
          <w:sz w:val="20"/>
          <w:szCs w:val="20"/>
          <w:vertAlign w:val="superscript"/>
        </w:rPr>
        <w:t>-1</w:t>
      </w:r>
      <w:r w:rsidRPr="001212CD">
        <w:rPr>
          <w:rFonts w:ascii="Times New Roman" w:hAnsi="Times New Roman"/>
          <w:sz w:val="20"/>
          <w:szCs w:val="20"/>
        </w:rPr>
        <w:t xml:space="preserve"> in the metal complexes, indicating the participation of the pyridazine ring nitrogen atom as a possible bonding site. IR band observed at 970 cm</w:t>
      </w:r>
      <w:r w:rsidRPr="001212CD">
        <w:rPr>
          <w:rFonts w:ascii="Times New Roman" w:hAnsi="Times New Roman"/>
          <w:sz w:val="20"/>
          <w:szCs w:val="20"/>
          <w:vertAlign w:val="superscript"/>
        </w:rPr>
        <w:t>-1</w:t>
      </w:r>
      <w:r w:rsidRPr="001212CD">
        <w:rPr>
          <w:rFonts w:ascii="Times New Roman" w:hAnsi="Times New Roman"/>
          <w:sz w:val="20"/>
          <w:szCs w:val="20"/>
        </w:rPr>
        <w:t xml:space="preserve"> of N-N in the pyridazine, was also found </w:t>
      </w:r>
      <w:r w:rsidR="00F46191">
        <w:rPr>
          <w:rFonts w:ascii="Times New Roman" w:hAnsi="Times New Roman"/>
          <w:sz w:val="20"/>
          <w:szCs w:val="20"/>
        </w:rPr>
        <w:t xml:space="preserve"> </w:t>
      </w:r>
      <w:r w:rsidRPr="001212CD">
        <w:rPr>
          <w:rFonts w:ascii="Times New Roman" w:hAnsi="Times New Roman"/>
          <w:sz w:val="20"/>
          <w:szCs w:val="20"/>
        </w:rPr>
        <w:t xml:space="preserve">shifted </w:t>
      </w:r>
      <w:r w:rsidR="00F46191">
        <w:rPr>
          <w:rFonts w:ascii="Times New Roman" w:hAnsi="Times New Roman"/>
          <w:sz w:val="20"/>
          <w:szCs w:val="20"/>
        </w:rPr>
        <w:t xml:space="preserve"> </w:t>
      </w:r>
      <w:r w:rsidRPr="001212CD">
        <w:rPr>
          <w:rFonts w:ascii="Times New Roman" w:hAnsi="Times New Roman"/>
          <w:sz w:val="20"/>
          <w:szCs w:val="20"/>
        </w:rPr>
        <w:t xml:space="preserve">to </w:t>
      </w:r>
      <w:r w:rsidR="00F46191">
        <w:rPr>
          <w:rFonts w:ascii="Times New Roman" w:hAnsi="Times New Roman"/>
          <w:sz w:val="20"/>
          <w:szCs w:val="20"/>
        </w:rPr>
        <w:t xml:space="preserve"> </w:t>
      </w:r>
      <w:r w:rsidRPr="001212CD">
        <w:rPr>
          <w:rFonts w:ascii="Times New Roman" w:hAnsi="Times New Roman"/>
          <w:sz w:val="20"/>
          <w:szCs w:val="20"/>
        </w:rPr>
        <w:t xml:space="preserve">a </w:t>
      </w:r>
      <w:r w:rsidR="00F46191">
        <w:rPr>
          <w:rFonts w:ascii="Times New Roman" w:hAnsi="Times New Roman"/>
          <w:sz w:val="20"/>
          <w:szCs w:val="20"/>
        </w:rPr>
        <w:t xml:space="preserve"> </w:t>
      </w:r>
      <w:r w:rsidRPr="001212CD">
        <w:rPr>
          <w:rFonts w:ascii="Times New Roman" w:hAnsi="Times New Roman"/>
          <w:sz w:val="20"/>
          <w:szCs w:val="20"/>
        </w:rPr>
        <w:t>higher frequency region 988-996 cm</w:t>
      </w:r>
      <w:r w:rsidRPr="001212CD">
        <w:rPr>
          <w:rFonts w:ascii="Times New Roman" w:hAnsi="Times New Roman"/>
          <w:sz w:val="20"/>
          <w:szCs w:val="20"/>
          <w:vertAlign w:val="superscript"/>
        </w:rPr>
        <w:t>-1</w:t>
      </w:r>
      <w:r w:rsidRPr="001212CD">
        <w:rPr>
          <w:rFonts w:ascii="Times New Roman" w:hAnsi="Times New Roman"/>
          <w:sz w:val="20"/>
          <w:szCs w:val="20"/>
        </w:rPr>
        <w:t xml:space="preserve"> in complexes, which provide further information on the presence of pyridazine ring nitrogen atom in bonding. Table 3 summarized the comparison of infrared bands shifting.</w:t>
      </w:r>
    </w:p>
    <w:p w14:paraId="0A1A8AD4" w14:textId="30054ACF" w:rsidR="00F51E6D" w:rsidRDefault="00F51E6D" w:rsidP="00F51E6D">
      <w:pPr>
        <w:spacing w:after="0"/>
        <w:jc w:val="both"/>
        <w:rPr>
          <w:rFonts w:ascii="Times New Roman" w:hAnsi="Times New Roman"/>
          <w:sz w:val="20"/>
          <w:szCs w:val="20"/>
        </w:rPr>
      </w:pPr>
    </w:p>
    <w:p w14:paraId="5A9BD106" w14:textId="77777777" w:rsidR="00F51E6D" w:rsidRPr="001212CD" w:rsidRDefault="00F51E6D" w:rsidP="00F51E6D">
      <w:pPr>
        <w:spacing w:after="0"/>
        <w:jc w:val="both"/>
        <w:rPr>
          <w:rFonts w:ascii="Times New Roman" w:hAnsi="Times New Roman"/>
          <w:b/>
          <w:bCs/>
          <w:sz w:val="20"/>
          <w:szCs w:val="20"/>
        </w:rPr>
      </w:pPr>
      <w:r w:rsidRPr="001212CD">
        <w:rPr>
          <w:rFonts w:ascii="Times New Roman" w:hAnsi="Times New Roman"/>
          <w:b/>
          <w:bCs/>
          <w:sz w:val="20"/>
          <w:szCs w:val="20"/>
        </w:rPr>
        <w:t>Solubility test of synthesized metal complexes</w:t>
      </w:r>
    </w:p>
    <w:p w14:paraId="26AEC958" w14:textId="77777777" w:rsidR="00F51E6D" w:rsidRPr="001212CD" w:rsidRDefault="00F51E6D" w:rsidP="00F51E6D">
      <w:pPr>
        <w:spacing w:after="0"/>
        <w:jc w:val="both"/>
        <w:rPr>
          <w:rFonts w:ascii="Times New Roman" w:hAnsi="Times New Roman"/>
          <w:sz w:val="20"/>
          <w:szCs w:val="20"/>
        </w:rPr>
      </w:pPr>
      <w:r w:rsidRPr="001212CD">
        <w:rPr>
          <w:rFonts w:ascii="Times New Roman" w:hAnsi="Times New Roman"/>
          <w:sz w:val="20"/>
          <w:szCs w:val="20"/>
        </w:rPr>
        <w:t xml:space="preserve">The coordination of metal ions with the ligand had changed the solubility properties of the complexes as presented in Table 4 which proves that the complexation of the metal with the ligand has been successfully </w:t>
      </w:r>
      <w:r w:rsidRPr="001212CD">
        <w:rPr>
          <w:rFonts w:ascii="Times New Roman" w:hAnsi="Times New Roman"/>
          <w:sz w:val="20"/>
          <w:szCs w:val="20"/>
        </w:rPr>
        <w:t>occurred. The solubility studies also help in identifying the suitable solvent used in the electrochemical studies.</w:t>
      </w:r>
    </w:p>
    <w:p w14:paraId="2E6A7179" w14:textId="77777777" w:rsidR="00F51E6D" w:rsidRDefault="00F51E6D" w:rsidP="001212CD">
      <w:pPr>
        <w:spacing w:after="0"/>
        <w:jc w:val="both"/>
        <w:outlineLvl w:val="0"/>
        <w:rPr>
          <w:rFonts w:ascii="Times New Roman" w:hAnsi="Times New Roman"/>
          <w:sz w:val="20"/>
          <w:szCs w:val="20"/>
        </w:rPr>
      </w:pPr>
    </w:p>
    <w:p w14:paraId="39869945" w14:textId="77777777" w:rsidR="00F51E6D" w:rsidRPr="001212CD" w:rsidRDefault="00F51E6D" w:rsidP="00F51E6D">
      <w:pPr>
        <w:spacing w:after="0"/>
        <w:jc w:val="both"/>
        <w:outlineLvl w:val="0"/>
        <w:rPr>
          <w:rFonts w:ascii="Times New Roman" w:hAnsi="Times New Roman"/>
          <w:b/>
          <w:bCs/>
          <w:sz w:val="20"/>
          <w:szCs w:val="20"/>
        </w:rPr>
      </w:pPr>
      <w:r w:rsidRPr="001212CD">
        <w:rPr>
          <w:rFonts w:ascii="Times New Roman" w:hAnsi="Times New Roman"/>
          <w:b/>
          <w:bCs/>
          <w:sz w:val="20"/>
          <w:szCs w:val="20"/>
        </w:rPr>
        <w:t>Elemental analyses</w:t>
      </w:r>
    </w:p>
    <w:p w14:paraId="7BB2B81E" w14:textId="77777777" w:rsidR="00F51E6D" w:rsidRPr="001212CD" w:rsidRDefault="00F51E6D" w:rsidP="00F51E6D">
      <w:pPr>
        <w:spacing w:after="0"/>
        <w:jc w:val="both"/>
        <w:outlineLvl w:val="0"/>
        <w:rPr>
          <w:rFonts w:ascii="Times New Roman" w:hAnsi="Times New Roman"/>
          <w:sz w:val="20"/>
          <w:szCs w:val="20"/>
        </w:rPr>
      </w:pPr>
      <w:r w:rsidRPr="001212CD">
        <w:rPr>
          <w:rFonts w:ascii="Times New Roman" w:hAnsi="Times New Roman"/>
          <w:sz w:val="20"/>
          <w:szCs w:val="20"/>
        </w:rPr>
        <w:t>The complexation of the metal with the ligand resulted in different percentages of carbon, hydrogen and nitrogen of the complexes as tabulated in Table 5.</w:t>
      </w:r>
      <w:bookmarkStart w:id="0" w:name="_Hlk49333531"/>
      <w:r w:rsidRPr="001212CD">
        <w:rPr>
          <w:rFonts w:ascii="Times New Roman" w:hAnsi="Times New Roman"/>
          <w:sz w:val="20"/>
          <w:szCs w:val="20"/>
        </w:rPr>
        <w:t xml:space="preserve"> Complex 3 and 4 show a higher deviation in the percentage of the carbon which probably due to the presence of unreacted metal salts in the complex. </w:t>
      </w:r>
      <w:bookmarkEnd w:id="0"/>
    </w:p>
    <w:p w14:paraId="5ECA1C4C" w14:textId="6D225D3E" w:rsidR="00F51E6D" w:rsidRDefault="00F51E6D" w:rsidP="001212CD">
      <w:pPr>
        <w:spacing w:after="0"/>
        <w:jc w:val="both"/>
        <w:outlineLvl w:val="0"/>
        <w:rPr>
          <w:rFonts w:ascii="Times New Roman" w:hAnsi="Times New Roman"/>
          <w:sz w:val="20"/>
          <w:szCs w:val="20"/>
        </w:rPr>
      </w:pPr>
    </w:p>
    <w:p w14:paraId="629A1ABF" w14:textId="77777777" w:rsidR="00B34C0A" w:rsidRPr="001212CD" w:rsidRDefault="00B34C0A" w:rsidP="00B34C0A">
      <w:pPr>
        <w:spacing w:after="0"/>
        <w:jc w:val="both"/>
        <w:outlineLvl w:val="0"/>
        <w:rPr>
          <w:rFonts w:ascii="Times New Roman" w:hAnsi="Times New Roman"/>
          <w:b/>
          <w:bCs/>
          <w:sz w:val="20"/>
          <w:szCs w:val="20"/>
        </w:rPr>
      </w:pPr>
      <w:r w:rsidRPr="001212CD">
        <w:rPr>
          <w:rFonts w:ascii="Times New Roman" w:hAnsi="Times New Roman"/>
          <w:b/>
          <w:bCs/>
          <w:sz w:val="20"/>
          <w:szCs w:val="20"/>
        </w:rPr>
        <w:t>UV-Vis spectroscopy spectrum of the metal complexes</w:t>
      </w:r>
    </w:p>
    <w:p w14:paraId="4D0105FA" w14:textId="77777777" w:rsidR="00B34C0A" w:rsidRPr="001212CD" w:rsidRDefault="00B34C0A" w:rsidP="00B34C0A">
      <w:pPr>
        <w:spacing w:after="0"/>
        <w:jc w:val="both"/>
        <w:outlineLvl w:val="0"/>
        <w:rPr>
          <w:rFonts w:ascii="Times New Roman" w:hAnsi="Times New Roman"/>
          <w:sz w:val="20"/>
          <w:szCs w:val="20"/>
        </w:rPr>
      </w:pPr>
      <w:bookmarkStart w:id="1" w:name="_Hlk49333492"/>
      <w:r w:rsidRPr="001212CD">
        <w:rPr>
          <w:rFonts w:ascii="Times New Roman" w:hAnsi="Times New Roman"/>
          <w:sz w:val="20"/>
          <w:szCs w:val="20"/>
        </w:rPr>
        <w:t xml:space="preserve">Figure 6 displays the UV-Vis spectra for both ligands and its metal complexes 1-4. All the solutions were prepared with the same concentration. From the spectrum, it can be observed that there are three maximum peaks at 246, 259 and 271 nm appearing within the absorption band ranging from 200-300 nm. These three peaks originated from HOMO → LUMO π → π* transitions of the pyridazine and pyrazoles groups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&lt;EndNote&gt;&lt;Cite&gt;&lt;Author&gt;Mezei&lt;/Author&gt;&lt;Year&gt;2004&lt;/Year&gt;&lt;RecNum&gt;61&lt;/RecNum&gt;&lt;DisplayText&gt;[12]&lt;/DisplayText&gt;&lt;record&gt;&lt;rec-number&gt;61&lt;/rec-number&gt;&lt;foreign-keys&gt;&lt;key app="EN" db-id="95rrpzvflp5t9fevvxwxa2epefs0xxppsret" timestamp="1596692937"&gt;61&lt;/key&gt;&lt;/foreign-keys&gt;&lt;ref-type name="Journal Article"&gt;17&lt;/ref-type&gt;&lt;contributors&gt;&lt;authors&gt;&lt;author&gt;Mezei, Gellert&lt;/author&gt;&lt;author&gt;Raptis, Raphael G.&lt;/author&gt;&lt;/authors&gt;&lt;/contributors&gt;&lt;titles&gt;&lt;title&gt;Effect of pyrazole-substitution on the structure and nuclearity of Cu(II)-pyrazolato complexes&lt;/title&gt;&lt;secondary-title&gt;Inorganica Chimica Acta&lt;/secondary-title&gt;&lt;/titles&gt;&lt;periodical&gt;&lt;full-title&gt;Inorganica Chimica Acta&lt;/full-title&gt;&lt;/periodical&gt;&lt;pages&gt;3279-3288&lt;/pages&gt;&lt;volume&gt;357&lt;/volume&gt;&lt;number&gt;11&lt;/number&gt;&lt;keywords&gt;&lt;keyword&gt;Copper&lt;/keyword&gt;&lt;keyword&gt;Pyrazole&lt;/keyword&gt;&lt;keyword&gt;Dinuclear complexes&lt;/keyword&gt;&lt;keyword&gt;Trinuclear complexes&lt;/keyword&gt;&lt;/keywords&gt;&lt;dates&gt;&lt;year&gt;2004&lt;/year&gt;&lt;pub-dates&gt;&lt;date&gt;2004/08/05/&lt;/date&gt;&lt;/pub-dates&gt;&lt;/dates&gt;&lt;isbn&gt;0020-1693&lt;/isbn&gt;&lt;urls&gt;&lt;related-urls&gt;&lt;url&gt;http://www.sciencedirect.com/science/article/pii/S0020169304001495&lt;/url&gt;&lt;/related-urls&gt;&lt;/urls&gt;&lt;electronic-resource-num&gt;https://doi.org/10.1016/j.ica.2004.03.016&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[12]</w:t>
      </w:r>
      <w:r w:rsidRPr="001212CD">
        <w:rPr>
          <w:rFonts w:ascii="Times New Roman" w:hAnsi="Times New Roman"/>
          <w:sz w:val="20"/>
          <w:szCs w:val="20"/>
        </w:rPr>
        <w:fldChar w:fldCharType="end"/>
      </w:r>
      <w:r w:rsidRPr="001212CD">
        <w:rPr>
          <w:rFonts w:ascii="Times New Roman" w:hAnsi="Times New Roman"/>
          <w:sz w:val="20"/>
          <w:szCs w:val="20"/>
        </w:rPr>
        <w:t xml:space="preserve">. The absorption pattern portrayed by the metal complexes are significantly different than the free ligand. All the complexes exhibited a shift in the position of the characteristic ligand band at around 260 nm. This shift is significant as it proves that the metal ion successfully coordinates with the pyridazine and pyrazole rings in the ligand structure. </w:t>
      </w:r>
    </w:p>
    <w:bookmarkEnd w:id="1"/>
    <w:p w14:paraId="5A60069D" w14:textId="77777777" w:rsidR="00B34C0A" w:rsidRDefault="00B34C0A" w:rsidP="001212CD">
      <w:pPr>
        <w:spacing w:after="0"/>
        <w:jc w:val="both"/>
        <w:outlineLvl w:val="0"/>
        <w:rPr>
          <w:rFonts w:ascii="Times New Roman" w:hAnsi="Times New Roman"/>
          <w:sz w:val="20"/>
          <w:szCs w:val="20"/>
        </w:rPr>
      </w:pPr>
    </w:p>
    <w:p w14:paraId="29A449D8" w14:textId="77777777" w:rsidR="00F46191" w:rsidRPr="001212CD" w:rsidRDefault="00F46191" w:rsidP="00F46191">
      <w:pPr>
        <w:spacing w:after="0"/>
        <w:jc w:val="both"/>
        <w:outlineLvl w:val="0"/>
        <w:rPr>
          <w:rFonts w:ascii="Times New Roman" w:hAnsi="Times New Roman"/>
          <w:b/>
          <w:bCs/>
          <w:sz w:val="20"/>
          <w:szCs w:val="20"/>
        </w:rPr>
      </w:pPr>
      <w:r w:rsidRPr="001212CD">
        <w:rPr>
          <w:rFonts w:ascii="Times New Roman" w:hAnsi="Times New Roman"/>
          <w:b/>
          <w:bCs/>
          <w:sz w:val="20"/>
          <w:szCs w:val="20"/>
        </w:rPr>
        <w:t>Energy-Dispersive X-ray spectrum of the metal complexes</w:t>
      </w:r>
    </w:p>
    <w:p w14:paraId="1EB1A602" w14:textId="77777777" w:rsidR="00F46191" w:rsidRDefault="00F46191" w:rsidP="00F46191">
      <w:pPr>
        <w:spacing w:after="0"/>
        <w:jc w:val="both"/>
        <w:outlineLvl w:val="0"/>
        <w:rPr>
          <w:rFonts w:ascii="Times New Roman" w:hAnsi="Times New Roman"/>
          <w:sz w:val="20"/>
          <w:szCs w:val="20"/>
        </w:rPr>
      </w:pPr>
      <w:bookmarkStart w:id="2" w:name="_Hlk49333565"/>
      <w:r w:rsidRPr="001212CD">
        <w:rPr>
          <w:rFonts w:ascii="Times New Roman" w:hAnsi="Times New Roman"/>
          <w:sz w:val="20"/>
          <w:szCs w:val="20"/>
        </w:rPr>
        <w:t>EDX analysis (Figure 7) was performed to investigate the elements present in the metal complexes. All the materials used in the synthesis of each metal complexes can be observed which further confirms the complexation of the transition metal to the ligand.</w:t>
      </w:r>
      <w:bookmarkEnd w:id="2"/>
      <w:r w:rsidRPr="001212CD">
        <w:rPr>
          <w:rFonts w:ascii="Times New Roman" w:hAnsi="Times New Roman"/>
          <w:sz w:val="20"/>
          <w:szCs w:val="20"/>
        </w:rPr>
        <w:t xml:space="preserve"> The presence of higher percentage of Cl atom in all the metal complexes is due to metal salt used in the reaction and the byproduct formed from 3,6-dichoropyridazine compound after the complexation process. All metal complexes were synthesized using their respective chloride salt.  </w:t>
      </w:r>
    </w:p>
    <w:p w14:paraId="798BDEE7" w14:textId="77777777" w:rsidR="00F51E6D" w:rsidRDefault="00F51E6D" w:rsidP="001212CD">
      <w:pPr>
        <w:spacing w:after="0"/>
        <w:jc w:val="both"/>
        <w:outlineLvl w:val="0"/>
        <w:rPr>
          <w:rFonts w:ascii="Times New Roman" w:hAnsi="Times New Roman"/>
          <w:sz w:val="20"/>
          <w:szCs w:val="20"/>
        </w:rPr>
      </w:pPr>
    </w:p>
    <w:p w14:paraId="1DF06170" w14:textId="77777777" w:rsidR="00F46191" w:rsidRDefault="00F46191" w:rsidP="001212CD">
      <w:pPr>
        <w:spacing w:after="0"/>
        <w:jc w:val="both"/>
        <w:outlineLvl w:val="0"/>
        <w:rPr>
          <w:rFonts w:ascii="Times New Roman" w:hAnsi="Times New Roman"/>
          <w:sz w:val="20"/>
          <w:szCs w:val="20"/>
        </w:rPr>
      </w:pPr>
    </w:p>
    <w:p w14:paraId="7F19EF22" w14:textId="30B15400" w:rsidR="00F46191" w:rsidRDefault="00F46191" w:rsidP="001212CD">
      <w:pPr>
        <w:spacing w:after="0"/>
        <w:jc w:val="both"/>
        <w:outlineLvl w:val="0"/>
        <w:rPr>
          <w:rFonts w:ascii="Times New Roman" w:hAnsi="Times New Roman"/>
          <w:sz w:val="20"/>
          <w:szCs w:val="20"/>
        </w:rPr>
        <w:sectPr w:rsidR="00F46191" w:rsidSect="00F51E6D">
          <w:footerReference w:type="even" r:id="rId17"/>
          <w:type w:val="continuous"/>
          <w:pgSz w:w="12240" w:h="15840" w:code="1"/>
          <w:pgMar w:top="1800" w:right="1469" w:bottom="1699" w:left="1440" w:header="706" w:footer="706" w:gutter="0"/>
          <w:pgNumType w:start="0"/>
          <w:cols w:num="2" w:space="403"/>
          <w:docGrid w:linePitch="360"/>
        </w:sectPr>
      </w:pPr>
    </w:p>
    <w:p w14:paraId="5D3CE599" w14:textId="541685DA" w:rsidR="001B1157" w:rsidRPr="001212CD" w:rsidRDefault="001B1157" w:rsidP="001212CD">
      <w:pPr>
        <w:spacing w:after="0"/>
        <w:jc w:val="both"/>
        <w:outlineLvl w:val="0"/>
        <w:rPr>
          <w:rFonts w:ascii="Times New Roman" w:hAnsi="Times New Roman"/>
          <w:sz w:val="20"/>
          <w:szCs w:val="20"/>
        </w:rPr>
      </w:pPr>
    </w:p>
    <w:p w14:paraId="4ABFAF8B" w14:textId="77777777" w:rsidR="001212CD" w:rsidRPr="001212CD" w:rsidRDefault="001212CD" w:rsidP="001212CD">
      <w:pPr>
        <w:spacing w:after="0"/>
        <w:jc w:val="both"/>
        <w:outlineLvl w:val="0"/>
        <w:rPr>
          <w:rFonts w:ascii="Times New Roman" w:hAnsi="Times New Roman"/>
          <w:sz w:val="20"/>
          <w:szCs w:val="20"/>
        </w:rPr>
      </w:pPr>
    </w:p>
    <w:p w14:paraId="39876CD1" w14:textId="6E2C9608" w:rsidR="001212CD" w:rsidRPr="001B1157" w:rsidRDefault="001212CD" w:rsidP="001B1157">
      <w:pPr>
        <w:spacing w:after="120"/>
        <w:jc w:val="center"/>
        <w:outlineLvl w:val="0"/>
        <w:rPr>
          <w:rFonts w:ascii="Times New Roman" w:hAnsi="Times New Roman"/>
          <w:sz w:val="20"/>
          <w:szCs w:val="20"/>
        </w:rPr>
      </w:pPr>
      <w:r w:rsidRPr="001212CD">
        <w:rPr>
          <w:rFonts w:ascii="Times New Roman" w:hAnsi="Times New Roman"/>
          <w:noProof/>
          <w:sz w:val="20"/>
          <w:szCs w:val="20"/>
          <w:lang w:val="en-MY" w:eastAsia="en-MY"/>
        </w:rPr>
        <w:lastRenderedPageBreak/>
        <w:drawing>
          <wp:inline distT="0" distB="0" distL="0" distR="0" wp14:anchorId="5EBF8C2F" wp14:editId="59B15301">
            <wp:extent cx="3438144" cy="24323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38144" cy="2432304"/>
                    </a:xfrm>
                    <a:prstGeom prst="rect">
                      <a:avLst/>
                    </a:prstGeom>
                    <a:noFill/>
                    <a:ln>
                      <a:noFill/>
                    </a:ln>
                  </pic:spPr>
                </pic:pic>
              </a:graphicData>
            </a:graphic>
          </wp:inline>
        </w:drawing>
      </w:r>
    </w:p>
    <w:p w14:paraId="1B664E24" w14:textId="3F84977C" w:rsidR="001212CD" w:rsidRPr="001212CD" w:rsidRDefault="001212CD" w:rsidP="001B1157">
      <w:pPr>
        <w:spacing w:after="0"/>
        <w:jc w:val="center"/>
        <w:outlineLvl w:val="0"/>
        <w:rPr>
          <w:rFonts w:ascii="Times New Roman" w:hAnsi="Times New Roman"/>
          <w:bCs/>
          <w:sz w:val="20"/>
          <w:szCs w:val="20"/>
        </w:rPr>
      </w:pPr>
      <w:r w:rsidRPr="001212CD">
        <w:rPr>
          <w:rFonts w:ascii="Times New Roman" w:hAnsi="Times New Roman"/>
          <w:bCs/>
          <w:sz w:val="20"/>
          <w:szCs w:val="20"/>
        </w:rPr>
        <w:t xml:space="preserve">Figure 3. </w:t>
      </w:r>
      <w:r w:rsidR="001B1157">
        <w:rPr>
          <w:rFonts w:ascii="Times New Roman" w:hAnsi="Times New Roman"/>
          <w:bCs/>
          <w:sz w:val="20"/>
          <w:szCs w:val="20"/>
        </w:rPr>
        <w:t xml:space="preserve"> </w:t>
      </w:r>
      <w:r w:rsidRPr="001212CD">
        <w:rPr>
          <w:rFonts w:ascii="Times New Roman" w:hAnsi="Times New Roman"/>
          <w:bCs/>
          <w:sz w:val="20"/>
          <w:szCs w:val="20"/>
          <w:vertAlign w:val="superscript"/>
        </w:rPr>
        <w:t>1</w:t>
      </w:r>
      <w:r w:rsidRPr="001212CD">
        <w:rPr>
          <w:rFonts w:ascii="Times New Roman" w:hAnsi="Times New Roman"/>
          <w:bCs/>
          <w:sz w:val="20"/>
          <w:szCs w:val="20"/>
        </w:rPr>
        <w:t>H-NMR spectrum of 3,6-bis(3,5-dimethylpyrazolyl) pyridazine</w:t>
      </w:r>
    </w:p>
    <w:p w14:paraId="0E89D5B2" w14:textId="77777777" w:rsidR="001B1157" w:rsidRPr="001212CD" w:rsidRDefault="001B1157" w:rsidP="001212CD">
      <w:pPr>
        <w:spacing w:after="0"/>
        <w:jc w:val="both"/>
        <w:rPr>
          <w:rFonts w:ascii="Times New Roman" w:hAnsi="Times New Roman"/>
          <w:sz w:val="20"/>
          <w:szCs w:val="20"/>
        </w:rPr>
      </w:pPr>
    </w:p>
    <w:p w14:paraId="2ED73D15" w14:textId="58D7C290" w:rsidR="001212CD" w:rsidRPr="001212CD" w:rsidRDefault="001212CD" w:rsidP="001B1157">
      <w:pPr>
        <w:spacing w:after="120"/>
        <w:jc w:val="center"/>
        <w:rPr>
          <w:rFonts w:ascii="Times New Roman" w:hAnsi="Times New Roman"/>
          <w:sz w:val="20"/>
          <w:szCs w:val="20"/>
        </w:rPr>
      </w:pPr>
      <w:r w:rsidRPr="001212CD">
        <w:rPr>
          <w:rFonts w:ascii="Times New Roman" w:hAnsi="Times New Roman"/>
          <w:sz w:val="20"/>
          <w:szCs w:val="20"/>
        </w:rPr>
        <w:t xml:space="preserve">Table 2. </w:t>
      </w:r>
      <w:r w:rsidR="001B1157">
        <w:rPr>
          <w:rFonts w:ascii="Times New Roman" w:hAnsi="Times New Roman"/>
          <w:sz w:val="20"/>
          <w:szCs w:val="20"/>
        </w:rPr>
        <w:t xml:space="preserve"> </w:t>
      </w:r>
      <w:r w:rsidRPr="001212CD">
        <w:rPr>
          <w:rFonts w:ascii="Times New Roman" w:hAnsi="Times New Roman"/>
          <w:sz w:val="20"/>
          <w:szCs w:val="20"/>
          <w:vertAlign w:val="superscript"/>
        </w:rPr>
        <w:t>1</w:t>
      </w:r>
      <w:r w:rsidRPr="001212CD">
        <w:rPr>
          <w:rFonts w:ascii="Times New Roman" w:hAnsi="Times New Roman"/>
          <w:sz w:val="20"/>
          <w:szCs w:val="20"/>
        </w:rPr>
        <w:t>H-NMR chemical shifts assignation</w:t>
      </w:r>
    </w:p>
    <w:tbl>
      <w:tblPr>
        <w:tblStyle w:val="PlainTable2"/>
        <w:tblW w:w="0" w:type="auto"/>
        <w:jc w:val="center"/>
        <w:tblInd w:w="0" w:type="dxa"/>
        <w:tblLook w:val="04A0" w:firstRow="1" w:lastRow="0" w:firstColumn="1" w:lastColumn="0" w:noHBand="0" w:noVBand="1"/>
      </w:tblPr>
      <w:tblGrid>
        <w:gridCol w:w="1117"/>
        <w:gridCol w:w="1261"/>
        <w:gridCol w:w="1659"/>
        <w:gridCol w:w="1228"/>
      </w:tblGrid>
      <w:tr w:rsidR="001212CD" w:rsidRPr="001212CD" w14:paraId="64F6AD15" w14:textId="77777777" w:rsidTr="001B115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124F2985" w14:textId="77777777" w:rsidR="001212CD" w:rsidRPr="001212CD" w:rsidRDefault="001212CD" w:rsidP="001B1157">
            <w:pPr>
              <w:spacing w:before="60" w:after="0"/>
              <w:rPr>
                <w:rFonts w:ascii="Times New Roman" w:hAnsi="Times New Roman" w:cs="Times New Roman"/>
                <w:sz w:val="20"/>
                <w:szCs w:val="20"/>
              </w:rPr>
            </w:pPr>
            <w:r w:rsidRPr="001212CD">
              <w:rPr>
                <w:rFonts w:ascii="Times New Roman" w:hAnsi="Times New Roman" w:cs="Times New Roman"/>
                <w:sz w:val="20"/>
                <w:szCs w:val="20"/>
              </w:rPr>
              <w:t>H-position</w:t>
            </w:r>
          </w:p>
        </w:tc>
        <w:tc>
          <w:tcPr>
            <w:tcW w:w="0" w:type="auto"/>
            <w:tcBorders>
              <w:top w:val="single" w:sz="4" w:space="0" w:color="auto"/>
              <w:bottom w:val="single" w:sz="4" w:space="0" w:color="auto"/>
            </w:tcBorders>
          </w:tcPr>
          <w:p w14:paraId="01F89376" w14:textId="77777777" w:rsidR="001212CD" w:rsidRPr="001212CD" w:rsidRDefault="001212CD" w:rsidP="001B1157">
            <w:pPr>
              <w:spacing w:before="60"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Integrations</w:t>
            </w:r>
          </w:p>
        </w:tc>
        <w:tc>
          <w:tcPr>
            <w:tcW w:w="0" w:type="auto"/>
            <w:tcBorders>
              <w:top w:val="single" w:sz="4" w:space="0" w:color="auto"/>
              <w:bottom w:val="single" w:sz="4" w:space="0" w:color="auto"/>
            </w:tcBorders>
          </w:tcPr>
          <w:p w14:paraId="383DB590" w14:textId="48891718"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212CD">
              <w:rPr>
                <w:rFonts w:ascii="Times New Roman" w:hAnsi="Times New Roman" w:cs="Times New Roman"/>
                <w:sz w:val="20"/>
                <w:szCs w:val="20"/>
              </w:rPr>
              <w:t>Chemical shift, δ</w:t>
            </w:r>
          </w:p>
          <w:p w14:paraId="326B28C9" w14:textId="77777777" w:rsidR="001212CD" w:rsidRPr="001212CD" w:rsidRDefault="001212CD" w:rsidP="001B115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(ppm)</w:t>
            </w:r>
          </w:p>
        </w:tc>
        <w:tc>
          <w:tcPr>
            <w:tcW w:w="0" w:type="auto"/>
            <w:tcBorders>
              <w:top w:val="single" w:sz="4" w:space="0" w:color="auto"/>
              <w:bottom w:val="single" w:sz="4" w:space="0" w:color="auto"/>
            </w:tcBorders>
          </w:tcPr>
          <w:p w14:paraId="54087ED6"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Multiplicity</w:t>
            </w:r>
          </w:p>
        </w:tc>
      </w:tr>
      <w:tr w:rsidR="001212CD" w:rsidRPr="001212CD" w14:paraId="10761990" w14:textId="77777777" w:rsidTr="001B11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665AFA8F"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1</w:t>
            </w:r>
          </w:p>
        </w:tc>
        <w:tc>
          <w:tcPr>
            <w:tcW w:w="0" w:type="auto"/>
            <w:tcBorders>
              <w:top w:val="single" w:sz="4" w:space="0" w:color="auto"/>
              <w:bottom w:val="nil"/>
            </w:tcBorders>
          </w:tcPr>
          <w:p w14:paraId="4B4B2A6C" w14:textId="77777777" w:rsidR="001212CD" w:rsidRPr="001212CD" w:rsidRDefault="001212CD" w:rsidP="001B1157">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6H</w:t>
            </w:r>
          </w:p>
        </w:tc>
        <w:tc>
          <w:tcPr>
            <w:tcW w:w="0" w:type="auto"/>
            <w:tcBorders>
              <w:top w:val="single" w:sz="4" w:space="0" w:color="auto"/>
              <w:bottom w:val="nil"/>
            </w:tcBorders>
          </w:tcPr>
          <w:p w14:paraId="1DA74F59"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2.22</w:t>
            </w:r>
          </w:p>
        </w:tc>
        <w:tc>
          <w:tcPr>
            <w:tcW w:w="0" w:type="auto"/>
            <w:tcBorders>
              <w:top w:val="single" w:sz="4" w:space="0" w:color="auto"/>
              <w:bottom w:val="nil"/>
            </w:tcBorders>
          </w:tcPr>
          <w:p w14:paraId="369BC234"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s</w:t>
            </w:r>
          </w:p>
        </w:tc>
      </w:tr>
      <w:tr w:rsidR="001212CD" w:rsidRPr="001212CD" w14:paraId="33D1B395" w14:textId="77777777" w:rsidTr="004F108E">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DBF6688"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2</w:t>
            </w:r>
          </w:p>
        </w:tc>
        <w:tc>
          <w:tcPr>
            <w:tcW w:w="0" w:type="auto"/>
            <w:tcBorders>
              <w:top w:val="nil"/>
              <w:bottom w:val="nil"/>
            </w:tcBorders>
          </w:tcPr>
          <w:p w14:paraId="52CD323E" w14:textId="77777777" w:rsidR="001212CD" w:rsidRPr="001212CD" w:rsidRDefault="001212CD" w:rsidP="001B1157">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6H</w:t>
            </w:r>
          </w:p>
        </w:tc>
        <w:tc>
          <w:tcPr>
            <w:tcW w:w="0" w:type="auto"/>
            <w:tcBorders>
              <w:top w:val="nil"/>
              <w:bottom w:val="nil"/>
            </w:tcBorders>
          </w:tcPr>
          <w:p w14:paraId="250D4F43"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2.66</w:t>
            </w:r>
          </w:p>
        </w:tc>
        <w:tc>
          <w:tcPr>
            <w:tcW w:w="0" w:type="auto"/>
            <w:tcBorders>
              <w:top w:val="nil"/>
              <w:bottom w:val="nil"/>
            </w:tcBorders>
          </w:tcPr>
          <w:p w14:paraId="0AA695E9"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s</w:t>
            </w:r>
          </w:p>
        </w:tc>
      </w:tr>
      <w:tr w:rsidR="001212CD" w:rsidRPr="001212CD" w14:paraId="1772691D" w14:textId="77777777" w:rsidTr="004F10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EE32DDA"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3</w:t>
            </w:r>
          </w:p>
        </w:tc>
        <w:tc>
          <w:tcPr>
            <w:tcW w:w="0" w:type="auto"/>
            <w:tcBorders>
              <w:top w:val="nil"/>
              <w:bottom w:val="nil"/>
            </w:tcBorders>
          </w:tcPr>
          <w:p w14:paraId="3C62CC0D" w14:textId="77777777" w:rsidR="001212CD" w:rsidRPr="001212CD" w:rsidRDefault="001212CD" w:rsidP="001B1157">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2H</w:t>
            </w:r>
          </w:p>
        </w:tc>
        <w:tc>
          <w:tcPr>
            <w:tcW w:w="0" w:type="auto"/>
            <w:tcBorders>
              <w:top w:val="nil"/>
              <w:bottom w:val="nil"/>
            </w:tcBorders>
          </w:tcPr>
          <w:p w14:paraId="353AEFFB"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6.09</w:t>
            </w:r>
          </w:p>
        </w:tc>
        <w:tc>
          <w:tcPr>
            <w:tcW w:w="0" w:type="auto"/>
            <w:tcBorders>
              <w:top w:val="nil"/>
              <w:bottom w:val="nil"/>
            </w:tcBorders>
          </w:tcPr>
          <w:p w14:paraId="3115412F"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s</w:t>
            </w:r>
          </w:p>
        </w:tc>
      </w:tr>
      <w:tr w:rsidR="001212CD" w:rsidRPr="001212CD" w14:paraId="4499909B" w14:textId="77777777" w:rsidTr="001B115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1B374A7D"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4</w:t>
            </w:r>
          </w:p>
        </w:tc>
        <w:tc>
          <w:tcPr>
            <w:tcW w:w="0" w:type="auto"/>
            <w:tcBorders>
              <w:top w:val="nil"/>
              <w:bottom w:val="nil"/>
            </w:tcBorders>
          </w:tcPr>
          <w:p w14:paraId="333165CB" w14:textId="77777777" w:rsidR="001212CD" w:rsidRPr="001212CD" w:rsidRDefault="001212CD" w:rsidP="001B1157">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1H</w:t>
            </w:r>
          </w:p>
        </w:tc>
        <w:tc>
          <w:tcPr>
            <w:tcW w:w="0" w:type="auto"/>
            <w:tcBorders>
              <w:top w:val="nil"/>
              <w:bottom w:val="nil"/>
            </w:tcBorders>
          </w:tcPr>
          <w:p w14:paraId="091AE20F"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7.50</w:t>
            </w:r>
          </w:p>
        </w:tc>
        <w:tc>
          <w:tcPr>
            <w:tcW w:w="0" w:type="auto"/>
            <w:tcBorders>
              <w:top w:val="nil"/>
              <w:bottom w:val="nil"/>
            </w:tcBorders>
          </w:tcPr>
          <w:p w14:paraId="675F0D99"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w:t>
            </w:r>
          </w:p>
        </w:tc>
      </w:tr>
      <w:tr w:rsidR="001212CD" w:rsidRPr="001212CD" w14:paraId="65779CC7" w14:textId="77777777" w:rsidTr="001B11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524D64F9" w14:textId="77777777" w:rsidR="001212CD" w:rsidRPr="001212CD" w:rsidRDefault="001212CD" w:rsidP="001B1157">
            <w:pPr>
              <w:spacing w:before="60" w:after="60"/>
              <w:rPr>
                <w:rFonts w:ascii="Times New Roman" w:hAnsi="Times New Roman" w:cs="Times New Roman"/>
                <w:b w:val="0"/>
                <w:bCs w:val="0"/>
                <w:sz w:val="20"/>
                <w:szCs w:val="20"/>
              </w:rPr>
            </w:pPr>
            <w:r w:rsidRPr="001212CD">
              <w:rPr>
                <w:rFonts w:ascii="Times New Roman" w:hAnsi="Times New Roman" w:cs="Times New Roman"/>
                <w:b w:val="0"/>
                <w:bCs w:val="0"/>
                <w:sz w:val="20"/>
                <w:szCs w:val="20"/>
              </w:rPr>
              <w:t>5</w:t>
            </w:r>
          </w:p>
        </w:tc>
        <w:tc>
          <w:tcPr>
            <w:tcW w:w="0" w:type="auto"/>
            <w:tcBorders>
              <w:top w:val="nil"/>
              <w:bottom w:val="single" w:sz="4" w:space="0" w:color="auto"/>
            </w:tcBorders>
          </w:tcPr>
          <w:p w14:paraId="7E27760D" w14:textId="77777777" w:rsidR="001212CD" w:rsidRPr="001212CD" w:rsidRDefault="001212CD" w:rsidP="001B1157">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1H</w:t>
            </w:r>
          </w:p>
        </w:tc>
        <w:tc>
          <w:tcPr>
            <w:tcW w:w="0" w:type="auto"/>
            <w:tcBorders>
              <w:top w:val="nil"/>
              <w:bottom w:val="single" w:sz="4" w:space="0" w:color="auto"/>
            </w:tcBorders>
          </w:tcPr>
          <w:p w14:paraId="4AE8C982"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8.11</w:t>
            </w:r>
          </w:p>
        </w:tc>
        <w:tc>
          <w:tcPr>
            <w:tcW w:w="0" w:type="auto"/>
            <w:tcBorders>
              <w:top w:val="nil"/>
              <w:bottom w:val="single" w:sz="4" w:space="0" w:color="auto"/>
            </w:tcBorders>
          </w:tcPr>
          <w:p w14:paraId="5F875292"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d</w:t>
            </w:r>
          </w:p>
        </w:tc>
      </w:tr>
    </w:tbl>
    <w:p w14:paraId="60640A53" w14:textId="77777777" w:rsidR="001B1157" w:rsidRPr="001212CD" w:rsidRDefault="001B1157" w:rsidP="001B1157">
      <w:pPr>
        <w:spacing w:after="0"/>
        <w:jc w:val="both"/>
        <w:rPr>
          <w:rFonts w:ascii="Times New Roman" w:hAnsi="Times New Roman"/>
          <w:sz w:val="20"/>
          <w:szCs w:val="20"/>
        </w:rPr>
      </w:pPr>
    </w:p>
    <w:p w14:paraId="64364390" w14:textId="3911484D" w:rsidR="001212CD" w:rsidRPr="001212CD" w:rsidRDefault="001212CD" w:rsidP="001B1157">
      <w:pPr>
        <w:spacing w:after="12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282AE0DF" wp14:editId="02CA275B">
            <wp:extent cx="3538728" cy="2706624"/>
            <wp:effectExtent l="19050" t="19050" r="24130" b="17780"/>
            <wp:docPr id="5" name="Picture 5" descr="C:\Users\Shankary\Desktop\MJAS\MJAS DPPMe FTIR with lig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JAS\MJAS DPPMe FTIR with ligand.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340" t="10767" r="11849" b="4502"/>
                    <a:stretch/>
                  </pic:blipFill>
                  <pic:spPr bwMode="auto">
                    <a:xfrm>
                      <a:off x="0" y="0"/>
                      <a:ext cx="3538728" cy="270662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B4001FD" w14:textId="2054874E" w:rsidR="001212CD" w:rsidRPr="00F46191" w:rsidRDefault="001212CD" w:rsidP="00F46191">
      <w:pPr>
        <w:spacing w:after="0"/>
        <w:jc w:val="center"/>
        <w:outlineLvl w:val="0"/>
        <w:rPr>
          <w:rFonts w:ascii="Times New Roman" w:hAnsi="Times New Roman"/>
          <w:bCs/>
          <w:sz w:val="20"/>
          <w:szCs w:val="20"/>
        </w:rPr>
      </w:pPr>
      <w:r w:rsidRPr="001212CD">
        <w:rPr>
          <w:rFonts w:ascii="Times New Roman" w:hAnsi="Times New Roman"/>
          <w:bCs/>
          <w:sz w:val="20"/>
          <w:szCs w:val="20"/>
        </w:rPr>
        <w:t xml:space="preserve">Figure 4. </w:t>
      </w:r>
      <w:r w:rsidR="001B1157">
        <w:rPr>
          <w:rFonts w:ascii="Times New Roman" w:hAnsi="Times New Roman"/>
          <w:bCs/>
          <w:sz w:val="20"/>
          <w:szCs w:val="20"/>
        </w:rPr>
        <w:t xml:space="preserve"> </w:t>
      </w:r>
      <w:r w:rsidRPr="001212CD">
        <w:rPr>
          <w:rFonts w:ascii="Times New Roman" w:hAnsi="Times New Roman"/>
          <w:bCs/>
          <w:sz w:val="20"/>
          <w:szCs w:val="20"/>
        </w:rPr>
        <w:t>IR spectrum of DPPMe ligand</w:t>
      </w:r>
    </w:p>
    <w:p w14:paraId="6617EAA2" w14:textId="70663800" w:rsidR="001212CD" w:rsidRPr="001212CD" w:rsidRDefault="001212CD" w:rsidP="001B1157">
      <w:pPr>
        <w:spacing w:after="120"/>
        <w:jc w:val="center"/>
        <w:outlineLvl w:val="0"/>
        <w:rPr>
          <w:rFonts w:ascii="Times New Roman" w:hAnsi="Times New Roman"/>
          <w:sz w:val="20"/>
          <w:szCs w:val="20"/>
        </w:rPr>
      </w:pPr>
      <w:r w:rsidRPr="001212CD">
        <w:rPr>
          <w:rFonts w:ascii="Times New Roman" w:hAnsi="Times New Roman"/>
          <w:noProof/>
          <w:sz w:val="20"/>
          <w:szCs w:val="20"/>
          <w:lang w:val="en-MY" w:eastAsia="en-MY"/>
        </w:rPr>
        <w:lastRenderedPageBreak/>
        <w:drawing>
          <wp:inline distT="0" distB="0" distL="0" distR="0" wp14:anchorId="27273303" wp14:editId="25DCBAE8">
            <wp:extent cx="3795789" cy="2633472"/>
            <wp:effectExtent l="19050" t="19050" r="14605" b="14605"/>
            <wp:docPr id="6" name="Picture 6" descr="C:\Users\Shankary\Desktop\MSc Thesis\Figures\All metals FTIR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Sc Thesis\Figures\All metals FTIR new.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291" t="9530"/>
                    <a:stretch/>
                  </pic:blipFill>
                  <pic:spPr bwMode="auto">
                    <a:xfrm>
                      <a:off x="0" y="0"/>
                      <a:ext cx="3807042" cy="26412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9136EC" w14:textId="5E68AA9D" w:rsidR="001212CD" w:rsidRPr="001212CD" w:rsidRDefault="001212CD" w:rsidP="001B1157">
      <w:pPr>
        <w:spacing w:after="0"/>
        <w:jc w:val="center"/>
        <w:outlineLvl w:val="0"/>
        <w:rPr>
          <w:rFonts w:ascii="Times New Roman" w:hAnsi="Times New Roman"/>
          <w:sz w:val="20"/>
          <w:szCs w:val="20"/>
        </w:rPr>
      </w:pPr>
      <w:r w:rsidRPr="001212CD">
        <w:rPr>
          <w:rFonts w:ascii="Times New Roman" w:hAnsi="Times New Roman"/>
          <w:sz w:val="20"/>
          <w:szCs w:val="20"/>
        </w:rPr>
        <w:t xml:space="preserve">Figure 5. </w:t>
      </w:r>
      <w:r w:rsidR="001B1157">
        <w:rPr>
          <w:rFonts w:ascii="Times New Roman" w:hAnsi="Times New Roman"/>
          <w:sz w:val="20"/>
          <w:szCs w:val="20"/>
        </w:rPr>
        <w:t xml:space="preserve"> </w:t>
      </w:r>
      <w:r w:rsidRPr="001212CD">
        <w:rPr>
          <w:rFonts w:ascii="Times New Roman" w:hAnsi="Times New Roman"/>
          <w:sz w:val="20"/>
          <w:szCs w:val="20"/>
        </w:rPr>
        <w:t>FTIR spectra comparison of DPPMe ligand and its metal complexes</w:t>
      </w:r>
    </w:p>
    <w:p w14:paraId="30FBDDCC" w14:textId="65D78C7C" w:rsidR="001212CD" w:rsidRDefault="001212CD" w:rsidP="001212CD">
      <w:pPr>
        <w:spacing w:after="0"/>
        <w:jc w:val="both"/>
        <w:outlineLvl w:val="0"/>
        <w:rPr>
          <w:rFonts w:ascii="Times New Roman" w:hAnsi="Times New Roman"/>
          <w:sz w:val="20"/>
          <w:szCs w:val="20"/>
        </w:rPr>
      </w:pPr>
    </w:p>
    <w:p w14:paraId="19355707" w14:textId="77777777" w:rsidR="00F46191" w:rsidRPr="001212CD" w:rsidRDefault="00F46191" w:rsidP="001212CD">
      <w:pPr>
        <w:spacing w:after="0"/>
        <w:jc w:val="both"/>
        <w:outlineLvl w:val="0"/>
        <w:rPr>
          <w:rFonts w:ascii="Times New Roman" w:hAnsi="Times New Roman"/>
          <w:sz w:val="20"/>
          <w:szCs w:val="20"/>
        </w:rPr>
      </w:pPr>
    </w:p>
    <w:p w14:paraId="34475C88" w14:textId="555E1BAD" w:rsidR="001212CD" w:rsidRPr="001212CD" w:rsidRDefault="001212CD" w:rsidP="001B1157">
      <w:pPr>
        <w:spacing w:after="120"/>
        <w:jc w:val="center"/>
        <w:outlineLvl w:val="0"/>
        <w:rPr>
          <w:rFonts w:ascii="Times New Roman" w:hAnsi="Times New Roman"/>
          <w:sz w:val="20"/>
          <w:szCs w:val="20"/>
        </w:rPr>
      </w:pPr>
      <w:r w:rsidRPr="001212CD">
        <w:rPr>
          <w:rFonts w:ascii="Times New Roman" w:hAnsi="Times New Roman"/>
          <w:sz w:val="20"/>
          <w:szCs w:val="20"/>
        </w:rPr>
        <w:t xml:space="preserve">Table 3. </w:t>
      </w:r>
      <w:r w:rsidR="001B1157">
        <w:rPr>
          <w:rFonts w:ascii="Times New Roman" w:hAnsi="Times New Roman"/>
          <w:sz w:val="20"/>
          <w:szCs w:val="20"/>
        </w:rPr>
        <w:t xml:space="preserve"> </w:t>
      </w:r>
      <w:r w:rsidRPr="001212CD">
        <w:rPr>
          <w:rFonts w:ascii="Times New Roman" w:hAnsi="Times New Roman"/>
          <w:sz w:val="20"/>
          <w:szCs w:val="20"/>
        </w:rPr>
        <w:t>FTIR frequencies (in cm</w:t>
      </w:r>
      <w:r w:rsidRPr="001212CD">
        <w:rPr>
          <w:rFonts w:ascii="Times New Roman" w:hAnsi="Times New Roman"/>
          <w:sz w:val="20"/>
          <w:szCs w:val="20"/>
          <w:vertAlign w:val="superscript"/>
        </w:rPr>
        <w:t>-1</w:t>
      </w:r>
      <w:r w:rsidRPr="001212CD">
        <w:rPr>
          <w:rFonts w:ascii="Times New Roman" w:hAnsi="Times New Roman"/>
          <w:sz w:val="20"/>
          <w:szCs w:val="20"/>
        </w:rPr>
        <w:t>) of DPPMe and its metal complexes</w:t>
      </w:r>
    </w:p>
    <w:tbl>
      <w:tblPr>
        <w:tblStyle w:val="PlainTable2"/>
        <w:tblW w:w="0" w:type="auto"/>
        <w:jc w:val="center"/>
        <w:tblInd w:w="0" w:type="dxa"/>
        <w:tblLook w:val="04A0" w:firstRow="1" w:lastRow="0" w:firstColumn="1" w:lastColumn="0" w:noHBand="0" w:noVBand="1"/>
      </w:tblPr>
      <w:tblGrid>
        <w:gridCol w:w="1172"/>
        <w:gridCol w:w="1422"/>
        <w:gridCol w:w="1600"/>
        <w:gridCol w:w="1600"/>
        <w:gridCol w:w="1444"/>
      </w:tblGrid>
      <w:tr w:rsidR="001212CD" w:rsidRPr="001212CD" w14:paraId="7FBB605A" w14:textId="77777777" w:rsidTr="001B1157">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vAlign w:val="center"/>
          </w:tcPr>
          <w:p w14:paraId="30B59CD5" w14:textId="77777777" w:rsidR="001212CD" w:rsidRPr="001212CD" w:rsidRDefault="001212CD" w:rsidP="001B1157">
            <w:pPr>
              <w:spacing w:after="0"/>
              <w:rPr>
                <w:rFonts w:ascii="Times New Roman" w:hAnsi="Times New Roman" w:cs="Times New Roman"/>
                <w:bCs w:val="0"/>
                <w:sz w:val="20"/>
                <w:szCs w:val="20"/>
              </w:rPr>
            </w:pPr>
            <w:r w:rsidRPr="001212CD">
              <w:rPr>
                <w:rFonts w:ascii="Times New Roman" w:hAnsi="Times New Roman" w:cs="Times New Roman"/>
                <w:bCs w:val="0"/>
                <w:sz w:val="20"/>
                <w:szCs w:val="20"/>
              </w:rPr>
              <w:t>Compound</w:t>
            </w:r>
          </w:p>
        </w:tc>
        <w:tc>
          <w:tcPr>
            <w:tcW w:w="0" w:type="auto"/>
            <w:tcBorders>
              <w:top w:val="single" w:sz="4" w:space="0" w:color="auto"/>
              <w:bottom w:val="single" w:sz="4" w:space="0" w:color="auto"/>
            </w:tcBorders>
            <w:vAlign w:val="center"/>
          </w:tcPr>
          <w:p w14:paraId="424E5F89"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Pyrazole Ring</w:t>
            </w:r>
          </w:p>
          <w:p w14:paraId="53B3E189" w14:textId="489DF032" w:rsidR="001212CD" w:rsidRPr="001212CD" w:rsidRDefault="001212CD" w:rsidP="001B11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(C=N)</w:t>
            </w:r>
          </w:p>
        </w:tc>
        <w:tc>
          <w:tcPr>
            <w:tcW w:w="0" w:type="auto"/>
            <w:tcBorders>
              <w:top w:val="single" w:sz="4" w:space="0" w:color="auto"/>
              <w:bottom w:val="single" w:sz="4" w:space="0" w:color="auto"/>
            </w:tcBorders>
          </w:tcPr>
          <w:p w14:paraId="36E02BA6"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Pyridazine Ring</w:t>
            </w:r>
          </w:p>
          <w:p w14:paraId="50F741D7" w14:textId="6E147B56" w:rsidR="001212CD" w:rsidRPr="001212CD" w:rsidRDefault="001212CD" w:rsidP="001B11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(C=N)</w:t>
            </w:r>
          </w:p>
        </w:tc>
        <w:tc>
          <w:tcPr>
            <w:tcW w:w="0" w:type="auto"/>
            <w:tcBorders>
              <w:top w:val="single" w:sz="4" w:space="0" w:color="auto"/>
              <w:bottom w:val="single" w:sz="4" w:space="0" w:color="auto"/>
            </w:tcBorders>
          </w:tcPr>
          <w:p w14:paraId="38A5BA56"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Pyridazine Ring</w:t>
            </w:r>
          </w:p>
          <w:p w14:paraId="48EA37EE" w14:textId="77777777" w:rsidR="001212CD" w:rsidRPr="001212CD" w:rsidRDefault="001212CD" w:rsidP="001B115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(N-N)</w:t>
            </w:r>
          </w:p>
        </w:tc>
        <w:tc>
          <w:tcPr>
            <w:tcW w:w="0" w:type="auto"/>
            <w:tcBorders>
              <w:top w:val="single" w:sz="4" w:space="0" w:color="auto"/>
              <w:bottom w:val="single" w:sz="4" w:space="0" w:color="auto"/>
            </w:tcBorders>
          </w:tcPr>
          <w:p w14:paraId="5C707243" w14:textId="77777777" w:rsidR="001212CD" w:rsidRPr="001212CD" w:rsidRDefault="001212CD" w:rsidP="001B1157">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Methyl Group</w:t>
            </w:r>
          </w:p>
          <w:p w14:paraId="60DC5525" w14:textId="77777777" w:rsidR="001212CD" w:rsidRPr="001212CD" w:rsidRDefault="001212CD" w:rsidP="001B1157">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sidRPr="001212CD">
              <w:rPr>
                <w:rFonts w:ascii="Times New Roman" w:hAnsi="Times New Roman" w:cs="Times New Roman"/>
                <w:bCs w:val="0"/>
                <w:sz w:val="20"/>
                <w:szCs w:val="20"/>
              </w:rPr>
              <w:t>(C-H)</w:t>
            </w:r>
          </w:p>
        </w:tc>
      </w:tr>
      <w:tr w:rsidR="001212CD" w:rsidRPr="001212CD" w14:paraId="0F1929A4" w14:textId="77777777" w:rsidTr="001B1157">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526C5CD2"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DPPMe</w:t>
            </w:r>
          </w:p>
        </w:tc>
        <w:tc>
          <w:tcPr>
            <w:tcW w:w="0" w:type="auto"/>
            <w:tcBorders>
              <w:top w:val="single" w:sz="4" w:space="0" w:color="auto"/>
              <w:bottom w:val="nil"/>
            </w:tcBorders>
          </w:tcPr>
          <w:p w14:paraId="2231D582"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1137</w:t>
            </w:r>
          </w:p>
        </w:tc>
        <w:tc>
          <w:tcPr>
            <w:tcW w:w="0" w:type="auto"/>
            <w:tcBorders>
              <w:top w:val="single" w:sz="4" w:space="0" w:color="auto"/>
              <w:bottom w:val="nil"/>
            </w:tcBorders>
          </w:tcPr>
          <w:p w14:paraId="6CD8A14F"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1162</w:t>
            </w:r>
          </w:p>
        </w:tc>
        <w:tc>
          <w:tcPr>
            <w:tcW w:w="0" w:type="auto"/>
            <w:tcBorders>
              <w:top w:val="single" w:sz="4" w:space="0" w:color="auto"/>
              <w:bottom w:val="nil"/>
            </w:tcBorders>
          </w:tcPr>
          <w:p w14:paraId="4DB13FAC"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970</w:t>
            </w:r>
          </w:p>
        </w:tc>
        <w:tc>
          <w:tcPr>
            <w:tcW w:w="0" w:type="auto"/>
            <w:tcBorders>
              <w:top w:val="single" w:sz="4" w:space="0" w:color="auto"/>
              <w:bottom w:val="nil"/>
            </w:tcBorders>
          </w:tcPr>
          <w:p w14:paraId="23E47996"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2926</w:t>
            </w:r>
          </w:p>
        </w:tc>
      </w:tr>
      <w:tr w:rsidR="001212CD" w:rsidRPr="001212CD" w14:paraId="26BFC04A" w14:textId="77777777" w:rsidTr="004F108E">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535F2A41"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Complex 1</w:t>
            </w:r>
          </w:p>
        </w:tc>
        <w:tc>
          <w:tcPr>
            <w:tcW w:w="0" w:type="auto"/>
            <w:tcBorders>
              <w:top w:val="nil"/>
              <w:bottom w:val="nil"/>
            </w:tcBorders>
          </w:tcPr>
          <w:p w14:paraId="04E4E9DE"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1125</w:t>
            </w:r>
          </w:p>
        </w:tc>
        <w:tc>
          <w:tcPr>
            <w:tcW w:w="0" w:type="auto"/>
            <w:tcBorders>
              <w:top w:val="nil"/>
              <w:bottom w:val="nil"/>
            </w:tcBorders>
          </w:tcPr>
          <w:p w14:paraId="5CEC8C7D"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1171</w:t>
            </w:r>
          </w:p>
        </w:tc>
        <w:tc>
          <w:tcPr>
            <w:tcW w:w="0" w:type="auto"/>
            <w:tcBorders>
              <w:top w:val="nil"/>
              <w:bottom w:val="nil"/>
            </w:tcBorders>
          </w:tcPr>
          <w:p w14:paraId="79D68301"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996</w:t>
            </w:r>
          </w:p>
        </w:tc>
        <w:tc>
          <w:tcPr>
            <w:tcW w:w="0" w:type="auto"/>
            <w:tcBorders>
              <w:top w:val="nil"/>
              <w:bottom w:val="nil"/>
            </w:tcBorders>
          </w:tcPr>
          <w:p w14:paraId="356CB746"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2922</w:t>
            </w:r>
          </w:p>
        </w:tc>
      </w:tr>
      <w:tr w:rsidR="001212CD" w:rsidRPr="001212CD" w14:paraId="25CB7BEB" w14:textId="77777777" w:rsidTr="004F108E">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54091C7"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Complex 2</w:t>
            </w:r>
          </w:p>
        </w:tc>
        <w:tc>
          <w:tcPr>
            <w:tcW w:w="0" w:type="auto"/>
            <w:tcBorders>
              <w:top w:val="nil"/>
              <w:bottom w:val="nil"/>
            </w:tcBorders>
          </w:tcPr>
          <w:p w14:paraId="3925504B"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1129</w:t>
            </w:r>
          </w:p>
        </w:tc>
        <w:tc>
          <w:tcPr>
            <w:tcW w:w="0" w:type="auto"/>
            <w:tcBorders>
              <w:top w:val="nil"/>
              <w:bottom w:val="nil"/>
            </w:tcBorders>
          </w:tcPr>
          <w:p w14:paraId="67860E48"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1168</w:t>
            </w:r>
          </w:p>
        </w:tc>
        <w:tc>
          <w:tcPr>
            <w:tcW w:w="0" w:type="auto"/>
            <w:tcBorders>
              <w:top w:val="nil"/>
              <w:bottom w:val="nil"/>
            </w:tcBorders>
          </w:tcPr>
          <w:p w14:paraId="1CDED379"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988</w:t>
            </w:r>
          </w:p>
        </w:tc>
        <w:tc>
          <w:tcPr>
            <w:tcW w:w="0" w:type="auto"/>
            <w:tcBorders>
              <w:top w:val="nil"/>
              <w:bottom w:val="nil"/>
            </w:tcBorders>
          </w:tcPr>
          <w:p w14:paraId="2B639157" w14:textId="77777777" w:rsidR="001212CD" w:rsidRPr="001212CD" w:rsidRDefault="001212CD" w:rsidP="001B115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2923</w:t>
            </w:r>
          </w:p>
        </w:tc>
      </w:tr>
      <w:tr w:rsidR="001212CD" w:rsidRPr="001212CD" w14:paraId="6917F8ED" w14:textId="77777777" w:rsidTr="001B1157">
        <w:trPr>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A5D9A86" w14:textId="77777777" w:rsidR="001212CD" w:rsidRPr="001212CD" w:rsidRDefault="001212CD" w:rsidP="001B1157">
            <w:pPr>
              <w:spacing w:before="60" w:after="0"/>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Complex 3</w:t>
            </w:r>
          </w:p>
        </w:tc>
        <w:tc>
          <w:tcPr>
            <w:tcW w:w="0" w:type="auto"/>
            <w:tcBorders>
              <w:top w:val="nil"/>
              <w:bottom w:val="nil"/>
            </w:tcBorders>
          </w:tcPr>
          <w:p w14:paraId="43FDCA57"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1127</w:t>
            </w:r>
          </w:p>
        </w:tc>
        <w:tc>
          <w:tcPr>
            <w:tcW w:w="0" w:type="auto"/>
            <w:tcBorders>
              <w:top w:val="nil"/>
              <w:bottom w:val="nil"/>
            </w:tcBorders>
          </w:tcPr>
          <w:p w14:paraId="7A484644"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1169</w:t>
            </w:r>
          </w:p>
        </w:tc>
        <w:tc>
          <w:tcPr>
            <w:tcW w:w="0" w:type="auto"/>
            <w:tcBorders>
              <w:top w:val="nil"/>
              <w:bottom w:val="nil"/>
            </w:tcBorders>
          </w:tcPr>
          <w:p w14:paraId="41BC96AA"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989</w:t>
            </w:r>
          </w:p>
        </w:tc>
        <w:tc>
          <w:tcPr>
            <w:tcW w:w="0" w:type="auto"/>
            <w:tcBorders>
              <w:top w:val="nil"/>
              <w:bottom w:val="nil"/>
            </w:tcBorders>
          </w:tcPr>
          <w:p w14:paraId="7AECCA40" w14:textId="77777777" w:rsidR="001212CD" w:rsidRPr="001212CD" w:rsidRDefault="001212CD" w:rsidP="001B115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2922</w:t>
            </w:r>
          </w:p>
        </w:tc>
      </w:tr>
      <w:tr w:rsidR="001212CD" w:rsidRPr="001212CD" w14:paraId="158B637F" w14:textId="77777777" w:rsidTr="001B115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57B589B7" w14:textId="77777777" w:rsidR="001212CD" w:rsidRPr="001212CD" w:rsidRDefault="001212CD" w:rsidP="001B1157">
            <w:pPr>
              <w:spacing w:before="60" w:after="60"/>
              <w:rPr>
                <w:rFonts w:ascii="Times New Roman" w:hAnsi="Times New Roman" w:cs="Times New Roman"/>
                <w:b w:val="0"/>
                <w:bCs w:val="0"/>
                <w:sz w:val="20"/>
                <w:szCs w:val="20"/>
              </w:rPr>
            </w:pPr>
            <w:r w:rsidRPr="001212CD">
              <w:rPr>
                <w:rFonts w:ascii="Times New Roman" w:hAnsi="Times New Roman" w:cs="Times New Roman"/>
                <w:b w:val="0"/>
                <w:bCs w:val="0"/>
                <w:sz w:val="20"/>
                <w:szCs w:val="20"/>
              </w:rPr>
              <w:t>Complex 4</w:t>
            </w:r>
          </w:p>
        </w:tc>
        <w:tc>
          <w:tcPr>
            <w:tcW w:w="0" w:type="auto"/>
            <w:tcBorders>
              <w:top w:val="nil"/>
              <w:bottom w:val="single" w:sz="4" w:space="0" w:color="auto"/>
            </w:tcBorders>
          </w:tcPr>
          <w:p w14:paraId="6A7127B7"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1126</w:t>
            </w:r>
          </w:p>
        </w:tc>
        <w:tc>
          <w:tcPr>
            <w:tcW w:w="0" w:type="auto"/>
            <w:tcBorders>
              <w:top w:val="nil"/>
              <w:bottom w:val="single" w:sz="4" w:space="0" w:color="auto"/>
            </w:tcBorders>
          </w:tcPr>
          <w:p w14:paraId="120D8973"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1170</w:t>
            </w:r>
          </w:p>
        </w:tc>
        <w:tc>
          <w:tcPr>
            <w:tcW w:w="0" w:type="auto"/>
            <w:tcBorders>
              <w:top w:val="nil"/>
              <w:bottom w:val="single" w:sz="4" w:space="0" w:color="auto"/>
            </w:tcBorders>
          </w:tcPr>
          <w:p w14:paraId="2C5EBED2"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988</w:t>
            </w:r>
          </w:p>
        </w:tc>
        <w:tc>
          <w:tcPr>
            <w:tcW w:w="0" w:type="auto"/>
            <w:tcBorders>
              <w:top w:val="nil"/>
              <w:bottom w:val="single" w:sz="4" w:space="0" w:color="auto"/>
              <w:right w:val="nil"/>
            </w:tcBorders>
          </w:tcPr>
          <w:p w14:paraId="49CB410D" w14:textId="77777777" w:rsidR="001212CD" w:rsidRPr="001212CD" w:rsidRDefault="001212CD" w:rsidP="001B1157">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2CD">
              <w:rPr>
                <w:rFonts w:ascii="Times New Roman" w:hAnsi="Times New Roman" w:cs="Times New Roman"/>
                <w:sz w:val="20"/>
                <w:szCs w:val="20"/>
              </w:rPr>
              <w:t>2925</w:t>
            </w:r>
          </w:p>
        </w:tc>
      </w:tr>
    </w:tbl>
    <w:p w14:paraId="2FBA485F" w14:textId="67E3E054" w:rsidR="001212CD" w:rsidRDefault="001212CD" w:rsidP="001212CD">
      <w:pPr>
        <w:spacing w:after="0"/>
        <w:jc w:val="both"/>
        <w:rPr>
          <w:rFonts w:ascii="Times New Roman" w:hAnsi="Times New Roman"/>
          <w:sz w:val="20"/>
          <w:szCs w:val="20"/>
        </w:rPr>
      </w:pPr>
    </w:p>
    <w:p w14:paraId="2C21E4D0" w14:textId="77777777" w:rsidR="001B1157" w:rsidRPr="001212CD" w:rsidRDefault="001B1157" w:rsidP="001212CD">
      <w:pPr>
        <w:spacing w:after="0"/>
        <w:jc w:val="both"/>
        <w:rPr>
          <w:rFonts w:ascii="Times New Roman" w:hAnsi="Times New Roman"/>
          <w:sz w:val="20"/>
          <w:szCs w:val="20"/>
        </w:rPr>
      </w:pPr>
    </w:p>
    <w:p w14:paraId="32748ACC" w14:textId="47303F79" w:rsidR="001212CD" w:rsidRPr="001B1157" w:rsidRDefault="001212CD" w:rsidP="001B1157">
      <w:pPr>
        <w:spacing w:after="120"/>
        <w:jc w:val="center"/>
        <w:outlineLvl w:val="0"/>
        <w:rPr>
          <w:rFonts w:ascii="Times New Roman" w:eastAsiaTheme="minorHAnsi" w:hAnsi="Times New Roman"/>
          <w:sz w:val="20"/>
          <w:szCs w:val="20"/>
          <w:lang w:val="en-MY"/>
        </w:rPr>
      </w:pPr>
      <w:r w:rsidRPr="001212CD">
        <w:rPr>
          <w:rFonts w:ascii="Times New Roman" w:eastAsiaTheme="minorHAnsi" w:hAnsi="Times New Roman"/>
          <w:sz w:val="20"/>
          <w:szCs w:val="20"/>
          <w:lang w:val="en-MY"/>
        </w:rPr>
        <w:t xml:space="preserve">Table 4. </w:t>
      </w:r>
      <w:r w:rsidR="001B1157">
        <w:rPr>
          <w:rFonts w:ascii="Times New Roman" w:eastAsiaTheme="minorHAnsi" w:hAnsi="Times New Roman"/>
          <w:sz w:val="20"/>
          <w:szCs w:val="20"/>
          <w:lang w:val="en-MY"/>
        </w:rPr>
        <w:t xml:space="preserve"> </w:t>
      </w:r>
      <w:r w:rsidRPr="001212CD">
        <w:rPr>
          <w:rFonts w:ascii="Times New Roman" w:eastAsiaTheme="minorHAnsi" w:hAnsi="Times New Roman"/>
          <w:sz w:val="20"/>
          <w:szCs w:val="20"/>
          <w:lang w:val="en-MY"/>
        </w:rPr>
        <w:t>Solubility of DPPMe and its metal complexes</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527"/>
        <w:gridCol w:w="1099"/>
        <w:gridCol w:w="2233"/>
      </w:tblGrid>
      <w:tr w:rsidR="001212CD" w:rsidRPr="001212CD" w14:paraId="717E0D18" w14:textId="77777777" w:rsidTr="001B1157">
        <w:trPr>
          <w:trHeight w:val="109"/>
          <w:jc w:val="center"/>
        </w:trPr>
        <w:tc>
          <w:tcPr>
            <w:tcW w:w="0" w:type="auto"/>
            <w:tcBorders>
              <w:top w:val="single" w:sz="4" w:space="0" w:color="auto"/>
              <w:bottom w:val="single" w:sz="4" w:space="0" w:color="auto"/>
            </w:tcBorders>
          </w:tcPr>
          <w:p w14:paraId="3BFD8F73" w14:textId="77777777" w:rsidR="001212CD" w:rsidRPr="001212CD" w:rsidRDefault="001212CD" w:rsidP="001B1157">
            <w:pPr>
              <w:adjustRightInd w:val="0"/>
              <w:spacing w:before="60" w:after="0"/>
              <w:jc w:val="both"/>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Solvent</w:t>
            </w:r>
          </w:p>
        </w:tc>
        <w:tc>
          <w:tcPr>
            <w:tcW w:w="0" w:type="auto"/>
            <w:tcBorders>
              <w:top w:val="single" w:sz="4" w:space="0" w:color="auto"/>
              <w:bottom w:val="single" w:sz="4" w:space="0" w:color="auto"/>
            </w:tcBorders>
          </w:tcPr>
          <w:p w14:paraId="0974F25E" w14:textId="0229028B" w:rsidR="001212CD" w:rsidRPr="001212CD" w:rsidRDefault="001212CD" w:rsidP="001B1157">
            <w:pPr>
              <w:adjustRightInd w:val="0"/>
              <w:spacing w:before="60" w:after="0"/>
              <w:jc w:val="center"/>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Solubility</w:t>
            </w:r>
          </w:p>
          <w:p w14:paraId="6682AD7A" w14:textId="77777777" w:rsidR="001212CD" w:rsidRPr="001212CD" w:rsidRDefault="001212CD" w:rsidP="001B1157">
            <w:pPr>
              <w:adjustRightInd w:val="0"/>
              <w:spacing w:after="60"/>
              <w:jc w:val="center"/>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of DPPMe</w:t>
            </w:r>
          </w:p>
        </w:tc>
        <w:tc>
          <w:tcPr>
            <w:tcW w:w="0" w:type="auto"/>
            <w:tcBorders>
              <w:top w:val="single" w:sz="4" w:space="0" w:color="auto"/>
              <w:bottom w:val="single" w:sz="4" w:space="0" w:color="auto"/>
            </w:tcBorders>
          </w:tcPr>
          <w:p w14:paraId="3E461D67" w14:textId="7A5346C4" w:rsidR="001212CD" w:rsidRPr="001212CD" w:rsidRDefault="001212CD" w:rsidP="001B1157">
            <w:pPr>
              <w:adjustRightInd w:val="0"/>
              <w:spacing w:before="60" w:after="0"/>
              <w:jc w:val="center"/>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Solubility</w:t>
            </w:r>
          </w:p>
          <w:p w14:paraId="22E2CA77" w14:textId="77777777" w:rsidR="001212CD" w:rsidRPr="001212CD" w:rsidRDefault="001212CD" w:rsidP="001B1157">
            <w:pPr>
              <w:adjustRightInd w:val="0"/>
              <w:spacing w:after="0"/>
              <w:jc w:val="center"/>
              <w:rPr>
                <w:rFonts w:ascii="Times New Roman" w:eastAsiaTheme="minorHAnsi" w:hAnsi="Times New Roman" w:cs="Times New Roman"/>
                <w:b/>
                <w:bCs/>
                <w:sz w:val="20"/>
                <w:szCs w:val="20"/>
                <w:lang w:val="en-MY"/>
              </w:rPr>
            </w:pPr>
            <w:r w:rsidRPr="001212CD">
              <w:rPr>
                <w:rFonts w:ascii="Times New Roman" w:eastAsiaTheme="minorHAnsi" w:hAnsi="Times New Roman" w:cs="Times New Roman"/>
                <w:b/>
                <w:bCs/>
                <w:sz w:val="20"/>
                <w:szCs w:val="20"/>
                <w:lang w:val="en-MY"/>
              </w:rPr>
              <w:t>of Metal Complexes 1-4</w:t>
            </w:r>
          </w:p>
        </w:tc>
      </w:tr>
      <w:tr w:rsidR="001212CD" w:rsidRPr="001212CD" w14:paraId="6B584FBA" w14:textId="77777777" w:rsidTr="001B1157">
        <w:trPr>
          <w:trHeight w:val="120"/>
          <w:jc w:val="center"/>
        </w:trPr>
        <w:tc>
          <w:tcPr>
            <w:tcW w:w="0" w:type="auto"/>
            <w:tcBorders>
              <w:top w:val="single" w:sz="4" w:space="0" w:color="auto"/>
            </w:tcBorders>
          </w:tcPr>
          <w:p w14:paraId="0BC95812"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Chloroform</w:t>
            </w:r>
          </w:p>
        </w:tc>
        <w:tc>
          <w:tcPr>
            <w:tcW w:w="0" w:type="auto"/>
            <w:tcBorders>
              <w:top w:val="single" w:sz="4" w:space="0" w:color="auto"/>
            </w:tcBorders>
          </w:tcPr>
          <w:p w14:paraId="464451E0"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c>
          <w:tcPr>
            <w:tcW w:w="0" w:type="auto"/>
            <w:tcBorders>
              <w:top w:val="single" w:sz="4" w:space="0" w:color="auto"/>
            </w:tcBorders>
          </w:tcPr>
          <w:p w14:paraId="4605E613"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1662B18C" w14:textId="77777777" w:rsidTr="004F108E">
        <w:trPr>
          <w:trHeight w:val="120"/>
          <w:jc w:val="center"/>
        </w:trPr>
        <w:tc>
          <w:tcPr>
            <w:tcW w:w="0" w:type="auto"/>
          </w:tcPr>
          <w:p w14:paraId="35F770D5"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Dimethyl sulfoxide (DMSO)</w:t>
            </w:r>
          </w:p>
        </w:tc>
        <w:tc>
          <w:tcPr>
            <w:tcW w:w="0" w:type="auto"/>
          </w:tcPr>
          <w:p w14:paraId="70B06255"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39B9579B"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77388287" w14:textId="77777777" w:rsidTr="004F108E">
        <w:trPr>
          <w:trHeight w:val="120"/>
          <w:jc w:val="center"/>
        </w:trPr>
        <w:tc>
          <w:tcPr>
            <w:tcW w:w="0" w:type="auto"/>
          </w:tcPr>
          <w:p w14:paraId="63421256"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 xml:space="preserve">Acetonitrile </w:t>
            </w:r>
          </w:p>
        </w:tc>
        <w:tc>
          <w:tcPr>
            <w:tcW w:w="0" w:type="auto"/>
          </w:tcPr>
          <w:p w14:paraId="78C65C35"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6CCC5DD4"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41486EF2" w14:textId="77777777" w:rsidTr="004F108E">
        <w:trPr>
          <w:trHeight w:val="120"/>
          <w:jc w:val="center"/>
        </w:trPr>
        <w:tc>
          <w:tcPr>
            <w:tcW w:w="0" w:type="auto"/>
          </w:tcPr>
          <w:p w14:paraId="4DF46044"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 xml:space="preserve">Ethanol </w:t>
            </w:r>
          </w:p>
        </w:tc>
        <w:tc>
          <w:tcPr>
            <w:tcW w:w="0" w:type="auto"/>
          </w:tcPr>
          <w:p w14:paraId="331DE7D9"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1D542CD3"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479BDA42" w14:textId="77777777" w:rsidTr="004F108E">
        <w:trPr>
          <w:trHeight w:val="120"/>
          <w:jc w:val="center"/>
        </w:trPr>
        <w:tc>
          <w:tcPr>
            <w:tcW w:w="0" w:type="auto"/>
          </w:tcPr>
          <w:p w14:paraId="12D52105"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 xml:space="preserve">Methanol </w:t>
            </w:r>
          </w:p>
        </w:tc>
        <w:tc>
          <w:tcPr>
            <w:tcW w:w="0" w:type="auto"/>
          </w:tcPr>
          <w:p w14:paraId="15606DE6"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2F64C30F"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55D9EAA0" w14:textId="77777777" w:rsidTr="001B1157">
        <w:trPr>
          <w:trHeight w:val="120"/>
          <w:jc w:val="center"/>
        </w:trPr>
        <w:tc>
          <w:tcPr>
            <w:tcW w:w="0" w:type="auto"/>
          </w:tcPr>
          <w:p w14:paraId="4110FE94" w14:textId="77777777" w:rsidR="001212CD" w:rsidRPr="001212CD" w:rsidRDefault="001212CD" w:rsidP="001B1157">
            <w:pPr>
              <w:adjustRightInd w:val="0"/>
              <w:spacing w:before="60" w:after="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Dimethyl formamide (DMF)</w:t>
            </w:r>
          </w:p>
        </w:tc>
        <w:tc>
          <w:tcPr>
            <w:tcW w:w="0" w:type="auto"/>
          </w:tcPr>
          <w:p w14:paraId="44033D1F" w14:textId="77777777" w:rsidR="001212CD" w:rsidRPr="001212CD" w:rsidRDefault="001212CD" w:rsidP="001B1157">
            <w:pPr>
              <w:pStyle w:val="Default"/>
              <w:spacing w:before="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Pr>
          <w:p w14:paraId="4B4CA16F" w14:textId="77777777" w:rsidR="001212CD" w:rsidRPr="001212CD" w:rsidRDefault="001212CD" w:rsidP="001B1157">
            <w:pPr>
              <w:adjustRightInd w:val="0"/>
              <w:spacing w:before="60" w:after="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r w:rsidR="001212CD" w:rsidRPr="001212CD" w14:paraId="0EE56A68" w14:textId="77777777" w:rsidTr="001B1157">
        <w:trPr>
          <w:trHeight w:val="120"/>
          <w:jc w:val="center"/>
        </w:trPr>
        <w:tc>
          <w:tcPr>
            <w:tcW w:w="0" w:type="auto"/>
            <w:tcBorders>
              <w:bottom w:val="single" w:sz="4" w:space="0" w:color="auto"/>
            </w:tcBorders>
          </w:tcPr>
          <w:p w14:paraId="240AEB05" w14:textId="77777777" w:rsidR="001212CD" w:rsidRPr="001212CD" w:rsidRDefault="001212CD" w:rsidP="001B1157">
            <w:pPr>
              <w:adjustRightInd w:val="0"/>
              <w:spacing w:before="60" w:after="60"/>
              <w:jc w:val="both"/>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t>Tetrahydrofuran (THF)</w:t>
            </w:r>
          </w:p>
        </w:tc>
        <w:tc>
          <w:tcPr>
            <w:tcW w:w="0" w:type="auto"/>
            <w:tcBorders>
              <w:bottom w:val="single" w:sz="4" w:space="0" w:color="auto"/>
            </w:tcBorders>
          </w:tcPr>
          <w:p w14:paraId="51E6F210" w14:textId="77777777" w:rsidR="001212CD" w:rsidRPr="001212CD" w:rsidRDefault="001212CD" w:rsidP="001B1157">
            <w:pPr>
              <w:pStyle w:val="Default"/>
              <w:spacing w:before="60" w:after="60" w:line="276" w:lineRule="auto"/>
              <w:jc w:val="center"/>
              <w:rPr>
                <w:rFonts w:cs="Times New Roman"/>
                <w:bCs/>
                <w:color w:val="auto"/>
                <w:sz w:val="20"/>
                <w:szCs w:val="20"/>
              </w:rPr>
            </w:pPr>
            <w:r w:rsidRPr="001212CD">
              <w:rPr>
                <w:rFonts w:cs="Times New Roman"/>
                <w:bCs/>
                <w:color w:val="auto"/>
                <w:sz w:val="20"/>
                <w:szCs w:val="20"/>
              </w:rPr>
              <w:sym w:font="Wingdings" w:char="F0FB"/>
            </w:r>
          </w:p>
        </w:tc>
        <w:tc>
          <w:tcPr>
            <w:tcW w:w="0" w:type="auto"/>
            <w:tcBorders>
              <w:bottom w:val="single" w:sz="4" w:space="0" w:color="auto"/>
            </w:tcBorders>
          </w:tcPr>
          <w:p w14:paraId="23E12216" w14:textId="77777777" w:rsidR="001212CD" w:rsidRPr="001212CD" w:rsidRDefault="001212CD" w:rsidP="001B1157">
            <w:pPr>
              <w:adjustRightInd w:val="0"/>
              <w:spacing w:before="60" w:after="60"/>
              <w:jc w:val="center"/>
              <w:rPr>
                <w:rFonts w:ascii="Times New Roman" w:eastAsiaTheme="minorHAnsi" w:hAnsi="Times New Roman" w:cs="Times New Roman"/>
                <w:bCs/>
                <w:sz w:val="20"/>
                <w:szCs w:val="20"/>
                <w:lang w:val="en-MY"/>
              </w:rPr>
            </w:pPr>
            <w:r w:rsidRPr="001212CD">
              <w:rPr>
                <w:rFonts w:ascii="Times New Roman" w:eastAsiaTheme="minorHAnsi" w:hAnsi="Times New Roman" w:cs="Times New Roman"/>
                <w:bCs/>
                <w:sz w:val="20"/>
                <w:szCs w:val="20"/>
                <w:lang w:val="en-MY"/>
              </w:rPr>
              <w:sym w:font="Wingdings" w:char="F0FC"/>
            </w:r>
          </w:p>
        </w:tc>
      </w:tr>
    </w:tbl>
    <w:p w14:paraId="122FC50B" w14:textId="67CEB6DA" w:rsidR="001212CD" w:rsidRDefault="001212CD" w:rsidP="001212CD">
      <w:pPr>
        <w:spacing w:after="0"/>
        <w:jc w:val="both"/>
        <w:outlineLvl w:val="0"/>
        <w:rPr>
          <w:rFonts w:ascii="Times New Roman" w:hAnsi="Times New Roman"/>
          <w:b/>
          <w:bCs/>
          <w:sz w:val="20"/>
          <w:szCs w:val="20"/>
        </w:rPr>
      </w:pPr>
    </w:p>
    <w:p w14:paraId="0DE68C50" w14:textId="77777777" w:rsidR="00361F35" w:rsidRDefault="00361F35" w:rsidP="001212CD">
      <w:pPr>
        <w:spacing w:after="0"/>
        <w:jc w:val="both"/>
        <w:outlineLvl w:val="0"/>
        <w:rPr>
          <w:rFonts w:ascii="Times New Roman" w:hAnsi="Times New Roman"/>
          <w:b/>
          <w:bCs/>
          <w:sz w:val="20"/>
          <w:szCs w:val="20"/>
        </w:rPr>
        <w:sectPr w:rsidR="00361F35" w:rsidSect="00F51E6D">
          <w:footerReference w:type="even" r:id="rId21"/>
          <w:footerReference w:type="default" r:id="rId22"/>
          <w:type w:val="continuous"/>
          <w:pgSz w:w="12240" w:h="15840" w:code="1"/>
          <w:pgMar w:top="1800" w:right="1469" w:bottom="1699" w:left="1440" w:header="706" w:footer="706" w:gutter="0"/>
          <w:pgNumType w:start="0"/>
          <w:cols w:space="708"/>
          <w:docGrid w:linePitch="360"/>
        </w:sectPr>
      </w:pPr>
    </w:p>
    <w:p w14:paraId="666597EC" w14:textId="77777777" w:rsidR="001B1157" w:rsidRPr="001212CD" w:rsidRDefault="001B1157" w:rsidP="001212CD">
      <w:pPr>
        <w:spacing w:after="0"/>
        <w:jc w:val="both"/>
        <w:outlineLvl w:val="0"/>
        <w:rPr>
          <w:rFonts w:ascii="Times New Roman" w:hAnsi="Times New Roman"/>
          <w:sz w:val="20"/>
          <w:szCs w:val="20"/>
        </w:rPr>
      </w:pPr>
    </w:p>
    <w:p w14:paraId="3C93E7DF" w14:textId="36C6D845" w:rsidR="001212CD" w:rsidRPr="001212CD" w:rsidRDefault="001212CD" w:rsidP="001B1157">
      <w:pPr>
        <w:spacing w:after="120"/>
        <w:jc w:val="center"/>
        <w:outlineLvl w:val="0"/>
        <w:rPr>
          <w:rFonts w:ascii="Times New Roman" w:hAnsi="Times New Roman"/>
          <w:sz w:val="20"/>
          <w:szCs w:val="20"/>
        </w:rPr>
      </w:pPr>
      <w:r w:rsidRPr="001212CD">
        <w:rPr>
          <w:rFonts w:ascii="Times New Roman" w:hAnsi="Times New Roman"/>
          <w:sz w:val="20"/>
          <w:szCs w:val="20"/>
        </w:rPr>
        <w:t xml:space="preserve">Table 5. </w:t>
      </w:r>
      <w:r w:rsidR="001B1157">
        <w:rPr>
          <w:rFonts w:ascii="Times New Roman" w:hAnsi="Times New Roman"/>
          <w:sz w:val="20"/>
          <w:szCs w:val="20"/>
        </w:rPr>
        <w:t xml:space="preserve"> </w:t>
      </w:r>
      <w:r w:rsidRPr="001212CD">
        <w:rPr>
          <w:rFonts w:ascii="Times New Roman" w:hAnsi="Times New Roman"/>
          <w:sz w:val="20"/>
          <w:szCs w:val="20"/>
        </w:rPr>
        <w:t>The percentages of carbon, hydrogen, and nitrogen in the complexes</w:t>
      </w:r>
    </w:p>
    <w:tbl>
      <w:tblPr>
        <w:tblStyle w:val="PlainTable2"/>
        <w:tblW w:w="0" w:type="auto"/>
        <w:jc w:val="center"/>
        <w:tblInd w:w="0" w:type="dxa"/>
        <w:tblLook w:val="04A0" w:firstRow="1" w:lastRow="0" w:firstColumn="1" w:lastColumn="0" w:noHBand="0" w:noVBand="1"/>
      </w:tblPr>
      <w:tblGrid>
        <w:gridCol w:w="1314"/>
        <w:gridCol w:w="1786"/>
        <w:gridCol w:w="956"/>
        <w:gridCol w:w="1046"/>
        <w:gridCol w:w="956"/>
        <w:gridCol w:w="1046"/>
        <w:gridCol w:w="956"/>
        <w:gridCol w:w="1046"/>
      </w:tblGrid>
      <w:tr w:rsidR="001212CD" w:rsidRPr="00073F60" w14:paraId="29AA88C7" w14:textId="77777777" w:rsidTr="00073F60">
        <w:trPr>
          <w:cnfStyle w:val="100000000000" w:firstRow="1" w:lastRow="0" w:firstColumn="0" w:lastColumn="0" w:oddVBand="0" w:evenVBand="0" w:oddHBand="0" w:evenHBand="0" w:firstRowFirstColumn="0" w:firstRowLastColumn="0" w:lastRowFirstColumn="0" w:lastRowLastColumn="0"/>
          <w:trHeight w:val="95"/>
          <w:jc w:val="center"/>
        </w:trPr>
        <w:tc>
          <w:tcPr>
            <w:cnfStyle w:val="001000000000" w:firstRow="0" w:lastRow="0" w:firstColumn="1" w:lastColumn="0" w:oddVBand="0" w:evenVBand="0" w:oddHBand="0" w:evenHBand="0" w:firstRowFirstColumn="0" w:firstRowLastColumn="0" w:lastRowFirstColumn="0" w:lastRowLastColumn="0"/>
            <w:tcW w:w="1314" w:type="dxa"/>
            <w:vMerge w:val="restart"/>
            <w:tcBorders>
              <w:top w:val="single" w:sz="4" w:space="0" w:color="auto"/>
              <w:bottom w:val="nil"/>
            </w:tcBorders>
            <w:vAlign w:val="center"/>
          </w:tcPr>
          <w:p w14:paraId="113334E0" w14:textId="77777777" w:rsidR="001212CD" w:rsidRPr="00073F60" w:rsidRDefault="001212CD" w:rsidP="00073F60">
            <w:pPr>
              <w:spacing w:after="0"/>
              <w:rPr>
                <w:rFonts w:ascii="Times New Roman" w:hAnsi="Times New Roman" w:cs="Times New Roman"/>
                <w:bCs w:val="0"/>
                <w:sz w:val="18"/>
                <w:szCs w:val="18"/>
              </w:rPr>
            </w:pPr>
            <w:r w:rsidRPr="00073F60">
              <w:rPr>
                <w:rFonts w:ascii="Times New Roman" w:hAnsi="Times New Roman" w:cs="Times New Roman"/>
                <w:bCs w:val="0"/>
                <w:sz w:val="18"/>
                <w:szCs w:val="18"/>
              </w:rPr>
              <w:t>Compound</w:t>
            </w:r>
          </w:p>
        </w:tc>
        <w:tc>
          <w:tcPr>
            <w:tcW w:w="0" w:type="auto"/>
            <w:vMerge w:val="restart"/>
            <w:tcBorders>
              <w:top w:val="single" w:sz="4" w:space="0" w:color="auto"/>
              <w:bottom w:val="nil"/>
            </w:tcBorders>
            <w:vAlign w:val="center"/>
          </w:tcPr>
          <w:p w14:paraId="74802733" w14:textId="77777777" w:rsidR="001212CD" w:rsidRPr="00073F60" w:rsidRDefault="001212CD" w:rsidP="00073F60">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073F60">
              <w:rPr>
                <w:rFonts w:ascii="Times New Roman" w:hAnsi="Times New Roman" w:cs="Times New Roman"/>
                <w:bCs w:val="0"/>
                <w:sz w:val="18"/>
                <w:szCs w:val="18"/>
              </w:rPr>
              <w:t xml:space="preserve">Proposed </w:t>
            </w:r>
          </w:p>
          <w:p w14:paraId="736CC7B6" w14:textId="77777777" w:rsidR="001212CD" w:rsidRPr="00073F60" w:rsidRDefault="001212CD" w:rsidP="00073F60">
            <w:pPr>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073F60">
              <w:rPr>
                <w:rFonts w:ascii="Times New Roman" w:hAnsi="Times New Roman" w:cs="Times New Roman"/>
                <w:bCs w:val="0"/>
                <w:sz w:val="18"/>
                <w:szCs w:val="18"/>
              </w:rPr>
              <w:t>Empirical Formula</w:t>
            </w:r>
          </w:p>
        </w:tc>
        <w:tc>
          <w:tcPr>
            <w:tcW w:w="0" w:type="auto"/>
            <w:gridSpan w:val="2"/>
            <w:tcBorders>
              <w:top w:val="single" w:sz="4" w:space="0" w:color="auto"/>
              <w:bottom w:val="single" w:sz="4" w:space="0" w:color="auto"/>
            </w:tcBorders>
            <w:vAlign w:val="center"/>
          </w:tcPr>
          <w:p w14:paraId="2F367872" w14:textId="77777777" w:rsidR="001212CD" w:rsidRPr="00073F60" w:rsidRDefault="001212CD" w:rsidP="00073F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073F60">
              <w:rPr>
                <w:rFonts w:ascii="Times New Roman" w:hAnsi="Times New Roman" w:cs="Times New Roman"/>
                <w:bCs w:val="0"/>
                <w:sz w:val="18"/>
                <w:szCs w:val="18"/>
              </w:rPr>
              <w:t>C%</w:t>
            </w:r>
          </w:p>
        </w:tc>
        <w:tc>
          <w:tcPr>
            <w:tcW w:w="0" w:type="auto"/>
            <w:gridSpan w:val="2"/>
            <w:tcBorders>
              <w:top w:val="single" w:sz="4" w:space="0" w:color="auto"/>
              <w:bottom w:val="single" w:sz="4" w:space="0" w:color="auto"/>
            </w:tcBorders>
            <w:vAlign w:val="center"/>
          </w:tcPr>
          <w:p w14:paraId="57B77379" w14:textId="77777777" w:rsidR="001212CD" w:rsidRPr="00073F60" w:rsidRDefault="001212CD" w:rsidP="00073F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073F60">
              <w:rPr>
                <w:rFonts w:ascii="Times New Roman" w:hAnsi="Times New Roman" w:cs="Times New Roman"/>
                <w:bCs w:val="0"/>
                <w:sz w:val="18"/>
                <w:szCs w:val="18"/>
              </w:rPr>
              <w:t>H%</w:t>
            </w:r>
          </w:p>
        </w:tc>
        <w:tc>
          <w:tcPr>
            <w:tcW w:w="0" w:type="auto"/>
            <w:gridSpan w:val="2"/>
            <w:tcBorders>
              <w:top w:val="single" w:sz="4" w:space="0" w:color="auto"/>
              <w:bottom w:val="single" w:sz="4" w:space="0" w:color="auto"/>
            </w:tcBorders>
            <w:vAlign w:val="center"/>
          </w:tcPr>
          <w:p w14:paraId="33D5BC6E" w14:textId="77777777" w:rsidR="001212CD" w:rsidRPr="00073F60" w:rsidRDefault="001212CD" w:rsidP="00073F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073F60">
              <w:rPr>
                <w:rFonts w:ascii="Times New Roman" w:hAnsi="Times New Roman" w:cs="Times New Roman"/>
                <w:bCs w:val="0"/>
                <w:sz w:val="18"/>
                <w:szCs w:val="18"/>
              </w:rPr>
              <w:t>N%</w:t>
            </w:r>
          </w:p>
        </w:tc>
      </w:tr>
      <w:tr w:rsidR="001212CD" w:rsidRPr="00073F60" w14:paraId="004B46FE" w14:textId="77777777" w:rsidTr="00073F60">
        <w:trPr>
          <w:cnfStyle w:val="000000100000" w:firstRow="0" w:lastRow="0" w:firstColumn="0" w:lastColumn="0" w:oddVBand="0" w:evenVBand="0" w:oddHBand="1" w:evenHBand="0" w:firstRowFirstColumn="0" w:firstRowLastColumn="0" w:lastRowFirstColumn="0" w:lastRowLastColumn="0"/>
          <w:trHeight w:val="141"/>
          <w:jc w:val="center"/>
        </w:trPr>
        <w:tc>
          <w:tcPr>
            <w:cnfStyle w:val="001000000000" w:firstRow="0" w:lastRow="0" w:firstColumn="1" w:lastColumn="0" w:oddVBand="0" w:evenVBand="0" w:oddHBand="0" w:evenHBand="0" w:firstRowFirstColumn="0" w:firstRowLastColumn="0" w:lastRowFirstColumn="0" w:lastRowLastColumn="0"/>
            <w:tcW w:w="1314" w:type="dxa"/>
            <w:vMerge/>
            <w:tcBorders>
              <w:top w:val="nil"/>
              <w:bottom w:val="single" w:sz="4" w:space="0" w:color="auto"/>
            </w:tcBorders>
            <w:vAlign w:val="center"/>
          </w:tcPr>
          <w:p w14:paraId="0E4DF258" w14:textId="77777777" w:rsidR="001212CD" w:rsidRPr="00073F60" w:rsidRDefault="001212CD" w:rsidP="00073F60">
            <w:pPr>
              <w:spacing w:after="0"/>
              <w:rPr>
                <w:rFonts w:ascii="Times New Roman" w:hAnsi="Times New Roman" w:cs="Times New Roman"/>
                <w:bCs w:val="0"/>
                <w:sz w:val="18"/>
                <w:szCs w:val="18"/>
              </w:rPr>
            </w:pPr>
          </w:p>
        </w:tc>
        <w:tc>
          <w:tcPr>
            <w:tcW w:w="0" w:type="auto"/>
            <w:vMerge/>
            <w:tcBorders>
              <w:top w:val="nil"/>
              <w:bottom w:val="single" w:sz="4" w:space="0" w:color="auto"/>
            </w:tcBorders>
            <w:vAlign w:val="center"/>
          </w:tcPr>
          <w:p w14:paraId="5F56C859" w14:textId="77777777" w:rsidR="001212CD" w:rsidRPr="00073F60" w:rsidRDefault="001212CD" w:rsidP="00073F60">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0" w:type="auto"/>
            <w:tcBorders>
              <w:top w:val="single" w:sz="4" w:space="0" w:color="auto"/>
              <w:bottom w:val="single" w:sz="4" w:space="0" w:color="auto"/>
            </w:tcBorders>
            <w:vAlign w:val="center"/>
          </w:tcPr>
          <w:p w14:paraId="1F50E8E2"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Observed</w:t>
            </w:r>
          </w:p>
        </w:tc>
        <w:tc>
          <w:tcPr>
            <w:tcW w:w="0" w:type="auto"/>
            <w:tcBorders>
              <w:top w:val="single" w:sz="4" w:space="0" w:color="auto"/>
              <w:bottom w:val="single" w:sz="4" w:space="0" w:color="auto"/>
            </w:tcBorders>
            <w:vAlign w:val="center"/>
          </w:tcPr>
          <w:p w14:paraId="7E02E4D0"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Calculated</w:t>
            </w:r>
          </w:p>
        </w:tc>
        <w:tc>
          <w:tcPr>
            <w:tcW w:w="0" w:type="auto"/>
            <w:tcBorders>
              <w:top w:val="single" w:sz="4" w:space="0" w:color="auto"/>
              <w:bottom w:val="single" w:sz="4" w:space="0" w:color="auto"/>
            </w:tcBorders>
            <w:vAlign w:val="center"/>
          </w:tcPr>
          <w:p w14:paraId="5011010A"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Observed</w:t>
            </w:r>
          </w:p>
        </w:tc>
        <w:tc>
          <w:tcPr>
            <w:tcW w:w="0" w:type="auto"/>
            <w:tcBorders>
              <w:top w:val="single" w:sz="4" w:space="0" w:color="auto"/>
              <w:bottom w:val="single" w:sz="4" w:space="0" w:color="auto"/>
            </w:tcBorders>
            <w:vAlign w:val="center"/>
          </w:tcPr>
          <w:p w14:paraId="3761B1AD"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Calculated</w:t>
            </w:r>
          </w:p>
        </w:tc>
        <w:tc>
          <w:tcPr>
            <w:tcW w:w="0" w:type="auto"/>
            <w:tcBorders>
              <w:top w:val="single" w:sz="4" w:space="0" w:color="auto"/>
              <w:bottom w:val="single" w:sz="4" w:space="0" w:color="auto"/>
            </w:tcBorders>
            <w:vAlign w:val="center"/>
          </w:tcPr>
          <w:p w14:paraId="39EA19E8" w14:textId="77777777" w:rsidR="001212CD" w:rsidRPr="00073F60" w:rsidRDefault="001212CD" w:rsidP="00073F60">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Observed</w:t>
            </w:r>
          </w:p>
        </w:tc>
        <w:tc>
          <w:tcPr>
            <w:tcW w:w="0" w:type="auto"/>
            <w:tcBorders>
              <w:top w:val="single" w:sz="4" w:space="0" w:color="auto"/>
              <w:bottom w:val="single" w:sz="4" w:space="0" w:color="auto"/>
            </w:tcBorders>
            <w:vAlign w:val="center"/>
          </w:tcPr>
          <w:p w14:paraId="64F0ADE0" w14:textId="77777777" w:rsidR="001212CD" w:rsidRPr="00073F60" w:rsidRDefault="001212CD" w:rsidP="00073F60">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sidRPr="00073F60">
              <w:rPr>
                <w:rFonts w:ascii="Times New Roman" w:hAnsi="Times New Roman" w:cs="Times New Roman"/>
                <w:b/>
                <w:bCs/>
                <w:sz w:val="18"/>
                <w:szCs w:val="18"/>
              </w:rPr>
              <w:t>Calculated</w:t>
            </w:r>
          </w:p>
        </w:tc>
      </w:tr>
      <w:tr w:rsidR="00F51E6D" w:rsidRPr="00073F60" w14:paraId="5850F6C7" w14:textId="77777777" w:rsidTr="00073F60">
        <w:trPr>
          <w:trHeight w:val="56"/>
          <w:jc w:val="center"/>
        </w:trPr>
        <w:tc>
          <w:tcPr>
            <w:cnfStyle w:val="001000000000" w:firstRow="0" w:lastRow="0" w:firstColumn="1" w:lastColumn="0" w:oddVBand="0" w:evenVBand="0" w:oddHBand="0" w:evenHBand="0" w:firstRowFirstColumn="0" w:firstRowLastColumn="0" w:lastRowFirstColumn="0" w:lastRowLastColumn="0"/>
            <w:tcW w:w="1314" w:type="dxa"/>
            <w:tcBorders>
              <w:top w:val="single" w:sz="4" w:space="0" w:color="auto"/>
              <w:bottom w:val="nil"/>
            </w:tcBorders>
            <w:vAlign w:val="center"/>
          </w:tcPr>
          <w:p w14:paraId="62EF1EDE" w14:textId="77777777" w:rsidR="001212CD" w:rsidRPr="00073F60" w:rsidRDefault="001212CD" w:rsidP="00073F60">
            <w:pPr>
              <w:spacing w:before="60" w:after="0"/>
              <w:rPr>
                <w:rFonts w:ascii="Times New Roman" w:hAnsi="Times New Roman" w:cs="Times New Roman"/>
                <w:b w:val="0"/>
                <w:bCs w:val="0"/>
                <w:sz w:val="18"/>
                <w:szCs w:val="18"/>
              </w:rPr>
            </w:pPr>
            <w:r w:rsidRPr="00073F60">
              <w:rPr>
                <w:rFonts w:ascii="Times New Roman" w:hAnsi="Times New Roman" w:cs="Times New Roman"/>
                <w:b w:val="0"/>
                <w:bCs w:val="0"/>
                <w:sz w:val="18"/>
                <w:szCs w:val="18"/>
              </w:rPr>
              <w:t>DPPMe</w:t>
            </w:r>
          </w:p>
        </w:tc>
        <w:tc>
          <w:tcPr>
            <w:tcW w:w="0" w:type="auto"/>
            <w:tcBorders>
              <w:top w:val="single" w:sz="4" w:space="0" w:color="auto"/>
              <w:bottom w:val="nil"/>
            </w:tcBorders>
            <w:vAlign w:val="center"/>
          </w:tcPr>
          <w:p w14:paraId="0A800504" w14:textId="77777777" w:rsidR="001212CD" w:rsidRPr="00073F60" w:rsidRDefault="001212CD" w:rsidP="00073F60">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p>
        </w:tc>
        <w:tc>
          <w:tcPr>
            <w:tcW w:w="0" w:type="auto"/>
            <w:tcBorders>
              <w:top w:val="single" w:sz="4" w:space="0" w:color="auto"/>
              <w:bottom w:val="nil"/>
            </w:tcBorders>
            <w:vAlign w:val="center"/>
          </w:tcPr>
          <w:p w14:paraId="6C4D2E90" w14:textId="77777777" w:rsidR="001212CD" w:rsidRPr="00073F60" w:rsidRDefault="001212CD" w:rsidP="00073F60">
            <w:pPr>
              <w:spacing w:before="60" w:after="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62.70</w:t>
            </w:r>
          </w:p>
        </w:tc>
        <w:tc>
          <w:tcPr>
            <w:tcW w:w="0" w:type="auto"/>
            <w:tcBorders>
              <w:top w:val="single" w:sz="4" w:space="0" w:color="auto"/>
              <w:bottom w:val="nil"/>
            </w:tcBorders>
            <w:vAlign w:val="center"/>
          </w:tcPr>
          <w:p w14:paraId="6800286C" w14:textId="77777777" w:rsidR="001212CD" w:rsidRPr="00073F60" w:rsidRDefault="001212CD" w:rsidP="00073F60">
            <w:pPr>
              <w:spacing w:before="60" w:after="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64.52</w:t>
            </w:r>
          </w:p>
        </w:tc>
        <w:tc>
          <w:tcPr>
            <w:tcW w:w="0" w:type="auto"/>
            <w:tcBorders>
              <w:top w:val="single" w:sz="4" w:space="0" w:color="auto"/>
              <w:bottom w:val="nil"/>
            </w:tcBorders>
            <w:vAlign w:val="center"/>
          </w:tcPr>
          <w:p w14:paraId="691B9677" w14:textId="77777777" w:rsidR="001212CD" w:rsidRPr="00073F60" w:rsidRDefault="001212CD" w:rsidP="00073F60">
            <w:pPr>
              <w:spacing w:before="60" w:after="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8.58</w:t>
            </w:r>
          </w:p>
        </w:tc>
        <w:tc>
          <w:tcPr>
            <w:tcW w:w="0" w:type="auto"/>
            <w:tcBorders>
              <w:top w:val="single" w:sz="4" w:space="0" w:color="auto"/>
              <w:bottom w:val="nil"/>
            </w:tcBorders>
            <w:vAlign w:val="center"/>
          </w:tcPr>
          <w:p w14:paraId="62684E43" w14:textId="77777777" w:rsidR="001212CD" w:rsidRPr="00073F60" w:rsidRDefault="001212CD" w:rsidP="00073F60">
            <w:pPr>
              <w:spacing w:before="60" w:after="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8.92</w:t>
            </w:r>
          </w:p>
        </w:tc>
        <w:tc>
          <w:tcPr>
            <w:tcW w:w="0" w:type="auto"/>
            <w:tcBorders>
              <w:top w:val="single" w:sz="4" w:space="0" w:color="auto"/>
              <w:bottom w:val="nil"/>
            </w:tcBorders>
            <w:vAlign w:val="center"/>
          </w:tcPr>
          <w:p w14:paraId="568F43EB" w14:textId="77777777" w:rsidR="001212CD" w:rsidRPr="00073F60" w:rsidRDefault="001212CD" w:rsidP="00073F60">
            <w:pPr>
              <w:spacing w:before="60" w:after="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32.34</w:t>
            </w:r>
          </w:p>
        </w:tc>
        <w:tc>
          <w:tcPr>
            <w:tcW w:w="0" w:type="auto"/>
            <w:tcBorders>
              <w:top w:val="single" w:sz="4" w:space="0" w:color="auto"/>
              <w:bottom w:val="nil"/>
            </w:tcBorders>
            <w:vAlign w:val="center"/>
          </w:tcPr>
          <w:p w14:paraId="512D7792" w14:textId="77777777" w:rsidR="001212CD" w:rsidRPr="00073F60" w:rsidRDefault="001212CD" w:rsidP="00073F60">
            <w:pPr>
              <w:spacing w:before="60" w:after="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26.56</w:t>
            </w:r>
          </w:p>
        </w:tc>
      </w:tr>
      <w:tr w:rsidR="001212CD" w:rsidRPr="00073F60" w14:paraId="205C913F" w14:textId="77777777" w:rsidTr="00073F60">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314" w:type="dxa"/>
            <w:tcBorders>
              <w:top w:val="nil"/>
              <w:bottom w:val="nil"/>
            </w:tcBorders>
            <w:vAlign w:val="center"/>
          </w:tcPr>
          <w:p w14:paraId="351808DC" w14:textId="77777777" w:rsidR="001212CD" w:rsidRPr="00073F60" w:rsidRDefault="001212CD" w:rsidP="00073F60">
            <w:pPr>
              <w:spacing w:before="60" w:after="0"/>
              <w:rPr>
                <w:rFonts w:ascii="Times New Roman" w:hAnsi="Times New Roman" w:cs="Times New Roman"/>
                <w:b w:val="0"/>
                <w:bCs w:val="0"/>
                <w:sz w:val="18"/>
                <w:szCs w:val="18"/>
              </w:rPr>
            </w:pPr>
            <w:r w:rsidRPr="00073F60">
              <w:rPr>
                <w:rFonts w:ascii="Times New Roman" w:hAnsi="Times New Roman" w:cs="Times New Roman"/>
                <w:b w:val="0"/>
                <w:bCs w:val="0"/>
                <w:sz w:val="18"/>
                <w:szCs w:val="18"/>
              </w:rPr>
              <w:t>Complex 1</w:t>
            </w:r>
          </w:p>
        </w:tc>
        <w:tc>
          <w:tcPr>
            <w:tcW w:w="0" w:type="auto"/>
            <w:tcBorders>
              <w:top w:val="nil"/>
              <w:bottom w:val="nil"/>
            </w:tcBorders>
            <w:vAlign w:val="center"/>
          </w:tcPr>
          <w:p w14:paraId="7618AE38" w14:textId="77777777" w:rsidR="001212CD" w:rsidRPr="00073F60" w:rsidRDefault="001212CD" w:rsidP="00073F60">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[Cu</w:t>
            </w:r>
            <w:r w:rsidRPr="00073F60">
              <w:rPr>
                <w:rFonts w:ascii="Times New Roman" w:hAnsi="Times New Roman" w:cs="Times New Roman"/>
                <w:sz w:val="18"/>
                <w:szCs w:val="18"/>
                <w:vertAlign w:val="subscript"/>
              </w:rPr>
              <w:t>2</w:t>
            </w: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r w:rsidRPr="00073F60">
              <w:rPr>
                <w:rFonts w:ascii="Times New Roman" w:hAnsi="Times New Roman" w:cs="Times New Roman"/>
                <w:sz w:val="18"/>
                <w:szCs w:val="18"/>
              </w:rPr>
              <w:t>)</w:t>
            </w:r>
            <w:r w:rsidRPr="00073F60">
              <w:rPr>
                <w:rFonts w:ascii="Times New Roman" w:hAnsi="Times New Roman" w:cs="Times New Roman"/>
                <w:sz w:val="18"/>
                <w:szCs w:val="18"/>
                <w:vertAlign w:val="superscript"/>
              </w:rPr>
              <w:t>.</w:t>
            </w:r>
            <w:r w:rsidRPr="00073F60">
              <w:rPr>
                <w:rFonts w:ascii="Times New Roman" w:hAnsi="Times New Roman" w:cs="Times New Roman"/>
                <w:sz w:val="18"/>
                <w:szCs w:val="18"/>
              </w:rPr>
              <w:t>4Cl</w:t>
            </w:r>
          </w:p>
        </w:tc>
        <w:tc>
          <w:tcPr>
            <w:tcW w:w="0" w:type="auto"/>
            <w:tcBorders>
              <w:top w:val="nil"/>
              <w:bottom w:val="nil"/>
            </w:tcBorders>
            <w:vAlign w:val="center"/>
          </w:tcPr>
          <w:p w14:paraId="2BE0936E" w14:textId="77777777" w:rsidR="001212CD" w:rsidRPr="00073F60" w:rsidRDefault="001212CD" w:rsidP="00073F60">
            <w:pPr>
              <w:spacing w:before="60" w:after="0"/>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33.03</w:t>
            </w:r>
          </w:p>
        </w:tc>
        <w:tc>
          <w:tcPr>
            <w:tcW w:w="0" w:type="auto"/>
            <w:tcBorders>
              <w:top w:val="nil"/>
              <w:bottom w:val="nil"/>
            </w:tcBorders>
            <w:vAlign w:val="center"/>
          </w:tcPr>
          <w:p w14:paraId="6184AAD1" w14:textId="77777777" w:rsidR="001212CD" w:rsidRPr="00073F60" w:rsidRDefault="001212CD" w:rsidP="00073F60">
            <w:pPr>
              <w:spacing w:before="60" w:after="0"/>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34.88</w:t>
            </w:r>
          </w:p>
        </w:tc>
        <w:tc>
          <w:tcPr>
            <w:tcW w:w="0" w:type="auto"/>
            <w:tcBorders>
              <w:top w:val="nil"/>
              <w:bottom w:val="nil"/>
            </w:tcBorders>
            <w:vAlign w:val="center"/>
          </w:tcPr>
          <w:p w14:paraId="3999F52F" w14:textId="77777777" w:rsidR="001212CD" w:rsidRPr="00073F60" w:rsidRDefault="001212CD" w:rsidP="00073F60">
            <w:pPr>
              <w:spacing w:before="60" w:after="0"/>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3.12</w:t>
            </w:r>
          </w:p>
        </w:tc>
        <w:tc>
          <w:tcPr>
            <w:tcW w:w="0" w:type="auto"/>
            <w:tcBorders>
              <w:top w:val="nil"/>
              <w:bottom w:val="nil"/>
            </w:tcBorders>
            <w:vAlign w:val="center"/>
          </w:tcPr>
          <w:p w14:paraId="625FDD12" w14:textId="77777777" w:rsidR="001212CD" w:rsidRPr="00073F60" w:rsidRDefault="001212CD" w:rsidP="00073F60">
            <w:pPr>
              <w:spacing w:before="60" w:after="0"/>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4.82</w:t>
            </w:r>
          </w:p>
        </w:tc>
        <w:tc>
          <w:tcPr>
            <w:tcW w:w="0" w:type="auto"/>
            <w:tcBorders>
              <w:top w:val="nil"/>
              <w:bottom w:val="nil"/>
            </w:tcBorders>
            <w:vAlign w:val="center"/>
          </w:tcPr>
          <w:p w14:paraId="12B0E2F1" w14:textId="77777777" w:rsidR="001212CD" w:rsidRPr="00073F60" w:rsidRDefault="001212CD" w:rsidP="00073F60">
            <w:pPr>
              <w:spacing w:before="60" w:after="0"/>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14.31</w:t>
            </w:r>
          </w:p>
        </w:tc>
        <w:tc>
          <w:tcPr>
            <w:tcW w:w="0" w:type="auto"/>
            <w:tcBorders>
              <w:top w:val="nil"/>
              <w:bottom w:val="nil"/>
            </w:tcBorders>
            <w:vAlign w:val="center"/>
          </w:tcPr>
          <w:p w14:paraId="26FF0481" w14:textId="77777777" w:rsidR="001212CD" w:rsidRPr="00073F60" w:rsidRDefault="001212CD" w:rsidP="00073F60">
            <w:pPr>
              <w:spacing w:before="60" w:after="0"/>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14.36</w:t>
            </w:r>
          </w:p>
        </w:tc>
      </w:tr>
      <w:tr w:rsidR="001212CD" w:rsidRPr="00073F60" w14:paraId="71A38BF1" w14:textId="77777777" w:rsidTr="00073F60">
        <w:trPr>
          <w:trHeight w:val="137"/>
          <w:jc w:val="center"/>
        </w:trPr>
        <w:tc>
          <w:tcPr>
            <w:cnfStyle w:val="001000000000" w:firstRow="0" w:lastRow="0" w:firstColumn="1" w:lastColumn="0" w:oddVBand="0" w:evenVBand="0" w:oddHBand="0" w:evenHBand="0" w:firstRowFirstColumn="0" w:firstRowLastColumn="0" w:lastRowFirstColumn="0" w:lastRowLastColumn="0"/>
            <w:tcW w:w="1314" w:type="dxa"/>
            <w:tcBorders>
              <w:top w:val="nil"/>
              <w:bottom w:val="nil"/>
            </w:tcBorders>
            <w:vAlign w:val="center"/>
          </w:tcPr>
          <w:p w14:paraId="1A3CE333" w14:textId="77777777" w:rsidR="001212CD" w:rsidRPr="00073F60" w:rsidRDefault="001212CD" w:rsidP="00073F60">
            <w:pPr>
              <w:spacing w:before="60" w:after="0"/>
              <w:rPr>
                <w:rFonts w:ascii="Times New Roman" w:hAnsi="Times New Roman" w:cs="Times New Roman"/>
                <w:b w:val="0"/>
                <w:bCs w:val="0"/>
                <w:sz w:val="18"/>
                <w:szCs w:val="18"/>
              </w:rPr>
            </w:pPr>
            <w:r w:rsidRPr="00073F60">
              <w:rPr>
                <w:rFonts w:ascii="Times New Roman" w:hAnsi="Times New Roman" w:cs="Times New Roman"/>
                <w:b w:val="0"/>
                <w:bCs w:val="0"/>
                <w:sz w:val="18"/>
                <w:szCs w:val="18"/>
              </w:rPr>
              <w:t>Complex 2</w:t>
            </w:r>
          </w:p>
        </w:tc>
        <w:tc>
          <w:tcPr>
            <w:tcW w:w="0" w:type="auto"/>
            <w:tcBorders>
              <w:top w:val="nil"/>
              <w:bottom w:val="nil"/>
            </w:tcBorders>
            <w:vAlign w:val="center"/>
          </w:tcPr>
          <w:p w14:paraId="2CE4CFAE" w14:textId="77777777" w:rsidR="001212CD" w:rsidRPr="00073F60" w:rsidRDefault="001212CD" w:rsidP="00073F60">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[Fe</w:t>
            </w:r>
            <w:r w:rsidRPr="00073F60">
              <w:rPr>
                <w:rFonts w:ascii="Times New Roman" w:hAnsi="Times New Roman" w:cs="Times New Roman"/>
                <w:sz w:val="18"/>
                <w:szCs w:val="18"/>
                <w:vertAlign w:val="subscript"/>
              </w:rPr>
              <w:t>2</w:t>
            </w: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r w:rsidRPr="00073F60">
              <w:rPr>
                <w:rFonts w:ascii="Times New Roman" w:hAnsi="Times New Roman" w:cs="Times New Roman"/>
                <w:sz w:val="18"/>
                <w:szCs w:val="18"/>
              </w:rPr>
              <w:t>)</w:t>
            </w:r>
            <w:r w:rsidRPr="00073F60">
              <w:rPr>
                <w:rFonts w:ascii="Times New Roman" w:hAnsi="Times New Roman" w:cs="Times New Roman"/>
                <w:sz w:val="18"/>
                <w:szCs w:val="18"/>
                <w:vertAlign w:val="superscript"/>
              </w:rPr>
              <w:t>.</w:t>
            </w:r>
            <w:r w:rsidRPr="00073F60">
              <w:rPr>
                <w:rFonts w:ascii="Times New Roman" w:hAnsi="Times New Roman" w:cs="Times New Roman"/>
                <w:sz w:val="18"/>
                <w:szCs w:val="18"/>
              </w:rPr>
              <w:t>4Cl</w:t>
            </w:r>
          </w:p>
        </w:tc>
        <w:tc>
          <w:tcPr>
            <w:tcW w:w="0" w:type="auto"/>
            <w:tcBorders>
              <w:top w:val="nil"/>
              <w:bottom w:val="nil"/>
            </w:tcBorders>
            <w:vAlign w:val="center"/>
          </w:tcPr>
          <w:p w14:paraId="610009DF" w14:textId="77777777" w:rsidR="001212CD" w:rsidRPr="00073F60" w:rsidRDefault="001212CD" w:rsidP="00073F60">
            <w:pPr>
              <w:spacing w:before="60" w:after="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33.41</w:t>
            </w:r>
          </w:p>
        </w:tc>
        <w:tc>
          <w:tcPr>
            <w:tcW w:w="0" w:type="auto"/>
            <w:tcBorders>
              <w:top w:val="nil"/>
              <w:bottom w:val="nil"/>
            </w:tcBorders>
            <w:vAlign w:val="center"/>
          </w:tcPr>
          <w:p w14:paraId="59878AAC" w14:textId="77777777" w:rsidR="001212CD" w:rsidRPr="00073F60" w:rsidRDefault="001212CD" w:rsidP="00073F60">
            <w:pPr>
              <w:spacing w:before="60" w:after="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35.82</w:t>
            </w:r>
          </w:p>
        </w:tc>
        <w:tc>
          <w:tcPr>
            <w:tcW w:w="0" w:type="auto"/>
            <w:tcBorders>
              <w:top w:val="nil"/>
              <w:bottom w:val="nil"/>
            </w:tcBorders>
            <w:vAlign w:val="center"/>
          </w:tcPr>
          <w:p w14:paraId="3FDFE072" w14:textId="77777777" w:rsidR="001212CD" w:rsidRPr="00073F60" w:rsidRDefault="001212CD" w:rsidP="00073F60">
            <w:pPr>
              <w:spacing w:before="60" w:after="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3.87</w:t>
            </w:r>
          </w:p>
        </w:tc>
        <w:tc>
          <w:tcPr>
            <w:tcW w:w="0" w:type="auto"/>
            <w:tcBorders>
              <w:top w:val="nil"/>
              <w:bottom w:val="nil"/>
            </w:tcBorders>
            <w:vAlign w:val="center"/>
          </w:tcPr>
          <w:p w14:paraId="0AB247D7" w14:textId="77777777" w:rsidR="001212CD" w:rsidRPr="00073F60" w:rsidRDefault="001212CD" w:rsidP="00073F60">
            <w:pPr>
              <w:spacing w:before="60" w:after="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4.95</w:t>
            </w:r>
          </w:p>
        </w:tc>
        <w:tc>
          <w:tcPr>
            <w:tcW w:w="0" w:type="auto"/>
            <w:tcBorders>
              <w:top w:val="nil"/>
              <w:bottom w:val="nil"/>
            </w:tcBorders>
            <w:vAlign w:val="center"/>
          </w:tcPr>
          <w:p w14:paraId="747AAF16" w14:textId="77777777" w:rsidR="001212CD" w:rsidRPr="00073F60" w:rsidRDefault="001212CD" w:rsidP="00073F60">
            <w:pPr>
              <w:spacing w:before="60" w:after="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14.20</w:t>
            </w:r>
          </w:p>
        </w:tc>
        <w:tc>
          <w:tcPr>
            <w:tcW w:w="0" w:type="auto"/>
            <w:tcBorders>
              <w:top w:val="nil"/>
              <w:bottom w:val="nil"/>
            </w:tcBorders>
            <w:vAlign w:val="center"/>
          </w:tcPr>
          <w:p w14:paraId="219BD0BC" w14:textId="77777777" w:rsidR="001212CD" w:rsidRPr="00073F60" w:rsidRDefault="001212CD" w:rsidP="00073F60">
            <w:pPr>
              <w:spacing w:before="60" w:after="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14.75</w:t>
            </w:r>
          </w:p>
        </w:tc>
      </w:tr>
      <w:tr w:rsidR="001212CD" w:rsidRPr="00073F60" w14:paraId="45AC8223" w14:textId="77777777" w:rsidTr="00073F60">
        <w:trPr>
          <w:cnfStyle w:val="000000100000" w:firstRow="0" w:lastRow="0" w:firstColumn="0" w:lastColumn="0" w:oddVBand="0" w:evenVBand="0" w:oddHBand="1" w:evenHBand="0" w:firstRowFirstColumn="0" w:firstRowLastColumn="0" w:lastRowFirstColumn="0" w:lastRowLastColumn="0"/>
          <w:trHeight w:val="169"/>
          <w:jc w:val="center"/>
        </w:trPr>
        <w:tc>
          <w:tcPr>
            <w:cnfStyle w:val="001000000000" w:firstRow="0" w:lastRow="0" w:firstColumn="1" w:lastColumn="0" w:oddVBand="0" w:evenVBand="0" w:oddHBand="0" w:evenHBand="0" w:firstRowFirstColumn="0" w:firstRowLastColumn="0" w:lastRowFirstColumn="0" w:lastRowLastColumn="0"/>
            <w:tcW w:w="1314" w:type="dxa"/>
            <w:tcBorders>
              <w:top w:val="nil"/>
              <w:bottom w:val="nil"/>
            </w:tcBorders>
            <w:vAlign w:val="center"/>
          </w:tcPr>
          <w:p w14:paraId="2A3C9FFA" w14:textId="77777777" w:rsidR="001212CD" w:rsidRPr="00073F60" w:rsidRDefault="001212CD" w:rsidP="00073F60">
            <w:pPr>
              <w:spacing w:before="60" w:after="0"/>
              <w:rPr>
                <w:rFonts w:ascii="Times New Roman" w:hAnsi="Times New Roman" w:cs="Times New Roman"/>
                <w:b w:val="0"/>
                <w:bCs w:val="0"/>
                <w:sz w:val="18"/>
                <w:szCs w:val="18"/>
              </w:rPr>
            </w:pPr>
            <w:r w:rsidRPr="00073F60">
              <w:rPr>
                <w:rFonts w:ascii="Times New Roman" w:hAnsi="Times New Roman" w:cs="Times New Roman"/>
                <w:b w:val="0"/>
                <w:bCs w:val="0"/>
                <w:sz w:val="18"/>
                <w:szCs w:val="18"/>
              </w:rPr>
              <w:t>Complex 3</w:t>
            </w:r>
          </w:p>
        </w:tc>
        <w:tc>
          <w:tcPr>
            <w:tcW w:w="0" w:type="auto"/>
            <w:tcBorders>
              <w:top w:val="nil"/>
              <w:bottom w:val="nil"/>
            </w:tcBorders>
            <w:vAlign w:val="center"/>
          </w:tcPr>
          <w:p w14:paraId="72D2045F" w14:textId="77777777" w:rsidR="001212CD" w:rsidRPr="00073F60" w:rsidRDefault="001212CD" w:rsidP="00073F60">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[Ni</w:t>
            </w:r>
            <w:r w:rsidRPr="00073F60">
              <w:rPr>
                <w:rFonts w:ascii="Times New Roman" w:hAnsi="Times New Roman" w:cs="Times New Roman"/>
                <w:sz w:val="18"/>
                <w:szCs w:val="18"/>
                <w:vertAlign w:val="subscript"/>
              </w:rPr>
              <w:t>2</w:t>
            </w: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r w:rsidRPr="00073F60">
              <w:rPr>
                <w:rFonts w:ascii="Times New Roman" w:hAnsi="Times New Roman" w:cs="Times New Roman"/>
                <w:sz w:val="18"/>
                <w:szCs w:val="18"/>
              </w:rPr>
              <w:t>)</w:t>
            </w:r>
            <w:r w:rsidRPr="00073F60">
              <w:rPr>
                <w:rFonts w:ascii="Times New Roman" w:hAnsi="Times New Roman" w:cs="Times New Roman"/>
                <w:sz w:val="18"/>
                <w:szCs w:val="18"/>
                <w:vertAlign w:val="superscript"/>
              </w:rPr>
              <w:t>.</w:t>
            </w:r>
            <w:r w:rsidRPr="00073F60">
              <w:rPr>
                <w:rFonts w:ascii="Times New Roman" w:hAnsi="Times New Roman" w:cs="Times New Roman"/>
                <w:sz w:val="18"/>
                <w:szCs w:val="18"/>
              </w:rPr>
              <w:t>4Cl</w:t>
            </w:r>
          </w:p>
        </w:tc>
        <w:tc>
          <w:tcPr>
            <w:tcW w:w="0" w:type="auto"/>
            <w:tcBorders>
              <w:top w:val="nil"/>
              <w:bottom w:val="nil"/>
            </w:tcBorders>
            <w:vAlign w:val="center"/>
          </w:tcPr>
          <w:p w14:paraId="7DFEA672" w14:textId="77777777" w:rsidR="001212CD" w:rsidRPr="00073F60" w:rsidRDefault="001212CD" w:rsidP="00073F60">
            <w:pPr>
              <w:spacing w:before="60" w:after="0"/>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27.14</w:t>
            </w:r>
          </w:p>
        </w:tc>
        <w:tc>
          <w:tcPr>
            <w:tcW w:w="0" w:type="auto"/>
            <w:tcBorders>
              <w:top w:val="nil"/>
              <w:bottom w:val="nil"/>
            </w:tcBorders>
            <w:vAlign w:val="center"/>
          </w:tcPr>
          <w:p w14:paraId="2D446005" w14:textId="77777777" w:rsidR="001212CD" w:rsidRPr="00073F60" w:rsidRDefault="001212CD" w:rsidP="00073F60">
            <w:pPr>
              <w:spacing w:before="60" w:after="0"/>
              <w:ind w:firstLine="2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35.47</w:t>
            </w:r>
          </w:p>
        </w:tc>
        <w:tc>
          <w:tcPr>
            <w:tcW w:w="0" w:type="auto"/>
            <w:tcBorders>
              <w:top w:val="nil"/>
              <w:bottom w:val="nil"/>
            </w:tcBorders>
            <w:vAlign w:val="center"/>
          </w:tcPr>
          <w:p w14:paraId="33247C5B" w14:textId="77777777" w:rsidR="001212CD" w:rsidRPr="00073F60" w:rsidRDefault="001212CD" w:rsidP="00073F60">
            <w:pPr>
              <w:spacing w:before="60" w:after="0"/>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5.87</w:t>
            </w:r>
          </w:p>
        </w:tc>
        <w:tc>
          <w:tcPr>
            <w:tcW w:w="0" w:type="auto"/>
            <w:tcBorders>
              <w:top w:val="nil"/>
              <w:bottom w:val="nil"/>
            </w:tcBorders>
            <w:vAlign w:val="center"/>
          </w:tcPr>
          <w:p w14:paraId="19C36F0D" w14:textId="77777777" w:rsidR="001212CD" w:rsidRPr="00073F60" w:rsidRDefault="001212CD" w:rsidP="00073F60">
            <w:pPr>
              <w:spacing w:before="60" w:after="0"/>
              <w:ind w:firstLine="114"/>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4.90</w:t>
            </w:r>
          </w:p>
        </w:tc>
        <w:tc>
          <w:tcPr>
            <w:tcW w:w="0" w:type="auto"/>
            <w:tcBorders>
              <w:top w:val="nil"/>
              <w:bottom w:val="nil"/>
            </w:tcBorders>
            <w:vAlign w:val="center"/>
          </w:tcPr>
          <w:p w14:paraId="7987FDD7" w14:textId="77777777" w:rsidR="001212CD" w:rsidRPr="00073F60" w:rsidRDefault="001212CD" w:rsidP="00073F60">
            <w:pPr>
              <w:spacing w:before="60" w:after="0"/>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14.38</w:t>
            </w:r>
          </w:p>
        </w:tc>
        <w:tc>
          <w:tcPr>
            <w:tcW w:w="0" w:type="auto"/>
            <w:tcBorders>
              <w:top w:val="nil"/>
              <w:bottom w:val="nil"/>
            </w:tcBorders>
            <w:vAlign w:val="center"/>
          </w:tcPr>
          <w:p w14:paraId="7122232E" w14:textId="77777777" w:rsidR="001212CD" w:rsidRPr="00073F60" w:rsidRDefault="001212CD" w:rsidP="00073F60">
            <w:pPr>
              <w:spacing w:before="60" w:after="0"/>
              <w:ind w:firstLine="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14.60</w:t>
            </w:r>
          </w:p>
        </w:tc>
      </w:tr>
      <w:tr w:rsidR="00F51E6D" w:rsidRPr="00073F60" w14:paraId="58D5D864" w14:textId="77777777" w:rsidTr="00073F60">
        <w:trPr>
          <w:trHeight w:val="215"/>
          <w:jc w:val="center"/>
        </w:trPr>
        <w:tc>
          <w:tcPr>
            <w:cnfStyle w:val="001000000000" w:firstRow="0" w:lastRow="0" w:firstColumn="1" w:lastColumn="0" w:oddVBand="0" w:evenVBand="0" w:oddHBand="0" w:evenHBand="0" w:firstRowFirstColumn="0" w:firstRowLastColumn="0" w:lastRowFirstColumn="0" w:lastRowLastColumn="0"/>
            <w:tcW w:w="1314" w:type="dxa"/>
            <w:tcBorders>
              <w:top w:val="nil"/>
              <w:bottom w:val="single" w:sz="4" w:space="0" w:color="auto"/>
            </w:tcBorders>
            <w:vAlign w:val="center"/>
          </w:tcPr>
          <w:p w14:paraId="06095E3F" w14:textId="77777777" w:rsidR="001212CD" w:rsidRPr="00073F60" w:rsidRDefault="001212CD" w:rsidP="00073F60">
            <w:pPr>
              <w:spacing w:before="60" w:after="60"/>
              <w:rPr>
                <w:rFonts w:ascii="Times New Roman" w:hAnsi="Times New Roman" w:cs="Times New Roman"/>
                <w:b w:val="0"/>
                <w:bCs w:val="0"/>
                <w:sz w:val="18"/>
                <w:szCs w:val="18"/>
              </w:rPr>
            </w:pPr>
            <w:r w:rsidRPr="00073F60">
              <w:rPr>
                <w:rFonts w:ascii="Times New Roman" w:hAnsi="Times New Roman" w:cs="Times New Roman"/>
                <w:b w:val="0"/>
                <w:bCs w:val="0"/>
                <w:sz w:val="18"/>
                <w:szCs w:val="18"/>
              </w:rPr>
              <w:t>Complex 4</w:t>
            </w:r>
          </w:p>
        </w:tc>
        <w:tc>
          <w:tcPr>
            <w:tcW w:w="0" w:type="auto"/>
            <w:tcBorders>
              <w:top w:val="nil"/>
              <w:bottom w:val="single" w:sz="4" w:space="0" w:color="auto"/>
            </w:tcBorders>
            <w:vAlign w:val="center"/>
          </w:tcPr>
          <w:p w14:paraId="30714F16" w14:textId="77777777" w:rsidR="001212CD" w:rsidRPr="00073F60" w:rsidRDefault="001212CD" w:rsidP="00073F60">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[Co</w:t>
            </w:r>
            <w:r w:rsidRPr="00073F60">
              <w:rPr>
                <w:rFonts w:ascii="Times New Roman" w:hAnsi="Times New Roman" w:cs="Times New Roman"/>
                <w:sz w:val="18"/>
                <w:szCs w:val="18"/>
                <w:vertAlign w:val="subscript"/>
              </w:rPr>
              <w:t>2</w:t>
            </w:r>
            <w:r w:rsidRPr="00073F60">
              <w:rPr>
                <w:rFonts w:ascii="Times New Roman" w:hAnsi="Times New Roman" w:cs="Times New Roman"/>
                <w:sz w:val="18"/>
                <w:szCs w:val="18"/>
              </w:rPr>
              <w:t>(C</w:t>
            </w:r>
            <w:r w:rsidRPr="00073F60">
              <w:rPr>
                <w:rFonts w:ascii="Times New Roman" w:hAnsi="Times New Roman" w:cs="Times New Roman"/>
                <w:sz w:val="18"/>
                <w:szCs w:val="18"/>
                <w:vertAlign w:val="subscript"/>
              </w:rPr>
              <w:t>17</w:t>
            </w:r>
            <w:r w:rsidRPr="00073F60">
              <w:rPr>
                <w:rFonts w:ascii="Times New Roman" w:hAnsi="Times New Roman" w:cs="Times New Roman"/>
                <w:sz w:val="18"/>
                <w:szCs w:val="18"/>
              </w:rPr>
              <w:t>H</w:t>
            </w:r>
            <w:r w:rsidRPr="00073F60">
              <w:rPr>
                <w:rFonts w:ascii="Times New Roman" w:hAnsi="Times New Roman" w:cs="Times New Roman"/>
                <w:sz w:val="18"/>
                <w:szCs w:val="18"/>
                <w:vertAlign w:val="subscript"/>
              </w:rPr>
              <w:t>28</w:t>
            </w:r>
            <w:r w:rsidRPr="00073F60">
              <w:rPr>
                <w:rFonts w:ascii="Times New Roman" w:hAnsi="Times New Roman" w:cs="Times New Roman"/>
                <w:sz w:val="18"/>
                <w:szCs w:val="18"/>
              </w:rPr>
              <w:t>N</w:t>
            </w:r>
            <w:r w:rsidRPr="00073F60">
              <w:rPr>
                <w:rFonts w:ascii="Times New Roman" w:hAnsi="Times New Roman" w:cs="Times New Roman"/>
                <w:sz w:val="18"/>
                <w:szCs w:val="18"/>
                <w:vertAlign w:val="subscript"/>
              </w:rPr>
              <w:t>6</w:t>
            </w:r>
            <w:r w:rsidRPr="00073F60">
              <w:rPr>
                <w:rFonts w:ascii="Times New Roman" w:hAnsi="Times New Roman" w:cs="Times New Roman"/>
                <w:sz w:val="18"/>
                <w:szCs w:val="18"/>
              </w:rPr>
              <w:t>)</w:t>
            </w:r>
            <w:r w:rsidRPr="00073F60">
              <w:rPr>
                <w:rFonts w:ascii="Times New Roman" w:hAnsi="Times New Roman" w:cs="Times New Roman"/>
                <w:sz w:val="18"/>
                <w:szCs w:val="18"/>
                <w:vertAlign w:val="superscript"/>
              </w:rPr>
              <w:t>.</w:t>
            </w:r>
            <w:r w:rsidRPr="00073F60">
              <w:rPr>
                <w:rFonts w:ascii="Times New Roman" w:hAnsi="Times New Roman" w:cs="Times New Roman"/>
                <w:sz w:val="18"/>
                <w:szCs w:val="18"/>
              </w:rPr>
              <w:t>4NO</w:t>
            </w:r>
            <w:r w:rsidRPr="00073F60">
              <w:rPr>
                <w:rFonts w:ascii="Times New Roman" w:hAnsi="Times New Roman" w:cs="Times New Roman"/>
                <w:sz w:val="18"/>
                <w:szCs w:val="18"/>
                <w:vertAlign w:val="subscript"/>
              </w:rPr>
              <w:t>3</w:t>
            </w:r>
          </w:p>
        </w:tc>
        <w:tc>
          <w:tcPr>
            <w:tcW w:w="0" w:type="auto"/>
            <w:tcBorders>
              <w:top w:val="nil"/>
              <w:bottom w:val="single" w:sz="4" w:space="0" w:color="auto"/>
            </w:tcBorders>
            <w:vAlign w:val="center"/>
          </w:tcPr>
          <w:p w14:paraId="05F3BB50" w14:textId="77777777" w:rsidR="001212CD" w:rsidRPr="00073F60" w:rsidRDefault="001212CD" w:rsidP="00073F60">
            <w:pPr>
              <w:spacing w:before="60" w:after="6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19.95</w:t>
            </w:r>
          </w:p>
        </w:tc>
        <w:tc>
          <w:tcPr>
            <w:tcW w:w="0" w:type="auto"/>
            <w:tcBorders>
              <w:top w:val="nil"/>
              <w:bottom w:val="single" w:sz="4" w:space="0" w:color="auto"/>
            </w:tcBorders>
            <w:vAlign w:val="center"/>
          </w:tcPr>
          <w:p w14:paraId="7265A801" w14:textId="77777777" w:rsidR="001212CD" w:rsidRPr="00073F60" w:rsidRDefault="001212CD" w:rsidP="00073F60">
            <w:pPr>
              <w:spacing w:before="60" w:after="60"/>
              <w:ind w:firstLine="2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47.01</w:t>
            </w:r>
          </w:p>
        </w:tc>
        <w:tc>
          <w:tcPr>
            <w:tcW w:w="0" w:type="auto"/>
            <w:tcBorders>
              <w:top w:val="nil"/>
              <w:bottom w:val="single" w:sz="4" w:space="0" w:color="auto"/>
            </w:tcBorders>
            <w:vAlign w:val="center"/>
          </w:tcPr>
          <w:p w14:paraId="40EB1431" w14:textId="77777777" w:rsidR="001212CD" w:rsidRPr="00073F60" w:rsidRDefault="001212CD" w:rsidP="00073F60">
            <w:pPr>
              <w:spacing w:before="60" w:after="6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5.50</w:t>
            </w:r>
          </w:p>
        </w:tc>
        <w:tc>
          <w:tcPr>
            <w:tcW w:w="0" w:type="auto"/>
            <w:tcBorders>
              <w:top w:val="nil"/>
              <w:bottom w:val="single" w:sz="4" w:space="0" w:color="auto"/>
            </w:tcBorders>
            <w:vAlign w:val="center"/>
          </w:tcPr>
          <w:p w14:paraId="15726FF3" w14:textId="77777777" w:rsidR="001212CD" w:rsidRPr="00073F60" w:rsidRDefault="001212CD" w:rsidP="00073F60">
            <w:pPr>
              <w:spacing w:before="60" w:after="60"/>
              <w:ind w:firstLine="11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6.50</w:t>
            </w:r>
          </w:p>
        </w:tc>
        <w:tc>
          <w:tcPr>
            <w:tcW w:w="0" w:type="auto"/>
            <w:tcBorders>
              <w:top w:val="nil"/>
              <w:bottom w:val="single" w:sz="4" w:space="0" w:color="auto"/>
            </w:tcBorders>
            <w:vAlign w:val="center"/>
          </w:tcPr>
          <w:p w14:paraId="623D7014" w14:textId="77777777" w:rsidR="001212CD" w:rsidRPr="00073F60" w:rsidRDefault="001212CD" w:rsidP="00073F60">
            <w:pPr>
              <w:spacing w:before="60" w:after="6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18.92</w:t>
            </w:r>
          </w:p>
        </w:tc>
        <w:tc>
          <w:tcPr>
            <w:tcW w:w="0" w:type="auto"/>
            <w:tcBorders>
              <w:top w:val="nil"/>
              <w:bottom w:val="single" w:sz="4" w:space="0" w:color="auto"/>
            </w:tcBorders>
            <w:vAlign w:val="center"/>
          </w:tcPr>
          <w:p w14:paraId="6A018EF2" w14:textId="77777777" w:rsidR="001212CD" w:rsidRPr="00073F60" w:rsidRDefault="001212CD" w:rsidP="00073F60">
            <w:pPr>
              <w:spacing w:before="60" w:after="60"/>
              <w:ind w:firstLine="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73F60">
              <w:rPr>
                <w:rFonts w:ascii="Times New Roman" w:hAnsi="Times New Roman" w:cs="Times New Roman"/>
                <w:sz w:val="18"/>
                <w:szCs w:val="18"/>
              </w:rPr>
              <w:t>19.35</w:t>
            </w:r>
          </w:p>
        </w:tc>
      </w:tr>
    </w:tbl>
    <w:p w14:paraId="1EDB658C" w14:textId="3C51BD75" w:rsidR="001212CD" w:rsidRDefault="001212CD" w:rsidP="001212CD">
      <w:pPr>
        <w:spacing w:after="0"/>
        <w:jc w:val="both"/>
        <w:outlineLvl w:val="0"/>
        <w:rPr>
          <w:rFonts w:ascii="Times New Roman" w:hAnsi="Times New Roman"/>
          <w:sz w:val="20"/>
          <w:szCs w:val="20"/>
        </w:rPr>
      </w:pPr>
    </w:p>
    <w:p w14:paraId="26DE0367" w14:textId="77777777" w:rsidR="00073F60" w:rsidRPr="001212CD" w:rsidRDefault="00073F60" w:rsidP="001212CD">
      <w:pPr>
        <w:spacing w:after="0"/>
        <w:jc w:val="both"/>
        <w:outlineLvl w:val="0"/>
        <w:rPr>
          <w:rFonts w:ascii="Times New Roman" w:hAnsi="Times New Roman"/>
          <w:sz w:val="20"/>
          <w:szCs w:val="20"/>
        </w:rPr>
      </w:pPr>
    </w:p>
    <w:p w14:paraId="3BFA19B4" w14:textId="77777777" w:rsidR="001212CD" w:rsidRPr="001212CD" w:rsidRDefault="001212CD" w:rsidP="001212CD">
      <w:pPr>
        <w:spacing w:after="0"/>
        <w:jc w:val="both"/>
        <w:outlineLvl w:val="0"/>
        <w:rPr>
          <w:rFonts w:ascii="Times New Roman" w:hAnsi="Times New Roman"/>
          <w:sz w:val="20"/>
          <w:szCs w:val="20"/>
        </w:rPr>
      </w:pPr>
    </w:p>
    <w:p w14:paraId="44A6719F" w14:textId="4FC360C5" w:rsidR="001212CD" w:rsidRPr="001212CD" w:rsidRDefault="001212CD" w:rsidP="00073F60">
      <w:pPr>
        <w:spacing w:after="120"/>
        <w:jc w:val="center"/>
        <w:outlineLvl w:val="0"/>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1FFB0E54" wp14:editId="7D618142">
            <wp:extent cx="3683000" cy="2814446"/>
            <wp:effectExtent l="19050" t="19050" r="12700" b="24130"/>
            <wp:docPr id="12" name="Picture 12" descr="C:\Users\Shankary\Desktop\MSc Thesis\Figures\UV Vis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kary\Desktop\MSc Thesis\Figures\UV Vis new.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47" t="10535" r="12854" b="4932"/>
                    <a:stretch/>
                  </pic:blipFill>
                  <pic:spPr bwMode="auto">
                    <a:xfrm>
                      <a:off x="0" y="0"/>
                      <a:ext cx="3711106" cy="283592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061CAA3" w14:textId="2E3559D1" w:rsidR="001212CD" w:rsidRPr="001212CD" w:rsidRDefault="001212CD" w:rsidP="00073F60">
      <w:pPr>
        <w:spacing w:after="0"/>
        <w:jc w:val="center"/>
        <w:outlineLvl w:val="0"/>
        <w:rPr>
          <w:rFonts w:ascii="Times New Roman" w:hAnsi="Times New Roman"/>
          <w:sz w:val="20"/>
          <w:szCs w:val="20"/>
        </w:rPr>
      </w:pPr>
      <w:r w:rsidRPr="001212CD">
        <w:rPr>
          <w:rFonts w:ascii="Times New Roman" w:hAnsi="Times New Roman"/>
          <w:sz w:val="20"/>
          <w:szCs w:val="20"/>
        </w:rPr>
        <w:t xml:space="preserve">Figure 6. </w:t>
      </w:r>
      <w:r w:rsidR="00073F60">
        <w:rPr>
          <w:rFonts w:ascii="Times New Roman" w:hAnsi="Times New Roman"/>
          <w:sz w:val="20"/>
          <w:szCs w:val="20"/>
        </w:rPr>
        <w:t xml:space="preserve"> </w:t>
      </w:r>
      <w:r w:rsidRPr="001212CD">
        <w:rPr>
          <w:rFonts w:ascii="Times New Roman" w:hAnsi="Times New Roman"/>
          <w:sz w:val="20"/>
          <w:szCs w:val="20"/>
        </w:rPr>
        <w:t>UV-Visible spectra of DPPMe and its metal complexes</w:t>
      </w:r>
    </w:p>
    <w:p w14:paraId="02A79BF2" w14:textId="4E908168" w:rsidR="001212CD" w:rsidRDefault="001212CD" w:rsidP="001212CD">
      <w:pPr>
        <w:spacing w:after="0"/>
        <w:jc w:val="both"/>
        <w:outlineLvl w:val="0"/>
        <w:rPr>
          <w:rFonts w:ascii="Times New Roman" w:hAnsi="Times New Roman"/>
          <w:sz w:val="20"/>
          <w:szCs w:val="20"/>
        </w:rPr>
      </w:pPr>
    </w:p>
    <w:p w14:paraId="7269094C" w14:textId="77777777" w:rsidR="00073F60" w:rsidRPr="001212CD" w:rsidRDefault="00073F60" w:rsidP="001212CD">
      <w:pPr>
        <w:spacing w:after="0"/>
        <w:jc w:val="both"/>
        <w:outlineLvl w:val="0"/>
        <w:rPr>
          <w:rFonts w:ascii="Times New Roman" w:hAnsi="Times New Roman"/>
          <w:b/>
          <w:bCs/>
          <w:sz w:val="20"/>
          <w:szCs w:val="20"/>
        </w:rPr>
      </w:pPr>
      <w:bookmarkStart w:id="3" w:name="_Hlk49333579"/>
    </w:p>
    <w:bookmarkEnd w:id="3"/>
    <w:p w14:paraId="1CE5BC78" w14:textId="4E903079" w:rsidR="001212CD" w:rsidRPr="001212CD" w:rsidRDefault="001212CD" w:rsidP="00B34C0A">
      <w:pPr>
        <w:spacing w:after="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20A8AB87" wp14:editId="01C918E9">
            <wp:extent cx="2540509" cy="1980000"/>
            <wp:effectExtent l="19050" t="19050" r="12700" b="20320"/>
            <wp:docPr id="15" name="Picture 15" descr="C:\Users\Shankary\Desktop\MSc Thesis\Figures\EDX\Cu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ary\Desktop\MSc Thesis\Figures\EDX\Cu a.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509" cy="1980000"/>
                    </a:xfrm>
                    <a:prstGeom prst="rect">
                      <a:avLst/>
                    </a:prstGeom>
                    <a:noFill/>
                    <a:ln>
                      <a:solidFill>
                        <a:schemeClr val="tx1"/>
                      </a:solidFill>
                    </a:ln>
                  </pic:spPr>
                </pic:pic>
              </a:graphicData>
            </a:graphic>
          </wp:inline>
        </w:drawing>
      </w:r>
      <w:r w:rsidR="00B34C0A">
        <w:rPr>
          <w:rFonts w:ascii="Times New Roman" w:hAnsi="Times New Roman"/>
          <w:sz w:val="20"/>
          <w:szCs w:val="20"/>
        </w:rPr>
        <w:t xml:space="preserve">    </w:t>
      </w:r>
      <w:r w:rsidR="00B34C0A" w:rsidRPr="001212CD">
        <w:rPr>
          <w:rFonts w:ascii="Times New Roman" w:hAnsi="Times New Roman"/>
          <w:noProof/>
          <w:sz w:val="20"/>
          <w:szCs w:val="20"/>
          <w:lang w:val="en-MY" w:eastAsia="en-MY"/>
        </w:rPr>
        <w:drawing>
          <wp:inline distT="0" distB="0" distL="0" distR="0" wp14:anchorId="7B804032" wp14:editId="022BC5DD">
            <wp:extent cx="2567635" cy="1979718"/>
            <wp:effectExtent l="19050" t="19050" r="23495" b="20955"/>
            <wp:docPr id="16" name="Picture 16" descr="C:\Users\Shankary\Desktop\MSc Thesis\Figures\EDX\F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kary\Desktop\MSc Thesis\Figures\EDX\Fe b.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233" cy="1990202"/>
                    </a:xfrm>
                    <a:prstGeom prst="rect">
                      <a:avLst/>
                    </a:prstGeom>
                    <a:noFill/>
                    <a:ln>
                      <a:solidFill>
                        <a:schemeClr val="tx1"/>
                      </a:solidFill>
                    </a:ln>
                  </pic:spPr>
                </pic:pic>
              </a:graphicData>
            </a:graphic>
          </wp:inline>
        </w:drawing>
      </w:r>
    </w:p>
    <w:p w14:paraId="347C13B9" w14:textId="1E102F02" w:rsidR="001212CD" w:rsidRPr="001212CD" w:rsidRDefault="001212CD" w:rsidP="00073F60">
      <w:pPr>
        <w:spacing w:after="0"/>
        <w:jc w:val="center"/>
        <w:rPr>
          <w:rFonts w:ascii="Times New Roman" w:hAnsi="Times New Roman"/>
          <w:sz w:val="20"/>
          <w:szCs w:val="20"/>
        </w:rPr>
      </w:pPr>
    </w:p>
    <w:p w14:paraId="78750E08" w14:textId="0C775ADD" w:rsidR="001212CD" w:rsidRPr="001212CD" w:rsidRDefault="001212CD" w:rsidP="00B34C0A">
      <w:pPr>
        <w:spacing w:after="12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47991D05" wp14:editId="57FB33AA">
            <wp:extent cx="2728866" cy="1980000"/>
            <wp:effectExtent l="19050" t="19050" r="14605" b="20320"/>
            <wp:docPr id="18" name="Picture 18" descr="C:\Users\Shankary\Desktop\MSc Thesis\Figures\EDX\Ni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nkary\Desktop\MSc Thesis\Figures\EDX\Ni c.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8866" cy="1980000"/>
                    </a:xfrm>
                    <a:prstGeom prst="rect">
                      <a:avLst/>
                    </a:prstGeom>
                    <a:noFill/>
                    <a:ln>
                      <a:solidFill>
                        <a:schemeClr val="tx1"/>
                      </a:solidFill>
                    </a:ln>
                  </pic:spPr>
                </pic:pic>
              </a:graphicData>
            </a:graphic>
          </wp:inline>
        </w:drawing>
      </w:r>
      <w:r w:rsidR="00B34C0A">
        <w:rPr>
          <w:rFonts w:ascii="Times New Roman" w:hAnsi="Times New Roman"/>
          <w:sz w:val="20"/>
          <w:szCs w:val="20"/>
        </w:rPr>
        <w:t xml:space="preserve">    </w:t>
      </w:r>
      <w:r w:rsidR="00B34C0A" w:rsidRPr="001212CD">
        <w:rPr>
          <w:rFonts w:ascii="Times New Roman" w:hAnsi="Times New Roman"/>
          <w:noProof/>
          <w:sz w:val="20"/>
          <w:szCs w:val="20"/>
          <w:lang w:val="en-MY" w:eastAsia="en-MY"/>
        </w:rPr>
        <w:drawing>
          <wp:inline distT="0" distB="0" distL="0" distR="0" wp14:anchorId="7E0A052A" wp14:editId="61750F7F">
            <wp:extent cx="2716835" cy="1978660"/>
            <wp:effectExtent l="19050" t="19050" r="26670" b="21590"/>
            <wp:docPr id="19" name="Picture 19" descr="C:\Users\Shankary\Desktop\MSc Thesis\Figures\EDX\Co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nkary\Desktop\MSc Thesis\Figures\EDX\Co 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1558" cy="1996665"/>
                    </a:xfrm>
                    <a:prstGeom prst="rect">
                      <a:avLst/>
                    </a:prstGeom>
                    <a:noFill/>
                    <a:ln>
                      <a:solidFill>
                        <a:schemeClr val="tx1"/>
                      </a:solidFill>
                    </a:ln>
                  </pic:spPr>
                </pic:pic>
              </a:graphicData>
            </a:graphic>
          </wp:inline>
        </w:drawing>
      </w:r>
    </w:p>
    <w:p w14:paraId="3DA845AA" w14:textId="42F5DB15" w:rsidR="001212CD" w:rsidRDefault="001212CD" w:rsidP="00073F60">
      <w:pPr>
        <w:spacing w:after="0"/>
        <w:jc w:val="center"/>
        <w:rPr>
          <w:rFonts w:ascii="Times New Roman" w:hAnsi="Times New Roman"/>
          <w:sz w:val="20"/>
          <w:szCs w:val="20"/>
        </w:rPr>
      </w:pPr>
      <w:r w:rsidRPr="001212CD">
        <w:rPr>
          <w:rFonts w:ascii="Times New Roman" w:hAnsi="Times New Roman"/>
          <w:sz w:val="20"/>
          <w:szCs w:val="20"/>
        </w:rPr>
        <w:t xml:space="preserve">Figure 7. </w:t>
      </w:r>
      <w:r w:rsidR="00073F60">
        <w:rPr>
          <w:rFonts w:ascii="Times New Roman" w:hAnsi="Times New Roman"/>
          <w:sz w:val="20"/>
          <w:szCs w:val="20"/>
        </w:rPr>
        <w:t xml:space="preserve"> </w:t>
      </w:r>
      <w:r w:rsidRPr="001212CD">
        <w:rPr>
          <w:rFonts w:ascii="Times New Roman" w:hAnsi="Times New Roman"/>
          <w:sz w:val="20"/>
          <w:szCs w:val="20"/>
        </w:rPr>
        <w:t>EDX spectrum of the metal complexes (a) Complex 1, (b) Complex 2, (c) Complex 3, (d) Complex 4</w:t>
      </w:r>
    </w:p>
    <w:p w14:paraId="6CE27E22" w14:textId="480DBF75" w:rsidR="00073F60" w:rsidRDefault="00073F60" w:rsidP="00073F60">
      <w:pPr>
        <w:spacing w:after="0"/>
        <w:jc w:val="both"/>
        <w:rPr>
          <w:rFonts w:ascii="Times New Roman" w:hAnsi="Times New Roman"/>
          <w:sz w:val="20"/>
          <w:szCs w:val="20"/>
        </w:rPr>
      </w:pPr>
    </w:p>
    <w:p w14:paraId="5276D4ED" w14:textId="77777777" w:rsidR="00073F60" w:rsidRPr="001212CD" w:rsidRDefault="00073F60" w:rsidP="00073F60">
      <w:pPr>
        <w:spacing w:after="0"/>
        <w:jc w:val="both"/>
        <w:rPr>
          <w:rFonts w:ascii="Times New Roman" w:hAnsi="Times New Roman"/>
          <w:sz w:val="20"/>
          <w:szCs w:val="20"/>
        </w:rPr>
      </w:pPr>
    </w:p>
    <w:p w14:paraId="4DBF0351" w14:textId="77777777" w:rsidR="00B34C0A" w:rsidRDefault="00B34C0A" w:rsidP="001212CD">
      <w:pPr>
        <w:spacing w:after="0"/>
        <w:jc w:val="both"/>
        <w:rPr>
          <w:rFonts w:ascii="Times New Roman" w:hAnsi="Times New Roman"/>
          <w:b/>
          <w:bCs/>
          <w:sz w:val="20"/>
          <w:szCs w:val="20"/>
        </w:rPr>
      </w:pPr>
    </w:p>
    <w:p w14:paraId="4F70C121" w14:textId="3DD92075" w:rsidR="00B34C0A" w:rsidRDefault="00B34C0A" w:rsidP="001212CD">
      <w:pPr>
        <w:spacing w:after="0"/>
        <w:jc w:val="both"/>
        <w:rPr>
          <w:rFonts w:ascii="Times New Roman" w:hAnsi="Times New Roman"/>
          <w:b/>
          <w:bCs/>
          <w:sz w:val="20"/>
          <w:szCs w:val="20"/>
        </w:rPr>
        <w:sectPr w:rsidR="00B34C0A" w:rsidSect="00361F35">
          <w:footerReference w:type="even" r:id="rId28"/>
          <w:footerReference w:type="default" r:id="rId29"/>
          <w:type w:val="oddPage"/>
          <w:pgSz w:w="12240" w:h="15840" w:code="1"/>
          <w:pgMar w:top="1800" w:right="1469" w:bottom="1699" w:left="1440" w:header="706" w:footer="706" w:gutter="0"/>
          <w:pgNumType w:start="0"/>
          <w:cols w:space="708"/>
          <w:docGrid w:linePitch="360"/>
        </w:sectPr>
      </w:pPr>
    </w:p>
    <w:p w14:paraId="7B854EDD" w14:textId="4F74D088" w:rsidR="001212CD" w:rsidRPr="001212CD" w:rsidRDefault="001212CD" w:rsidP="001212CD">
      <w:pPr>
        <w:spacing w:after="0"/>
        <w:jc w:val="both"/>
        <w:rPr>
          <w:rFonts w:ascii="Times New Roman" w:hAnsi="Times New Roman"/>
          <w:sz w:val="20"/>
          <w:szCs w:val="20"/>
        </w:rPr>
      </w:pPr>
      <w:r w:rsidRPr="001212CD">
        <w:rPr>
          <w:rFonts w:ascii="Times New Roman" w:hAnsi="Times New Roman"/>
          <w:b/>
          <w:bCs/>
          <w:sz w:val="20"/>
          <w:szCs w:val="20"/>
        </w:rPr>
        <w:t>Electrochemical studies</w:t>
      </w:r>
    </w:p>
    <w:p w14:paraId="442F78C2" w14:textId="7B6DEEBC" w:rsidR="001212CD" w:rsidRDefault="001212CD" w:rsidP="001212CD">
      <w:pPr>
        <w:spacing w:after="0"/>
        <w:jc w:val="both"/>
        <w:rPr>
          <w:rFonts w:ascii="Times New Roman" w:hAnsi="Times New Roman"/>
          <w:sz w:val="20"/>
          <w:szCs w:val="20"/>
        </w:rPr>
      </w:pPr>
      <w:r w:rsidRPr="001212CD">
        <w:rPr>
          <w:rFonts w:ascii="Times New Roman" w:hAnsi="Times New Roman"/>
          <w:sz w:val="20"/>
          <w:szCs w:val="20"/>
        </w:rPr>
        <w:t>From the cyclic voltammogram displayed in Figure 8, complexes 1-3 show a similar pattern which exhibits one electron quasi reversible transfer process with an oxidation peak (E</w:t>
      </w:r>
      <w:r w:rsidRPr="001212CD">
        <w:rPr>
          <w:rFonts w:ascii="Times New Roman" w:hAnsi="Times New Roman"/>
          <w:sz w:val="20"/>
          <w:szCs w:val="20"/>
          <w:vertAlign w:val="subscript"/>
        </w:rPr>
        <w:t>pa</w:t>
      </w:r>
      <w:r w:rsidRPr="001212CD">
        <w:rPr>
          <w:rFonts w:ascii="Times New Roman" w:hAnsi="Times New Roman"/>
          <w:sz w:val="20"/>
          <w:szCs w:val="20"/>
        </w:rPr>
        <w:t>) at the forward scan rate and its corresponding reduction peak at the reverse scan rate. The cathodic peak detected in complex 1 at 0.03 V is due to the reduction of Cu(II) to Cu(I). When the scan is reversed, the anodic peak at 0.75 V indicates the oxidation of Cu(I) to Cu(II). Similarly, in complex 2, a cathodic peak is observed at -0.47 V when Fe(II) is oxidized to Fe(III) while its corresponding anodic peak at -0.67 V is formed when Fe(III) is reduced back to Fe(II). Finally, the peak at 0.71 V in complex 3 is attributed to the oxidation of Ni(I) to Ni(II) and the peak at 0.12 V is due to the reduction of Ni(II) to Ni(I). Apart from that, a small reduction peak can be observed at -0.84 V vs. Ag/AgCl at the reverse scan rate for complex 1 while in complex 3 another reduction peak appears at -0.74 V. However, complex 4 did not show any peaks throughout the scan. This could be explained due to the incomplete complexation of cobalt metal and the ligand in complex 4 which can be governed by a few factors such as the metal to ligand ratio, pH and temperature of the synthesis reaction. The alteration in these parameters could lead to a successful complexation in between cobalt and the ligand.</w:t>
      </w:r>
    </w:p>
    <w:p w14:paraId="436CAD37" w14:textId="77777777" w:rsidR="00B34C0A" w:rsidRPr="001212CD" w:rsidRDefault="00B34C0A" w:rsidP="001212CD">
      <w:pPr>
        <w:spacing w:after="0"/>
        <w:jc w:val="both"/>
        <w:rPr>
          <w:rFonts w:ascii="Times New Roman" w:hAnsi="Times New Roman"/>
          <w:sz w:val="20"/>
          <w:szCs w:val="20"/>
        </w:rPr>
      </w:pPr>
    </w:p>
    <w:p w14:paraId="39EE0621" w14:textId="77777777" w:rsidR="00B34C0A" w:rsidRPr="001212CD" w:rsidRDefault="00B34C0A" w:rsidP="00B34C0A">
      <w:pPr>
        <w:spacing w:after="0"/>
        <w:jc w:val="both"/>
        <w:rPr>
          <w:rFonts w:ascii="Times New Roman" w:hAnsi="Times New Roman"/>
          <w:sz w:val="20"/>
          <w:szCs w:val="20"/>
        </w:rPr>
      </w:pPr>
      <w:r w:rsidRPr="001212CD">
        <w:rPr>
          <w:rFonts w:ascii="Times New Roman" w:hAnsi="Times New Roman"/>
          <w:sz w:val="20"/>
          <w:szCs w:val="20"/>
        </w:rPr>
        <w:t xml:space="preserve">In Figure 9, the cyclic voltammogram of all three complexes in different scan rates were shown in which it can be clearly observed that there was a significant shift in the peak potential during the forward scan towards a more positive potential while in the reverse scan the shift was towards negative value. This behavior is typical for a quasi-reversible system. A significant difference in the quasi reversible voltammogram can be noticed as it displays a large peak-to-peak separation as compared to reversible processes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&lt;EndNote&gt;&lt;Cite&gt;&lt;Author&gt;Kutluay&lt;/Author&gt;&lt;Year&gt;2013&lt;/Year&gt;&lt;RecNum&gt;63&lt;/RecNum&gt;&lt;DisplayText&gt;[13]&lt;/DisplayText&gt;&lt;record&gt;&lt;rec-number&gt;63&lt;/rec-number&gt;&lt;foreign-keys&gt;&lt;key app="EN" db-id="95rrpzvflp5t9fevvxwxa2epefs0xxppsret" timestamp="1596693106"&gt;63&lt;/key&gt;&lt;/foreign-keys&gt;&lt;ref-type name="Journal Article"&gt;17&lt;/ref-type&gt;&lt;contributors&gt;&lt;authors&gt;&lt;author&gt;Kutluay, Aysegul&lt;/author&gt;&lt;author&gt;Aslanoglu, Mehmet&lt;/author&gt;&lt;/authors&gt;&lt;/contributors&gt;&lt;titles&gt;&lt;title&gt;Modification of electrodes using conductive porous layers to confer selectivity for the voltammetric detection of paracetamol in the presence of ascorbic acid, dopamine and uric acid&lt;/title&gt;&lt;secondary-title&gt;Sensors and Actuators B: Chemical&lt;/secondary-title&gt;&lt;/titles&gt;&lt;periodical&gt;&lt;full-title&gt;Sensors and Actuators B: Chemical&lt;/full-title&gt;&lt;/periodical&gt;&lt;pages&gt;398-404&lt;/pages&gt;&lt;volume&gt;185&lt;/volume&gt;&lt;keywords&gt;&lt;keyword&gt;Paracetamol&lt;/keyword&gt;&lt;keyword&gt;Carbon nanotubes&lt;/keyword&gt;&lt;keyword&gt;Porous layers&lt;/keyword&gt;&lt;keyword&gt;Modification&lt;/keyword&gt;&lt;keyword&gt;Selectivity&lt;/keyword&gt;&lt;keyword&gt;Thin layer&lt;/keyword&gt;&lt;keyword&gt;Ascorbic acid&lt;/keyword&gt;&lt;keyword&gt;Uric acid&lt;/keyword&gt;&lt;keyword&gt;Dopamine&lt;/keyword&gt;&lt;/keywords&gt;&lt;dates&gt;&lt;year&gt;2013&lt;/year&gt;&lt;pub-dates&gt;&lt;date&gt;2013/08/01/&lt;/date&gt;&lt;/pub-dates&gt;&lt;/dates&gt;&lt;isbn&gt;0925-4005&lt;/isbn&gt;&lt;urls&gt;&lt;related-urls&gt;&lt;url&gt;http://www.sciencedirect.com/science/article/pii/S0925400513005881&lt;/url&gt;&lt;/related-urls&gt;&lt;/urls&gt;&lt;electronic-resource-num&gt;https://doi.org/10.1016/j.snb.2013.05.025&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[13]</w:t>
      </w:r>
      <w:r w:rsidRPr="001212CD">
        <w:rPr>
          <w:rFonts w:ascii="Times New Roman" w:hAnsi="Times New Roman"/>
          <w:sz w:val="20"/>
          <w:szCs w:val="20"/>
        </w:rPr>
        <w:fldChar w:fldCharType="end"/>
      </w:r>
      <w:r w:rsidRPr="001212CD">
        <w:rPr>
          <w:rFonts w:ascii="Times New Roman" w:hAnsi="Times New Roman"/>
          <w:sz w:val="20"/>
          <w:szCs w:val="20"/>
        </w:rPr>
        <w:t xml:space="preserve">. Theoretically, the process is termed as quasi reversible when the charge transfer and mass transport on the electrode interface does not comply with Nernst equilibrium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&lt;EndNote&gt;&lt;Cite&gt;&lt;Author&gt;Beaver&lt;/Author&gt;&lt;Year&gt;1981&lt;/Year&gt;&lt;RecNum&gt;62&lt;/RecNum&gt;&lt;DisplayText&gt;[14]&lt;/DisplayText&gt;&lt;record&gt;&lt;rec-number&gt;62&lt;/rec-number&gt;&lt;foreign-keys&gt;&lt;key app="EN" db-id="95rrpzvflp5t9fevvxwxa2epefs0xxppsret" timestamp="1596693031"&gt;62&lt;/key&gt;&lt;/foreign-keys&gt;&lt;ref-type name="Journal Article"&gt;17&lt;/ref-type&gt;&lt;contributors&gt;&lt;authors&gt;&lt;author&gt;Beaver, B. D.&lt;/author&gt;&lt;author&gt;Hall, L. C.&lt;/author&gt;&lt;author&gt;Lukehart, C. M.&lt;/author&gt;&lt;author&gt;Preston, L. D.&lt;/author&gt;&lt;/authors&gt;&lt;/contributors&gt;&lt;titles&gt;&lt;title&gt;Reactions of coordinated molecules. XXVII. Cyclic voltammetry of several transition metal metalla-acetylacetonate complexes&lt;/title&gt;&lt;secondary-title&gt;Inorganica Chimica Acta&lt;/secondary-title&gt;&lt;/titles&gt;&lt;periodical&gt;&lt;full-title&gt;Inorganica Chimica Acta&lt;/full-title&gt;&lt;/periodical&gt;&lt;pages&gt;25-30&lt;/pages&gt;&lt;volume&gt;47&lt;/volume&gt;&lt;dates&gt;&lt;year&gt;1981&lt;/year&gt;&lt;pub-dates&gt;&lt;date&gt;1981/01/01/&lt;/date&gt;&lt;/pub-dates&gt;&lt;/dates&gt;&lt;isbn&gt;0020-1693&lt;/isbn&gt;&lt;urls&gt;&lt;related-urls&gt;&lt;url&gt;http://www.sciencedirect.com/science/article/pii/S0020169300893020&lt;/url&gt;&lt;/related-urls&gt;&lt;/urls&gt;&lt;electronic-resource-num&gt;https://doi.org/10.1016/S0020-1693(00)89302-0&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[14]</w:t>
      </w:r>
      <w:r w:rsidRPr="001212CD">
        <w:rPr>
          <w:rFonts w:ascii="Times New Roman" w:hAnsi="Times New Roman"/>
          <w:sz w:val="20"/>
          <w:szCs w:val="20"/>
        </w:rPr>
        <w:fldChar w:fldCharType="end"/>
      </w:r>
      <w:r w:rsidRPr="001212CD">
        <w:rPr>
          <w:rFonts w:ascii="Times New Roman" w:hAnsi="Times New Roman"/>
          <w:sz w:val="20"/>
          <w:szCs w:val="20"/>
        </w:rPr>
        <w:t xml:space="preserve">. There a few properties that shows the cyclic voltammogram is a quasi-reversible such as when the </w:t>
      </w:r>
      <w:r w:rsidRPr="001212CD">
        <w:rPr>
          <w:rFonts w:ascii="Times New Roman" w:hAnsi="Times New Roman"/>
          <w:i/>
          <w:iCs/>
          <w:sz w:val="20"/>
          <w:szCs w:val="20"/>
        </w:rPr>
        <w:t>I</w:t>
      </w:r>
      <w:r w:rsidRPr="001212CD">
        <w:rPr>
          <w:rFonts w:ascii="Times New Roman" w:hAnsi="Times New Roman"/>
          <w:sz w:val="20"/>
          <w:szCs w:val="20"/>
          <w:vertAlign w:val="subscript"/>
        </w:rPr>
        <w:t>p</w:t>
      </w:r>
      <w:r w:rsidRPr="001212CD">
        <w:rPr>
          <w:rFonts w:ascii="Times New Roman" w:hAnsi="Times New Roman"/>
          <w:sz w:val="20"/>
          <w:szCs w:val="20"/>
        </w:rPr>
        <w:t xml:space="preserve"> increases with scan rate, it is not proportional to it and the </w:t>
      </w:r>
      <w:r w:rsidRPr="001212CD">
        <w:rPr>
          <w:rFonts w:ascii="Times New Roman" w:hAnsi="Times New Roman"/>
          <w:i/>
          <w:iCs/>
          <w:sz w:val="20"/>
          <w:szCs w:val="20"/>
        </w:rPr>
        <w:t>E</w:t>
      </w:r>
      <w:r w:rsidRPr="001212CD">
        <w:rPr>
          <w:rFonts w:ascii="Times New Roman" w:hAnsi="Times New Roman"/>
          <w:sz w:val="20"/>
          <w:szCs w:val="20"/>
          <w:vertAlign w:val="subscript"/>
        </w:rPr>
        <w:t>pc</w:t>
      </w:r>
      <w:r w:rsidRPr="001212CD">
        <w:rPr>
          <w:rFonts w:ascii="Times New Roman" w:hAnsi="Times New Roman"/>
          <w:sz w:val="20"/>
          <w:szCs w:val="20"/>
        </w:rPr>
        <w:t xml:space="preserve"> shifts negatively with increasing υ. The peak potentials and peak separation of the metal complexes has been tabulated in Table 6.</w:t>
      </w:r>
    </w:p>
    <w:p w14:paraId="76C3BC8B" w14:textId="77777777" w:rsidR="00B34C0A" w:rsidRDefault="00B34C0A" w:rsidP="001212CD">
      <w:pPr>
        <w:spacing w:after="0"/>
        <w:jc w:val="both"/>
        <w:rPr>
          <w:rFonts w:ascii="Times New Roman" w:hAnsi="Times New Roman"/>
          <w:sz w:val="20"/>
          <w:szCs w:val="20"/>
        </w:rPr>
      </w:pPr>
    </w:p>
    <w:p w14:paraId="1E118218" w14:textId="77777777" w:rsidR="00AE379E" w:rsidRDefault="00B34C0A" w:rsidP="00B34C0A">
      <w:pPr>
        <w:spacing w:after="0"/>
        <w:jc w:val="both"/>
        <w:outlineLvl w:val="0"/>
        <w:rPr>
          <w:rFonts w:ascii="Times New Roman" w:hAnsi="Times New Roman"/>
          <w:bCs/>
          <w:sz w:val="20"/>
          <w:szCs w:val="20"/>
        </w:rPr>
      </w:pPr>
      <w:r w:rsidRPr="001212CD">
        <w:rPr>
          <w:rFonts w:ascii="Times New Roman" w:hAnsi="Times New Roman"/>
          <w:bCs/>
          <w:sz w:val="20"/>
          <w:szCs w:val="20"/>
        </w:rPr>
        <w:t>The electron transfer process which happened on the electrode for each metal complexes was determined by plotting the peak currents (</w:t>
      </w:r>
      <w:r w:rsidRPr="001212CD">
        <w:rPr>
          <w:rFonts w:ascii="Times New Roman" w:hAnsi="Times New Roman"/>
          <w:bCs/>
          <w:i/>
          <w:iCs/>
          <w:sz w:val="20"/>
          <w:szCs w:val="20"/>
        </w:rPr>
        <w:t>I</w:t>
      </w:r>
      <w:r w:rsidRPr="001212CD">
        <w:rPr>
          <w:rFonts w:ascii="Times New Roman" w:hAnsi="Times New Roman"/>
          <w:bCs/>
          <w:sz w:val="20"/>
          <w:szCs w:val="20"/>
          <w:vertAlign w:val="subscript"/>
        </w:rPr>
        <w:t>pa</w:t>
      </w:r>
      <w:r w:rsidRPr="001212CD">
        <w:rPr>
          <w:rFonts w:ascii="Times New Roman" w:hAnsi="Times New Roman"/>
          <w:bCs/>
          <w:sz w:val="20"/>
          <w:szCs w:val="20"/>
        </w:rPr>
        <w:t xml:space="preserve"> and </w:t>
      </w:r>
      <w:r w:rsidRPr="001212CD">
        <w:rPr>
          <w:rFonts w:ascii="Times New Roman" w:hAnsi="Times New Roman"/>
          <w:bCs/>
          <w:i/>
          <w:iCs/>
          <w:sz w:val="20"/>
          <w:szCs w:val="20"/>
        </w:rPr>
        <w:t>I</w:t>
      </w:r>
      <w:r w:rsidRPr="001212CD">
        <w:rPr>
          <w:rFonts w:ascii="Times New Roman" w:hAnsi="Times New Roman"/>
          <w:bCs/>
          <w:sz w:val="20"/>
          <w:szCs w:val="20"/>
          <w:vertAlign w:val="subscript"/>
        </w:rPr>
        <w:t>pc</w:t>
      </w:r>
      <w:r w:rsidRPr="001212CD">
        <w:rPr>
          <w:rFonts w:ascii="Times New Roman" w:hAnsi="Times New Roman"/>
          <w:bCs/>
          <w:sz w:val="20"/>
          <w:szCs w:val="20"/>
        </w:rPr>
        <w:t xml:space="preserve">) against the scan rates and the square root of the scan rates, respectively. In order to calculate the electrochemical transfer kinetic parameters of the metal complexes, Laviron’s </w:t>
      </w:r>
      <w:r>
        <w:rPr>
          <w:rFonts w:ascii="Times New Roman" w:hAnsi="Times New Roman"/>
          <w:bCs/>
          <w:sz w:val="20"/>
          <w:szCs w:val="20"/>
        </w:rPr>
        <w:t>E</w:t>
      </w:r>
      <w:r w:rsidRPr="001212CD">
        <w:rPr>
          <w:rFonts w:ascii="Times New Roman" w:hAnsi="Times New Roman"/>
          <w:bCs/>
          <w:sz w:val="20"/>
          <w:szCs w:val="20"/>
        </w:rPr>
        <w:t xml:space="preserve">quations (1 and 2) were used. </w:t>
      </w:r>
    </w:p>
    <w:p w14:paraId="621DBC8A" w14:textId="77777777" w:rsidR="00AE379E" w:rsidRDefault="00AE379E" w:rsidP="00B34C0A">
      <w:pPr>
        <w:spacing w:after="0"/>
        <w:jc w:val="both"/>
        <w:outlineLvl w:val="0"/>
        <w:rPr>
          <w:rFonts w:ascii="Times New Roman" w:hAnsi="Times New Roman"/>
          <w:bCs/>
          <w:sz w:val="20"/>
          <w:szCs w:val="20"/>
        </w:rPr>
      </w:pPr>
    </w:p>
    <w:p w14:paraId="36D00C9B" w14:textId="77777777" w:rsidR="00AE379E" w:rsidRDefault="00AE379E" w:rsidP="00B34C0A">
      <w:pPr>
        <w:spacing w:after="0"/>
        <w:jc w:val="both"/>
        <w:outlineLvl w:val="0"/>
        <w:rPr>
          <w:rFonts w:ascii="Times New Roman" w:hAnsi="Times New Roman"/>
          <w:bCs/>
          <w:sz w:val="20"/>
          <w:szCs w:val="20"/>
        </w:rPr>
      </w:pPr>
    </w:p>
    <w:p w14:paraId="370C9987" w14:textId="10DC4CE3" w:rsidR="00AE379E" w:rsidRDefault="00AE379E" w:rsidP="00B34C0A">
      <w:pPr>
        <w:spacing w:after="0"/>
        <w:jc w:val="both"/>
        <w:outlineLvl w:val="0"/>
        <w:rPr>
          <w:rFonts w:ascii="Times New Roman" w:hAnsi="Times New Roman"/>
          <w:bCs/>
          <w:sz w:val="20"/>
          <w:szCs w:val="20"/>
        </w:rPr>
      </w:pPr>
      <w:r w:rsidRPr="001212CD">
        <w:rPr>
          <w:rFonts w:ascii="Times New Roman" w:hAnsi="Times New Roman"/>
          <w:noProof/>
          <w:sz w:val="20"/>
          <w:szCs w:val="20"/>
          <w:lang w:val="en-MY" w:eastAsia="en-MY"/>
        </w:rPr>
        <w:lastRenderedPageBreak/>
        <w:drawing>
          <wp:inline distT="0" distB="0" distL="0" distR="0" wp14:anchorId="3F247BC0" wp14:editId="75AC4DD6">
            <wp:extent cx="1287475" cy="267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7563" cy="275796"/>
                    </a:xfrm>
                    <a:prstGeom prst="rect">
                      <a:avLst/>
                    </a:prstGeom>
                    <a:noFill/>
                    <a:ln>
                      <a:noFill/>
                    </a:ln>
                  </pic:spPr>
                </pic:pic>
              </a:graphicData>
            </a:graphic>
          </wp:inline>
        </w:drawing>
      </w:r>
      <w:r>
        <w:rPr>
          <w:rFonts w:ascii="Times New Roman" w:hAnsi="Times New Roman"/>
          <w:bCs/>
          <w:sz w:val="20"/>
          <w:szCs w:val="20"/>
        </w:rPr>
        <w:t xml:space="preserve">                                              (1)</w:t>
      </w:r>
    </w:p>
    <w:p w14:paraId="09B9AF29" w14:textId="77777777" w:rsidR="00AE379E" w:rsidRDefault="00AE379E" w:rsidP="00B34C0A">
      <w:pPr>
        <w:spacing w:after="0"/>
        <w:jc w:val="both"/>
        <w:outlineLvl w:val="0"/>
        <w:rPr>
          <w:rFonts w:ascii="Times New Roman" w:hAnsi="Times New Roman"/>
          <w:bCs/>
          <w:sz w:val="20"/>
          <w:szCs w:val="20"/>
        </w:rPr>
      </w:pPr>
    </w:p>
    <w:p w14:paraId="0676F365" w14:textId="41EA601E" w:rsidR="00AE379E" w:rsidRDefault="00AE379E" w:rsidP="00B34C0A">
      <w:pPr>
        <w:spacing w:after="0"/>
        <w:jc w:val="both"/>
        <w:outlineLvl w:val="0"/>
        <w:rPr>
          <w:rFonts w:ascii="Times New Roman" w:hAnsi="Times New Roman"/>
          <w:bCs/>
          <w:sz w:val="20"/>
          <w:szCs w:val="20"/>
        </w:rPr>
      </w:pPr>
      <w:r w:rsidRPr="001212CD">
        <w:rPr>
          <w:rFonts w:ascii="Times New Roman" w:hAnsi="Times New Roman"/>
          <w:noProof/>
          <w:sz w:val="20"/>
          <w:szCs w:val="20"/>
          <w:lang w:val="en-MY" w:eastAsia="en-MY"/>
        </w:rPr>
        <w:drawing>
          <wp:inline distT="0" distB="0" distL="0" distR="0" wp14:anchorId="6CAEC5AA" wp14:editId="07E20F29">
            <wp:extent cx="1133856" cy="233696"/>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5778" cy="240275"/>
                    </a:xfrm>
                    <a:prstGeom prst="rect">
                      <a:avLst/>
                    </a:prstGeom>
                    <a:noFill/>
                    <a:ln>
                      <a:noFill/>
                    </a:ln>
                  </pic:spPr>
                </pic:pic>
              </a:graphicData>
            </a:graphic>
          </wp:inline>
        </w:drawing>
      </w:r>
      <w:r>
        <w:rPr>
          <w:rFonts w:ascii="Times New Roman" w:hAnsi="Times New Roman"/>
          <w:bCs/>
          <w:sz w:val="20"/>
          <w:szCs w:val="20"/>
        </w:rPr>
        <w:t xml:space="preserve">                                                  (2)</w:t>
      </w:r>
    </w:p>
    <w:p w14:paraId="489482B9" w14:textId="77777777" w:rsidR="00AE379E" w:rsidRDefault="00AE379E" w:rsidP="00B34C0A">
      <w:pPr>
        <w:spacing w:after="0"/>
        <w:jc w:val="both"/>
        <w:outlineLvl w:val="0"/>
        <w:rPr>
          <w:rFonts w:ascii="Times New Roman" w:hAnsi="Times New Roman"/>
          <w:bCs/>
          <w:sz w:val="20"/>
          <w:szCs w:val="20"/>
        </w:rPr>
      </w:pPr>
    </w:p>
    <w:p w14:paraId="35F4FFAE" w14:textId="4818C8BA" w:rsidR="00B34C0A" w:rsidRDefault="00B34C0A" w:rsidP="00B34C0A">
      <w:pPr>
        <w:spacing w:after="0"/>
        <w:jc w:val="both"/>
        <w:outlineLvl w:val="0"/>
        <w:rPr>
          <w:rFonts w:ascii="Times New Roman" w:hAnsi="Times New Roman"/>
          <w:sz w:val="20"/>
          <w:szCs w:val="20"/>
        </w:rPr>
      </w:pPr>
      <w:r w:rsidRPr="001212CD">
        <w:rPr>
          <w:rFonts w:ascii="Times New Roman" w:hAnsi="Times New Roman"/>
          <w:bCs/>
          <w:sz w:val="20"/>
          <w:szCs w:val="20"/>
        </w:rPr>
        <w:t xml:space="preserve">This parameter includes the number of electrons transfer (η) and the electron transfer coefficient (α) </w:t>
      </w:r>
      <w:r w:rsidRPr="001212CD">
        <w:rPr>
          <w:rFonts w:ascii="Times New Roman" w:hAnsi="Times New Roman"/>
          <w:bCs/>
          <w:sz w:val="20"/>
          <w:szCs w:val="20"/>
        </w:rPr>
        <w:fldChar w:fldCharType="begin"/>
      </w:r>
      <w:r w:rsidRPr="001212CD">
        <w:rPr>
          <w:rFonts w:ascii="Times New Roman" w:hAnsi="Times New Roman"/>
          <w:bCs/>
          <w:sz w:val="20"/>
          <w:szCs w:val="20"/>
        </w:rPr>
        <w:instrText xml:space="preserve"> ADDIN EN.CITE &lt;EndNote&gt;&lt;Cite&gt;&lt;Author&gt;Huang&lt;/Author&gt;&lt;Year&gt;2013&lt;/Year&gt;&lt;RecNum&gt;55&lt;/RecNum&gt;&lt;DisplayText&gt;[15]&lt;/DisplayText&gt;&lt;record&gt;&lt;rec-number&gt;55&lt;/rec-number&gt;&lt;foreign-keys&gt;&lt;key app="EN" db-id="95rrpzvflp5t9fevvxwxa2epefs0xxppsret" timestamp="1596691416"&gt;55&lt;/key&gt;&lt;/foreign-keys&gt;&lt;ref-type name="Journal Article"&gt;17&lt;/ref-type&gt;&lt;contributors&gt;&lt;authors&gt;&lt;author&gt;Huang, Fuying&lt;/author&gt;&lt;author&gt;Wang, Fei&lt;/author&gt;&lt;author&gt;Feng, Shuqing&lt;/author&gt;&lt;author&gt;Li, Yuanjun&lt;/author&gt;&lt;author&gt;Li, Shunxing&lt;/author&gt;&lt;author&gt;Li, Yancai&lt;/author&gt;&lt;/authors&gt;&lt;/contributors&gt;&lt;titles&gt;&lt;title&gt;Direct electrochemistry and electrochemical biosensing of glucose oxidase based on CdSe@CdS quantum dots and MWNT-modified electrode&lt;/title&gt;&lt;secondary-title&gt;Journal of Solid State Electrochemistry&lt;/secondary-title&gt;&lt;/titles&gt;&lt;periodical&gt;&lt;full-title&gt;Journal of Solid State Electrochemistry&lt;/full-title&gt;&lt;/periodical&gt;&lt;pages&gt;1295-1301&lt;/pages&gt;&lt;volume&gt;17&lt;/volume&gt;&lt;number&gt;5&lt;/number&gt;&lt;dates&gt;&lt;year&gt;2013&lt;/year&gt;&lt;pub-dates&gt;&lt;date&gt;2013/05/01&lt;/date&gt;&lt;/pub-dates&gt;&lt;/dates&gt;&lt;isbn&gt;1433-0768&lt;/isbn&gt;&lt;urls&gt;&lt;related-urls&gt;&lt;url&gt;https://doi.org/10.1007/s10008-012-1986-y&lt;/url&gt;&lt;/related-urls&gt;&lt;/urls&gt;&lt;electronic-resource-num&gt;10.1007/s10008-012-1986-y&lt;/electronic-resource-num&gt;&lt;/record&gt;&lt;/Cite&gt;&lt;/EndNote&gt;</w:instrText>
      </w:r>
      <w:r w:rsidRPr="001212CD">
        <w:rPr>
          <w:rFonts w:ascii="Times New Roman" w:hAnsi="Times New Roman"/>
          <w:bCs/>
          <w:sz w:val="20"/>
          <w:szCs w:val="20"/>
        </w:rPr>
        <w:fldChar w:fldCharType="separate"/>
      </w:r>
      <w:r w:rsidRPr="001212CD">
        <w:rPr>
          <w:rFonts w:ascii="Times New Roman" w:hAnsi="Times New Roman"/>
          <w:bCs/>
          <w:noProof/>
          <w:sz w:val="20"/>
          <w:szCs w:val="20"/>
        </w:rPr>
        <w:t>[15]</w:t>
      </w:r>
      <w:r w:rsidRPr="001212CD">
        <w:rPr>
          <w:rFonts w:ascii="Times New Roman" w:hAnsi="Times New Roman"/>
          <w:bCs/>
          <w:sz w:val="20"/>
          <w:szCs w:val="20"/>
        </w:rPr>
        <w:fldChar w:fldCharType="end"/>
      </w:r>
      <w:r w:rsidRPr="001212CD">
        <w:rPr>
          <w:rFonts w:ascii="Times New Roman" w:hAnsi="Times New Roman"/>
          <w:bCs/>
          <w:sz w:val="20"/>
          <w:szCs w:val="20"/>
        </w:rPr>
        <w:t>.</w:t>
      </w:r>
      <w:r w:rsidRPr="001212CD">
        <w:rPr>
          <w:rFonts w:ascii="Times New Roman" w:hAnsi="Times New Roman"/>
          <w:sz w:val="20"/>
          <w:szCs w:val="20"/>
        </w:rPr>
        <w:t xml:space="preserve"> Based on the graph plotted, Figure 10 indicates the complexes 1-3 exhibit a mass diffusion-controlled process as the anodic and cathodic peak current increase linearly to the square root of the scan rate (</w:t>
      </w:r>
      <m:oMath>
        <m:rad>
          <m:radPr>
            <m:degHide m:val="1"/>
            <m:ctrlPr>
              <w:rPr>
                <w:rFonts w:ascii="Cambria Math" w:hAnsi="Cambria Math"/>
                <w:i/>
                <w:sz w:val="20"/>
                <w:szCs w:val="20"/>
              </w:rPr>
            </m:ctrlPr>
          </m:radPr>
          <m:deg/>
          <m:e>
            <m:r>
              <w:rPr>
                <w:rFonts w:ascii="Cambria Math" w:hAnsi="Cambria Math"/>
                <w:sz w:val="20"/>
                <w:szCs w:val="20"/>
              </w:rPr>
              <m:t>υ</m:t>
            </m:r>
          </m:e>
        </m:rad>
      </m:oMath>
      <w:r w:rsidRPr="001212CD">
        <w:rPr>
          <w:rFonts w:ascii="Times New Roman" w:hAnsi="Times New Roman"/>
          <w:sz w:val="20"/>
          <w:szCs w:val="20"/>
        </w:rPr>
        <w:t xml:space="preserve">) </w:t>
      </w:r>
      <w:r w:rsidRPr="001212CD">
        <w:rPr>
          <w:rFonts w:ascii="Times New Roman" w:hAnsi="Times New Roman"/>
          <w:sz w:val="20"/>
          <w:szCs w:val="20"/>
        </w:rPr>
        <w:fldChar w:fldCharType="begin"/>
      </w:r>
      <w:r w:rsidRPr="001212CD">
        <w:rPr>
          <w:rFonts w:ascii="Times New Roman" w:hAnsi="Times New Roman"/>
          <w:sz w:val="20"/>
          <w:szCs w:val="20"/>
        </w:rPr>
        <w:instrText xml:space="preserve"> ADDIN EN.CITE &lt;EndNote&gt;&lt;Cite&gt;&lt;Author&gt;Hamel&lt;/Author&gt;&lt;Year&gt;2004&lt;/Year&gt;&lt;RecNum&gt;64&lt;/RecNum&gt;&lt;DisplayText&gt;[16]&lt;/DisplayText&gt;&lt;record&gt;&lt;rec-number&gt;64&lt;/rec-number&gt;&lt;foreign-keys&gt;&lt;key app="EN" db-id="95rrpzvflp5t9fevvxwxa2epefs0xxppsret" timestamp="1596693790"&gt;64&lt;/key&gt;&lt;/foreign-keys&gt;&lt;ref-type name="Journal Article"&gt;17&lt;/ref-type&gt;&lt;contributors&gt;&lt;authors&gt;&lt;author&gt;Hamel, C.&lt;/author&gt;&lt;author&gt;Chamelot, P.&lt;/author&gt;&lt;author&gt;Taxil, P.&lt;/author&gt;&lt;/authors&gt;&lt;/contributors&gt;&lt;titles&gt;&lt;title&gt;Neodymium(III) cathodic processes in molten fluorides&lt;/title&gt;&lt;secondary-title&gt;Electrochimica Acta&lt;/secondary-title&gt;&lt;/titles&gt;&lt;periodical&gt;&lt;full-title&gt;Electrochimica Acta&lt;/full-title&gt;&lt;/periodical&gt;&lt;pages&gt;4467-4476&lt;/pages&gt;&lt;volume&gt;49&lt;/volume&gt;&lt;number&gt;25&lt;/number&gt;&lt;keywords&gt;&lt;keyword&gt;Neodymium&lt;/keyword&gt;&lt;keyword&gt;Molten Fluorides&lt;/keyword&gt;&lt;keyword&gt;Electrowining&lt;/keyword&gt;&lt;keyword&gt;Chronopotentiometry&lt;/keyword&gt;&lt;keyword&gt;Voltammetry&lt;/keyword&gt;&lt;/keywords&gt;&lt;dates&gt;&lt;year&gt;2004&lt;/year&gt;&lt;pub-dates&gt;&lt;date&gt;2004/10/01/&lt;/date&gt;&lt;/pub-dates&gt;&lt;/dates&gt;&lt;isbn&gt;0013-4686&lt;/isbn&gt;&lt;urls&gt;&lt;related-urls&gt;&lt;url&gt;http://www.sciencedirect.com/science/article/pii/S001346860400475X&lt;/url&gt;&lt;/related-urls&gt;&lt;/urls&gt;&lt;electronic-resource-num&gt;https://doi.org/10.1016/j.electacta.2004.05.003&lt;/electronic-resource-num&gt;&lt;/record&gt;&lt;/Cite&gt;&lt;/EndNote&gt;</w:instrText>
      </w:r>
      <w:r w:rsidRPr="001212CD">
        <w:rPr>
          <w:rFonts w:ascii="Times New Roman" w:hAnsi="Times New Roman"/>
          <w:sz w:val="20"/>
          <w:szCs w:val="20"/>
        </w:rPr>
        <w:fldChar w:fldCharType="separate"/>
      </w:r>
      <w:r w:rsidRPr="001212CD">
        <w:rPr>
          <w:rFonts w:ascii="Times New Roman" w:hAnsi="Times New Roman"/>
          <w:noProof/>
          <w:sz w:val="20"/>
          <w:szCs w:val="20"/>
        </w:rPr>
        <w:t>[16]</w:t>
      </w:r>
      <w:r w:rsidRPr="001212CD">
        <w:rPr>
          <w:rFonts w:ascii="Times New Roman" w:hAnsi="Times New Roman"/>
          <w:sz w:val="20"/>
          <w:szCs w:val="20"/>
        </w:rPr>
        <w:fldChar w:fldCharType="end"/>
      </w:r>
      <w:r w:rsidRPr="001212CD">
        <w:rPr>
          <w:rFonts w:ascii="Times New Roman" w:hAnsi="Times New Roman"/>
          <w:sz w:val="20"/>
          <w:szCs w:val="20"/>
        </w:rPr>
        <w:t xml:space="preserve">. </w:t>
      </w:r>
    </w:p>
    <w:p w14:paraId="79D955B8" w14:textId="77777777" w:rsidR="00AE379E" w:rsidRDefault="00AE379E" w:rsidP="00B34C0A">
      <w:pPr>
        <w:spacing w:after="0"/>
        <w:jc w:val="both"/>
        <w:outlineLvl w:val="0"/>
        <w:rPr>
          <w:rFonts w:ascii="Times New Roman" w:hAnsi="Times New Roman"/>
          <w:sz w:val="20"/>
          <w:szCs w:val="20"/>
        </w:rPr>
      </w:pPr>
    </w:p>
    <w:p w14:paraId="50E0C3B2" w14:textId="77777777" w:rsidR="00AE379E" w:rsidRPr="001212CD" w:rsidRDefault="00AE379E" w:rsidP="00AE379E">
      <w:pPr>
        <w:spacing w:after="0"/>
        <w:jc w:val="both"/>
        <w:rPr>
          <w:rFonts w:ascii="Times New Roman" w:hAnsi="Times New Roman"/>
          <w:sz w:val="20"/>
          <w:szCs w:val="20"/>
        </w:rPr>
      </w:pPr>
      <w:r w:rsidRPr="001212CD">
        <w:rPr>
          <w:rFonts w:ascii="Times New Roman" w:hAnsi="Times New Roman"/>
          <w:sz w:val="20"/>
          <w:szCs w:val="20"/>
        </w:rPr>
        <w:t>The redox peak potentials and scan rates from 20-100 mVs</w:t>
      </w:r>
      <w:r w:rsidRPr="001212CD">
        <w:rPr>
          <w:rFonts w:ascii="Times New Roman" w:hAnsi="Times New Roman"/>
          <w:sz w:val="20"/>
          <w:szCs w:val="20"/>
          <w:vertAlign w:val="superscript"/>
        </w:rPr>
        <w:t>-1</w:t>
      </w:r>
      <w:r w:rsidRPr="001212CD">
        <w:rPr>
          <w:rFonts w:ascii="Times New Roman" w:hAnsi="Times New Roman"/>
          <w:sz w:val="20"/>
          <w:szCs w:val="20"/>
        </w:rPr>
        <w:t xml:space="preserve"> in logarithmic scale was plotted in Figure 11. It was found to be linear to each other as depicted in Figure </w:t>
      </w:r>
      <w:r w:rsidRPr="001212CD">
        <w:rPr>
          <w:rFonts w:ascii="Times New Roman" w:hAnsi="Times New Roman"/>
          <w:sz w:val="20"/>
          <w:szCs w:val="20"/>
        </w:rPr>
        <w:t>11. The slopes derived from plot were applied in equation 1 and 2 to extract information on the number of electrons (η) and electron transfer coefficient (α). For complex 1, the number of electrons is estimated to be 0.74 ≈ 1 and the α is 0.38. Hence, the electrochemical redox process of complex 1 (</w:t>
      </w:r>
      <m:oMath>
        <m:sSup>
          <m:sSupPr>
            <m:ctrlPr>
              <w:rPr>
                <w:rFonts w:ascii="Cambria Math" w:hAnsi="Cambria Math"/>
                <w:sz w:val="20"/>
                <w:szCs w:val="20"/>
              </w:rPr>
            </m:ctrlPr>
          </m:sSupPr>
          <m:e>
            <m:r>
              <m:rPr>
                <m:sty m:val="p"/>
              </m:rPr>
              <w:rPr>
                <w:rFonts w:ascii="Cambria Math" w:hAnsi="Cambria Math"/>
                <w:sz w:val="20"/>
                <w:szCs w:val="20"/>
              </w:rPr>
              <m:t>Cu</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Cu</m:t>
            </m:r>
          </m:e>
          <m:sup>
            <m:r>
              <m:rPr>
                <m:sty m:val="p"/>
              </m:rPr>
              <w:rPr>
                <w:rFonts w:ascii="Cambria Math" w:hAnsi="Cambria Math"/>
                <w:sz w:val="20"/>
                <w:szCs w:val="20"/>
              </w:rPr>
              <m:t>+</m:t>
            </m:r>
          </m:sup>
        </m:sSup>
        <m:r>
          <m:rPr>
            <m:sty m:val="p"/>
          </m:rPr>
          <w:rPr>
            <w:rFonts w:ascii="Cambria Math" w:hAnsi="Cambria Math"/>
            <w:sz w:val="20"/>
            <w:szCs w:val="20"/>
          </w:rPr>
          <m:t>)</m:t>
        </m:r>
      </m:oMath>
      <w:r w:rsidRPr="001212CD">
        <w:rPr>
          <w:rFonts w:ascii="Times New Roman" w:hAnsi="Times New Roman"/>
          <w:sz w:val="20"/>
          <w:szCs w:val="20"/>
        </w:rPr>
        <w:t xml:space="preserve"> required one electron. The slope of complex 2 shows the number of electrons to be 0.55 ≈ 1 and the α is 0.36. Complex 2 also shows a one electron transfer electrochemical redox process (</w:t>
      </w:r>
      <m:oMath>
        <m:sSup>
          <m:sSupPr>
            <m:ctrlPr>
              <w:rPr>
                <w:rFonts w:ascii="Cambria Math" w:hAnsi="Cambria Math"/>
                <w:sz w:val="20"/>
                <w:szCs w:val="20"/>
              </w:rPr>
            </m:ctrlPr>
          </m:sSupPr>
          <m:e>
            <m:r>
              <m:rPr>
                <m:sty m:val="p"/>
              </m:rPr>
              <w:rPr>
                <w:rFonts w:ascii="Cambria Math" w:hAnsi="Cambria Math"/>
                <w:sz w:val="20"/>
                <w:szCs w:val="20"/>
              </w:rPr>
              <m:t>Fe</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Fe</m:t>
            </m:r>
          </m:e>
          <m:sup>
            <m:r>
              <m:rPr>
                <m:sty m:val="p"/>
              </m:rPr>
              <w:rPr>
                <w:rFonts w:ascii="Cambria Math" w:hAnsi="Cambria Math"/>
                <w:sz w:val="20"/>
                <w:szCs w:val="20"/>
              </w:rPr>
              <m:t>3+</m:t>
            </m:r>
          </m:sup>
        </m:sSup>
        <m:r>
          <m:rPr>
            <m:sty m:val="p"/>
          </m:rPr>
          <w:rPr>
            <w:rFonts w:ascii="Cambria Math" w:hAnsi="Cambria Math"/>
            <w:sz w:val="20"/>
            <w:szCs w:val="20"/>
          </w:rPr>
          <m:t>)</m:t>
        </m:r>
      </m:oMath>
      <w:r w:rsidRPr="001212CD">
        <w:rPr>
          <w:rFonts w:ascii="Times New Roman" w:hAnsi="Times New Roman"/>
          <w:sz w:val="20"/>
          <w:szCs w:val="20"/>
        </w:rPr>
        <w:t xml:space="preserve">. Finally, for complex 3, the number of electrons is estimated to be 0.66 ≈ 1 and the α is 0.54. Thus, it also shows a one electron transfers redox process </w:t>
      </w:r>
      <m:oMath>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Ni</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m:rPr>
                <m:sty m:val="p"/>
              </m:rPr>
              <w:rPr>
                <w:rFonts w:ascii="Cambria Math" w:hAnsi="Cambria Math"/>
                <w:sz w:val="20"/>
                <w:szCs w:val="20"/>
              </w:rPr>
              <m:t>Ni</m:t>
            </m:r>
          </m:e>
          <m:sup>
            <m:r>
              <m:rPr>
                <m:sty m:val="p"/>
              </m:rPr>
              <w:rPr>
                <w:rFonts w:ascii="Cambria Math" w:hAnsi="Cambria Math"/>
                <w:sz w:val="20"/>
                <w:szCs w:val="20"/>
              </w:rPr>
              <m:t>+</m:t>
            </m:r>
          </m:sup>
        </m:sSup>
        <m:r>
          <m:rPr>
            <m:sty m:val="p"/>
          </m:rPr>
          <w:rPr>
            <w:rFonts w:ascii="Cambria Math" w:hAnsi="Cambria Math"/>
            <w:sz w:val="20"/>
            <w:szCs w:val="20"/>
          </w:rPr>
          <m:t>)</m:t>
        </m:r>
      </m:oMath>
      <w:r w:rsidRPr="001212CD">
        <w:rPr>
          <w:rFonts w:ascii="Times New Roman" w:hAnsi="Times New Roman"/>
          <w:sz w:val="20"/>
          <w:szCs w:val="20"/>
        </w:rPr>
        <w:t>.</w:t>
      </w:r>
    </w:p>
    <w:p w14:paraId="6E70589D" w14:textId="77777777" w:rsidR="00AE379E" w:rsidRPr="001212CD" w:rsidRDefault="00AE379E" w:rsidP="00B34C0A">
      <w:pPr>
        <w:spacing w:after="0"/>
        <w:jc w:val="both"/>
        <w:outlineLvl w:val="0"/>
        <w:rPr>
          <w:rFonts w:ascii="Times New Roman" w:hAnsi="Times New Roman"/>
          <w:sz w:val="20"/>
          <w:szCs w:val="20"/>
        </w:rPr>
      </w:pPr>
    </w:p>
    <w:p w14:paraId="4DE0B45E" w14:textId="77777777" w:rsidR="00B34C0A" w:rsidRDefault="00B34C0A" w:rsidP="001212CD">
      <w:pPr>
        <w:spacing w:after="0"/>
        <w:jc w:val="both"/>
        <w:rPr>
          <w:rFonts w:ascii="Times New Roman" w:hAnsi="Times New Roman"/>
          <w:sz w:val="20"/>
          <w:szCs w:val="20"/>
        </w:rPr>
      </w:pPr>
    </w:p>
    <w:p w14:paraId="3350CD1A" w14:textId="3C5617ED" w:rsidR="00B34C0A" w:rsidRDefault="00B34C0A" w:rsidP="001212CD">
      <w:pPr>
        <w:spacing w:after="0"/>
        <w:jc w:val="both"/>
        <w:rPr>
          <w:rFonts w:ascii="Times New Roman" w:hAnsi="Times New Roman"/>
          <w:sz w:val="20"/>
          <w:szCs w:val="20"/>
        </w:rPr>
        <w:sectPr w:rsidR="00B34C0A" w:rsidSect="00B34C0A">
          <w:footerReference w:type="default" r:id="rId32"/>
          <w:type w:val="continuous"/>
          <w:pgSz w:w="12240" w:h="15840" w:code="1"/>
          <w:pgMar w:top="1800" w:right="1469" w:bottom="1699" w:left="1440" w:header="706" w:footer="706" w:gutter="0"/>
          <w:pgNumType w:start="0"/>
          <w:cols w:num="2" w:space="403"/>
          <w:docGrid w:linePitch="360"/>
        </w:sectPr>
      </w:pPr>
    </w:p>
    <w:p w14:paraId="6C3889B5" w14:textId="33ADF305" w:rsidR="001212CD" w:rsidRDefault="001212CD" w:rsidP="001212CD">
      <w:pPr>
        <w:spacing w:after="0"/>
        <w:jc w:val="both"/>
        <w:rPr>
          <w:rFonts w:ascii="Times New Roman" w:hAnsi="Times New Roman"/>
          <w:sz w:val="20"/>
          <w:szCs w:val="20"/>
        </w:rPr>
      </w:pPr>
    </w:p>
    <w:p w14:paraId="6157EDF7" w14:textId="15CA1A37" w:rsidR="00343660" w:rsidRDefault="00343660" w:rsidP="001212CD">
      <w:pPr>
        <w:spacing w:after="0"/>
        <w:jc w:val="both"/>
        <w:rPr>
          <w:rFonts w:ascii="Times New Roman" w:hAnsi="Times New Roman"/>
          <w:sz w:val="20"/>
          <w:szCs w:val="20"/>
        </w:rPr>
      </w:pPr>
    </w:p>
    <w:p w14:paraId="055C7225" w14:textId="77777777" w:rsidR="00AE379E" w:rsidRPr="001212CD" w:rsidRDefault="00AE379E" w:rsidP="001212CD">
      <w:pPr>
        <w:spacing w:after="0"/>
        <w:jc w:val="both"/>
        <w:rPr>
          <w:rFonts w:ascii="Times New Roman" w:hAnsi="Times New Roman"/>
          <w:sz w:val="20"/>
          <w:szCs w:val="20"/>
        </w:rPr>
      </w:pPr>
    </w:p>
    <w:p w14:paraId="592105BF" w14:textId="0A2B7311" w:rsidR="001212CD" w:rsidRPr="001212CD" w:rsidRDefault="001212CD" w:rsidP="00343660">
      <w:pPr>
        <w:spacing w:after="120"/>
        <w:jc w:val="center"/>
        <w:rPr>
          <w:rFonts w:ascii="Times New Roman" w:hAnsi="Times New Roman"/>
          <w:b/>
          <w:bCs/>
          <w:sz w:val="20"/>
          <w:szCs w:val="20"/>
        </w:rPr>
      </w:pPr>
      <w:r w:rsidRPr="001212CD">
        <w:rPr>
          <w:rFonts w:ascii="Times New Roman" w:hAnsi="Times New Roman"/>
          <w:noProof/>
          <w:sz w:val="20"/>
          <w:szCs w:val="20"/>
          <w:lang w:val="en-MY" w:eastAsia="en-MY"/>
        </w:rPr>
        <w:drawing>
          <wp:inline distT="0" distB="0" distL="0" distR="0" wp14:anchorId="1E4B46E9" wp14:editId="48EC2A9E">
            <wp:extent cx="5400675" cy="3502738"/>
            <wp:effectExtent l="19050" t="19050" r="9525" b="21590"/>
            <wp:docPr id="46" name="Picture 46" descr="C:\Users\Shankary\Desktop\MSc Thesis\Figures\CV\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nkary\Desktop\MSc Thesis\Figures\CV\Picture1.tif"/>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675" cy="3502738"/>
                    </a:xfrm>
                    <a:prstGeom prst="rect">
                      <a:avLst/>
                    </a:prstGeom>
                    <a:noFill/>
                    <a:ln>
                      <a:solidFill>
                        <a:schemeClr val="tx1"/>
                      </a:solidFill>
                    </a:ln>
                  </pic:spPr>
                </pic:pic>
              </a:graphicData>
            </a:graphic>
          </wp:inline>
        </w:drawing>
      </w:r>
    </w:p>
    <w:p w14:paraId="62E66785" w14:textId="3FE9FA5D" w:rsidR="001212CD" w:rsidRPr="001212CD" w:rsidRDefault="001212CD" w:rsidP="001212CD">
      <w:pPr>
        <w:spacing w:after="0"/>
        <w:ind w:left="851" w:hanging="851"/>
        <w:jc w:val="both"/>
        <w:rPr>
          <w:rFonts w:ascii="Times New Roman" w:hAnsi="Times New Roman"/>
          <w:sz w:val="20"/>
          <w:szCs w:val="20"/>
        </w:rPr>
      </w:pPr>
      <w:r w:rsidRPr="001212CD">
        <w:rPr>
          <w:rFonts w:ascii="Times New Roman" w:hAnsi="Times New Roman"/>
          <w:sz w:val="20"/>
          <w:szCs w:val="20"/>
        </w:rPr>
        <w:t xml:space="preserve">Figure 8. </w:t>
      </w:r>
      <w:r w:rsidR="00343660">
        <w:rPr>
          <w:rFonts w:ascii="Times New Roman" w:hAnsi="Times New Roman"/>
          <w:sz w:val="20"/>
          <w:szCs w:val="20"/>
        </w:rPr>
        <w:tab/>
      </w:r>
      <w:r w:rsidRPr="001212CD">
        <w:rPr>
          <w:rFonts w:ascii="Times New Roman" w:hAnsi="Times New Roman"/>
          <w:sz w:val="20"/>
          <w:szCs w:val="20"/>
        </w:rPr>
        <w:t>Cyclic voltammograms of the metal complexes (a) Complex 1, (b) Complex 2, (c) Complex 3 and (d) Complex 4 at a scan rate of 100 mV s</w:t>
      </w:r>
      <w:r w:rsidRPr="001212CD">
        <w:rPr>
          <w:rFonts w:ascii="Times New Roman" w:hAnsi="Times New Roman"/>
          <w:sz w:val="20"/>
          <w:szCs w:val="20"/>
          <w:vertAlign w:val="superscript"/>
        </w:rPr>
        <w:t>-1</w:t>
      </w:r>
      <w:r w:rsidRPr="001212CD">
        <w:rPr>
          <w:rFonts w:ascii="Times New Roman" w:hAnsi="Times New Roman"/>
          <w:sz w:val="20"/>
          <w:szCs w:val="20"/>
        </w:rPr>
        <w:t xml:space="preserve"> in the presence of 100 mM tetrabutylammonium perchlorate, [Bu4N(ClO4)] in DMF electrolyte solution. Scanning was performed against Ag/AgCl (sat. KCl) reference electrode</w:t>
      </w:r>
    </w:p>
    <w:p w14:paraId="3C1E522D" w14:textId="0E369B8D" w:rsidR="001212CD" w:rsidRDefault="001212CD" w:rsidP="001212CD">
      <w:pPr>
        <w:spacing w:after="0"/>
        <w:jc w:val="both"/>
        <w:rPr>
          <w:rFonts w:ascii="Times New Roman" w:hAnsi="Times New Roman"/>
          <w:sz w:val="20"/>
          <w:szCs w:val="20"/>
        </w:rPr>
      </w:pPr>
    </w:p>
    <w:p w14:paraId="5FFA3AED" w14:textId="77777777" w:rsidR="00343660" w:rsidRPr="001212CD" w:rsidRDefault="00343660" w:rsidP="001212CD">
      <w:pPr>
        <w:spacing w:after="0"/>
        <w:jc w:val="both"/>
        <w:rPr>
          <w:rFonts w:ascii="Times New Roman" w:hAnsi="Times New Roman"/>
          <w:sz w:val="20"/>
          <w:szCs w:val="20"/>
        </w:rPr>
      </w:pPr>
    </w:p>
    <w:p w14:paraId="1E067E04" w14:textId="4693B7D4" w:rsidR="001212CD" w:rsidRDefault="001212CD" w:rsidP="001212CD">
      <w:pPr>
        <w:spacing w:after="0"/>
        <w:jc w:val="both"/>
        <w:rPr>
          <w:rFonts w:ascii="Times New Roman" w:hAnsi="Times New Roman"/>
          <w:sz w:val="20"/>
          <w:szCs w:val="20"/>
        </w:rPr>
      </w:pPr>
    </w:p>
    <w:p w14:paraId="2C00174F" w14:textId="77777777" w:rsidR="00AE379E" w:rsidRPr="001212CD" w:rsidRDefault="00AE379E" w:rsidP="001212CD">
      <w:pPr>
        <w:spacing w:after="0"/>
        <w:jc w:val="both"/>
        <w:rPr>
          <w:rFonts w:ascii="Times New Roman" w:hAnsi="Times New Roman"/>
          <w:sz w:val="20"/>
          <w:szCs w:val="20"/>
        </w:rPr>
      </w:pPr>
    </w:p>
    <w:p w14:paraId="4CB054FD" w14:textId="0866F587" w:rsidR="001212CD" w:rsidRPr="001212CD" w:rsidRDefault="001212CD" w:rsidP="00343660">
      <w:pPr>
        <w:spacing w:after="12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272BBE4D" wp14:editId="54304DB6">
            <wp:extent cx="4665586" cy="3104195"/>
            <wp:effectExtent l="19050" t="19050" r="20955" b="20320"/>
            <wp:docPr id="37" name="Picture 37" descr="C:\Users\Shankary\Desktop\scan 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ankary\Desktop\scan rate.pn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70665" cy="3107574"/>
                    </a:xfrm>
                    <a:prstGeom prst="rect">
                      <a:avLst/>
                    </a:prstGeom>
                    <a:noFill/>
                    <a:ln>
                      <a:solidFill>
                        <a:schemeClr val="tx1"/>
                      </a:solidFill>
                    </a:ln>
                  </pic:spPr>
                </pic:pic>
              </a:graphicData>
            </a:graphic>
          </wp:inline>
        </w:drawing>
      </w:r>
    </w:p>
    <w:p w14:paraId="23B94E58" w14:textId="1DB3739C" w:rsidR="001212CD" w:rsidRPr="001212CD" w:rsidRDefault="001212CD" w:rsidP="001212CD">
      <w:pPr>
        <w:spacing w:after="0"/>
        <w:ind w:left="851" w:hanging="851"/>
        <w:jc w:val="both"/>
        <w:rPr>
          <w:rFonts w:ascii="Times New Roman" w:hAnsi="Times New Roman"/>
          <w:sz w:val="20"/>
          <w:szCs w:val="20"/>
        </w:rPr>
      </w:pPr>
      <w:r w:rsidRPr="001212CD">
        <w:rPr>
          <w:rFonts w:ascii="Times New Roman" w:hAnsi="Times New Roman"/>
          <w:sz w:val="20"/>
          <w:szCs w:val="20"/>
        </w:rPr>
        <w:t xml:space="preserve">Figure 9. </w:t>
      </w:r>
      <w:r w:rsidR="00343660">
        <w:rPr>
          <w:rFonts w:ascii="Times New Roman" w:hAnsi="Times New Roman"/>
          <w:sz w:val="20"/>
          <w:szCs w:val="20"/>
        </w:rPr>
        <w:t xml:space="preserve"> </w:t>
      </w:r>
      <w:r w:rsidRPr="001212CD">
        <w:rPr>
          <w:rFonts w:ascii="Times New Roman" w:hAnsi="Times New Roman"/>
          <w:sz w:val="20"/>
          <w:szCs w:val="20"/>
        </w:rPr>
        <w:t>Cyclic voltammograms of the metal complexes (a) Complex 1, (b) Complex 2 and (c) Complex 3 at a scan rates of 20-90 mVs</w:t>
      </w:r>
      <w:r w:rsidRPr="001212CD">
        <w:rPr>
          <w:rFonts w:ascii="Times New Roman" w:hAnsi="Times New Roman"/>
          <w:sz w:val="20"/>
          <w:szCs w:val="20"/>
          <w:vertAlign w:val="superscript"/>
        </w:rPr>
        <w:t>-1</w:t>
      </w:r>
    </w:p>
    <w:p w14:paraId="16FF570B" w14:textId="423B2824" w:rsidR="001212CD" w:rsidRDefault="001212CD" w:rsidP="001212CD">
      <w:pPr>
        <w:spacing w:after="0"/>
        <w:jc w:val="both"/>
        <w:rPr>
          <w:rFonts w:ascii="Times New Roman" w:hAnsi="Times New Roman"/>
          <w:sz w:val="20"/>
          <w:szCs w:val="20"/>
        </w:rPr>
      </w:pPr>
    </w:p>
    <w:p w14:paraId="727FD587" w14:textId="77777777" w:rsidR="00343660" w:rsidRPr="001212CD" w:rsidRDefault="00343660" w:rsidP="001212CD">
      <w:pPr>
        <w:spacing w:after="0"/>
        <w:jc w:val="both"/>
        <w:rPr>
          <w:rFonts w:ascii="Times New Roman" w:hAnsi="Times New Roman"/>
          <w:sz w:val="20"/>
          <w:szCs w:val="20"/>
        </w:rPr>
      </w:pPr>
    </w:p>
    <w:p w14:paraId="0E553432" w14:textId="11FAE325" w:rsidR="001212CD" w:rsidRPr="001212CD" w:rsidRDefault="001212CD" w:rsidP="00343660">
      <w:pPr>
        <w:spacing w:after="120"/>
        <w:jc w:val="center"/>
        <w:rPr>
          <w:rFonts w:ascii="Times New Roman" w:hAnsi="Times New Roman"/>
          <w:sz w:val="20"/>
          <w:szCs w:val="20"/>
        </w:rPr>
      </w:pPr>
      <w:r w:rsidRPr="001212CD">
        <w:rPr>
          <w:rFonts w:ascii="Times New Roman" w:hAnsi="Times New Roman"/>
          <w:sz w:val="20"/>
          <w:szCs w:val="20"/>
        </w:rPr>
        <w:t xml:space="preserve">Table 6. </w:t>
      </w:r>
      <w:r w:rsidR="00343660">
        <w:rPr>
          <w:rFonts w:ascii="Times New Roman" w:hAnsi="Times New Roman"/>
          <w:sz w:val="20"/>
          <w:szCs w:val="20"/>
        </w:rPr>
        <w:t xml:space="preserve"> </w:t>
      </w:r>
      <w:r w:rsidRPr="001212CD">
        <w:rPr>
          <w:rFonts w:ascii="Times New Roman" w:hAnsi="Times New Roman"/>
          <w:sz w:val="20"/>
          <w:szCs w:val="20"/>
        </w:rPr>
        <w:t>Peak potentials and peak separation of complex 1-3</w:t>
      </w:r>
    </w:p>
    <w:tbl>
      <w:tblPr>
        <w:tblStyle w:val="LightShading1"/>
        <w:tblW w:w="0" w:type="auto"/>
        <w:jc w:val="center"/>
        <w:tblLook w:val="04A0" w:firstRow="1" w:lastRow="0" w:firstColumn="1" w:lastColumn="0" w:noHBand="0" w:noVBand="1"/>
      </w:tblPr>
      <w:tblGrid>
        <w:gridCol w:w="1222"/>
        <w:gridCol w:w="1524"/>
        <w:gridCol w:w="1527"/>
        <w:gridCol w:w="1527"/>
      </w:tblGrid>
      <w:tr w:rsidR="001212CD" w:rsidRPr="001212CD" w14:paraId="358FEBD6" w14:textId="77777777" w:rsidTr="00343660">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222" w:type="dxa"/>
            <w:tcBorders>
              <w:top w:val="single" w:sz="4" w:space="0" w:color="auto"/>
              <w:bottom w:val="single" w:sz="4" w:space="0" w:color="auto"/>
            </w:tcBorders>
            <w:shd w:val="clear" w:color="auto" w:fill="auto"/>
          </w:tcPr>
          <w:p w14:paraId="75C02AEB" w14:textId="77777777" w:rsidR="001212CD" w:rsidRPr="001212CD" w:rsidRDefault="001212CD" w:rsidP="00343660">
            <w:pPr>
              <w:spacing w:before="60" w:after="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Compound</w:t>
            </w:r>
          </w:p>
        </w:tc>
        <w:tc>
          <w:tcPr>
            <w:tcW w:w="1524" w:type="dxa"/>
            <w:tcBorders>
              <w:top w:val="single" w:sz="4" w:space="0" w:color="auto"/>
              <w:bottom w:val="single" w:sz="4" w:space="0" w:color="auto"/>
            </w:tcBorders>
            <w:shd w:val="clear" w:color="auto" w:fill="auto"/>
          </w:tcPr>
          <w:p w14:paraId="683B6185" w14:textId="3AA4FE98" w:rsidR="001212CD" w:rsidRPr="001212CD" w:rsidRDefault="001212CD" w:rsidP="003436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i/>
                <w:iCs/>
                <w:color w:val="auto"/>
                <w:sz w:val="20"/>
                <w:szCs w:val="20"/>
              </w:rPr>
              <w:t>E</w:t>
            </w:r>
            <w:r w:rsidRPr="001212CD">
              <w:rPr>
                <w:rFonts w:ascii="Times New Roman" w:hAnsi="Times New Roman" w:cs="Times New Roman"/>
                <w:color w:val="auto"/>
                <w:sz w:val="20"/>
                <w:szCs w:val="20"/>
                <w:vertAlign w:val="subscript"/>
              </w:rPr>
              <w:t>pa</w:t>
            </w:r>
          </w:p>
          <w:p w14:paraId="491917BD" w14:textId="77777777" w:rsidR="001212CD" w:rsidRPr="001212CD" w:rsidRDefault="001212CD" w:rsidP="0034366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(V vs Ag/AgCl)</w:t>
            </w:r>
          </w:p>
        </w:tc>
        <w:tc>
          <w:tcPr>
            <w:tcW w:w="1527" w:type="dxa"/>
            <w:tcBorders>
              <w:top w:val="single" w:sz="4" w:space="0" w:color="auto"/>
              <w:bottom w:val="single" w:sz="4" w:space="0" w:color="auto"/>
            </w:tcBorders>
            <w:shd w:val="clear" w:color="auto" w:fill="auto"/>
          </w:tcPr>
          <w:p w14:paraId="62B08121" w14:textId="66C7F0F2" w:rsidR="001212CD" w:rsidRPr="001212CD" w:rsidRDefault="001212CD" w:rsidP="003436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i/>
                <w:iCs/>
                <w:color w:val="auto"/>
                <w:sz w:val="20"/>
                <w:szCs w:val="20"/>
              </w:rPr>
              <w:t>E</w:t>
            </w:r>
            <w:r w:rsidRPr="001212CD">
              <w:rPr>
                <w:rFonts w:ascii="Times New Roman" w:hAnsi="Times New Roman" w:cs="Times New Roman"/>
                <w:color w:val="auto"/>
                <w:sz w:val="20"/>
                <w:szCs w:val="20"/>
                <w:vertAlign w:val="subscript"/>
              </w:rPr>
              <w:t>pc</w:t>
            </w:r>
          </w:p>
          <w:p w14:paraId="2856B62B" w14:textId="77777777" w:rsidR="001212CD" w:rsidRPr="001212CD" w:rsidRDefault="001212CD" w:rsidP="00343660">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(V vs Ag/AgCl)</w:t>
            </w:r>
          </w:p>
        </w:tc>
        <w:tc>
          <w:tcPr>
            <w:tcW w:w="1527" w:type="dxa"/>
            <w:tcBorders>
              <w:top w:val="single" w:sz="4" w:space="0" w:color="auto"/>
              <w:bottom w:val="single" w:sz="4" w:space="0" w:color="auto"/>
            </w:tcBorders>
            <w:shd w:val="clear" w:color="auto" w:fill="auto"/>
          </w:tcPr>
          <w:p w14:paraId="219747AB" w14:textId="1F736B0D" w:rsidR="001212CD" w:rsidRPr="001212CD" w:rsidRDefault="001212CD" w:rsidP="00343660">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Δ</w:t>
            </w:r>
            <w:r w:rsidRPr="001212CD">
              <w:rPr>
                <w:rFonts w:ascii="Times New Roman" w:hAnsi="Times New Roman" w:cs="Times New Roman"/>
                <w:i/>
                <w:iCs/>
                <w:color w:val="auto"/>
                <w:sz w:val="20"/>
                <w:szCs w:val="20"/>
              </w:rPr>
              <w:t>E</w:t>
            </w:r>
          </w:p>
          <w:p w14:paraId="43A53FDD" w14:textId="77777777" w:rsidR="001212CD" w:rsidRPr="001212CD" w:rsidRDefault="001212CD" w:rsidP="00343660">
            <w:pPr>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1212CD">
              <w:rPr>
                <w:rFonts w:ascii="Times New Roman" w:hAnsi="Times New Roman" w:cs="Times New Roman"/>
                <w:color w:val="auto"/>
                <w:sz w:val="20"/>
                <w:szCs w:val="20"/>
              </w:rPr>
              <w:t>(V vs Ag/AgCl)</w:t>
            </w:r>
          </w:p>
        </w:tc>
      </w:tr>
      <w:tr w:rsidR="001212CD" w:rsidRPr="001212CD" w14:paraId="394999C4" w14:textId="77777777" w:rsidTr="00343660">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222" w:type="dxa"/>
            <w:tcBorders>
              <w:top w:val="single" w:sz="4" w:space="0" w:color="auto"/>
            </w:tcBorders>
            <w:shd w:val="clear" w:color="auto" w:fill="auto"/>
          </w:tcPr>
          <w:p w14:paraId="6D572F74" w14:textId="77777777" w:rsidR="001212CD" w:rsidRPr="001212CD" w:rsidRDefault="001212CD" w:rsidP="00343660">
            <w:pPr>
              <w:spacing w:before="60" w:after="0"/>
              <w:rPr>
                <w:rFonts w:ascii="Times New Roman" w:hAnsi="Times New Roman" w:cs="Times New Roman"/>
                <w:b w:val="0"/>
                <w:bCs w:val="0"/>
                <w:color w:val="auto"/>
                <w:sz w:val="20"/>
                <w:szCs w:val="20"/>
              </w:rPr>
            </w:pPr>
            <w:r w:rsidRPr="001212CD">
              <w:rPr>
                <w:rFonts w:ascii="Times New Roman" w:hAnsi="Times New Roman" w:cs="Times New Roman"/>
                <w:b w:val="0"/>
                <w:bCs w:val="0"/>
                <w:color w:val="auto"/>
                <w:sz w:val="20"/>
                <w:szCs w:val="20"/>
              </w:rPr>
              <w:t>Complex 1</w:t>
            </w:r>
          </w:p>
        </w:tc>
        <w:tc>
          <w:tcPr>
            <w:tcW w:w="1524" w:type="dxa"/>
            <w:tcBorders>
              <w:top w:val="single" w:sz="4" w:space="0" w:color="auto"/>
            </w:tcBorders>
            <w:shd w:val="clear" w:color="auto" w:fill="auto"/>
          </w:tcPr>
          <w:p w14:paraId="44C4769E" w14:textId="77777777" w:rsidR="001212CD" w:rsidRPr="001212CD" w:rsidRDefault="001212CD" w:rsidP="0034366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0.75</w:t>
            </w:r>
          </w:p>
        </w:tc>
        <w:tc>
          <w:tcPr>
            <w:tcW w:w="1527" w:type="dxa"/>
            <w:tcBorders>
              <w:top w:val="single" w:sz="4" w:space="0" w:color="auto"/>
            </w:tcBorders>
            <w:shd w:val="clear" w:color="auto" w:fill="auto"/>
          </w:tcPr>
          <w:p w14:paraId="40076071" w14:textId="77777777" w:rsidR="001212CD" w:rsidRPr="001212CD" w:rsidRDefault="001212CD" w:rsidP="0034366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0.03</w:t>
            </w:r>
          </w:p>
        </w:tc>
        <w:tc>
          <w:tcPr>
            <w:tcW w:w="1527" w:type="dxa"/>
            <w:tcBorders>
              <w:top w:val="single" w:sz="4" w:space="0" w:color="auto"/>
            </w:tcBorders>
            <w:shd w:val="clear" w:color="auto" w:fill="auto"/>
          </w:tcPr>
          <w:p w14:paraId="760BAF1B" w14:textId="77777777" w:rsidR="001212CD" w:rsidRPr="001212CD" w:rsidRDefault="001212CD" w:rsidP="00343660">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0.72</w:t>
            </w:r>
          </w:p>
        </w:tc>
      </w:tr>
      <w:tr w:rsidR="001212CD" w:rsidRPr="001212CD" w14:paraId="08FEEAB4" w14:textId="77777777" w:rsidTr="00343660">
        <w:trPr>
          <w:trHeight w:val="227"/>
          <w:jc w:val="center"/>
        </w:trPr>
        <w:tc>
          <w:tcPr>
            <w:cnfStyle w:val="001000000000" w:firstRow="0" w:lastRow="0" w:firstColumn="1" w:lastColumn="0" w:oddVBand="0" w:evenVBand="0" w:oddHBand="0" w:evenHBand="0" w:firstRowFirstColumn="0" w:firstRowLastColumn="0" w:lastRowFirstColumn="0" w:lastRowLastColumn="0"/>
            <w:tcW w:w="1222" w:type="dxa"/>
            <w:tcBorders>
              <w:bottom w:val="nil"/>
            </w:tcBorders>
            <w:shd w:val="clear" w:color="auto" w:fill="auto"/>
          </w:tcPr>
          <w:p w14:paraId="579CD0E3" w14:textId="77777777" w:rsidR="001212CD" w:rsidRPr="001212CD" w:rsidRDefault="001212CD" w:rsidP="00343660">
            <w:pPr>
              <w:spacing w:before="60" w:after="0"/>
              <w:rPr>
                <w:rFonts w:ascii="Times New Roman" w:hAnsi="Times New Roman" w:cs="Times New Roman"/>
                <w:b w:val="0"/>
                <w:bCs w:val="0"/>
                <w:color w:val="auto"/>
                <w:sz w:val="20"/>
                <w:szCs w:val="20"/>
              </w:rPr>
            </w:pPr>
            <w:r w:rsidRPr="001212CD">
              <w:rPr>
                <w:rFonts w:ascii="Times New Roman" w:hAnsi="Times New Roman" w:cs="Times New Roman"/>
                <w:b w:val="0"/>
                <w:bCs w:val="0"/>
                <w:color w:val="auto"/>
                <w:sz w:val="20"/>
                <w:szCs w:val="20"/>
              </w:rPr>
              <w:t>Complex 2</w:t>
            </w:r>
          </w:p>
        </w:tc>
        <w:tc>
          <w:tcPr>
            <w:tcW w:w="1524" w:type="dxa"/>
            <w:tcBorders>
              <w:bottom w:val="nil"/>
            </w:tcBorders>
            <w:shd w:val="clear" w:color="auto" w:fill="auto"/>
          </w:tcPr>
          <w:p w14:paraId="360688C1" w14:textId="77777777" w:rsidR="001212CD" w:rsidRPr="001212CD" w:rsidRDefault="001212CD" w:rsidP="0034366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-0.67</w:t>
            </w:r>
          </w:p>
        </w:tc>
        <w:tc>
          <w:tcPr>
            <w:tcW w:w="1527" w:type="dxa"/>
            <w:tcBorders>
              <w:bottom w:val="nil"/>
            </w:tcBorders>
            <w:shd w:val="clear" w:color="auto" w:fill="auto"/>
          </w:tcPr>
          <w:p w14:paraId="33B92A5B" w14:textId="77777777" w:rsidR="001212CD" w:rsidRPr="001212CD" w:rsidRDefault="001212CD" w:rsidP="0034366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-0.47</w:t>
            </w:r>
          </w:p>
        </w:tc>
        <w:tc>
          <w:tcPr>
            <w:tcW w:w="1527" w:type="dxa"/>
            <w:tcBorders>
              <w:bottom w:val="nil"/>
            </w:tcBorders>
            <w:shd w:val="clear" w:color="auto" w:fill="auto"/>
          </w:tcPr>
          <w:p w14:paraId="619AC185" w14:textId="77777777" w:rsidR="001212CD" w:rsidRPr="001212CD" w:rsidRDefault="001212CD" w:rsidP="00343660">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0.20</w:t>
            </w:r>
          </w:p>
        </w:tc>
      </w:tr>
      <w:tr w:rsidR="001212CD" w:rsidRPr="001212CD" w14:paraId="385ED21D" w14:textId="77777777" w:rsidTr="00343660">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222" w:type="dxa"/>
            <w:tcBorders>
              <w:top w:val="nil"/>
              <w:bottom w:val="single" w:sz="4" w:space="0" w:color="auto"/>
            </w:tcBorders>
            <w:shd w:val="clear" w:color="auto" w:fill="auto"/>
          </w:tcPr>
          <w:p w14:paraId="367EB7A2" w14:textId="77777777" w:rsidR="001212CD" w:rsidRPr="001212CD" w:rsidRDefault="001212CD" w:rsidP="00343660">
            <w:pPr>
              <w:spacing w:before="60" w:after="60"/>
              <w:rPr>
                <w:rFonts w:ascii="Times New Roman" w:hAnsi="Times New Roman" w:cs="Times New Roman"/>
                <w:b w:val="0"/>
                <w:bCs w:val="0"/>
                <w:color w:val="auto"/>
                <w:sz w:val="20"/>
                <w:szCs w:val="20"/>
              </w:rPr>
            </w:pPr>
            <w:r w:rsidRPr="001212CD">
              <w:rPr>
                <w:rFonts w:ascii="Times New Roman" w:hAnsi="Times New Roman" w:cs="Times New Roman"/>
                <w:b w:val="0"/>
                <w:bCs w:val="0"/>
                <w:color w:val="auto"/>
                <w:sz w:val="20"/>
                <w:szCs w:val="20"/>
              </w:rPr>
              <w:t>Complex 3</w:t>
            </w:r>
          </w:p>
        </w:tc>
        <w:tc>
          <w:tcPr>
            <w:tcW w:w="1524" w:type="dxa"/>
            <w:tcBorders>
              <w:top w:val="nil"/>
              <w:bottom w:val="single" w:sz="4" w:space="0" w:color="auto"/>
            </w:tcBorders>
            <w:shd w:val="clear" w:color="auto" w:fill="auto"/>
          </w:tcPr>
          <w:p w14:paraId="36579D31" w14:textId="77777777" w:rsidR="001212CD" w:rsidRPr="001212CD" w:rsidRDefault="001212CD" w:rsidP="0034366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0.71</w:t>
            </w:r>
          </w:p>
        </w:tc>
        <w:tc>
          <w:tcPr>
            <w:tcW w:w="1527" w:type="dxa"/>
            <w:tcBorders>
              <w:top w:val="nil"/>
              <w:bottom w:val="single" w:sz="4" w:space="0" w:color="auto"/>
            </w:tcBorders>
            <w:shd w:val="clear" w:color="auto" w:fill="auto"/>
          </w:tcPr>
          <w:p w14:paraId="5A362463" w14:textId="77777777" w:rsidR="001212CD" w:rsidRPr="001212CD" w:rsidRDefault="001212CD" w:rsidP="0034366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0.12</w:t>
            </w:r>
          </w:p>
        </w:tc>
        <w:tc>
          <w:tcPr>
            <w:tcW w:w="1527" w:type="dxa"/>
            <w:tcBorders>
              <w:top w:val="nil"/>
              <w:bottom w:val="single" w:sz="4" w:space="0" w:color="auto"/>
            </w:tcBorders>
            <w:shd w:val="clear" w:color="auto" w:fill="auto"/>
          </w:tcPr>
          <w:p w14:paraId="6A1EBDA8" w14:textId="77777777" w:rsidR="001212CD" w:rsidRPr="001212CD" w:rsidRDefault="001212CD" w:rsidP="00343660">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212CD">
              <w:rPr>
                <w:rFonts w:ascii="Times New Roman" w:hAnsi="Times New Roman" w:cs="Times New Roman"/>
                <w:color w:val="auto"/>
                <w:sz w:val="20"/>
                <w:szCs w:val="20"/>
              </w:rPr>
              <w:t>0.59</w:t>
            </w:r>
          </w:p>
        </w:tc>
      </w:tr>
    </w:tbl>
    <w:p w14:paraId="28AF7495" w14:textId="13B2E8CF" w:rsidR="001212CD" w:rsidRDefault="001212CD" w:rsidP="001212CD">
      <w:pPr>
        <w:spacing w:after="0"/>
        <w:jc w:val="both"/>
        <w:rPr>
          <w:rFonts w:ascii="Times New Roman" w:hAnsi="Times New Roman"/>
          <w:sz w:val="20"/>
          <w:szCs w:val="20"/>
        </w:rPr>
      </w:pPr>
    </w:p>
    <w:p w14:paraId="519A05D8" w14:textId="77777777" w:rsidR="00343660" w:rsidRPr="001212CD" w:rsidRDefault="00343660" w:rsidP="001212CD">
      <w:pPr>
        <w:spacing w:after="0"/>
        <w:jc w:val="both"/>
        <w:rPr>
          <w:rFonts w:ascii="Times New Roman" w:hAnsi="Times New Roman"/>
          <w:sz w:val="20"/>
          <w:szCs w:val="20"/>
        </w:rPr>
      </w:pPr>
    </w:p>
    <w:p w14:paraId="6FFC7884" w14:textId="1CDF211A" w:rsidR="001212CD" w:rsidRDefault="001212CD" w:rsidP="001212CD">
      <w:pPr>
        <w:spacing w:after="0"/>
        <w:jc w:val="both"/>
        <w:rPr>
          <w:rFonts w:ascii="Times New Roman" w:hAnsi="Times New Roman"/>
          <w:sz w:val="20"/>
          <w:szCs w:val="20"/>
        </w:rPr>
      </w:pPr>
    </w:p>
    <w:p w14:paraId="37059459" w14:textId="77777777" w:rsidR="00343660" w:rsidRPr="001212CD" w:rsidRDefault="00343660" w:rsidP="001212CD">
      <w:pPr>
        <w:spacing w:after="0"/>
        <w:jc w:val="both"/>
        <w:rPr>
          <w:rFonts w:ascii="Times New Roman" w:hAnsi="Times New Roman"/>
          <w:sz w:val="20"/>
          <w:szCs w:val="20"/>
        </w:rPr>
      </w:pPr>
    </w:p>
    <w:p w14:paraId="2ADD0E8B" w14:textId="1433CF78" w:rsidR="001212CD" w:rsidRPr="001212CD" w:rsidRDefault="001212CD" w:rsidP="00343660">
      <w:pPr>
        <w:spacing w:after="120"/>
        <w:jc w:val="center"/>
        <w:rPr>
          <w:rFonts w:ascii="Times New Roman" w:hAnsi="Times New Roman"/>
          <w:sz w:val="20"/>
          <w:szCs w:val="20"/>
        </w:rPr>
      </w:pPr>
      <w:r w:rsidRPr="001212CD">
        <w:rPr>
          <w:rFonts w:ascii="Times New Roman" w:hAnsi="Times New Roman"/>
          <w:noProof/>
          <w:sz w:val="20"/>
          <w:szCs w:val="20"/>
          <w:lang w:val="en-MY" w:eastAsia="en-MY"/>
        </w:rPr>
        <w:lastRenderedPageBreak/>
        <w:drawing>
          <wp:inline distT="0" distB="0" distL="0" distR="0" wp14:anchorId="0976A8A8" wp14:editId="2830E3A3">
            <wp:extent cx="5057775" cy="6146603"/>
            <wp:effectExtent l="19050" t="19050" r="9525" b="26035"/>
            <wp:docPr id="33" name="Picture 33" descr="C:\Users\Shankary\Desktop\All Ipa I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nkary\Desktop\All Ipa Ipc.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7648" r="10265"/>
                    <a:stretch/>
                  </pic:blipFill>
                  <pic:spPr bwMode="auto">
                    <a:xfrm>
                      <a:off x="0" y="0"/>
                      <a:ext cx="5062272" cy="61520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D83A9BB" w14:textId="724A456D" w:rsidR="001212CD" w:rsidRPr="001212CD" w:rsidRDefault="001212CD" w:rsidP="007B0670">
      <w:pPr>
        <w:spacing w:after="0"/>
        <w:ind w:left="990" w:hanging="990"/>
        <w:jc w:val="both"/>
        <w:rPr>
          <w:rFonts w:ascii="Times New Roman" w:hAnsi="Times New Roman"/>
          <w:sz w:val="20"/>
          <w:szCs w:val="20"/>
        </w:rPr>
      </w:pPr>
      <w:r w:rsidRPr="001212CD">
        <w:rPr>
          <w:rFonts w:ascii="Times New Roman" w:hAnsi="Times New Roman"/>
          <w:sz w:val="20"/>
          <w:szCs w:val="20"/>
        </w:rPr>
        <w:t xml:space="preserve">Figure 10. </w:t>
      </w:r>
      <w:r w:rsidR="007B0670">
        <w:rPr>
          <w:rFonts w:ascii="Times New Roman" w:hAnsi="Times New Roman"/>
          <w:sz w:val="20"/>
          <w:szCs w:val="20"/>
        </w:rPr>
        <w:tab/>
      </w:r>
      <w:r w:rsidRPr="001212CD">
        <w:rPr>
          <w:rFonts w:ascii="Times New Roman" w:hAnsi="Times New Roman"/>
          <w:sz w:val="20"/>
          <w:szCs w:val="20"/>
        </w:rPr>
        <w:t>Graph of peak currents against square root of the scan rates: (a) Complex 1, (b) Complex 2 and (3)  Complex 3</w:t>
      </w:r>
    </w:p>
    <w:p w14:paraId="3F1376D3" w14:textId="26566501" w:rsidR="001212CD" w:rsidRDefault="001212CD" w:rsidP="001212CD">
      <w:pPr>
        <w:spacing w:after="0"/>
        <w:jc w:val="both"/>
        <w:rPr>
          <w:rFonts w:ascii="Times New Roman" w:hAnsi="Times New Roman"/>
          <w:sz w:val="20"/>
          <w:szCs w:val="20"/>
        </w:rPr>
      </w:pPr>
    </w:p>
    <w:p w14:paraId="659C0D02" w14:textId="77777777" w:rsidR="00DD5E79" w:rsidRDefault="00DD5E79" w:rsidP="001212CD">
      <w:pPr>
        <w:spacing w:after="0"/>
        <w:jc w:val="both"/>
        <w:rPr>
          <w:rFonts w:ascii="Times New Roman" w:hAnsi="Times New Roman"/>
          <w:sz w:val="20"/>
          <w:szCs w:val="20"/>
        </w:rPr>
        <w:sectPr w:rsidR="00DD5E79" w:rsidSect="00F51E6D">
          <w:footerReference w:type="even" r:id="rId39"/>
          <w:footerReference w:type="default" r:id="rId40"/>
          <w:type w:val="continuous"/>
          <w:pgSz w:w="12240" w:h="15840" w:code="1"/>
          <w:pgMar w:top="1800" w:right="1469" w:bottom="1699" w:left="1440" w:header="706" w:footer="706" w:gutter="0"/>
          <w:pgNumType w:start="0"/>
          <w:cols w:space="708"/>
          <w:docGrid w:linePitch="360"/>
        </w:sectPr>
      </w:pPr>
    </w:p>
    <w:p w14:paraId="0C434AA2" w14:textId="77777777" w:rsidR="007B0670" w:rsidRPr="001212CD" w:rsidRDefault="007B0670" w:rsidP="001212CD">
      <w:pPr>
        <w:spacing w:after="0"/>
        <w:jc w:val="both"/>
        <w:rPr>
          <w:rFonts w:ascii="Times New Roman" w:hAnsi="Times New Roman"/>
          <w:sz w:val="20"/>
          <w:szCs w:val="20"/>
        </w:rPr>
      </w:pPr>
    </w:p>
    <w:p w14:paraId="1FE1F4CF" w14:textId="77777777" w:rsidR="001212CD" w:rsidRPr="001212CD" w:rsidRDefault="001212CD" w:rsidP="00AE379E">
      <w:pPr>
        <w:spacing w:after="120"/>
        <w:jc w:val="center"/>
        <w:rPr>
          <w:rFonts w:ascii="Times New Roman" w:hAnsi="Times New Roman"/>
          <w:sz w:val="20"/>
          <w:szCs w:val="20"/>
        </w:rPr>
      </w:pPr>
      <w:r w:rsidRPr="001212CD">
        <w:rPr>
          <w:rFonts w:ascii="Times New Roman" w:hAnsi="Times New Roman"/>
          <w:noProof/>
          <w:sz w:val="20"/>
          <w:szCs w:val="20"/>
          <w:lang w:val="en-MY" w:eastAsia="en-MY"/>
        </w:rPr>
        <w:drawing>
          <wp:inline distT="0" distB="0" distL="0" distR="0" wp14:anchorId="7699BD4D" wp14:editId="0300320E">
            <wp:extent cx="5000625" cy="5967948"/>
            <wp:effectExtent l="19050" t="19050" r="9525" b="13970"/>
            <wp:docPr id="34" name="Picture 34" descr="C:\Users\Shankary\Desktop\All Epa e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nkary\Desktop\All Epa epc.jpg"/>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l="3293" r="9954"/>
                    <a:stretch/>
                  </pic:blipFill>
                  <pic:spPr bwMode="auto">
                    <a:xfrm>
                      <a:off x="0" y="0"/>
                      <a:ext cx="5030949" cy="60041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839B0B7" w14:textId="0C92D669" w:rsidR="006768E9" w:rsidRPr="00510BA6" w:rsidRDefault="001212CD" w:rsidP="007B0670">
      <w:pPr>
        <w:spacing w:after="0"/>
        <w:ind w:left="990" w:hanging="990"/>
        <w:jc w:val="both"/>
        <w:rPr>
          <w:rFonts w:ascii="Times New Roman" w:hAnsi="Times New Roman"/>
          <w:noProof/>
          <w:sz w:val="20"/>
          <w:szCs w:val="20"/>
          <w:lang w:bidi="ar-SA"/>
        </w:rPr>
      </w:pPr>
      <w:r w:rsidRPr="001212CD">
        <w:rPr>
          <w:rFonts w:ascii="Times New Roman" w:hAnsi="Times New Roman"/>
          <w:sz w:val="20"/>
          <w:szCs w:val="20"/>
        </w:rPr>
        <w:t xml:space="preserve">Figure 11. </w:t>
      </w:r>
      <w:r w:rsidR="007B0670">
        <w:rPr>
          <w:rFonts w:ascii="Times New Roman" w:hAnsi="Times New Roman"/>
          <w:sz w:val="20"/>
          <w:szCs w:val="20"/>
        </w:rPr>
        <w:t xml:space="preserve"> </w:t>
      </w:r>
      <w:r w:rsidRPr="001212CD">
        <w:rPr>
          <w:rFonts w:ascii="Times New Roman" w:hAnsi="Times New Roman"/>
          <w:sz w:val="20"/>
          <w:szCs w:val="20"/>
        </w:rPr>
        <w:t>Graph of peak potentials against logarithm of the scan rates: (a) Complex 1, (b) Complex 2 and (3) Complex 3</w:t>
      </w:r>
    </w:p>
    <w:p w14:paraId="32D3C3C3" w14:textId="77777777" w:rsidR="007B0670" w:rsidRDefault="007B0670" w:rsidP="00510BA6">
      <w:pPr>
        <w:spacing w:after="0"/>
        <w:jc w:val="center"/>
        <w:rPr>
          <w:rFonts w:ascii="Times New Roman" w:hAnsi="Times New Roman"/>
          <w:b/>
          <w:noProof/>
          <w:sz w:val="20"/>
          <w:szCs w:val="20"/>
          <w:lang w:bidi="ar-SA"/>
        </w:rPr>
      </w:pPr>
    </w:p>
    <w:p w14:paraId="74A9E621" w14:textId="77777777" w:rsidR="007B0670" w:rsidRDefault="007B0670" w:rsidP="00510BA6">
      <w:pPr>
        <w:spacing w:after="0"/>
        <w:jc w:val="center"/>
        <w:rPr>
          <w:rFonts w:ascii="Times New Roman" w:hAnsi="Times New Roman"/>
          <w:b/>
          <w:noProof/>
          <w:sz w:val="20"/>
          <w:szCs w:val="20"/>
          <w:lang w:bidi="ar-SA"/>
        </w:rPr>
      </w:pPr>
    </w:p>
    <w:p w14:paraId="610A788A" w14:textId="77777777" w:rsidR="00AE379E" w:rsidRDefault="00AE379E" w:rsidP="00510BA6">
      <w:pPr>
        <w:spacing w:after="0"/>
        <w:jc w:val="center"/>
        <w:rPr>
          <w:rFonts w:ascii="Times New Roman" w:hAnsi="Times New Roman"/>
          <w:b/>
          <w:noProof/>
          <w:sz w:val="20"/>
          <w:szCs w:val="20"/>
          <w:lang w:bidi="ar-SA"/>
        </w:rPr>
        <w:sectPr w:rsidR="00AE379E" w:rsidSect="00DD5E79">
          <w:footerReference w:type="even" r:id="rId43"/>
          <w:type w:val="evenPage"/>
          <w:pgSz w:w="12240" w:h="15840" w:code="1"/>
          <w:pgMar w:top="1800" w:right="1469" w:bottom="1699" w:left="1440" w:header="706" w:footer="706" w:gutter="0"/>
          <w:pgNumType w:start="0"/>
          <w:cols w:space="708"/>
          <w:docGrid w:linePitch="360"/>
        </w:sectPr>
      </w:pPr>
    </w:p>
    <w:p w14:paraId="183D362C" w14:textId="1A8AFCA1"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13287810" w14:textId="77777777" w:rsidR="007B0670" w:rsidRPr="007B0670" w:rsidRDefault="007B0670" w:rsidP="007B0670">
      <w:pPr>
        <w:spacing w:after="0"/>
        <w:jc w:val="both"/>
        <w:outlineLvl w:val="0"/>
        <w:rPr>
          <w:rFonts w:ascii="Times New Roman" w:hAnsi="Times New Roman"/>
          <w:sz w:val="20"/>
          <w:szCs w:val="20"/>
        </w:rPr>
      </w:pPr>
      <w:r w:rsidRPr="007B0670">
        <w:rPr>
          <w:rFonts w:ascii="Times New Roman" w:hAnsi="Times New Roman"/>
          <w:sz w:val="20"/>
          <w:szCs w:val="20"/>
        </w:rPr>
        <w:t xml:space="preserve">In this project, 3,6-bis (3,5-dimethylpyrazol-1yl) pyridazine ligand has been successfully synthesized through several steps of reactions. The structure produced through the reaction of 3,5-dimethylpyrazole </w:t>
      </w:r>
      <w:r w:rsidRPr="007B0670">
        <w:rPr>
          <w:rFonts w:ascii="Times New Roman" w:hAnsi="Times New Roman"/>
          <w:sz w:val="20"/>
          <w:szCs w:val="20"/>
        </w:rPr>
        <w:t xml:space="preserve">with 3,6-dichloropyridazine was confirmed by using IR and </w:t>
      </w:r>
      <w:r w:rsidRPr="007B0670">
        <w:rPr>
          <w:rFonts w:ascii="Times New Roman" w:hAnsi="Times New Roman"/>
          <w:sz w:val="20"/>
          <w:szCs w:val="20"/>
          <w:vertAlign w:val="superscript"/>
        </w:rPr>
        <w:t>1</w:t>
      </w:r>
      <w:r w:rsidRPr="007B0670">
        <w:rPr>
          <w:rFonts w:ascii="Times New Roman" w:hAnsi="Times New Roman"/>
          <w:sz w:val="20"/>
          <w:szCs w:val="20"/>
        </w:rPr>
        <w:t xml:space="preserve">H NMR spectral analyses. The ligand was then complexed with Cu(II), Fe(II), Ni(II) and Co(II) transition metals to form four novel coordinated complexes named as complex 1, complex 2, complex 3 </w:t>
      </w:r>
      <w:r w:rsidRPr="007B0670">
        <w:rPr>
          <w:rFonts w:ascii="Times New Roman" w:hAnsi="Times New Roman"/>
          <w:sz w:val="20"/>
          <w:szCs w:val="20"/>
        </w:rPr>
        <w:lastRenderedPageBreak/>
        <w:t>and complex 4 respectively. Subsequently, the complexation of the metals to the ligand was affirmed through several analyses. The IR spectra of the metal complexes displayed significant shifts in several peaks of the functional groups present in the ligand. Furthermore, the UV-Vis analysis confirmed the complexation when the spectrum showed a prominent shift at ligand band characteristic at around 260 nm. The stoichiometry of the complexes was determined based on the elemental analyses and the empirical formula for each complex were proposed as [Cu</w:t>
      </w:r>
      <w:r w:rsidRPr="007B0670">
        <w:rPr>
          <w:rFonts w:ascii="Times New Roman" w:hAnsi="Times New Roman"/>
          <w:sz w:val="20"/>
          <w:szCs w:val="20"/>
          <w:vertAlign w:val="subscript"/>
        </w:rPr>
        <w:t>2</w:t>
      </w:r>
      <w:r w:rsidRPr="007B0670">
        <w:rPr>
          <w:rFonts w:ascii="Times New Roman" w:hAnsi="Times New Roman"/>
          <w:sz w:val="20"/>
          <w:szCs w:val="20"/>
        </w:rPr>
        <w:t>(C</w:t>
      </w:r>
      <w:r w:rsidRPr="007B0670">
        <w:rPr>
          <w:rFonts w:ascii="Times New Roman" w:hAnsi="Times New Roman"/>
          <w:sz w:val="20"/>
          <w:szCs w:val="20"/>
          <w:vertAlign w:val="subscript"/>
        </w:rPr>
        <w:t>17</w:t>
      </w:r>
      <w:r w:rsidRPr="007B0670">
        <w:rPr>
          <w:rFonts w:ascii="Times New Roman" w:hAnsi="Times New Roman"/>
          <w:sz w:val="20"/>
          <w:szCs w:val="20"/>
        </w:rPr>
        <w:t>H</w:t>
      </w:r>
      <w:r w:rsidRPr="007B0670">
        <w:rPr>
          <w:rFonts w:ascii="Times New Roman" w:hAnsi="Times New Roman"/>
          <w:sz w:val="20"/>
          <w:szCs w:val="20"/>
          <w:vertAlign w:val="subscript"/>
        </w:rPr>
        <w:t>28</w:t>
      </w:r>
      <w:r w:rsidRPr="007B0670">
        <w:rPr>
          <w:rFonts w:ascii="Times New Roman" w:hAnsi="Times New Roman"/>
          <w:sz w:val="20"/>
          <w:szCs w:val="20"/>
        </w:rPr>
        <w:t>N</w:t>
      </w:r>
      <w:r w:rsidRPr="007B0670">
        <w:rPr>
          <w:rFonts w:ascii="Times New Roman" w:hAnsi="Times New Roman"/>
          <w:sz w:val="20"/>
          <w:szCs w:val="20"/>
          <w:vertAlign w:val="subscript"/>
        </w:rPr>
        <w:t>6</w:t>
      </w:r>
      <w:r w:rsidRPr="007B0670">
        <w:rPr>
          <w:rFonts w:ascii="Times New Roman" w:hAnsi="Times New Roman"/>
          <w:sz w:val="20"/>
          <w:szCs w:val="20"/>
        </w:rPr>
        <w:t>).4Cl], [Fe</w:t>
      </w:r>
      <w:r w:rsidRPr="007B0670">
        <w:rPr>
          <w:rFonts w:ascii="Times New Roman" w:hAnsi="Times New Roman"/>
          <w:sz w:val="20"/>
          <w:szCs w:val="20"/>
          <w:vertAlign w:val="subscript"/>
        </w:rPr>
        <w:t>2</w:t>
      </w:r>
      <w:r w:rsidRPr="007B0670">
        <w:rPr>
          <w:rFonts w:ascii="Times New Roman" w:hAnsi="Times New Roman"/>
          <w:sz w:val="20"/>
          <w:szCs w:val="20"/>
        </w:rPr>
        <w:t>(C</w:t>
      </w:r>
      <w:r w:rsidRPr="007B0670">
        <w:rPr>
          <w:rFonts w:ascii="Times New Roman" w:hAnsi="Times New Roman"/>
          <w:sz w:val="20"/>
          <w:szCs w:val="20"/>
          <w:vertAlign w:val="subscript"/>
        </w:rPr>
        <w:t>17</w:t>
      </w:r>
      <w:r w:rsidRPr="007B0670">
        <w:rPr>
          <w:rFonts w:ascii="Times New Roman" w:hAnsi="Times New Roman"/>
          <w:sz w:val="20"/>
          <w:szCs w:val="20"/>
        </w:rPr>
        <w:t>H</w:t>
      </w:r>
      <w:r w:rsidRPr="007B0670">
        <w:rPr>
          <w:rFonts w:ascii="Times New Roman" w:hAnsi="Times New Roman"/>
          <w:sz w:val="20"/>
          <w:szCs w:val="20"/>
          <w:vertAlign w:val="subscript"/>
        </w:rPr>
        <w:t>28</w:t>
      </w:r>
      <w:r w:rsidRPr="007B0670">
        <w:rPr>
          <w:rFonts w:ascii="Times New Roman" w:hAnsi="Times New Roman"/>
          <w:sz w:val="20"/>
          <w:szCs w:val="20"/>
        </w:rPr>
        <w:t>N</w:t>
      </w:r>
      <w:r w:rsidRPr="007B0670">
        <w:rPr>
          <w:rFonts w:ascii="Times New Roman" w:hAnsi="Times New Roman"/>
          <w:sz w:val="20"/>
          <w:szCs w:val="20"/>
          <w:vertAlign w:val="subscript"/>
        </w:rPr>
        <w:t>6</w:t>
      </w:r>
      <w:r w:rsidRPr="007B0670">
        <w:rPr>
          <w:rFonts w:ascii="Times New Roman" w:hAnsi="Times New Roman"/>
          <w:sz w:val="20"/>
          <w:szCs w:val="20"/>
        </w:rPr>
        <w:t>).4Cl], [Ni</w:t>
      </w:r>
      <w:r w:rsidRPr="007B0670">
        <w:rPr>
          <w:rFonts w:ascii="Times New Roman" w:hAnsi="Times New Roman"/>
          <w:sz w:val="20"/>
          <w:szCs w:val="20"/>
          <w:vertAlign w:val="subscript"/>
        </w:rPr>
        <w:t>2</w:t>
      </w:r>
      <w:r w:rsidRPr="007B0670">
        <w:rPr>
          <w:rFonts w:ascii="Times New Roman" w:hAnsi="Times New Roman"/>
          <w:sz w:val="20"/>
          <w:szCs w:val="20"/>
        </w:rPr>
        <w:t>(C</w:t>
      </w:r>
      <w:r w:rsidRPr="007B0670">
        <w:rPr>
          <w:rFonts w:ascii="Times New Roman" w:hAnsi="Times New Roman"/>
          <w:sz w:val="20"/>
          <w:szCs w:val="20"/>
          <w:vertAlign w:val="subscript"/>
        </w:rPr>
        <w:t>17</w:t>
      </w:r>
      <w:r w:rsidRPr="007B0670">
        <w:rPr>
          <w:rFonts w:ascii="Times New Roman" w:hAnsi="Times New Roman"/>
          <w:sz w:val="20"/>
          <w:szCs w:val="20"/>
        </w:rPr>
        <w:t>H</w:t>
      </w:r>
      <w:r w:rsidRPr="007B0670">
        <w:rPr>
          <w:rFonts w:ascii="Times New Roman" w:hAnsi="Times New Roman"/>
          <w:sz w:val="20"/>
          <w:szCs w:val="20"/>
          <w:vertAlign w:val="subscript"/>
        </w:rPr>
        <w:t>28</w:t>
      </w:r>
      <w:r w:rsidRPr="007B0670">
        <w:rPr>
          <w:rFonts w:ascii="Times New Roman" w:hAnsi="Times New Roman"/>
          <w:sz w:val="20"/>
          <w:szCs w:val="20"/>
        </w:rPr>
        <w:t>N</w:t>
      </w:r>
      <w:r w:rsidRPr="007B0670">
        <w:rPr>
          <w:rFonts w:ascii="Times New Roman" w:hAnsi="Times New Roman"/>
          <w:sz w:val="20"/>
          <w:szCs w:val="20"/>
          <w:vertAlign w:val="subscript"/>
        </w:rPr>
        <w:t>6</w:t>
      </w:r>
      <w:r w:rsidRPr="007B0670">
        <w:rPr>
          <w:rFonts w:ascii="Times New Roman" w:hAnsi="Times New Roman"/>
          <w:sz w:val="20"/>
          <w:szCs w:val="20"/>
        </w:rPr>
        <w:t>).4Cl] and [Co</w:t>
      </w:r>
      <w:r w:rsidRPr="007B0670">
        <w:rPr>
          <w:rFonts w:ascii="Times New Roman" w:hAnsi="Times New Roman"/>
          <w:sz w:val="20"/>
          <w:szCs w:val="20"/>
          <w:vertAlign w:val="subscript"/>
        </w:rPr>
        <w:t>2</w:t>
      </w:r>
      <w:r w:rsidRPr="007B0670">
        <w:rPr>
          <w:rFonts w:ascii="Times New Roman" w:hAnsi="Times New Roman"/>
          <w:sz w:val="20"/>
          <w:szCs w:val="20"/>
        </w:rPr>
        <w:t>(C</w:t>
      </w:r>
      <w:r w:rsidRPr="007B0670">
        <w:rPr>
          <w:rFonts w:ascii="Times New Roman" w:hAnsi="Times New Roman"/>
          <w:sz w:val="20"/>
          <w:szCs w:val="20"/>
          <w:vertAlign w:val="subscript"/>
        </w:rPr>
        <w:t>17</w:t>
      </w:r>
      <w:r w:rsidRPr="007B0670">
        <w:rPr>
          <w:rFonts w:ascii="Times New Roman" w:hAnsi="Times New Roman"/>
          <w:sz w:val="20"/>
          <w:szCs w:val="20"/>
        </w:rPr>
        <w:t>H</w:t>
      </w:r>
      <w:r w:rsidRPr="007B0670">
        <w:rPr>
          <w:rFonts w:ascii="Times New Roman" w:hAnsi="Times New Roman"/>
          <w:sz w:val="20"/>
          <w:szCs w:val="20"/>
          <w:vertAlign w:val="subscript"/>
        </w:rPr>
        <w:t>28</w:t>
      </w:r>
      <w:r w:rsidRPr="007B0670">
        <w:rPr>
          <w:rFonts w:ascii="Times New Roman" w:hAnsi="Times New Roman"/>
          <w:sz w:val="20"/>
          <w:szCs w:val="20"/>
        </w:rPr>
        <w:t>N</w:t>
      </w:r>
      <w:r w:rsidRPr="007B0670">
        <w:rPr>
          <w:rFonts w:ascii="Times New Roman" w:hAnsi="Times New Roman"/>
          <w:sz w:val="20"/>
          <w:szCs w:val="20"/>
          <w:vertAlign w:val="subscript"/>
        </w:rPr>
        <w:t>6</w:t>
      </w:r>
      <w:r w:rsidRPr="007B0670">
        <w:rPr>
          <w:rFonts w:ascii="Times New Roman" w:hAnsi="Times New Roman"/>
          <w:sz w:val="20"/>
          <w:szCs w:val="20"/>
        </w:rPr>
        <w:t>).4NO</w:t>
      </w:r>
      <w:r w:rsidRPr="007B0670">
        <w:rPr>
          <w:rFonts w:ascii="Times New Roman" w:hAnsi="Times New Roman"/>
          <w:sz w:val="20"/>
          <w:szCs w:val="20"/>
          <w:vertAlign w:val="subscript"/>
        </w:rPr>
        <w:t>3</w:t>
      </w:r>
      <w:r w:rsidRPr="007B0670">
        <w:rPr>
          <w:rFonts w:ascii="Times New Roman" w:hAnsi="Times New Roman"/>
          <w:sz w:val="20"/>
          <w:szCs w:val="20"/>
        </w:rPr>
        <w:t xml:space="preserve">], respectively. EDX analysis was used to confirm the presence of the metals in the complexes. Finally, cyclic voltammetry analysis was performed on all the complexes to study its electrochemical properties. Complex 1, 2 and 3 showed quasi-reversible of one electron transfer process with oxidation peaks at 0.75 V, -0.67 V and 0.71 V respectively whereas its corresponding reduction peaks at 0.03 V, -0.47 V and 0.12 V. Complex 4 did not show any peaks throughout the forward and reversed scans. In future, the effect of the complex solubility in different organic solvents on its electrochemical behavior will be studied. The complexes will also be explored in electrochemical applications such as electrocatalytic dye degradation and electrocatalyst for water splitting process. </w:t>
      </w:r>
    </w:p>
    <w:p w14:paraId="1292C539" w14:textId="77777777" w:rsidR="007B0670" w:rsidRPr="007B0670" w:rsidRDefault="007B0670" w:rsidP="007B0670">
      <w:pPr>
        <w:spacing w:after="0"/>
        <w:jc w:val="center"/>
        <w:outlineLvl w:val="0"/>
        <w:rPr>
          <w:rFonts w:ascii="Times New Roman" w:hAnsi="Times New Roman"/>
          <w:sz w:val="20"/>
          <w:szCs w:val="20"/>
        </w:rPr>
      </w:pPr>
    </w:p>
    <w:p w14:paraId="23A4D328" w14:textId="77777777" w:rsidR="007B0670" w:rsidRPr="007B0670" w:rsidRDefault="007B0670" w:rsidP="007B0670">
      <w:pPr>
        <w:spacing w:after="0"/>
        <w:jc w:val="center"/>
        <w:outlineLvl w:val="0"/>
        <w:rPr>
          <w:rFonts w:ascii="Times New Roman" w:hAnsi="Times New Roman"/>
          <w:b/>
          <w:sz w:val="20"/>
          <w:szCs w:val="20"/>
        </w:rPr>
      </w:pPr>
      <w:r w:rsidRPr="007B0670">
        <w:rPr>
          <w:rFonts w:ascii="Times New Roman" w:hAnsi="Times New Roman"/>
          <w:b/>
          <w:sz w:val="20"/>
          <w:szCs w:val="20"/>
        </w:rPr>
        <w:t>Acknowledgement</w:t>
      </w:r>
    </w:p>
    <w:p w14:paraId="5D215AFF" w14:textId="52D5D7FB" w:rsidR="006768E9" w:rsidRPr="00510BA6" w:rsidRDefault="007B0670" w:rsidP="007B0670">
      <w:pPr>
        <w:spacing w:after="0"/>
        <w:jc w:val="both"/>
        <w:outlineLvl w:val="0"/>
        <w:rPr>
          <w:rFonts w:ascii="Times New Roman" w:hAnsi="Times New Roman"/>
          <w:sz w:val="20"/>
          <w:szCs w:val="20"/>
        </w:rPr>
      </w:pPr>
      <w:r w:rsidRPr="007B0670">
        <w:rPr>
          <w:rFonts w:ascii="Times New Roman" w:hAnsi="Times New Roman"/>
          <w:sz w:val="20"/>
          <w:szCs w:val="20"/>
          <w:lang w:val="en-MY"/>
        </w:rPr>
        <w:t xml:space="preserve">This research is supported by the Interdisciplinary Research Program Grant (IIRG013B-2019) given by the Universiti Malaya. </w:t>
      </w:r>
      <w:r w:rsidRPr="007B0670">
        <w:rPr>
          <w:rFonts w:ascii="Times New Roman" w:hAnsi="Times New Roman"/>
          <w:sz w:val="20"/>
          <w:szCs w:val="20"/>
        </w:rPr>
        <w:t>The work was also supported by the IMRC/AISTDF/CRD/2018/000048 (ASEAN-India Collaborative R&amp;D Scheme).</w:t>
      </w:r>
    </w:p>
    <w:p w14:paraId="75B84A07" w14:textId="77777777" w:rsidR="00AE379E" w:rsidRDefault="00AE379E" w:rsidP="00AE379E">
      <w:pPr>
        <w:spacing w:after="0"/>
        <w:rPr>
          <w:rFonts w:ascii="Times New Roman" w:hAnsi="Times New Roman"/>
          <w:noProof/>
          <w:sz w:val="20"/>
          <w:szCs w:val="20"/>
          <w:lang w:bidi="ar-SA"/>
        </w:rPr>
      </w:pPr>
    </w:p>
    <w:p w14:paraId="29624491" w14:textId="77777777" w:rsidR="00AE379E" w:rsidRPr="00510BA6" w:rsidRDefault="00AE379E" w:rsidP="00AE379E">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39ED2C31"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944651">
        <w:rPr>
          <w:rFonts w:ascii="Times New Roman" w:hAnsi="Times New Roman" w:cs="Times New Roman"/>
          <w:szCs w:val="20"/>
        </w:rPr>
        <w:fldChar w:fldCharType="begin"/>
      </w:r>
      <w:r w:rsidRPr="00944651">
        <w:rPr>
          <w:rFonts w:ascii="Times New Roman" w:hAnsi="Times New Roman" w:cs="Times New Roman"/>
          <w:szCs w:val="20"/>
        </w:rPr>
        <w:instrText xml:space="preserve"> ADDIN EN.REFLIST </w:instrText>
      </w:r>
      <w:r w:rsidRPr="00944651">
        <w:rPr>
          <w:rFonts w:ascii="Times New Roman" w:hAnsi="Times New Roman" w:cs="Times New Roman"/>
          <w:szCs w:val="20"/>
        </w:rPr>
        <w:fldChar w:fldCharType="separate"/>
      </w:r>
      <w:r w:rsidRPr="00944651">
        <w:rPr>
          <w:rFonts w:ascii="Times New Roman" w:hAnsi="Times New Roman" w:cs="Times New Roman"/>
        </w:rPr>
        <w:t>Cargnelutti, R.,</w:t>
      </w:r>
      <w:r>
        <w:rPr>
          <w:rFonts w:ascii="Times New Roman" w:hAnsi="Times New Roman" w:cs="Times New Roman"/>
        </w:rPr>
        <w:t xml:space="preserve"> </w:t>
      </w:r>
      <w:r w:rsidRPr="00CE5EC5">
        <w:rPr>
          <w:rFonts w:ascii="Times New Roman" w:hAnsi="Times New Roman" w:cs="Times New Roman"/>
        </w:rPr>
        <w:t>Schumacher, R. F., Belladona, A. L.</w:t>
      </w:r>
      <w:r>
        <w:rPr>
          <w:rFonts w:ascii="Times New Roman" w:hAnsi="Times New Roman" w:cs="Times New Roman"/>
        </w:rPr>
        <w:t xml:space="preserve"> and </w:t>
      </w:r>
      <w:r w:rsidRPr="00CE5EC5">
        <w:rPr>
          <w:rFonts w:ascii="Times New Roman" w:hAnsi="Times New Roman" w:cs="Times New Roman"/>
        </w:rPr>
        <w:t xml:space="preserve">Kazmierczak, J. C. </w:t>
      </w:r>
      <w:r w:rsidRPr="00944651">
        <w:rPr>
          <w:rFonts w:ascii="Times New Roman" w:hAnsi="Times New Roman" w:cs="Times New Roman"/>
        </w:rPr>
        <w:t xml:space="preserve">(2021). Coordination chemistry and synthetic approaches of pyridyl-selenium ligands: A decade update. </w:t>
      </w:r>
      <w:r w:rsidRPr="00944651">
        <w:rPr>
          <w:rFonts w:ascii="Times New Roman" w:hAnsi="Times New Roman" w:cs="Times New Roman"/>
          <w:i/>
        </w:rPr>
        <w:t>Coordination Chemistry Reviews</w:t>
      </w:r>
      <w:r w:rsidRPr="00944651">
        <w:rPr>
          <w:rFonts w:ascii="Times New Roman" w:hAnsi="Times New Roman" w:cs="Times New Roman"/>
        </w:rPr>
        <w:t>, 426: 213537.</w:t>
      </w:r>
    </w:p>
    <w:p w14:paraId="5AC53282"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Dubois, D. L. (1997). Development of transition metal phosphine complexes as electrocatalysts for CO</w:t>
      </w:r>
      <w:r w:rsidRPr="007B0670">
        <w:rPr>
          <w:rFonts w:ascii="Times New Roman" w:hAnsi="Times New Roman" w:cs="Times New Roman"/>
          <w:vertAlign w:val="subscript"/>
        </w:rPr>
        <w:t>2</w:t>
      </w:r>
      <w:r w:rsidRPr="007B0670">
        <w:rPr>
          <w:rFonts w:ascii="Times New Roman" w:hAnsi="Times New Roman" w:cs="Times New Roman"/>
        </w:rPr>
        <w:t xml:space="preserve"> and CO reduction. </w:t>
      </w:r>
      <w:r w:rsidRPr="007B0670">
        <w:rPr>
          <w:rFonts w:ascii="Times New Roman" w:hAnsi="Times New Roman" w:cs="Times New Roman"/>
          <w:i/>
        </w:rPr>
        <w:t>Comments on Inorganic Chemistry</w:t>
      </w:r>
      <w:r w:rsidRPr="007B0670">
        <w:rPr>
          <w:rFonts w:ascii="Times New Roman" w:hAnsi="Times New Roman" w:cs="Times New Roman"/>
        </w:rPr>
        <w:t>, 19(5): 307-325.</w:t>
      </w:r>
    </w:p>
    <w:p w14:paraId="5A2F95D8"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Cheung, K.-C., Wong, W. L., Ma, D. L., Lai, T. S. and Wong, K. Y. (2007). Transition metal complexes as electrocatalysts-Development and applications in electro-oxidation reactions. </w:t>
      </w:r>
      <w:r w:rsidRPr="007B0670">
        <w:rPr>
          <w:rFonts w:ascii="Times New Roman" w:hAnsi="Times New Roman" w:cs="Times New Roman"/>
          <w:i/>
        </w:rPr>
        <w:t>Coordination Chemistry Reviews</w:t>
      </w:r>
      <w:r w:rsidRPr="007B0670">
        <w:rPr>
          <w:rFonts w:ascii="Times New Roman" w:hAnsi="Times New Roman" w:cs="Times New Roman"/>
        </w:rPr>
        <w:t>, 251(17): 2367-2385.</w:t>
      </w:r>
    </w:p>
    <w:p w14:paraId="6E945988"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Grünwald, K. R., </w:t>
      </w:r>
      <w:r w:rsidRPr="007B0670">
        <w:rPr>
          <w:rFonts w:ascii="Times New Roman" w:hAnsi="Times New Roman" w:cs="Times New Roman" w:hint="eastAsia"/>
        </w:rPr>
        <w:t>Saischek, G., Volpe, M., Belaj, F.</w:t>
      </w:r>
      <w:r w:rsidRPr="007B0670">
        <w:rPr>
          <w:rFonts w:ascii="Times New Roman" w:hAnsi="Times New Roman" w:cs="Times New Roman"/>
        </w:rPr>
        <w:t xml:space="preserve"> and </w:t>
      </w:r>
      <w:r w:rsidRPr="007B0670">
        <w:rPr>
          <w:rFonts w:ascii="Times New Roman" w:hAnsi="Times New Roman" w:cs="Times New Roman" w:hint="eastAsia"/>
        </w:rPr>
        <w:t>Mösch</w:t>
      </w:r>
      <w:r w:rsidRPr="007B0670">
        <w:rPr>
          <w:rFonts w:ascii="Times New Roman" w:hAnsi="Times New Roman" w:cs="Times New Roman"/>
        </w:rPr>
        <w:t>-</w:t>
      </w:r>
      <w:r w:rsidRPr="007B0670">
        <w:rPr>
          <w:rFonts w:ascii="Times New Roman" w:hAnsi="Times New Roman" w:cs="Times New Roman" w:hint="eastAsia"/>
        </w:rPr>
        <w:t>Zanetti, N. C.</w:t>
      </w:r>
      <w:r w:rsidRPr="007B0670">
        <w:rPr>
          <w:rFonts w:ascii="Times New Roman" w:hAnsi="Times New Roman" w:cs="Times New Roman"/>
        </w:rPr>
        <w:t xml:space="preserve"> (2010). Pyridazine-Based ligands and their coordinating ability towards first-row transition metals. </w:t>
      </w:r>
      <w:r w:rsidRPr="007B0670">
        <w:rPr>
          <w:rFonts w:ascii="Times New Roman" w:hAnsi="Times New Roman" w:cs="Times New Roman"/>
          <w:i/>
        </w:rPr>
        <w:t xml:space="preserve">European Journal of Inorganic Chemistry, </w:t>
      </w:r>
      <w:r w:rsidRPr="007B0670">
        <w:rPr>
          <w:rFonts w:ascii="Times New Roman" w:hAnsi="Times New Roman" w:cs="Times New Roman"/>
        </w:rPr>
        <w:t>(15): 2297-2305.</w:t>
      </w:r>
    </w:p>
    <w:p w14:paraId="4C3B9CFC"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Viciano-Chumillas, M., et al. (2010). Coordination Versatility of Pyrazole-Based Ligands towards High-Nuclearity Transition-Metal and Rare-Earth Clusters. </w:t>
      </w:r>
      <w:r w:rsidRPr="007B0670">
        <w:rPr>
          <w:rFonts w:ascii="Times New Roman" w:hAnsi="Times New Roman" w:cs="Times New Roman"/>
          <w:i/>
        </w:rPr>
        <w:t>European Journal of Inorganic Chemistry</w:t>
      </w:r>
      <w:r w:rsidRPr="007B0670">
        <w:rPr>
          <w:rFonts w:ascii="Times New Roman" w:hAnsi="Times New Roman" w:cs="Times New Roman"/>
        </w:rPr>
        <w:t>, (22): p. 3403-3418.</w:t>
      </w:r>
    </w:p>
    <w:p w14:paraId="26023CA6"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Gao, H., Tanase, S., de Jongh, L. J. and Reedijk, J. (2006). Synthesis, crystal structures and properties of the novel mononuclear copper(II) and tetranuclear cobalt(II) complexes with 3,6-bis-(3,5-dimethylpyrazolyl)-pyridazine. </w:t>
      </w:r>
      <w:r w:rsidRPr="007B0670">
        <w:rPr>
          <w:rFonts w:ascii="Times New Roman" w:hAnsi="Times New Roman" w:cs="Times New Roman"/>
          <w:i/>
        </w:rPr>
        <w:t>Transition Metal Chemistry</w:t>
      </w:r>
      <w:r w:rsidRPr="007B0670">
        <w:rPr>
          <w:rFonts w:ascii="Times New Roman" w:hAnsi="Times New Roman" w:cs="Times New Roman"/>
        </w:rPr>
        <w:t>, 31(8): 1088-1092.</w:t>
      </w:r>
    </w:p>
    <w:p w14:paraId="3EDD829F"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Baranac-Stojanović, M. (2014). New insight into the anisotropic effects in solution-state NMR spectroscopy. </w:t>
      </w:r>
      <w:r w:rsidRPr="007B0670">
        <w:rPr>
          <w:rFonts w:ascii="Times New Roman" w:hAnsi="Times New Roman" w:cs="Times New Roman"/>
          <w:i/>
        </w:rPr>
        <w:t>RSC Advances</w:t>
      </w:r>
      <w:r w:rsidRPr="007B0670">
        <w:rPr>
          <w:rFonts w:ascii="Times New Roman" w:hAnsi="Times New Roman" w:cs="Times New Roman"/>
        </w:rPr>
        <w:t>, 4(1): 308-321.</w:t>
      </w:r>
    </w:p>
    <w:p w14:paraId="52E8F131"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Kaddouri, Y., Abrigach, F., Mechbal, N., Karzazi, Y., El Kodadi, M., Aouniti, A. and Touzani, R. (2019). Pyrazole compounds: Synthesis, molecular structure, chemical reactivity, experimental and theoretical DFT FTIR spectra. </w:t>
      </w:r>
      <w:r w:rsidRPr="007B0670">
        <w:rPr>
          <w:rFonts w:ascii="Times New Roman" w:hAnsi="Times New Roman" w:cs="Times New Roman"/>
          <w:i/>
        </w:rPr>
        <w:t>Materials Today: Proceedings</w:t>
      </w:r>
      <w:r w:rsidRPr="007B0670">
        <w:rPr>
          <w:rFonts w:ascii="Times New Roman" w:hAnsi="Times New Roman" w:cs="Times New Roman"/>
        </w:rPr>
        <w:t>, 13: 956-963.</w:t>
      </w:r>
    </w:p>
    <w:p w14:paraId="4D79C010"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Anush, S. M., Vishalakshi, B., Kalluraya, B. and Manju, N. (2018). Synthesis of pyrazole-based Schiff bases of Chitosan: Evaluation of antimicrobial activity. </w:t>
      </w:r>
      <w:r w:rsidRPr="007B0670">
        <w:rPr>
          <w:rFonts w:ascii="Times New Roman" w:hAnsi="Times New Roman" w:cs="Times New Roman"/>
          <w:i/>
        </w:rPr>
        <w:t>International Journal of Biological Macromolecules</w:t>
      </w:r>
      <w:r w:rsidRPr="007B0670">
        <w:rPr>
          <w:rFonts w:ascii="Times New Roman" w:hAnsi="Times New Roman" w:cs="Times New Roman"/>
        </w:rPr>
        <w:t>, 119: 446-452.</w:t>
      </w:r>
    </w:p>
    <w:p w14:paraId="52CA08CB" w14:textId="09D62EF0"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Figueiredo, H., Silva, B., Raposo, M. M. M., Fonseca, A. M., Neves, I. C., Quintelas, C. and Tavares, T. (2008). Immobilization of Fe(III) complexes of pyridazine derivatives prepared from biosorbents supported on zeolites. </w:t>
      </w:r>
      <w:r w:rsidRPr="007B0670">
        <w:rPr>
          <w:rFonts w:ascii="Times New Roman" w:hAnsi="Times New Roman" w:cs="Times New Roman"/>
          <w:i/>
        </w:rPr>
        <w:t>Microporous and Mesoporous Materials</w:t>
      </w:r>
      <w:r w:rsidRPr="007B0670">
        <w:rPr>
          <w:rFonts w:ascii="Times New Roman" w:hAnsi="Times New Roman" w:cs="Times New Roman"/>
        </w:rPr>
        <w:t>, 109(1): 163-171.</w:t>
      </w:r>
    </w:p>
    <w:p w14:paraId="78D3635C" w14:textId="6097A6C6" w:rsidR="002A0D83" w:rsidRDefault="002A0D83" w:rsidP="002A0D83">
      <w:pPr>
        <w:pStyle w:val="EndNoteBibliography"/>
        <w:spacing w:line="276" w:lineRule="auto"/>
        <w:rPr>
          <w:rFonts w:ascii="Times New Roman" w:hAnsi="Times New Roman" w:cs="Times New Roman"/>
        </w:rPr>
      </w:pPr>
    </w:p>
    <w:p w14:paraId="34E5D891" w14:textId="70B1F5F5" w:rsidR="002A0D83" w:rsidRDefault="002A0D83" w:rsidP="002A0D83">
      <w:pPr>
        <w:pStyle w:val="EndNoteBibliography"/>
        <w:spacing w:line="276" w:lineRule="auto"/>
        <w:rPr>
          <w:rFonts w:ascii="Times New Roman" w:hAnsi="Times New Roman" w:cs="Times New Roman"/>
        </w:rPr>
      </w:pPr>
    </w:p>
    <w:p w14:paraId="7635BC8D" w14:textId="068F5381" w:rsidR="002A0D83" w:rsidRDefault="002A0D83" w:rsidP="002A0D83">
      <w:pPr>
        <w:pStyle w:val="EndNoteBibliography"/>
        <w:spacing w:line="276" w:lineRule="auto"/>
        <w:rPr>
          <w:rFonts w:ascii="Times New Roman" w:hAnsi="Times New Roman" w:cs="Times New Roman"/>
        </w:rPr>
      </w:pPr>
    </w:p>
    <w:p w14:paraId="43832D17" w14:textId="77777777" w:rsidR="002A0D83" w:rsidRDefault="002A0D83" w:rsidP="002A0D83">
      <w:pPr>
        <w:pStyle w:val="EndNoteBibliography"/>
        <w:spacing w:line="276" w:lineRule="auto"/>
        <w:rPr>
          <w:rFonts w:ascii="Times New Roman" w:hAnsi="Times New Roman" w:cs="Times New Roman"/>
        </w:rPr>
      </w:pPr>
    </w:p>
    <w:p w14:paraId="09BD82F7" w14:textId="4B512C8A" w:rsidR="00AE379E" w:rsidRPr="007C7DFF"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lastRenderedPageBreak/>
        <w:t xml:space="preserve">Mészáros Szécsényi, K., Leovac, V. M., Jacimovic, Z. K. and Pokol, G. (2003). Transition Metal Complexes with Pyrazole Based Ligands. </w:t>
      </w:r>
      <w:r w:rsidRPr="007B0670">
        <w:rPr>
          <w:rFonts w:ascii="Times New Roman" w:hAnsi="Times New Roman" w:cs="Times New Roman"/>
          <w:i/>
        </w:rPr>
        <w:t>Journal of Thermal Analysis and Calorimetry</w:t>
      </w:r>
      <w:r w:rsidRPr="007B0670">
        <w:rPr>
          <w:rFonts w:ascii="Times New Roman" w:hAnsi="Times New Roman" w:cs="Times New Roman"/>
        </w:rPr>
        <w:t>, 74(3): 943-952.</w:t>
      </w:r>
    </w:p>
    <w:p w14:paraId="065408A9"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Mezei, G. and Raptis, R. G. (2004). Effect of pyrazole-substitution on the structure and nuclearity of Cu(II)-pyrazolato complexes. </w:t>
      </w:r>
      <w:r w:rsidRPr="007B0670">
        <w:rPr>
          <w:rFonts w:ascii="Times New Roman" w:hAnsi="Times New Roman" w:cs="Times New Roman"/>
          <w:i/>
        </w:rPr>
        <w:t>Inorganica Chimica Acta</w:t>
      </w:r>
      <w:r w:rsidRPr="007B0670">
        <w:rPr>
          <w:rFonts w:ascii="Times New Roman" w:hAnsi="Times New Roman" w:cs="Times New Roman"/>
        </w:rPr>
        <w:t>, 357(11): 3279-3288.</w:t>
      </w:r>
    </w:p>
    <w:p w14:paraId="60DCEA99"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Kutluay, A. and Aslanoglu, M. (2013). Modification of electrodes using conductive porous layers to confer selectivity for the voltammetric detection of paracetamol in the presence of ascorbic acid, dopamine and uric acid. </w:t>
      </w:r>
      <w:r w:rsidRPr="007B0670">
        <w:rPr>
          <w:rFonts w:ascii="Times New Roman" w:hAnsi="Times New Roman" w:cs="Times New Roman"/>
          <w:i/>
        </w:rPr>
        <w:t xml:space="preserve">Sensors and Actuators B: </w:t>
      </w:r>
      <w:r w:rsidRPr="007B0670">
        <w:rPr>
          <w:rFonts w:ascii="Times New Roman" w:hAnsi="Times New Roman" w:cs="Times New Roman"/>
          <w:i/>
        </w:rPr>
        <w:t>Chemical</w:t>
      </w:r>
      <w:r w:rsidRPr="007B0670">
        <w:rPr>
          <w:rFonts w:ascii="Times New Roman" w:hAnsi="Times New Roman" w:cs="Times New Roman"/>
        </w:rPr>
        <w:t>, 185: 398-404.</w:t>
      </w:r>
    </w:p>
    <w:p w14:paraId="1620DA0F"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Beaver, B. D., Hall, L. C., Lukehart, C. M. and Preston, L. D. (1981). Reactions of coordinated molecules. XXVII. Cyclic voltammetry of several transition metal metalla-acetylacetonate complexes. </w:t>
      </w:r>
      <w:r w:rsidRPr="007B0670">
        <w:rPr>
          <w:rFonts w:ascii="Times New Roman" w:hAnsi="Times New Roman" w:cs="Times New Roman"/>
          <w:i/>
        </w:rPr>
        <w:t>Inorganica Chimica Acta</w:t>
      </w:r>
      <w:r w:rsidRPr="007B0670">
        <w:rPr>
          <w:rFonts w:ascii="Times New Roman" w:hAnsi="Times New Roman" w:cs="Times New Roman"/>
        </w:rPr>
        <w:t>, 47: 25-30.</w:t>
      </w:r>
    </w:p>
    <w:p w14:paraId="055A2933" w14:textId="77777777" w:rsidR="00AE379E"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Huang, F., Wang, F., Feng, S., Li, Y., Li, S. and Li, Y. (2013). Direct electrochemistry and electrochemical biosensing of glucose oxidase based on CdSe@CdS quantum dots and MWNT-modified electrode. </w:t>
      </w:r>
      <w:r w:rsidRPr="007B0670">
        <w:rPr>
          <w:rFonts w:ascii="Times New Roman" w:hAnsi="Times New Roman" w:cs="Times New Roman"/>
          <w:i/>
        </w:rPr>
        <w:t>Journal of Solid State Electrochemistry</w:t>
      </w:r>
      <w:r w:rsidRPr="007B0670">
        <w:rPr>
          <w:rFonts w:ascii="Times New Roman" w:hAnsi="Times New Roman" w:cs="Times New Roman"/>
        </w:rPr>
        <w:t>, 17(5): 1295-1301.</w:t>
      </w:r>
    </w:p>
    <w:p w14:paraId="6EEB4265" w14:textId="77777777" w:rsidR="00AE379E" w:rsidRPr="007B0670" w:rsidRDefault="00AE379E" w:rsidP="00AE379E">
      <w:pPr>
        <w:pStyle w:val="EndNoteBibliography"/>
        <w:numPr>
          <w:ilvl w:val="0"/>
          <w:numId w:val="5"/>
        </w:numPr>
        <w:spacing w:line="276" w:lineRule="auto"/>
        <w:ind w:left="360"/>
        <w:rPr>
          <w:rFonts w:ascii="Times New Roman" w:hAnsi="Times New Roman" w:cs="Times New Roman"/>
        </w:rPr>
      </w:pPr>
      <w:r w:rsidRPr="007B0670">
        <w:rPr>
          <w:rFonts w:ascii="Times New Roman" w:hAnsi="Times New Roman" w:cs="Times New Roman"/>
        </w:rPr>
        <w:t xml:space="preserve">Hamel, C., Chamelot, P. and Taxil, P. (2004). Neodymium(III) cathodic processes in molten fluorides. </w:t>
      </w:r>
      <w:r w:rsidRPr="007B0670">
        <w:rPr>
          <w:rFonts w:ascii="Times New Roman" w:hAnsi="Times New Roman" w:cs="Times New Roman"/>
          <w:i/>
        </w:rPr>
        <w:t>Electrochimica Acta</w:t>
      </w:r>
      <w:r w:rsidRPr="007B0670">
        <w:rPr>
          <w:rFonts w:ascii="Times New Roman" w:hAnsi="Times New Roman" w:cs="Times New Roman"/>
        </w:rPr>
        <w:t>, 49(25): 4467-4476.</w:t>
      </w:r>
    </w:p>
    <w:p w14:paraId="6653ECF1" w14:textId="525F17B9" w:rsidR="00AE379E" w:rsidRDefault="00AE379E" w:rsidP="00AE379E">
      <w:pPr>
        <w:spacing w:after="0"/>
        <w:rPr>
          <w:rFonts w:ascii="Times New Roman" w:hAnsi="Times New Roman"/>
          <w:noProof/>
          <w:sz w:val="20"/>
          <w:szCs w:val="20"/>
          <w:lang w:bidi="ar-SA"/>
        </w:rPr>
        <w:sectPr w:rsidR="00AE379E" w:rsidSect="00AE379E">
          <w:footerReference w:type="even" r:id="rId44"/>
          <w:footerReference w:type="default" r:id="rId45"/>
          <w:type w:val="continuous"/>
          <w:pgSz w:w="12240" w:h="15840" w:code="1"/>
          <w:pgMar w:top="1800" w:right="1469" w:bottom="1699" w:left="1440" w:header="706" w:footer="706" w:gutter="0"/>
          <w:pgNumType w:start="0"/>
          <w:cols w:num="2" w:space="403"/>
          <w:docGrid w:linePitch="360"/>
        </w:sectPr>
      </w:pPr>
      <w:r w:rsidRPr="00944651">
        <w:rPr>
          <w:rFonts w:ascii="Times New Roman" w:hAnsi="Times New Roman"/>
          <w:szCs w:val="20"/>
        </w:rPr>
        <w:fldChar w:fldCharType="end"/>
      </w:r>
    </w:p>
    <w:p w14:paraId="63ACC625" w14:textId="69BF2DFB" w:rsidR="006768E9" w:rsidRPr="00510BA6" w:rsidRDefault="006768E9" w:rsidP="00510BA6">
      <w:pPr>
        <w:spacing w:after="0"/>
        <w:jc w:val="center"/>
        <w:rPr>
          <w:rFonts w:ascii="Times New Roman" w:hAnsi="Times New Roman"/>
          <w:noProof/>
          <w:sz w:val="20"/>
          <w:szCs w:val="20"/>
          <w:lang w:bidi="ar-SA"/>
        </w:rPr>
      </w:pPr>
    </w:p>
    <w:p w14:paraId="7EC6850E" w14:textId="7A1F99F5" w:rsidR="00672075" w:rsidRPr="00510BA6" w:rsidRDefault="00672075" w:rsidP="00D5397F">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F51E6D">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002B6539"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CB0A1B">
      <w:rPr>
        <w:rFonts w:ascii="Times New Roman" w:hAnsi="Times New Roman"/>
        <w:lang w:val="en-US"/>
      </w:rPr>
      <w:t>138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ED04E" w14:textId="54F98252" w:rsidR="00DD5E79" w:rsidRPr="004B43FF" w:rsidRDefault="00CB0A1B">
    <w:pPr>
      <w:pStyle w:val="Footer"/>
      <w:rPr>
        <w:rFonts w:ascii="Times New Roman" w:hAnsi="Times New Roman"/>
        <w:lang w:val="en-US"/>
      </w:rPr>
    </w:pPr>
    <w:r>
      <w:rPr>
        <w:rFonts w:ascii="Times New Roman" w:hAnsi="Times New Roman"/>
        <w:noProof/>
        <w:lang w:val="en-US"/>
      </w:rPr>
      <w:t>147</w:t>
    </w:r>
    <w:r w:rsidR="00DD5E79" w:rsidRPr="0069547D">
      <w:rPr>
        <w:rFonts w:ascii="Times New Roman" w:hAnsi="Times New Roman"/>
        <w:noProof/>
        <w:lang w:val="en-US"/>
      </w:rPr>
      <w:ptab w:relativeTo="margin" w:alignment="center" w:leader="none"/>
    </w:r>
    <w:r w:rsidR="00DD5E79"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1FBE1" w14:textId="2E53BA19" w:rsidR="00DD5E79" w:rsidRDefault="00DD5E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CB0A1B">
      <w:rPr>
        <w:rFonts w:ascii="Times New Roman" w:hAnsi="Times New Roman"/>
        <w:lang w:val="en-US"/>
      </w:rPr>
      <w:t>48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FAF08" w14:textId="5F155B9B" w:rsidR="00DD5E79" w:rsidRPr="004B43FF" w:rsidRDefault="00DD5E79">
    <w:pPr>
      <w:pStyle w:val="Footer"/>
      <w:rPr>
        <w:rFonts w:ascii="Times New Roman" w:hAnsi="Times New Roman"/>
        <w:lang w:val="en-US"/>
      </w:rPr>
    </w:pPr>
    <w:r>
      <w:rPr>
        <w:rFonts w:ascii="Times New Roman" w:hAnsi="Times New Roman"/>
        <w:noProof/>
        <w:lang w:val="en-US"/>
      </w:rPr>
      <w:t>1</w:t>
    </w:r>
    <w:r w:rsidR="00CB0A1B">
      <w:rPr>
        <w:rFonts w:ascii="Times New Roman" w:hAnsi="Times New Roman"/>
        <w:noProof/>
        <w:lang w:val="en-US"/>
      </w:rPr>
      <w:t>49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536FE" w14:textId="6C923BD9" w:rsidR="000D5673" w:rsidRDefault="000D567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CB0A1B">
      <w:rPr>
        <w:rFonts w:ascii="Times New Roman" w:hAnsi="Times New Roman"/>
        <w:lang w:val="en-US"/>
      </w:rPr>
      <w:t>50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30FD6" w14:textId="75330940" w:rsidR="000D5673" w:rsidRDefault="000D567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w:t>
    </w:r>
    <w:r w:rsidR="00CB0A1B">
      <w:rPr>
        <w:rFonts w:ascii="Times New Roman" w:hAnsi="Times New Roman"/>
        <w:lang w:val="en-US"/>
      </w:rPr>
      <w:t>52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D98C7" w14:textId="0D35B878" w:rsidR="000D5673" w:rsidRPr="004B43FF" w:rsidRDefault="000D5673">
    <w:pPr>
      <w:pStyle w:val="Footer"/>
      <w:rPr>
        <w:rFonts w:ascii="Times New Roman" w:hAnsi="Times New Roman"/>
        <w:lang w:val="en-US"/>
      </w:rPr>
    </w:pPr>
    <w:r>
      <w:rPr>
        <w:rFonts w:ascii="Times New Roman" w:hAnsi="Times New Roman"/>
        <w:noProof/>
        <w:lang w:val="en-US"/>
      </w:rPr>
      <w:t>1</w:t>
    </w:r>
    <w:r w:rsidR="00CB0A1B">
      <w:rPr>
        <w:rFonts w:ascii="Times New Roman" w:hAnsi="Times New Roman"/>
        <w:noProof/>
        <w:lang w:val="en-US"/>
      </w:rPr>
      <w:t>51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362A1875" w:rsidR="00D75B35" w:rsidRPr="004B43FF" w:rsidRDefault="00CB0A1B">
    <w:pPr>
      <w:pStyle w:val="Footer"/>
      <w:rPr>
        <w:rFonts w:ascii="Times New Roman" w:hAnsi="Times New Roman"/>
        <w:lang w:val="en-US"/>
      </w:rPr>
    </w:pPr>
    <w:r>
      <w:rPr>
        <w:rFonts w:ascii="Times New Roman" w:hAnsi="Times New Roman"/>
        <w:noProof/>
        <w:lang w:val="en-US"/>
      </w:rPr>
      <w:t>139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8CEDD" w14:textId="079D78E9" w:rsidR="00361F35" w:rsidRDefault="00361F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CB0A1B">
      <w:rPr>
        <w:rFonts w:ascii="Times New Roman" w:hAnsi="Times New Roman"/>
        <w:lang w:val="en-US"/>
      </w:rPr>
      <w:t>140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33C05" w14:textId="492BB874" w:rsidR="00361F35" w:rsidRPr="004B43FF" w:rsidRDefault="00CB0A1B">
    <w:pPr>
      <w:pStyle w:val="Footer"/>
      <w:rPr>
        <w:rFonts w:ascii="Times New Roman" w:hAnsi="Times New Roman"/>
        <w:lang w:val="en-US"/>
      </w:rPr>
    </w:pPr>
    <w:r>
      <w:rPr>
        <w:rFonts w:ascii="Times New Roman" w:hAnsi="Times New Roman"/>
        <w:noProof/>
        <w:lang w:val="en-US"/>
      </w:rPr>
      <w:t>141</w:t>
    </w:r>
    <w:r w:rsidR="00361F35" w:rsidRPr="0069547D">
      <w:rPr>
        <w:rFonts w:ascii="Times New Roman" w:hAnsi="Times New Roman"/>
        <w:noProof/>
        <w:lang w:val="en-US"/>
      </w:rPr>
      <w:ptab w:relativeTo="margin" w:alignment="center" w:leader="none"/>
    </w:r>
    <w:r w:rsidR="00361F35"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4996E" w14:textId="6FA565DD" w:rsidR="00361F35" w:rsidRDefault="00361F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CB0A1B">
      <w:rPr>
        <w:rFonts w:ascii="Times New Roman" w:hAnsi="Times New Roman"/>
        <w:lang w:val="en-US"/>
      </w:rPr>
      <w:t>142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49365" w14:textId="23EA368C" w:rsidR="00361F35" w:rsidRDefault="00361F3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CB0A1B">
      <w:rPr>
        <w:rFonts w:ascii="Times New Roman" w:hAnsi="Times New Roman"/>
        <w:lang w:val="en-US"/>
      </w:rPr>
      <w:t>144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07331" w14:textId="121A6E36" w:rsidR="00361F35" w:rsidRPr="004B43FF" w:rsidRDefault="00CB0A1B">
    <w:pPr>
      <w:pStyle w:val="Footer"/>
      <w:rPr>
        <w:rFonts w:ascii="Times New Roman" w:hAnsi="Times New Roman"/>
        <w:lang w:val="en-US"/>
      </w:rPr>
    </w:pPr>
    <w:r>
      <w:rPr>
        <w:rFonts w:ascii="Times New Roman" w:hAnsi="Times New Roman"/>
        <w:noProof/>
        <w:lang w:val="en-US"/>
      </w:rPr>
      <w:t>143</w:t>
    </w:r>
    <w:r w:rsidR="00361F35" w:rsidRPr="0069547D">
      <w:rPr>
        <w:rFonts w:ascii="Times New Roman" w:hAnsi="Times New Roman"/>
        <w:noProof/>
        <w:lang w:val="en-US"/>
      </w:rPr>
      <w:ptab w:relativeTo="margin" w:alignment="center" w:leader="none"/>
    </w:r>
    <w:r w:rsidR="00361F35"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3A390" w14:textId="55989A4B" w:rsidR="00DD5E79" w:rsidRDefault="00DD5E79">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CB0A1B">
      <w:rPr>
        <w:rFonts w:ascii="Times New Roman" w:hAnsi="Times New Roman"/>
        <w:lang w:val="en-US"/>
      </w:rPr>
      <w:t>146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0F6BD" w14:textId="396A892B" w:rsidR="00DD5E79" w:rsidRPr="004B43FF" w:rsidRDefault="00CB0A1B">
    <w:pPr>
      <w:pStyle w:val="Footer"/>
      <w:rPr>
        <w:rFonts w:ascii="Times New Roman" w:hAnsi="Times New Roman"/>
        <w:lang w:val="en-US"/>
      </w:rPr>
    </w:pPr>
    <w:r>
      <w:rPr>
        <w:rFonts w:ascii="Times New Roman" w:hAnsi="Times New Roman"/>
        <w:noProof/>
        <w:lang w:val="en-US"/>
      </w:rPr>
      <w:t>145</w:t>
    </w:r>
    <w:r w:rsidR="00DD5E79" w:rsidRPr="0069547D">
      <w:rPr>
        <w:rFonts w:ascii="Times New Roman" w:hAnsi="Times New Roman"/>
        <w:noProof/>
        <w:lang w:val="en-US"/>
      </w:rPr>
      <w:ptab w:relativeTo="margin" w:alignment="center" w:leader="none"/>
    </w:r>
    <w:r w:rsidR="00DD5E79"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1A5FD074"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E17493">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CB0A1B">
      <w:rPr>
        <w:rFonts w:ascii="Times New Roman" w:hAnsi="Times New Roman"/>
        <w:i/>
        <w:lang w:val="en-US"/>
      </w:rPr>
      <w:t>138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CB0A1B">
      <w:rPr>
        <w:rFonts w:ascii="Times New Roman" w:hAnsi="Times New Roman"/>
        <w:i/>
        <w:lang w:val="en-US"/>
      </w:rPr>
      <w:t>152</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890CD" w14:textId="3927C2AD" w:rsidR="001212CD" w:rsidRPr="001212CD" w:rsidRDefault="001212CD" w:rsidP="001212CD">
    <w:pPr>
      <w:spacing w:after="0"/>
      <w:ind w:left="1710" w:hanging="1710"/>
      <w:outlineLvl w:val="0"/>
      <w:rPr>
        <w:rFonts w:ascii="Times New Roman" w:hAnsi="Times New Roman"/>
        <w:sz w:val="20"/>
        <w:szCs w:val="20"/>
      </w:rPr>
    </w:pPr>
    <w:r w:rsidRPr="001212CD">
      <w:rPr>
        <w:rFonts w:ascii="Times New Roman" w:hAnsi="Times New Roman"/>
        <w:sz w:val="20"/>
        <w:szCs w:val="20"/>
      </w:rPr>
      <w:t>Selvanthan &amp; Woi</w:t>
    </w:r>
    <w:r w:rsidR="008E6968" w:rsidRPr="001212CD">
      <w:rPr>
        <w:rFonts w:ascii="Times New Roman" w:hAnsi="Times New Roman"/>
        <w:sz w:val="20"/>
        <w:szCs w:val="20"/>
      </w:rPr>
      <w:t xml:space="preserve">:  </w:t>
    </w:r>
    <w:r w:rsidR="002752F0" w:rsidRPr="001212CD">
      <w:rPr>
        <w:rFonts w:ascii="Times New Roman" w:hAnsi="Times New Roman"/>
        <w:sz w:val="20"/>
        <w:szCs w:val="20"/>
      </w:rPr>
      <w:t xml:space="preserve"> </w:t>
    </w:r>
    <w:r>
      <w:rPr>
        <w:rFonts w:ascii="Times New Roman" w:hAnsi="Times New Roman"/>
        <w:sz w:val="20"/>
        <w:szCs w:val="20"/>
      </w:rPr>
      <w:tab/>
    </w:r>
    <w:r w:rsidRPr="001212CD">
      <w:rPr>
        <w:rFonts w:ascii="Times New Roman" w:hAnsi="Times New Roman"/>
        <w:sz w:val="20"/>
        <w:szCs w:val="20"/>
      </w:rPr>
      <w:t>SYNTHESIS, CHARACTERIZATION AND ELECTROCHEMICAL STUDIES OF TRANSITION METAL COMPLEXES CONTAINING 3,6-BIS(3,5-DIMETHYLPYRAZOLYL) PYRIDAZINE LIGAND</w:t>
    </w:r>
  </w:p>
  <w:p w14:paraId="652E6EB3" w14:textId="4F37CEC1"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5072A2"/>
    <w:multiLevelType w:val="multilevel"/>
    <w:tmpl w:val="EFBCAB70"/>
    <w:styleLink w:val="StyleUM"/>
    <w:lvl w:ilvl="0">
      <w:start w:val="1"/>
      <w:numFmt w:val="decimal"/>
      <w:suff w:val="space"/>
      <w:lvlText w:val="CHAPTER %1:"/>
      <w:lvlJc w:val="left"/>
      <w:pPr>
        <w:ind w:left="1702" w:firstLine="0"/>
      </w:pPr>
      <w:rPr>
        <w:rFonts w:ascii="Times New Roman" w:hAnsi="Times New Roman" w:cs="Times New Roman" w:hint="default"/>
        <w:b/>
        <w:bCs w:val="0"/>
        <w:i w:val="0"/>
        <w:iCs w:val="0"/>
        <w:caps/>
        <w:smallCaps w:val="0"/>
        <w:strike w:val="0"/>
        <w:dstrike w:val="0"/>
        <w:noProof w:val="0"/>
        <w:vanish w:val="0"/>
        <w:webHidden w:val="0"/>
        <w:color w:val="000000" w:themeColor="text1"/>
        <w:spacing w:val="0"/>
        <w:kern w:val="0"/>
        <w:position w:val="0"/>
        <w:sz w:val="24"/>
        <w:u w:val="none"/>
        <w:effect w:val="none"/>
        <w:vertAlign w:val="baseline"/>
        <w:em w:val="none"/>
        <w:specVanish w:val="0"/>
      </w:rPr>
    </w:lvl>
    <w:lvl w:ilvl="1">
      <w:start w:val="1"/>
      <w:numFmt w:val="decimal"/>
      <w:lvlText w:val="%1.%2"/>
      <w:lvlJc w:val="left"/>
      <w:pPr>
        <w:tabs>
          <w:tab w:val="num" w:pos="1049"/>
        </w:tabs>
        <w:ind w:left="1049" w:hanging="907"/>
      </w:pPr>
      <w:rPr>
        <w:rFonts w:ascii="Times New Roman" w:hAnsi="Times New Roman" w:cs="Times New Roman" w:hint="default"/>
        <w:b/>
        <w:i w:val="0"/>
        <w:sz w:val="24"/>
      </w:rPr>
    </w:lvl>
    <w:lvl w:ilvl="2">
      <w:start w:val="1"/>
      <w:numFmt w:val="decimal"/>
      <w:lvlText w:val="%1.%2.%3"/>
      <w:lvlJc w:val="left"/>
      <w:pPr>
        <w:tabs>
          <w:tab w:val="num" w:pos="907"/>
        </w:tabs>
        <w:ind w:left="907" w:hanging="907"/>
      </w:pPr>
      <w:rPr>
        <w:rFonts w:ascii="Times New Roman" w:hAnsi="Times New Roman" w:cs="Times New Roman" w:hint="default"/>
        <w:b/>
        <w:i w:val="0"/>
        <w:sz w:val="22"/>
      </w:rPr>
    </w:lvl>
    <w:lvl w:ilvl="3">
      <w:start w:val="1"/>
      <w:numFmt w:val="decimal"/>
      <w:lvlText w:val="%1.%2.%3.%4"/>
      <w:lvlJc w:val="left"/>
      <w:pPr>
        <w:tabs>
          <w:tab w:val="num" w:pos="907"/>
        </w:tabs>
        <w:ind w:left="907" w:hanging="907"/>
      </w:pPr>
      <w:rPr>
        <w:rFonts w:ascii="Times New Roman" w:hAnsi="Times New Roman" w:cs="Times New Roman" w:hint="default"/>
        <w:b/>
        <w:i w:val="0"/>
        <w:sz w:val="22"/>
      </w:rPr>
    </w:lvl>
    <w:lvl w:ilvl="4">
      <w:start w:val="1"/>
      <w:numFmt w:val="lowerLetter"/>
      <w:lvlText w:val="(%5)"/>
      <w:lvlJc w:val="left"/>
      <w:pPr>
        <w:tabs>
          <w:tab w:val="num" w:pos="964"/>
        </w:tabs>
        <w:ind w:left="431" w:hanging="431"/>
      </w:pPr>
      <w:rPr>
        <w:rFonts w:ascii="Times New Roman" w:hAnsi="Times New Roman" w:cs="Times New Roman" w:hint="default"/>
        <w:b w:val="0"/>
        <w:i/>
        <w:color w:val="000000" w:themeColor="text1"/>
        <w:sz w:val="24"/>
      </w:rPr>
    </w:lvl>
    <w:lvl w:ilvl="5">
      <w:start w:val="1"/>
      <w:numFmt w:val="lowerRoman"/>
      <w:lvlText w:val="%6"/>
      <w:lvlJc w:val="left"/>
      <w:pPr>
        <w:ind w:left="431" w:hanging="431"/>
      </w:pPr>
      <w:rPr>
        <w:rFonts w:ascii="Times New Roman" w:hAnsi="Times New Roman" w:cs="Times New Roman" w:hint="default"/>
        <w:b w:val="0"/>
        <w:i/>
        <w:color w:val="000000" w:themeColor="text1"/>
        <w:sz w:val="24"/>
      </w:rPr>
    </w:lvl>
    <w:lvl w:ilvl="6">
      <w:start w:val="1"/>
      <w:numFmt w:val="lowerRoman"/>
      <w:lvlText w:val="%7"/>
      <w:lvlJc w:val="left"/>
      <w:pPr>
        <w:ind w:left="431" w:hanging="431"/>
      </w:pPr>
      <w:rPr>
        <w:rFonts w:ascii="Times New Roman" w:hAnsi="Times New Roman" w:cs="Times New Roman" w:hint="default"/>
        <w:b w:val="0"/>
        <w:i/>
        <w:color w:val="000000" w:themeColor="text1"/>
        <w:sz w:val="24"/>
      </w:rPr>
    </w:lvl>
    <w:lvl w:ilvl="7">
      <w:start w:val="1"/>
      <w:numFmt w:val="lowerRoman"/>
      <w:lvlText w:val="%8"/>
      <w:lvlJc w:val="left"/>
      <w:pPr>
        <w:ind w:left="431" w:hanging="431"/>
      </w:pPr>
      <w:rPr>
        <w:rFonts w:ascii="Times New Roman" w:hAnsi="Times New Roman" w:cs="Times New Roman" w:hint="default"/>
        <w:b w:val="0"/>
        <w:i/>
        <w:color w:val="000000" w:themeColor="text1"/>
        <w:sz w:val="24"/>
      </w:rPr>
    </w:lvl>
    <w:lvl w:ilvl="8">
      <w:start w:val="1"/>
      <w:numFmt w:val="lowerRoman"/>
      <w:lvlText w:val="%9"/>
      <w:lvlJc w:val="left"/>
      <w:pPr>
        <w:ind w:left="431" w:hanging="431"/>
      </w:pPr>
      <w:rPr>
        <w:rFonts w:ascii="Times New Roman" w:hAnsi="Times New Roman" w:cs="Times New Roman" w:hint="default"/>
        <w:b w:val="0"/>
        <w:i/>
        <w:color w:val="000000" w:themeColor="text1"/>
        <w:sz w:val="24"/>
      </w:r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40635097"/>
    <w:multiLevelType w:val="multilevel"/>
    <w:tmpl w:val="EFBCAB70"/>
    <w:lvl w:ilvl="0">
      <w:start w:val="1"/>
      <w:numFmt w:val="decimal"/>
      <w:suff w:val="space"/>
      <w:lvlText w:val="CHAPTER %1:"/>
      <w:lvlJc w:val="left"/>
      <w:pPr>
        <w:ind w:left="1702" w:firstLine="0"/>
      </w:pPr>
      <w:rPr>
        <w:rFonts w:ascii="Times New Roman" w:hAnsi="Times New Roman" w:cs="Times New Roman" w:hint="default"/>
        <w:b/>
        <w:bCs w:val="0"/>
        <w:i w:val="0"/>
        <w:iCs w:val="0"/>
        <w:caps/>
        <w:smallCaps w:val="0"/>
        <w:strike w:val="0"/>
        <w:dstrike w:val="0"/>
        <w:noProof w:val="0"/>
        <w:vanish w:val="0"/>
        <w:webHidden w:val="0"/>
        <w:color w:val="000000" w:themeColor="text1"/>
        <w:spacing w:val="0"/>
        <w:kern w:val="0"/>
        <w:position w:val="0"/>
        <w:sz w:val="24"/>
        <w:u w:val="none"/>
        <w:effect w:val="none"/>
        <w:vertAlign w:val="baseline"/>
        <w:em w:val="none"/>
        <w:specVanish w:val="0"/>
      </w:rPr>
    </w:lvl>
    <w:lvl w:ilvl="1">
      <w:start w:val="1"/>
      <w:numFmt w:val="decimal"/>
      <w:lvlText w:val="%1.%2"/>
      <w:lvlJc w:val="left"/>
      <w:pPr>
        <w:tabs>
          <w:tab w:val="num" w:pos="1049"/>
        </w:tabs>
        <w:ind w:left="1049" w:hanging="907"/>
      </w:pPr>
      <w:rPr>
        <w:rFonts w:ascii="Times New Roman" w:hAnsi="Times New Roman" w:cs="Times New Roman" w:hint="default"/>
        <w:b/>
        <w:i w:val="0"/>
        <w:sz w:val="24"/>
      </w:rPr>
    </w:lvl>
    <w:lvl w:ilvl="2">
      <w:start w:val="1"/>
      <w:numFmt w:val="decimal"/>
      <w:lvlText w:val="%1.%2.%3"/>
      <w:lvlJc w:val="left"/>
      <w:pPr>
        <w:tabs>
          <w:tab w:val="num" w:pos="907"/>
        </w:tabs>
        <w:ind w:left="907" w:hanging="907"/>
      </w:pPr>
      <w:rPr>
        <w:rFonts w:ascii="Times New Roman" w:hAnsi="Times New Roman" w:cs="Times New Roman" w:hint="default"/>
        <w:b/>
        <w:i w:val="0"/>
        <w:sz w:val="22"/>
      </w:rPr>
    </w:lvl>
    <w:lvl w:ilvl="3">
      <w:start w:val="1"/>
      <w:numFmt w:val="decimal"/>
      <w:lvlText w:val="%1.%2.%3.%4"/>
      <w:lvlJc w:val="left"/>
      <w:pPr>
        <w:tabs>
          <w:tab w:val="num" w:pos="907"/>
        </w:tabs>
        <w:ind w:left="907" w:hanging="907"/>
      </w:pPr>
      <w:rPr>
        <w:rFonts w:ascii="Times New Roman" w:hAnsi="Times New Roman" w:cs="Times New Roman" w:hint="default"/>
        <w:b/>
        <w:i w:val="0"/>
        <w:sz w:val="22"/>
      </w:rPr>
    </w:lvl>
    <w:lvl w:ilvl="4">
      <w:start w:val="1"/>
      <w:numFmt w:val="lowerLetter"/>
      <w:lvlText w:val="(%5)"/>
      <w:lvlJc w:val="left"/>
      <w:pPr>
        <w:tabs>
          <w:tab w:val="num" w:pos="964"/>
        </w:tabs>
        <w:ind w:left="431" w:hanging="431"/>
      </w:pPr>
      <w:rPr>
        <w:rFonts w:ascii="Times New Roman" w:hAnsi="Times New Roman" w:cs="Times New Roman" w:hint="default"/>
        <w:b w:val="0"/>
        <w:i/>
        <w:color w:val="000000" w:themeColor="text1"/>
        <w:sz w:val="24"/>
      </w:rPr>
    </w:lvl>
    <w:lvl w:ilvl="5">
      <w:start w:val="1"/>
      <w:numFmt w:val="lowerRoman"/>
      <w:lvlText w:val="%6"/>
      <w:lvlJc w:val="left"/>
      <w:pPr>
        <w:ind w:left="431" w:hanging="431"/>
      </w:pPr>
      <w:rPr>
        <w:rFonts w:ascii="Times New Roman" w:hAnsi="Times New Roman" w:cs="Times New Roman" w:hint="default"/>
        <w:b w:val="0"/>
        <w:i/>
        <w:color w:val="000000" w:themeColor="text1"/>
        <w:sz w:val="24"/>
      </w:rPr>
    </w:lvl>
    <w:lvl w:ilvl="6">
      <w:start w:val="1"/>
      <w:numFmt w:val="lowerRoman"/>
      <w:lvlText w:val="%7"/>
      <w:lvlJc w:val="left"/>
      <w:pPr>
        <w:ind w:left="431" w:hanging="431"/>
      </w:pPr>
      <w:rPr>
        <w:rFonts w:ascii="Times New Roman" w:hAnsi="Times New Roman" w:cs="Times New Roman" w:hint="default"/>
        <w:b w:val="0"/>
        <w:i/>
        <w:color w:val="000000" w:themeColor="text1"/>
        <w:sz w:val="24"/>
      </w:rPr>
    </w:lvl>
    <w:lvl w:ilvl="7">
      <w:start w:val="1"/>
      <w:numFmt w:val="lowerRoman"/>
      <w:lvlText w:val="%8"/>
      <w:lvlJc w:val="left"/>
      <w:pPr>
        <w:ind w:left="431" w:hanging="431"/>
      </w:pPr>
      <w:rPr>
        <w:rFonts w:ascii="Times New Roman" w:hAnsi="Times New Roman" w:cs="Times New Roman" w:hint="default"/>
        <w:b w:val="0"/>
        <w:i/>
        <w:color w:val="000000" w:themeColor="text1"/>
        <w:sz w:val="24"/>
      </w:rPr>
    </w:lvl>
    <w:lvl w:ilvl="8">
      <w:start w:val="1"/>
      <w:numFmt w:val="lowerRoman"/>
      <w:lvlText w:val="%9"/>
      <w:lvlJc w:val="left"/>
      <w:pPr>
        <w:ind w:left="431" w:hanging="431"/>
      </w:pPr>
      <w:rPr>
        <w:rFonts w:ascii="Times New Roman" w:hAnsi="Times New Roman" w:cs="Times New Roman" w:hint="default"/>
        <w:b w:val="0"/>
        <w:i/>
        <w:color w:val="000000" w:themeColor="text1"/>
        <w:sz w:val="24"/>
      </w:rPr>
    </w:lvl>
  </w:abstractNum>
  <w:abstractNum w:abstractNumId="3" w15:restartNumberingAfterBreak="0">
    <w:nsid w:val="5D235E0C"/>
    <w:multiLevelType w:val="hybridMultilevel"/>
    <w:tmpl w:val="788CF31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startOverride w:val="1"/>
      <w:lvl w:ilvl="0">
        <w:start w:val="1"/>
        <w:numFmt w:val="decimal"/>
        <w:suff w:val="space"/>
        <w:lvlText w:val="CHAPTER %1:"/>
        <w:lvlJc w:val="left"/>
        <w:pPr>
          <w:ind w:left="1702" w:firstLine="0"/>
        </w:pPr>
        <w:rPr>
          <w:rFonts w:ascii="Times New Roman" w:hAnsi="Times New Roman" w:cs="Times New Roman" w:hint="default"/>
          <w:b/>
          <w:bCs w:val="0"/>
          <w:i w:val="0"/>
          <w:iCs w:val="0"/>
          <w:caps/>
          <w:smallCaps w:val="0"/>
          <w:strike w:val="0"/>
          <w:dstrike w:val="0"/>
          <w:noProof w:val="0"/>
          <w:vanish w:val="0"/>
          <w:webHidden w:val="0"/>
          <w:color w:val="000000" w:themeColor="text1"/>
          <w:spacing w:val="0"/>
          <w:kern w:val="0"/>
          <w:position w:val="0"/>
          <w:sz w:val="24"/>
          <w:u w:val="none"/>
          <w:effect w:val="none"/>
          <w:vertAlign w:val="baseline"/>
          <w:em w:val="none"/>
          <w:specVanish w:val="0"/>
        </w:rPr>
      </w:lvl>
    </w:lvlOverride>
    <w:lvlOverride w:ilvl="1">
      <w:startOverride w:val="1"/>
      <w:lvl w:ilvl="1">
        <w:start w:val="1"/>
        <w:numFmt w:val="decimal"/>
        <w:lvlText w:val="%1.%2"/>
        <w:lvlJc w:val="left"/>
        <w:pPr>
          <w:tabs>
            <w:tab w:val="num" w:pos="1049"/>
          </w:tabs>
          <w:ind w:left="1049" w:hanging="907"/>
        </w:pPr>
        <w:rPr>
          <w:rFonts w:ascii="Times New Roman" w:hAnsi="Times New Roman" w:cs="Times New Roman" w:hint="default"/>
          <w:b/>
          <w:i w:val="0"/>
          <w:color w:val="auto"/>
          <w:sz w:val="24"/>
        </w:rPr>
      </w:lvl>
    </w:lvlOverride>
    <w:lvlOverride w:ilvl="2">
      <w:startOverride w:val="1"/>
      <w:lvl w:ilvl="2">
        <w:start w:val="1"/>
        <w:numFmt w:val="decimal"/>
        <w:lvlText w:val="%1.%2.%3"/>
        <w:lvlJc w:val="left"/>
        <w:pPr>
          <w:tabs>
            <w:tab w:val="num" w:pos="907"/>
          </w:tabs>
          <w:ind w:left="907" w:hanging="907"/>
        </w:pPr>
        <w:rPr>
          <w:rFonts w:ascii="Times New Roman" w:hAnsi="Times New Roman" w:cs="Times New Roman" w:hint="default"/>
          <w:b/>
          <w:i w:val="0"/>
          <w:color w:val="auto"/>
          <w:sz w:val="24"/>
          <w:szCs w:val="24"/>
        </w:rPr>
      </w:lvl>
    </w:lvlOverride>
    <w:lvlOverride w:ilvl="3">
      <w:startOverride w:val="1"/>
      <w:lvl w:ilvl="3">
        <w:start w:val="1"/>
        <w:numFmt w:val="decimal"/>
        <w:lvlText w:val=""/>
        <w:lvlJc w:val="left"/>
      </w:lvl>
    </w:lvlOverride>
    <w:lvlOverride w:ilvl="4">
      <w:startOverride w:val="1"/>
      <w:lvl w:ilvl="4">
        <w:start w:val="1"/>
        <w:numFmt w:val="decimal"/>
        <w:lvlText w:val="(%5)"/>
        <w:lvlJc w:val="left"/>
        <w:pPr>
          <w:tabs>
            <w:tab w:val="num" w:pos="3375"/>
          </w:tabs>
          <w:ind w:left="2842" w:hanging="431"/>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evenAndOddHeaders/>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73F60"/>
    <w:rsid w:val="00084936"/>
    <w:rsid w:val="000944A8"/>
    <w:rsid w:val="000C49FF"/>
    <w:rsid w:val="000C5261"/>
    <w:rsid w:val="000D5673"/>
    <w:rsid w:val="000E5AF1"/>
    <w:rsid w:val="000F77DA"/>
    <w:rsid w:val="001068E8"/>
    <w:rsid w:val="00117BCD"/>
    <w:rsid w:val="001212CD"/>
    <w:rsid w:val="001B1157"/>
    <w:rsid w:val="001D035A"/>
    <w:rsid w:val="001D3855"/>
    <w:rsid w:val="001D6F2C"/>
    <w:rsid w:val="001F72B9"/>
    <w:rsid w:val="002004F5"/>
    <w:rsid w:val="00221D39"/>
    <w:rsid w:val="002752F0"/>
    <w:rsid w:val="002867F0"/>
    <w:rsid w:val="0029079C"/>
    <w:rsid w:val="002A0D83"/>
    <w:rsid w:val="002B188F"/>
    <w:rsid w:val="002B3BD8"/>
    <w:rsid w:val="002F3F91"/>
    <w:rsid w:val="00304767"/>
    <w:rsid w:val="00304B34"/>
    <w:rsid w:val="00312C0E"/>
    <w:rsid w:val="00343660"/>
    <w:rsid w:val="00345738"/>
    <w:rsid w:val="00361BAF"/>
    <w:rsid w:val="00361F35"/>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A4C74"/>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0670"/>
    <w:rsid w:val="007B1349"/>
    <w:rsid w:val="007C7DFF"/>
    <w:rsid w:val="007E25BD"/>
    <w:rsid w:val="007F4ECC"/>
    <w:rsid w:val="00801E18"/>
    <w:rsid w:val="00802C35"/>
    <w:rsid w:val="0082181A"/>
    <w:rsid w:val="0086622B"/>
    <w:rsid w:val="008B02C7"/>
    <w:rsid w:val="008B470E"/>
    <w:rsid w:val="008C14D6"/>
    <w:rsid w:val="008E1211"/>
    <w:rsid w:val="008E5BBF"/>
    <w:rsid w:val="008E6968"/>
    <w:rsid w:val="008F2DC2"/>
    <w:rsid w:val="009110FB"/>
    <w:rsid w:val="00917637"/>
    <w:rsid w:val="00992776"/>
    <w:rsid w:val="00A14DB9"/>
    <w:rsid w:val="00A4762A"/>
    <w:rsid w:val="00A74A7E"/>
    <w:rsid w:val="00A87399"/>
    <w:rsid w:val="00AD1B8A"/>
    <w:rsid w:val="00AD76AF"/>
    <w:rsid w:val="00AE379E"/>
    <w:rsid w:val="00AE713F"/>
    <w:rsid w:val="00B1121C"/>
    <w:rsid w:val="00B25B65"/>
    <w:rsid w:val="00B2770A"/>
    <w:rsid w:val="00B314AD"/>
    <w:rsid w:val="00B34C0A"/>
    <w:rsid w:val="00B36193"/>
    <w:rsid w:val="00B7255A"/>
    <w:rsid w:val="00B75BF6"/>
    <w:rsid w:val="00BA1F7B"/>
    <w:rsid w:val="00BB223B"/>
    <w:rsid w:val="00BB58AF"/>
    <w:rsid w:val="00BD2480"/>
    <w:rsid w:val="00BE2D36"/>
    <w:rsid w:val="00BE7C30"/>
    <w:rsid w:val="00BF18C5"/>
    <w:rsid w:val="00C055BF"/>
    <w:rsid w:val="00C0756D"/>
    <w:rsid w:val="00C2226A"/>
    <w:rsid w:val="00C80273"/>
    <w:rsid w:val="00C943DD"/>
    <w:rsid w:val="00C94D92"/>
    <w:rsid w:val="00C97340"/>
    <w:rsid w:val="00CA513F"/>
    <w:rsid w:val="00CB0A1B"/>
    <w:rsid w:val="00CC6D67"/>
    <w:rsid w:val="00CD41CA"/>
    <w:rsid w:val="00CF05FF"/>
    <w:rsid w:val="00D33D1A"/>
    <w:rsid w:val="00D340BB"/>
    <w:rsid w:val="00D505D5"/>
    <w:rsid w:val="00D5397F"/>
    <w:rsid w:val="00D63C28"/>
    <w:rsid w:val="00D75B35"/>
    <w:rsid w:val="00D76E09"/>
    <w:rsid w:val="00D9736F"/>
    <w:rsid w:val="00D97773"/>
    <w:rsid w:val="00D9792A"/>
    <w:rsid w:val="00DD377F"/>
    <w:rsid w:val="00DD5E79"/>
    <w:rsid w:val="00E17493"/>
    <w:rsid w:val="00E229C4"/>
    <w:rsid w:val="00E25547"/>
    <w:rsid w:val="00E2773B"/>
    <w:rsid w:val="00E3287E"/>
    <w:rsid w:val="00E66197"/>
    <w:rsid w:val="00EB5BA5"/>
    <w:rsid w:val="00EF4195"/>
    <w:rsid w:val="00F202C3"/>
    <w:rsid w:val="00F23D94"/>
    <w:rsid w:val="00F31093"/>
    <w:rsid w:val="00F412AF"/>
    <w:rsid w:val="00F43667"/>
    <w:rsid w:val="00F447A7"/>
    <w:rsid w:val="00F46191"/>
    <w:rsid w:val="00F467A2"/>
    <w:rsid w:val="00F51E6D"/>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aliases w:val="h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aliases w:val="h2"/>
    <w:basedOn w:val="Normal"/>
    <w:next w:val="Normal"/>
    <w:link w:val="Heading2Char"/>
    <w:unhideWhenUsed/>
    <w:qFormat/>
    <w:rsid w:val="00D9792A"/>
    <w:pPr>
      <w:spacing w:before="200" w:after="0" w:line="271" w:lineRule="auto"/>
      <w:outlineLvl w:val="1"/>
    </w:pPr>
    <w:rPr>
      <w:smallCaps/>
      <w:sz w:val="28"/>
      <w:szCs w:val="28"/>
      <w:lang w:val="x-none" w:eastAsia="x-none"/>
    </w:rPr>
  </w:style>
  <w:style w:type="paragraph" w:styleId="Heading3">
    <w:name w:val="heading 3"/>
    <w:aliases w:val="h3"/>
    <w:basedOn w:val="Normal"/>
    <w:next w:val="Normal"/>
    <w:link w:val="Heading3Char"/>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aliases w:val="h4"/>
    <w:basedOn w:val="Normal"/>
    <w:next w:val="Normal"/>
    <w:link w:val="Heading4Char"/>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aliases w:val="h5"/>
    <w:basedOn w:val="Normal"/>
    <w:next w:val="Normal"/>
    <w:link w:val="Heading5Char"/>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aliases w:val="h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aliases w:val="h2 Char"/>
    <w:link w:val="Heading2"/>
    <w:rsid w:val="00D9792A"/>
    <w:rPr>
      <w:rFonts w:ascii="Cambria" w:eastAsia="Times New Roman" w:hAnsi="Cambria" w:cs="Times New Roman"/>
      <w:smallCaps/>
      <w:sz w:val="28"/>
      <w:szCs w:val="28"/>
      <w:lang w:bidi="en-US"/>
    </w:rPr>
  </w:style>
  <w:style w:type="character" w:customStyle="1" w:styleId="Heading3Char">
    <w:name w:val="Heading 3 Char"/>
    <w:aliases w:val="h3 Char"/>
    <w:link w:val="Heading3"/>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aliases w:val="h4 Char"/>
    <w:link w:val="Heading4"/>
    <w:semiHidden/>
    <w:rsid w:val="00D9792A"/>
    <w:rPr>
      <w:rFonts w:ascii="Cambria" w:eastAsia="Times New Roman" w:hAnsi="Cambria" w:cs="Times New Roman"/>
      <w:b/>
      <w:bCs/>
      <w:spacing w:val="5"/>
      <w:sz w:val="24"/>
      <w:szCs w:val="24"/>
      <w:lang w:bidi="en-US"/>
    </w:rPr>
  </w:style>
  <w:style w:type="character" w:customStyle="1" w:styleId="Heading5Char">
    <w:name w:val="Heading 5 Char"/>
    <w:aliases w:val="h5 Char"/>
    <w:link w:val="Heading5"/>
    <w:semiHidden/>
    <w:rsid w:val="00D9792A"/>
    <w:rPr>
      <w:rFonts w:ascii="Cambria" w:eastAsia="Times New Roman" w:hAnsi="Cambria" w:cs="Times New Roman"/>
      <w:i/>
      <w:iCs/>
      <w:sz w:val="24"/>
      <w:szCs w:val="24"/>
      <w:lang w:bidi="en-US"/>
    </w:rPr>
  </w:style>
  <w:style w:type="character" w:customStyle="1" w:styleId="Heading6Char">
    <w:name w:val="Heading 6 Char"/>
    <w:link w:val="Heading6"/>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D5397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5397F"/>
    <w:rPr>
      <w:color w:val="0000FF" w:themeColor="hyperlink"/>
      <w:u w:val="single"/>
    </w:rPr>
  </w:style>
  <w:style w:type="numbering" w:customStyle="1" w:styleId="StyleUM">
    <w:name w:val="Style UM"/>
    <w:uiPriority w:val="99"/>
    <w:rsid w:val="00D5397F"/>
    <w:pPr>
      <w:numPr>
        <w:numId w:val="4"/>
      </w:numPr>
    </w:pPr>
  </w:style>
  <w:style w:type="table" w:styleId="PlainTable2">
    <w:name w:val="Plain Table 2"/>
    <w:basedOn w:val="TableNormal"/>
    <w:uiPriority w:val="42"/>
    <w:rsid w:val="00D5397F"/>
    <w:rPr>
      <w:rFonts w:ascii="Arial" w:eastAsia="Batang" w:hAnsi="Arial" w:cs="Arial"/>
      <w:sz w:val="18"/>
      <w:szCs w:val="18"/>
      <w:lang w:val="en-US" w:eastAsia="en-US"/>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D5397F"/>
    <w:pPr>
      <w:autoSpaceDE w:val="0"/>
      <w:autoSpaceDN w:val="0"/>
      <w:adjustRightInd w:val="0"/>
    </w:pPr>
    <w:rPr>
      <w:rFonts w:ascii="Times New Roman" w:eastAsia="Batang" w:hAnsi="Times New Roman"/>
      <w:color w:val="000000"/>
      <w:sz w:val="24"/>
      <w:szCs w:val="24"/>
      <w:lang w:eastAsia="en-US"/>
    </w:rPr>
  </w:style>
  <w:style w:type="table" w:styleId="TableGridLight">
    <w:name w:val="Grid Table Light"/>
    <w:basedOn w:val="TableNormal"/>
    <w:uiPriority w:val="40"/>
    <w:rsid w:val="00D5397F"/>
    <w:rPr>
      <w:rFonts w:ascii="Arial" w:eastAsia="Batang" w:hAnsi="Arial" w:cs="Arial"/>
      <w:sz w:val="18"/>
      <w:szCs w:val="18"/>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D5397F"/>
    <w:rPr>
      <w:color w:val="808080"/>
    </w:rPr>
  </w:style>
  <w:style w:type="paragraph" w:customStyle="1" w:styleId="EndNoteBibliographyTitle">
    <w:name w:val="EndNote Bibliography Title"/>
    <w:basedOn w:val="Normal"/>
    <w:link w:val="EndNoteBibliographyTitleChar"/>
    <w:rsid w:val="00D5397F"/>
    <w:pPr>
      <w:widowControl w:val="0"/>
      <w:wordWrap w:val="0"/>
      <w:autoSpaceDE w:val="0"/>
      <w:autoSpaceDN w:val="0"/>
      <w:spacing w:after="0" w:line="240" w:lineRule="auto"/>
      <w:jc w:val="center"/>
    </w:pPr>
    <w:rPr>
      <w:rFonts w:ascii="Calibri" w:eastAsiaTheme="minorEastAsia" w:hAnsi="Calibri" w:cs="Calibri"/>
      <w:noProof/>
      <w:kern w:val="2"/>
      <w:sz w:val="20"/>
      <w:lang w:eastAsia="ko-KR" w:bidi="ar-SA"/>
    </w:rPr>
  </w:style>
  <w:style w:type="character" w:customStyle="1" w:styleId="EndNoteBibliographyTitleChar">
    <w:name w:val="EndNote Bibliography Title Char"/>
    <w:basedOn w:val="DefaultParagraphFont"/>
    <w:link w:val="EndNoteBibliographyTitle"/>
    <w:rsid w:val="00D5397F"/>
    <w:rPr>
      <w:rFonts w:ascii="Calibri" w:eastAsiaTheme="minorEastAsia" w:hAnsi="Calibri" w:cs="Calibri"/>
      <w:noProof/>
      <w:kern w:val="2"/>
      <w:szCs w:val="22"/>
      <w:lang w:val="en-US" w:eastAsia="ko-KR"/>
    </w:rPr>
  </w:style>
  <w:style w:type="paragraph" w:customStyle="1" w:styleId="EndNoteBibliography">
    <w:name w:val="EndNote Bibliography"/>
    <w:basedOn w:val="Normal"/>
    <w:link w:val="EndNoteBibliographyChar"/>
    <w:rsid w:val="00D5397F"/>
    <w:pPr>
      <w:widowControl w:val="0"/>
      <w:wordWrap w:val="0"/>
      <w:autoSpaceDE w:val="0"/>
      <w:autoSpaceDN w:val="0"/>
      <w:spacing w:after="0" w:line="240" w:lineRule="auto"/>
      <w:jc w:val="both"/>
    </w:pPr>
    <w:rPr>
      <w:rFonts w:ascii="Calibri" w:eastAsiaTheme="minorEastAsia" w:hAnsi="Calibri" w:cs="Calibri"/>
      <w:noProof/>
      <w:kern w:val="2"/>
      <w:sz w:val="20"/>
      <w:lang w:eastAsia="ko-KR" w:bidi="ar-SA"/>
    </w:rPr>
  </w:style>
  <w:style w:type="character" w:customStyle="1" w:styleId="EndNoteBibliographyChar">
    <w:name w:val="EndNote Bibliography Char"/>
    <w:basedOn w:val="DefaultParagraphFont"/>
    <w:link w:val="EndNoteBibliography"/>
    <w:rsid w:val="00D5397F"/>
    <w:rPr>
      <w:rFonts w:ascii="Calibri" w:eastAsiaTheme="minorEastAsia" w:hAnsi="Calibri" w:cs="Calibri"/>
      <w:noProof/>
      <w:kern w:val="2"/>
      <w:szCs w:val="22"/>
      <w:lang w:val="en-US" w:eastAsia="ko-KR"/>
    </w:rPr>
  </w:style>
  <w:style w:type="character" w:styleId="CommentReference">
    <w:name w:val="annotation reference"/>
    <w:basedOn w:val="DefaultParagraphFont"/>
    <w:uiPriority w:val="99"/>
    <w:semiHidden/>
    <w:unhideWhenUsed/>
    <w:rsid w:val="00D5397F"/>
    <w:rPr>
      <w:sz w:val="16"/>
      <w:szCs w:val="16"/>
    </w:rPr>
  </w:style>
  <w:style w:type="paragraph" w:styleId="CommentText">
    <w:name w:val="annotation text"/>
    <w:basedOn w:val="Normal"/>
    <w:link w:val="CommentTextChar"/>
    <w:uiPriority w:val="99"/>
    <w:semiHidden/>
    <w:unhideWhenUsed/>
    <w:rsid w:val="00D5397F"/>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D5397F"/>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D5397F"/>
    <w:rPr>
      <w:b/>
      <w:bCs/>
    </w:rPr>
  </w:style>
  <w:style w:type="character" w:customStyle="1" w:styleId="CommentSubjectChar">
    <w:name w:val="Comment Subject Char"/>
    <w:basedOn w:val="CommentTextChar"/>
    <w:link w:val="CommentSubject"/>
    <w:uiPriority w:val="99"/>
    <w:semiHidden/>
    <w:rsid w:val="00D5397F"/>
    <w:rPr>
      <w:rFonts w:asciiTheme="minorHAnsi" w:eastAsiaTheme="minorEastAsia" w:hAnsiTheme="minorHAnsi" w:cstheme="minorBidi"/>
      <w:b/>
      <w:bCs/>
      <w:kern w:val="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tiff"/><Relationship Id="rId26" Type="http://schemas.openxmlformats.org/officeDocument/2006/relationships/image" Target="media/image10.png"/><Relationship Id="rId39" Type="http://schemas.openxmlformats.org/officeDocument/2006/relationships/footer" Target="footer11.xml"/><Relationship Id="rId21" Type="http://schemas.openxmlformats.org/officeDocument/2006/relationships/footer" Target="footer6.xml"/><Relationship Id="rId34" Type="http://schemas.microsoft.com/office/2007/relationships/hdphoto" Target="media/hdphoto1.wdp"/><Relationship Id="rId42" Type="http://schemas.microsoft.com/office/2007/relationships/hdphoto" Target="media/hdphoto4.wdp"/><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10.xml"/><Relationship Id="rId37" Type="http://schemas.openxmlformats.org/officeDocument/2006/relationships/image" Target="media/image16.png"/><Relationship Id="rId40" Type="http://schemas.openxmlformats.org/officeDocument/2006/relationships/footer" Target="footer12.xml"/><Relationship Id="rId45"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image" Target="media/image7.tiff"/><Relationship Id="rId28" Type="http://schemas.openxmlformats.org/officeDocument/2006/relationships/footer" Target="footer8.xml"/><Relationship Id="rId36" Type="http://schemas.microsoft.com/office/2007/relationships/hdphoto" Target="media/hdphoto2.wdp"/><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tiff"/><Relationship Id="rId22" Type="http://schemas.openxmlformats.org/officeDocument/2006/relationships/footer" Target="footer7.xml"/><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footer" Target="footer1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4.png"/><Relationship Id="rId38" Type="http://schemas.microsoft.com/office/2007/relationships/hdphoto" Target="media/hdphoto3.wdp"/><Relationship Id="rId46" Type="http://schemas.openxmlformats.org/officeDocument/2006/relationships/fontTable" Target="fontTable.xml"/><Relationship Id="rId20" Type="http://schemas.openxmlformats.org/officeDocument/2006/relationships/image" Target="media/image6.tiff"/><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7226</Words>
  <Characters>41192</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MJAS Vol 25 No 1 (2021)</vt:lpstr>
    </vt:vector>
  </TitlesOfParts>
  <Company>UKM</Company>
  <LinksUpToDate>false</LinksUpToDate>
  <CharactersWithSpaces>48322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1 (2021)</dc:title>
  <dc:creator>Harun Hj Hamzah</dc:creator>
  <cp:lastModifiedBy>Harun Hamzah</cp:lastModifiedBy>
  <cp:revision>5</cp:revision>
  <cp:lastPrinted>2021-02-06T06:26:00Z</cp:lastPrinted>
  <dcterms:created xsi:type="dcterms:W3CDTF">2021-01-28T04:23:00Z</dcterms:created>
  <dcterms:modified xsi:type="dcterms:W3CDTF">2021-02-06T06:27:00Z</dcterms:modified>
</cp:coreProperties>
</file>