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41FC544" w14:textId="77777777" w:rsidR="0017772F" w:rsidRDefault="0017772F" w:rsidP="0017772F">
      <w:pPr>
        <w:spacing w:after="0"/>
        <w:jc w:val="center"/>
        <w:outlineLvl w:val="0"/>
        <w:rPr>
          <w:rFonts w:ascii="Times New Roman" w:hAnsi="Times New Roman"/>
          <w:sz w:val="28"/>
        </w:rPr>
      </w:pPr>
      <w:r w:rsidRPr="00FB69C1">
        <w:rPr>
          <w:rFonts w:ascii="Times New Roman" w:hAnsi="Times New Roman"/>
          <w:sz w:val="28"/>
        </w:rPr>
        <w:t xml:space="preserve">NOVEL AND VALIDATED NON-AQUEOUS TITRIMETRIC METHOD FOR DETERMINATION OF PERSPECTIVE POTASSIUM-SPARING DIURETIC DRUG CANDIDATE IN PURE FORM AND PHARMACEUTICAL </w:t>
      </w:r>
      <w:r>
        <w:rPr>
          <w:rFonts w:ascii="Times New Roman" w:hAnsi="Times New Roman"/>
          <w:sz w:val="28"/>
        </w:rPr>
        <w:t xml:space="preserve">FORMULATION </w:t>
      </w:r>
    </w:p>
    <w:p w14:paraId="51DF7ACC" w14:textId="77777777" w:rsidR="0017772F" w:rsidRPr="0017772F" w:rsidRDefault="0017772F" w:rsidP="0017772F">
      <w:pPr>
        <w:spacing w:after="0"/>
        <w:jc w:val="center"/>
        <w:outlineLvl w:val="0"/>
        <w:rPr>
          <w:rFonts w:ascii="Times New Roman" w:hAnsi="Times New Roman"/>
          <w:sz w:val="24"/>
          <w:szCs w:val="24"/>
        </w:rPr>
      </w:pPr>
    </w:p>
    <w:p w14:paraId="0576CDB0" w14:textId="77777777" w:rsidR="0017772F" w:rsidRPr="0017772F" w:rsidRDefault="0017772F" w:rsidP="0017772F">
      <w:pPr>
        <w:spacing w:after="0"/>
        <w:jc w:val="center"/>
        <w:outlineLvl w:val="0"/>
        <w:rPr>
          <w:rFonts w:ascii="Times New Roman" w:hAnsi="Times New Roman"/>
          <w:sz w:val="24"/>
          <w:szCs w:val="24"/>
        </w:rPr>
      </w:pPr>
      <w:r w:rsidRPr="0017772F">
        <w:rPr>
          <w:rFonts w:ascii="Times New Roman" w:hAnsi="Times New Roman"/>
          <w:sz w:val="24"/>
          <w:szCs w:val="24"/>
        </w:rPr>
        <w:t>(</w:t>
      </w:r>
      <w:r w:rsidRPr="0017772F">
        <w:rPr>
          <w:rFonts w:ascii="Times New Roman" w:hAnsi="Times New Roman"/>
          <w:noProof/>
          <w:sz w:val="24"/>
          <w:szCs w:val="24"/>
          <w:lang w:val="ms-MY"/>
        </w:rPr>
        <w:t>Kaedah Titrimetrik Bukan Akues Novel dan Ditentusahkan bagi Penentuan Penahanan Kalium-Dadah Diuretik dalam Formulasi Tulen dan Farmaseutikal</w:t>
      </w:r>
      <w:r w:rsidRPr="0017772F">
        <w:rPr>
          <w:rFonts w:ascii="Times New Roman" w:hAnsi="Times New Roman"/>
          <w:sz w:val="24"/>
          <w:szCs w:val="24"/>
        </w:rPr>
        <w:t>)</w:t>
      </w:r>
    </w:p>
    <w:p w14:paraId="39BD89CB" w14:textId="77777777" w:rsidR="0017772F" w:rsidRPr="0017772F" w:rsidRDefault="0017772F" w:rsidP="0017772F">
      <w:pPr>
        <w:spacing w:after="0"/>
        <w:jc w:val="center"/>
        <w:outlineLvl w:val="0"/>
        <w:rPr>
          <w:rFonts w:ascii="Times New Roman" w:hAnsi="Times New Roman"/>
          <w:b/>
          <w:color w:val="548DD4" w:themeColor="text2" w:themeTint="99"/>
          <w:sz w:val="20"/>
          <w:szCs w:val="20"/>
        </w:rPr>
      </w:pPr>
    </w:p>
    <w:p w14:paraId="375BF4B5" w14:textId="77EB6B03" w:rsidR="0017772F" w:rsidRPr="0017772F" w:rsidRDefault="0017772F" w:rsidP="0017772F">
      <w:pPr>
        <w:spacing w:after="0"/>
        <w:jc w:val="center"/>
        <w:outlineLvl w:val="0"/>
        <w:rPr>
          <w:rFonts w:ascii="Times New Roman" w:hAnsi="Times New Roman"/>
          <w:b/>
          <w:color w:val="548DD4" w:themeColor="text2" w:themeTint="99"/>
          <w:sz w:val="20"/>
          <w:szCs w:val="20"/>
        </w:rPr>
      </w:pPr>
      <w:r w:rsidRPr="0017772F">
        <w:rPr>
          <w:rFonts w:ascii="Times New Roman" w:hAnsi="Times New Roman"/>
          <w:sz w:val="20"/>
          <w:szCs w:val="20"/>
        </w:rPr>
        <w:t>Alexey Ivanov</w:t>
      </w:r>
      <w:r w:rsidRPr="0017772F">
        <w:rPr>
          <w:rFonts w:ascii="Times New Roman" w:hAnsi="Times New Roman"/>
          <w:sz w:val="20"/>
          <w:szCs w:val="20"/>
          <w:vertAlign w:val="superscript"/>
        </w:rPr>
        <w:t>1</w:t>
      </w:r>
      <w:r w:rsidRPr="0017772F">
        <w:rPr>
          <w:rFonts w:ascii="Times New Roman" w:hAnsi="Times New Roman"/>
          <w:sz w:val="20"/>
          <w:szCs w:val="20"/>
        </w:rPr>
        <w:t>*, Ivan Smırnov</w:t>
      </w:r>
      <w:r w:rsidRPr="0017772F">
        <w:rPr>
          <w:rFonts w:ascii="Times New Roman" w:hAnsi="Times New Roman"/>
          <w:sz w:val="20"/>
          <w:szCs w:val="20"/>
          <w:vertAlign w:val="superscript"/>
        </w:rPr>
        <w:t>2</w:t>
      </w:r>
      <w:r w:rsidRPr="0017772F">
        <w:rPr>
          <w:rFonts w:ascii="Times New Roman" w:hAnsi="Times New Roman"/>
          <w:sz w:val="20"/>
          <w:szCs w:val="20"/>
        </w:rPr>
        <w:t>, Tatyana Murashko</w:t>
      </w:r>
      <w:r w:rsidRPr="0017772F">
        <w:rPr>
          <w:rFonts w:ascii="Times New Roman" w:hAnsi="Times New Roman"/>
          <w:sz w:val="20"/>
          <w:szCs w:val="20"/>
          <w:vertAlign w:val="superscript"/>
        </w:rPr>
        <w:t>2</w:t>
      </w:r>
      <w:r w:rsidRPr="0017772F">
        <w:rPr>
          <w:rFonts w:ascii="Times New Roman" w:hAnsi="Times New Roman"/>
          <w:sz w:val="20"/>
          <w:szCs w:val="20"/>
        </w:rPr>
        <w:t>, Marina Trusova</w:t>
      </w:r>
      <w:r w:rsidRPr="0017772F">
        <w:rPr>
          <w:rFonts w:ascii="Times New Roman" w:hAnsi="Times New Roman"/>
          <w:sz w:val="20"/>
          <w:szCs w:val="20"/>
          <w:vertAlign w:val="superscript"/>
        </w:rPr>
        <w:t>1</w:t>
      </w:r>
      <w:r w:rsidRPr="0017772F">
        <w:rPr>
          <w:rFonts w:ascii="Times New Roman" w:hAnsi="Times New Roman"/>
          <w:sz w:val="20"/>
          <w:szCs w:val="20"/>
        </w:rPr>
        <w:t>, Elena Stepanova</w:t>
      </w:r>
      <w:r w:rsidRPr="0017772F">
        <w:rPr>
          <w:rFonts w:ascii="Times New Roman" w:hAnsi="Times New Roman"/>
          <w:sz w:val="20"/>
          <w:szCs w:val="20"/>
          <w:vertAlign w:val="superscript"/>
        </w:rPr>
        <w:t>1</w:t>
      </w:r>
    </w:p>
    <w:p w14:paraId="5DC793ED" w14:textId="77777777" w:rsidR="0017772F" w:rsidRPr="009C4E07" w:rsidRDefault="0017772F" w:rsidP="0017772F">
      <w:pPr>
        <w:spacing w:after="0"/>
        <w:jc w:val="center"/>
        <w:outlineLvl w:val="0"/>
        <w:rPr>
          <w:rFonts w:ascii="Times New Roman" w:hAnsi="Times New Roman"/>
          <w:b/>
          <w:color w:val="FF0000"/>
          <w:sz w:val="18"/>
          <w:szCs w:val="18"/>
        </w:rPr>
      </w:pPr>
    </w:p>
    <w:p w14:paraId="4C82D293" w14:textId="77777777" w:rsidR="0017772F" w:rsidRDefault="0017772F" w:rsidP="0017772F">
      <w:pPr>
        <w:spacing w:after="0"/>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3E2B27">
        <w:rPr>
          <w:rFonts w:ascii="Times New Roman" w:hAnsi="Times New Roman"/>
          <w:i/>
          <w:sz w:val="18"/>
          <w:szCs w:val="18"/>
        </w:rPr>
        <w:t xml:space="preserve">Research School of Chemistry &amp; Applied Biomedical Sciences, </w:t>
      </w:r>
    </w:p>
    <w:p w14:paraId="51D52552" w14:textId="77777777" w:rsidR="0017772F" w:rsidRPr="00A415C1" w:rsidRDefault="0017772F" w:rsidP="0017772F">
      <w:pPr>
        <w:spacing w:after="0"/>
        <w:jc w:val="center"/>
        <w:outlineLvl w:val="0"/>
        <w:rPr>
          <w:rFonts w:ascii="Times New Roman" w:hAnsi="Times New Roman"/>
          <w:i/>
          <w:sz w:val="18"/>
          <w:szCs w:val="18"/>
        </w:rPr>
      </w:pPr>
      <w:r w:rsidRPr="003E2B27">
        <w:rPr>
          <w:rFonts w:ascii="Times New Roman" w:hAnsi="Times New Roman"/>
          <w:i/>
          <w:sz w:val="18"/>
          <w:szCs w:val="18"/>
        </w:rPr>
        <w:t>National Research Tomsk Polytechnic University</w:t>
      </w:r>
      <w:r>
        <w:rPr>
          <w:rFonts w:ascii="Times New Roman" w:hAnsi="Times New Roman"/>
          <w:i/>
          <w:sz w:val="18"/>
          <w:szCs w:val="18"/>
        </w:rPr>
        <w:t xml:space="preserve">, </w:t>
      </w:r>
      <w:r w:rsidRPr="00A55D0E">
        <w:rPr>
          <w:rFonts w:ascii="Times New Roman" w:hAnsi="Times New Roman"/>
          <w:i/>
          <w:sz w:val="18"/>
          <w:szCs w:val="18"/>
        </w:rPr>
        <w:t>Tomsk, Russia</w:t>
      </w:r>
    </w:p>
    <w:p w14:paraId="7905A569" w14:textId="77777777" w:rsidR="0017772F" w:rsidRDefault="0017772F" w:rsidP="0017772F">
      <w:pPr>
        <w:spacing w:after="0"/>
        <w:jc w:val="center"/>
        <w:outlineLvl w:val="0"/>
        <w:rPr>
          <w:sz w:val="18"/>
        </w:rPr>
      </w:pPr>
      <w:r w:rsidRPr="00A415C1">
        <w:rPr>
          <w:rFonts w:ascii="Times New Roman" w:hAnsi="Times New Roman"/>
          <w:i/>
          <w:sz w:val="18"/>
          <w:szCs w:val="18"/>
          <w:vertAlign w:val="superscript"/>
        </w:rPr>
        <w:t>2</w:t>
      </w:r>
      <w:r w:rsidRPr="005A1A4A">
        <w:rPr>
          <w:rFonts w:ascii="Times New Roman" w:hAnsi="Times New Roman"/>
          <w:i/>
          <w:sz w:val="18"/>
        </w:rPr>
        <w:t>The Faculty of Pharmacy</w:t>
      </w:r>
      <w:r w:rsidRPr="00380B9F">
        <w:rPr>
          <w:rFonts w:ascii="Times New Roman" w:hAnsi="Times New Roman"/>
          <w:i/>
          <w:sz w:val="18"/>
        </w:rPr>
        <w:t>,</w:t>
      </w:r>
      <w:r w:rsidRPr="005A1A4A">
        <w:rPr>
          <w:sz w:val="18"/>
        </w:rPr>
        <w:t xml:space="preserve"> </w:t>
      </w:r>
    </w:p>
    <w:p w14:paraId="68A79930" w14:textId="77777777" w:rsidR="0017772F" w:rsidRPr="00A415C1" w:rsidRDefault="0017772F" w:rsidP="0017772F">
      <w:pPr>
        <w:spacing w:after="0"/>
        <w:jc w:val="center"/>
        <w:outlineLvl w:val="0"/>
        <w:rPr>
          <w:rFonts w:ascii="Times New Roman" w:hAnsi="Times New Roman"/>
          <w:i/>
          <w:sz w:val="18"/>
          <w:szCs w:val="18"/>
        </w:rPr>
      </w:pPr>
      <w:r w:rsidRPr="005A1A4A">
        <w:rPr>
          <w:rFonts w:ascii="Times New Roman" w:hAnsi="Times New Roman"/>
          <w:i/>
          <w:sz w:val="18"/>
          <w:szCs w:val="18"/>
        </w:rPr>
        <w:t>Altai State Medical University</w:t>
      </w:r>
      <w:r>
        <w:rPr>
          <w:rFonts w:ascii="Times New Roman" w:hAnsi="Times New Roman"/>
          <w:i/>
          <w:sz w:val="18"/>
          <w:szCs w:val="18"/>
        </w:rPr>
        <w:t>, B</w:t>
      </w:r>
      <w:r w:rsidRPr="00A55D0E">
        <w:rPr>
          <w:rFonts w:ascii="Times New Roman" w:hAnsi="Times New Roman"/>
          <w:i/>
          <w:sz w:val="18"/>
          <w:szCs w:val="18"/>
        </w:rPr>
        <w:t>arnaul, Russia</w:t>
      </w:r>
    </w:p>
    <w:p w14:paraId="00ACC3F2" w14:textId="77777777" w:rsidR="0017772F" w:rsidRPr="009C4E07" w:rsidRDefault="0017772F" w:rsidP="0017772F">
      <w:pPr>
        <w:spacing w:after="0"/>
        <w:jc w:val="center"/>
        <w:outlineLvl w:val="0"/>
        <w:rPr>
          <w:rFonts w:ascii="Times New Roman" w:hAnsi="Times New Roman"/>
          <w:b/>
          <w:color w:val="548DD4" w:themeColor="text2" w:themeTint="99"/>
          <w:sz w:val="18"/>
          <w:szCs w:val="18"/>
        </w:rPr>
      </w:pPr>
    </w:p>
    <w:p w14:paraId="7EE5D7E7" w14:textId="36115961" w:rsidR="0017772F" w:rsidRPr="00747021" w:rsidRDefault="0017772F" w:rsidP="0017772F">
      <w:pPr>
        <w:spacing w:after="0"/>
        <w:jc w:val="center"/>
        <w:outlineLvl w:val="0"/>
        <w:rPr>
          <w:rFonts w:ascii="Times New Roman" w:hAnsi="Times New Roman"/>
          <w:i/>
          <w:color w:val="548DD4" w:themeColor="text2" w:themeTint="99"/>
          <w:sz w:val="18"/>
        </w:rPr>
      </w:pPr>
      <w:r w:rsidRPr="0017772F">
        <w:rPr>
          <w:rFonts w:ascii="Times New Roman" w:hAnsi="Times New Roman"/>
          <w:i/>
          <w:sz w:val="18"/>
        </w:rPr>
        <w:t>*</w:t>
      </w:r>
      <w:r w:rsidRPr="00747021">
        <w:rPr>
          <w:rFonts w:ascii="Times New Roman" w:hAnsi="Times New Roman"/>
          <w:i/>
          <w:sz w:val="18"/>
        </w:rPr>
        <w:t>Corresponding author:</w:t>
      </w:r>
      <w:r>
        <w:rPr>
          <w:rFonts w:ascii="Times New Roman" w:hAnsi="Times New Roman"/>
          <w:i/>
          <w:sz w:val="18"/>
        </w:rPr>
        <w:t xml:space="preserve"> </w:t>
      </w:r>
      <w:r w:rsidRPr="003E2B27">
        <w:rPr>
          <w:rFonts w:ascii="Times New Roman" w:hAnsi="Times New Roman"/>
          <w:i/>
          <w:sz w:val="18"/>
        </w:rPr>
        <w:t>ivanovaa@tpu.ru</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1D73671" w:rsidR="00BA1F7B" w:rsidRDefault="00BA1F7B" w:rsidP="00EA1CD8">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A1CD8">
        <w:rPr>
          <w:rFonts w:ascii="Times New Roman" w:hAnsi="Times New Roman"/>
          <w:noProof/>
          <w:sz w:val="18"/>
          <w:szCs w:val="18"/>
          <w:lang w:bidi="ar-SA"/>
        </w:rPr>
        <w:t>31 August 2020</w:t>
      </w:r>
      <w:r>
        <w:rPr>
          <w:rFonts w:ascii="Times New Roman" w:hAnsi="Times New Roman"/>
          <w:noProof/>
          <w:sz w:val="18"/>
          <w:szCs w:val="18"/>
          <w:lang w:bidi="ar-SA"/>
        </w:rPr>
        <w:t xml:space="preserve">; Accepted: </w:t>
      </w:r>
      <w:r w:rsidR="00EA1CD8">
        <w:rPr>
          <w:rFonts w:ascii="Times New Roman" w:hAnsi="Times New Roman"/>
          <w:noProof/>
          <w:sz w:val="18"/>
          <w:szCs w:val="18"/>
          <w:lang w:bidi="ar-SA"/>
        </w:rPr>
        <w:t>22 November 2020</w:t>
      </w:r>
      <w:r w:rsidR="00F82059">
        <w:rPr>
          <w:rFonts w:ascii="Times New Roman" w:hAnsi="Times New Roman"/>
          <w:noProof/>
          <w:sz w:val="18"/>
          <w:szCs w:val="18"/>
          <w:lang w:bidi="ar-SA"/>
        </w:rPr>
        <w:t xml:space="preserve">; Published:  </w:t>
      </w:r>
      <w:r w:rsidR="00EA1CD8">
        <w:rPr>
          <w:rFonts w:ascii="Times New Roman" w:hAnsi="Times New Roman"/>
          <w:noProof/>
          <w:sz w:val="18"/>
          <w:szCs w:val="18"/>
          <w:lang w:bidi="ar-SA"/>
        </w:rPr>
        <w:t>xx February 2021</w:t>
      </w:r>
    </w:p>
    <w:p w14:paraId="4D585AB3" w14:textId="58503E94" w:rsidR="00BA1F7B" w:rsidRDefault="00BA1F7B" w:rsidP="002B412F">
      <w:pPr>
        <w:spacing w:after="0"/>
        <w:jc w:val="center"/>
        <w:rPr>
          <w:rFonts w:ascii="Times New Roman" w:hAnsi="Times New Roman"/>
          <w:noProof/>
          <w:sz w:val="18"/>
          <w:szCs w:val="18"/>
          <w:lang w:bidi="ar-SA"/>
        </w:rPr>
      </w:pPr>
    </w:p>
    <w:p w14:paraId="197D9014" w14:textId="77777777" w:rsidR="00EA1CD8" w:rsidRPr="00F447A7" w:rsidRDefault="00EA1CD8"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BB2AF5A" w14:textId="77777777" w:rsidR="0017772F" w:rsidRDefault="0017772F" w:rsidP="0017772F">
      <w:pPr>
        <w:spacing w:after="0"/>
        <w:jc w:val="both"/>
        <w:outlineLvl w:val="0"/>
        <w:rPr>
          <w:rFonts w:ascii="Times New Roman" w:hAnsi="Times New Roman"/>
          <w:sz w:val="18"/>
          <w:szCs w:val="18"/>
        </w:rPr>
      </w:pPr>
      <w:r w:rsidRPr="003E2B27">
        <w:rPr>
          <w:rFonts w:ascii="Times New Roman" w:hAnsi="Times New Roman"/>
          <w:sz w:val="18"/>
          <w:szCs w:val="18"/>
        </w:rPr>
        <w:t>4-O-β-D-(glucopyranosyloxy)-benzoic acid sodium salt (4-GBA) is promising potassium-sparing diuretic and anti-inflammatory drug. For the survey of 4-GBA as pharmaceutical substance, a durable method of its quantification is needed. In the present study, a titrimetric method for 4-GBA quantification since it is evident, very simple, fast, applicable for routine analysis and there is no need of using reference standards</w:t>
      </w:r>
      <w:r w:rsidRPr="007B3F6A">
        <w:rPr>
          <w:rFonts w:ascii="Times New Roman" w:hAnsi="Times New Roman"/>
          <w:sz w:val="18"/>
          <w:szCs w:val="18"/>
        </w:rPr>
        <w:t xml:space="preserve"> </w:t>
      </w:r>
      <w:r>
        <w:rPr>
          <w:rFonts w:ascii="Times New Roman" w:hAnsi="Times New Roman"/>
          <w:sz w:val="18"/>
          <w:szCs w:val="18"/>
        </w:rPr>
        <w:t>was developed</w:t>
      </w:r>
      <w:r w:rsidRPr="003E2B27">
        <w:rPr>
          <w:rFonts w:ascii="Times New Roman" w:hAnsi="Times New Roman"/>
          <w:sz w:val="18"/>
          <w:szCs w:val="18"/>
        </w:rPr>
        <w:t>. Aqueous titration gave unsatisfactory result</w:t>
      </w:r>
      <w:r>
        <w:rPr>
          <w:rFonts w:ascii="Times New Roman" w:hAnsi="Times New Roman"/>
          <w:sz w:val="18"/>
          <w:szCs w:val="18"/>
        </w:rPr>
        <w:t xml:space="preserve">. </w:t>
      </w:r>
      <w:r w:rsidRPr="003E2B27">
        <w:rPr>
          <w:rFonts w:ascii="Times New Roman" w:hAnsi="Times New Roman"/>
          <w:sz w:val="18"/>
          <w:szCs w:val="18"/>
        </w:rPr>
        <w:t>Thus, based on the weak basic properties of the 4-GBA, non-aqueous titration was chosen. Glacial acetic acid was used as a solvent, and an anhydrous solution of perchloric acid in glacial acetic acid was used as a titrant. End-point detection was carried out potentiometrically (</w:t>
      </w:r>
      <w:r>
        <w:rPr>
          <w:rFonts w:ascii="Times New Roman" w:hAnsi="Times New Roman"/>
          <w:sz w:val="18"/>
          <w:szCs w:val="18"/>
        </w:rPr>
        <w:t>m</w:t>
      </w:r>
      <w:r w:rsidRPr="003E2B27">
        <w:rPr>
          <w:rFonts w:ascii="Times New Roman" w:hAnsi="Times New Roman"/>
          <w:sz w:val="18"/>
          <w:szCs w:val="18"/>
        </w:rPr>
        <w:t>ethod A) and visually with violet crystalline as an indicator (method B). Using aqueous titration, we determined pK</w:t>
      </w:r>
      <w:r w:rsidRPr="007B3F6A">
        <w:rPr>
          <w:rFonts w:ascii="Times New Roman" w:hAnsi="Times New Roman"/>
          <w:sz w:val="18"/>
          <w:szCs w:val="18"/>
          <w:vertAlign w:val="subscript"/>
        </w:rPr>
        <w:t>a</w:t>
      </w:r>
      <w:r w:rsidRPr="003E2B27">
        <w:rPr>
          <w:rFonts w:ascii="Times New Roman" w:hAnsi="Times New Roman"/>
          <w:sz w:val="18"/>
          <w:szCs w:val="18"/>
        </w:rPr>
        <w:t xml:space="preserve"> of 4-GBA as 4.27. The developed non-aqueous titration method is of excellent linearity (r</w:t>
      </w:r>
      <w:r w:rsidRPr="007B3F6A">
        <w:rPr>
          <w:rFonts w:ascii="Times New Roman" w:hAnsi="Times New Roman"/>
          <w:sz w:val="18"/>
          <w:szCs w:val="18"/>
          <w:vertAlign w:val="superscript"/>
        </w:rPr>
        <w:t>2</w:t>
      </w:r>
      <w:r w:rsidRPr="003E2B27">
        <w:rPr>
          <w:rFonts w:ascii="Times New Roman" w:hAnsi="Times New Roman"/>
          <w:sz w:val="18"/>
          <w:szCs w:val="18"/>
        </w:rPr>
        <w:t xml:space="preserve"> = 0.9995 and r</w:t>
      </w:r>
      <w:r w:rsidRPr="007B3F6A">
        <w:rPr>
          <w:rFonts w:ascii="Times New Roman" w:hAnsi="Times New Roman"/>
          <w:sz w:val="18"/>
          <w:szCs w:val="18"/>
          <w:vertAlign w:val="superscript"/>
        </w:rPr>
        <w:t>2</w:t>
      </w:r>
      <w:r w:rsidRPr="003E2B27">
        <w:rPr>
          <w:rFonts w:ascii="Times New Roman" w:hAnsi="Times New Roman"/>
          <w:sz w:val="18"/>
          <w:szCs w:val="18"/>
        </w:rPr>
        <w:t xml:space="preserve"> = 0.9947 for</w:t>
      </w:r>
      <w:r w:rsidRPr="003E2B27">
        <w:rPr>
          <w:rFonts w:ascii="Times New Roman" w:hAnsi="Times New Roman" w:hint="eastAsia"/>
          <w:sz w:val="18"/>
          <w:szCs w:val="18"/>
        </w:rPr>
        <w:t xml:space="preserve"> method A and method B, respectively), accuracy (recovery from 98.8 to 101.1 % and from 98.1 to 103.2 % for method A and method B, </w:t>
      </w:r>
      <w:r w:rsidRPr="004176E6">
        <w:rPr>
          <w:rFonts w:ascii="Times New Roman" w:hAnsi="Times New Roman"/>
          <w:sz w:val="18"/>
          <w:szCs w:val="18"/>
        </w:rPr>
        <w:t>respectively</w:t>
      </w:r>
      <w:r w:rsidRPr="003E2B27">
        <w:rPr>
          <w:rFonts w:ascii="Times New Roman" w:hAnsi="Times New Roman" w:hint="eastAsia"/>
          <w:sz w:val="18"/>
          <w:szCs w:val="18"/>
        </w:rPr>
        <w:t>) and precision (RSD ≤ 2% for intra</w:t>
      </w:r>
      <w:r>
        <w:rPr>
          <w:rFonts w:ascii="Times New Roman" w:hAnsi="Times New Roman"/>
          <w:sz w:val="18"/>
          <w:szCs w:val="18"/>
        </w:rPr>
        <w:t>-</w:t>
      </w:r>
      <w:r w:rsidRPr="003E2B27">
        <w:rPr>
          <w:rFonts w:ascii="Times New Roman" w:hAnsi="Times New Roman" w:hint="eastAsia"/>
          <w:sz w:val="18"/>
          <w:szCs w:val="18"/>
        </w:rPr>
        <w:t xml:space="preserve"> and inter</w:t>
      </w:r>
      <w:r>
        <w:rPr>
          <w:rFonts w:ascii="Times New Roman" w:hAnsi="Times New Roman"/>
          <w:sz w:val="18"/>
          <w:szCs w:val="18"/>
        </w:rPr>
        <w:t>-</w:t>
      </w:r>
      <w:r w:rsidRPr="003E2B27">
        <w:rPr>
          <w:rFonts w:ascii="Times New Roman" w:hAnsi="Times New Roman" w:hint="eastAsia"/>
          <w:sz w:val="18"/>
          <w:szCs w:val="18"/>
        </w:rPr>
        <w:t>day analysis). The developed method is fast, simple, cheap and is app</w:t>
      </w:r>
      <w:r w:rsidRPr="003E2B27">
        <w:rPr>
          <w:rFonts w:ascii="Times New Roman" w:hAnsi="Times New Roman"/>
          <w:sz w:val="18"/>
          <w:szCs w:val="18"/>
        </w:rPr>
        <w:t>licable for the quantitative determination of 4-GBA both in pure form, bulk and pharmaceutical formulations.</w:t>
      </w:r>
      <w:r w:rsidRPr="009C4E07">
        <w:rPr>
          <w:rFonts w:ascii="Times New Roman" w:hAnsi="Times New Roman"/>
          <w:sz w:val="18"/>
          <w:szCs w:val="18"/>
        </w:rPr>
        <w:t xml:space="preserve"> </w:t>
      </w:r>
    </w:p>
    <w:p w14:paraId="10FDFFDE" w14:textId="77777777" w:rsidR="0017772F" w:rsidRPr="009C4E07" w:rsidRDefault="0017772F" w:rsidP="0017772F">
      <w:pPr>
        <w:spacing w:after="0"/>
        <w:jc w:val="both"/>
        <w:outlineLvl w:val="0"/>
        <w:rPr>
          <w:rFonts w:ascii="Times New Roman" w:hAnsi="Times New Roman"/>
          <w:sz w:val="18"/>
          <w:szCs w:val="18"/>
        </w:rPr>
      </w:pPr>
    </w:p>
    <w:p w14:paraId="7B4D97F9" w14:textId="77777777" w:rsidR="0017772F" w:rsidRPr="00001D81" w:rsidRDefault="0017772F" w:rsidP="0017772F">
      <w:pPr>
        <w:spacing w:after="0"/>
        <w:jc w:val="both"/>
        <w:outlineLvl w:val="0"/>
        <w:rPr>
          <w:rFonts w:ascii="Times New Roman" w:hAnsi="Times New Roman"/>
          <w:color w:val="548DD4" w:themeColor="text2" w:themeTint="99"/>
        </w:rPr>
      </w:pPr>
      <w:r w:rsidRPr="009C4E07">
        <w:rPr>
          <w:rFonts w:ascii="Times New Roman" w:hAnsi="Times New Roman"/>
          <w:b/>
          <w:sz w:val="18"/>
          <w:szCs w:val="18"/>
        </w:rPr>
        <w:t>Keywords</w:t>
      </w:r>
      <w:r w:rsidRPr="004A1E30">
        <w:rPr>
          <w:rFonts w:ascii="Times New Roman" w:hAnsi="Times New Roman"/>
          <w:b/>
          <w:bCs/>
          <w:sz w:val="18"/>
          <w:szCs w:val="18"/>
        </w:rPr>
        <w:t>:</w:t>
      </w:r>
      <w:r w:rsidRPr="004A1E30">
        <w:rPr>
          <w:rFonts w:ascii="Times New Roman" w:hAnsi="Times New Roman"/>
          <w:b/>
          <w:bCs/>
        </w:rPr>
        <w:t xml:space="preserve"> </w:t>
      </w:r>
      <w:r>
        <w:rPr>
          <w:rFonts w:ascii="Times New Roman" w:hAnsi="Times New Roman"/>
        </w:rPr>
        <w:t xml:space="preserve"> </w:t>
      </w:r>
      <w:r>
        <w:rPr>
          <w:rFonts w:ascii="Times New Roman" w:hAnsi="Times New Roman"/>
          <w:sz w:val="18"/>
          <w:szCs w:val="18"/>
        </w:rPr>
        <w:t>g</w:t>
      </w:r>
      <w:r w:rsidRPr="003E2B27">
        <w:rPr>
          <w:rFonts w:ascii="Times New Roman" w:hAnsi="Times New Roman"/>
          <w:sz w:val="18"/>
          <w:szCs w:val="18"/>
        </w:rPr>
        <w:t>lucosides, potassium-sparing diuretics, validation methods, non-aqueous titration, quantitative determination.</w:t>
      </w:r>
    </w:p>
    <w:p w14:paraId="6ACC31BA" w14:textId="77777777" w:rsidR="0017772F" w:rsidRDefault="0017772F" w:rsidP="0017772F">
      <w:pPr>
        <w:spacing w:after="0"/>
        <w:jc w:val="center"/>
        <w:outlineLvl w:val="0"/>
        <w:rPr>
          <w:rFonts w:ascii="Times New Roman" w:hAnsi="Times New Roman"/>
          <w:b/>
          <w:color w:val="548DD4" w:themeColor="text2" w:themeTint="99"/>
          <w:sz w:val="18"/>
          <w:szCs w:val="18"/>
        </w:rPr>
      </w:pPr>
    </w:p>
    <w:p w14:paraId="369C9998" w14:textId="77777777" w:rsidR="0017772F" w:rsidRPr="009C4E07" w:rsidRDefault="0017772F" w:rsidP="0017772F">
      <w:pPr>
        <w:spacing w:after="0"/>
        <w:jc w:val="center"/>
        <w:outlineLvl w:val="0"/>
        <w:rPr>
          <w:rFonts w:ascii="Times New Roman" w:hAnsi="Times New Roman"/>
          <w:b/>
          <w:sz w:val="18"/>
          <w:szCs w:val="18"/>
        </w:rPr>
      </w:pPr>
      <w:r w:rsidRPr="009C4E07">
        <w:rPr>
          <w:rFonts w:ascii="Times New Roman" w:hAnsi="Times New Roman"/>
          <w:b/>
          <w:sz w:val="18"/>
          <w:szCs w:val="18"/>
        </w:rPr>
        <w:t>Abstra</w:t>
      </w:r>
      <w:r>
        <w:rPr>
          <w:rFonts w:ascii="Times New Roman" w:hAnsi="Times New Roman"/>
          <w:b/>
          <w:sz w:val="18"/>
          <w:szCs w:val="18"/>
        </w:rPr>
        <w:t>k</w:t>
      </w:r>
    </w:p>
    <w:p w14:paraId="30BD1AC9" w14:textId="77777777" w:rsidR="0017772F" w:rsidRPr="002A6B06" w:rsidRDefault="0017772F" w:rsidP="0017772F">
      <w:pPr>
        <w:spacing w:after="0"/>
        <w:jc w:val="both"/>
        <w:outlineLvl w:val="0"/>
        <w:rPr>
          <w:rFonts w:ascii="Times New Roman" w:hAnsi="Times New Roman"/>
          <w:noProof/>
          <w:sz w:val="18"/>
          <w:szCs w:val="18"/>
          <w:lang w:val="ms-MY"/>
        </w:rPr>
      </w:pPr>
      <w:r w:rsidRPr="005A7386">
        <w:rPr>
          <w:rFonts w:ascii="Times New Roman" w:hAnsi="Times New Roman"/>
          <w:noProof/>
          <w:sz w:val="18"/>
          <w:szCs w:val="18"/>
          <w:lang w:val="ms-MY"/>
        </w:rPr>
        <w:t>Garam sodium 4-O-β-D-(glukopiranosiloksi)-asid benzoik (4-GBA) merupakan penahanan diuretik kalium dan dadah anti-radang yang berkesan. Dari tinja</w:t>
      </w:r>
      <w:r>
        <w:rPr>
          <w:rFonts w:ascii="Times New Roman" w:hAnsi="Times New Roman"/>
          <w:noProof/>
          <w:sz w:val="18"/>
          <w:szCs w:val="18"/>
          <w:lang w:val="ms-MY"/>
        </w:rPr>
        <w:t>u</w:t>
      </w:r>
      <w:r w:rsidRPr="005A7386">
        <w:rPr>
          <w:rFonts w:ascii="Times New Roman" w:hAnsi="Times New Roman"/>
          <w:noProof/>
          <w:sz w:val="18"/>
          <w:szCs w:val="18"/>
          <w:lang w:val="ms-MY"/>
        </w:rPr>
        <w:t>an 4-GBA sebagai bahan farmaseutikal, satu kaedah tahan lasak bagi kuantifikasi adalah diperlukan.</w:t>
      </w:r>
      <w:r>
        <w:rPr>
          <w:rFonts w:ascii="Times New Roman" w:hAnsi="Times New Roman"/>
          <w:noProof/>
          <w:sz w:val="18"/>
          <w:szCs w:val="18"/>
          <w:lang w:val="ms-MY"/>
        </w:rPr>
        <w:t xml:space="preserve"> Dalam kajian ini, kaedah titrimetrik bagi kuantifikasi 4-GBA telah dibangunkan kerana ia terbukti ringkas, pantas dan aplikasi mudah bagi analisis rutin dan piawai rujukan tidak diperlukan. Pentitratan akues telah memberikan hasil yang tidak memuaskan. Maka berdasarkan sifat bes lemah 4-GBA, pentitratan bukan akues telah dipilih. Asid asetik glasier telah digunakan sebagai pelarut, dan larutan asid perklorik kontang di dalam asid asetik glasier telah digunakan sebagai titran. Pengesanan titik akhir telah </w:t>
      </w:r>
      <w:r>
        <w:rPr>
          <w:rFonts w:ascii="Times New Roman" w:hAnsi="Times New Roman"/>
          <w:noProof/>
          <w:sz w:val="18"/>
          <w:szCs w:val="18"/>
          <w:lang w:val="ms-MY"/>
        </w:rPr>
        <w:lastRenderedPageBreak/>
        <w:t xml:space="preserve">dijalankan secara potentiometrik (kaedah A) dan secara visual dengan kehadiran hablur sebagai penunjuk (kaedah B). Berdasarkan pentitratan akues, nilai pKa 4-GBA ditentukan pada 4.27. Kaedah pentitratan bukan akues yang telah dibangunkan memberi nilai kelinearan baik </w:t>
      </w:r>
      <w:r w:rsidRPr="003E2B27">
        <w:rPr>
          <w:rFonts w:ascii="Times New Roman" w:hAnsi="Times New Roman"/>
          <w:sz w:val="18"/>
          <w:szCs w:val="18"/>
        </w:rPr>
        <w:t>(r</w:t>
      </w:r>
      <w:r w:rsidRPr="007B3F6A">
        <w:rPr>
          <w:rFonts w:ascii="Times New Roman" w:hAnsi="Times New Roman"/>
          <w:sz w:val="18"/>
          <w:szCs w:val="18"/>
          <w:vertAlign w:val="superscript"/>
        </w:rPr>
        <w:t>2</w:t>
      </w:r>
      <w:r w:rsidRPr="003E2B27">
        <w:rPr>
          <w:rFonts w:ascii="Times New Roman" w:hAnsi="Times New Roman"/>
          <w:sz w:val="18"/>
          <w:szCs w:val="18"/>
        </w:rPr>
        <w:t xml:space="preserve"> = 0.9995 </w:t>
      </w:r>
      <w:r>
        <w:rPr>
          <w:rFonts w:ascii="Times New Roman" w:hAnsi="Times New Roman"/>
          <w:sz w:val="18"/>
          <w:szCs w:val="18"/>
        </w:rPr>
        <w:t>dan</w:t>
      </w:r>
      <w:r w:rsidRPr="003E2B27">
        <w:rPr>
          <w:rFonts w:ascii="Times New Roman" w:hAnsi="Times New Roman"/>
          <w:sz w:val="18"/>
          <w:szCs w:val="18"/>
        </w:rPr>
        <w:t xml:space="preserve"> r</w:t>
      </w:r>
      <w:r w:rsidRPr="007B3F6A">
        <w:rPr>
          <w:rFonts w:ascii="Times New Roman" w:hAnsi="Times New Roman"/>
          <w:sz w:val="18"/>
          <w:szCs w:val="18"/>
          <w:vertAlign w:val="superscript"/>
        </w:rPr>
        <w:t>2</w:t>
      </w:r>
      <w:r w:rsidRPr="003E2B27">
        <w:rPr>
          <w:rFonts w:ascii="Times New Roman" w:hAnsi="Times New Roman"/>
          <w:sz w:val="18"/>
          <w:szCs w:val="18"/>
        </w:rPr>
        <w:t xml:space="preserve"> = 0.9947 </w:t>
      </w:r>
      <w:r>
        <w:rPr>
          <w:rFonts w:ascii="Times New Roman" w:hAnsi="Times New Roman"/>
          <w:sz w:val="18"/>
          <w:szCs w:val="18"/>
        </w:rPr>
        <w:t>masing-masing bagi kaedah A dan B</w:t>
      </w:r>
      <w:r w:rsidRPr="003E2B27">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noProof/>
          <w:sz w:val="18"/>
          <w:szCs w:val="18"/>
        </w:rPr>
        <w:t>ketepatan (perolehan semula dari 98.8 hingga 101.1% dan dari 98.1 hingga 103.2% masing-masing bagi kaedah A dan B) dan kejituan (RSD ≤</w:t>
      </w:r>
      <w:r w:rsidRPr="003E2B27">
        <w:rPr>
          <w:rFonts w:ascii="Times New Roman" w:hAnsi="Times New Roman"/>
          <w:noProof/>
          <w:sz w:val="18"/>
          <w:szCs w:val="18"/>
        </w:rPr>
        <w:t xml:space="preserve"> 2% </w:t>
      </w:r>
      <w:r>
        <w:rPr>
          <w:rFonts w:ascii="Times New Roman" w:hAnsi="Times New Roman"/>
          <w:noProof/>
          <w:sz w:val="18"/>
          <w:szCs w:val="18"/>
        </w:rPr>
        <w:t>bagi analisis intra dan inter-hari)</w:t>
      </w:r>
      <w:r>
        <w:rPr>
          <w:rFonts w:ascii="Times New Roman" w:hAnsi="Times New Roman"/>
          <w:noProof/>
          <w:sz w:val="18"/>
          <w:szCs w:val="18"/>
          <w:lang w:val="ms-MY"/>
        </w:rPr>
        <w:t xml:space="preserve">. Kaedah yang dibangunkan adalah pantas, mudah, murah dan kebolehgunaan bagi penentuan 4-GBA di dalam formulasi tulen, pukal dan farmaseutikal. </w:t>
      </w:r>
    </w:p>
    <w:p w14:paraId="61B95E32" w14:textId="77777777" w:rsidR="0017772F" w:rsidRPr="009C4E07" w:rsidRDefault="0017772F" w:rsidP="0017772F">
      <w:pPr>
        <w:spacing w:after="0"/>
        <w:jc w:val="both"/>
        <w:outlineLvl w:val="0"/>
        <w:rPr>
          <w:rFonts w:ascii="Times New Roman" w:hAnsi="Times New Roman"/>
          <w:sz w:val="18"/>
          <w:szCs w:val="18"/>
        </w:rPr>
      </w:pPr>
    </w:p>
    <w:p w14:paraId="1F5F8174" w14:textId="2DF5F816" w:rsidR="0017772F" w:rsidRPr="004A1E30" w:rsidRDefault="0017772F" w:rsidP="0017772F">
      <w:pPr>
        <w:spacing w:after="0"/>
        <w:jc w:val="both"/>
        <w:outlineLvl w:val="0"/>
        <w:rPr>
          <w:rFonts w:ascii="Times New Roman" w:hAnsi="Times New Roman"/>
          <w:noProof/>
          <w:color w:val="548DD4" w:themeColor="text2" w:themeTint="99"/>
          <w:sz w:val="18"/>
          <w:szCs w:val="18"/>
          <w:lang w:val="ms-MY"/>
        </w:rPr>
      </w:pPr>
      <w:r w:rsidRPr="004A1E30">
        <w:rPr>
          <w:rFonts w:ascii="Times New Roman" w:hAnsi="Times New Roman"/>
          <w:b/>
          <w:noProof/>
          <w:sz w:val="18"/>
          <w:szCs w:val="18"/>
          <w:lang w:val="ms-MY"/>
        </w:rPr>
        <w:t>Kata kunci:</w:t>
      </w:r>
      <w:r w:rsidRPr="004A1E30">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4A1E30">
        <w:rPr>
          <w:rFonts w:ascii="Times New Roman" w:hAnsi="Times New Roman"/>
          <w:noProof/>
          <w:sz w:val="18"/>
          <w:szCs w:val="18"/>
          <w:lang w:val="ms-MY"/>
        </w:rPr>
        <w:t>glukosida, penahanan diureti</w:t>
      </w:r>
      <w:r>
        <w:rPr>
          <w:rFonts w:ascii="Times New Roman" w:hAnsi="Times New Roman"/>
          <w:noProof/>
          <w:sz w:val="18"/>
          <w:szCs w:val="18"/>
          <w:lang w:val="ms-MY"/>
        </w:rPr>
        <w:t>k</w:t>
      </w:r>
      <w:r w:rsidRPr="004A1E30">
        <w:rPr>
          <w:rFonts w:ascii="Times New Roman" w:hAnsi="Times New Roman"/>
          <w:noProof/>
          <w:sz w:val="18"/>
          <w:szCs w:val="18"/>
          <w:lang w:val="ms-MY"/>
        </w:rPr>
        <w:t xml:space="preserve"> kalium, kaedah tentusahkan, pentitratan bukan akues, penentuan kuantitatif</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670986B" w14:textId="77777777" w:rsidR="00EC42FD" w:rsidRDefault="00EC42FD" w:rsidP="002B412F">
      <w:pPr>
        <w:spacing w:after="0"/>
        <w:jc w:val="center"/>
        <w:rPr>
          <w:rFonts w:ascii="Times New Roman" w:hAnsi="Times New Roman"/>
          <w:b/>
          <w:noProof/>
          <w:sz w:val="20"/>
          <w:szCs w:val="20"/>
          <w:lang w:bidi="ar-SA"/>
        </w:rPr>
        <w:sectPr w:rsidR="00EC42FD"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3A58A9A3"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122CB61"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Diuretics are extremely important in the management of a wide range of illnesses [1-3] and considered as first-line drugs [4-5]. Among them potassium-sparing diuretics play special role in therapy since they do not increase the secretion of potassium ions into urine and maintain electrolyte balance. However, they have a number of side effects, namely, nephrolithiasis, gynecomastia, hirsutism, hyperchloremic acidosis and etc. [1, 3, 6-7]. In this context, the search for new effective and safe potassium-sparing diuretics is a critical problem of pharmaceutical chemistry.</w:t>
      </w:r>
    </w:p>
    <w:p w14:paraId="3EE12E85" w14:textId="77777777" w:rsidR="0017772F" w:rsidRPr="0017772F" w:rsidRDefault="0017772F" w:rsidP="0017772F">
      <w:pPr>
        <w:spacing w:after="0"/>
        <w:jc w:val="both"/>
        <w:outlineLvl w:val="0"/>
        <w:rPr>
          <w:rFonts w:ascii="Times New Roman" w:hAnsi="Times New Roman"/>
          <w:sz w:val="20"/>
          <w:szCs w:val="20"/>
        </w:rPr>
      </w:pPr>
    </w:p>
    <w:p w14:paraId="5FC26C79"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 xml:space="preserve">4-O-β-D-(glucopyranosyloxy)-benzoic acid – is well-known lignin related secondary metabolite of many plants [8-12] and likely responsible for the specific biological activities of plant extracts [13]. 4-O-β-D-(glucopyranosyloxy)-benzoic acid demonstrated antioxidant [14], anti-neuroinflammatory [15] and tyrosinase inhibitory activity [13] with low toxicity in </w:t>
      </w:r>
      <w:r w:rsidRPr="0017772F">
        <w:rPr>
          <w:rFonts w:ascii="Times New Roman" w:hAnsi="Times New Roman"/>
          <w:i/>
          <w:sz w:val="20"/>
          <w:szCs w:val="20"/>
        </w:rPr>
        <w:t>in vitro</w:t>
      </w:r>
      <w:r w:rsidRPr="0017772F">
        <w:rPr>
          <w:rFonts w:ascii="Times New Roman" w:hAnsi="Times New Roman"/>
          <w:sz w:val="20"/>
          <w:szCs w:val="20"/>
        </w:rPr>
        <w:t xml:space="preserve"> experiments. Recently, we demonstrated </w:t>
      </w:r>
      <w:r w:rsidRPr="0017772F">
        <w:rPr>
          <w:rFonts w:ascii="Times New Roman" w:hAnsi="Times New Roman"/>
          <w:i/>
          <w:sz w:val="20"/>
          <w:szCs w:val="20"/>
        </w:rPr>
        <w:t>in vivo</w:t>
      </w:r>
      <w:r w:rsidRPr="0017772F">
        <w:rPr>
          <w:rFonts w:ascii="Times New Roman" w:hAnsi="Times New Roman"/>
          <w:sz w:val="20"/>
          <w:szCs w:val="20"/>
        </w:rPr>
        <w:t xml:space="preserve"> diuretic activity of 4-O-β-D-(glucopyranosyloxy)-benzoic acid sodium salt (4-GBA). We found that 4-GBA increases daily diuresis 1.5 and 2.5 times with chronic oral administration (7 days) at a dose of 18 μmol/kg and 54 μmol/kg, respectively. Also, 4-GBA did not increase daily clearance of sodium and potassium ions [16, 17]. We also demonstrated that 4-GBA </w:t>
      </w:r>
      <w:r w:rsidRPr="0017772F">
        <w:rPr>
          <w:rFonts w:ascii="Times New Roman" w:hAnsi="Times New Roman"/>
          <w:i/>
          <w:sz w:val="20"/>
          <w:szCs w:val="20"/>
        </w:rPr>
        <w:t>in vivo</w:t>
      </w:r>
      <w:r w:rsidRPr="0017772F">
        <w:rPr>
          <w:rFonts w:ascii="Times New Roman" w:hAnsi="Times New Roman"/>
          <w:sz w:val="20"/>
          <w:szCs w:val="20"/>
        </w:rPr>
        <w:t xml:space="preserve"> has an average of two times greater anti-inflammatory activity than aspirin and did not lead to ulcerative activity in chronic oral administration for 7 days [18, 19], compared  to aspirin.</w:t>
      </w:r>
    </w:p>
    <w:p w14:paraId="40C834B9" w14:textId="77777777" w:rsidR="0017772F" w:rsidRPr="0017772F" w:rsidRDefault="0017772F" w:rsidP="0017772F">
      <w:pPr>
        <w:spacing w:after="0"/>
        <w:jc w:val="both"/>
        <w:outlineLvl w:val="0"/>
        <w:rPr>
          <w:rFonts w:ascii="Times New Roman" w:hAnsi="Times New Roman"/>
          <w:sz w:val="20"/>
          <w:szCs w:val="20"/>
        </w:rPr>
      </w:pPr>
    </w:p>
    <w:p w14:paraId="5B9B8415" w14:textId="19A792D4"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The combination of biological effects allows effective treatment of chronic inflammatory and infecti</w:t>
      </w:r>
      <w:r w:rsidR="0064102E">
        <w:rPr>
          <w:rFonts w:ascii="Times New Roman" w:hAnsi="Times New Roman"/>
          <w:sz w:val="20"/>
          <w:szCs w:val="20"/>
        </w:rPr>
        <w:t>ous</w:t>
      </w:r>
      <w:r w:rsidRPr="0017772F">
        <w:rPr>
          <w:rFonts w:ascii="Times New Roman" w:hAnsi="Times New Roman"/>
          <w:sz w:val="20"/>
          <w:szCs w:val="20"/>
        </w:rPr>
        <w:t xml:space="preserve"> urinary tract diseases. Long-term oral intake of 4-GBA </w:t>
      </w:r>
      <w:r w:rsidRPr="0017772F">
        <w:rPr>
          <w:rFonts w:ascii="Times New Roman" w:hAnsi="Times New Roman"/>
          <w:sz w:val="20"/>
          <w:szCs w:val="20"/>
        </w:rPr>
        <w:t>will not lead to electrolyte disturbance, unlike conventional diuretics, and will not damage the digestive tract, unlike commonly used oral anti-inflammatory drugs [20, 21].  Thus, 4-GBA is a promising drug candidate for potassium-sparing diuretic and anti-inflammatory agent. For further survey, we need to develop a reliable method for quantitation of 4-GBA in raw materials, bulk and pharmaceutical formulations.</w:t>
      </w:r>
    </w:p>
    <w:p w14:paraId="78270287" w14:textId="77777777" w:rsidR="0017772F" w:rsidRPr="0017772F" w:rsidRDefault="0017772F" w:rsidP="0017772F">
      <w:pPr>
        <w:spacing w:after="0"/>
        <w:jc w:val="both"/>
        <w:outlineLvl w:val="0"/>
        <w:rPr>
          <w:rFonts w:ascii="Times New Roman" w:hAnsi="Times New Roman"/>
          <w:sz w:val="20"/>
          <w:szCs w:val="20"/>
        </w:rPr>
      </w:pPr>
    </w:p>
    <w:p w14:paraId="0B98DA46"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In the present paper, we developed the titrimetric methods for 4-GBA quantification. Titrimetric methods are evident, very simple, fast, applicable for routine analysis and there is no need of using reference standards [22]. The known methods for quantification of pharmaceutical substances have significant drawbacks such as high cost and multiple steps; they are time-consuming or require costly solvents [22, 23]. The proposed titrimetric method is simple with the short analytical time and good reproducibility, accuracy, durability and cost-effectiveness.</w:t>
      </w:r>
    </w:p>
    <w:p w14:paraId="01FA7232" w14:textId="77777777" w:rsidR="0017772F" w:rsidRPr="0017772F" w:rsidRDefault="0017772F" w:rsidP="0017772F">
      <w:pPr>
        <w:spacing w:after="0"/>
        <w:jc w:val="center"/>
        <w:outlineLvl w:val="0"/>
        <w:rPr>
          <w:rFonts w:ascii="Times New Roman" w:hAnsi="Times New Roman"/>
          <w:sz w:val="20"/>
          <w:szCs w:val="20"/>
        </w:rPr>
      </w:pPr>
    </w:p>
    <w:p w14:paraId="7FFB9591" w14:textId="77777777" w:rsidR="0017772F" w:rsidRPr="0017772F" w:rsidRDefault="0017772F" w:rsidP="0017772F">
      <w:pPr>
        <w:spacing w:after="0"/>
        <w:jc w:val="center"/>
        <w:outlineLvl w:val="0"/>
        <w:rPr>
          <w:rFonts w:ascii="Times New Roman" w:hAnsi="Times New Roman"/>
          <w:b/>
          <w:sz w:val="20"/>
          <w:szCs w:val="20"/>
        </w:rPr>
      </w:pPr>
      <w:r w:rsidRPr="0017772F">
        <w:rPr>
          <w:rFonts w:ascii="Times New Roman" w:hAnsi="Times New Roman"/>
          <w:b/>
          <w:sz w:val="20"/>
          <w:szCs w:val="20"/>
        </w:rPr>
        <w:t>Materials and Methods</w:t>
      </w:r>
    </w:p>
    <w:p w14:paraId="71A5DEBA" w14:textId="77777777" w:rsidR="0017772F" w:rsidRPr="0017772F" w:rsidRDefault="0017772F" w:rsidP="0017772F">
      <w:pPr>
        <w:spacing w:after="0"/>
        <w:jc w:val="both"/>
        <w:outlineLvl w:val="0"/>
        <w:rPr>
          <w:rFonts w:ascii="Times New Roman" w:hAnsi="Times New Roman"/>
          <w:b/>
          <w:color w:val="548DD4" w:themeColor="text2" w:themeTint="99"/>
          <w:sz w:val="20"/>
          <w:szCs w:val="20"/>
        </w:rPr>
      </w:pPr>
      <w:r w:rsidRPr="0017772F">
        <w:rPr>
          <w:rFonts w:ascii="Times New Roman" w:hAnsi="Times New Roman"/>
          <w:b/>
          <w:sz w:val="20"/>
          <w:szCs w:val="20"/>
        </w:rPr>
        <w:t xml:space="preserve">Materials </w:t>
      </w:r>
    </w:p>
    <w:p w14:paraId="035E6A81" w14:textId="77777777"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The 4-GBA was obtained from methyl ether of 4-O-β-D-(glucopyranosyloxy)-benzoic acid (ME-4-GBA) by alkaline hydrolysis (Figure 1), according to the method described [24, 25]. Before analysis, 4-GBA was dried at 80°C and 70 mbar for 8 hours. Glacial acetic acid, perchloric acid and crystal violet were obtained from Panreact (Russia). All reagents were of analytical grade. All measurements were carried out at a temperature of 25 °C. All aqueous titrations and the preparation of aqueous solutions were carried out using deionized CO</w:t>
      </w:r>
      <w:r w:rsidRPr="0017772F">
        <w:rPr>
          <w:rFonts w:ascii="Times New Roman" w:hAnsi="Times New Roman"/>
          <w:sz w:val="20"/>
          <w:szCs w:val="20"/>
          <w:vertAlign w:val="subscript"/>
        </w:rPr>
        <w:t>2</w:t>
      </w:r>
      <w:r w:rsidRPr="0017772F">
        <w:rPr>
          <w:rFonts w:ascii="Times New Roman" w:hAnsi="Times New Roman"/>
          <w:sz w:val="20"/>
          <w:szCs w:val="20"/>
        </w:rPr>
        <w:t>-free water.</w:t>
      </w:r>
    </w:p>
    <w:p w14:paraId="37ADFD74" w14:textId="6FBC1525" w:rsidR="00EC42FD" w:rsidRDefault="00EC42FD" w:rsidP="0017772F">
      <w:pPr>
        <w:spacing w:after="0"/>
        <w:jc w:val="both"/>
        <w:outlineLvl w:val="0"/>
        <w:rPr>
          <w:rFonts w:ascii="Times New Roman" w:hAnsi="Times New Roman"/>
          <w:sz w:val="20"/>
          <w:szCs w:val="20"/>
        </w:rPr>
      </w:pPr>
    </w:p>
    <w:p w14:paraId="1D841C16" w14:textId="77777777" w:rsidR="00EC42FD" w:rsidRDefault="00EC42FD" w:rsidP="0017772F">
      <w:pPr>
        <w:spacing w:after="0"/>
        <w:jc w:val="both"/>
        <w:outlineLvl w:val="0"/>
        <w:rPr>
          <w:rFonts w:ascii="Times New Roman" w:hAnsi="Times New Roman"/>
          <w:sz w:val="20"/>
          <w:szCs w:val="20"/>
        </w:rPr>
      </w:pPr>
    </w:p>
    <w:p w14:paraId="5B9A7CEB"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Instrumental</w:t>
      </w:r>
    </w:p>
    <w:p w14:paraId="50B7205B"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Potentiometric titration was performed on an AT-510 autotitrator (Kyoto Electronics Manufacturing Co.) equipped with a C-173 combined glass electrode and microburette (resolution 0.025 mL). Visual titration was performed involving glass burette (class A) and crystal violet as indicator (2 drops).</w:t>
      </w:r>
    </w:p>
    <w:p w14:paraId="1C612CDC" w14:textId="77777777" w:rsidR="00EC42FD" w:rsidRPr="0017772F" w:rsidRDefault="00EC42FD" w:rsidP="00EC42FD">
      <w:pPr>
        <w:spacing w:after="0"/>
        <w:jc w:val="both"/>
        <w:outlineLvl w:val="0"/>
        <w:rPr>
          <w:rFonts w:ascii="Times New Roman" w:hAnsi="Times New Roman"/>
          <w:sz w:val="20"/>
          <w:szCs w:val="20"/>
        </w:rPr>
      </w:pPr>
    </w:p>
    <w:p w14:paraId="5702B9AE"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Hydrochloric acid (0.1 M) </w:t>
      </w:r>
    </w:p>
    <w:p w14:paraId="1E9A262C"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 0.1 hydrochloric acid was prepared by diluting 36% aqueous HCl (8.5 mL) with deionized water to 1 L. The solution was standardized using 0.1 M sodium carbonate (K=1.01) [26].</w:t>
      </w:r>
    </w:p>
    <w:p w14:paraId="1AB73749" w14:textId="77777777" w:rsidR="00EC42FD" w:rsidRPr="0017772F" w:rsidRDefault="00EC42FD" w:rsidP="00EC42FD">
      <w:pPr>
        <w:spacing w:after="0"/>
        <w:jc w:val="both"/>
        <w:outlineLvl w:val="0"/>
        <w:rPr>
          <w:rFonts w:ascii="Times New Roman" w:hAnsi="Times New Roman"/>
          <w:sz w:val="20"/>
          <w:szCs w:val="20"/>
        </w:rPr>
      </w:pPr>
    </w:p>
    <w:p w14:paraId="01D0A212"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Perchloric acid (0.1 M)</w:t>
      </w:r>
    </w:p>
    <w:p w14:paraId="3BE64902"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To glacial acetic acid (900 mL) was added perchloric acid (8.2 mL), well mixed, and acetic anhydride (32 mL) was added and mixed again. The mixture was cooled to room temperature, and glacial acetic acid was added to produce 1000 mL and kept for 24 hours. The solution was standardized using 0.1 M potassium hydrogen phthalate in glacial acetic acid (K=1.09) [26].</w:t>
      </w:r>
    </w:p>
    <w:p w14:paraId="0C8B9B9D" w14:textId="77777777" w:rsidR="00EC42FD" w:rsidRPr="0017772F" w:rsidRDefault="00EC42FD" w:rsidP="00EC42FD">
      <w:pPr>
        <w:spacing w:after="0"/>
        <w:jc w:val="both"/>
        <w:outlineLvl w:val="0"/>
        <w:rPr>
          <w:rFonts w:ascii="Times New Roman" w:hAnsi="Times New Roman"/>
          <w:sz w:val="20"/>
          <w:szCs w:val="20"/>
        </w:rPr>
      </w:pPr>
    </w:p>
    <w:p w14:paraId="62DD7DE5"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Crystal violet indicator solution </w:t>
      </w:r>
    </w:p>
    <w:p w14:paraId="6633AC4E"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 crystal violet indicator solution was prepared by dissolving 5 g of pure dye into 1 L of glacial acetic acid [26].</w:t>
      </w:r>
    </w:p>
    <w:p w14:paraId="67661EAD" w14:textId="77777777" w:rsidR="00EC42FD" w:rsidRPr="0017772F" w:rsidRDefault="00EC42FD" w:rsidP="00EC42FD">
      <w:pPr>
        <w:spacing w:after="0"/>
        <w:jc w:val="both"/>
        <w:outlineLvl w:val="0"/>
        <w:rPr>
          <w:rFonts w:ascii="Times New Roman" w:hAnsi="Times New Roman"/>
          <w:sz w:val="20"/>
          <w:szCs w:val="20"/>
        </w:rPr>
      </w:pPr>
    </w:p>
    <w:p w14:paraId="53B3B3BB" w14:textId="61E53A3B"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Potassium bromide solution (0.5 </w:t>
      </w:r>
      <w:r w:rsidR="0064102E">
        <w:rPr>
          <w:rFonts w:ascii="Times New Roman" w:hAnsi="Times New Roman"/>
          <w:b/>
          <w:sz w:val="20"/>
          <w:szCs w:val="20"/>
        </w:rPr>
        <w:t>M</w:t>
      </w:r>
      <w:r w:rsidRPr="0017772F">
        <w:rPr>
          <w:rFonts w:ascii="Times New Roman" w:hAnsi="Times New Roman"/>
          <w:b/>
          <w:sz w:val="20"/>
          <w:szCs w:val="20"/>
        </w:rPr>
        <w:t xml:space="preserve">) </w:t>
      </w:r>
    </w:p>
    <w:p w14:paraId="3002E174"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Potassium bromide (59.5 g), was dissolved in 1 L of deionized water and mixed until complete dissolution.</w:t>
      </w:r>
    </w:p>
    <w:p w14:paraId="798FF4C8" w14:textId="77777777" w:rsidR="00EC42FD" w:rsidRPr="0017772F" w:rsidRDefault="00EC42FD" w:rsidP="00EC42FD">
      <w:pPr>
        <w:spacing w:after="0"/>
        <w:jc w:val="both"/>
        <w:outlineLvl w:val="0"/>
        <w:rPr>
          <w:rFonts w:ascii="Times New Roman" w:hAnsi="Times New Roman"/>
          <w:sz w:val="20"/>
          <w:szCs w:val="20"/>
        </w:rPr>
      </w:pPr>
    </w:p>
    <w:p w14:paraId="22AE8E1A"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Procedure of aqueous titration </w:t>
      </w:r>
    </w:p>
    <w:p w14:paraId="1D8E2F39" w14:textId="0BA0485C"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Accurately weighed quantities of 4-GBA (1 g) were dissolved in deionized water (30 mL) to produce the concentration of 4-GBA 0.1 mol\L. Titration was carried out with previously standardized 0.1 </w:t>
      </w:r>
      <w:r w:rsidR="0064102E">
        <w:rPr>
          <w:rFonts w:ascii="Times New Roman" w:hAnsi="Times New Roman"/>
          <w:sz w:val="20"/>
          <w:szCs w:val="20"/>
        </w:rPr>
        <w:t>M</w:t>
      </w:r>
      <w:r w:rsidRPr="0017772F">
        <w:rPr>
          <w:rFonts w:ascii="Times New Roman" w:hAnsi="Times New Roman"/>
          <w:sz w:val="20"/>
          <w:szCs w:val="20"/>
        </w:rPr>
        <w:t xml:space="preserve"> hydrochloric acid solution. End-point determination was potentiometric.</w:t>
      </w:r>
    </w:p>
    <w:p w14:paraId="72B664E3" w14:textId="0FB0274B" w:rsidR="00EC42FD" w:rsidRDefault="00EC42FD" w:rsidP="00EC42FD">
      <w:pPr>
        <w:spacing w:after="0"/>
        <w:jc w:val="both"/>
        <w:outlineLvl w:val="0"/>
        <w:rPr>
          <w:rFonts w:ascii="Times New Roman" w:hAnsi="Times New Roman"/>
          <w:b/>
          <w:sz w:val="20"/>
          <w:szCs w:val="20"/>
        </w:rPr>
      </w:pPr>
    </w:p>
    <w:p w14:paraId="73E02037" w14:textId="77777777" w:rsidR="00EC42FD" w:rsidRPr="0017772F" w:rsidRDefault="00EC42FD" w:rsidP="00EC42FD">
      <w:pPr>
        <w:spacing w:after="0"/>
        <w:jc w:val="both"/>
        <w:outlineLvl w:val="0"/>
        <w:rPr>
          <w:rFonts w:ascii="Times New Roman" w:hAnsi="Times New Roman"/>
          <w:b/>
          <w:sz w:val="20"/>
          <w:szCs w:val="20"/>
        </w:rPr>
      </w:pPr>
    </w:p>
    <w:p w14:paraId="5A4947BB"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Procedure of non-aqueous titration with potentiometric determination of end-point (Method A)</w:t>
      </w:r>
    </w:p>
    <w:p w14:paraId="4851C718" w14:textId="11D4CA9B"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Accurately weighed quantities of 4-GBA (160-240 mg, Table 1) were dissolved in glacial acetic acid (30 ml). Titration was carried out with a previously standardized 0.1 </w:t>
      </w:r>
      <w:r w:rsidR="0064102E">
        <w:rPr>
          <w:rFonts w:ascii="Times New Roman" w:hAnsi="Times New Roman"/>
          <w:sz w:val="20"/>
          <w:szCs w:val="20"/>
        </w:rPr>
        <w:t>M</w:t>
      </w:r>
      <w:r w:rsidRPr="0017772F">
        <w:rPr>
          <w:rFonts w:ascii="Times New Roman" w:hAnsi="Times New Roman"/>
          <w:sz w:val="20"/>
          <w:szCs w:val="20"/>
        </w:rPr>
        <w:t xml:space="preserve">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The end-point was determined as the maximum on the derivative titration curve in first order. A blank experiment (in the absence of 4-GBA) was carried out in parallel.</w:t>
      </w:r>
    </w:p>
    <w:p w14:paraId="044FCEB8" w14:textId="77777777" w:rsidR="00EC42FD" w:rsidRPr="0017772F" w:rsidRDefault="00EC42FD" w:rsidP="00EC42FD">
      <w:pPr>
        <w:spacing w:after="0"/>
        <w:jc w:val="both"/>
        <w:outlineLvl w:val="0"/>
        <w:rPr>
          <w:rFonts w:ascii="Times New Roman" w:hAnsi="Times New Roman"/>
          <w:b/>
          <w:sz w:val="20"/>
          <w:szCs w:val="20"/>
        </w:rPr>
      </w:pPr>
    </w:p>
    <w:p w14:paraId="04BA2B02"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Procedure of non-aqueous titration with visual determination of end-point (Method B) </w:t>
      </w:r>
    </w:p>
    <w:p w14:paraId="7510AE1C" w14:textId="1E97414B"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Accurately weighed quantities of 4-GBA (160-240 mg, Table 1) were dissolved in glacial acetic acid (30 ml). Titration was carried out with a previously standardized 0.1 </w:t>
      </w:r>
      <w:r w:rsidR="0064102E">
        <w:rPr>
          <w:rFonts w:ascii="Times New Roman" w:hAnsi="Times New Roman"/>
          <w:sz w:val="20"/>
          <w:szCs w:val="20"/>
        </w:rPr>
        <w:t>M</w:t>
      </w:r>
      <w:r w:rsidRPr="0017772F">
        <w:rPr>
          <w:rFonts w:ascii="Times New Roman" w:hAnsi="Times New Roman"/>
          <w:sz w:val="20"/>
          <w:szCs w:val="20"/>
        </w:rPr>
        <w:t xml:space="preserve">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using 2 drops of crystal violet indicator solution until blue end-point.</w:t>
      </w:r>
    </w:p>
    <w:p w14:paraId="1BF465D4" w14:textId="77777777" w:rsidR="00EC42FD" w:rsidRPr="0017772F" w:rsidRDefault="00EC42FD" w:rsidP="00EC42FD">
      <w:pPr>
        <w:spacing w:after="0"/>
        <w:jc w:val="both"/>
        <w:outlineLvl w:val="0"/>
        <w:rPr>
          <w:rFonts w:ascii="Times New Roman" w:hAnsi="Times New Roman"/>
          <w:b/>
          <w:sz w:val="20"/>
          <w:szCs w:val="20"/>
        </w:rPr>
      </w:pPr>
    </w:p>
    <w:p w14:paraId="09F34106"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Calculation of 4-GBA content</w:t>
      </w:r>
    </w:p>
    <w:p w14:paraId="54122FD6"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The content of the active substance (P) was calculated according to the Equation 1.</w:t>
      </w:r>
    </w:p>
    <w:p w14:paraId="58C20878" w14:textId="77777777" w:rsidR="00EC42FD" w:rsidRPr="0017772F" w:rsidRDefault="00EC42FD" w:rsidP="00EC42FD">
      <w:pPr>
        <w:spacing w:after="0"/>
        <w:jc w:val="both"/>
        <w:outlineLvl w:val="0"/>
        <w:rPr>
          <w:rFonts w:ascii="Times New Roman" w:hAnsi="Times New Roman"/>
          <w:sz w:val="20"/>
          <w:szCs w:val="20"/>
        </w:rPr>
      </w:pPr>
    </w:p>
    <w:p w14:paraId="26CBDABB" w14:textId="54662443" w:rsidR="00EC42FD" w:rsidRPr="0017772F" w:rsidRDefault="00EC42FD" w:rsidP="00EC42FD">
      <w:pPr>
        <w:adjustRightInd w:val="0"/>
        <w:spacing w:after="0"/>
        <w:jc w:val="both"/>
        <w:rPr>
          <w:rFonts w:ascii="Times New Roman" w:hAnsi="Times New Roman"/>
          <w:sz w:val="20"/>
          <w:szCs w:val="20"/>
        </w:rPr>
      </w:pPr>
      <m:oMath>
        <m:r>
          <w:rPr>
            <w:rFonts w:ascii="Cambria Math" w:hAnsi="Cambria Math"/>
            <w:sz w:val="20"/>
            <w:szCs w:val="20"/>
          </w:rPr>
          <m:t>P</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T</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V</m:t>
                </m:r>
              </m:e>
              <m:sup>
                <m:r>
                  <m:rPr>
                    <m:sty m:val="p"/>
                  </m:rPr>
                  <w:rPr>
                    <w:rFonts w:ascii="Cambria Math" w:hAnsi="Cambria Math"/>
                    <w:sz w:val="20"/>
                    <w:szCs w:val="20"/>
                  </w:rPr>
                  <m:t>0</m:t>
                </m:r>
              </m:sup>
            </m:sSup>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V</m:t>
                </m:r>
              </m:e>
              <m:sup>
                <m:r>
                  <w:rPr>
                    <w:rFonts w:ascii="Cambria Math" w:hAnsi="Cambria Math"/>
                    <w:sz w:val="20"/>
                    <w:szCs w:val="20"/>
                  </w:rPr>
                  <m:t>c</m:t>
                </m:r>
              </m:sup>
            </m:sSup>
            <m:r>
              <m:rPr>
                <m:sty m:val="p"/>
              </m:rPr>
              <w:rPr>
                <w:rFonts w:ascii="Cambria Math" w:hAnsi="Cambria Math"/>
                <w:sz w:val="20"/>
                <w:szCs w:val="20"/>
              </w:rPr>
              <m:t>)×100×100</m:t>
            </m:r>
          </m:num>
          <m:den>
            <m:r>
              <w:rPr>
                <w:rFonts w:ascii="Cambria Math" w:hAnsi="Cambria Math"/>
                <w:sz w:val="20"/>
                <w:szCs w:val="20"/>
              </w:rPr>
              <m:t>m</m:t>
            </m:r>
            <m:r>
              <m:rPr>
                <m:sty m:val="p"/>
              </m:rPr>
              <w:rPr>
                <w:rFonts w:ascii="Cambria Math" w:hAnsi="Cambria Math"/>
                <w:sz w:val="20"/>
                <w:szCs w:val="20"/>
              </w:rPr>
              <m:t>×(100-</m:t>
            </m:r>
            <m:r>
              <w:rPr>
                <w:rFonts w:ascii="Cambria Math" w:hAnsi="Cambria Math"/>
                <w:sz w:val="20"/>
                <w:szCs w:val="20"/>
              </w:rPr>
              <m:t>W</m:t>
            </m:r>
            <m:r>
              <m:rPr>
                <m:sty m:val="p"/>
              </m:rPr>
              <w:rPr>
                <w:rFonts w:ascii="Cambria Math" w:hAnsi="Cambria Math"/>
                <w:sz w:val="20"/>
                <w:szCs w:val="20"/>
              </w:rPr>
              <m:t>)</m:t>
            </m:r>
          </m:den>
        </m:f>
        <m:r>
          <m:rPr>
            <m:sty m:val="p"/>
          </m:rPr>
          <w:rPr>
            <w:rFonts w:ascii="Cambria Math" w:hAnsi="Cambria Math"/>
            <w:sz w:val="20"/>
            <w:szCs w:val="20"/>
          </w:rPr>
          <m:t xml:space="preserve">  </m:t>
        </m:r>
      </m:oMath>
      <w:r w:rsidRPr="0017772F">
        <w:rPr>
          <w:rFonts w:ascii="Times New Roman" w:hAnsi="Times New Roman"/>
          <w:sz w:val="20"/>
          <w:szCs w:val="20"/>
        </w:rPr>
        <w:tab/>
      </w:r>
      <w:r>
        <w:rPr>
          <w:rFonts w:ascii="Times New Roman" w:hAnsi="Times New Roman"/>
          <w:sz w:val="20"/>
          <w:szCs w:val="20"/>
        </w:rPr>
        <w:t xml:space="preserve">                                         </w:t>
      </w:r>
      <w:r w:rsidRPr="0017772F">
        <w:rPr>
          <w:rFonts w:ascii="Times New Roman" w:hAnsi="Times New Roman"/>
          <w:sz w:val="20"/>
          <w:szCs w:val="20"/>
        </w:rPr>
        <w:t>(1)</w:t>
      </w:r>
    </w:p>
    <w:p w14:paraId="60A95743" w14:textId="77777777" w:rsidR="00EC42FD" w:rsidRDefault="00EC42FD" w:rsidP="00EC42FD">
      <w:pPr>
        <w:spacing w:after="0"/>
        <w:jc w:val="both"/>
        <w:outlineLvl w:val="0"/>
        <w:rPr>
          <w:rFonts w:ascii="Times New Roman" w:hAnsi="Times New Roman"/>
          <w:sz w:val="20"/>
          <w:szCs w:val="20"/>
        </w:rPr>
      </w:pPr>
    </w:p>
    <w:p w14:paraId="2503F747" w14:textId="39506D71"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T is titer of 0.1 </w:t>
      </w:r>
      <w:r w:rsidR="0064102E">
        <w:rPr>
          <w:rFonts w:ascii="Times New Roman" w:hAnsi="Times New Roman"/>
          <w:sz w:val="20"/>
          <w:szCs w:val="20"/>
        </w:rPr>
        <w:t>M</w:t>
      </w:r>
      <w:r w:rsidRPr="0017772F">
        <w:rPr>
          <w:rFonts w:ascii="Times New Roman" w:hAnsi="Times New Roman"/>
          <w:sz w:val="20"/>
          <w:szCs w:val="20"/>
        </w:rPr>
        <w:t xml:space="preserve">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(mg/mL), K is correction factor 0.1 </w:t>
      </w:r>
      <w:r w:rsidR="0064102E">
        <w:rPr>
          <w:rFonts w:ascii="Times New Roman" w:hAnsi="Times New Roman"/>
          <w:sz w:val="20"/>
          <w:szCs w:val="20"/>
        </w:rPr>
        <w:t>M</w:t>
      </w:r>
      <w:r w:rsidRPr="0017772F">
        <w:rPr>
          <w:rFonts w:ascii="Times New Roman" w:hAnsi="Times New Roman"/>
          <w:sz w:val="20"/>
          <w:szCs w:val="20"/>
        </w:rPr>
        <w:t xml:space="preserve">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calculated according to [26], V</w:t>
      </w:r>
      <w:r w:rsidRPr="0064102E">
        <w:rPr>
          <w:rFonts w:ascii="Times New Roman" w:hAnsi="Times New Roman"/>
          <w:sz w:val="20"/>
          <w:szCs w:val="20"/>
          <w:vertAlign w:val="superscript"/>
        </w:rPr>
        <w:t>0</w:t>
      </w:r>
      <w:r w:rsidRPr="0017772F">
        <w:rPr>
          <w:rFonts w:ascii="Times New Roman" w:hAnsi="Times New Roman"/>
          <w:sz w:val="20"/>
          <w:szCs w:val="20"/>
        </w:rPr>
        <w:t xml:space="preserve"> is volume of titrant in experiment (mL), V</w:t>
      </w:r>
      <w:r w:rsidRPr="0064102E">
        <w:rPr>
          <w:rFonts w:ascii="Times New Roman" w:hAnsi="Times New Roman"/>
          <w:sz w:val="20"/>
          <w:szCs w:val="20"/>
          <w:vertAlign w:val="superscript"/>
        </w:rPr>
        <w:t>C</w:t>
      </w:r>
      <w:r w:rsidRPr="0017772F">
        <w:rPr>
          <w:rFonts w:ascii="Times New Roman" w:hAnsi="Times New Roman"/>
          <w:sz w:val="20"/>
          <w:szCs w:val="20"/>
        </w:rPr>
        <w:t xml:space="preserve"> is volume of titrant in blank experiment (mL), m is mass of 4-GBA (mg), W is loss on drying of 4-GBA (%). 1 mL of 0.1 </w:t>
      </w:r>
      <w:r w:rsidR="0064102E">
        <w:rPr>
          <w:rFonts w:ascii="Times New Roman" w:hAnsi="Times New Roman"/>
          <w:sz w:val="20"/>
          <w:szCs w:val="20"/>
        </w:rPr>
        <w:t>M</w:t>
      </w:r>
      <w:r w:rsidRPr="0017772F">
        <w:rPr>
          <w:rFonts w:ascii="Times New Roman" w:hAnsi="Times New Roman"/>
          <w:sz w:val="20"/>
          <w:szCs w:val="20"/>
        </w:rPr>
        <w:t xml:space="preserve"> HClO</w:t>
      </w:r>
      <w:r w:rsidRPr="0017772F">
        <w:rPr>
          <w:rFonts w:ascii="Times New Roman" w:hAnsi="Times New Roman"/>
          <w:sz w:val="20"/>
          <w:szCs w:val="20"/>
          <w:vertAlign w:val="subscript"/>
        </w:rPr>
        <w:t>4</w:t>
      </w:r>
      <w:r w:rsidRPr="0017772F">
        <w:rPr>
          <w:rFonts w:ascii="Times New Roman" w:hAnsi="Times New Roman"/>
          <w:sz w:val="20"/>
          <w:szCs w:val="20"/>
        </w:rPr>
        <w:t xml:space="preserve"> in glacial acetic acid is equivalent to 32.22 mg of 4-GBA.</w:t>
      </w:r>
    </w:p>
    <w:p w14:paraId="2432260D" w14:textId="77777777" w:rsidR="00EC42FD" w:rsidRPr="0017772F" w:rsidRDefault="00EC42FD" w:rsidP="00EC42FD">
      <w:pPr>
        <w:spacing w:after="0"/>
        <w:jc w:val="both"/>
        <w:outlineLvl w:val="0"/>
        <w:rPr>
          <w:rFonts w:ascii="Times New Roman" w:hAnsi="Times New Roman"/>
          <w:b/>
          <w:sz w:val="20"/>
          <w:szCs w:val="20"/>
        </w:rPr>
      </w:pPr>
    </w:p>
    <w:p w14:paraId="32EA9099"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The pK</w:t>
      </w:r>
      <w:r w:rsidRPr="0017772F">
        <w:rPr>
          <w:rFonts w:ascii="Times New Roman" w:hAnsi="Times New Roman"/>
          <w:b/>
          <w:sz w:val="20"/>
          <w:szCs w:val="20"/>
          <w:vertAlign w:val="subscript"/>
        </w:rPr>
        <w:t>a</w:t>
      </w:r>
      <w:r w:rsidRPr="0017772F">
        <w:rPr>
          <w:rFonts w:ascii="Times New Roman" w:hAnsi="Times New Roman"/>
          <w:b/>
          <w:sz w:val="20"/>
          <w:szCs w:val="20"/>
        </w:rPr>
        <w:t xml:space="preserve"> calculation</w:t>
      </w:r>
    </w:p>
    <w:p w14:paraId="6BBA092F" w14:textId="11A31848"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The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was determined as pH value at the half of inflection point (on the titrant volume) of 4-GBA titration curve (Figure 2A) [27]. Inflection point was determined by first and second-derivative method from titration curve (Figure 2B) [28, 29]. The measurements were carried out under the same conditions as the aqueous titration in a 0.5 </w:t>
      </w:r>
      <w:r w:rsidR="0064102E">
        <w:rPr>
          <w:rFonts w:ascii="Times New Roman" w:hAnsi="Times New Roman"/>
          <w:sz w:val="20"/>
          <w:szCs w:val="20"/>
        </w:rPr>
        <w:t>M</w:t>
      </w:r>
      <w:r w:rsidRPr="0017772F">
        <w:rPr>
          <w:rFonts w:ascii="Times New Roman" w:hAnsi="Times New Roman"/>
          <w:sz w:val="20"/>
          <w:szCs w:val="20"/>
        </w:rPr>
        <w:t xml:space="preserve"> potassium bromide solution.</w:t>
      </w:r>
    </w:p>
    <w:p w14:paraId="4BB39A83" w14:textId="443B72C0" w:rsidR="00EC42FD" w:rsidRDefault="00EC42FD" w:rsidP="0017772F">
      <w:pPr>
        <w:spacing w:after="0"/>
        <w:jc w:val="both"/>
        <w:outlineLvl w:val="0"/>
        <w:rPr>
          <w:rFonts w:ascii="Times New Roman" w:hAnsi="Times New Roman"/>
          <w:sz w:val="20"/>
          <w:szCs w:val="20"/>
        </w:rPr>
        <w:sectPr w:rsidR="00EC42FD" w:rsidSect="00EC42FD">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58287DC0" w14:textId="589448A4" w:rsidR="0017772F" w:rsidRPr="0017772F" w:rsidRDefault="0017772F" w:rsidP="0017772F">
      <w:pPr>
        <w:spacing w:after="0"/>
        <w:jc w:val="both"/>
        <w:outlineLvl w:val="0"/>
        <w:rPr>
          <w:rFonts w:ascii="Times New Roman" w:hAnsi="Times New Roman"/>
          <w:sz w:val="20"/>
          <w:szCs w:val="20"/>
        </w:rPr>
      </w:pPr>
    </w:p>
    <w:p w14:paraId="246D1302" w14:textId="77777777" w:rsidR="0017772F" w:rsidRPr="0017772F" w:rsidRDefault="0017772F" w:rsidP="0017772F">
      <w:pPr>
        <w:spacing w:after="120"/>
        <w:jc w:val="center"/>
        <w:outlineLvl w:val="0"/>
        <w:rPr>
          <w:rFonts w:ascii="Times New Roman" w:hAnsi="Times New Roman"/>
          <w:b/>
          <w:color w:val="548DD4" w:themeColor="text2" w:themeTint="99"/>
          <w:sz w:val="20"/>
          <w:szCs w:val="20"/>
        </w:rPr>
      </w:pPr>
      <w:r w:rsidRPr="0017772F">
        <w:rPr>
          <w:rFonts w:ascii="Times New Roman" w:hAnsi="Times New Roman"/>
          <w:b/>
          <w:noProof/>
          <w:color w:val="548DD4" w:themeColor="text2" w:themeTint="99"/>
          <w:sz w:val="20"/>
          <w:szCs w:val="20"/>
          <w:lang w:val="ru-RU" w:eastAsia="ru-RU"/>
        </w:rPr>
        <w:lastRenderedPageBreak/>
        <w:drawing>
          <wp:inline distT="0" distB="0" distL="0" distR="0" wp14:anchorId="5388162A" wp14:editId="26C731B6">
            <wp:extent cx="3937734" cy="880170"/>
            <wp:effectExtent l="0" t="0" r="5715" b="0"/>
            <wp:docPr id="4"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rotWithShape="1">
                    <a:blip r:embed="rId19"/>
                    <a:srcRect l="11490" r="7741" b="7987"/>
                    <a:stretch/>
                  </pic:blipFill>
                  <pic:spPr bwMode="auto">
                    <a:xfrm>
                      <a:off x="0" y="0"/>
                      <a:ext cx="3976229" cy="888775"/>
                    </a:xfrm>
                    <a:prstGeom prst="rect">
                      <a:avLst/>
                    </a:prstGeom>
                    <a:ln>
                      <a:noFill/>
                    </a:ln>
                    <a:extLst>
                      <a:ext uri="{53640926-AAD7-44D8-BBD7-CCE9431645EC}">
                        <a14:shadowObscured xmlns:a14="http://schemas.microsoft.com/office/drawing/2010/main"/>
                      </a:ext>
                    </a:extLst>
                  </pic:spPr>
                </pic:pic>
              </a:graphicData>
            </a:graphic>
          </wp:inline>
        </w:drawing>
      </w:r>
    </w:p>
    <w:p w14:paraId="077EE88E" w14:textId="5FE2EDBF" w:rsidR="0017772F" w:rsidRPr="0017772F" w:rsidRDefault="0017772F" w:rsidP="0017772F">
      <w:pPr>
        <w:spacing w:after="0"/>
        <w:jc w:val="center"/>
        <w:outlineLvl w:val="0"/>
        <w:rPr>
          <w:rFonts w:ascii="Times New Roman" w:hAnsi="Times New Roman"/>
          <w:sz w:val="20"/>
          <w:szCs w:val="20"/>
        </w:rPr>
      </w:pPr>
      <w:r w:rsidRPr="0017772F">
        <w:rPr>
          <w:rFonts w:ascii="Times New Roman" w:hAnsi="Times New Roman"/>
          <w:sz w:val="20"/>
          <w:szCs w:val="20"/>
        </w:rPr>
        <w:t xml:space="preserve">Figure 1. </w:t>
      </w:r>
      <w:r>
        <w:rPr>
          <w:rFonts w:ascii="Times New Roman" w:hAnsi="Times New Roman"/>
          <w:sz w:val="20"/>
          <w:szCs w:val="20"/>
        </w:rPr>
        <w:t xml:space="preserve"> </w:t>
      </w:r>
      <w:r w:rsidRPr="0017772F">
        <w:rPr>
          <w:rFonts w:ascii="Times New Roman" w:hAnsi="Times New Roman"/>
          <w:sz w:val="20"/>
          <w:szCs w:val="20"/>
        </w:rPr>
        <w:t>Preparation of 4-GBA from ME-4-GBA</w:t>
      </w:r>
    </w:p>
    <w:p w14:paraId="2AAC453C" w14:textId="77777777" w:rsidR="0017772F" w:rsidRPr="0017772F" w:rsidRDefault="0017772F" w:rsidP="0017772F">
      <w:pPr>
        <w:spacing w:after="0"/>
        <w:jc w:val="both"/>
        <w:outlineLvl w:val="0"/>
        <w:rPr>
          <w:rFonts w:ascii="Times New Roman" w:hAnsi="Times New Roman"/>
          <w:b/>
          <w:color w:val="548DD4" w:themeColor="text2" w:themeTint="99"/>
          <w:sz w:val="20"/>
          <w:szCs w:val="20"/>
        </w:rPr>
      </w:pPr>
    </w:p>
    <w:p w14:paraId="51C32C99" w14:textId="77777777" w:rsidR="006768E9" w:rsidRPr="00F447A7" w:rsidRDefault="006768E9" w:rsidP="0017772F">
      <w:pPr>
        <w:spacing w:after="0"/>
        <w:jc w:val="center"/>
        <w:rPr>
          <w:rFonts w:ascii="Times New Roman" w:hAnsi="Times New Roman"/>
          <w:noProof/>
          <w:sz w:val="20"/>
          <w:szCs w:val="20"/>
          <w:lang w:bidi="ar-SA"/>
        </w:rPr>
      </w:pPr>
    </w:p>
    <w:p w14:paraId="69C9B7B7" w14:textId="77777777" w:rsidR="00EC42FD" w:rsidRDefault="00EC42FD" w:rsidP="002B412F">
      <w:pPr>
        <w:spacing w:after="0"/>
        <w:jc w:val="center"/>
        <w:rPr>
          <w:rFonts w:ascii="Times New Roman" w:hAnsi="Times New Roman"/>
          <w:b/>
          <w:noProof/>
          <w:sz w:val="20"/>
          <w:szCs w:val="20"/>
          <w:lang w:bidi="ar-SA"/>
        </w:rPr>
        <w:sectPr w:rsidR="00EC42FD" w:rsidSect="00EC42FD">
          <w:headerReference w:type="even" r:id="rId20"/>
          <w:headerReference w:type="default" r:id="rId21"/>
          <w:footerReference w:type="even" r:id="rId22"/>
          <w:headerReference w:type="first" r:id="rId23"/>
          <w:type w:val="continuous"/>
          <w:pgSz w:w="12240" w:h="15840" w:code="1"/>
          <w:pgMar w:top="1800" w:right="1469" w:bottom="1699" w:left="1440" w:header="706" w:footer="706" w:gutter="0"/>
          <w:pgNumType w:start="1"/>
          <w:cols w:space="708"/>
          <w:docGrid w:linePitch="360"/>
        </w:sectPr>
      </w:pPr>
    </w:p>
    <w:p w14:paraId="4792DC26" w14:textId="7840D21E"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4086AD5" w14:textId="156AFDE8" w:rsidR="0017772F" w:rsidRP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The 4-GBA is a water soluble salt of a weak monobasic acid and a strong base (Figure 1). This compound in aqueous solutions is basic, therefore, acidimetry should be used for quantitative determination.</w:t>
      </w:r>
    </w:p>
    <w:p w14:paraId="21F724AE" w14:textId="77777777" w:rsidR="0017772F" w:rsidRPr="0017772F" w:rsidRDefault="0017772F" w:rsidP="0017772F">
      <w:pPr>
        <w:spacing w:after="0"/>
        <w:jc w:val="both"/>
        <w:outlineLvl w:val="0"/>
        <w:rPr>
          <w:rFonts w:ascii="Times New Roman" w:hAnsi="Times New Roman"/>
          <w:sz w:val="20"/>
          <w:szCs w:val="20"/>
        </w:rPr>
      </w:pPr>
    </w:p>
    <w:p w14:paraId="2146DCA3" w14:textId="77777777" w:rsidR="0017772F" w:rsidRPr="0017772F" w:rsidRDefault="0017772F" w:rsidP="0017772F">
      <w:pPr>
        <w:spacing w:after="0"/>
        <w:jc w:val="both"/>
        <w:outlineLvl w:val="0"/>
        <w:rPr>
          <w:rFonts w:ascii="Times New Roman" w:hAnsi="Times New Roman"/>
          <w:b/>
          <w:sz w:val="20"/>
          <w:szCs w:val="20"/>
        </w:rPr>
      </w:pPr>
      <w:r w:rsidRPr="0017772F">
        <w:rPr>
          <w:rFonts w:ascii="Times New Roman" w:hAnsi="Times New Roman"/>
          <w:b/>
          <w:sz w:val="20"/>
          <w:szCs w:val="20"/>
        </w:rPr>
        <w:t xml:space="preserve">Acid-base properties of 4-GBA in aqueous solutions </w:t>
      </w:r>
    </w:p>
    <w:p w14:paraId="368B203F" w14:textId="0AF29125" w:rsidR="0017772F" w:rsidRDefault="0017772F" w:rsidP="0017772F">
      <w:pPr>
        <w:spacing w:after="0"/>
        <w:jc w:val="both"/>
        <w:outlineLvl w:val="0"/>
        <w:rPr>
          <w:rFonts w:ascii="Times New Roman" w:hAnsi="Times New Roman"/>
          <w:sz w:val="20"/>
          <w:szCs w:val="20"/>
        </w:rPr>
      </w:pPr>
      <w:r w:rsidRPr="0017772F">
        <w:rPr>
          <w:rFonts w:ascii="Times New Roman" w:hAnsi="Times New Roman"/>
          <w:sz w:val="20"/>
          <w:szCs w:val="20"/>
        </w:rPr>
        <w:t>The acid-base properties of 4-GBA were studied by potentiometric titration. The resulted curve is shown in Figure 2. The titrimetric analysis demonstrated one low-grade change of the pH value in a wide range from 3.75 to 1.82.</w:t>
      </w:r>
    </w:p>
    <w:p w14:paraId="16B6E5ED" w14:textId="77777777" w:rsidR="00EC42FD" w:rsidRDefault="00EC42FD" w:rsidP="0017772F">
      <w:pPr>
        <w:spacing w:after="0"/>
        <w:jc w:val="both"/>
        <w:outlineLvl w:val="0"/>
        <w:rPr>
          <w:rFonts w:ascii="Times New Roman" w:hAnsi="Times New Roman"/>
          <w:sz w:val="20"/>
          <w:szCs w:val="20"/>
        </w:rPr>
      </w:pPr>
    </w:p>
    <w:p w14:paraId="0049BFB2"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To estimate the quantitative determination of 4-GBA by the titrimetric method in an aqueous solution we calculated the negative logarithm of the dissociation constant (pK</w:t>
      </w:r>
      <w:r w:rsidRPr="0017772F">
        <w:rPr>
          <w:rFonts w:ascii="Times New Roman" w:hAnsi="Times New Roman"/>
          <w:sz w:val="20"/>
          <w:szCs w:val="20"/>
          <w:vertAlign w:val="subscript"/>
        </w:rPr>
        <w:t>a</w:t>
      </w:r>
      <w:r w:rsidRPr="0017772F">
        <w:rPr>
          <w:rFonts w:ascii="Times New Roman" w:hAnsi="Times New Roman"/>
          <w:sz w:val="20"/>
          <w:szCs w:val="20"/>
        </w:rPr>
        <w:t>). There is a wide range of techniques for determining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for example, potentiometry, conductometry, calorimetry, nuclear magnetic resonance (NMR), electrophoresis, high-performance liquid chromatography (HPLC), ultraviolet–visible spectroscopy  and others [27]. We chose potentiometry for determination of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because this method is fast, simple, universal, cheap and highly precise [27, 28]. The change of solution ionic strength may influence pK</w:t>
      </w:r>
      <w:r w:rsidRPr="0017772F">
        <w:rPr>
          <w:rFonts w:ascii="Times New Roman" w:hAnsi="Times New Roman"/>
          <w:sz w:val="20"/>
          <w:szCs w:val="20"/>
          <w:vertAlign w:val="subscript"/>
        </w:rPr>
        <w:t>a</w:t>
      </w:r>
      <w:r w:rsidRPr="0017772F">
        <w:rPr>
          <w:rFonts w:ascii="Times New Roman" w:hAnsi="Times New Roman"/>
          <w:sz w:val="20"/>
          <w:szCs w:val="20"/>
        </w:rPr>
        <w:t xml:space="preserve"> determination [27]. Thus, we carried out pK</w:t>
      </w:r>
      <w:r w:rsidRPr="0017772F">
        <w:rPr>
          <w:rFonts w:ascii="Times New Roman" w:hAnsi="Times New Roman"/>
          <w:sz w:val="20"/>
          <w:szCs w:val="20"/>
          <w:vertAlign w:val="subscript"/>
        </w:rPr>
        <w:t>a</w:t>
      </w:r>
      <w:r w:rsidRPr="0017772F">
        <w:rPr>
          <w:rFonts w:ascii="Times New Roman" w:hAnsi="Times New Roman"/>
          <w:sz w:val="20"/>
          <w:szCs w:val="20"/>
        </w:rPr>
        <w:t xml:space="preserve"> measurements in 0.5 N potassium bromide solution in order to maintain constant ionic strength. Optimal concentrations of 4-GBA and hydrochloric acid solutions were determined as 0.1 N [30]. </w:t>
      </w:r>
    </w:p>
    <w:p w14:paraId="284BBF3F" w14:textId="77777777" w:rsidR="00EC42FD" w:rsidRPr="0017772F" w:rsidRDefault="00EC42FD" w:rsidP="00EC42FD">
      <w:pPr>
        <w:spacing w:after="0"/>
        <w:jc w:val="both"/>
        <w:outlineLvl w:val="0"/>
        <w:rPr>
          <w:rFonts w:ascii="Times New Roman" w:hAnsi="Times New Roman"/>
          <w:sz w:val="20"/>
          <w:szCs w:val="20"/>
        </w:rPr>
      </w:pPr>
    </w:p>
    <w:p w14:paraId="7CF49479" w14:textId="302B7C66"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Second-derivative method was chosen for inflection point determination since it is applicable for weak bases and acids and provide accurate determination in case of titration curve has no sharp pH jump. This method is based</w:t>
      </w:r>
      <w:r w:rsidR="008213CC">
        <w:rPr>
          <w:rFonts w:ascii="Times New Roman" w:hAnsi="Times New Roman"/>
          <w:sz w:val="20"/>
          <w:szCs w:val="20"/>
        </w:rPr>
        <w:t xml:space="preserve"> </w:t>
      </w:r>
      <w:r w:rsidRPr="0017772F">
        <w:rPr>
          <w:rFonts w:ascii="Times New Roman" w:hAnsi="Times New Roman"/>
          <w:sz w:val="20"/>
          <w:szCs w:val="20"/>
        </w:rPr>
        <w:t xml:space="preserve"> on plot ∆</w:t>
      </w:r>
      <w:r w:rsidRPr="0017772F">
        <w:rPr>
          <w:rFonts w:ascii="Times New Roman" w:hAnsi="Times New Roman"/>
          <w:sz w:val="20"/>
          <w:szCs w:val="20"/>
          <w:vertAlign w:val="superscript"/>
        </w:rPr>
        <w:t>2</w:t>
      </w:r>
      <w:r w:rsidRPr="0017772F">
        <w:rPr>
          <w:rFonts w:ascii="Times New Roman" w:hAnsi="Times New Roman"/>
          <w:sz w:val="20"/>
          <w:szCs w:val="20"/>
        </w:rPr>
        <w:t>pH/∆V</w:t>
      </w:r>
      <w:r w:rsidRPr="0017772F">
        <w:rPr>
          <w:rFonts w:ascii="Times New Roman" w:hAnsi="Times New Roman"/>
          <w:sz w:val="20"/>
          <w:szCs w:val="20"/>
          <w:vertAlign w:val="superscript"/>
        </w:rPr>
        <w:t>2</w:t>
      </w:r>
      <w:r w:rsidRPr="0017772F">
        <w:rPr>
          <w:rFonts w:ascii="Times New Roman" w:hAnsi="Times New Roman"/>
          <w:sz w:val="20"/>
          <w:szCs w:val="20"/>
        </w:rPr>
        <w:t xml:space="preserve"> vs. volume of titrant (V) (Figure 2b). The inflection point is where ∆</w:t>
      </w:r>
      <w:r w:rsidRPr="0017772F">
        <w:rPr>
          <w:rFonts w:ascii="Times New Roman" w:hAnsi="Times New Roman"/>
          <w:sz w:val="20"/>
          <w:szCs w:val="20"/>
          <w:vertAlign w:val="superscript"/>
        </w:rPr>
        <w:t>2</w:t>
      </w:r>
      <w:r w:rsidRPr="0017772F">
        <w:rPr>
          <w:rFonts w:ascii="Times New Roman" w:hAnsi="Times New Roman"/>
          <w:sz w:val="20"/>
          <w:szCs w:val="20"/>
        </w:rPr>
        <w:t>pH/∆V</w:t>
      </w:r>
      <w:r w:rsidRPr="0017772F">
        <w:rPr>
          <w:rFonts w:ascii="Times New Roman" w:hAnsi="Times New Roman"/>
          <w:sz w:val="20"/>
          <w:szCs w:val="20"/>
          <w:vertAlign w:val="superscript"/>
        </w:rPr>
        <w:t>2</w:t>
      </w:r>
      <w:r w:rsidRPr="0017772F">
        <w:rPr>
          <w:rFonts w:ascii="Times New Roman" w:hAnsi="Times New Roman"/>
          <w:sz w:val="20"/>
          <w:szCs w:val="20"/>
        </w:rPr>
        <w:t xml:space="preserve"> </w:t>
      </w:r>
      <w:r w:rsidRPr="0017772F">
        <w:rPr>
          <w:rFonts w:ascii="Times New Roman" w:hAnsi="Times New Roman"/>
          <w:sz w:val="20"/>
          <w:szCs w:val="20"/>
        </w:rPr>
        <w:t>equals 0 [29]. The equivalent titrant volume was 30 mL (Figure 2a).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was determined as pH value at the point corresponding to half of the titration (15 mL) (Figure 2a). Calculated according to this method 4-GBA pK</w:t>
      </w:r>
      <w:r w:rsidRPr="0017772F">
        <w:rPr>
          <w:rFonts w:ascii="Times New Roman" w:hAnsi="Times New Roman"/>
          <w:sz w:val="20"/>
          <w:szCs w:val="20"/>
          <w:vertAlign w:val="subscript"/>
        </w:rPr>
        <w:t>a</w:t>
      </w:r>
      <w:r w:rsidRPr="0017772F">
        <w:rPr>
          <w:rFonts w:ascii="Times New Roman" w:hAnsi="Times New Roman"/>
          <w:sz w:val="20"/>
          <w:szCs w:val="20"/>
        </w:rPr>
        <w:t xml:space="preserve"> = 4.27 indicates that 4-GBA is a very weak base. </w:t>
      </w:r>
    </w:p>
    <w:p w14:paraId="4DF0E436" w14:textId="77777777" w:rsidR="00EC42FD" w:rsidRPr="0017772F" w:rsidRDefault="00EC42FD" w:rsidP="00EC42FD">
      <w:pPr>
        <w:spacing w:after="0"/>
        <w:jc w:val="both"/>
        <w:outlineLvl w:val="0"/>
        <w:rPr>
          <w:rFonts w:ascii="Times New Roman" w:hAnsi="Times New Roman"/>
          <w:sz w:val="20"/>
          <w:szCs w:val="20"/>
        </w:rPr>
      </w:pPr>
    </w:p>
    <w:p w14:paraId="3458A6C8" w14:textId="10664CE9"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Referring  to the titration curves (Figure 2) and pK</w:t>
      </w:r>
      <w:r w:rsidRPr="0017772F">
        <w:rPr>
          <w:rFonts w:ascii="Times New Roman" w:hAnsi="Times New Roman"/>
          <w:sz w:val="20"/>
          <w:szCs w:val="20"/>
          <w:vertAlign w:val="subscript"/>
        </w:rPr>
        <w:t>a</w:t>
      </w:r>
      <w:r w:rsidRPr="0017772F">
        <w:rPr>
          <w:rFonts w:ascii="Times New Roman" w:hAnsi="Times New Roman"/>
          <w:sz w:val="20"/>
          <w:szCs w:val="20"/>
        </w:rPr>
        <w:t xml:space="preserve"> value of 4-GBA, the aqueous titration method for quantitative</w:t>
      </w:r>
      <w:r w:rsidR="008213CC">
        <w:rPr>
          <w:rFonts w:ascii="Times New Roman" w:hAnsi="Times New Roman"/>
          <w:sz w:val="20"/>
          <w:szCs w:val="20"/>
        </w:rPr>
        <w:t xml:space="preserve"> </w:t>
      </w:r>
      <w:r w:rsidRPr="0017772F">
        <w:rPr>
          <w:rFonts w:ascii="Times New Roman" w:hAnsi="Times New Roman"/>
          <w:sz w:val="20"/>
          <w:szCs w:val="20"/>
        </w:rPr>
        <w:t xml:space="preserve">determination is of insufficient accuracy. The maximum of fist-derivative and the inflection point of second-derivative plots are not constant. Results obtained for the samples were not reproducible. Even at high concentrations of 4-GBA (0.1 mol\L) only the wide jump of pH was achieved which significantly complicates the determination of titration end-point. </w:t>
      </w:r>
    </w:p>
    <w:p w14:paraId="48030705" w14:textId="77777777" w:rsidR="00EC42FD" w:rsidRPr="0017772F" w:rsidRDefault="00EC42FD" w:rsidP="00EC42FD">
      <w:pPr>
        <w:spacing w:after="0"/>
        <w:jc w:val="both"/>
        <w:outlineLvl w:val="0"/>
        <w:rPr>
          <w:rFonts w:ascii="Times New Roman" w:hAnsi="Times New Roman"/>
          <w:b/>
          <w:sz w:val="20"/>
          <w:szCs w:val="20"/>
        </w:rPr>
      </w:pPr>
    </w:p>
    <w:p w14:paraId="373125C8"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Non-aqueous titration of 4-GBA </w:t>
      </w:r>
    </w:p>
    <w:p w14:paraId="738330C3" w14:textId="70ACB280"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Since aqueous titration gave unsatisfactory result, we developed another strategy for quantification of 4-GBA. Non-aqueous titration is used to quantify weak acids and bases [31] and is widely used for the evaluation of active substances in pharmaceutical substances formulations [22]. Salts of organic acids are typically titrated in solvents which have both protophilic and protogenic properties [32]. Considering this, we chose acetic acid as titrant, because it is non-toxic, cheap, environmentally friendly and readily available [33]. Also, 4-GBA dissolves completely in acetic acid in studied concentrations at room temperature (~ 25 °C) while it is not protonated upon dissolution. The obtained titrimetric curves for non-aqueous titration of 4-GBA are shown in Figure 3. </w:t>
      </w:r>
    </w:p>
    <w:p w14:paraId="2C48D136" w14:textId="77777777" w:rsidR="00EC42FD" w:rsidRDefault="00EC42FD" w:rsidP="00EC42FD">
      <w:pPr>
        <w:spacing w:after="0"/>
        <w:jc w:val="both"/>
        <w:outlineLvl w:val="0"/>
        <w:rPr>
          <w:rFonts w:ascii="Times New Roman" w:hAnsi="Times New Roman"/>
          <w:sz w:val="20"/>
          <w:szCs w:val="20"/>
        </w:rPr>
      </w:pPr>
    </w:p>
    <w:p w14:paraId="2F7D265D"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Non-aqueous titration conditions demonstrate excellent results in comparison to aqueous titration. The non-aqueous titration curve (Figure 3a) has a pronounced jump of potential, which allows uniquely determining </w:t>
      </w:r>
      <w:r w:rsidRPr="0017772F">
        <w:rPr>
          <w:rFonts w:ascii="Times New Roman" w:hAnsi="Times New Roman"/>
          <w:sz w:val="20"/>
          <w:szCs w:val="20"/>
        </w:rPr>
        <w:lastRenderedPageBreak/>
        <w:t>the end-point using acid-base indicators. In addition, excellent results were obtained when determining the equivalence point by the differential potentiometric method (Figure 3b). The increased basicity of 4-GBA is explained by the formation of acetonium ion (CH</w:t>
      </w:r>
      <w:r w:rsidRPr="0017772F">
        <w:rPr>
          <w:rFonts w:ascii="Times New Roman" w:hAnsi="Times New Roman"/>
          <w:sz w:val="20"/>
          <w:szCs w:val="20"/>
          <w:vertAlign w:val="subscript"/>
        </w:rPr>
        <w:t>3</w:t>
      </w:r>
      <w:r w:rsidRPr="0017772F">
        <w:rPr>
          <w:rFonts w:ascii="Times New Roman" w:hAnsi="Times New Roman"/>
          <w:sz w:val="20"/>
          <w:szCs w:val="20"/>
        </w:rPr>
        <w:t>COOH</w:t>
      </w:r>
      <w:r w:rsidRPr="0017772F">
        <w:rPr>
          <w:rFonts w:ascii="Times New Roman" w:hAnsi="Times New Roman"/>
          <w:sz w:val="20"/>
          <w:szCs w:val="20"/>
          <w:vertAlign w:val="subscript"/>
        </w:rPr>
        <w:t>2</w:t>
      </w:r>
      <w:r w:rsidRPr="0017772F">
        <w:rPr>
          <w:rFonts w:ascii="Times New Roman" w:hAnsi="Times New Roman"/>
          <w:sz w:val="20"/>
          <w:szCs w:val="20"/>
          <w:vertAlign w:val="superscript"/>
        </w:rPr>
        <w:t>+</w:t>
      </w:r>
      <w:r w:rsidRPr="0017772F">
        <w:rPr>
          <w:rFonts w:ascii="Times New Roman" w:hAnsi="Times New Roman"/>
          <w:sz w:val="20"/>
          <w:szCs w:val="20"/>
        </w:rPr>
        <w:t>) which results from interaction of perchloric acid and glacial acetic acid. The acetonium ion easily gives up proton to neutralize 4-GBA [33].</w:t>
      </w:r>
    </w:p>
    <w:p w14:paraId="6F359D2B" w14:textId="77777777" w:rsidR="00EC42FD" w:rsidRPr="0017772F" w:rsidRDefault="00EC42FD" w:rsidP="00EC42FD">
      <w:pPr>
        <w:spacing w:after="0"/>
        <w:jc w:val="both"/>
        <w:outlineLvl w:val="0"/>
        <w:rPr>
          <w:rFonts w:ascii="Times New Roman" w:hAnsi="Times New Roman"/>
          <w:b/>
          <w:sz w:val="20"/>
          <w:szCs w:val="20"/>
        </w:rPr>
      </w:pPr>
    </w:p>
    <w:p w14:paraId="76DB5D39" w14:textId="77777777" w:rsidR="00EC42FD" w:rsidRPr="0017772F" w:rsidRDefault="00EC42FD" w:rsidP="00EC42FD">
      <w:pPr>
        <w:spacing w:after="0"/>
        <w:jc w:val="both"/>
        <w:outlineLvl w:val="0"/>
        <w:rPr>
          <w:rFonts w:ascii="Times New Roman" w:hAnsi="Times New Roman"/>
          <w:b/>
          <w:sz w:val="20"/>
          <w:szCs w:val="20"/>
        </w:rPr>
      </w:pPr>
      <w:r w:rsidRPr="0017772F">
        <w:rPr>
          <w:rFonts w:ascii="Times New Roman" w:hAnsi="Times New Roman"/>
          <w:b/>
          <w:sz w:val="20"/>
          <w:szCs w:val="20"/>
        </w:rPr>
        <w:t xml:space="preserve">Validation </w:t>
      </w:r>
    </w:p>
    <w:p w14:paraId="58945568" w14:textId="77777777"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Thus, a conclusion can be made that non-aqueous titration using glacial acetic acid as a solvent and perchloric acid as titrant meets the main requirements for the quantitative determination of 4-GBA in laboratory and industrial conditions: it is express, easily accessible and precise. According to the requirements of world pharmaceutical standards, any quantification procedure must pass the validation process. Titrimetric methods were validated according to the procedures described in ICH guidelines Q2 (R1) for validation of analytical methods [34]. Validation was carried out according to the following indicators: specificity, linearity, accuracy, recovery, intermediate precision.</w:t>
      </w:r>
    </w:p>
    <w:p w14:paraId="4D9D60CE" w14:textId="77777777" w:rsidR="00EC42FD" w:rsidRPr="0017772F" w:rsidRDefault="00EC42FD" w:rsidP="00EC42FD">
      <w:pPr>
        <w:spacing w:after="0"/>
        <w:jc w:val="both"/>
        <w:outlineLvl w:val="0"/>
        <w:rPr>
          <w:rFonts w:ascii="Times New Roman" w:hAnsi="Times New Roman"/>
          <w:b/>
          <w:sz w:val="20"/>
          <w:szCs w:val="20"/>
        </w:rPr>
      </w:pPr>
    </w:p>
    <w:p w14:paraId="29979980" w14:textId="77777777" w:rsidR="00EC42FD" w:rsidRPr="00661BC2" w:rsidRDefault="00EC42FD" w:rsidP="00EC42FD">
      <w:pPr>
        <w:spacing w:after="0"/>
        <w:jc w:val="both"/>
        <w:outlineLvl w:val="0"/>
        <w:rPr>
          <w:rFonts w:ascii="Times New Roman" w:hAnsi="Times New Roman"/>
          <w:b/>
          <w:i/>
          <w:iCs/>
          <w:sz w:val="20"/>
          <w:szCs w:val="20"/>
        </w:rPr>
      </w:pPr>
      <w:r w:rsidRPr="00661BC2">
        <w:rPr>
          <w:rFonts w:ascii="Times New Roman" w:hAnsi="Times New Roman"/>
          <w:b/>
          <w:i/>
          <w:iCs/>
          <w:sz w:val="20"/>
          <w:szCs w:val="20"/>
        </w:rPr>
        <w:t>Specificity</w:t>
      </w:r>
    </w:p>
    <w:p w14:paraId="37E89519" w14:textId="09574E5F"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 xml:space="preserve">The specificity of the method was examined by the absence of response on the related impurities that can influence the titration result. Methyl ether of 4-GBA (ME-4-GBA) was chosen as a related impurity because it is an intermediate compound in the synthesis of 4-GBA [24]. 4-GBA and its mixtures with ME-4-GBA (25, 50, 75 and 100% of the 4-GBA aliquot) were titrated (Table 1, entries 1-5 for Method A and entries 9-13 for Method B). For identification of possible excipients interference on quantification, 4-GBA was titrated in presence of several typical excipients for oral and injectable formulations of the following composition: talc (50% w/w), calcium gluconate (20% w/w), lactose (28.4% w/w), magnesium stearate (0.5% w/w), kollidon (0.1% w/w), aerosol (1% w/w). The results are shown in Table 1 (entries 6-8 for Method A and entries 14-116 for Method B). </w:t>
      </w:r>
    </w:p>
    <w:p w14:paraId="756638F2" w14:textId="65F34277" w:rsidR="00EC42FD" w:rsidRDefault="00EC42FD" w:rsidP="00EC42FD">
      <w:pPr>
        <w:spacing w:after="0"/>
        <w:jc w:val="both"/>
        <w:outlineLvl w:val="0"/>
        <w:rPr>
          <w:rFonts w:ascii="Times New Roman" w:hAnsi="Times New Roman"/>
          <w:sz w:val="20"/>
          <w:szCs w:val="20"/>
        </w:rPr>
      </w:pPr>
    </w:p>
    <w:p w14:paraId="4049B4E9" w14:textId="66AE14C6" w:rsidR="00E4499E" w:rsidRDefault="00E4499E" w:rsidP="00EC42FD">
      <w:pPr>
        <w:spacing w:after="0"/>
        <w:jc w:val="both"/>
        <w:outlineLvl w:val="0"/>
        <w:rPr>
          <w:rFonts w:ascii="Times New Roman" w:hAnsi="Times New Roman"/>
          <w:sz w:val="20"/>
          <w:szCs w:val="20"/>
        </w:rPr>
      </w:pPr>
    </w:p>
    <w:p w14:paraId="3F5FF0BB" w14:textId="77777777" w:rsidR="00E4499E" w:rsidRPr="0017772F" w:rsidRDefault="00E4499E" w:rsidP="00EC42FD">
      <w:pPr>
        <w:spacing w:after="0"/>
        <w:jc w:val="both"/>
        <w:outlineLvl w:val="0"/>
        <w:rPr>
          <w:rFonts w:ascii="Times New Roman" w:hAnsi="Times New Roman"/>
          <w:sz w:val="20"/>
          <w:szCs w:val="20"/>
        </w:rPr>
      </w:pPr>
    </w:p>
    <w:p w14:paraId="1AB09D8E" w14:textId="36736EAC" w:rsidR="00EC42FD" w:rsidRPr="0017772F"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As can be seen from Table 1, the addition of ME-4-GBA up to 100% of 4-GBA aliquot does not affect the result. The presence of excipients does not affect the quantitative determination as well. The latter indicates non-aqueous titration of 4-GBA in acetic acid as excellent method for its quantification in pharmaceutical preparations. Thus, we can conclude that both methods A and B</w:t>
      </w:r>
      <w:r w:rsidR="00661BC2">
        <w:rPr>
          <w:rFonts w:ascii="Times New Roman" w:hAnsi="Times New Roman"/>
          <w:sz w:val="20"/>
          <w:szCs w:val="20"/>
        </w:rPr>
        <w:t xml:space="preserve"> </w:t>
      </w:r>
      <w:r w:rsidRPr="0017772F">
        <w:rPr>
          <w:rFonts w:ascii="Times New Roman" w:hAnsi="Times New Roman"/>
          <w:sz w:val="20"/>
          <w:szCs w:val="20"/>
        </w:rPr>
        <w:t xml:space="preserve"> are specific for quantitative determination of 4-GBA.</w:t>
      </w:r>
    </w:p>
    <w:p w14:paraId="04991B25" w14:textId="77777777" w:rsidR="00EC42FD" w:rsidRPr="0017772F" w:rsidRDefault="00EC42FD" w:rsidP="00EC42FD">
      <w:pPr>
        <w:spacing w:after="0"/>
        <w:outlineLvl w:val="0"/>
        <w:rPr>
          <w:rFonts w:ascii="Times New Roman" w:hAnsi="Times New Roman"/>
          <w:b/>
          <w:sz w:val="20"/>
          <w:szCs w:val="20"/>
        </w:rPr>
      </w:pPr>
    </w:p>
    <w:p w14:paraId="00B303A8" w14:textId="77777777" w:rsidR="00EC42FD" w:rsidRPr="00661BC2" w:rsidRDefault="00EC42FD" w:rsidP="00EC42FD">
      <w:pPr>
        <w:spacing w:after="0"/>
        <w:jc w:val="both"/>
        <w:outlineLvl w:val="0"/>
        <w:rPr>
          <w:rFonts w:ascii="Times New Roman" w:hAnsi="Times New Roman"/>
          <w:b/>
          <w:i/>
          <w:iCs/>
          <w:sz w:val="20"/>
          <w:szCs w:val="20"/>
        </w:rPr>
      </w:pPr>
      <w:r w:rsidRPr="00661BC2">
        <w:rPr>
          <w:rFonts w:ascii="Times New Roman" w:hAnsi="Times New Roman"/>
          <w:b/>
          <w:i/>
          <w:iCs/>
          <w:sz w:val="20"/>
          <w:szCs w:val="20"/>
        </w:rPr>
        <w:t xml:space="preserve">Linearity </w:t>
      </w:r>
    </w:p>
    <w:p w14:paraId="6E9FF3C2" w14:textId="0DB1D7AE" w:rsidR="00EC42FD" w:rsidRDefault="00EC42FD" w:rsidP="00EC42FD">
      <w:pPr>
        <w:spacing w:after="0"/>
        <w:jc w:val="both"/>
        <w:outlineLvl w:val="0"/>
        <w:rPr>
          <w:rFonts w:ascii="Times New Roman" w:hAnsi="Times New Roman"/>
          <w:sz w:val="20"/>
          <w:szCs w:val="20"/>
        </w:rPr>
      </w:pPr>
      <w:r w:rsidRPr="0017772F">
        <w:rPr>
          <w:rFonts w:ascii="Times New Roman" w:hAnsi="Times New Roman"/>
          <w:sz w:val="20"/>
          <w:szCs w:val="20"/>
        </w:rPr>
        <w:t>Linearity was studied in the range 80-120% of the test concentration [34]. LOD and LOQ value of method A were detected by signal-to-noise ratio (S/N), which was 3 for LOD and 10 for LOQ. LOD and LOQ for method B was not calculated, because at low concentrations of 4-GBA determination of end-point (color change) accurately is</w:t>
      </w:r>
      <w:r w:rsidR="00661BC2">
        <w:rPr>
          <w:rFonts w:ascii="Times New Roman" w:hAnsi="Times New Roman"/>
          <w:sz w:val="20"/>
          <w:szCs w:val="20"/>
        </w:rPr>
        <w:t xml:space="preserve"> </w:t>
      </w:r>
      <w:r w:rsidRPr="0017772F">
        <w:rPr>
          <w:rFonts w:ascii="Times New Roman" w:hAnsi="Times New Roman"/>
          <w:sz w:val="20"/>
          <w:szCs w:val="20"/>
        </w:rPr>
        <w:t xml:space="preserve"> impossible. </w:t>
      </w:r>
      <w:r w:rsidR="00661BC2">
        <w:rPr>
          <w:rFonts w:ascii="Times New Roman" w:hAnsi="Times New Roman"/>
          <w:sz w:val="20"/>
          <w:szCs w:val="20"/>
        </w:rPr>
        <w:t xml:space="preserve"> </w:t>
      </w:r>
      <w:r w:rsidRPr="0017772F">
        <w:rPr>
          <w:rFonts w:ascii="Times New Roman" w:hAnsi="Times New Roman"/>
          <w:sz w:val="20"/>
          <w:szCs w:val="20"/>
        </w:rPr>
        <w:t>Obtained data is show in Table 2, both methods demonstrate good linearity with excellent correlation coefficient.</w:t>
      </w:r>
    </w:p>
    <w:p w14:paraId="7AABF384" w14:textId="77777777" w:rsidR="00661BC2" w:rsidRDefault="00661BC2" w:rsidP="00EC42FD">
      <w:pPr>
        <w:spacing w:after="0"/>
        <w:jc w:val="both"/>
        <w:outlineLvl w:val="0"/>
        <w:rPr>
          <w:rFonts w:ascii="Times New Roman" w:hAnsi="Times New Roman"/>
          <w:sz w:val="20"/>
          <w:szCs w:val="20"/>
        </w:rPr>
      </w:pPr>
    </w:p>
    <w:p w14:paraId="64828F6D" w14:textId="77777777" w:rsidR="00661BC2" w:rsidRPr="00661BC2" w:rsidRDefault="00661BC2" w:rsidP="00661BC2">
      <w:pPr>
        <w:spacing w:after="0"/>
        <w:jc w:val="both"/>
        <w:outlineLvl w:val="0"/>
        <w:rPr>
          <w:rFonts w:ascii="Times New Roman" w:hAnsi="Times New Roman"/>
          <w:b/>
          <w:i/>
          <w:iCs/>
          <w:sz w:val="20"/>
          <w:szCs w:val="20"/>
        </w:rPr>
      </w:pPr>
      <w:r w:rsidRPr="00661BC2">
        <w:rPr>
          <w:rFonts w:ascii="Times New Roman" w:hAnsi="Times New Roman"/>
          <w:b/>
          <w:i/>
          <w:iCs/>
          <w:sz w:val="20"/>
          <w:szCs w:val="20"/>
        </w:rPr>
        <w:t>Precision</w:t>
      </w:r>
    </w:p>
    <w:p w14:paraId="7FC53FF4" w14:textId="071DD800" w:rsidR="00661BC2" w:rsidRDefault="00661BC2" w:rsidP="00661BC2">
      <w:pPr>
        <w:spacing w:after="0"/>
        <w:jc w:val="both"/>
        <w:outlineLvl w:val="0"/>
        <w:rPr>
          <w:rFonts w:ascii="Times New Roman" w:hAnsi="Times New Roman"/>
          <w:sz w:val="20"/>
          <w:szCs w:val="20"/>
        </w:rPr>
      </w:pPr>
      <w:r w:rsidRPr="0017772F">
        <w:rPr>
          <w:rFonts w:ascii="Times New Roman" w:hAnsi="Times New Roman"/>
          <w:sz w:val="20"/>
          <w:szCs w:val="20"/>
        </w:rPr>
        <w:t>Precision was determined by repeatability (intra-day) and intermediate precision (inter-day). Repeatability was evaluated by the analysis of three samples during the same day, and the intermediate precision was studied by comparing the analyses on three different days. The analyses were carried out in triplicate and results were expressed as the relative standard deviation (RSD) of the analytical measurements. The results are shown in Table 3. As can be seen from Table 3, both methods A and B are precise because of RSD is more than 2%.</w:t>
      </w:r>
    </w:p>
    <w:p w14:paraId="1EF420C3" w14:textId="77777777" w:rsidR="00661BC2" w:rsidRDefault="00661BC2" w:rsidP="00661BC2">
      <w:pPr>
        <w:spacing w:after="0"/>
        <w:jc w:val="both"/>
        <w:outlineLvl w:val="0"/>
        <w:rPr>
          <w:rFonts w:ascii="Times New Roman" w:hAnsi="Times New Roman"/>
          <w:sz w:val="20"/>
          <w:szCs w:val="20"/>
        </w:rPr>
      </w:pPr>
    </w:p>
    <w:p w14:paraId="3BB5B732" w14:textId="77777777" w:rsidR="00661BC2" w:rsidRPr="00661BC2" w:rsidRDefault="00661BC2" w:rsidP="00661BC2">
      <w:pPr>
        <w:spacing w:after="0"/>
        <w:outlineLvl w:val="0"/>
        <w:rPr>
          <w:rFonts w:ascii="Times New Roman" w:hAnsi="Times New Roman"/>
          <w:b/>
          <w:i/>
          <w:iCs/>
          <w:sz w:val="20"/>
          <w:szCs w:val="20"/>
        </w:rPr>
      </w:pPr>
      <w:r w:rsidRPr="00661BC2">
        <w:rPr>
          <w:rFonts w:ascii="Times New Roman" w:hAnsi="Times New Roman"/>
          <w:b/>
          <w:i/>
          <w:iCs/>
          <w:sz w:val="20"/>
          <w:szCs w:val="20"/>
        </w:rPr>
        <w:t xml:space="preserve">Accuracy </w:t>
      </w:r>
    </w:p>
    <w:p w14:paraId="4541C48B" w14:textId="35977377" w:rsidR="00661BC2" w:rsidRPr="0017772F" w:rsidRDefault="00661BC2" w:rsidP="00661BC2">
      <w:pPr>
        <w:spacing w:after="0"/>
        <w:jc w:val="both"/>
        <w:outlineLvl w:val="0"/>
        <w:rPr>
          <w:rFonts w:ascii="Times New Roman" w:hAnsi="Times New Roman"/>
          <w:sz w:val="20"/>
          <w:szCs w:val="20"/>
        </w:rPr>
      </w:pPr>
      <w:r w:rsidRPr="0017772F">
        <w:rPr>
          <w:rFonts w:ascii="Times New Roman" w:hAnsi="Times New Roman"/>
          <w:sz w:val="20"/>
          <w:szCs w:val="20"/>
        </w:rPr>
        <w:t xml:space="preserve">Accuracy was determined by recovery of 80%, 100%, 120% of the test concentration of 4-GBA from a standard solution [34]. The obtained percentages of the drug recovered, and standard deviations of the analysis are shown in Table 4. The percentage range recovery of 4-GBA </w:t>
      </w:r>
      <w:r w:rsidR="0064102E">
        <w:rPr>
          <w:rFonts w:ascii="Times New Roman" w:hAnsi="Times New Roman"/>
          <w:sz w:val="20"/>
          <w:szCs w:val="20"/>
        </w:rPr>
        <w:t xml:space="preserve"> </w:t>
      </w:r>
      <w:r w:rsidRPr="0017772F">
        <w:rPr>
          <w:rFonts w:ascii="Times New Roman" w:hAnsi="Times New Roman"/>
          <w:sz w:val="20"/>
          <w:szCs w:val="20"/>
        </w:rPr>
        <w:t xml:space="preserve">was </w:t>
      </w:r>
      <w:r w:rsidR="0064102E">
        <w:rPr>
          <w:rFonts w:ascii="Times New Roman" w:hAnsi="Times New Roman"/>
          <w:sz w:val="20"/>
          <w:szCs w:val="20"/>
        </w:rPr>
        <w:t xml:space="preserve"> </w:t>
      </w:r>
      <w:r w:rsidRPr="0017772F">
        <w:rPr>
          <w:rFonts w:ascii="Times New Roman" w:hAnsi="Times New Roman"/>
          <w:sz w:val="20"/>
          <w:szCs w:val="20"/>
        </w:rPr>
        <w:t>from 98.8 to 101.</w:t>
      </w:r>
      <w:r w:rsidR="0064102E">
        <w:rPr>
          <w:rFonts w:ascii="Times New Roman" w:hAnsi="Times New Roman"/>
          <w:sz w:val="20"/>
          <w:szCs w:val="20"/>
        </w:rPr>
        <w:t>1</w:t>
      </w:r>
      <w:r w:rsidRPr="0017772F">
        <w:rPr>
          <w:rFonts w:ascii="Times New Roman" w:hAnsi="Times New Roman"/>
          <w:sz w:val="20"/>
          <w:szCs w:val="20"/>
        </w:rPr>
        <w:t>% and from 98.1 to 103.2% for method A and method B, respectively. These ranges are suitable for the quantitative analysis of pharmaceutical substances.</w:t>
      </w:r>
    </w:p>
    <w:p w14:paraId="642E220A" w14:textId="77777777" w:rsidR="00661BC2" w:rsidRPr="0017772F" w:rsidRDefault="00661BC2" w:rsidP="00661BC2">
      <w:pPr>
        <w:spacing w:after="0"/>
        <w:jc w:val="both"/>
        <w:outlineLvl w:val="0"/>
        <w:rPr>
          <w:rFonts w:ascii="Times New Roman" w:hAnsi="Times New Roman"/>
          <w:sz w:val="20"/>
          <w:szCs w:val="20"/>
        </w:rPr>
      </w:pPr>
    </w:p>
    <w:p w14:paraId="47F96978" w14:textId="77777777" w:rsidR="00E16575" w:rsidRDefault="00E16575" w:rsidP="00EC42FD">
      <w:pPr>
        <w:spacing w:after="0"/>
        <w:jc w:val="both"/>
        <w:outlineLvl w:val="0"/>
        <w:rPr>
          <w:rFonts w:ascii="Times New Roman" w:hAnsi="Times New Roman"/>
          <w:sz w:val="20"/>
          <w:szCs w:val="20"/>
        </w:rPr>
        <w:sectPr w:rsidR="00E16575" w:rsidSect="00EC42FD">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p>
    <w:p w14:paraId="7B548D85" w14:textId="75C6341B" w:rsidR="00EC42FD" w:rsidRDefault="00EC42FD" w:rsidP="0017772F">
      <w:pPr>
        <w:spacing w:after="0"/>
        <w:jc w:val="both"/>
        <w:outlineLvl w:val="0"/>
        <w:rPr>
          <w:rFonts w:ascii="Times New Roman" w:hAnsi="Times New Roman"/>
          <w:sz w:val="20"/>
          <w:szCs w:val="20"/>
        </w:rPr>
        <w:sectPr w:rsidR="00EC42FD" w:rsidSect="00E16575">
          <w:headerReference w:type="even" r:id="rId28"/>
          <w:headerReference w:type="default" r:id="rId29"/>
          <w:footerReference w:type="even" r:id="rId30"/>
          <w:headerReference w:type="first" r:id="rId31"/>
          <w:type w:val="evenPage"/>
          <w:pgSz w:w="12240" w:h="15840" w:code="1"/>
          <w:pgMar w:top="1800" w:right="1469" w:bottom="1699" w:left="1440" w:header="706" w:footer="706" w:gutter="0"/>
          <w:pgNumType w:start="1"/>
          <w:cols w:num="2" w:space="403"/>
          <w:docGrid w:linePitch="360"/>
        </w:sectPr>
      </w:pPr>
    </w:p>
    <w:p w14:paraId="2C392650" w14:textId="77777777" w:rsidR="0017772F" w:rsidRPr="0017772F" w:rsidRDefault="0017772F" w:rsidP="00346728">
      <w:pPr>
        <w:spacing w:after="120"/>
        <w:jc w:val="center"/>
        <w:rPr>
          <w:rFonts w:ascii="Times New Roman" w:hAnsi="Times New Roman"/>
          <w:sz w:val="20"/>
          <w:szCs w:val="20"/>
        </w:rPr>
      </w:pPr>
      <w:r w:rsidRPr="0017772F">
        <w:rPr>
          <w:noProof/>
          <w:sz w:val="20"/>
          <w:szCs w:val="20"/>
          <w:lang w:val="ru-RU" w:eastAsia="ru-RU"/>
        </w:rPr>
        <w:drawing>
          <wp:inline distT="0" distB="0" distL="0" distR="0" wp14:anchorId="7C76766D" wp14:editId="67AA2244">
            <wp:extent cx="5128164" cy="1970684"/>
            <wp:effectExtent l="19050" t="19050" r="15875" b="1079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158841" cy="1982473"/>
                    </a:xfrm>
                    <a:prstGeom prst="rect">
                      <a:avLst/>
                    </a:prstGeom>
                    <a:ln>
                      <a:solidFill>
                        <a:schemeClr val="tx1"/>
                      </a:solidFill>
                    </a:ln>
                  </pic:spPr>
                </pic:pic>
              </a:graphicData>
            </a:graphic>
          </wp:inline>
        </w:drawing>
      </w:r>
    </w:p>
    <w:p w14:paraId="277F87FB" w14:textId="69FA5B7D" w:rsidR="0017772F" w:rsidRPr="0017772F" w:rsidRDefault="0017772F" w:rsidP="00346728">
      <w:pPr>
        <w:spacing w:after="0"/>
        <w:ind w:left="810" w:hanging="810"/>
        <w:jc w:val="both"/>
        <w:outlineLvl w:val="0"/>
        <w:rPr>
          <w:rFonts w:ascii="Times New Roman" w:hAnsi="Times New Roman"/>
          <w:sz w:val="20"/>
          <w:szCs w:val="20"/>
        </w:rPr>
      </w:pPr>
      <w:r w:rsidRPr="0017772F">
        <w:rPr>
          <w:rFonts w:ascii="Times New Roman" w:hAnsi="Times New Roman"/>
          <w:sz w:val="20"/>
          <w:szCs w:val="20"/>
        </w:rPr>
        <w:t xml:space="preserve">Figure 2. </w:t>
      </w:r>
      <w:r w:rsidR="00346728">
        <w:rPr>
          <w:rFonts w:ascii="Times New Roman" w:hAnsi="Times New Roman"/>
          <w:sz w:val="20"/>
          <w:szCs w:val="20"/>
        </w:rPr>
        <w:tab/>
      </w:r>
      <w:r w:rsidRPr="0017772F">
        <w:rPr>
          <w:rFonts w:ascii="Times New Roman" w:hAnsi="Times New Roman"/>
          <w:sz w:val="20"/>
          <w:szCs w:val="20"/>
        </w:rPr>
        <w:t>Graphical representation of aqueous titration analysis of 4-GBA with 0.1 N hydrochloric acid as titrant (a) and first (solid line), second (dashed line) derivative plot (b).</w:t>
      </w:r>
    </w:p>
    <w:p w14:paraId="60654145" w14:textId="72BB62DA" w:rsidR="0017772F" w:rsidRDefault="0017772F" w:rsidP="0017772F">
      <w:pPr>
        <w:spacing w:after="0"/>
        <w:jc w:val="both"/>
        <w:outlineLvl w:val="0"/>
        <w:rPr>
          <w:rFonts w:ascii="Times New Roman" w:hAnsi="Times New Roman"/>
          <w:sz w:val="20"/>
          <w:szCs w:val="20"/>
        </w:rPr>
      </w:pPr>
    </w:p>
    <w:p w14:paraId="19CC4BD8" w14:textId="77777777" w:rsidR="00346728" w:rsidRPr="0017772F" w:rsidRDefault="00346728" w:rsidP="0017772F">
      <w:pPr>
        <w:spacing w:after="0"/>
        <w:jc w:val="both"/>
        <w:outlineLvl w:val="0"/>
        <w:rPr>
          <w:rFonts w:ascii="Times New Roman" w:hAnsi="Times New Roman"/>
          <w:sz w:val="20"/>
          <w:szCs w:val="20"/>
        </w:rPr>
      </w:pPr>
    </w:p>
    <w:p w14:paraId="2785E43C" w14:textId="77777777" w:rsidR="0017772F" w:rsidRPr="0017772F" w:rsidRDefault="0017772F" w:rsidP="00346728">
      <w:pPr>
        <w:spacing w:after="120"/>
        <w:jc w:val="center"/>
        <w:rPr>
          <w:noProof/>
          <w:sz w:val="20"/>
          <w:szCs w:val="20"/>
          <w:lang w:eastAsia="ru-RU"/>
        </w:rPr>
      </w:pPr>
      <w:r w:rsidRPr="0017772F">
        <w:rPr>
          <w:noProof/>
          <w:sz w:val="20"/>
          <w:szCs w:val="20"/>
          <w:lang w:val="ru-RU" w:eastAsia="ru-RU"/>
        </w:rPr>
        <w:drawing>
          <wp:inline distT="0" distB="0" distL="0" distR="0" wp14:anchorId="04F16F7C" wp14:editId="3D4EA749">
            <wp:extent cx="5050614" cy="1941423"/>
            <wp:effectExtent l="19050" t="19050" r="17145" b="20955"/>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94873" cy="1958436"/>
                    </a:xfrm>
                    <a:prstGeom prst="rect">
                      <a:avLst/>
                    </a:prstGeom>
                    <a:ln>
                      <a:solidFill>
                        <a:schemeClr val="tx1"/>
                      </a:solidFill>
                    </a:ln>
                  </pic:spPr>
                </pic:pic>
              </a:graphicData>
            </a:graphic>
          </wp:inline>
        </w:drawing>
      </w:r>
    </w:p>
    <w:p w14:paraId="68146D3A" w14:textId="12287DEC" w:rsidR="006768E9" w:rsidRDefault="0017772F" w:rsidP="00661BC2">
      <w:pPr>
        <w:spacing w:after="0"/>
        <w:jc w:val="center"/>
        <w:outlineLvl w:val="0"/>
        <w:rPr>
          <w:rFonts w:ascii="Times New Roman" w:hAnsi="Times New Roman"/>
          <w:sz w:val="20"/>
          <w:szCs w:val="20"/>
        </w:rPr>
      </w:pPr>
      <w:r w:rsidRPr="0017772F">
        <w:rPr>
          <w:rFonts w:ascii="Times New Roman" w:hAnsi="Times New Roman"/>
          <w:sz w:val="20"/>
          <w:szCs w:val="20"/>
        </w:rPr>
        <w:t xml:space="preserve">Figure 3. </w:t>
      </w:r>
      <w:r w:rsidR="00346728">
        <w:rPr>
          <w:rFonts w:ascii="Times New Roman" w:hAnsi="Times New Roman"/>
          <w:sz w:val="20"/>
          <w:szCs w:val="20"/>
        </w:rPr>
        <w:t xml:space="preserve"> </w:t>
      </w:r>
      <w:r w:rsidRPr="0017772F">
        <w:rPr>
          <w:rFonts w:ascii="Times New Roman" w:hAnsi="Times New Roman"/>
          <w:sz w:val="20"/>
          <w:szCs w:val="20"/>
        </w:rPr>
        <w:t>Non-aqueous titration curves of 4-GBA in (a) zero and (a) first order</w:t>
      </w:r>
    </w:p>
    <w:p w14:paraId="7EBD4398" w14:textId="77777777" w:rsidR="00661BC2" w:rsidRDefault="00661BC2" w:rsidP="0017772F">
      <w:pPr>
        <w:spacing w:after="0"/>
        <w:rPr>
          <w:rFonts w:ascii="Times New Roman" w:hAnsi="Times New Roman"/>
          <w:noProof/>
          <w:sz w:val="20"/>
          <w:szCs w:val="20"/>
          <w:lang w:bidi="ar-SA"/>
        </w:rPr>
      </w:pPr>
    </w:p>
    <w:p w14:paraId="3966357B" w14:textId="77777777" w:rsidR="00661BC2" w:rsidRPr="0017772F" w:rsidRDefault="00661BC2" w:rsidP="00661BC2">
      <w:pPr>
        <w:spacing w:after="120"/>
        <w:jc w:val="center"/>
        <w:rPr>
          <w:rFonts w:ascii="Times New Roman" w:hAnsi="Times New Roman"/>
          <w:sz w:val="20"/>
          <w:szCs w:val="20"/>
        </w:rPr>
      </w:pPr>
      <w:r w:rsidRPr="0017772F">
        <w:rPr>
          <w:rFonts w:ascii="Times New Roman" w:hAnsi="Times New Roman"/>
          <w:sz w:val="20"/>
          <w:szCs w:val="20"/>
        </w:rPr>
        <w:t xml:space="preserve">Table 1. </w:t>
      </w:r>
      <w:r>
        <w:rPr>
          <w:rFonts w:ascii="Times New Roman" w:hAnsi="Times New Roman"/>
          <w:sz w:val="20"/>
          <w:szCs w:val="20"/>
        </w:rPr>
        <w:t xml:space="preserve"> </w:t>
      </w:r>
      <w:r w:rsidRPr="0017772F">
        <w:rPr>
          <w:rFonts w:ascii="Times New Roman" w:hAnsi="Times New Roman"/>
          <w:sz w:val="20"/>
          <w:szCs w:val="20"/>
        </w:rPr>
        <w:t>Results of specificity determination</w:t>
      </w:r>
    </w:p>
    <w:tbl>
      <w:tblPr>
        <w:tblStyle w:val="LightShading1"/>
        <w:tblW w:w="0" w:type="auto"/>
        <w:jc w:val="center"/>
        <w:tblLook w:val="04A0" w:firstRow="1" w:lastRow="0" w:firstColumn="1" w:lastColumn="0" w:noHBand="0" w:noVBand="1"/>
      </w:tblPr>
      <w:tblGrid>
        <w:gridCol w:w="716"/>
        <w:gridCol w:w="883"/>
        <w:gridCol w:w="816"/>
        <w:gridCol w:w="1205"/>
        <w:gridCol w:w="661"/>
        <w:gridCol w:w="666"/>
        <w:gridCol w:w="766"/>
        <w:gridCol w:w="1326"/>
      </w:tblGrid>
      <w:tr w:rsidR="00661BC2" w:rsidRPr="0017772F" w14:paraId="63685B9B" w14:textId="77777777" w:rsidTr="006410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11E86AD" w14:textId="77777777" w:rsidR="00661BC2" w:rsidRPr="0017772F" w:rsidRDefault="00661BC2" w:rsidP="0064102E">
            <w:pPr>
              <w:spacing w:before="60" w:after="0"/>
              <w:jc w:val="center"/>
              <w:rPr>
                <w:rFonts w:ascii="Times New Roman" w:hAnsi="Times New Roman" w:cs="Times New Roman"/>
                <w:sz w:val="20"/>
                <w:szCs w:val="20"/>
              </w:rPr>
            </w:pPr>
            <w:r w:rsidRPr="0017772F">
              <w:rPr>
                <w:rFonts w:ascii="Times New Roman" w:hAnsi="Times New Roman" w:cs="Times New Roman"/>
                <w:sz w:val="20"/>
                <w:szCs w:val="20"/>
              </w:rPr>
              <w:t>Entry</w:t>
            </w:r>
          </w:p>
        </w:tc>
        <w:tc>
          <w:tcPr>
            <w:tcW w:w="0" w:type="auto"/>
            <w:tcBorders>
              <w:top w:val="single" w:sz="4" w:space="0" w:color="auto"/>
              <w:bottom w:val="single" w:sz="4" w:space="0" w:color="auto"/>
            </w:tcBorders>
          </w:tcPr>
          <w:p w14:paraId="2B217044" w14:textId="77777777" w:rsidR="00661BC2" w:rsidRPr="0017772F" w:rsidRDefault="00661BC2" w:rsidP="0064102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Method</w:t>
            </w:r>
          </w:p>
        </w:tc>
        <w:tc>
          <w:tcPr>
            <w:tcW w:w="0" w:type="auto"/>
            <w:tcBorders>
              <w:top w:val="single" w:sz="4" w:space="0" w:color="auto"/>
              <w:bottom w:val="single" w:sz="4" w:space="0" w:color="auto"/>
            </w:tcBorders>
          </w:tcPr>
          <w:p w14:paraId="3CDCBD3D" w14:textId="77777777" w:rsidR="00661BC2" w:rsidRPr="0017772F" w:rsidRDefault="00661BC2" w:rsidP="0064102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4-GBA</w:t>
            </w:r>
          </w:p>
          <w:p w14:paraId="7B54B382" w14:textId="77777777" w:rsidR="00661BC2" w:rsidRPr="0017772F" w:rsidRDefault="00661BC2" w:rsidP="0064102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7B778712" w14:textId="77777777" w:rsidR="00661BC2" w:rsidRPr="0017772F" w:rsidRDefault="00661BC2" w:rsidP="0064102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ME-4-GBA</w:t>
            </w:r>
          </w:p>
          <w:p w14:paraId="3385BFB1" w14:textId="77777777" w:rsidR="00661BC2" w:rsidRPr="0017772F" w:rsidRDefault="00661BC2" w:rsidP="0064102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2D17B069" w14:textId="77777777" w:rsidR="00661BC2" w:rsidRPr="0017772F" w:rsidRDefault="00661BC2" w:rsidP="0064102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Mix*</w:t>
            </w:r>
          </w:p>
          <w:p w14:paraId="00D76E16" w14:textId="77777777" w:rsidR="00661BC2" w:rsidRPr="0017772F" w:rsidRDefault="00661BC2" w:rsidP="0064102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63A6EF79" w14:textId="77777777" w:rsidR="00661BC2" w:rsidRPr="0017772F" w:rsidRDefault="00661BC2" w:rsidP="0064102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V</w:t>
            </w:r>
          </w:p>
          <w:p w14:paraId="163DD89E" w14:textId="77777777" w:rsidR="00661BC2" w:rsidRPr="0017772F" w:rsidRDefault="00661BC2" w:rsidP="0064102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(mL)</w:t>
            </w:r>
          </w:p>
        </w:tc>
        <w:tc>
          <w:tcPr>
            <w:tcW w:w="0" w:type="auto"/>
            <w:tcBorders>
              <w:top w:val="single" w:sz="4" w:space="0" w:color="auto"/>
              <w:bottom w:val="single" w:sz="4" w:space="0" w:color="auto"/>
            </w:tcBorders>
          </w:tcPr>
          <w:p w14:paraId="5DABD44D" w14:textId="77777777" w:rsidR="00661BC2" w:rsidRPr="0017772F" w:rsidRDefault="00661BC2" w:rsidP="0064102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Assay</w:t>
            </w:r>
          </w:p>
          <w:p w14:paraId="23FC82F0" w14:textId="77777777" w:rsidR="00661BC2" w:rsidRPr="0017772F" w:rsidRDefault="00661BC2" w:rsidP="0064102E">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0" w:type="auto"/>
            <w:tcBorders>
              <w:top w:val="single" w:sz="4" w:space="0" w:color="auto"/>
              <w:bottom w:val="single" w:sz="4" w:space="0" w:color="auto"/>
            </w:tcBorders>
          </w:tcPr>
          <w:p w14:paraId="2937F96C" w14:textId="77777777" w:rsidR="00661BC2" w:rsidRPr="0017772F" w:rsidRDefault="00661BC2" w:rsidP="0064102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Mean Assay</w:t>
            </w:r>
          </w:p>
        </w:tc>
      </w:tr>
      <w:tr w:rsidR="00661BC2" w:rsidRPr="0017772F" w14:paraId="0EB561C0" w14:textId="77777777" w:rsidTr="006410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358F2C11" w14:textId="77777777" w:rsidR="00661BC2" w:rsidRPr="0017772F" w:rsidRDefault="00661BC2" w:rsidP="0064102E">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w:t>
            </w:r>
          </w:p>
        </w:tc>
        <w:tc>
          <w:tcPr>
            <w:tcW w:w="0" w:type="auto"/>
            <w:vMerge w:val="restart"/>
            <w:tcBorders>
              <w:top w:val="single" w:sz="4" w:space="0" w:color="auto"/>
            </w:tcBorders>
            <w:shd w:val="clear" w:color="auto" w:fill="auto"/>
          </w:tcPr>
          <w:p w14:paraId="509A4B16"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A</w:t>
            </w:r>
          </w:p>
        </w:tc>
        <w:tc>
          <w:tcPr>
            <w:tcW w:w="0" w:type="auto"/>
            <w:tcBorders>
              <w:top w:val="single" w:sz="4" w:space="0" w:color="auto"/>
            </w:tcBorders>
            <w:shd w:val="clear" w:color="auto" w:fill="auto"/>
          </w:tcPr>
          <w:p w14:paraId="4A3F6CB3"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201.5</w:t>
            </w:r>
          </w:p>
        </w:tc>
        <w:tc>
          <w:tcPr>
            <w:tcW w:w="0" w:type="auto"/>
            <w:tcBorders>
              <w:top w:val="single" w:sz="4" w:space="0" w:color="auto"/>
            </w:tcBorders>
            <w:shd w:val="clear" w:color="auto" w:fill="auto"/>
          </w:tcPr>
          <w:p w14:paraId="7E39E378"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w:t>
            </w:r>
          </w:p>
        </w:tc>
        <w:tc>
          <w:tcPr>
            <w:tcW w:w="0" w:type="auto"/>
            <w:tcBorders>
              <w:top w:val="single" w:sz="4" w:space="0" w:color="auto"/>
            </w:tcBorders>
            <w:shd w:val="clear" w:color="auto" w:fill="auto"/>
          </w:tcPr>
          <w:p w14:paraId="0DD867A3"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tcBorders>
              <w:top w:val="single" w:sz="4" w:space="0" w:color="auto"/>
            </w:tcBorders>
            <w:shd w:val="clear" w:color="auto" w:fill="auto"/>
          </w:tcPr>
          <w:p w14:paraId="420C8133"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6.275</w:t>
            </w:r>
          </w:p>
        </w:tc>
        <w:tc>
          <w:tcPr>
            <w:tcW w:w="0" w:type="auto"/>
            <w:tcBorders>
              <w:top w:val="single" w:sz="4" w:space="0" w:color="auto"/>
            </w:tcBorders>
            <w:shd w:val="clear" w:color="auto" w:fill="auto"/>
          </w:tcPr>
          <w:p w14:paraId="74C56913"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99.7</w:t>
            </w:r>
          </w:p>
        </w:tc>
        <w:tc>
          <w:tcPr>
            <w:tcW w:w="0" w:type="auto"/>
            <w:vMerge w:val="restart"/>
            <w:tcBorders>
              <w:top w:val="single" w:sz="4" w:space="0" w:color="auto"/>
            </w:tcBorders>
            <w:shd w:val="clear" w:color="auto" w:fill="auto"/>
          </w:tcPr>
          <w:p w14:paraId="545CFF27"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100.08 ± 0.59</w:t>
            </w:r>
          </w:p>
        </w:tc>
      </w:tr>
      <w:tr w:rsidR="00661BC2" w:rsidRPr="0017772F" w14:paraId="45ECCD95" w14:textId="77777777" w:rsidTr="0064102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73A969" w14:textId="77777777" w:rsidR="00661BC2" w:rsidRPr="0017772F" w:rsidRDefault="00661BC2" w:rsidP="0064102E">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2</w:t>
            </w:r>
          </w:p>
        </w:tc>
        <w:tc>
          <w:tcPr>
            <w:tcW w:w="0" w:type="auto"/>
            <w:vMerge/>
            <w:shd w:val="clear" w:color="auto" w:fill="auto"/>
          </w:tcPr>
          <w:p w14:paraId="733716DB"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2374B71D"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198.3</w:t>
            </w:r>
          </w:p>
        </w:tc>
        <w:tc>
          <w:tcPr>
            <w:tcW w:w="0" w:type="auto"/>
            <w:shd w:val="clear" w:color="auto" w:fill="auto"/>
          </w:tcPr>
          <w:p w14:paraId="4FA18836"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50.3</w:t>
            </w:r>
          </w:p>
        </w:tc>
        <w:tc>
          <w:tcPr>
            <w:tcW w:w="0" w:type="auto"/>
            <w:shd w:val="clear" w:color="auto" w:fill="auto"/>
          </w:tcPr>
          <w:p w14:paraId="02F34DB2"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4AF8637B"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6.150</w:t>
            </w:r>
          </w:p>
        </w:tc>
        <w:tc>
          <w:tcPr>
            <w:tcW w:w="0" w:type="auto"/>
            <w:shd w:val="clear" w:color="auto" w:fill="auto"/>
          </w:tcPr>
          <w:p w14:paraId="360D39E8"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100.1</w:t>
            </w:r>
          </w:p>
        </w:tc>
        <w:tc>
          <w:tcPr>
            <w:tcW w:w="0" w:type="auto"/>
            <w:vMerge/>
            <w:shd w:val="clear" w:color="auto" w:fill="auto"/>
          </w:tcPr>
          <w:p w14:paraId="34734A0E"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61BC2" w:rsidRPr="0017772F" w14:paraId="53F9BDCF" w14:textId="77777777" w:rsidTr="006410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97A672" w14:textId="77777777" w:rsidR="00661BC2" w:rsidRPr="0017772F" w:rsidRDefault="00661BC2" w:rsidP="0064102E">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3</w:t>
            </w:r>
          </w:p>
        </w:tc>
        <w:tc>
          <w:tcPr>
            <w:tcW w:w="0" w:type="auto"/>
            <w:vMerge/>
            <w:shd w:val="clear" w:color="auto" w:fill="auto"/>
          </w:tcPr>
          <w:p w14:paraId="5CD92AAB"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1246D85C"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200.1</w:t>
            </w:r>
          </w:p>
        </w:tc>
        <w:tc>
          <w:tcPr>
            <w:tcW w:w="0" w:type="auto"/>
            <w:shd w:val="clear" w:color="auto" w:fill="auto"/>
          </w:tcPr>
          <w:p w14:paraId="42E70D06"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103.2</w:t>
            </w:r>
          </w:p>
        </w:tc>
        <w:tc>
          <w:tcPr>
            <w:tcW w:w="0" w:type="auto"/>
            <w:shd w:val="clear" w:color="auto" w:fill="auto"/>
          </w:tcPr>
          <w:p w14:paraId="34EB8396"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4A23D441"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6.225</w:t>
            </w:r>
          </w:p>
        </w:tc>
        <w:tc>
          <w:tcPr>
            <w:tcW w:w="0" w:type="auto"/>
            <w:shd w:val="clear" w:color="auto" w:fill="auto"/>
          </w:tcPr>
          <w:p w14:paraId="5B929562"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99.8</w:t>
            </w:r>
          </w:p>
        </w:tc>
        <w:tc>
          <w:tcPr>
            <w:tcW w:w="0" w:type="auto"/>
            <w:vMerge/>
            <w:shd w:val="clear" w:color="auto" w:fill="auto"/>
          </w:tcPr>
          <w:p w14:paraId="2179AD4A"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61BC2" w:rsidRPr="0017772F" w14:paraId="548EDAAA" w14:textId="77777777" w:rsidTr="0064102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F38471" w14:textId="77777777" w:rsidR="00661BC2" w:rsidRPr="0017772F" w:rsidRDefault="00661BC2" w:rsidP="0064102E">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4</w:t>
            </w:r>
          </w:p>
        </w:tc>
        <w:tc>
          <w:tcPr>
            <w:tcW w:w="0" w:type="auto"/>
            <w:vMerge/>
            <w:shd w:val="clear" w:color="auto" w:fill="auto"/>
          </w:tcPr>
          <w:p w14:paraId="4F2CBF83"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02BBE3FA"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196.3</w:t>
            </w:r>
          </w:p>
        </w:tc>
        <w:tc>
          <w:tcPr>
            <w:tcW w:w="0" w:type="auto"/>
            <w:shd w:val="clear" w:color="auto" w:fill="auto"/>
          </w:tcPr>
          <w:p w14:paraId="7D25AA0F"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154.8</w:t>
            </w:r>
          </w:p>
        </w:tc>
        <w:tc>
          <w:tcPr>
            <w:tcW w:w="0" w:type="auto"/>
            <w:shd w:val="clear" w:color="auto" w:fill="auto"/>
          </w:tcPr>
          <w:p w14:paraId="28FA0327"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1A57C9C2"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6.025</w:t>
            </w:r>
          </w:p>
        </w:tc>
        <w:tc>
          <w:tcPr>
            <w:tcW w:w="0" w:type="auto"/>
            <w:shd w:val="clear" w:color="auto" w:fill="auto"/>
          </w:tcPr>
          <w:p w14:paraId="34E3E21B"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0" w:type="auto"/>
            <w:vMerge/>
            <w:shd w:val="clear" w:color="auto" w:fill="auto"/>
          </w:tcPr>
          <w:p w14:paraId="2565FC5A"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61BC2" w:rsidRPr="0017772F" w14:paraId="3CE06BA7" w14:textId="77777777" w:rsidTr="006410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67A106" w14:textId="77777777" w:rsidR="00661BC2" w:rsidRPr="0017772F" w:rsidRDefault="00661BC2" w:rsidP="0064102E">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5</w:t>
            </w:r>
          </w:p>
        </w:tc>
        <w:tc>
          <w:tcPr>
            <w:tcW w:w="0" w:type="auto"/>
            <w:vMerge/>
            <w:shd w:val="clear" w:color="auto" w:fill="auto"/>
          </w:tcPr>
          <w:p w14:paraId="2D9920EC"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690CAFC"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204.8</w:t>
            </w:r>
          </w:p>
        </w:tc>
        <w:tc>
          <w:tcPr>
            <w:tcW w:w="0" w:type="auto"/>
            <w:shd w:val="clear" w:color="auto" w:fill="auto"/>
          </w:tcPr>
          <w:p w14:paraId="5BC809CD"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201.3</w:t>
            </w:r>
          </w:p>
        </w:tc>
        <w:tc>
          <w:tcPr>
            <w:tcW w:w="0" w:type="auto"/>
            <w:shd w:val="clear" w:color="auto" w:fill="auto"/>
          </w:tcPr>
          <w:p w14:paraId="242CD8AA"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6780A768"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6.375</w:t>
            </w:r>
          </w:p>
        </w:tc>
        <w:tc>
          <w:tcPr>
            <w:tcW w:w="0" w:type="auto"/>
            <w:shd w:val="clear" w:color="auto" w:fill="auto"/>
          </w:tcPr>
          <w:p w14:paraId="4DA31CB8"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99.7</w:t>
            </w:r>
          </w:p>
        </w:tc>
        <w:tc>
          <w:tcPr>
            <w:tcW w:w="0" w:type="auto"/>
            <w:vMerge/>
            <w:shd w:val="clear" w:color="auto" w:fill="auto"/>
          </w:tcPr>
          <w:p w14:paraId="059193D1"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61BC2" w:rsidRPr="0017772F" w14:paraId="26276E37" w14:textId="77777777" w:rsidTr="0064102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8EBE63" w14:textId="77777777" w:rsidR="00661BC2" w:rsidRPr="0017772F" w:rsidRDefault="00661BC2" w:rsidP="0064102E">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6</w:t>
            </w:r>
          </w:p>
        </w:tc>
        <w:tc>
          <w:tcPr>
            <w:tcW w:w="0" w:type="auto"/>
            <w:vMerge/>
            <w:shd w:val="clear" w:color="auto" w:fill="auto"/>
          </w:tcPr>
          <w:p w14:paraId="672A91D6"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729AF95"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200.4</w:t>
            </w:r>
          </w:p>
        </w:tc>
        <w:tc>
          <w:tcPr>
            <w:tcW w:w="0" w:type="auto"/>
            <w:shd w:val="clear" w:color="auto" w:fill="auto"/>
          </w:tcPr>
          <w:p w14:paraId="4541D619"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0</w:t>
            </w:r>
          </w:p>
        </w:tc>
        <w:tc>
          <w:tcPr>
            <w:tcW w:w="0" w:type="auto"/>
            <w:shd w:val="clear" w:color="auto" w:fill="auto"/>
          </w:tcPr>
          <w:p w14:paraId="09BF574D"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w:t>
            </w:r>
          </w:p>
        </w:tc>
        <w:tc>
          <w:tcPr>
            <w:tcW w:w="0" w:type="auto"/>
            <w:shd w:val="clear" w:color="auto" w:fill="auto"/>
          </w:tcPr>
          <w:p w14:paraId="0C84CCC3"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6.335</w:t>
            </w:r>
          </w:p>
        </w:tc>
        <w:tc>
          <w:tcPr>
            <w:tcW w:w="0" w:type="auto"/>
            <w:shd w:val="clear" w:color="auto" w:fill="auto"/>
          </w:tcPr>
          <w:p w14:paraId="5DB0199F"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101.79</w:t>
            </w:r>
          </w:p>
        </w:tc>
        <w:tc>
          <w:tcPr>
            <w:tcW w:w="0" w:type="auto"/>
            <w:vMerge w:val="restart"/>
            <w:shd w:val="clear" w:color="auto" w:fill="auto"/>
          </w:tcPr>
          <w:p w14:paraId="47D3DF39" w14:textId="77777777" w:rsidR="00661BC2" w:rsidRPr="0017772F" w:rsidRDefault="00661BC2" w:rsidP="006410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 xml:space="preserve">100.12 </w:t>
            </w:r>
            <w:r w:rsidRPr="0017772F">
              <w:rPr>
                <w:rFonts w:ascii="Times New Roman" w:hAnsi="Times New Roman" w:cs="Times New Roman"/>
                <w:sz w:val="20"/>
                <w:szCs w:val="20"/>
              </w:rPr>
              <w:t>±</w:t>
            </w:r>
            <w:r w:rsidRPr="0017772F">
              <w:rPr>
                <w:rFonts w:ascii="Times New Roman" w:hAnsi="Times New Roman" w:cs="Times New Roman"/>
                <w:sz w:val="20"/>
                <w:szCs w:val="20"/>
                <w:lang w:val="ru-RU"/>
              </w:rPr>
              <w:t xml:space="preserve"> 1</w:t>
            </w:r>
            <w:r w:rsidRPr="0017772F">
              <w:rPr>
                <w:rFonts w:ascii="Times New Roman" w:hAnsi="Times New Roman" w:cs="Times New Roman"/>
                <w:sz w:val="20"/>
                <w:szCs w:val="20"/>
                <w:lang w:val="en-MY"/>
              </w:rPr>
              <w:t>.</w:t>
            </w:r>
            <w:r w:rsidRPr="0017772F">
              <w:rPr>
                <w:rFonts w:ascii="Times New Roman" w:hAnsi="Times New Roman" w:cs="Times New Roman"/>
                <w:sz w:val="20"/>
                <w:szCs w:val="20"/>
                <w:lang w:val="ru-RU"/>
              </w:rPr>
              <w:t>18</w:t>
            </w:r>
          </w:p>
        </w:tc>
      </w:tr>
      <w:tr w:rsidR="00661BC2" w:rsidRPr="0017772F" w14:paraId="74451A58" w14:textId="77777777" w:rsidTr="006410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BC0C05" w14:textId="77777777" w:rsidR="00661BC2" w:rsidRPr="0017772F" w:rsidRDefault="00661BC2" w:rsidP="0064102E">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7</w:t>
            </w:r>
          </w:p>
        </w:tc>
        <w:tc>
          <w:tcPr>
            <w:tcW w:w="0" w:type="auto"/>
            <w:vMerge/>
            <w:shd w:val="clear" w:color="auto" w:fill="auto"/>
          </w:tcPr>
          <w:p w14:paraId="36260611"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BC38361"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198.4</w:t>
            </w:r>
          </w:p>
        </w:tc>
        <w:tc>
          <w:tcPr>
            <w:tcW w:w="0" w:type="auto"/>
            <w:shd w:val="clear" w:color="auto" w:fill="auto"/>
          </w:tcPr>
          <w:p w14:paraId="46940BD6"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0</w:t>
            </w:r>
          </w:p>
        </w:tc>
        <w:tc>
          <w:tcPr>
            <w:tcW w:w="0" w:type="auto"/>
            <w:shd w:val="clear" w:color="auto" w:fill="auto"/>
          </w:tcPr>
          <w:p w14:paraId="3896E44A"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w:t>
            </w:r>
          </w:p>
        </w:tc>
        <w:tc>
          <w:tcPr>
            <w:tcW w:w="0" w:type="auto"/>
            <w:shd w:val="clear" w:color="auto" w:fill="auto"/>
          </w:tcPr>
          <w:p w14:paraId="0FC0B2AB"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rPr>
              <w:t>6.</w:t>
            </w:r>
            <w:r w:rsidRPr="0017772F">
              <w:rPr>
                <w:rFonts w:ascii="Times New Roman" w:hAnsi="Times New Roman" w:cs="Times New Roman"/>
                <w:sz w:val="20"/>
                <w:szCs w:val="20"/>
                <w:lang w:val="ru-RU"/>
              </w:rPr>
              <w:t>125</w:t>
            </w:r>
          </w:p>
        </w:tc>
        <w:tc>
          <w:tcPr>
            <w:tcW w:w="0" w:type="auto"/>
            <w:shd w:val="clear" w:color="auto" w:fill="auto"/>
          </w:tcPr>
          <w:p w14:paraId="6E92FE0B" w14:textId="77777777" w:rsidR="00661BC2" w:rsidRPr="0017772F" w:rsidRDefault="00661BC2" w:rsidP="0064102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rPr>
              <w:t>9</w:t>
            </w:r>
            <w:r w:rsidRPr="0017772F">
              <w:rPr>
                <w:rFonts w:ascii="Times New Roman" w:hAnsi="Times New Roman" w:cs="Times New Roman"/>
                <w:sz w:val="20"/>
                <w:szCs w:val="20"/>
                <w:lang w:val="ru-RU"/>
              </w:rPr>
              <w:t>9</w:t>
            </w:r>
            <w:r w:rsidRPr="0017772F">
              <w:rPr>
                <w:rFonts w:ascii="Times New Roman" w:hAnsi="Times New Roman" w:cs="Times New Roman"/>
                <w:sz w:val="20"/>
                <w:szCs w:val="20"/>
              </w:rPr>
              <w:t>.</w:t>
            </w:r>
            <w:r w:rsidRPr="0017772F">
              <w:rPr>
                <w:rFonts w:ascii="Times New Roman" w:hAnsi="Times New Roman" w:cs="Times New Roman"/>
                <w:sz w:val="20"/>
                <w:szCs w:val="20"/>
                <w:lang w:val="ru-RU"/>
              </w:rPr>
              <w:t>41</w:t>
            </w:r>
          </w:p>
        </w:tc>
        <w:tc>
          <w:tcPr>
            <w:tcW w:w="0" w:type="auto"/>
            <w:vMerge/>
            <w:shd w:val="clear" w:color="auto" w:fill="auto"/>
          </w:tcPr>
          <w:p w14:paraId="1828E77B" w14:textId="77777777" w:rsidR="00661BC2" w:rsidRPr="0017772F" w:rsidRDefault="00661BC2" w:rsidP="0064102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61BC2" w:rsidRPr="0017772F" w14:paraId="41650737" w14:textId="77777777" w:rsidTr="0064102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1098CF" w14:textId="77777777" w:rsidR="00661BC2" w:rsidRPr="0017772F" w:rsidRDefault="00661BC2" w:rsidP="00661BC2">
            <w:pPr>
              <w:spacing w:after="6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8</w:t>
            </w:r>
          </w:p>
        </w:tc>
        <w:tc>
          <w:tcPr>
            <w:tcW w:w="0" w:type="auto"/>
            <w:vMerge/>
            <w:shd w:val="clear" w:color="auto" w:fill="auto"/>
          </w:tcPr>
          <w:p w14:paraId="09C2F3FA"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171668D5"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203.1</w:t>
            </w:r>
          </w:p>
        </w:tc>
        <w:tc>
          <w:tcPr>
            <w:tcW w:w="0" w:type="auto"/>
            <w:shd w:val="clear" w:color="auto" w:fill="auto"/>
          </w:tcPr>
          <w:p w14:paraId="51C070E5"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0</w:t>
            </w:r>
          </w:p>
        </w:tc>
        <w:tc>
          <w:tcPr>
            <w:tcW w:w="0" w:type="auto"/>
            <w:shd w:val="clear" w:color="auto" w:fill="auto"/>
          </w:tcPr>
          <w:p w14:paraId="5EB7DFE6"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300</w:t>
            </w:r>
          </w:p>
        </w:tc>
        <w:tc>
          <w:tcPr>
            <w:tcW w:w="0" w:type="auto"/>
            <w:shd w:val="clear" w:color="auto" w:fill="auto"/>
          </w:tcPr>
          <w:p w14:paraId="4F156B2C"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6.255</w:t>
            </w:r>
          </w:p>
        </w:tc>
        <w:tc>
          <w:tcPr>
            <w:tcW w:w="0" w:type="auto"/>
            <w:shd w:val="clear" w:color="auto" w:fill="auto"/>
          </w:tcPr>
          <w:p w14:paraId="03BD510D"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99.17</w:t>
            </w:r>
          </w:p>
        </w:tc>
        <w:tc>
          <w:tcPr>
            <w:tcW w:w="0" w:type="auto"/>
            <w:vMerge/>
            <w:shd w:val="clear" w:color="auto" w:fill="auto"/>
          </w:tcPr>
          <w:p w14:paraId="10DB1FF0" w14:textId="77777777" w:rsidR="00661BC2" w:rsidRPr="0017772F" w:rsidRDefault="00661BC2" w:rsidP="00661BC2">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320280B2" w14:textId="77777777" w:rsidR="00E4499E" w:rsidRDefault="00E4499E" w:rsidP="00661BC2">
      <w:pPr>
        <w:spacing w:after="120"/>
        <w:jc w:val="center"/>
        <w:rPr>
          <w:rFonts w:ascii="Times New Roman" w:hAnsi="Times New Roman"/>
          <w:sz w:val="20"/>
          <w:szCs w:val="20"/>
        </w:rPr>
      </w:pPr>
    </w:p>
    <w:p w14:paraId="4834F6BF" w14:textId="5EA318FD" w:rsidR="00346728" w:rsidRPr="0017772F" w:rsidRDefault="00346728" w:rsidP="00661BC2">
      <w:pPr>
        <w:spacing w:after="120"/>
        <w:jc w:val="center"/>
        <w:rPr>
          <w:rFonts w:ascii="Times New Roman" w:hAnsi="Times New Roman"/>
          <w:sz w:val="20"/>
          <w:szCs w:val="20"/>
        </w:rPr>
      </w:pPr>
      <w:r w:rsidRPr="0017772F">
        <w:rPr>
          <w:rFonts w:ascii="Times New Roman" w:hAnsi="Times New Roman"/>
          <w:sz w:val="20"/>
          <w:szCs w:val="20"/>
        </w:rPr>
        <w:lastRenderedPageBreak/>
        <w:t>Table 1</w:t>
      </w:r>
      <w:r w:rsidR="00661BC2">
        <w:rPr>
          <w:rFonts w:ascii="Times New Roman" w:hAnsi="Times New Roman"/>
          <w:sz w:val="20"/>
          <w:szCs w:val="20"/>
        </w:rPr>
        <w:t xml:space="preserve"> (cont’d)</w:t>
      </w:r>
      <w:r w:rsidRPr="0017772F">
        <w:rPr>
          <w:rFonts w:ascii="Times New Roman" w:hAnsi="Times New Roman"/>
          <w:sz w:val="20"/>
          <w:szCs w:val="20"/>
        </w:rPr>
        <w:t xml:space="preserve">. </w:t>
      </w:r>
      <w:r>
        <w:rPr>
          <w:rFonts w:ascii="Times New Roman" w:hAnsi="Times New Roman"/>
          <w:sz w:val="20"/>
          <w:szCs w:val="20"/>
        </w:rPr>
        <w:t xml:space="preserve"> </w:t>
      </w:r>
      <w:r w:rsidRPr="0017772F">
        <w:rPr>
          <w:rFonts w:ascii="Times New Roman" w:hAnsi="Times New Roman"/>
          <w:sz w:val="20"/>
          <w:szCs w:val="20"/>
        </w:rPr>
        <w:t>Results of specificity determination</w:t>
      </w:r>
    </w:p>
    <w:tbl>
      <w:tblPr>
        <w:tblStyle w:val="LightShading1"/>
        <w:tblW w:w="0" w:type="auto"/>
        <w:jc w:val="center"/>
        <w:tblLook w:val="04A0" w:firstRow="1" w:lastRow="0" w:firstColumn="1" w:lastColumn="0" w:noHBand="0" w:noVBand="1"/>
      </w:tblPr>
      <w:tblGrid>
        <w:gridCol w:w="716"/>
        <w:gridCol w:w="883"/>
        <w:gridCol w:w="816"/>
        <w:gridCol w:w="1205"/>
        <w:gridCol w:w="661"/>
        <w:gridCol w:w="650"/>
        <w:gridCol w:w="717"/>
        <w:gridCol w:w="1326"/>
      </w:tblGrid>
      <w:tr w:rsidR="00346728" w:rsidRPr="0017772F" w14:paraId="7DE2AECF" w14:textId="77777777" w:rsidTr="0034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2EADE92" w14:textId="77777777" w:rsidR="00346728" w:rsidRPr="0017772F" w:rsidRDefault="00346728" w:rsidP="00346728">
            <w:pPr>
              <w:spacing w:before="60" w:after="0"/>
              <w:jc w:val="center"/>
              <w:rPr>
                <w:rFonts w:ascii="Times New Roman" w:hAnsi="Times New Roman" w:cs="Times New Roman"/>
                <w:sz w:val="20"/>
                <w:szCs w:val="20"/>
              </w:rPr>
            </w:pPr>
            <w:r w:rsidRPr="0017772F">
              <w:rPr>
                <w:rFonts w:ascii="Times New Roman" w:hAnsi="Times New Roman" w:cs="Times New Roman"/>
                <w:sz w:val="20"/>
                <w:szCs w:val="20"/>
              </w:rPr>
              <w:t>Entry</w:t>
            </w:r>
          </w:p>
        </w:tc>
        <w:tc>
          <w:tcPr>
            <w:tcW w:w="0" w:type="auto"/>
            <w:tcBorders>
              <w:top w:val="single" w:sz="4" w:space="0" w:color="auto"/>
              <w:bottom w:val="single" w:sz="4" w:space="0" w:color="auto"/>
            </w:tcBorders>
          </w:tcPr>
          <w:p w14:paraId="77695111"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Method</w:t>
            </w:r>
          </w:p>
        </w:tc>
        <w:tc>
          <w:tcPr>
            <w:tcW w:w="0" w:type="auto"/>
            <w:tcBorders>
              <w:top w:val="single" w:sz="4" w:space="0" w:color="auto"/>
              <w:bottom w:val="single" w:sz="4" w:space="0" w:color="auto"/>
            </w:tcBorders>
          </w:tcPr>
          <w:p w14:paraId="1E57E4B3" w14:textId="3D257D8F"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4-GBA</w:t>
            </w:r>
          </w:p>
          <w:p w14:paraId="2CED73AE"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2C7BAD15" w14:textId="624EB116"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ME-4-GBA</w:t>
            </w:r>
          </w:p>
          <w:p w14:paraId="1FABD46D"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1E010C40"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Mix*</w:t>
            </w:r>
          </w:p>
          <w:p w14:paraId="293FC500"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(mg)</w:t>
            </w:r>
          </w:p>
        </w:tc>
        <w:tc>
          <w:tcPr>
            <w:tcW w:w="0" w:type="auto"/>
            <w:tcBorders>
              <w:top w:val="single" w:sz="4" w:space="0" w:color="auto"/>
              <w:bottom w:val="single" w:sz="4" w:space="0" w:color="auto"/>
            </w:tcBorders>
          </w:tcPr>
          <w:p w14:paraId="0E754AFF"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V</w:t>
            </w:r>
          </w:p>
          <w:p w14:paraId="44CAE2BE"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(mL)</w:t>
            </w:r>
          </w:p>
        </w:tc>
        <w:tc>
          <w:tcPr>
            <w:tcW w:w="0" w:type="auto"/>
            <w:tcBorders>
              <w:top w:val="single" w:sz="4" w:space="0" w:color="auto"/>
              <w:bottom w:val="single" w:sz="4" w:space="0" w:color="auto"/>
            </w:tcBorders>
          </w:tcPr>
          <w:p w14:paraId="36695F27"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Assay</w:t>
            </w:r>
          </w:p>
          <w:p w14:paraId="037423A1" w14:textId="77777777" w:rsidR="00346728" w:rsidRPr="0017772F" w:rsidRDefault="00346728" w:rsidP="00346728">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0" w:type="auto"/>
            <w:tcBorders>
              <w:top w:val="single" w:sz="4" w:space="0" w:color="auto"/>
              <w:bottom w:val="single" w:sz="4" w:space="0" w:color="auto"/>
            </w:tcBorders>
          </w:tcPr>
          <w:p w14:paraId="19877D68" w14:textId="77777777" w:rsidR="00346728" w:rsidRPr="0017772F" w:rsidRDefault="00346728" w:rsidP="00346728">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Mean Assay</w:t>
            </w:r>
          </w:p>
        </w:tc>
      </w:tr>
      <w:tr w:rsidR="00346728" w:rsidRPr="0017772F" w14:paraId="372A4982"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B6A0C1" w14:textId="77777777" w:rsidR="00346728" w:rsidRPr="0017772F" w:rsidRDefault="00346728" w:rsidP="00346728">
            <w:pPr>
              <w:spacing w:before="12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9</w:t>
            </w:r>
          </w:p>
        </w:tc>
        <w:tc>
          <w:tcPr>
            <w:tcW w:w="0" w:type="auto"/>
            <w:vMerge w:val="restart"/>
            <w:shd w:val="clear" w:color="auto" w:fill="auto"/>
          </w:tcPr>
          <w:p w14:paraId="3741F95C"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B</w:t>
            </w:r>
          </w:p>
        </w:tc>
        <w:tc>
          <w:tcPr>
            <w:tcW w:w="0" w:type="auto"/>
            <w:shd w:val="clear" w:color="auto" w:fill="auto"/>
          </w:tcPr>
          <w:p w14:paraId="790811D0"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200.3</w:t>
            </w:r>
          </w:p>
        </w:tc>
        <w:tc>
          <w:tcPr>
            <w:tcW w:w="0" w:type="auto"/>
            <w:shd w:val="clear" w:color="auto" w:fill="auto"/>
          </w:tcPr>
          <w:p w14:paraId="45A05F22"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w:t>
            </w:r>
          </w:p>
        </w:tc>
        <w:tc>
          <w:tcPr>
            <w:tcW w:w="0" w:type="auto"/>
            <w:shd w:val="clear" w:color="auto" w:fill="auto"/>
          </w:tcPr>
          <w:p w14:paraId="346E7DE2"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0DE01B79"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w:t>
            </w:r>
          </w:p>
        </w:tc>
        <w:tc>
          <w:tcPr>
            <w:tcW w:w="0" w:type="auto"/>
            <w:shd w:val="clear" w:color="auto" w:fill="auto"/>
          </w:tcPr>
          <w:p w14:paraId="698AB8A9"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98.7</w:t>
            </w:r>
          </w:p>
        </w:tc>
        <w:tc>
          <w:tcPr>
            <w:tcW w:w="0" w:type="auto"/>
            <w:vMerge w:val="restart"/>
            <w:shd w:val="clear" w:color="auto" w:fill="auto"/>
          </w:tcPr>
          <w:p w14:paraId="09DB2515" w14:textId="77777777" w:rsidR="00346728" w:rsidRPr="0017772F" w:rsidRDefault="00346728" w:rsidP="00346728">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100.56 ± 1.43</w:t>
            </w:r>
          </w:p>
        </w:tc>
      </w:tr>
      <w:tr w:rsidR="00346728" w:rsidRPr="0017772F" w14:paraId="5C63E836"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2C083"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10</w:t>
            </w:r>
          </w:p>
        </w:tc>
        <w:tc>
          <w:tcPr>
            <w:tcW w:w="0" w:type="auto"/>
            <w:vMerge/>
            <w:shd w:val="clear" w:color="auto" w:fill="auto"/>
          </w:tcPr>
          <w:p w14:paraId="3DB05BF3"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31C44495"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199.6</w:t>
            </w:r>
          </w:p>
        </w:tc>
        <w:tc>
          <w:tcPr>
            <w:tcW w:w="0" w:type="auto"/>
            <w:shd w:val="clear" w:color="auto" w:fill="auto"/>
          </w:tcPr>
          <w:p w14:paraId="5187D0A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49.7</w:t>
            </w:r>
          </w:p>
        </w:tc>
        <w:tc>
          <w:tcPr>
            <w:tcW w:w="0" w:type="auto"/>
            <w:shd w:val="clear" w:color="auto" w:fill="auto"/>
          </w:tcPr>
          <w:p w14:paraId="625CB6A3"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19D783DA"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6.1</w:t>
            </w:r>
          </w:p>
        </w:tc>
        <w:tc>
          <w:tcPr>
            <w:tcW w:w="0" w:type="auto"/>
            <w:shd w:val="clear" w:color="auto" w:fill="auto"/>
          </w:tcPr>
          <w:p w14:paraId="7BEA069A"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101.6</w:t>
            </w:r>
          </w:p>
        </w:tc>
        <w:tc>
          <w:tcPr>
            <w:tcW w:w="0" w:type="auto"/>
            <w:vMerge/>
            <w:shd w:val="clear" w:color="auto" w:fill="auto"/>
          </w:tcPr>
          <w:p w14:paraId="5C0C3BED"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457D5D37"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D035C8"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11</w:t>
            </w:r>
          </w:p>
        </w:tc>
        <w:tc>
          <w:tcPr>
            <w:tcW w:w="0" w:type="auto"/>
            <w:vMerge/>
            <w:shd w:val="clear" w:color="auto" w:fill="auto"/>
          </w:tcPr>
          <w:p w14:paraId="71AC3583"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768DC62B"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201.7</w:t>
            </w:r>
          </w:p>
        </w:tc>
        <w:tc>
          <w:tcPr>
            <w:tcW w:w="0" w:type="auto"/>
            <w:shd w:val="clear" w:color="auto" w:fill="auto"/>
          </w:tcPr>
          <w:p w14:paraId="37F848E5"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0" w:type="auto"/>
            <w:shd w:val="clear" w:color="auto" w:fill="auto"/>
          </w:tcPr>
          <w:p w14:paraId="4B115AF9"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73DBDDDE"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6.3</w:t>
            </w:r>
          </w:p>
        </w:tc>
        <w:tc>
          <w:tcPr>
            <w:tcW w:w="0" w:type="auto"/>
            <w:shd w:val="clear" w:color="auto" w:fill="auto"/>
          </w:tcPr>
          <w:p w14:paraId="54DB7E90"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99.4</w:t>
            </w:r>
          </w:p>
        </w:tc>
        <w:tc>
          <w:tcPr>
            <w:tcW w:w="0" w:type="auto"/>
            <w:vMerge/>
            <w:shd w:val="clear" w:color="auto" w:fill="auto"/>
          </w:tcPr>
          <w:p w14:paraId="03935054"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7D63BE57"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6DD162"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12</w:t>
            </w:r>
          </w:p>
        </w:tc>
        <w:tc>
          <w:tcPr>
            <w:tcW w:w="0" w:type="auto"/>
            <w:vMerge/>
            <w:shd w:val="clear" w:color="auto" w:fill="auto"/>
          </w:tcPr>
          <w:p w14:paraId="1106849B"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4219E648"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200.4</w:t>
            </w:r>
          </w:p>
        </w:tc>
        <w:tc>
          <w:tcPr>
            <w:tcW w:w="0" w:type="auto"/>
            <w:shd w:val="clear" w:color="auto" w:fill="auto"/>
          </w:tcPr>
          <w:p w14:paraId="76A425EE"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150.5</w:t>
            </w:r>
          </w:p>
        </w:tc>
        <w:tc>
          <w:tcPr>
            <w:tcW w:w="0" w:type="auto"/>
            <w:shd w:val="clear" w:color="auto" w:fill="auto"/>
          </w:tcPr>
          <w:p w14:paraId="12500A22"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23A178C5"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w:t>
            </w:r>
          </w:p>
        </w:tc>
        <w:tc>
          <w:tcPr>
            <w:tcW w:w="0" w:type="auto"/>
            <w:shd w:val="clear" w:color="auto" w:fill="auto"/>
          </w:tcPr>
          <w:p w14:paraId="04A2DCCF"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102.0</w:t>
            </w:r>
          </w:p>
        </w:tc>
        <w:tc>
          <w:tcPr>
            <w:tcW w:w="0" w:type="auto"/>
            <w:vMerge/>
            <w:shd w:val="clear" w:color="auto" w:fill="auto"/>
          </w:tcPr>
          <w:p w14:paraId="76FDB05C"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39DC826D"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A18CC"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13</w:t>
            </w:r>
          </w:p>
        </w:tc>
        <w:tc>
          <w:tcPr>
            <w:tcW w:w="0" w:type="auto"/>
            <w:vMerge/>
            <w:shd w:val="clear" w:color="auto" w:fill="auto"/>
          </w:tcPr>
          <w:p w14:paraId="2AE63A6E"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5D5C4C3A"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198.8</w:t>
            </w:r>
          </w:p>
        </w:tc>
        <w:tc>
          <w:tcPr>
            <w:tcW w:w="0" w:type="auto"/>
            <w:shd w:val="clear" w:color="auto" w:fill="auto"/>
          </w:tcPr>
          <w:p w14:paraId="38E524BD"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198.7</w:t>
            </w:r>
          </w:p>
        </w:tc>
        <w:tc>
          <w:tcPr>
            <w:tcW w:w="0" w:type="auto"/>
            <w:shd w:val="clear" w:color="auto" w:fill="auto"/>
          </w:tcPr>
          <w:p w14:paraId="49BF2E11"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46571FFC"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6.2</w:t>
            </w:r>
          </w:p>
        </w:tc>
        <w:tc>
          <w:tcPr>
            <w:tcW w:w="0" w:type="auto"/>
            <w:shd w:val="clear" w:color="auto" w:fill="auto"/>
          </w:tcPr>
          <w:p w14:paraId="1772F046"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0" w:type="auto"/>
            <w:vMerge/>
            <w:shd w:val="clear" w:color="auto" w:fill="auto"/>
          </w:tcPr>
          <w:p w14:paraId="2F786C39"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38E383E6"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846085"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14</w:t>
            </w:r>
          </w:p>
        </w:tc>
        <w:tc>
          <w:tcPr>
            <w:tcW w:w="0" w:type="auto"/>
            <w:vMerge/>
            <w:shd w:val="clear" w:color="auto" w:fill="auto"/>
          </w:tcPr>
          <w:p w14:paraId="0077AEC1"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0A77CCD3"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199.4</w:t>
            </w:r>
          </w:p>
        </w:tc>
        <w:tc>
          <w:tcPr>
            <w:tcW w:w="0" w:type="auto"/>
            <w:shd w:val="clear" w:color="auto" w:fill="auto"/>
          </w:tcPr>
          <w:p w14:paraId="30F982A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shd w:val="clear" w:color="auto" w:fill="auto"/>
          </w:tcPr>
          <w:p w14:paraId="6F1661B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w:t>
            </w:r>
          </w:p>
        </w:tc>
        <w:tc>
          <w:tcPr>
            <w:tcW w:w="0" w:type="auto"/>
            <w:shd w:val="clear" w:color="auto" w:fill="auto"/>
          </w:tcPr>
          <w:p w14:paraId="48AFF3F9"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6.3</w:t>
            </w:r>
          </w:p>
        </w:tc>
        <w:tc>
          <w:tcPr>
            <w:tcW w:w="0" w:type="auto"/>
            <w:shd w:val="clear" w:color="auto" w:fill="auto"/>
          </w:tcPr>
          <w:p w14:paraId="212F8022"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101.7</w:t>
            </w:r>
          </w:p>
        </w:tc>
        <w:tc>
          <w:tcPr>
            <w:tcW w:w="0" w:type="auto"/>
            <w:vMerge w:val="restart"/>
            <w:shd w:val="clear" w:color="auto" w:fill="auto"/>
          </w:tcPr>
          <w:p w14:paraId="365368AD" w14:textId="77777777" w:rsidR="00346728" w:rsidRPr="0017772F" w:rsidRDefault="00346728" w:rsidP="00346728">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 xml:space="preserve">100.6 </w:t>
            </w:r>
            <w:r w:rsidRPr="0017772F">
              <w:rPr>
                <w:rFonts w:ascii="Times New Roman" w:hAnsi="Times New Roman" w:cs="Times New Roman"/>
                <w:sz w:val="20"/>
                <w:szCs w:val="20"/>
              </w:rPr>
              <w:t>±</w:t>
            </w:r>
            <w:r w:rsidRPr="0017772F">
              <w:rPr>
                <w:rFonts w:ascii="Times New Roman" w:hAnsi="Times New Roman" w:cs="Times New Roman"/>
                <w:sz w:val="20"/>
                <w:szCs w:val="20"/>
                <w:lang w:val="ru-RU"/>
              </w:rPr>
              <w:t xml:space="preserve"> 1</w:t>
            </w:r>
            <w:r w:rsidRPr="0017772F">
              <w:rPr>
                <w:rFonts w:ascii="Times New Roman" w:hAnsi="Times New Roman" w:cs="Times New Roman"/>
                <w:sz w:val="20"/>
                <w:szCs w:val="20"/>
                <w:lang w:val="en-MY"/>
              </w:rPr>
              <w:t>.</w:t>
            </w:r>
            <w:r w:rsidRPr="0017772F">
              <w:rPr>
                <w:rFonts w:ascii="Times New Roman" w:hAnsi="Times New Roman" w:cs="Times New Roman"/>
                <w:sz w:val="20"/>
                <w:szCs w:val="20"/>
                <w:lang w:val="ru-RU"/>
              </w:rPr>
              <w:t>4</w:t>
            </w:r>
          </w:p>
        </w:tc>
      </w:tr>
      <w:tr w:rsidR="00346728" w:rsidRPr="0017772F" w14:paraId="3BE07C28"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0B47DA3C" w14:textId="77777777" w:rsidR="00346728" w:rsidRPr="0017772F" w:rsidRDefault="00346728" w:rsidP="00346728">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15</w:t>
            </w:r>
          </w:p>
        </w:tc>
        <w:tc>
          <w:tcPr>
            <w:tcW w:w="0" w:type="auto"/>
            <w:vMerge/>
            <w:tcBorders>
              <w:bottom w:val="nil"/>
            </w:tcBorders>
            <w:shd w:val="clear" w:color="auto" w:fill="auto"/>
          </w:tcPr>
          <w:p w14:paraId="5E8BF4CE"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bottom w:val="nil"/>
            </w:tcBorders>
            <w:shd w:val="clear" w:color="auto" w:fill="auto"/>
          </w:tcPr>
          <w:p w14:paraId="3A3B67D7"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200.7</w:t>
            </w:r>
          </w:p>
        </w:tc>
        <w:tc>
          <w:tcPr>
            <w:tcW w:w="0" w:type="auto"/>
            <w:tcBorders>
              <w:bottom w:val="nil"/>
            </w:tcBorders>
            <w:shd w:val="clear" w:color="auto" w:fill="auto"/>
          </w:tcPr>
          <w:p w14:paraId="140B7741"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tcBorders>
              <w:bottom w:val="nil"/>
            </w:tcBorders>
            <w:shd w:val="clear" w:color="auto" w:fill="auto"/>
          </w:tcPr>
          <w:p w14:paraId="16EAAB6B"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w:t>
            </w:r>
          </w:p>
        </w:tc>
        <w:tc>
          <w:tcPr>
            <w:tcW w:w="0" w:type="auto"/>
            <w:tcBorders>
              <w:bottom w:val="nil"/>
            </w:tcBorders>
            <w:shd w:val="clear" w:color="auto" w:fill="auto"/>
          </w:tcPr>
          <w:p w14:paraId="43BEE131"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6.3</w:t>
            </w:r>
          </w:p>
        </w:tc>
        <w:tc>
          <w:tcPr>
            <w:tcW w:w="0" w:type="auto"/>
            <w:tcBorders>
              <w:bottom w:val="nil"/>
            </w:tcBorders>
            <w:shd w:val="clear" w:color="auto" w:fill="auto"/>
          </w:tcPr>
          <w:p w14:paraId="0CD1ECEB" w14:textId="77777777" w:rsidR="00346728" w:rsidRPr="0017772F" w:rsidRDefault="00346728" w:rsidP="00346728">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101.1</w:t>
            </w:r>
          </w:p>
        </w:tc>
        <w:tc>
          <w:tcPr>
            <w:tcW w:w="0" w:type="auto"/>
            <w:vMerge/>
            <w:tcBorders>
              <w:bottom w:val="nil"/>
            </w:tcBorders>
          </w:tcPr>
          <w:p w14:paraId="6C7ABE39"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36DE3D42"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2E07D04A" w14:textId="77777777" w:rsidR="00346728" w:rsidRPr="0017772F" w:rsidRDefault="00346728" w:rsidP="00346728">
            <w:pPr>
              <w:spacing w:after="6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16</w:t>
            </w:r>
          </w:p>
        </w:tc>
        <w:tc>
          <w:tcPr>
            <w:tcW w:w="0" w:type="auto"/>
            <w:vMerge/>
            <w:tcBorders>
              <w:top w:val="nil"/>
              <w:bottom w:val="single" w:sz="4" w:space="0" w:color="auto"/>
            </w:tcBorders>
            <w:shd w:val="clear" w:color="auto" w:fill="auto"/>
          </w:tcPr>
          <w:p w14:paraId="7CCE84D7"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single" w:sz="4" w:space="0" w:color="auto"/>
            </w:tcBorders>
            <w:shd w:val="clear" w:color="auto" w:fill="auto"/>
          </w:tcPr>
          <w:p w14:paraId="19CB23C5"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201.9</w:t>
            </w:r>
          </w:p>
        </w:tc>
        <w:tc>
          <w:tcPr>
            <w:tcW w:w="0" w:type="auto"/>
            <w:tcBorders>
              <w:top w:val="nil"/>
              <w:bottom w:val="single" w:sz="4" w:space="0" w:color="auto"/>
            </w:tcBorders>
            <w:shd w:val="clear" w:color="auto" w:fill="auto"/>
          </w:tcPr>
          <w:p w14:paraId="2127F331"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w:t>
            </w:r>
          </w:p>
        </w:tc>
        <w:tc>
          <w:tcPr>
            <w:tcW w:w="0" w:type="auto"/>
            <w:tcBorders>
              <w:top w:val="nil"/>
              <w:bottom w:val="single" w:sz="4" w:space="0" w:color="auto"/>
            </w:tcBorders>
            <w:shd w:val="clear" w:color="auto" w:fill="auto"/>
          </w:tcPr>
          <w:p w14:paraId="14A9623D"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300</w:t>
            </w:r>
          </w:p>
        </w:tc>
        <w:tc>
          <w:tcPr>
            <w:tcW w:w="0" w:type="auto"/>
            <w:tcBorders>
              <w:top w:val="nil"/>
              <w:bottom w:val="single" w:sz="4" w:space="0" w:color="auto"/>
            </w:tcBorders>
            <w:shd w:val="clear" w:color="auto" w:fill="auto"/>
          </w:tcPr>
          <w:p w14:paraId="412A83EB"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6.2</w:t>
            </w:r>
          </w:p>
        </w:tc>
        <w:tc>
          <w:tcPr>
            <w:tcW w:w="0" w:type="auto"/>
            <w:tcBorders>
              <w:top w:val="nil"/>
              <w:bottom w:val="single" w:sz="4" w:space="0" w:color="auto"/>
            </w:tcBorders>
            <w:shd w:val="clear" w:color="auto" w:fill="auto"/>
          </w:tcPr>
          <w:p w14:paraId="1713AC56"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u-RU"/>
              </w:rPr>
            </w:pPr>
            <w:r w:rsidRPr="0017772F">
              <w:rPr>
                <w:rFonts w:ascii="Times New Roman" w:hAnsi="Times New Roman" w:cs="Times New Roman"/>
                <w:sz w:val="20"/>
                <w:szCs w:val="20"/>
                <w:lang w:val="ru-RU"/>
              </w:rPr>
              <w:t>98.9</w:t>
            </w:r>
          </w:p>
        </w:tc>
        <w:tc>
          <w:tcPr>
            <w:tcW w:w="0" w:type="auto"/>
            <w:vMerge/>
            <w:tcBorders>
              <w:top w:val="nil"/>
              <w:bottom w:val="single" w:sz="4" w:space="0" w:color="auto"/>
            </w:tcBorders>
          </w:tcPr>
          <w:p w14:paraId="68C70A2D" w14:textId="77777777" w:rsidR="00346728" w:rsidRPr="0017772F" w:rsidRDefault="00346728" w:rsidP="00346728">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6E0EFD0" w14:textId="2AA69BB9" w:rsidR="00346728" w:rsidRPr="00346728" w:rsidRDefault="00346728" w:rsidP="00346728">
      <w:pPr>
        <w:spacing w:before="60" w:after="0"/>
        <w:rPr>
          <w:rFonts w:ascii="Times New Roman" w:hAnsi="Times New Roman"/>
          <w:sz w:val="18"/>
          <w:szCs w:val="18"/>
        </w:rPr>
      </w:pPr>
      <w:r>
        <w:rPr>
          <w:rFonts w:ascii="Times New Roman" w:hAnsi="Times New Roman"/>
          <w:sz w:val="18"/>
          <w:szCs w:val="18"/>
        </w:rPr>
        <w:t xml:space="preserve">                            </w:t>
      </w:r>
      <w:r w:rsidRPr="00346728">
        <w:rPr>
          <w:rFonts w:ascii="Times New Roman" w:hAnsi="Times New Roman"/>
          <w:sz w:val="18"/>
          <w:szCs w:val="18"/>
        </w:rPr>
        <w:t>* Mixture of excipients</w:t>
      </w:r>
    </w:p>
    <w:p w14:paraId="19A38024" w14:textId="78A39431" w:rsidR="00D948B0" w:rsidRDefault="00D948B0" w:rsidP="00346728">
      <w:pPr>
        <w:spacing w:after="0"/>
        <w:outlineLvl w:val="0"/>
        <w:rPr>
          <w:rFonts w:ascii="Times New Roman" w:hAnsi="Times New Roman"/>
          <w:sz w:val="20"/>
          <w:szCs w:val="20"/>
        </w:rPr>
      </w:pPr>
    </w:p>
    <w:p w14:paraId="36792452" w14:textId="77777777" w:rsidR="00661BC2" w:rsidRPr="0017772F" w:rsidRDefault="00661BC2" w:rsidP="00346728">
      <w:pPr>
        <w:spacing w:after="0"/>
        <w:outlineLvl w:val="0"/>
        <w:rPr>
          <w:rFonts w:ascii="Times New Roman" w:hAnsi="Times New Roman"/>
          <w:sz w:val="20"/>
          <w:szCs w:val="20"/>
        </w:rPr>
      </w:pPr>
    </w:p>
    <w:p w14:paraId="3EEEC565" w14:textId="3077B388" w:rsidR="00346728" w:rsidRPr="0017772F" w:rsidRDefault="00346728" w:rsidP="00D948B0">
      <w:pPr>
        <w:spacing w:after="120"/>
        <w:jc w:val="center"/>
        <w:rPr>
          <w:rFonts w:ascii="Times New Roman" w:hAnsi="Times New Roman"/>
          <w:sz w:val="20"/>
          <w:szCs w:val="20"/>
        </w:rPr>
      </w:pPr>
      <w:r w:rsidRPr="0017772F">
        <w:rPr>
          <w:rFonts w:ascii="Times New Roman" w:hAnsi="Times New Roman"/>
          <w:sz w:val="20"/>
          <w:szCs w:val="20"/>
        </w:rPr>
        <w:t xml:space="preserve">Table 2. </w:t>
      </w:r>
      <w:r w:rsidR="00D948B0">
        <w:rPr>
          <w:rFonts w:ascii="Times New Roman" w:hAnsi="Times New Roman"/>
          <w:sz w:val="20"/>
          <w:szCs w:val="20"/>
        </w:rPr>
        <w:t xml:space="preserve"> </w:t>
      </w:r>
      <w:r w:rsidRPr="0017772F">
        <w:rPr>
          <w:rFonts w:ascii="Times New Roman" w:hAnsi="Times New Roman"/>
          <w:sz w:val="20"/>
          <w:szCs w:val="20"/>
        </w:rPr>
        <w:t>Results of linearity determination</w:t>
      </w:r>
    </w:p>
    <w:tbl>
      <w:tblPr>
        <w:tblStyle w:val="LightShading1"/>
        <w:tblW w:w="0" w:type="auto"/>
        <w:jc w:val="center"/>
        <w:tblLook w:val="04A0" w:firstRow="1" w:lastRow="0" w:firstColumn="1" w:lastColumn="0" w:noHBand="0" w:noVBand="1"/>
      </w:tblPr>
      <w:tblGrid>
        <w:gridCol w:w="2344"/>
        <w:gridCol w:w="1796"/>
        <w:gridCol w:w="1696"/>
      </w:tblGrid>
      <w:tr w:rsidR="00346728" w:rsidRPr="0017772F" w14:paraId="6DD2B9EE" w14:textId="77777777" w:rsidTr="00D948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14:paraId="691781B1" w14:textId="77777777" w:rsidR="00346728" w:rsidRPr="0017772F" w:rsidRDefault="00346728" w:rsidP="00D948B0">
            <w:pPr>
              <w:spacing w:before="60" w:after="0"/>
              <w:rPr>
                <w:rFonts w:ascii="Times New Roman" w:hAnsi="Times New Roman" w:cs="Times New Roman"/>
                <w:sz w:val="20"/>
                <w:szCs w:val="20"/>
              </w:rPr>
            </w:pPr>
            <w:r w:rsidRPr="0017772F">
              <w:rPr>
                <w:rFonts w:ascii="Times New Roman" w:hAnsi="Times New Roman" w:cs="Times New Roman"/>
                <w:sz w:val="20"/>
                <w:szCs w:val="20"/>
              </w:rPr>
              <w:t>Parameter</w:t>
            </w:r>
          </w:p>
        </w:tc>
        <w:tc>
          <w:tcPr>
            <w:tcW w:w="0" w:type="auto"/>
            <w:gridSpan w:val="2"/>
            <w:tcBorders>
              <w:top w:val="single" w:sz="4" w:space="0" w:color="auto"/>
              <w:bottom w:val="single" w:sz="4" w:space="0" w:color="auto"/>
            </w:tcBorders>
            <w:shd w:val="clear" w:color="auto" w:fill="auto"/>
          </w:tcPr>
          <w:p w14:paraId="45D74083" w14:textId="77777777" w:rsidR="00346728" w:rsidRPr="0017772F" w:rsidRDefault="00346728" w:rsidP="00D948B0">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Results</w:t>
            </w:r>
          </w:p>
        </w:tc>
      </w:tr>
      <w:tr w:rsidR="00346728" w:rsidRPr="0017772F" w14:paraId="5F8495E7"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14:paraId="4833BF38" w14:textId="77777777" w:rsidR="00346728" w:rsidRPr="0017772F" w:rsidRDefault="00346728" w:rsidP="00D948B0">
            <w:pPr>
              <w:spacing w:after="0"/>
              <w:rPr>
                <w:rFonts w:ascii="Times New Roman" w:hAnsi="Times New Roman" w:cs="Times New Roman"/>
                <w:sz w:val="20"/>
                <w:szCs w:val="20"/>
              </w:rPr>
            </w:pPr>
          </w:p>
        </w:tc>
        <w:tc>
          <w:tcPr>
            <w:tcW w:w="0" w:type="auto"/>
            <w:tcBorders>
              <w:top w:val="single" w:sz="4" w:space="0" w:color="auto"/>
              <w:bottom w:val="single" w:sz="4" w:space="0" w:color="auto"/>
            </w:tcBorders>
            <w:shd w:val="clear" w:color="auto" w:fill="auto"/>
          </w:tcPr>
          <w:p w14:paraId="043BA695"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Method A</w:t>
            </w:r>
          </w:p>
        </w:tc>
        <w:tc>
          <w:tcPr>
            <w:tcW w:w="0" w:type="auto"/>
            <w:tcBorders>
              <w:top w:val="single" w:sz="4" w:space="0" w:color="auto"/>
              <w:bottom w:val="single" w:sz="4" w:space="0" w:color="auto"/>
            </w:tcBorders>
            <w:shd w:val="clear" w:color="auto" w:fill="auto"/>
          </w:tcPr>
          <w:p w14:paraId="7F72506E" w14:textId="77777777" w:rsidR="00346728" w:rsidRPr="0017772F" w:rsidRDefault="00346728" w:rsidP="00D948B0">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Method B</w:t>
            </w:r>
          </w:p>
        </w:tc>
      </w:tr>
      <w:tr w:rsidR="00346728" w:rsidRPr="0017772F" w14:paraId="5B295128"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7C77A830"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Regression equation</w:t>
            </w:r>
          </w:p>
        </w:tc>
        <w:tc>
          <w:tcPr>
            <w:tcW w:w="0" w:type="auto"/>
            <w:tcBorders>
              <w:top w:val="single" w:sz="4" w:space="0" w:color="auto"/>
            </w:tcBorders>
            <w:shd w:val="clear" w:color="auto" w:fill="auto"/>
          </w:tcPr>
          <w:p w14:paraId="157C4183"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y = 0.0312x - 0.005</w:t>
            </w:r>
          </w:p>
        </w:tc>
        <w:tc>
          <w:tcPr>
            <w:tcW w:w="0" w:type="auto"/>
            <w:tcBorders>
              <w:top w:val="single" w:sz="4" w:space="0" w:color="auto"/>
            </w:tcBorders>
            <w:shd w:val="clear" w:color="auto" w:fill="auto"/>
          </w:tcPr>
          <w:p w14:paraId="5AE9ECAB"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y = 0.0331x - 0.37</w:t>
            </w:r>
          </w:p>
        </w:tc>
      </w:tr>
      <w:tr w:rsidR="00346728" w:rsidRPr="0017772F" w14:paraId="5180B97A"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1B6118"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 xml:space="preserve">Slope </w:t>
            </w:r>
          </w:p>
        </w:tc>
        <w:tc>
          <w:tcPr>
            <w:tcW w:w="0" w:type="auto"/>
            <w:shd w:val="clear" w:color="auto" w:fill="auto"/>
          </w:tcPr>
          <w:p w14:paraId="4468AF55"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0.0312</w:t>
            </w:r>
          </w:p>
        </w:tc>
        <w:tc>
          <w:tcPr>
            <w:tcW w:w="0" w:type="auto"/>
            <w:shd w:val="clear" w:color="auto" w:fill="auto"/>
          </w:tcPr>
          <w:p w14:paraId="7F1B3301"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0.0331</w:t>
            </w:r>
          </w:p>
        </w:tc>
      </w:tr>
      <w:tr w:rsidR="00346728" w:rsidRPr="0017772F" w14:paraId="2755BD28"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5870EF"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 xml:space="preserve">Intercept </w:t>
            </w:r>
          </w:p>
        </w:tc>
        <w:tc>
          <w:tcPr>
            <w:tcW w:w="0" w:type="auto"/>
            <w:shd w:val="clear" w:color="auto" w:fill="auto"/>
          </w:tcPr>
          <w:p w14:paraId="25F16515"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0.005</w:t>
            </w:r>
          </w:p>
        </w:tc>
        <w:tc>
          <w:tcPr>
            <w:tcW w:w="0" w:type="auto"/>
            <w:shd w:val="clear" w:color="auto" w:fill="auto"/>
          </w:tcPr>
          <w:p w14:paraId="38BF8B74"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0.37</w:t>
            </w:r>
          </w:p>
        </w:tc>
      </w:tr>
      <w:tr w:rsidR="00346728" w:rsidRPr="0017772F" w14:paraId="60A55851"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465D1B"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Correlation coefficient (r</w:t>
            </w:r>
            <w:r w:rsidRPr="0017772F">
              <w:rPr>
                <w:rFonts w:ascii="Times New Roman" w:hAnsi="Times New Roman" w:cs="Times New Roman"/>
                <w:b w:val="0"/>
                <w:bCs w:val="0"/>
                <w:sz w:val="20"/>
                <w:szCs w:val="20"/>
                <w:vertAlign w:val="superscript"/>
              </w:rPr>
              <w:t>2</w:t>
            </w:r>
            <w:r w:rsidRPr="0017772F">
              <w:rPr>
                <w:rFonts w:ascii="Times New Roman" w:hAnsi="Times New Roman" w:cs="Times New Roman"/>
                <w:b w:val="0"/>
                <w:bCs w:val="0"/>
                <w:sz w:val="20"/>
                <w:szCs w:val="20"/>
              </w:rPr>
              <w:t>)</w:t>
            </w:r>
          </w:p>
        </w:tc>
        <w:tc>
          <w:tcPr>
            <w:tcW w:w="0" w:type="auto"/>
            <w:shd w:val="clear" w:color="auto" w:fill="auto"/>
          </w:tcPr>
          <w:p w14:paraId="696EA9C6"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0.9995</w:t>
            </w:r>
          </w:p>
        </w:tc>
        <w:tc>
          <w:tcPr>
            <w:tcW w:w="0" w:type="auto"/>
            <w:shd w:val="clear" w:color="auto" w:fill="auto"/>
          </w:tcPr>
          <w:p w14:paraId="55741062"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0.9947</w:t>
            </w:r>
          </w:p>
        </w:tc>
      </w:tr>
      <w:tr w:rsidR="00346728" w:rsidRPr="0017772F" w14:paraId="29822C6B"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239F7AA"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LOD</w:t>
            </w:r>
          </w:p>
        </w:tc>
        <w:tc>
          <w:tcPr>
            <w:tcW w:w="0" w:type="auto"/>
            <w:tcBorders>
              <w:bottom w:val="nil"/>
            </w:tcBorders>
            <w:shd w:val="clear" w:color="auto" w:fill="auto"/>
          </w:tcPr>
          <w:p w14:paraId="44DEFF3D"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5.4 µg/mL</w:t>
            </w:r>
          </w:p>
        </w:tc>
        <w:tc>
          <w:tcPr>
            <w:tcW w:w="0" w:type="auto"/>
            <w:tcBorders>
              <w:bottom w:val="nil"/>
            </w:tcBorders>
            <w:shd w:val="clear" w:color="auto" w:fill="auto"/>
          </w:tcPr>
          <w:p w14:paraId="39F28FC4"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N/A*</w:t>
            </w:r>
          </w:p>
        </w:tc>
      </w:tr>
      <w:tr w:rsidR="00346728" w:rsidRPr="0017772F" w14:paraId="1356FC88"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01EED307" w14:textId="77777777" w:rsidR="00346728" w:rsidRPr="0017772F" w:rsidRDefault="00346728" w:rsidP="00D948B0">
            <w:pPr>
              <w:spacing w:before="60" w:after="60"/>
              <w:rPr>
                <w:rFonts w:ascii="Times New Roman" w:hAnsi="Times New Roman" w:cs="Times New Roman"/>
                <w:b w:val="0"/>
                <w:bCs w:val="0"/>
                <w:sz w:val="20"/>
                <w:szCs w:val="20"/>
              </w:rPr>
            </w:pPr>
            <w:r w:rsidRPr="0017772F">
              <w:rPr>
                <w:rFonts w:ascii="Times New Roman" w:hAnsi="Times New Roman" w:cs="Times New Roman"/>
                <w:b w:val="0"/>
                <w:bCs w:val="0"/>
                <w:sz w:val="20"/>
                <w:szCs w:val="20"/>
              </w:rPr>
              <w:t>LOQ</w:t>
            </w:r>
          </w:p>
        </w:tc>
        <w:tc>
          <w:tcPr>
            <w:tcW w:w="0" w:type="auto"/>
            <w:tcBorders>
              <w:top w:val="nil"/>
              <w:bottom w:val="single" w:sz="4" w:space="0" w:color="auto"/>
            </w:tcBorders>
            <w:shd w:val="clear" w:color="auto" w:fill="auto"/>
          </w:tcPr>
          <w:p w14:paraId="422251F7"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7.5 µg / mL</w:t>
            </w:r>
          </w:p>
        </w:tc>
        <w:tc>
          <w:tcPr>
            <w:tcW w:w="0" w:type="auto"/>
            <w:tcBorders>
              <w:top w:val="nil"/>
              <w:bottom w:val="single" w:sz="4" w:space="0" w:color="auto"/>
            </w:tcBorders>
            <w:shd w:val="clear" w:color="auto" w:fill="auto"/>
          </w:tcPr>
          <w:p w14:paraId="39AF40D5"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N/A*</w:t>
            </w:r>
          </w:p>
        </w:tc>
      </w:tr>
    </w:tbl>
    <w:p w14:paraId="5E2E07E7" w14:textId="6B9441EE" w:rsidR="00D948B0" w:rsidRPr="007D6466" w:rsidRDefault="00346728" w:rsidP="007D6466">
      <w:pPr>
        <w:spacing w:before="60" w:after="0"/>
        <w:ind w:firstLine="720"/>
        <w:rPr>
          <w:rFonts w:ascii="Times New Roman" w:hAnsi="Times New Roman"/>
          <w:sz w:val="18"/>
          <w:szCs w:val="18"/>
        </w:rPr>
      </w:pPr>
      <w:r w:rsidRPr="0017772F">
        <w:rPr>
          <w:rFonts w:ascii="Times New Roman" w:hAnsi="Times New Roman"/>
          <w:sz w:val="20"/>
          <w:szCs w:val="20"/>
        </w:rPr>
        <w:t xml:space="preserve">            </w:t>
      </w:r>
      <w:r w:rsidRPr="0017772F">
        <w:rPr>
          <w:rFonts w:ascii="Times New Roman" w:hAnsi="Times New Roman"/>
          <w:sz w:val="20"/>
          <w:szCs w:val="20"/>
        </w:rPr>
        <w:tab/>
      </w:r>
      <w:r w:rsidRPr="00D948B0">
        <w:rPr>
          <w:rFonts w:ascii="Times New Roman" w:hAnsi="Times New Roman"/>
          <w:sz w:val="18"/>
          <w:szCs w:val="18"/>
        </w:rPr>
        <w:t xml:space="preserve">   </w:t>
      </w:r>
      <w:r w:rsidR="00D948B0">
        <w:rPr>
          <w:rFonts w:ascii="Times New Roman" w:hAnsi="Times New Roman"/>
          <w:sz w:val="18"/>
          <w:szCs w:val="18"/>
        </w:rPr>
        <w:t xml:space="preserve">     </w:t>
      </w:r>
      <w:r w:rsidRPr="00D948B0">
        <w:rPr>
          <w:rFonts w:ascii="Times New Roman" w:hAnsi="Times New Roman"/>
          <w:sz w:val="18"/>
          <w:szCs w:val="18"/>
        </w:rPr>
        <w:t>*not applicable</w:t>
      </w:r>
    </w:p>
    <w:p w14:paraId="718BC368" w14:textId="77777777" w:rsidR="00E4499E" w:rsidRDefault="00E4499E" w:rsidP="00D948B0">
      <w:pPr>
        <w:tabs>
          <w:tab w:val="left" w:pos="5219"/>
        </w:tabs>
        <w:spacing w:after="120"/>
        <w:jc w:val="center"/>
        <w:rPr>
          <w:rFonts w:ascii="Times New Roman" w:hAnsi="Times New Roman"/>
          <w:sz w:val="20"/>
          <w:szCs w:val="20"/>
        </w:rPr>
      </w:pPr>
    </w:p>
    <w:p w14:paraId="227A98B4" w14:textId="250FFDE3" w:rsidR="00346728" w:rsidRPr="0017772F" w:rsidRDefault="00346728" w:rsidP="00D948B0">
      <w:pPr>
        <w:tabs>
          <w:tab w:val="left" w:pos="5219"/>
        </w:tabs>
        <w:spacing w:after="120"/>
        <w:jc w:val="center"/>
        <w:rPr>
          <w:rFonts w:ascii="Times New Roman" w:hAnsi="Times New Roman"/>
          <w:sz w:val="20"/>
          <w:szCs w:val="20"/>
        </w:rPr>
      </w:pPr>
      <w:r w:rsidRPr="0017772F">
        <w:rPr>
          <w:rFonts w:ascii="Times New Roman" w:hAnsi="Times New Roman"/>
          <w:sz w:val="20"/>
          <w:szCs w:val="20"/>
        </w:rPr>
        <w:t xml:space="preserve">Table 3. </w:t>
      </w:r>
      <w:r w:rsidR="00D948B0">
        <w:rPr>
          <w:rFonts w:ascii="Times New Roman" w:hAnsi="Times New Roman"/>
          <w:sz w:val="20"/>
          <w:szCs w:val="20"/>
        </w:rPr>
        <w:t xml:space="preserve"> </w:t>
      </w:r>
      <w:r w:rsidRPr="0017772F">
        <w:rPr>
          <w:rFonts w:ascii="Times New Roman" w:hAnsi="Times New Roman"/>
          <w:sz w:val="20"/>
          <w:szCs w:val="20"/>
        </w:rPr>
        <w:t>Precision of titration experiments</w:t>
      </w:r>
    </w:p>
    <w:tbl>
      <w:tblPr>
        <w:tblStyle w:val="LightShading1"/>
        <w:tblW w:w="8694" w:type="dxa"/>
        <w:jc w:val="center"/>
        <w:tblLook w:val="04A0" w:firstRow="1" w:lastRow="0" w:firstColumn="1" w:lastColumn="0" w:noHBand="0" w:noVBand="1"/>
      </w:tblPr>
      <w:tblGrid>
        <w:gridCol w:w="984"/>
        <w:gridCol w:w="1016"/>
        <w:gridCol w:w="1243"/>
        <w:gridCol w:w="942"/>
        <w:gridCol w:w="966"/>
        <w:gridCol w:w="1245"/>
        <w:gridCol w:w="1105"/>
        <w:gridCol w:w="1193"/>
      </w:tblGrid>
      <w:tr w:rsidR="00346728" w:rsidRPr="0017772F" w14:paraId="3D74E974" w14:textId="77777777" w:rsidTr="00D948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val="restart"/>
            <w:tcBorders>
              <w:top w:val="single" w:sz="4" w:space="0" w:color="auto"/>
              <w:bottom w:val="nil"/>
            </w:tcBorders>
            <w:shd w:val="clear" w:color="auto" w:fill="auto"/>
          </w:tcPr>
          <w:p w14:paraId="5440F8F2" w14:textId="77777777" w:rsidR="00346728" w:rsidRPr="0017772F" w:rsidRDefault="00346728" w:rsidP="00D948B0">
            <w:pPr>
              <w:spacing w:before="240" w:after="0"/>
              <w:rPr>
                <w:rFonts w:ascii="Times New Roman" w:hAnsi="Times New Roman" w:cs="Times New Roman"/>
                <w:sz w:val="20"/>
                <w:szCs w:val="20"/>
              </w:rPr>
            </w:pPr>
            <w:r w:rsidRPr="0017772F">
              <w:rPr>
                <w:rFonts w:ascii="Times New Roman" w:hAnsi="Times New Roman" w:cs="Times New Roman"/>
                <w:sz w:val="20"/>
                <w:szCs w:val="20"/>
              </w:rPr>
              <w:t>Method</w:t>
            </w:r>
          </w:p>
        </w:tc>
        <w:tc>
          <w:tcPr>
            <w:tcW w:w="1016" w:type="dxa"/>
            <w:vMerge w:val="restart"/>
            <w:tcBorders>
              <w:top w:val="single" w:sz="4" w:space="0" w:color="auto"/>
              <w:bottom w:val="nil"/>
            </w:tcBorders>
            <w:shd w:val="clear" w:color="auto" w:fill="auto"/>
          </w:tcPr>
          <w:p w14:paraId="5B9B47A9" w14:textId="77777777" w:rsidR="00346728" w:rsidRPr="0017772F" w:rsidRDefault="00346728" w:rsidP="00D948B0">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Weight (mg)</w:t>
            </w:r>
          </w:p>
        </w:tc>
        <w:tc>
          <w:tcPr>
            <w:tcW w:w="3151" w:type="dxa"/>
            <w:gridSpan w:val="3"/>
            <w:tcBorders>
              <w:top w:val="single" w:sz="4" w:space="0" w:color="auto"/>
              <w:bottom w:val="single" w:sz="4" w:space="0" w:color="auto"/>
            </w:tcBorders>
            <w:shd w:val="clear" w:color="auto" w:fill="auto"/>
          </w:tcPr>
          <w:p w14:paraId="6F18FFE0" w14:textId="77777777" w:rsidR="00346728" w:rsidRPr="0017772F" w:rsidRDefault="00346728" w:rsidP="00D948B0">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Intra-day accuracy and precision (n=3)</w:t>
            </w:r>
          </w:p>
        </w:tc>
        <w:tc>
          <w:tcPr>
            <w:tcW w:w="3543" w:type="dxa"/>
            <w:gridSpan w:val="3"/>
            <w:tcBorders>
              <w:top w:val="single" w:sz="4" w:space="0" w:color="auto"/>
              <w:bottom w:val="single" w:sz="4" w:space="0" w:color="auto"/>
            </w:tcBorders>
            <w:shd w:val="clear" w:color="auto" w:fill="auto"/>
          </w:tcPr>
          <w:p w14:paraId="2D1D1A47" w14:textId="77777777" w:rsidR="00346728" w:rsidRPr="0017772F" w:rsidRDefault="00346728" w:rsidP="00D948B0">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 xml:space="preserve">Inter-day accuracy and precision </w:t>
            </w:r>
          </w:p>
          <w:p w14:paraId="5085F0D5"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(n=3)</w:t>
            </w:r>
          </w:p>
        </w:tc>
      </w:tr>
      <w:tr w:rsidR="00346728" w:rsidRPr="0017772F" w14:paraId="6D37F4F5"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tcBorders>
              <w:top w:val="nil"/>
              <w:bottom w:val="single" w:sz="4" w:space="0" w:color="auto"/>
            </w:tcBorders>
            <w:shd w:val="clear" w:color="auto" w:fill="auto"/>
          </w:tcPr>
          <w:p w14:paraId="492CEB52" w14:textId="77777777" w:rsidR="00346728" w:rsidRPr="0017772F" w:rsidRDefault="00346728" w:rsidP="00D948B0">
            <w:pPr>
              <w:spacing w:after="0"/>
              <w:rPr>
                <w:rFonts w:ascii="Times New Roman" w:hAnsi="Times New Roman" w:cs="Times New Roman"/>
                <w:sz w:val="20"/>
                <w:szCs w:val="20"/>
              </w:rPr>
            </w:pPr>
          </w:p>
        </w:tc>
        <w:tc>
          <w:tcPr>
            <w:tcW w:w="1016" w:type="dxa"/>
            <w:vMerge/>
            <w:tcBorders>
              <w:top w:val="nil"/>
              <w:bottom w:val="single" w:sz="4" w:space="0" w:color="auto"/>
            </w:tcBorders>
            <w:shd w:val="clear" w:color="auto" w:fill="auto"/>
          </w:tcPr>
          <w:p w14:paraId="5B4C7D02" w14:textId="77777777" w:rsidR="00346728" w:rsidRPr="0017772F" w:rsidRDefault="00346728" w:rsidP="0034672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1243" w:type="dxa"/>
            <w:tcBorders>
              <w:top w:val="single" w:sz="4" w:space="0" w:color="auto"/>
              <w:bottom w:val="single" w:sz="4" w:space="0" w:color="auto"/>
            </w:tcBorders>
            <w:shd w:val="clear" w:color="auto" w:fill="auto"/>
          </w:tcPr>
          <w:p w14:paraId="206495DD"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Measured (mg)</w:t>
            </w:r>
          </w:p>
        </w:tc>
        <w:tc>
          <w:tcPr>
            <w:tcW w:w="942" w:type="dxa"/>
            <w:tcBorders>
              <w:top w:val="single" w:sz="4" w:space="0" w:color="auto"/>
              <w:bottom w:val="single" w:sz="4" w:space="0" w:color="auto"/>
            </w:tcBorders>
            <w:shd w:val="clear" w:color="auto" w:fill="auto"/>
          </w:tcPr>
          <w:p w14:paraId="4DD5F47C"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RE</w:t>
            </w:r>
          </w:p>
          <w:p w14:paraId="2411118A"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c>
          <w:tcPr>
            <w:tcW w:w="966" w:type="dxa"/>
            <w:tcBorders>
              <w:top w:val="single" w:sz="4" w:space="0" w:color="auto"/>
              <w:bottom w:val="single" w:sz="4" w:space="0" w:color="auto"/>
            </w:tcBorders>
            <w:shd w:val="clear" w:color="auto" w:fill="auto"/>
          </w:tcPr>
          <w:p w14:paraId="3DDAA277"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RSD</w:t>
            </w:r>
          </w:p>
          <w:p w14:paraId="07978613"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c>
          <w:tcPr>
            <w:tcW w:w="1245" w:type="dxa"/>
            <w:tcBorders>
              <w:top w:val="single" w:sz="4" w:space="0" w:color="auto"/>
              <w:bottom w:val="single" w:sz="4" w:space="0" w:color="auto"/>
            </w:tcBorders>
            <w:shd w:val="clear" w:color="auto" w:fill="auto"/>
          </w:tcPr>
          <w:p w14:paraId="5AFF4E62"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Measured</w:t>
            </w:r>
          </w:p>
          <w:p w14:paraId="0F6EEA62"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(mg)</w:t>
            </w:r>
          </w:p>
        </w:tc>
        <w:tc>
          <w:tcPr>
            <w:tcW w:w="1105" w:type="dxa"/>
            <w:tcBorders>
              <w:top w:val="single" w:sz="4" w:space="0" w:color="auto"/>
              <w:bottom w:val="single" w:sz="4" w:space="0" w:color="auto"/>
            </w:tcBorders>
            <w:shd w:val="clear" w:color="auto" w:fill="auto"/>
          </w:tcPr>
          <w:p w14:paraId="2D2270D8"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RE</w:t>
            </w:r>
          </w:p>
          <w:p w14:paraId="1D4FCDA3"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c>
          <w:tcPr>
            <w:tcW w:w="1193" w:type="dxa"/>
            <w:tcBorders>
              <w:top w:val="single" w:sz="4" w:space="0" w:color="auto"/>
              <w:bottom w:val="single" w:sz="4" w:space="0" w:color="auto"/>
            </w:tcBorders>
            <w:shd w:val="clear" w:color="auto" w:fill="auto"/>
          </w:tcPr>
          <w:p w14:paraId="19909E6A" w14:textId="77777777" w:rsidR="00346728" w:rsidRPr="0017772F" w:rsidRDefault="00346728" w:rsidP="0034672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RSD</w:t>
            </w:r>
          </w:p>
          <w:p w14:paraId="5C1A04D3" w14:textId="77777777" w:rsidR="00346728" w:rsidRPr="0017772F" w:rsidRDefault="00346728" w:rsidP="00D948B0">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772F">
              <w:rPr>
                <w:rFonts w:ascii="Times New Roman" w:hAnsi="Times New Roman" w:cs="Times New Roman"/>
                <w:b/>
                <w:bCs/>
                <w:sz w:val="20"/>
                <w:szCs w:val="20"/>
              </w:rPr>
              <w:t>(%)</w:t>
            </w:r>
          </w:p>
        </w:tc>
      </w:tr>
      <w:tr w:rsidR="00346728" w:rsidRPr="0017772F" w14:paraId="0343EA08"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984" w:type="dxa"/>
            <w:vMerge w:val="restart"/>
            <w:tcBorders>
              <w:top w:val="single" w:sz="4" w:space="0" w:color="auto"/>
            </w:tcBorders>
            <w:shd w:val="clear" w:color="auto" w:fill="auto"/>
          </w:tcPr>
          <w:p w14:paraId="16BD40D6" w14:textId="77777777" w:rsidR="00346728" w:rsidRPr="0017772F" w:rsidRDefault="00346728" w:rsidP="00D948B0">
            <w:pPr>
              <w:spacing w:before="6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A</w:t>
            </w:r>
          </w:p>
        </w:tc>
        <w:tc>
          <w:tcPr>
            <w:tcW w:w="1016" w:type="dxa"/>
            <w:tcBorders>
              <w:top w:val="single" w:sz="4" w:space="0" w:color="auto"/>
            </w:tcBorders>
            <w:shd w:val="clear" w:color="auto" w:fill="auto"/>
          </w:tcPr>
          <w:p w14:paraId="756CFF85"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181.4</w:t>
            </w:r>
          </w:p>
        </w:tc>
        <w:tc>
          <w:tcPr>
            <w:tcW w:w="1243" w:type="dxa"/>
            <w:tcBorders>
              <w:top w:val="single" w:sz="4" w:space="0" w:color="auto"/>
            </w:tcBorders>
            <w:shd w:val="clear" w:color="auto" w:fill="auto"/>
          </w:tcPr>
          <w:p w14:paraId="719390D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180.9</w:t>
            </w:r>
          </w:p>
        </w:tc>
        <w:tc>
          <w:tcPr>
            <w:tcW w:w="942" w:type="dxa"/>
            <w:tcBorders>
              <w:top w:val="single" w:sz="4" w:space="0" w:color="auto"/>
            </w:tcBorders>
            <w:shd w:val="clear" w:color="auto" w:fill="auto"/>
          </w:tcPr>
          <w:p w14:paraId="45288E4D"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0.26</w:t>
            </w:r>
          </w:p>
        </w:tc>
        <w:tc>
          <w:tcPr>
            <w:tcW w:w="966" w:type="dxa"/>
            <w:tcBorders>
              <w:top w:val="single" w:sz="4" w:space="0" w:color="auto"/>
            </w:tcBorders>
            <w:shd w:val="clear" w:color="auto" w:fill="auto"/>
          </w:tcPr>
          <w:p w14:paraId="3FE8061A"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0.61</w:t>
            </w:r>
          </w:p>
        </w:tc>
        <w:tc>
          <w:tcPr>
            <w:tcW w:w="1245" w:type="dxa"/>
            <w:tcBorders>
              <w:top w:val="single" w:sz="4" w:space="0" w:color="auto"/>
            </w:tcBorders>
            <w:shd w:val="clear" w:color="auto" w:fill="auto"/>
          </w:tcPr>
          <w:p w14:paraId="433EDD06"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182.5</w:t>
            </w:r>
          </w:p>
        </w:tc>
        <w:tc>
          <w:tcPr>
            <w:tcW w:w="1105" w:type="dxa"/>
            <w:tcBorders>
              <w:top w:val="single" w:sz="4" w:space="0" w:color="auto"/>
            </w:tcBorders>
            <w:shd w:val="clear" w:color="auto" w:fill="auto"/>
          </w:tcPr>
          <w:p w14:paraId="5DB21741"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0.59</w:t>
            </w:r>
          </w:p>
        </w:tc>
        <w:tc>
          <w:tcPr>
            <w:tcW w:w="1193" w:type="dxa"/>
            <w:tcBorders>
              <w:top w:val="single" w:sz="4" w:space="0" w:color="auto"/>
            </w:tcBorders>
            <w:shd w:val="clear" w:color="auto" w:fill="auto"/>
          </w:tcPr>
          <w:p w14:paraId="1432FDEB"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1.56</w:t>
            </w:r>
          </w:p>
        </w:tc>
      </w:tr>
      <w:tr w:rsidR="00346728" w:rsidRPr="0017772F" w14:paraId="35D224F2"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5F75D739" w14:textId="77777777" w:rsidR="00346728" w:rsidRPr="0017772F" w:rsidRDefault="00346728" w:rsidP="00D948B0">
            <w:pPr>
              <w:spacing w:before="60" w:after="0"/>
              <w:rPr>
                <w:rFonts w:ascii="Times New Roman" w:hAnsi="Times New Roman" w:cs="Times New Roman"/>
                <w:b w:val="0"/>
                <w:bCs w:val="0"/>
                <w:sz w:val="20"/>
                <w:szCs w:val="20"/>
              </w:rPr>
            </w:pPr>
          </w:p>
        </w:tc>
        <w:tc>
          <w:tcPr>
            <w:tcW w:w="1016" w:type="dxa"/>
            <w:shd w:val="clear" w:color="auto" w:fill="auto"/>
          </w:tcPr>
          <w:p w14:paraId="46CE86E4"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200.3</w:t>
            </w:r>
          </w:p>
        </w:tc>
        <w:tc>
          <w:tcPr>
            <w:tcW w:w="1243" w:type="dxa"/>
            <w:shd w:val="clear" w:color="auto" w:fill="auto"/>
          </w:tcPr>
          <w:p w14:paraId="7C19B9DB"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200.9</w:t>
            </w:r>
          </w:p>
        </w:tc>
        <w:tc>
          <w:tcPr>
            <w:tcW w:w="942" w:type="dxa"/>
            <w:shd w:val="clear" w:color="auto" w:fill="auto"/>
          </w:tcPr>
          <w:p w14:paraId="01FC0F62"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0.28</w:t>
            </w:r>
          </w:p>
        </w:tc>
        <w:tc>
          <w:tcPr>
            <w:tcW w:w="966" w:type="dxa"/>
            <w:shd w:val="clear" w:color="auto" w:fill="auto"/>
          </w:tcPr>
          <w:p w14:paraId="3DE6C9CA"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0.53</w:t>
            </w:r>
          </w:p>
        </w:tc>
        <w:tc>
          <w:tcPr>
            <w:tcW w:w="1245" w:type="dxa"/>
            <w:shd w:val="clear" w:color="auto" w:fill="auto"/>
          </w:tcPr>
          <w:p w14:paraId="59D82426"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201.0</w:t>
            </w:r>
          </w:p>
        </w:tc>
        <w:tc>
          <w:tcPr>
            <w:tcW w:w="1105" w:type="dxa"/>
            <w:shd w:val="clear" w:color="auto" w:fill="auto"/>
          </w:tcPr>
          <w:p w14:paraId="53EFA783"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0.37</w:t>
            </w:r>
          </w:p>
        </w:tc>
        <w:tc>
          <w:tcPr>
            <w:tcW w:w="1193" w:type="dxa"/>
            <w:shd w:val="clear" w:color="auto" w:fill="auto"/>
          </w:tcPr>
          <w:p w14:paraId="2BFA2109" w14:textId="77777777" w:rsidR="00346728" w:rsidRPr="0017772F" w:rsidRDefault="00346728" w:rsidP="00D948B0">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1.09</w:t>
            </w:r>
          </w:p>
        </w:tc>
      </w:tr>
      <w:tr w:rsidR="00346728" w:rsidRPr="0017772F" w14:paraId="48E2BFCA"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59E0271D" w14:textId="77777777" w:rsidR="00346728" w:rsidRPr="0017772F" w:rsidRDefault="00346728" w:rsidP="00D948B0">
            <w:pPr>
              <w:spacing w:before="60" w:after="0"/>
              <w:rPr>
                <w:rFonts w:ascii="Times New Roman" w:hAnsi="Times New Roman" w:cs="Times New Roman"/>
                <w:b w:val="0"/>
                <w:bCs w:val="0"/>
                <w:sz w:val="20"/>
                <w:szCs w:val="20"/>
              </w:rPr>
            </w:pPr>
          </w:p>
        </w:tc>
        <w:tc>
          <w:tcPr>
            <w:tcW w:w="1016" w:type="dxa"/>
            <w:shd w:val="clear" w:color="auto" w:fill="auto"/>
          </w:tcPr>
          <w:p w14:paraId="07495D2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219.8</w:t>
            </w:r>
          </w:p>
        </w:tc>
        <w:tc>
          <w:tcPr>
            <w:tcW w:w="1243" w:type="dxa"/>
            <w:shd w:val="clear" w:color="auto" w:fill="auto"/>
          </w:tcPr>
          <w:p w14:paraId="24875DF0"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218.9</w:t>
            </w:r>
          </w:p>
        </w:tc>
        <w:tc>
          <w:tcPr>
            <w:tcW w:w="942" w:type="dxa"/>
            <w:shd w:val="clear" w:color="auto" w:fill="auto"/>
          </w:tcPr>
          <w:p w14:paraId="782B7F93"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0.39</w:t>
            </w:r>
          </w:p>
        </w:tc>
        <w:tc>
          <w:tcPr>
            <w:tcW w:w="966" w:type="dxa"/>
            <w:shd w:val="clear" w:color="auto" w:fill="auto"/>
          </w:tcPr>
          <w:p w14:paraId="37CA1DDE"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0.46</w:t>
            </w:r>
          </w:p>
        </w:tc>
        <w:tc>
          <w:tcPr>
            <w:tcW w:w="1245" w:type="dxa"/>
            <w:shd w:val="clear" w:color="auto" w:fill="auto"/>
          </w:tcPr>
          <w:p w14:paraId="5FE8A40A"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219.5</w:t>
            </w:r>
          </w:p>
        </w:tc>
        <w:tc>
          <w:tcPr>
            <w:tcW w:w="1105" w:type="dxa"/>
            <w:shd w:val="clear" w:color="auto" w:fill="auto"/>
          </w:tcPr>
          <w:p w14:paraId="7AE9FE0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0,15</w:t>
            </w:r>
          </w:p>
        </w:tc>
        <w:tc>
          <w:tcPr>
            <w:tcW w:w="1193" w:type="dxa"/>
            <w:shd w:val="clear" w:color="auto" w:fill="auto"/>
          </w:tcPr>
          <w:p w14:paraId="7DC3500B"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0.88</w:t>
            </w:r>
          </w:p>
        </w:tc>
      </w:tr>
      <w:tr w:rsidR="00346728" w:rsidRPr="0017772F" w14:paraId="5D854383"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val="restart"/>
            <w:shd w:val="clear" w:color="auto" w:fill="auto"/>
          </w:tcPr>
          <w:p w14:paraId="3DE483B9" w14:textId="77777777" w:rsidR="00346728" w:rsidRPr="0017772F" w:rsidRDefault="00346728" w:rsidP="00D948B0">
            <w:pPr>
              <w:spacing w:before="120" w:after="0"/>
              <w:rPr>
                <w:rFonts w:ascii="Times New Roman" w:hAnsi="Times New Roman" w:cs="Times New Roman"/>
                <w:b w:val="0"/>
                <w:bCs w:val="0"/>
                <w:sz w:val="20"/>
                <w:szCs w:val="20"/>
              </w:rPr>
            </w:pPr>
            <w:r w:rsidRPr="0017772F">
              <w:rPr>
                <w:rFonts w:ascii="Times New Roman" w:hAnsi="Times New Roman" w:cs="Times New Roman"/>
                <w:b w:val="0"/>
                <w:bCs w:val="0"/>
                <w:sz w:val="20"/>
                <w:szCs w:val="20"/>
              </w:rPr>
              <w:t>B</w:t>
            </w:r>
          </w:p>
        </w:tc>
        <w:tc>
          <w:tcPr>
            <w:tcW w:w="1016" w:type="dxa"/>
            <w:shd w:val="clear" w:color="auto" w:fill="auto"/>
          </w:tcPr>
          <w:p w14:paraId="029E13CC"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180.3</w:t>
            </w:r>
          </w:p>
        </w:tc>
        <w:tc>
          <w:tcPr>
            <w:tcW w:w="1243" w:type="dxa"/>
            <w:shd w:val="clear" w:color="auto" w:fill="auto"/>
          </w:tcPr>
          <w:p w14:paraId="056A2672"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181.7</w:t>
            </w:r>
          </w:p>
        </w:tc>
        <w:tc>
          <w:tcPr>
            <w:tcW w:w="942" w:type="dxa"/>
            <w:shd w:val="clear" w:color="auto" w:fill="auto"/>
          </w:tcPr>
          <w:p w14:paraId="545192C5"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0.79</w:t>
            </w:r>
          </w:p>
        </w:tc>
        <w:tc>
          <w:tcPr>
            <w:tcW w:w="966" w:type="dxa"/>
            <w:shd w:val="clear" w:color="auto" w:fill="auto"/>
          </w:tcPr>
          <w:p w14:paraId="5878789B"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1.52</w:t>
            </w:r>
          </w:p>
        </w:tc>
        <w:tc>
          <w:tcPr>
            <w:tcW w:w="1245" w:type="dxa"/>
            <w:shd w:val="clear" w:color="auto" w:fill="auto"/>
          </w:tcPr>
          <w:p w14:paraId="20B7B631"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181.8</w:t>
            </w:r>
          </w:p>
        </w:tc>
        <w:tc>
          <w:tcPr>
            <w:tcW w:w="1105" w:type="dxa"/>
            <w:shd w:val="clear" w:color="auto" w:fill="auto"/>
          </w:tcPr>
          <w:p w14:paraId="42D52E26"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0.81</w:t>
            </w:r>
          </w:p>
        </w:tc>
        <w:tc>
          <w:tcPr>
            <w:tcW w:w="1193" w:type="dxa"/>
            <w:shd w:val="clear" w:color="auto" w:fill="auto"/>
          </w:tcPr>
          <w:p w14:paraId="07583210" w14:textId="77777777" w:rsidR="00346728" w:rsidRPr="0017772F" w:rsidRDefault="00346728" w:rsidP="00D948B0">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1.99</w:t>
            </w:r>
          </w:p>
        </w:tc>
      </w:tr>
      <w:tr w:rsidR="00346728" w:rsidRPr="0017772F" w14:paraId="3968651B" w14:textId="77777777" w:rsidTr="00D948B0">
        <w:trPr>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5C7BDF2A" w14:textId="77777777" w:rsidR="00346728" w:rsidRPr="0017772F" w:rsidRDefault="00346728" w:rsidP="00D948B0">
            <w:pPr>
              <w:spacing w:before="60" w:after="0"/>
              <w:rPr>
                <w:rFonts w:ascii="Times New Roman" w:hAnsi="Times New Roman" w:cs="Times New Roman"/>
                <w:sz w:val="20"/>
                <w:szCs w:val="20"/>
              </w:rPr>
            </w:pPr>
          </w:p>
        </w:tc>
        <w:tc>
          <w:tcPr>
            <w:tcW w:w="1016" w:type="dxa"/>
            <w:tcBorders>
              <w:bottom w:val="nil"/>
            </w:tcBorders>
            <w:shd w:val="clear" w:color="auto" w:fill="auto"/>
          </w:tcPr>
          <w:p w14:paraId="172D41A6"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200.1</w:t>
            </w:r>
          </w:p>
        </w:tc>
        <w:tc>
          <w:tcPr>
            <w:tcW w:w="1243" w:type="dxa"/>
            <w:tcBorders>
              <w:bottom w:val="nil"/>
            </w:tcBorders>
            <w:shd w:val="clear" w:color="auto" w:fill="auto"/>
          </w:tcPr>
          <w:p w14:paraId="3E3C4CA7"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201.8</w:t>
            </w:r>
          </w:p>
        </w:tc>
        <w:tc>
          <w:tcPr>
            <w:tcW w:w="942" w:type="dxa"/>
            <w:tcBorders>
              <w:bottom w:val="nil"/>
            </w:tcBorders>
            <w:shd w:val="clear" w:color="auto" w:fill="auto"/>
          </w:tcPr>
          <w:p w14:paraId="2A558A38"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0.83</w:t>
            </w:r>
          </w:p>
        </w:tc>
        <w:tc>
          <w:tcPr>
            <w:tcW w:w="966" w:type="dxa"/>
            <w:tcBorders>
              <w:bottom w:val="nil"/>
            </w:tcBorders>
            <w:shd w:val="clear" w:color="auto" w:fill="auto"/>
          </w:tcPr>
          <w:p w14:paraId="2EA4613C"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1.28</w:t>
            </w:r>
          </w:p>
        </w:tc>
        <w:tc>
          <w:tcPr>
            <w:tcW w:w="1245" w:type="dxa"/>
            <w:tcBorders>
              <w:bottom w:val="nil"/>
            </w:tcBorders>
            <w:shd w:val="clear" w:color="auto" w:fill="auto"/>
          </w:tcPr>
          <w:p w14:paraId="7332FAEF"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201.7</w:t>
            </w:r>
          </w:p>
        </w:tc>
        <w:tc>
          <w:tcPr>
            <w:tcW w:w="1105" w:type="dxa"/>
            <w:tcBorders>
              <w:bottom w:val="nil"/>
            </w:tcBorders>
            <w:shd w:val="clear" w:color="auto" w:fill="auto"/>
          </w:tcPr>
          <w:p w14:paraId="05D18F40"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0.78</w:t>
            </w:r>
          </w:p>
        </w:tc>
        <w:tc>
          <w:tcPr>
            <w:tcW w:w="1193" w:type="dxa"/>
            <w:tcBorders>
              <w:bottom w:val="nil"/>
            </w:tcBorders>
            <w:shd w:val="clear" w:color="auto" w:fill="auto"/>
          </w:tcPr>
          <w:p w14:paraId="5371376E" w14:textId="77777777" w:rsidR="00346728" w:rsidRPr="0017772F" w:rsidRDefault="00346728" w:rsidP="00D948B0">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1.55</w:t>
            </w:r>
          </w:p>
        </w:tc>
      </w:tr>
      <w:tr w:rsidR="00346728" w:rsidRPr="0017772F" w14:paraId="1BAA3898" w14:textId="77777777" w:rsidTr="00D948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14:paraId="74FB9718" w14:textId="77777777" w:rsidR="00346728" w:rsidRPr="0017772F" w:rsidRDefault="00346728" w:rsidP="00D948B0">
            <w:pPr>
              <w:spacing w:before="60" w:after="0"/>
              <w:rPr>
                <w:rFonts w:ascii="Times New Roman" w:hAnsi="Times New Roman" w:cs="Times New Roman"/>
                <w:sz w:val="20"/>
                <w:szCs w:val="20"/>
              </w:rPr>
            </w:pPr>
          </w:p>
        </w:tc>
        <w:tc>
          <w:tcPr>
            <w:tcW w:w="1016" w:type="dxa"/>
            <w:tcBorders>
              <w:top w:val="nil"/>
              <w:bottom w:val="single" w:sz="4" w:space="0" w:color="auto"/>
            </w:tcBorders>
            <w:shd w:val="clear" w:color="auto" w:fill="auto"/>
          </w:tcPr>
          <w:p w14:paraId="72E06F33"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220.3</w:t>
            </w:r>
          </w:p>
        </w:tc>
        <w:tc>
          <w:tcPr>
            <w:tcW w:w="1243" w:type="dxa"/>
            <w:tcBorders>
              <w:top w:val="nil"/>
              <w:bottom w:val="single" w:sz="4" w:space="0" w:color="auto"/>
            </w:tcBorders>
            <w:shd w:val="clear" w:color="auto" w:fill="auto"/>
          </w:tcPr>
          <w:p w14:paraId="2716DE8E"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221.3</w:t>
            </w:r>
          </w:p>
        </w:tc>
        <w:tc>
          <w:tcPr>
            <w:tcW w:w="942" w:type="dxa"/>
            <w:tcBorders>
              <w:top w:val="nil"/>
              <w:bottom w:val="single" w:sz="4" w:space="0" w:color="auto"/>
            </w:tcBorders>
            <w:shd w:val="clear" w:color="auto" w:fill="auto"/>
          </w:tcPr>
          <w:p w14:paraId="3364BE23"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0.45</w:t>
            </w:r>
          </w:p>
        </w:tc>
        <w:tc>
          <w:tcPr>
            <w:tcW w:w="966" w:type="dxa"/>
            <w:tcBorders>
              <w:top w:val="nil"/>
              <w:bottom w:val="single" w:sz="4" w:space="0" w:color="auto"/>
            </w:tcBorders>
            <w:shd w:val="clear" w:color="auto" w:fill="auto"/>
          </w:tcPr>
          <w:p w14:paraId="3ADF024E"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1.23</w:t>
            </w:r>
          </w:p>
        </w:tc>
        <w:tc>
          <w:tcPr>
            <w:tcW w:w="1245" w:type="dxa"/>
            <w:tcBorders>
              <w:top w:val="nil"/>
              <w:bottom w:val="single" w:sz="4" w:space="0" w:color="auto"/>
            </w:tcBorders>
            <w:shd w:val="clear" w:color="auto" w:fill="auto"/>
          </w:tcPr>
          <w:p w14:paraId="18685004"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219.8</w:t>
            </w:r>
          </w:p>
        </w:tc>
        <w:tc>
          <w:tcPr>
            <w:tcW w:w="1105" w:type="dxa"/>
            <w:tcBorders>
              <w:top w:val="nil"/>
              <w:bottom w:val="single" w:sz="4" w:space="0" w:color="auto"/>
            </w:tcBorders>
            <w:shd w:val="clear" w:color="auto" w:fill="auto"/>
          </w:tcPr>
          <w:p w14:paraId="74D26F95"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0.21</w:t>
            </w:r>
          </w:p>
        </w:tc>
        <w:tc>
          <w:tcPr>
            <w:tcW w:w="1193" w:type="dxa"/>
            <w:tcBorders>
              <w:top w:val="nil"/>
              <w:bottom w:val="single" w:sz="4" w:space="0" w:color="auto"/>
            </w:tcBorders>
            <w:shd w:val="clear" w:color="auto" w:fill="auto"/>
          </w:tcPr>
          <w:p w14:paraId="480FA7EE" w14:textId="77777777" w:rsidR="00346728" w:rsidRPr="0017772F" w:rsidRDefault="00346728" w:rsidP="00D948B0">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1.63</w:t>
            </w:r>
          </w:p>
        </w:tc>
      </w:tr>
    </w:tbl>
    <w:p w14:paraId="4D6D986A" w14:textId="77777777" w:rsidR="009C3651" w:rsidRDefault="009C3651" w:rsidP="00E4499E">
      <w:pPr>
        <w:spacing w:after="120"/>
        <w:jc w:val="center"/>
        <w:rPr>
          <w:rFonts w:ascii="Times New Roman" w:hAnsi="Times New Roman"/>
          <w:sz w:val="20"/>
          <w:szCs w:val="20"/>
        </w:rPr>
      </w:pPr>
    </w:p>
    <w:p w14:paraId="27CB1D95" w14:textId="1023EDFC" w:rsidR="00346728" w:rsidRPr="0017772F" w:rsidRDefault="00346728" w:rsidP="00E4499E">
      <w:pPr>
        <w:spacing w:after="120"/>
        <w:jc w:val="center"/>
        <w:rPr>
          <w:rFonts w:ascii="Times New Roman" w:hAnsi="Times New Roman"/>
          <w:sz w:val="20"/>
          <w:szCs w:val="20"/>
        </w:rPr>
      </w:pPr>
      <w:r w:rsidRPr="0017772F">
        <w:rPr>
          <w:rFonts w:ascii="Times New Roman" w:hAnsi="Times New Roman"/>
          <w:sz w:val="20"/>
          <w:szCs w:val="20"/>
        </w:rPr>
        <w:lastRenderedPageBreak/>
        <w:t>Table 4.</w:t>
      </w:r>
      <w:r w:rsidR="00675423">
        <w:rPr>
          <w:rFonts w:ascii="Times New Roman" w:hAnsi="Times New Roman"/>
          <w:sz w:val="20"/>
          <w:szCs w:val="20"/>
        </w:rPr>
        <w:t xml:space="preserve">  </w:t>
      </w:r>
      <w:r w:rsidRPr="0017772F">
        <w:rPr>
          <w:rFonts w:ascii="Times New Roman" w:hAnsi="Times New Roman"/>
          <w:sz w:val="20"/>
          <w:szCs w:val="20"/>
        </w:rPr>
        <w:t>Results of accuracy and recovery</w:t>
      </w:r>
    </w:p>
    <w:tbl>
      <w:tblPr>
        <w:tblStyle w:val="LightShading1"/>
        <w:tblW w:w="7900" w:type="dxa"/>
        <w:jc w:val="center"/>
        <w:tblLook w:val="04A0" w:firstRow="1" w:lastRow="0" w:firstColumn="1" w:lastColumn="0" w:noHBand="0" w:noVBand="1"/>
      </w:tblPr>
      <w:tblGrid>
        <w:gridCol w:w="914"/>
        <w:gridCol w:w="1208"/>
        <w:gridCol w:w="1383"/>
        <w:gridCol w:w="1418"/>
        <w:gridCol w:w="1991"/>
        <w:gridCol w:w="986"/>
      </w:tblGrid>
      <w:tr w:rsidR="00346728" w:rsidRPr="0017772F" w14:paraId="5CD3BAD2" w14:textId="77777777" w:rsidTr="004210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tcBorders>
              <w:top w:val="single" w:sz="4" w:space="0" w:color="auto"/>
              <w:bottom w:val="single" w:sz="4" w:space="0" w:color="auto"/>
            </w:tcBorders>
            <w:shd w:val="clear" w:color="auto" w:fill="auto"/>
          </w:tcPr>
          <w:p w14:paraId="363A9A1F" w14:textId="77777777" w:rsidR="00346728" w:rsidRPr="0017772F" w:rsidRDefault="00346728" w:rsidP="00675423">
            <w:pPr>
              <w:spacing w:before="60" w:after="0"/>
              <w:jc w:val="center"/>
              <w:rPr>
                <w:rFonts w:ascii="Times New Roman" w:hAnsi="Times New Roman" w:cs="Times New Roman"/>
                <w:sz w:val="20"/>
                <w:szCs w:val="20"/>
              </w:rPr>
            </w:pPr>
            <w:r w:rsidRPr="0017772F">
              <w:rPr>
                <w:rFonts w:ascii="Times New Roman" w:hAnsi="Times New Roman" w:cs="Times New Roman"/>
                <w:sz w:val="20"/>
                <w:szCs w:val="20"/>
              </w:rPr>
              <w:t>Method</w:t>
            </w:r>
          </w:p>
        </w:tc>
        <w:tc>
          <w:tcPr>
            <w:tcW w:w="1208" w:type="dxa"/>
            <w:tcBorders>
              <w:top w:val="single" w:sz="4" w:space="0" w:color="auto"/>
              <w:bottom w:val="single" w:sz="4" w:space="0" w:color="auto"/>
            </w:tcBorders>
            <w:shd w:val="clear" w:color="auto" w:fill="auto"/>
          </w:tcPr>
          <w:p w14:paraId="01376B8F"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Weight</w:t>
            </w:r>
          </w:p>
          <w:p w14:paraId="46260DB0"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(mg)</w:t>
            </w:r>
          </w:p>
        </w:tc>
        <w:tc>
          <w:tcPr>
            <w:tcW w:w="1383" w:type="dxa"/>
            <w:tcBorders>
              <w:top w:val="single" w:sz="4" w:space="0" w:color="auto"/>
              <w:bottom w:val="single" w:sz="4" w:space="0" w:color="auto"/>
            </w:tcBorders>
            <w:shd w:val="clear" w:color="auto" w:fill="auto"/>
          </w:tcPr>
          <w:p w14:paraId="3CE7F061"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Measured (mg)</w:t>
            </w:r>
          </w:p>
        </w:tc>
        <w:tc>
          <w:tcPr>
            <w:tcW w:w="1418" w:type="dxa"/>
            <w:tcBorders>
              <w:top w:val="single" w:sz="4" w:space="0" w:color="auto"/>
              <w:bottom w:val="single" w:sz="4" w:space="0" w:color="auto"/>
            </w:tcBorders>
            <w:shd w:val="clear" w:color="auto" w:fill="auto"/>
          </w:tcPr>
          <w:p w14:paraId="28FD9D92"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Recovery</w:t>
            </w:r>
          </w:p>
          <w:p w14:paraId="2492A5D5"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1991" w:type="dxa"/>
            <w:tcBorders>
              <w:top w:val="single" w:sz="4" w:space="0" w:color="auto"/>
              <w:bottom w:val="single" w:sz="4" w:space="0" w:color="auto"/>
            </w:tcBorders>
            <w:shd w:val="clear" w:color="auto" w:fill="auto"/>
          </w:tcPr>
          <w:p w14:paraId="28F0B446"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Recovery (mean)</w:t>
            </w:r>
          </w:p>
          <w:p w14:paraId="35409761" w14:textId="77777777" w:rsidR="00346728" w:rsidRPr="0017772F" w:rsidRDefault="00346728" w:rsidP="0034672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c>
          <w:tcPr>
            <w:tcW w:w="986" w:type="dxa"/>
            <w:tcBorders>
              <w:top w:val="single" w:sz="4" w:space="0" w:color="auto"/>
              <w:bottom w:val="single" w:sz="4" w:space="0" w:color="auto"/>
            </w:tcBorders>
            <w:shd w:val="clear" w:color="auto" w:fill="auto"/>
          </w:tcPr>
          <w:p w14:paraId="09FC35B0" w14:textId="77777777" w:rsidR="00346728" w:rsidRPr="0017772F" w:rsidRDefault="00346728" w:rsidP="0067542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17772F">
              <w:rPr>
                <w:rFonts w:ascii="Times New Roman" w:hAnsi="Times New Roman" w:cs="Times New Roman"/>
                <w:sz w:val="20"/>
                <w:szCs w:val="20"/>
              </w:rPr>
              <w:t>RSD</w:t>
            </w:r>
          </w:p>
          <w:p w14:paraId="2BA4656C" w14:textId="77777777" w:rsidR="00346728" w:rsidRPr="0017772F" w:rsidRDefault="00346728" w:rsidP="00675423">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w:t>
            </w:r>
          </w:p>
        </w:tc>
      </w:tr>
      <w:tr w:rsidR="00346728" w:rsidRPr="0017772F" w14:paraId="57018672" w14:textId="77777777" w:rsidTr="004210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val="restart"/>
            <w:tcBorders>
              <w:top w:val="single" w:sz="4" w:space="0" w:color="auto"/>
            </w:tcBorders>
            <w:shd w:val="clear" w:color="auto" w:fill="auto"/>
          </w:tcPr>
          <w:p w14:paraId="41B2FB48" w14:textId="77777777" w:rsidR="00346728" w:rsidRPr="0017772F" w:rsidRDefault="00346728" w:rsidP="00421025">
            <w:pPr>
              <w:spacing w:before="6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A</w:t>
            </w:r>
          </w:p>
          <w:p w14:paraId="0A5ECFB4"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tcBorders>
              <w:top w:val="single" w:sz="4" w:space="0" w:color="auto"/>
            </w:tcBorders>
            <w:shd w:val="clear" w:color="auto" w:fill="auto"/>
          </w:tcPr>
          <w:p w14:paraId="7252D7FF"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160.3</w:t>
            </w:r>
          </w:p>
        </w:tc>
        <w:tc>
          <w:tcPr>
            <w:tcW w:w="1383" w:type="dxa"/>
            <w:tcBorders>
              <w:top w:val="single" w:sz="4" w:space="0" w:color="auto"/>
            </w:tcBorders>
            <w:shd w:val="clear" w:color="auto" w:fill="auto"/>
          </w:tcPr>
          <w:p w14:paraId="6F3546E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160.14</w:t>
            </w:r>
          </w:p>
        </w:tc>
        <w:tc>
          <w:tcPr>
            <w:tcW w:w="1418" w:type="dxa"/>
            <w:tcBorders>
              <w:top w:val="single" w:sz="4" w:space="0" w:color="auto"/>
            </w:tcBorders>
            <w:shd w:val="clear" w:color="auto" w:fill="auto"/>
          </w:tcPr>
          <w:p w14:paraId="69EDC9B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99.9</w:t>
            </w:r>
          </w:p>
        </w:tc>
        <w:tc>
          <w:tcPr>
            <w:tcW w:w="1991" w:type="dxa"/>
            <w:vMerge w:val="restart"/>
            <w:tcBorders>
              <w:top w:val="single" w:sz="4" w:space="0" w:color="auto"/>
            </w:tcBorders>
            <w:shd w:val="clear" w:color="auto" w:fill="auto"/>
          </w:tcPr>
          <w:p w14:paraId="6261059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100.0</w:t>
            </w:r>
          </w:p>
        </w:tc>
        <w:tc>
          <w:tcPr>
            <w:tcW w:w="986" w:type="dxa"/>
            <w:vMerge w:val="restart"/>
            <w:tcBorders>
              <w:top w:val="single" w:sz="4" w:space="0" w:color="auto"/>
            </w:tcBorders>
            <w:shd w:val="clear" w:color="auto" w:fill="auto"/>
          </w:tcPr>
          <w:p w14:paraId="3F2058F5"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0.21</w:t>
            </w:r>
          </w:p>
        </w:tc>
      </w:tr>
      <w:tr w:rsidR="00346728" w:rsidRPr="0017772F" w14:paraId="1EF648F5"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708F9C47"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shd w:val="clear" w:color="auto" w:fill="auto"/>
          </w:tcPr>
          <w:p w14:paraId="506B39F7"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160.8</w:t>
            </w:r>
          </w:p>
        </w:tc>
        <w:tc>
          <w:tcPr>
            <w:tcW w:w="1383" w:type="dxa"/>
            <w:shd w:val="clear" w:color="auto" w:fill="auto"/>
          </w:tcPr>
          <w:p w14:paraId="3C9BA16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161.12</w:t>
            </w:r>
          </w:p>
        </w:tc>
        <w:tc>
          <w:tcPr>
            <w:tcW w:w="1418" w:type="dxa"/>
            <w:shd w:val="clear" w:color="auto" w:fill="auto"/>
          </w:tcPr>
          <w:p w14:paraId="398BE31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100.2</w:t>
            </w:r>
          </w:p>
        </w:tc>
        <w:tc>
          <w:tcPr>
            <w:tcW w:w="1991" w:type="dxa"/>
            <w:vMerge/>
            <w:shd w:val="clear" w:color="auto" w:fill="auto"/>
          </w:tcPr>
          <w:p w14:paraId="469451DC"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43153099"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7D911D45"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9599DA4"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shd w:val="clear" w:color="auto" w:fill="auto"/>
          </w:tcPr>
          <w:p w14:paraId="2E01971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161.1</w:t>
            </w:r>
          </w:p>
        </w:tc>
        <w:tc>
          <w:tcPr>
            <w:tcW w:w="1383" w:type="dxa"/>
            <w:shd w:val="clear" w:color="auto" w:fill="auto"/>
          </w:tcPr>
          <w:p w14:paraId="0E0E002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160.78</w:t>
            </w:r>
          </w:p>
        </w:tc>
        <w:tc>
          <w:tcPr>
            <w:tcW w:w="1418" w:type="dxa"/>
            <w:shd w:val="clear" w:color="auto" w:fill="auto"/>
          </w:tcPr>
          <w:p w14:paraId="4A28DE3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99.8</w:t>
            </w:r>
          </w:p>
        </w:tc>
        <w:tc>
          <w:tcPr>
            <w:tcW w:w="1991" w:type="dxa"/>
            <w:vMerge/>
            <w:shd w:val="clear" w:color="auto" w:fill="auto"/>
          </w:tcPr>
          <w:p w14:paraId="1CE1BC1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1AF9D5F0"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28399830"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31CCC0A" w14:textId="77777777" w:rsidR="00346728" w:rsidRPr="0017772F" w:rsidRDefault="00346728" w:rsidP="00421025">
            <w:pPr>
              <w:spacing w:before="60" w:after="0"/>
              <w:jc w:val="center"/>
              <w:rPr>
                <w:rFonts w:ascii="Times New Roman" w:hAnsi="Times New Roman" w:cs="Times New Roman"/>
                <w:b w:val="0"/>
                <w:bCs w:val="0"/>
                <w:sz w:val="20"/>
                <w:szCs w:val="20"/>
              </w:rPr>
            </w:pPr>
          </w:p>
        </w:tc>
        <w:tc>
          <w:tcPr>
            <w:tcW w:w="1208" w:type="dxa"/>
            <w:shd w:val="clear" w:color="auto" w:fill="auto"/>
          </w:tcPr>
          <w:p w14:paraId="42CC6BB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200.4</w:t>
            </w:r>
          </w:p>
        </w:tc>
        <w:tc>
          <w:tcPr>
            <w:tcW w:w="1383" w:type="dxa"/>
            <w:shd w:val="clear" w:color="auto" w:fill="auto"/>
          </w:tcPr>
          <w:p w14:paraId="374DC571"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198.00</w:t>
            </w:r>
          </w:p>
        </w:tc>
        <w:tc>
          <w:tcPr>
            <w:tcW w:w="1418" w:type="dxa"/>
            <w:shd w:val="clear" w:color="auto" w:fill="auto"/>
          </w:tcPr>
          <w:p w14:paraId="3D9C581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98.8</w:t>
            </w:r>
          </w:p>
        </w:tc>
        <w:tc>
          <w:tcPr>
            <w:tcW w:w="1991" w:type="dxa"/>
            <w:vMerge w:val="restart"/>
            <w:shd w:val="clear" w:color="auto" w:fill="auto"/>
          </w:tcPr>
          <w:p w14:paraId="31EC549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99.8</w:t>
            </w:r>
          </w:p>
        </w:tc>
        <w:tc>
          <w:tcPr>
            <w:tcW w:w="986" w:type="dxa"/>
            <w:vMerge w:val="restart"/>
            <w:shd w:val="clear" w:color="auto" w:fill="auto"/>
          </w:tcPr>
          <w:p w14:paraId="52768783"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1.2</w:t>
            </w:r>
          </w:p>
        </w:tc>
      </w:tr>
      <w:tr w:rsidR="00346728" w:rsidRPr="0017772F" w14:paraId="3CF38D68" w14:textId="77777777" w:rsidTr="00346728">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4903CFC"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6C805753"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200.9</w:t>
            </w:r>
          </w:p>
        </w:tc>
        <w:tc>
          <w:tcPr>
            <w:tcW w:w="1383" w:type="dxa"/>
            <w:shd w:val="clear" w:color="auto" w:fill="auto"/>
          </w:tcPr>
          <w:p w14:paraId="12A30BCF"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203.11</w:t>
            </w:r>
          </w:p>
        </w:tc>
        <w:tc>
          <w:tcPr>
            <w:tcW w:w="1418" w:type="dxa"/>
            <w:shd w:val="clear" w:color="auto" w:fill="auto"/>
          </w:tcPr>
          <w:p w14:paraId="1408B308"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101.1</w:t>
            </w:r>
          </w:p>
        </w:tc>
        <w:tc>
          <w:tcPr>
            <w:tcW w:w="1991" w:type="dxa"/>
            <w:vMerge/>
            <w:shd w:val="clear" w:color="auto" w:fill="auto"/>
          </w:tcPr>
          <w:p w14:paraId="2CC9018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364CD77C"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15D8496A"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684B50E"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0C22D7F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201.3</w:t>
            </w:r>
          </w:p>
        </w:tc>
        <w:tc>
          <w:tcPr>
            <w:tcW w:w="1383" w:type="dxa"/>
            <w:shd w:val="clear" w:color="auto" w:fill="auto"/>
          </w:tcPr>
          <w:p w14:paraId="2FC3FE91"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200.09</w:t>
            </w:r>
          </w:p>
        </w:tc>
        <w:tc>
          <w:tcPr>
            <w:tcW w:w="1418" w:type="dxa"/>
            <w:shd w:val="clear" w:color="auto" w:fill="auto"/>
          </w:tcPr>
          <w:p w14:paraId="0D09C05E"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99.4</w:t>
            </w:r>
          </w:p>
        </w:tc>
        <w:tc>
          <w:tcPr>
            <w:tcW w:w="1991" w:type="dxa"/>
            <w:vMerge/>
            <w:shd w:val="clear" w:color="auto" w:fill="auto"/>
          </w:tcPr>
          <w:p w14:paraId="4A2598C2"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1F6236AD"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77E9DC44"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258534B0"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0242FADD"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241.2</w:t>
            </w:r>
          </w:p>
        </w:tc>
        <w:tc>
          <w:tcPr>
            <w:tcW w:w="1383" w:type="dxa"/>
            <w:shd w:val="clear" w:color="auto" w:fill="auto"/>
          </w:tcPr>
          <w:p w14:paraId="5E9EA93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243.13</w:t>
            </w:r>
          </w:p>
        </w:tc>
        <w:tc>
          <w:tcPr>
            <w:tcW w:w="1418" w:type="dxa"/>
            <w:shd w:val="clear" w:color="auto" w:fill="auto"/>
          </w:tcPr>
          <w:p w14:paraId="07CF1814"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100.8</w:t>
            </w:r>
          </w:p>
        </w:tc>
        <w:tc>
          <w:tcPr>
            <w:tcW w:w="1991" w:type="dxa"/>
            <w:vMerge w:val="restart"/>
            <w:shd w:val="clear" w:color="auto" w:fill="auto"/>
          </w:tcPr>
          <w:p w14:paraId="2EDB6101"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99.6</w:t>
            </w:r>
          </w:p>
        </w:tc>
        <w:tc>
          <w:tcPr>
            <w:tcW w:w="986" w:type="dxa"/>
            <w:vMerge w:val="restart"/>
            <w:shd w:val="clear" w:color="auto" w:fill="auto"/>
          </w:tcPr>
          <w:p w14:paraId="31251D82"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w:t>
            </w:r>
          </w:p>
        </w:tc>
      </w:tr>
      <w:tr w:rsidR="00346728" w:rsidRPr="0017772F" w14:paraId="247AF376"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1B406F3"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527B87FF"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240.8</w:t>
            </w:r>
          </w:p>
        </w:tc>
        <w:tc>
          <w:tcPr>
            <w:tcW w:w="1383" w:type="dxa"/>
            <w:shd w:val="clear" w:color="auto" w:fill="auto"/>
          </w:tcPr>
          <w:p w14:paraId="681D14CE"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238.15</w:t>
            </w:r>
          </w:p>
        </w:tc>
        <w:tc>
          <w:tcPr>
            <w:tcW w:w="1418" w:type="dxa"/>
            <w:shd w:val="clear" w:color="auto" w:fill="auto"/>
          </w:tcPr>
          <w:p w14:paraId="3EB41481"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98.9</w:t>
            </w:r>
          </w:p>
        </w:tc>
        <w:tc>
          <w:tcPr>
            <w:tcW w:w="1991" w:type="dxa"/>
            <w:vMerge/>
            <w:shd w:val="clear" w:color="auto" w:fill="auto"/>
          </w:tcPr>
          <w:p w14:paraId="1D836165"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543C32F0"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50CEB4BF"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1BDABA47" w14:textId="77777777" w:rsidR="00346728" w:rsidRPr="0017772F" w:rsidRDefault="00346728" w:rsidP="00421025">
            <w:pPr>
              <w:spacing w:before="60" w:after="0"/>
              <w:rPr>
                <w:rFonts w:ascii="Times New Roman" w:hAnsi="Times New Roman" w:cs="Times New Roman"/>
                <w:b w:val="0"/>
                <w:bCs w:val="0"/>
                <w:sz w:val="20"/>
                <w:szCs w:val="20"/>
              </w:rPr>
            </w:pPr>
          </w:p>
        </w:tc>
        <w:tc>
          <w:tcPr>
            <w:tcW w:w="1208" w:type="dxa"/>
            <w:shd w:val="clear" w:color="auto" w:fill="auto"/>
          </w:tcPr>
          <w:p w14:paraId="3129096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240.3</w:t>
            </w:r>
          </w:p>
        </w:tc>
        <w:tc>
          <w:tcPr>
            <w:tcW w:w="1383" w:type="dxa"/>
            <w:shd w:val="clear" w:color="auto" w:fill="auto"/>
          </w:tcPr>
          <w:p w14:paraId="0E5AF643"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238.14</w:t>
            </w:r>
          </w:p>
        </w:tc>
        <w:tc>
          <w:tcPr>
            <w:tcW w:w="1418" w:type="dxa"/>
            <w:shd w:val="clear" w:color="auto" w:fill="auto"/>
          </w:tcPr>
          <w:p w14:paraId="52A61825"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99.1</w:t>
            </w:r>
          </w:p>
        </w:tc>
        <w:tc>
          <w:tcPr>
            <w:tcW w:w="1991" w:type="dxa"/>
            <w:vMerge/>
            <w:shd w:val="clear" w:color="auto" w:fill="auto"/>
          </w:tcPr>
          <w:p w14:paraId="48F918EF"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173E6C55"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59700D42"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auto"/>
          </w:tcPr>
          <w:p w14:paraId="24F8E23F" w14:textId="77777777" w:rsidR="00346728" w:rsidRPr="0017772F" w:rsidRDefault="00346728" w:rsidP="00421025">
            <w:pPr>
              <w:spacing w:before="120" w:after="0"/>
              <w:jc w:val="center"/>
              <w:rPr>
                <w:rFonts w:ascii="Times New Roman" w:hAnsi="Times New Roman" w:cs="Times New Roman"/>
                <w:b w:val="0"/>
                <w:bCs w:val="0"/>
                <w:sz w:val="20"/>
                <w:szCs w:val="20"/>
              </w:rPr>
            </w:pPr>
            <w:r w:rsidRPr="0017772F">
              <w:rPr>
                <w:rFonts w:ascii="Times New Roman" w:hAnsi="Times New Roman" w:cs="Times New Roman"/>
                <w:b w:val="0"/>
                <w:bCs w:val="0"/>
                <w:sz w:val="20"/>
                <w:szCs w:val="20"/>
              </w:rPr>
              <w:t>B</w:t>
            </w:r>
          </w:p>
        </w:tc>
        <w:tc>
          <w:tcPr>
            <w:tcW w:w="1208" w:type="dxa"/>
            <w:shd w:val="clear" w:color="auto" w:fill="auto"/>
          </w:tcPr>
          <w:p w14:paraId="7B0C6313"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160.1</w:t>
            </w:r>
          </w:p>
        </w:tc>
        <w:tc>
          <w:tcPr>
            <w:tcW w:w="1383" w:type="dxa"/>
            <w:shd w:val="clear" w:color="auto" w:fill="auto"/>
          </w:tcPr>
          <w:p w14:paraId="2541C817"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163.20</w:t>
            </w:r>
          </w:p>
        </w:tc>
        <w:tc>
          <w:tcPr>
            <w:tcW w:w="1418" w:type="dxa"/>
            <w:shd w:val="clear" w:color="auto" w:fill="auto"/>
          </w:tcPr>
          <w:p w14:paraId="67A5DB51"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98.1</w:t>
            </w:r>
          </w:p>
        </w:tc>
        <w:tc>
          <w:tcPr>
            <w:tcW w:w="1991" w:type="dxa"/>
            <w:vMerge w:val="restart"/>
            <w:shd w:val="clear" w:color="auto" w:fill="auto"/>
          </w:tcPr>
          <w:p w14:paraId="60DB9EC5"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99.2</w:t>
            </w:r>
          </w:p>
        </w:tc>
        <w:tc>
          <w:tcPr>
            <w:tcW w:w="986" w:type="dxa"/>
            <w:vMerge w:val="restart"/>
            <w:shd w:val="clear" w:color="auto" w:fill="auto"/>
          </w:tcPr>
          <w:p w14:paraId="6466DE6E" w14:textId="77777777" w:rsidR="00346728" w:rsidRPr="0017772F" w:rsidRDefault="00346728" w:rsidP="00421025">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1.11</w:t>
            </w:r>
          </w:p>
        </w:tc>
      </w:tr>
      <w:tr w:rsidR="00346728" w:rsidRPr="0017772F" w14:paraId="4EE4CB95" w14:textId="77777777" w:rsidTr="003467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3AB97B03" w14:textId="77777777" w:rsidR="00346728" w:rsidRPr="0017772F" w:rsidRDefault="00346728" w:rsidP="00346728">
            <w:pPr>
              <w:spacing w:after="0"/>
              <w:rPr>
                <w:rFonts w:ascii="Times New Roman" w:hAnsi="Times New Roman" w:cs="Times New Roman"/>
                <w:sz w:val="20"/>
                <w:szCs w:val="20"/>
              </w:rPr>
            </w:pPr>
          </w:p>
        </w:tc>
        <w:tc>
          <w:tcPr>
            <w:tcW w:w="1208" w:type="dxa"/>
            <w:shd w:val="clear" w:color="auto" w:fill="auto"/>
          </w:tcPr>
          <w:p w14:paraId="78B0FA5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161.7</w:t>
            </w:r>
          </w:p>
        </w:tc>
        <w:tc>
          <w:tcPr>
            <w:tcW w:w="1383" w:type="dxa"/>
            <w:shd w:val="clear" w:color="auto" w:fill="auto"/>
          </w:tcPr>
          <w:p w14:paraId="38814DD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162.84</w:t>
            </w:r>
          </w:p>
        </w:tc>
        <w:tc>
          <w:tcPr>
            <w:tcW w:w="1418" w:type="dxa"/>
            <w:shd w:val="clear" w:color="auto" w:fill="auto"/>
          </w:tcPr>
          <w:p w14:paraId="5394611C"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99.3</w:t>
            </w:r>
          </w:p>
        </w:tc>
        <w:tc>
          <w:tcPr>
            <w:tcW w:w="1991" w:type="dxa"/>
            <w:vMerge/>
            <w:shd w:val="clear" w:color="auto" w:fill="auto"/>
          </w:tcPr>
          <w:p w14:paraId="7E5E62DC"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06037D2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2B600E5D"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3A62F67C" w14:textId="77777777" w:rsidR="00346728" w:rsidRPr="0017772F" w:rsidRDefault="00346728" w:rsidP="00346728">
            <w:pPr>
              <w:spacing w:after="0"/>
              <w:rPr>
                <w:rFonts w:ascii="Times New Roman" w:hAnsi="Times New Roman" w:cs="Times New Roman"/>
                <w:sz w:val="20"/>
                <w:szCs w:val="20"/>
              </w:rPr>
            </w:pPr>
          </w:p>
        </w:tc>
        <w:tc>
          <w:tcPr>
            <w:tcW w:w="1208" w:type="dxa"/>
            <w:shd w:val="clear" w:color="auto" w:fill="auto"/>
          </w:tcPr>
          <w:p w14:paraId="0196C75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160.8</w:t>
            </w:r>
          </w:p>
        </w:tc>
        <w:tc>
          <w:tcPr>
            <w:tcW w:w="1383" w:type="dxa"/>
            <w:shd w:val="clear" w:color="auto" w:fill="auto"/>
          </w:tcPr>
          <w:p w14:paraId="106A3BB6"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160.32</w:t>
            </w:r>
          </w:p>
        </w:tc>
        <w:tc>
          <w:tcPr>
            <w:tcW w:w="1418" w:type="dxa"/>
            <w:shd w:val="clear" w:color="auto" w:fill="auto"/>
          </w:tcPr>
          <w:p w14:paraId="56816632"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100.3</w:t>
            </w:r>
          </w:p>
        </w:tc>
        <w:tc>
          <w:tcPr>
            <w:tcW w:w="1991" w:type="dxa"/>
            <w:vMerge/>
            <w:shd w:val="clear" w:color="auto" w:fill="auto"/>
          </w:tcPr>
          <w:p w14:paraId="3D3A7088"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05FBE3D5"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3DF10110" w14:textId="77777777" w:rsidTr="00661B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1F13D12A" w14:textId="77777777" w:rsidR="00346728" w:rsidRPr="0017772F" w:rsidRDefault="00346728" w:rsidP="00346728">
            <w:pPr>
              <w:spacing w:after="0"/>
              <w:rPr>
                <w:rFonts w:ascii="Times New Roman" w:hAnsi="Times New Roman" w:cs="Times New Roman"/>
                <w:sz w:val="20"/>
                <w:szCs w:val="20"/>
              </w:rPr>
            </w:pPr>
          </w:p>
        </w:tc>
        <w:tc>
          <w:tcPr>
            <w:tcW w:w="1208" w:type="dxa"/>
            <w:tcBorders>
              <w:bottom w:val="nil"/>
            </w:tcBorders>
            <w:shd w:val="clear" w:color="auto" w:fill="auto"/>
          </w:tcPr>
          <w:p w14:paraId="564C07C1"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200.1</w:t>
            </w:r>
          </w:p>
        </w:tc>
        <w:tc>
          <w:tcPr>
            <w:tcW w:w="1383" w:type="dxa"/>
            <w:tcBorders>
              <w:bottom w:val="nil"/>
            </w:tcBorders>
            <w:shd w:val="clear" w:color="auto" w:fill="auto"/>
          </w:tcPr>
          <w:p w14:paraId="3DD26C9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202.74</w:t>
            </w:r>
          </w:p>
        </w:tc>
        <w:tc>
          <w:tcPr>
            <w:tcW w:w="1418" w:type="dxa"/>
            <w:tcBorders>
              <w:bottom w:val="nil"/>
            </w:tcBorders>
            <w:shd w:val="clear" w:color="auto" w:fill="auto"/>
          </w:tcPr>
          <w:p w14:paraId="4C9D229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98.7</w:t>
            </w:r>
          </w:p>
        </w:tc>
        <w:tc>
          <w:tcPr>
            <w:tcW w:w="1991" w:type="dxa"/>
            <w:vMerge w:val="restart"/>
            <w:shd w:val="clear" w:color="auto" w:fill="auto"/>
          </w:tcPr>
          <w:p w14:paraId="4344E21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101.4</w:t>
            </w:r>
          </w:p>
        </w:tc>
        <w:tc>
          <w:tcPr>
            <w:tcW w:w="986" w:type="dxa"/>
            <w:vMerge w:val="restart"/>
            <w:shd w:val="clear" w:color="auto" w:fill="auto"/>
          </w:tcPr>
          <w:p w14:paraId="44A30B30"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1.79</w:t>
            </w:r>
          </w:p>
        </w:tc>
      </w:tr>
      <w:tr w:rsidR="00346728" w:rsidRPr="0017772F" w14:paraId="462628F7" w14:textId="77777777" w:rsidTr="00661BC2">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61C2875F" w14:textId="77777777" w:rsidR="00346728" w:rsidRPr="0017772F" w:rsidRDefault="00346728" w:rsidP="00346728">
            <w:pPr>
              <w:spacing w:after="0"/>
              <w:rPr>
                <w:rFonts w:ascii="Times New Roman" w:hAnsi="Times New Roman" w:cs="Times New Roman"/>
                <w:sz w:val="20"/>
                <w:szCs w:val="20"/>
              </w:rPr>
            </w:pPr>
          </w:p>
        </w:tc>
        <w:tc>
          <w:tcPr>
            <w:tcW w:w="1208" w:type="dxa"/>
            <w:tcBorders>
              <w:top w:val="nil"/>
              <w:bottom w:val="nil"/>
            </w:tcBorders>
            <w:shd w:val="clear" w:color="auto" w:fill="auto"/>
          </w:tcPr>
          <w:p w14:paraId="7ED02911" w14:textId="77777777" w:rsidR="00346728" w:rsidRPr="0017772F" w:rsidRDefault="00346728" w:rsidP="00661BC2">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201.4</w:t>
            </w:r>
          </w:p>
        </w:tc>
        <w:tc>
          <w:tcPr>
            <w:tcW w:w="1383" w:type="dxa"/>
            <w:tcBorders>
              <w:top w:val="nil"/>
              <w:bottom w:val="nil"/>
            </w:tcBorders>
            <w:shd w:val="clear" w:color="auto" w:fill="auto"/>
          </w:tcPr>
          <w:p w14:paraId="12C45E0D" w14:textId="77777777" w:rsidR="00346728" w:rsidRPr="0017772F" w:rsidRDefault="00346728" w:rsidP="00661BC2">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197.06</w:t>
            </w:r>
          </w:p>
        </w:tc>
        <w:tc>
          <w:tcPr>
            <w:tcW w:w="1418" w:type="dxa"/>
            <w:tcBorders>
              <w:top w:val="nil"/>
              <w:bottom w:val="nil"/>
            </w:tcBorders>
            <w:shd w:val="clear" w:color="auto" w:fill="auto"/>
          </w:tcPr>
          <w:p w14:paraId="1258C95B" w14:textId="77777777" w:rsidR="00346728" w:rsidRPr="0017772F" w:rsidRDefault="00346728" w:rsidP="00661BC2">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102.2</w:t>
            </w:r>
          </w:p>
        </w:tc>
        <w:tc>
          <w:tcPr>
            <w:tcW w:w="1991" w:type="dxa"/>
            <w:vMerge/>
            <w:shd w:val="clear" w:color="auto" w:fill="auto"/>
          </w:tcPr>
          <w:p w14:paraId="7331571C" w14:textId="77777777" w:rsidR="00346728" w:rsidRPr="0017772F" w:rsidRDefault="00346728" w:rsidP="0034672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46E7D012" w14:textId="77777777" w:rsidR="00346728" w:rsidRPr="0017772F" w:rsidRDefault="00346728" w:rsidP="0034672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6728" w:rsidRPr="0017772F" w14:paraId="599BEB71" w14:textId="77777777" w:rsidTr="00661B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0FE712F" w14:textId="77777777" w:rsidR="00346728" w:rsidRPr="0017772F" w:rsidRDefault="00346728" w:rsidP="00346728">
            <w:pPr>
              <w:spacing w:after="0"/>
              <w:rPr>
                <w:rFonts w:ascii="Times New Roman" w:hAnsi="Times New Roman" w:cs="Times New Roman"/>
                <w:sz w:val="20"/>
                <w:szCs w:val="20"/>
              </w:rPr>
            </w:pPr>
          </w:p>
        </w:tc>
        <w:tc>
          <w:tcPr>
            <w:tcW w:w="1208" w:type="dxa"/>
            <w:tcBorders>
              <w:top w:val="nil"/>
            </w:tcBorders>
            <w:shd w:val="clear" w:color="auto" w:fill="auto"/>
          </w:tcPr>
          <w:p w14:paraId="7C48EFA9"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200.8</w:t>
            </w:r>
          </w:p>
        </w:tc>
        <w:tc>
          <w:tcPr>
            <w:tcW w:w="1383" w:type="dxa"/>
            <w:tcBorders>
              <w:top w:val="nil"/>
            </w:tcBorders>
            <w:shd w:val="clear" w:color="auto" w:fill="auto"/>
          </w:tcPr>
          <w:p w14:paraId="151F3390"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194.57</w:t>
            </w:r>
          </w:p>
        </w:tc>
        <w:tc>
          <w:tcPr>
            <w:tcW w:w="1418" w:type="dxa"/>
            <w:tcBorders>
              <w:top w:val="nil"/>
            </w:tcBorders>
            <w:shd w:val="clear" w:color="auto" w:fill="auto"/>
          </w:tcPr>
          <w:p w14:paraId="6909D6E1"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101.2</w:t>
            </w:r>
          </w:p>
        </w:tc>
        <w:tc>
          <w:tcPr>
            <w:tcW w:w="1991" w:type="dxa"/>
            <w:vMerge/>
            <w:shd w:val="clear" w:color="auto" w:fill="auto"/>
          </w:tcPr>
          <w:p w14:paraId="39855F17"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shd w:val="clear" w:color="auto" w:fill="auto"/>
          </w:tcPr>
          <w:p w14:paraId="4C9DB7AB"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788C6659" w14:textId="77777777" w:rsidTr="00346728">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4DA44377" w14:textId="77777777" w:rsidR="00346728" w:rsidRPr="0017772F" w:rsidRDefault="00346728" w:rsidP="00346728">
            <w:pPr>
              <w:spacing w:after="0"/>
              <w:rPr>
                <w:rFonts w:ascii="Times New Roman" w:hAnsi="Times New Roman" w:cs="Times New Roman"/>
                <w:sz w:val="20"/>
                <w:szCs w:val="20"/>
              </w:rPr>
            </w:pPr>
          </w:p>
        </w:tc>
        <w:tc>
          <w:tcPr>
            <w:tcW w:w="1208" w:type="dxa"/>
            <w:shd w:val="clear" w:color="auto" w:fill="auto"/>
          </w:tcPr>
          <w:p w14:paraId="31BCF7E9"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241.3</w:t>
            </w:r>
          </w:p>
        </w:tc>
        <w:tc>
          <w:tcPr>
            <w:tcW w:w="1383" w:type="dxa"/>
            <w:shd w:val="clear" w:color="auto" w:fill="auto"/>
          </w:tcPr>
          <w:p w14:paraId="397F6AA7"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237.73</w:t>
            </w:r>
          </w:p>
        </w:tc>
        <w:tc>
          <w:tcPr>
            <w:tcW w:w="1418" w:type="dxa"/>
            <w:shd w:val="clear" w:color="auto" w:fill="auto"/>
          </w:tcPr>
          <w:p w14:paraId="682B6DAB"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101.5</w:t>
            </w:r>
          </w:p>
        </w:tc>
        <w:tc>
          <w:tcPr>
            <w:tcW w:w="1991" w:type="dxa"/>
            <w:vMerge w:val="restart"/>
            <w:shd w:val="clear" w:color="auto" w:fill="auto"/>
          </w:tcPr>
          <w:p w14:paraId="651B33A0"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101.3</w:t>
            </w:r>
          </w:p>
        </w:tc>
        <w:tc>
          <w:tcPr>
            <w:tcW w:w="986" w:type="dxa"/>
            <w:vMerge w:val="restart"/>
            <w:shd w:val="clear" w:color="auto" w:fill="auto"/>
          </w:tcPr>
          <w:p w14:paraId="5F9880A7" w14:textId="77777777" w:rsidR="00346728" w:rsidRPr="0017772F" w:rsidRDefault="00346728" w:rsidP="0042102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1.16</w:t>
            </w:r>
          </w:p>
        </w:tc>
      </w:tr>
      <w:tr w:rsidR="00346728" w:rsidRPr="0017772F" w14:paraId="02BC2243" w14:textId="77777777" w:rsidTr="004210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3D3F62D0" w14:textId="77777777" w:rsidR="00346728" w:rsidRPr="0017772F" w:rsidRDefault="00346728" w:rsidP="00346728">
            <w:pPr>
              <w:spacing w:after="0"/>
              <w:rPr>
                <w:rFonts w:ascii="Times New Roman" w:hAnsi="Times New Roman" w:cs="Times New Roman"/>
                <w:sz w:val="20"/>
                <w:szCs w:val="20"/>
              </w:rPr>
            </w:pPr>
          </w:p>
        </w:tc>
        <w:tc>
          <w:tcPr>
            <w:tcW w:w="1208" w:type="dxa"/>
            <w:tcBorders>
              <w:bottom w:val="nil"/>
            </w:tcBorders>
            <w:shd w:val="clear" w:color="auto" w:fill="auto"/>
          </w:tcPr>
          <w:p w14:paraId="43BE906A"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240.2</w:t>
            </w:r>
          </w:p>
        </w:tc>
        <w:tc>
          <w:tcPr>
            <w:tcW w:w="1383" w:type="dxa"/>
            <w:tcBorders>
              <w:bottom w:val="nil"/>
            </w:tcBorders>
            <w:shd w:val="clear" w:color="auto" w:fill="auto"/>
          </w:tcPr>
          <w:p w14:paraId="00B71DF6"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240.92</w:t>
            </w:r>
          </w:p>
        </w:tc>
        <w:tc>
          <w:tcPr>
            <w:tcW w:w="1418" w:type="dxa"/>
            <w:tcBorders>
              <w:bottom w:val="nil"/>
            </w:tcBorders>
            <w:shd w:val="clear" w:color="auto" w:fill="auto"/>
          </w:tcPr>
          <w:p w14:paraId="0C05059E" w14:textId="77777777" w:rsidR="00346728" w:rsidRPr="0017772F" w:rsidRDefault="00346728" w:rsidP="0042102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99.7</w:t>
            </w:r>
          </w:p>
        </w:tc>
        <w:tc>
          <w:tcPr>
            <w:tcW w:w="1991" w:type="dxa"/>
            <w:vMerge/>
            <w:tcBorders>
              <w:bottom w:val="nil"/>
            </w:tcBorders>
            <w:shd w:val="clear" w:color="auto" w:fill="auto"/>
          </w:tcPr>
          <w:p w14:paraId="37B52810" w14:textId="77777777" w:rsidR="00346728" w:rsidRPr="0017772F" w:rsidRDefault="00346728" w:rsidP="0034672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86" w:type="dxa"/>
            <w:vMerge/>
            <w:tcBorders>
              <w:bottom w:val="nil"/>
            </w:tcBorders>
            <w:shd w:val="clear" w:color="auto" w:fill="auto"/>
          </w:tcPr>
          <w:p w14:paraId="3BCEAC7E" w14:textId="77777777" w:rsidR="00346728" w:rsidRPr="0017772F" w:rsidRDefault="00346728" w:rsidP="0034672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6728" w:rsidRPr="0017772F" w14:paraId="1AAEA461" w14:textId="77777777" w:rsidTr="00421025">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14:paraId="067B1892" w14:textId="77777777" w:rsidR="00346728" w:rsidRPr="0017772F" w:rsidRDefault="00346728" w:rsidP="00346728">
            <w:pPr>
              <w:spacing w:after="0"/>
              <w:rPr>
                <w:rFonts w:ascii="Times New Roman" w:hAnsi="Times New Roman" w:cs="Times New Roman"/>
                <w:sz w:val="20"/>
                <w:szCs w:val="20"/>
              </w:rPr>
            </w:pPr>
          </w:p>
        </w:tc>
        <w:tc>
          <w:tcPr>
            <w:tcW w:w="1208" w:type="dxa"/>
            <w:tcBorders>
              <w:top w:val="nil"/>
              <w:bottom w:val="single" w:sz="4" w:space="0" w:color="auto"/>
            </w:tcBorders>
            <w:shd w:val="clear" w:color="auto" w:fill="auto"/>
          </w:tcPr>
          <w:p w14:paraId="3B6A3D4F" w14:textId="77777777" w:rsidR="00346728" w:rsidRPr="0017772F" w:rsidRDefault="00346728" w:rsidP="0042102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239.8</w:t>
            </w:r>
          </w:p>
        </w:tc>
        <w:tc>
          <w:tcPr>
            <w:tcW w:w="1383" w:type="dxa"/>
            <w:tcBorders>
              <w:top w:val="nil"/>
              <w:bottom w:val="single" w:sz="4" w:space="0" w:color="auto"/>
            </w:tcBorders>
            <w:shd w:val="clear" w:color="auto" w:fill="auto"/>
          </w:tcPr>
          <w:p w14:paraId="75BEC6DE" w14:textId="77777777" w:rsidR="00346728" w:rsidRPr="0017772F" w:rsidRDefault="00346728" w:rsidP="0042102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235.33</w:t>
            </w:r>
          </w:p>
        </w:tc>
        <w:tc>
          <w:tcPr>
            <w:tcW w:w="1418" w:type="dxa"/>
            <w:tcBorders>
              <w:top w:val="nil"/>
              <w:bottom w:val="single" w:sz="4" w:space="0" w:color="auto"/>
            </w:tcBorders>
            <w:shd w:val="clear" w:color="auto" w:fill="auto"/>
          </w:tcPr>
          <w:p w14:paraId="32E038FF" w14:textId="77777777" w:rsidR="00346728" w:rsidRPr="0017772F" w:rsidRDefault="00346728" w:rsidP="0042102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772F">
              <w:rPr>
                <w:rFonts w:ascii="Times New Roman" w:hAnsi="Times New Roman" w:cs="Times New Roman"/>
                <w:sz w:val="20"/>
                <w:szCs w:val="20"/>
              </w:rPr>
              <w:t>101.9</w:t>
            </w:r>
          </w:p>
        </w:tc>
        <w:tc>
          <w:tcPr>
            <w:tcW w:w="1991" w:type="dxa"/>
            <w:vMerge/>
            <w:tcBorders>
              <w:top w:val="nil"/>
              <w:bottom w:val="single" w:sz="4" w:space="0" w:color="auto"/>
            </w:tcBorders>
            <w:shd w:val="clear" w:color="auto" w:fill="auto"/>
          </w:tcPr>
          <w:p w14:paraId="5EF75C56" w14:textId="77777777" w:rsidR="00346728" w:rsidRPr="0017772F" w:rsidRDefault="00346728" w:rsidP="0042102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86" w:type="dxa"/>
            <w:vMerge/>
            <w:tcBorders>
              <w:top w:val="nil"/>
              <w:bottom w:val="single" w:sz="4" w:space="0" w:color="auto"/>
            </w:tcBorders>
            <w:shd w:val="clear" w:color="auto" w:fill="auto"/>
          </w:tcPr>
          <w:p w14:paraId="529E36F1" w14:textId="77777777" w:rsidR="00346728" w:rsidRPr="0017772F" w:rsidRDefault="00346728" w:rsidP="0042102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76250D" w14:textId="77777777" w:rsidR="0017772F" w:rsidRPr="00F447A7" w:rsidRDefault="0017772F" w:rsidP="0017772F">
      <w:pPr>
        <w:spacing w:after="0"/>
        <w:rPr>
          <w:rFonts w:ascii="Times New Roman" w:hAnsi="Times New Roman"/>
          <w:noProof/>
          <w:sz w:val="20"/>
          <w:szCs w:val="20"/>
          <w:lang w:bidi="ar-SA"/>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1D774D79" w14:textId="77777777" w:rsidR="007D6466" w:rsidRDefault="007D6466" w:rsidP="002B412F">
      <w:pPr>
        <w:spacing w:after="0"/>
        <w:jc w:val="center"/>
        <w:rPr>
          <w:rFonts w:ascii="Times New Roman" w:hAnsi="Times New Roman"/>
          <w:b/>
          <w:noProof/>
          <w:sz w:val="20"/>
          <w:szCs w:val="20"/>
          <w:lang w:bidi="ar-SA"/>
        </w:rPr>
        <w:sectPr w:rsidR="007D6466" w:rsidSect="00EC42FD">
          <w:headerReference w:type="even" r:id="rId34"/>
          <w:headerReference w:type="default" r:id="rId35"/>
          <w:footerReference w:type="even" r:id="rId36"/>
          <w:footerReference w:type="default" r:id="rId37"/>
          <w:headerReference w:type="first" r:id="rId38"/>
          <w:type w:val="continuous"/>
          <w:pgSz w:w="12240" w:h="15840" w:code="1"/>
          <w:pgMar w:top="1800" w:right="1469" w:bottom="1699" w:left="1440" w:header="706" w:footer="706" w:gutter="0"/>
          <w:pgNumType w:start="1"/>
          <w:cols w:space="708"/>
          <w:docGrid w:linePitch="360"/>
        </w:sectPr>
      </w:pPr>
    </w:p>
    <w:p w14:paraId="471ACF9F" w14:textId="007CF95F"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4E06F8A" w14:textId="0F0570D7" w:rsidR="00421025" w:rsidRDefault="00421025" w:rsidP="00421025">
      <w:pPr>
        <w:spacing w:after="0"/>
        <w:jc w:val="both"/>
        <w:outlineLvl w:val="0"/>
        <w:rPr>
          <w:rFonts w:ascii="Times New Roman" w:hAnsi="Times New Roman"/>
          <w:sz w:val="20"/>
          <w:szCs w:val="20"/>
        </w:rPr>
      </w:pPr>
      <w:r w:rsidRPr="00421025">
        <w:rPr>
          <w:rFonts w:ascii="Times New Roman" w:hAnsi="Times New Roman"/>
          <w:sz w:val="20"/>
          <w:szCs w:val="20"/>
        </w:rPr>
        <w:t>Fast, simple and reliable titrimetric method for quantitative determination of 4-GBA was developed and validated. This method allows quantitative determination 4-GBA in each batch of the substance in subsequent preclinical studies without use of standard samples. The aqueous titrimetric assay was unsuccessful and demonstrated insufficient accuracy due to the wide jump of pH. Instead, non-aqueous titrimetric method using glacial acetic acid and perchloric acid was applied to the determination of pure authentic samples and some of their pharmaceutical preparations. The non-aqueous titration demonstrated rather well shaped end-points with high potential jumps both in potentiometric and visual methods. Statistical tests indicate that the proposed titrimetric method appear to be equally suitable for routine determination of 4-GBA in pharmaceutical formulation, bulk and in pure form.</w:t>
      </w:r>
    </w:p>
    <w:p w14:paraId="78D085E6" w14:textId="77777777" w:rsidR="00421025" w:rsidRPr="00421025" w:rsidRDefault="00421025" w:rsidP="00E4499E">
      <w:pPr>
        <w:spacing w:after="0"/>
        <w:jc w:val="center"/>
        <w:outlineLvl w:val="0"/>
        <w:rPr>
          <w:rFonts w:ascii="Times New Roman" w:hAnsi="Times New Roman"/>
          <w:b/>
          <w:sz w:val="20"/>
          <w:szCs w:val="20"/>
        </w:rPr>
      </w:pPr>
      <w:r w:rsidRPr="00421025">
        <w:rPr>
          <w:rFonts w:ascii="Times New Roman" w:hAnsi="Times New Roman"/>
          <w:b/>
          <w:sz w:val="20"/>
          <w:szCs w:val="20"/>
        </w:rPr>
        <w:t>Acknowledgement</w:t>
      </w:r>
    </w:p>
    <w:p w14:paraId="3FCB933D" w14:textId="10F880D9" w:rsidR="006768E9" w:rsidRPr="00F447A7" w:rsidRDefault="00421025" w:rsidP="00421025">
      <w:pPr>
        <w:spacing w:after="0"/>
        <w:jc w:val="both"/>
        <w:outlineLvl w:val="0"/>
        <w:rPr>
          <w:rFonts w:ascii="Times New Roman" w:hAnsi="Times New Roman"/>
          <w:sz w:val="20"/>
          <w:szCs w:val="20"/>
        </w:rPr>
      </w:pPr>
      <w:r w:rsidRPr="00421025">
        <w:rPr>
          <w:rFonts w:ascii="Times New Roman" w:hAnsi="Times New Roman"/>
          <w:sz w:val="20"/>
          <w:szCs w:val="20"/>
        </w:rPr>
        <w:t>Research was carried out using the core facilities of TPU's “Physical and chemical methods of analysis”. This work was financially supported by the Tomsk Polytechnic University Competitiveness Enhancement Program grant 203/2020.</w:t>
      </w:r>
    </w:p>
    <w:p w14:paraId="6ACB2F9D" w14:textId="77777777" w:rsidR="00E16575" w:rsidRDefault="00E16575" w:rsidP="007D6466">
      <w:pPr>
        <w:spacing w:after="0"/>
        <w:rPr>
          <w:rFonts w:ascii="Times New Roman" w:hAnsi="Times New Roman"/>
          <w:noProof/>
          <w:sz w:val="20"/>
          <w:szCs w:val="20"/>
          <w:lang w:bidi="ar-SA"/>
        </w:rPr>
      </w:pPr>
    </w:p>
    <w:p w14:paraId="7BF57F23" w14:textId="77777777" w:rsidR="00E16575" w:rsidRDefault="007D6466" w:rsidP="00E165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F990AAA" w14:textId="4E4048DC" w:rsidR="007D6466" w:rsidRPr="00E16575" w:rsidRDefault="007D6466" w:rsidP="00E16575">
      <w:pPr>
        <w:pStyle w:val="ListParagraph"/>
        <w:numPr>
          <w:ilvl w:val="0"/>
          <w:numId w:val="5"/>
        </w:numPr>
        <w:spacing w:after="0"/>
        <w:ind w:left="360"/>
        <w:rPr>
          <w:rFonts w:ascii="Times New Roman" w:hAnsi="Times New Roman"/>
          <w:sz w:val="20"/>
          <w:szCs w:val="20"/>
        </w:rPr>
      </w:pPr>
      <w:r w:rsidRPr="00E16575">
        <w:rPr>
          <w:rFonts w:ascii="Times New Roman" w:hAnsi="Times New Roman"/>
          <w:sz w:val="20"/>
          <w:szCs w:val="20"/>
        </w:rPr>
        <w:t xml:space="preserve">David, H. E. (2019). Clinical pharmacology in diuretic use. </w:t>
      </w:r>
      <w:r w:rsidRPr="00E16575">
        <w:rPr>
          <w:rFonts w:ascii="Times New Roman" w:hAnsi="Times New Roman"/>
          <w:i/>
          <w:sz w:val="20"/>
          <w:szCs w:val="20"/>
        </w:rPr>
        <w:t>Clinical Journal of the American Society of Nephrology</w:t>
      </w:r>
      <w:r w:rsidRPr="00E16575">
        <w:rPr>
          <w:rFonts w:ascii="Times New Roman" w:hAnsi="Times New Roman"/>
          <w:sz w:val="20"/>
          <w:szCs w:val="20"/>
        </w:rPr>
        <w:t>, 14(8): 1248-1257.</w:t>
      </w:r>
    </w:p>
    <w:p w14:paraId="1FBE1FA4"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Roush, G. C., Kaur, R. and Ernst, M. E. (2014). Diuretics: A review and update. </w:t>
      </w:r>
      <w:r w:rsidRPr="00421025">
        <w:rPr>
          <w:rFonts w:ascii="Times New Roman" w:hAnsi="Times New Roman"/>
          <w:i/>
          <w:sz w:val="20"/>
          <w:szCs w:val="20"/>
        </w:rPr>
        <w:t>Journal of Cardiovascular Pharmacology and Therapeutics</w:t>
      </w:r>
      <w:r w:rsidRPr="00421025">
        <w:rPr>
          <w:rFonts w:ascii="Times New Roman" w:hAnsi="Times New Roman"/>
          <w:sz w:val="20"/>
          <w:szCs w:val="20"/>
        </w:rPr>
        <w:t xml:space="preserve">, 19(1): 5-13. </w:t>
      </w:r>
    </w:p>
    <w:p w14:paraId="5BD0A46D"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Wile, D. (2012). Diuretics: a review. </w:t>
      </w:r>
      <w:r w:rsidRPr="00421025">
        <w:rPr>
          <w:rFonts w:ascii="Times New Roman" w:hAnsi="Times New Roman"/>
          <w:i/>
          <w:sz w:val="20"/>
          <w:szCs w:val="20"/>
        </w:rPr>
        <w:t>Annals of Clinical Biochemistry</w:t>
      </w:r>
      <w:r w:rsidRPr="00421025">
        <w:rPr>
          <w:rFonts w:ascii="Times New Roman" w:hAnsi="Times New Roman"/>
          <w:sz w:val="20"/>
          <w:szCs w:val="20"/>
        </w:rPr>
        <w:t>. 49(5): 419-431.</w:t>
      </w:r>
    </w:p>
    <w:p w14:paraId="6E40DF3C"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lastRenderedPageBreak/>
        <w:t xml:space="preserve">Roush, G. C. and Sica, D. A. (2016). Diuretics for hypertension: A review and update. </w:t>
      </w:r>
      <w:r w:rsidRPr="00421025">
        <w:rPr>
          <w:rFonts w:ascii="Times New Roman" w:hAnsi="Times New Roman"/>
          <w:i/>
          <w:sz w:val="20"/>
          <w:szCs w:val="20"/>
        </w:rPr>
        <w:t>American Journal of Hypertension</w:t>
      </w:r>
      <w:r w:rsidRPr="00421025">
        <w:rPr>
          <w:rFonts w:ascii="Times New Roman" w:hAnsi="Times New Roman"/>
          <w:sz w:val="20"/>
          <w:szCs w:val="20"/>
        </w:rPr>
        <w:t>, 29(10): 1130-1137.</w:t>
      </w:r>
    </w:p>
    <w:p w14:paraId="49C0E161"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Weber, M. A., Schiffrin, E. L., White, W. B., Mann, S., Lindholm, L. H., Kenerson, J. G., Flack, J. M., Carter, B. L., Materson, B. J., Ram, C. V. S., Cohen, D. L., Cadet, J-C., Jean-Charles, R. R., Taler, S., Kountz, D., Townsend, R. R., Chalmers, J., Ramirez, A. J., Bakris, G. L., Wang, J., Schutte, A. E., Bisognano, J. D., Touyz, R. M., Sica, D. and Harrap, S. B. (2014). Clinical practice guidelines for the management of hypertension in the community: A statement by the American society of hypertension and the international society of hypertension. </w:t>
      </w:r>
      <w:r w:rsidRPr="00421025">
        <w:rPr>
          <w:rFonts w:ascii="Times New Roman" w:hAnsi="Times New Roman"/>
          <w:i/>
          <w:sz w:val="20"/>
          <w:szCs w:val="20"/>
        </w:rPr>
        <w:t>The Journal of Clinical Hypertension,</w:t>
      </w:r>
      <w:r w:rsidRPr="00421025">
        <w:rPr>
          <w:rFonts w:ascii="Times New Roman" w:hAnsi="Times New Roman"/>
          <w:sz w:val="20"/>
          <w:szCs w:val="20"/>
        </w:rPr>
        <w:t xml:space="preserve"> 16(1): 14-26. </w:t>
      </w:r>
    </w:p>
    <w:p w14:paraId="0793255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Brater, D. C. (2000). Pharmacology of diuretics. </w:t>
      </w:r>
      <w:r w:rsidRPr="00421025">
        <w:rPr>
          <w:rFonts w:ascii="Times New Roman" w:hAnsi="Times New Roman"/>
          <w:i/>
          <w:sz w:val="20"/>
          <w:szCs w:val="20"/>
        </w:rPr>
        <w:t>The American Journal of the Medical Sciences</w:t>
      </w:r>
      <w:r w:rsidRPr="00421025">
        <w:rPr>
          <w:rFonts w:ascii="Times New Roman" w:hAnsi="Times New Roman"/>
          <w:sz w:val="20"/>
          <w:szCs w:val="20"/>
        </w:rPr>
        <w:t>, 319(1): 38-50.</w:t>
      </w:r>
    </w:p>
    <w:p w14:paraId="330BA7E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Ettinger, B. (1985). Excretion of triamterene and its metabolite in triamterene stone patients. </w:t>
      </w:r>
      <w:r w:rsidRPr="00421025">
        <w:rPr>
          <w:rFonts w:ascii="Times New Roman" w:hAnsi="Times New Roman"/>
          <w:i/>
          <w:sz w:val="20"/>
          <w:szCs w:val="20"/>
        </w:rPr>
        <w:t>The Journal of Clinical Pharmacology</w:t>
      </w:r>
      <w:r w:rsidRPr="00421025">
        <w:rPr>
          <w:rFonts w:ascii="Times New Roman" w:hAnsi="Times New Roman"/>
          <w:sz w:val="20"/>
          <w:szCs w:val="20"/>
        </w:rPr>
        <w:t>, 25(5): 365-368.</w:t>
      </w:r>
    </w:p>
    <w:p w14:paraId="613474EC"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Chemam, Y., Benayache, S., Marchioni, E., Zhao, M., Mosset, P. and Benayache, F. (2017). On-line screening, isolation and identification of antioxidant compounds of </w:t>
      </w:r>
      <w:r w:rsidRPr="00421025">
        <w:rPr>
          <w:rFonts w:ascii="Times New Roman" w:hAnsi="Times New Roman"/>
          <w:i/>
          <w:sz w:val="20"/>
          <w:szCs w:val="20"/>
        </w:rPr>
        <w:t>Helianthemum ruficomum</w:t>
      </w:r>
      <w:r w:rsidRPr="00421025">
        <w:rPr>
          <w:rFonts w:ascii="Times New Roman" w:hAnsi="Times New Roman"/>
          <w:sz w:val="20"/>
          <w:szCs w:val="20"/>
        </w:rPr>
        <w:t xml:space="preserve">. </w:t>
      </w:r>
      <w:r w:rsidRPr="00421025">
        <w:rPr>
          <w:rFonts w:ascii="Times New Roman" w:hAnsi="Times New Roman"/>
          <w:i/>
          <w:sz w:val="20"/>
          <w:szCs w:val="20"/>
        </w:rPr>
        <w:t>Molecules</w:t>
      </w:r>
      <w:r w:rsidRPr="00421025">
        <w:rPr>
          <w:rFonts w:ascii="Times New Roman" w:hAnsi="Times New Roman"/>
          <w:sz w:val="20"/>
          <w:szCs w:val="20"/>
        </w:rPr>
        <w:t>, 22(2): 239.</w:t>
      </w:r>
    </w:p>
    <w:p w14:paraId="34766A2F"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Hong, S. S., Choi, C. W., Choi, Y.-H. and Oh J. S. (2016). Coixlachryside A: a new lignan glycoside from the roots of </w:t>
      </w:r>
      <w:r w:rsidRPr="00421025">
        <w:rPr>
          <w:rFonts w:ascii="Times New Roman" w:hAnsi="Times New Roman"/>
          <w:i/>
          <w:sz w:val="20"/>
          <w:szCs w:val="20"/>
        </w:rPr>
        <w:t>Coix lachryma-jobi L. var. ma-yuen Stapf</w:t>
      </w:r>
      <w:r w:rsidRPr="00421025">
        <w:rPr>
          <w:rFonts w:ascii="Times New Roman" w:hAnsi="Times New Roman"/>
          <w:sz w:val="20"/>
          <w:szCs w:val="20"/>
        </w:rPr>
        <w:t xml:space="preserve">. </w:t>
      </w:r>
      <w:r w:rsidRPr="00421025">
        <w:rPr>
          <w:rFonts w:ascii="Times New Roman" w:hAnsi="Times New Roman"/>
          <w:i/>
          <w:sz w:val="20"/>
          <w:szCs w:val="20"/>
        </w:rPr>
        <w:t>Phytochemistry Letters</w:t>
      </w:r>
      <w:r w:rsidRPr="00421025">
        <w:rPr>
          <w:rFonts w:ascii="Times New Roman" w:hAnsi="Times New Roman"/>
          <w:sz w:val="20"/>
          <w:szCs w:val="20"/>
        </w:rPr>
        <w:t>, 17: 152-157.</w:t>
      </w:r>
    </w:p>
    <w:p w14:paraId="3DD46ED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Yamashita-Higuchi, Y., Sugimoto, S., Matsunami, K., Otsuka, H. and Nakai, T. (2014). Grevillosides J–Q, Arbutin derivatives from the leaves of </w:t>
      </w:r>
      <w:r w:rsidRPr="00421025">
        <w:rPr>
          <w:rFonts w:ascii="Times New Roman" w:hAnsi="Times New Roman"/>
          <w:i/>
          <w:sz w:val="20"/>
          <w:szCs w:val="20"/>
        </w:rPr>
        <w:t>Grevillea robusta</w:t>
      </w:r>
      <w:r w:rsidRPr="00421025">
        <w:rPr>
          <w:rFonts w:ascii="Times New Roman" w:hAnsi="Times New Roman"/>
          <w:sz w:val="20"/>
          <w:szCs w:val="20"/>
        </w:rPr>
        <w:t xml:space="preserve"> and their melanogenesis inhibitory activity. </w:t>
      </w:r>
      <w:r w:rsidRPr="00421025">
        <w:rPr>
          <w:rFonts w:ascii="Times New Roman" w:hAnsi="Times New Roman"/>
          <w:i/>
          <w:sz w:val="20"/>
          <w:szCs w:val="20"/>
        </w:rPr>
        <w:t>Chemical and Pharmaceutical Bulletin</w:t>
      </w:r>
      <w:r w:rsidRPr="00421025">
        <w:rPr>
          <w:rFonts w:ascii="Times New Roman" w:hAnsi="Times New Roman"/>
          <w:sz w:val="20"/>
          <w:szCs w:val="20"/>
        </w:rPr>
        <w:t>, 62(4): 364-372.</w:t>
      </w:r>
    </w:p>
    <w:p w14:paraId="19ADA2F9"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Tanaka, Y., Yanagida, A., Komeya, S., Kawana, M., Honma, D., Tagashira, M., Kanda, T. and Shibusawa, Y. (2014). Comprehensive separation and structural analyses of polyphenols and related compounds from bracts of hops (</w:t>
      </w:r>
      <w:r w:rsidRPr="00421025">
        <w:rPr>
          <w:rFonts w:ascii="Times New Roman" w:hAnsi="Times New Roman"/>
          <w:i/>
          <w:sz w:val="20"/>
          <w:szCs w:val="20"/>
        </w:rPr>
        <w:t>Humulus lupulus L.</w:t>
      </w:r>
      <w:r w:rsidRPr="00421025">
        <w:rPr>
          <w:rFonts w:ascii="Times New Roman" w:hAnsi="Times New Roman"/>
          <w:sz w:val="20"/>
          <w:szCs w:val="20"/>
        </w:rPr>
        <w:t xml:space="preserve">). </w:t>
      </w:r>
      <w:r w:rsidRPr="00421025">
        <w:rPr>
          <w:rFonts w:ascii="Times New Roman" w:hAnsi="Times New Roman"/>
          <w:i/>
          <w:sz w:val="20"/>
          <w:szCs w:val="20"/>
        </w:rPr>
        <w:t>Journal of Agricultural and Food Chemistry</w:t>
      </w:r>
      <w:r w:rsidRPr="00421025">
        <w:rPr>
          <w:rFonts w:ascii="Times New Roman" w:hAnsi="Times New Roman"/>
          <w:sz w:val="20"/>
          <w:szCs w:val="20"/>
        </w:rPr>
        <w:t xml:space="preserve">, 62(10): 2198-2206. </w:t>
      </w:r>
    </w:p>
    <w:p w14:paraId="3551F50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Pan, H. and Lundgren, L. N. (1996). Phenolics from inner bark of </w:t>
      </w:r>
      <w:r w:rsidRPr="00421025">
        <w:rPr>
          <w:rFonts w:ascii="Times New Roman" w:hAnsi="Times New Roman"/>
          <w:i/>
          <w:sz w:val="20"/>
          <w:szCs w:val="20"/>
        </w:rPr>
        <w:t>Pinus sylvestris</w:t>
      </w:r>
      <w:r w:rsidRPr="00421025">
        <w:rPr>
          <w:rFonts w:ascii="Times New Roman" w:hAnsi="Times New Roman"/>
          <w:sz w:val="20"/>
          <w:szCs w:val="20"/>
        </w:rPr>
        <w:t xml:space="preserve">. </w:t>
      </w:r>
      <w:r w:rsidRPr="00421025">
        <w:rPr>
          <w:rFonts w:ascii="Times New Roman" w:hAnsi="Times New Roman"/>
          <w:i/>
          <w:sz w:val="20"/>
          <w:szCs w:val="20"/>
        </w:rPr>
        <w:t>Phytochemistry</w:t>
      </w:r>
      <w:r w:rsidRPr="00421025">
        <w:rPr>
          <w:rFonts w:ascii="Times New Roman" w:hAnsi="Times New Roman"/>
          <w:sz w:val="20"/>
          <w:szCs w:val="20"/>
        </w:rPr>
        <w:t>, 42(4): 1185-1189.</w:t>
      </w:r>
    </w:p>
    <w:p w14:paraId="243143AA"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Masuda, T., Fujita, N., Odaka, Y., Takeda, Y., Yonemori, S., Nakamoto, K. and Kuninaga, H. (2007). Tyrosinase inhibitory activity of ethanol extracts from medicinal and edible plants cultivated in Okinawa and identification of a water-soluble inhibitor from the leaves of </w:t>
      </w:r>
      <w:r w:rsidRPr="00421025">
        <w:rPr>
          <w:rFonts w:ascii="Times New Roman" w:hAnsi="Times New Roman"/>
          <w:i/>
          <w:sz w:val="20"/>
          <w:szCs w:val="20"/>
        </w:rPr>
        <w:t>Nandina domestica</w:t>
      </w:r>
      <w:r w:rsidRPr="00421025">
        <w:rPr>
          <w:rFonts w:ascii="Times New Roman" w:hAnsi="Times New Roman"/>
          <w:sz w:val="20"/>
          <w:szCs w:val="20"/>
        </w:rPr>
        <w:t xml:space="preserve">. </w:t>
      </w:r>
      <w:r w:rsidRPr="00421025">
        <w:rPr>
          <w:rFonts w:ascii="Times New Roman" w:hAnsi="Times New Roman"/>
          <w:i/>
          <w:sz w:val="20"/>
          <w:szCs w:val="20"/>
        </w:rPr>
        <w:t>Bioscience, Biotechnology, and Biochemistry</w:t>
      </w:r>
      <w:r w:rsidRPr="00421025">
        <w:rPr>
          <w:rFonts w:ascii="Times New Roman" w:hAnsi="Times New Roman"/>
          <w:sz w:val="20"/>
          <w:szCs w:val="20"/>
        </w:rPr>
        <w:t>, 71(9): 2316-2320.</w:t>
      </w:r>
    </w:p>
    <w:p w14:paraId="10FDA6D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Fiorentino, A., D’Abrosca, B., Pacifico, S., Mastellone, C., Piscopo, V., Caputo, R. and Monaco, P. (2008). Isolation and structure elucidation of antioxidant polyphenols from Quince (</w:t>
      </w:r>
      <w:r w:rsidRPr="00421025">
        <w:rPr>
          <w:rFonts w:ascii="Times New Roman" w:hAnsi="Times New Roman"/>
          <w:i/>
          <w:sz w:val="20"/>
          <w:szCs w:val="20"/>
        </w:rPr>
        <w:t>Cydonia vulgaris</w:t>
      </w:r>
      <w:r w:rsidRPr="00421025">
        <w:rPr>
          <w:rFonts w:ascii="Times New Roman" w:hAnsi="Times New Roman"/>
          <w:sz w:val="20"/>
          <w:szCs w:val="20"/>
        </w:rPr>
        <w:t xml:space="preserve">) peels. </w:t>
      </w:r>
      <w:r w:rsidRPr="00421025">
        <w:rPr>
          <w:rFonts w:ascii="Times New Roman" w:hAnsi="Times New Roman"/>
          <w:i/>
          <w:sz w:val="20"/>
          <w:szCs w:val="20"/>
        </w:rPr>
        <w:t>Journal of Agricultural and Food Chemistry</w:t>
      </w:r>
      <w:r w:rsidRPr="00421025">
        <w:rPr>
          <w:rFonts w:ascii="Times New Roman" w:hAnsi="Times New Roman"/>
          <w:sz w:val="20"/>
          <w:szCs w:val="20"/>
        </w:rPr>
        <w:t>, 56(8): 2660-2667.</w:t>
      </w:r>
    </w:p>
    <w:p w14:paraId="6DF6C7B8"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Ye, X., Tian, W., Wang, G., Zhang, X., Zhou, M., Zeng, D., Liu, X., Yao, X., Zhang, Y. and Chen, H. (2020). Phenolic glycosides from the roots of </w:t>
      </w:r>
      <w:r w:rsidRPr="00421025">
        <w:rPr>
          <w:rFonts w:ascii="Times New Roman" w:hAnsi="Times New Roman"/>
          <w:i/>
          <w:sz w:val="20"/>
          <w:szCs w:val="20"/>
        </w:rPr>
        <w:t>Ficus hirta</w:t>
      </w:r>
      <w:r w:rsidRPr="00421025">
        <w:rPr>
          <w:rFonts w:ascii="Times New Roman" w:hAnsi="Times New Roman"/>
          <w:sz w:val="20"/>
          <w:szCs w:val="20"/>
        </w:rPr>
        <w:t xml:space="preserve"> Vahl. and their anti-neuroinflammatory activities. </w:t>
      </w:r>
      <w:r w:rsidRPr="00421025">
        <w:rPr>
          <w:rFonts w:ascii="Times New Roman" w:hAnsi="Times New Roman"/>
          <w:i/>
          <w:sz w:val="20"/>
          <w:szCs w:val="20"/>
        </w:rPr>
        <w:t>Journal of Agricultural and Food Chemistry</w:t>
      </w:r>
      <w:r w:rsidRPr="00421025">
        <w:rPr>
          <w:rFonts w:ascii="Times New Roman" w:hAnsi="Times New Roman"/>
          <w:sz w:val="20"/>
          <w:szCs w:val="20"/>
        </w:rPr>
        <w:t>, 68(14): 4196-4204.</w:t>
      </w:r>
    </w:p>
    <w:p w14:paraId="2F58C579"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Smirnov, I. V., Murashko, T. O., Ivanov, A. A., Nemtsev, A. O., Postnikov, P. S., Bondarev, A. A. and Udut, V. V. (2016). Diuretic activity of 4-O-carboxyphenyl-D-glucopyranoside sodium salt administered via different routes.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79(1): 20-22.</w:t>
      </w:r>
    </w:p>
    <w:p w14:paraId="1941A57F" w14:textId="599AB4AA" w:rsidR="00E16575" w:rsidRPr="007C40E6" w:rsidRDefault="007D6466" w:rsidP="00E16575">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Smirnov, I. V., Murashko, T. O., Voloboy, N. L., Ivanov, A. A., Nemtcev, A. O., Bondarev, A. A. and Udut, V. V. (2015). The study of diuretic properties of a new synthetic substance. </w:t>
      </w:r>
      <w:r w:rsidRPr="00421025">
        <w:rPr>
          <w:rFonts w:ascii="Times New Roman" w:hAnsi="Times New Roman"/>
          <w:i/>
          <w:sz w:val="20"/>
          <w:szCs w:val="20"/>
        </w:rPr>
        <w:t>Pharmacy</w:t>
      </w:r>
      <w:r w:rsidRPr="00421025">
        <w:rPr>
          <w:rFonts w:ascii="Times New Roman" w:hAnsi="Times New Roman"/>
          <w:sz w:val="20"/>
          <w:szCs w:val="20"/>
        </w:rPr>
        <w:t xml:space="preserve">, 64(3): 40- 42. </w:t>
      </w:r>
    </w:p>
    <w:p w14:paraId="69463A3C" w14:textId="602AD26D" w:rsidR="00E4499E" w:rsidRDefault="007D6466" w:rsidP="00E4499E">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Murashko, T. O., Smirnov, I. V., Bondarev, A. A., Ivanov, A. A., Postnikov, P. S., Nemtsev, A. O. and Udut, V. V. (2016). Anti-inflammatory activity of sodium salt of 4-(O-β-d-glucopyranosyloxy)</w:t>
      </w:r>
      <w:r>
        <w:rPr>
          <w:rFonts w:ascii="Times New Roman" w:hAnsi="Times New Roman"/>
          <w:sz w:val="20"/>
          <w:szCs w:val="20"/>
        </w:rPr>
        <w:t xml:space="preserve"> </w:t>
      </w:r>
      <w:r w:rsidRPr="00421025">
        <w:rPr>
          <w:rFonts w:ascii="Times New Roman" w:hAnsi="Times New Roman"/>
          <w:sz w:val="20"/>
          <w:szCs w:val="20"/>
        </w:rPr>
        <w:t xml:space="preserve">benzoic acid.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79(4): 26-28.</w:t>
      </w:r>
    </w:p>
    <w:p w14:paraId="65D79263" w14:textId="21B6D7B2" w:rsidR="009C3651" w:rsidRDefault="009C3651" w:rsidP="009C3651">
      <w:pPr>
        <w:spacing w:after="0"/>
        <w:jc w:val="both"/>
        <w:rPr>
          <w:rFonts w:ascii="Times New Roman" w:hAnsi="Times New Roman"/>
          <w:sz w:val="20"/>
          <w:szCs w:val="20"/>
        </w:rPr>
      </w:pPr>
    </w:p>
    <w:p w14:paraId="7E7D82DB" w14:textId="3011F86E" w:rsidR="009C3651" w:rsidRDefault="009C3651" w:rsidP="009C3651">
      <w:pPr>
        <w:spacing w:after="0"/>
        <w:jc w:val="both"/>
        <w:rPr>
          <w:rFonts w:ascii="Times New Roman" w:hAnsi="Times New Roman"/>
          <w:sz w:val="20"/>
          <w:szCs w:val="20"/>
        </w:rPr>
      </w:pPr>
    </w:p>
    <w:p w14:paraId="3C746AF4" w14:textId="5937E80F" w:rsidR="009C3651" w:rsidRDefault="009C3651" w:rsidP="009C3651">
      <w:pPr>
        <w:spacing w:after="0"/>
        <w:jc w:val="both"/>
        <w:rPr>
          <w:rFonts w:ascii="Times New Roman" w:hAnsi="Times New Roman"/>
          <w:sz w:val="20"/>
          <w:szCs w:val="20"/>
        </w:rPr>
      </w:pPr>
    </w:p>
    <w:p w14:paraId="50CE63FC" w14:textId="77777777" w:rsidR="009C3651" w:rsidRPr="009C3651" w:rsidRDefault="009C3651" w:rsidP="009C3651">
      <w:pPr>
        <w:spacing w:after="0"/>
        <w:jc w:val="both"/>
        <w:rPr>
          <w:rFonts w:ascii="Times New Roman" w:hAnsi="Times New Roman"/>
          <w:sz w:val="20"/>
          <w:szCs w:val="20"/>
        </w:rPr>
      </w:pPr>
    </w:p>
    <w:p w14:paraId="78C6995D"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lastRenderedPageBreak/>
        <w:t xml:space="preserve">Murashko, T. O., Smirnov, I. V., Ivanov, A. A., Postnikov, P. S., Nemtsev, A. O., Bomdarev, A. A., Udut, V. V., Prisukhin, A. N., Kornaukhov, A. N. and Sergeev, T. S. (2016). Studying gastric ulceration effect of a new drug intended for treatment of chronic inflammatory diseases of kidneys and urinary tract. </w:t>
      </w:r>
      <w:r w:rsidRPr="00421025">
        <w:rPr>
          <w:rFonts w:ascii="Times New Roman" w:hAnsi="Times New Roman"/>
          <w:i/>
          <w:sz w:val="20"/>
          <w:szCs w:val="20"/>
        </w:rPr>
        <w:t>Eksperimental'naya i Klinicheskaya Farmakologiya</w:t>
      </w:r>
      <w:r w:rsidRPr="00421025">
        <w:rPr>
          <w:rFonts w:ascii="Times New Roman" w:hAnsi="Times New Roman"/>
          <w:sz w:val="20"/>
          <w:szCs w:val="20"/>
        </w:rPr>
        <w:t>. 79(5): 26-28.</w:t>
      </w:r>
    </w:p>
    <w:p w14:paraId="75F68968"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Goldstein, J. L. and Cryer, B. (2015). Gastrointestinal injury associated with NSAID use: A case study and review of risk factors and preventative strategies. </w:t>
      </w:r>
      <w:r w:rsidRPr="00421025">
        <w:rPr>
          <w:rFonts w:ascii="Times New Roman" w:hAnsi="Times New Roman"/>
          <w:i/>
          <w:sz w:val="20"/>
          <w:szCs w:val="20"/>
        </w:rPr>
        <w:t>Drug, Healthcare and Patient Safety</w:t>
      </w:r>
      <w:r w:rsidRPr="00421025">
        <w:rPr>
          <w:rFonts w:ascii="Times New Roman" w:hAnsi="Times New Roman"/>
          <w:sz w:val="20"/>
          <w:szCs w:val="20"/>
        </w:rPr>
        <w:t>, 2015(7): 31-41.</w:t>
      </w:r>
    </w:p>
    <w:p w14:paraId="0E02481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García-Rayado, G., Navarro, M. and Lanas, A. (2018). NSAID induced gastrointestinal damage and designing GI-sparing NSAIDs. </w:t>
      </w:r>
      <w:r w:rsidRPr="00421025">
        <w:rPr>
          <w:rFonts w:ascii="Times New Roman" w:hAnsi="Times New Roman"/>
          <w:i/>
          <w:sz w:val="20"/>
          <w:szCs w:val="20"/>
        </w:rPr>
        <w:t>Expert Review of Clinical Pharmacology</w:t>
      </w:r>
      <w:r w:rsidRPr="00421025">
        <w:rPr>
          <w:rFonts w:ascii="Times New Roman" w:hAnsi="Times New Roman"/>
          <w:sz w:val="20"/>
          <w:szCs w:val="20"/>
        </w:rPr>
        <w:t>. 11(10): 1031-1043.</w:t>
      </w:r>
    </w:p>
    <w:p w14:paraId="0894E7E3"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Görög, S. (2005). The sacred cow: the questionable role of assay methods in characterising the quality of bulk pharmaceuticals. </w:t>
      </w:r>
      <w:r w:rsidRPr="00421025">
        <w:rPr>
          <w:rFonts w:ascii="Times New Roman" w:hAnsi="Times New Roman"/>
          <w:i/>
          <w:sz w:val="20"/>
          <w:szCs w:val="20"/>
        </w:rPr>
        <w:t>Journal of Pharmaceutical and Biomedical Analysis</w:t>
      </w:r>
      <w:r w:rsidRPr="00421025">
        <w:rPr>
          <w:rFonts w:ascii="Times New Roman" w:hAnsi="Times New Roman"/>
          <w:sz w:val="20"/>
          <w:szCs w:val="20"/>
        </w:rPr>
        <w:t xml:space="preserve">. 36(5): 931-937. </w:t>
      </w:r>
    </w:p>
    <w:p w14:paraId="5390AC28"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Siddiqui, M. R., Al Othman, Z. A. and Rahman, N. (2017). Analytical techniques in pharmaceutical analysis: A review. </w:t>
      </w:r>
      <w:r w:rsidRPr="00421025">
        <w:rPr>
          <w:rFonts w:ascii="Times New Roman" w:hAnsi="Times New Roman"/>
          <w:i/>
          <w:sz w:val="20"/>
          <w:szCs w:val="20"/>
        </w:rPr>
        <w:t>Arabian Journal of Chemistry</w:t>
      </w:r>
      <w:r w:rsidRPr="00421025">
        <w:rPr>
          <w:rFonts w:ascii="Times New Roman" w:hAnsi="Times New Roman"/>
          <w:sz w:val="20"/>
          <w:szCs w:val="20"/>
        </w:rPr>
        <w:t>, 10: 1409-1421.</w:t>
      </w:r>
    </w:p>
    <w:p w14:paraId="70295950"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Smirnov, I., Murashko, T., Ivanov, A., Bondarev, A. and Udut, V. (2016). Study of specific pharmacological activity of sodium salt (4-O-β-glucopyranosyloxy)-benzoic acid</w:t>
      </w:r>
      <w:r w:rsidRPr="00421025">
        <w:rPr>
          <w:rFonts w:ascii="Times New Roman" w:hAnsi="Times New Roman"/>
          <w:i/>
          <w:sz w:val="20"/>
          <w:szCs w:val="20"/>
        </w:rPr>
        <w:t>. Jurnal of Teknologi</w:t>
      </w:r>
      <w:r w:rsidRPr="00421025">
        <w:rPr>
          <w:rFonts w:ascii="Times New Roman" w:hAnsi="Times New Roman"/>
          <w:sz w:val="20"/>
          <w:szCs w:val="20"/>
        </w:rPr>
        <w:t>, 78(6-8): 21-24.</w:t>
      </w:r>
    </w:p>
    <w:p w14:paraId="7D5449A5"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Stepanova, E., Nagornaya, M., Belyanin, M. and Filimonov, V. (2017). The first total syntheses of the diglycosides Virgaureoside A, of </w:t>
      </w:r>
      <w:r w:rsidRPr="00421025">
        <w:rPr>
          <w:rFonts w:ascii="Times New Roman" w:hAnsi="Times New Roman"/>
          <w:i/>
          <w:sz w:val="20"/>
          <w:szCs w:val="20"/>
        </w:rPr>
        <w:t>Solidago virgaurea L.</w:t>
      </w:r>
      <w:r w:rsidRPr="00421025">
        <w:rPr>
          <w:rFonts w:ascii="Times New Roman" w:hAnsi="Times New Roman"/>
          <w:sz w:val="20"/>
          <w:szCs w:val="20"/>
        </w:rPr>
        <w:t xml:space="preserve">, and its analogue iso-Virgaureoside A. </w:t>
      </w:r>
      <w:r w:rsidRPr="00421025">
        <w:rPr>
          <w:rFonts w:ascii="Times New Roman" w:hAnsi="Times New Roman"/>
          <w:i/>
          <w:sz w:val="20"/>
          <w:szCs w:val="20"/>
        </w:rPr>
        <w:t>Current Organic Synthesis</w:t>
      </w:r>
      <w:r w:rsidRPr="00421025">
        <w:rPr>
          <w:rFonts w:ascii="Times New Roman" w:hAnsi="Times New Roman"/>
          <w:sz w:val="20"/>
          <w:szCs w:val="20"/>
        </w:rPr>
        <w:t>, 14(3): 394-397.</w:t>
      </w:r>
    </w:p>
    <w:p w14:paraId="259A3B40"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World Health Organization (2019). International Pharmacopoeia (IP). Reagents, test solutions and </w:t>
      </w:r>
      <w:r w:rsidRPr="00421025">
        <w:rPr>
          <w:rFonts w:ascii="Times New Roman" w:hAnsi="Times New Roman"/>
          <w:sz w:val="20"/>
          <w:szCs w:val="20"/>
        </w:rPr>
        <w:t>volumetric solutions. 9</w:t>
      </w:r>
      <w:r w:rsidRPr="00421025">
        <w:rPr>
          <w:rFonts w:ascii="Times New Roman" w:hAnsi="Times New Roman"/>
          <w:sz w:val="20"/>
          <w:szCs w:val="20"/>
          <w:vertAlign w:val="superscript"/>
        </w:rPr>
        <w:t>th</w:t>
      </w:r>
      <w:r w:rsidRPr="00421025">
        <w:rPr>
          <w:rFonts w:ascii="Times New Roman" w:hAnsi="Times New Roman"/>
          <w:sz w:val="20"/>
          <w:szCs w:val="20"/>
        </w:rPr>
        <w:t xml:space="preserve"> edition, Geneva, Switzerland.</w:t>
      </w:r>
    </w:p>
    <w:p w14:paraId="28DFC6EA"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Reijenga, J., van Hoof, A., van Loon, A. and Teunissen, B. (2013). Development of methods for the determination of pK</w:t>
      </w:r>
      <w:r w:rsidRPr="00421025">
        <w:rPr>
          <w:rFonts w:ascii="Times New Roman" w:hAnsi="Times New Roman"/>
          <w:sz w:val="20"/>
          <w:szCs w:val="20"/>
          <w:vertAlign w:val="subscript"/>
        </w:rPr>
        <w:t>a</w:t>
      </w:r>
      <w:r w:rsidRPr="00421025">
        <w:rPr>
          <w:rFonts w:ascii="Times New Roman" w:hAnsi="Times New Roman"/>
          <w:sz w:val="20"/>
          <w:szCs w:val="20"/>
        </w:rPr>
        <w:t xml:space="preserve"> Values. </w:t>
      </w:r>
      <w:r w:rsidRPr="00421025">
        <w:rPr>
          <w:rFonts w:ascii="Times New Roman" w:hAnsi="Times New Roman"/>
          <w:i/>
          <w:sz w:val="20"/>
          <w:szCs w:val="20"/>
        </w:rPr>
        <w:t>Analytical Chemistry Insights</w:t>
      </w:r>
      <w:r w:rsidRPr="00421025">
        <w:rPr>
          <w:rFonts w:ascii="Times New Roman" w:hAnsi="Times New Roman"/>
          <w:sz w:val="20"/>
          <w:szCs w:val="20"/>
        </w:rPr>
        <w:t>, 8(1): 53-71.</w:t>
      </w:r>
    </w:p>
    <w:p w14:paraId="2BDECF7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Babic, S., Horvat, A. J. M., Pavlovic, D. M. and Kastelan-Macan, M. (2007). Determination of pK</w:t>
      </w:r>
      <w:r w:rsidRPr="00421025">
        <w:rPr>
          <w:rFonts w:ascii="Times New Roman" w:hAnsi="Times New Roman"/>
          <w:sz w:val="20"/>
          <w:szCs w:val="20"/>
          <w:vertAlign w:val="subscript"/>
        </w:rPr>
        <w:t>a</w:t>
      </w:r>
      <w:r w:rsidRPr="00421025">
        <w:rPr>
          <w:rFonts w:ascii="Times New Roman" w:hAnsi="Times New Roman"/>
          <w:sz w:val="20"/>
          <w:szCs w:val="20"/>
        </w:rPr>
        <w:t xml:space="preserve"> values of active pharmaceutical ingredients. </w:t>
      </w:r>
      <w:r w:rsidRPr="00421025">
        <w:rPr>
          <w:rFonts w:ascii="Times New Roman" w:hAnsi="Times New Roman"/>
          <w:i/>
          <w:sz w:val="20"/>
          <w:szCs w:val="20"/>
        </w:rPr>
        <w:t>Trends in Analytical Chemistry</w:t>
      </w:r>
      <w:r w:rsidRPr="00421025">
        <w:rPr>
          <w:rFonts w:ascii="Times New Roman" w:hAnsi="Times New Roman"/>
          <w:sz w:val="20"/>
          <w:szCs w:val="20"/>
        </w:rPr>
        <w:t>, 26(11): 1043-1061.</w:t>
      </w:r>
    </w:p>
    <w:p w14:paraId="1DCA7EAC"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Qiang, Z. and Adams, C. (2004). Potentiometric determination of acid dissociation constants (pK</w:t>
      </w:r>
      <w:r w:rsidRPr="00421025">
        <w:rPr>
          <w:rFonts w:ascii="Times New Roman" w:hAnsi="Times New Roman"/>
          <w:sz w:val="20"/>
          <w:szCs w:val="20"/>
          <w:vertAlign w:val="subscript"/>
        </w:rPr>
        <w:t>a</w:t>
      </w:r>
      <w:r w:rsidRPr="00421025">
        <w:rPr>
          <w:rFonts w:ascii="Times New Roman" w:hAnsi="Times New Roman"/>
          <w:sz w:val="20"/>
          <w:szCs w:val="20"/>
        </w:rPr>
        <w:t xml:space="preserve">) for human and veterinary antibiotics. </w:t>
      </w:r>
      <w:r w:rsidRPr="00421025">
        <w:rPr>
          <w:rFonts w:ascii="Times New Roman" w:hAnsi="Times New Roman"/>
          <w:i/>
          <w:sz w:val="20"/>
          <w:szCs w:val="20"/>
        </w:rPr>
        <w:t>Water Research</w:t>
      </w:r>
      <w:r w:rsidRPr="00421025">
        <w:rPr>
          <w:rFonts w:ascii="Times New Roman" w:hAnsi="Times New Roman"/>
          <w:sz w:val="20"/>
          <w:szCs w:val="20"/>
        </w:rPr>
        <w:t>, 38(12): 2874-2890.</w:t>
      </w:r>
    </w:p>
    <w:p w14:paraId="7C6A4FEB"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421025">
        <w:rPr>
          <w:rFonts w:ascii="Times New Roman" w:hAnsi="Times New Roman"/>
          <w:sz w:val="20"/>
          <w:szCs w:val="20"/>
        </w:rPr>
        <w:t xml:space="preserve">Po, H. N. and Senozan, N. M. (2001). The Henderson–Hasselbalch equation: Its history and limitations. </w:t>
      </w:r>
      <w:r w:rsidRPr="00421025">
        <w:rPr>
          <w:rFonts w:ascii="Times New Roman" w:hAnsi="Times New Roman"/>
          <w:i/>
          <w:sz w:val="20"/>
          <w:szCs w:val="20"/>
        </w:rPr>
        <w:t>Journal of Chemical Education</w:t>
      </w:r>
      <w:r w:rsidRPr="00421025">
        <w:rPr>
          <w:rFonts w:ascii="Times New Roman" w:hAnsi="Times New Roman"/>
          <w:sz w:val="20"/>
          <w:szCs w:val="20"/>
        </w:rPr>
        <w:t>, 78(11): 1499-1503.</w:t>
      </w:r>
    </w:p>
    <w:p w14:paraId="1588D67F"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 xml:space="preserve">Markunas, P. C. and Riddick, J. A. (1951). Titrimetry in glacial acetic acid. Scope of method. </w:t>
      </w:r>
      <w:r w:rsidRPr="00521CAC">
        <w:rPr>
          <w:rFonts w:ascii="Times New Roman" w:hAnsi="Times New Roman"/>
          <w:i/>
          <w:sz w:val="20"/>
          <w:szCs w:val="20"/>
        </w:rPr>
        <w:t>Analytical Chemistry</w:t>
      </w:r>
      <w:r w:rsidRPr="00521CAC">
        <w:rPr>
          <w:rFonts w:ascii="Times New Roman" w:hAnsi="Times New Roman"/>
          <w:sz w:val="20"/>
          <w:szCs w:val="20"/>
        </w:rPr>
        <w:t>, 23(2): 337-339.</w:t>
      </w:r>
    </w:p>
    <w:p w14:paraId="3D997DCF"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World Health Organization (2019). International Pharmacopoeia (IP). Methods of analysis: Chemical methods: Non-aqueous titration. 9</w:t>
      </w:r>
      <w:r w:rsidRPr="00521CAC">
        <w:rPr>
          <w:rFonts w:ascii="Times New Roman" w:hAnsi="Times New Roman"/>
          <w:sz w:val="20"/>
          <w:szCs w:val="20"/>
          <w:vertAlign w:val="superscript"/>
        </w:rPr>
        <w:t>th</w:t>
      </w:r>
      <w:r w:rsidRPr="00521CAC">
        <w:rPr>
          <w:rFonts w:ascii="Times New Roman" w:hAnsi="Times New Roman"/>
          <w:sz w:val="20"/>
          <w:szCs w:val="20"/>
        </w:rPr>
        <w:t xml:space="preserve"> edition, Geneva, Switzerland.</w:t>
      </w:r>
    </w:p>
    <w:p w14:paraId="447C4677" w14:textId="77777777" w:rsidR="007D6466"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 xml:space="preserve">Byrne, F. P., Jin, S., Paggiola, G., Petchey, T. H. M., Clark, J. H., Farmer, T. J., Hunt, A. J., McElroy, C. R. and Sherwood, J. (2016). Tools and techniques for solvent selection: green solvent selection guides. </w:t>
      </w:r>
      <w:r w:rsidRPr="00521CAC">
        <w:rPr>
          <w:rFonts w:ascii="Times New Roman" w:hAnsi="Times New Roman"/>
          <w:i/>
          <w:sz w:val="20"/>
          <w:szCs w:val="20"/>
        </w:rPr>
        <w:t>Sustainable Chemical Process</w:t>
      </w:r>
      <w:r w:rsidRPr="00521CAC">
        <w:rPr>
          <w:rFonts w:ascii="Times New Roman" w:hAnsi="Times New Roman"/>
          <w:sz w:val="20"/>
          <w:szCs w:val="20"/>
        </w:rPr>
        <w:t>. 4(7): 1-24.</w:t>
      </w:r>
    </w:p>
    <w:p w14:paraId="6EA81C05" w14:textId="77777777" w:rsidR="007D6466" w:rsidRPr="00521CAC" w:rsidRDefault="007D6466" w:rsidP="007D6466">
      <w:pPr>
        <w:pStyle w:val="ListParagraph"/>
        <w:numPr>
          <w:ilvl w:val="0"/>
          <w:numId w:val="5"/>
        </w:numPr>
        <w:spacing w:after="0"/>
        <w:ind w:left="360"/>
        <w:jc w:val="both"/>
        <w:rPr>
          <w:rFonts w:ascii="Times New Roman" w:hAnsi="Times New Roman"/>
          <w:sz w:val="20"/>
          <w:szCs w:val="20"/>
        </w:rPr>
      </w:pPr>
      <w:r w:rsidRPr="00521CAC">
        <w:rPr>
          <w:rFonts w:ascii="Times New Roman" w:hAnsi="Times New Roman"/>
          <w:sz w:val="20"/>
          <w:szCs w:val="20"/>
        </w:rPr>
        <w:t>International Conference on Harmonization, ICH (Q2 (R1)) (2015). Validation of Analytical Procedures: Text and methodology. International Conference on Harmonization, Geneva, Switzerland</w:t>
      </w:r>
      <w:r w:rsidRPr="00D204D1">
        <w:t>.</w:t>
      </w:r>
    </w:p>
    <w:p w14:paraId="57DDDF89" w14:textId="77777777" w:rsidR="007D6466" w:rsidRDefault="007D6466" w:rsidP="007D6466">
      <w:pPr>
        <w:spacing w:after="0"/>
        <w:rPr>
          <w:rFonts w:ascii="Times New Roman" w:hAnsi="Times New Roman"/>
          <w:noProof/>
          <w:sz w:val="20"/>
          <w:szCs w:val="20"/>
          <w:lang w:bidi="ar-SA"/>
        </w:rPr>
      </w:pPr>
    </w:p>
    <w:p w14:paraId="348CD1D0" w14:textId="4247CF06" w:rsidR="007D6466" w:rsidRDefault="007D6466" w:rsidP="007D6466">
      <w:pPr>
        <w:spacing w:after="0"/>
        <w:rPr>
          <w:rFonts w:ascii="Times New Roman" w:hAnsi="Times New Roman"/>
          <w:noProof/>
          <w:sz w:val="20"/>
          <w:szCs w:val="20"/>
          <w:lang w:bidi="ar-SA"/>
        </w:rPr>
        <w:sectPr w:rsidR="007D6466" w:rsidSect="007D6466">
          <w:headerReference w:type="even" r:id="rId39"/>
          <w:headerReference w:type="default" r:id="rId40"/>
          <w:footerReference w:type="even" r:id="rId41"/>
          <w:footerReference w:type="default" r:id="rId42"/>
          <w:headerReference w:type="first" r:id="rId43"/>
          <w:type w:val="continuous"/>
          <w:pgSz w:w="12240" w:h="15840" w:code="1"/>
          <w:pgMar w:top="1800" w:right="1469" w:bottom="1699" w:left="1440" w:header="706" w:footer="706" w:gutter="0"/>
          <w:pgNumType w:start="1"/>
          <w:cols w:num="2" w:space="403"/>
          <w:docGrid w:linePitch="360"/>
        </w:sectPr>
      </w:pPr>
    </w:p>
    <w:p w14:paraId="7FDC64FF" w14:textId="04E3DC73" w:rsidR="006768E9" w:rsidRPr="00F447A7" w:rsidRDefault="006768E9" w:rsidP="002B412F">
      <w:pPr>
        <w:spacing w:after="0"/>
        <w:jc w:val="center"/>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EC42FD">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64102E" w:rsidRDefault="0064102E" w:rsidP="00FB4C59">
      <w:pPr>
        <w:spacing w:after="0" w:line="240" w:lineRule="auto"/>
      </w:pPr>
      <w:r>
        <w:separator/>
      </w:r>
    </w:p>
  </w:endnote>
  <w:endnote w:type="continuationSeparator" w:id="0">
    <w:p w14:paraId="5816576A" w14:textId="77777777" w:rsidR="0064102E" w:rsidRDefault="0064102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8262BBF" w:rsidR="0064102E" w:rsidRDefault="0064102E">
    <w:pPr>
      <w:pStyle w:val="Footer"/>
    </w:pPr>
    <w:r>
      <w:rPr>
        <w:rFonts w:ascii="Times New Roman" w:hAnsi="Times New Roman"/>
        <w:lang w:val="en-US"/>
      </w:rPr>
      <w:t>96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8C5F9" w14:textId="0C927376" w:rsidR="0064102E" w:rsidRDefault="0064102E">
    <w:pPr>
      <w:pStyle w:val="Footer"/>
    </w:pPr>
    <w:r>
      <w:rPr>
        <w:rFonts w:ascii="Times New Roman" w:hAnsi="Times New Roman"/>
        <w:lang w:val="en-US"/>
      </w:rPr>
      <w:t>104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B790" w14:textId="2B699554" w:rsidR="0064102E" w:rsidRPr="007D4BAB" w:rsidRDefault="0064102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0152A3DD" w:rsidR="0064102E" w:rsidRPr="007D4BAB" w:rsidRDefault="0064102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CAC81" w14:textId="77777777" w:rsidR="0064102E" w:rsidRDefault="00641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DFAA" w14:textId="7A0F4F72" w:rsidR="0064102E" w:rsidRPr="007D4BAB" w:rsidRDefault="0064102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2A7" w14:textId="4DA528C5" w:rsidR="0064102E" w:rsidRDefault="0064102E">
    <w:pPr>
      <w:pStyle w:val="Footer"/>
    </w:pPr>
    <w:r>
      <w:rPr>
        <w:rFonts w:ascii="Times New Roman" w:hAnsi="Times New Roman"/>
        <w:lang w:val="en-US"/>
      </w:rPr>
      <w:t>98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1B6D" w14:textId="014E0ED9" w:rsidR="0064102E" w:rsidRPr="007D4BAB" w:rsidRDefault="0064102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4639" w14:textId="5E342581" w:rsidR="0064102E" w:rsidRDefault="0064102E">
    <w:pPr>
      <w:pStyle w:val="Footer"/>
    </w:pPr>
    <w:r>
      <w:rPr>
        <w:rFonts w:ascii="Times New Roman" w:hAnsi="Times New Roman"/>
        <w:lang w:val="en-US"/>
      </w:rPr>
      <w:t>100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189B1" w14:textId="78B821F2" w:rsidR="0064102E" w:rsidRDefault="0064102E">
    <w:pPr>
      <w:pStyle w:val="Footer"/>
    </w:pPr>
    <w:r>
      <w:rPr>
        <w:rFonts w:ascii="Times New Roman" w:hAnsi="Times New Roman"/>
        <w:lang w:val="en-US"/>
      </w:rPr>
      <w:t>102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7A4DA" w14:textId="56E22789" w:rsidR="0064102E" w:rsidRPr="007D4BAB" w:rsidRDefault="0064102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64102E" w:rsidRDefault="0064102E" w:rsidP="00FB4C59">
      <w:pPr>
        <w:spacing w:after="0" w:line="240" w:lineRule="auto"/>
      </w:pPr>
      <w:r>
        <w:separator/>
      </w:r>
    </w:p>
  </w:footnote>
  <w:footnote w:type="continuationSeparator" w:id="0">
    <w:p w14:paraId="4AB4BF4F" w14:textId="77777777" w:rsidR="0064102E" w:rsidRDefault="0064102E"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C597" w14:textId="4ED4CB65" w:rsidR="0064102E" w:rsidRPr="0017772F" w:rsidRDefault="0064102E" w:rsidP="0017772F">
    <w:pPr>
      <w:spacing w:after="0"/>
      <w:ind w:left="1170" w:hanging="1170"/>
      <w:outlineLvl w:val="0"/>
      <w:rPr>
        <w:rFonts w:ascii="Times New Roman" w:hAnsi="Times New Roman"/>
        <w:sz w:val="20"/>
        <w:szCs w:val="20"/>
      </w:rPr>
    </w:pPr>
    <w:r w:rsidRPr="0017772F">
      <w:rPr>
        <w:rFonts w:ascii="Times New Roman" w:hAnsi="Times New Roman"/>
        <w:sz w:val="20"/>
        <w:szCs w:val="20"/>
      </w:rPr>
      <w:t xml:space="preserve">Ivanov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4AE9CF7A" w14:textId="462DFC69" w:rsidR="0064102E" w:rsidRPr="006B72B0" w:rsidRDefault="0064102E" w:rsidP="006B72B0">
    <w:pPr>
      <w:pStyle w:val="Header"/>
      <w:rPr>
        <w:rFonts w:ascii="Times New Roman" w:hAnsi="Times New Roman"/>
        <w:lang w:val="en-US"/>
      </w:rPr>
    </w:pPr>
  </w:p>
  <w:p w14:paraId="06C94C52" w14:textId="77777777" w:rsidR="0064102E" w:rsidRDefault="006410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93FC6" w14:textId="6AAD979E" w:rsidR="0064102E" w:rsidRDefault="006410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CDCF" w14:textId="0746F91D" w:rsidR="0064102E" w:rsidRDefault="0064102E"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95 - 104</w:t>
    </w:r>
  </w:p>
  <w:p w14:paraId="27787357" w14:textId="209E73C6" w:rsidR="0064102E" w:rsidRDefault="0064102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32E53" w14:textId="66C33AA4" w:rsidR="0064102E" w:rsidRDefault="0064102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E975" w14:textId="78F105EB" w:rsidR="0064102E" w:rsidRPr="0017772F" w:rsidRDefault="0064102E"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253E7425" w14:textId="2996822F" w:rsidR="0064102E" w:rsidRDefault="0064102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CA867" w14:textId="0E0D1E51" w:rsidR="0064102E" w:rsidRDefault="0064102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C1CD" w14:textId="79CC3191" w:rsidR="0064102E" w:rsidRDefault="0064102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CEF19" w14:textId="40ED6D1F" w:rsidR="0064102E" w:rsidRPr="0017772F" w:rsidRDefault="0064102E"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2D9586E9" w14:textId="3E57457A" w:rsidR="0064102E" w:rsidRDefault="0064102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A05F2" w14:textId="5E2D23E3" w:rsidR="0064102E" w:rsidRDefault="0064102E"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95 - 104</w:t>
    </w:r>
  </w:p>
  <w:p w14:paraId="7F13A026" w14:textId="3511248D" w:rsidR="0064102E" w:rsidRDefault="0064102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7036C" w14:textId="2850C9B7" w:rsidR="0064102E" w:rsidRDefault="0064102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0C56" w14:textId="1E66236C" w:rsidR="0064102E" w:rsidRPr="0017772F" w:rsidRDefault="0064102E"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6FCD0C60" w14:textId="2C0F5463" w:rsidR="0064102E" w:rsidRDefault="00641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1216793" w:rsidR="0064102E" w:rsidRDefault="0064102E"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95 - 104</w:t>
    </w:r>
  </w:p>
  <w:p w14:paraId="5A41F58C" w14:textId="77777777" w:rsidR="0064102E" w:rsidRPr="00F4760B" w:rsidRDefault="0064102E"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E912" w14:textId="525A777F" w:rsidR="0064102E" w:rsidRDefault="0064102E"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95 - 104</w:t>
    </w:r>
  </w:p>
  <w:p w14:paraId="74916BA2" w14:textId="63252C02" w:rsidR="0064102E" w:rsidRDefault="0064102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F4A5" w14:textId="6DB3F6C8" w:rsidR="0064102E" w:rsidRDefault="00641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8EAC2" w14:textId="77777777" w:rsidR="0064102E" w:rsidRDefault="00641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4A98F" w14:textId="38184FB5" w:rsidR="0064102E" w:rsidRDefault="00641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0991" w14:textId="7CBBE2C4" w:rsidR="0064102E" w:rsidRDefault="0064102E" w:rsidP="00591A8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95 - 104</w:t>
    </w:r>
  </w:p>
  <w:p w14:paraId="135CE06E" w14:textId="17B6B4B0" w:rsidR="0064102E" w:rsidRDefault="00641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7C76B" w14:textId="1163AE09" w:rsidR="0064102E" w:rsidRDefault="006410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E453D" w14:textId="57530C3A" w:rsidR="0064102E" w:rsidRPr="0017772F" w:rsidRDefault="0064102E" w:rsidP="00591A8B">
    <w:pPr>
      <w:spacing w:after="0"/>
      <w:ind w:left="1170" w:hanging="1170"/>
      <w:outlineLvl w:val="0"/>
      <w:rPr>
        <w:rFonts w:ascii="Times New Roman" w:hAnsi="Times New Roman"/>
        <w:sz w:val="20"/>
        <w:szCs w:val="20"/>
      </w:rPr>
    </w:pPr>
    <w:r>
      <w:rPr>
        <w:rFonts w:ascii="Times New Roman" w:hAnsi="Times New Roman"/>
        <w:sz w:val="20"/>
        <w:szCs w:val="20"/>
      </w:rPr>
      <w:t>I</w:t>
    </w:r>
    <w:r w:rsidRPr="0017772F">
      <w:rPr>
        <w:rFonts w:ascii="Times New Roman" w:hAnsi="Times New Roman"/>
        <w:sz w:val="20"/>
        <w:szCs w:val="20"/>
      </w:rPr>
      <w:t xml:space="preserve">vanov et al:  </w:t>
    </w:r>
    <w:r>
      <w:rPr>
        <w:rFonts w:ascii="Times New Roman" w:hAnsi="Times New Roman"/>
        <w:sz w:val="20"/>
        <w:szCs w:val="20"/>
      </w:rPr>
      <w:tab/>
    </w:r>
    <w:r w:rsidRPr="0017772F">
      <w:rPr>
        <w:rFonts w:ascii="Times New Roman" w:hAnsi="Times New Roman"/>
        <w:sz w:val="20"/>
        <w:szCs w:val="20"/>
      </w:rPr>
      <w:t xml:space="preserve">NOVEL AND VALIDATED NON-AQUEOUS TITRIMETRIC METHOD FOR DETERMINATION OF PERSPECTIVE POTASSIUM-SPARING DIURETIC DRUG CANDIDATE IN PURE FORM AND PHARMACEUTICAL FORMULATION </w:t>
    </w:r>
  </w:p>
  <w:p w14:paraId="39949B28" w14:textId="14CAF46A" w:rsidR="0064102E" w:rsidRDefault="006410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45EB" w14:textId="490F3078" w:rsidR="0064102E" w:rsidRDefault="006410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2EEAA" w14:textId="573E86EC" w:rsidR="0064102E" w:rsidRDefault="0064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87170C"/>
    <w:multiLevelType w:val="hybridMultilevel"/>
    <w:tmpl w:val="266EC9E6"/>
    <w:lvl w:ilvl="0" w:tplc="0A90B966">
      <w:start w:val="1"/>
      <w:numFmt w:val="decimal"/>
      <w:lvlText w:val="%1."/>
      <w:lvlJc w:val="left"/>
      <w:pPr>
        <w:ind w:left="720" w:hanging="36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FBD66F2"/>
    <w:multiLevelType w:val="hybridMultilevel"/>
    <w:tmpl w:val="B52288D2"/>
    <w:lvl w:ilvl="0" w:tplc="75908F46">
      <w:start w:val="1"/>
      <w:numFmt w:val="decimal"/>
      <w:lvlText w:val="%1."/>
      <w:lvlJc w:val="left"/>
      <w:pPr>
        <w:ind w:left="720" w:hanging="36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622E4"/>
    <w:rsid w:val="0017772F"/>
    <w:rsid w:val="001A3275"/>
    <w:rsid w:val="001D035A"/>
    <w:rsid w:val="001D3855"/>
    <w:rsid w:val="001D6F2C"/>
    <w:rsid w:val="00233177"/>
    <w:rsid w:val="002627A2"/>
    <w:rsid w:val="00277498"/>
    <w:rsid w:val="002808F3"/>
    <w:rsid w:val="002860B7"/>
    <w:rsid w:val="00290F4D"/>
    <w:rsid w:val="002A2FC0"/>
    <w:rsid w:val="002B188F"/>
    <w:rsid w:val="002B3BD8"/>
    <w:rsid w:val="002B412F"/>
    <w:rsid w:val="002F1D31"/>
    <w:rsid w:val="002F3F91"/>
    <w:rsid w:val="002F55F5"/>
    <w:rsid w:val="00304767"/>
    <w:rsid w:val="00304B34"/>
    <w:rsid w:val="00307602"/>
    <w:rsid w:val="00312A6F"/>
    <w:rsid w:val="00346728"/>
    <w:rsid w:val="00352D57"/>
    <w:rsid w:val="003609F3"/>
    <w:rsid w:val="00361BAF"/>
    <w:rsid w:val="00362FCE"/>
    <w:rsid w:val="00367D1F"/>
    <w:rsid w:val="003B4FC1"/>
    <w:rsid w:val="003B6019"/>
    <w:rsid w:val="003D585B"/>
    <w:rsid w:val="003E7DA6"/>
    <w:rsid w:val="003F12FF"/>
    <w:rsid w:val="00421025"/>
    <w:rsid w:val="0045333B"/>
    <w:rsid w:val="004760D4"/>
    <w:rsid w:val="00482180"/>
    <w:rsid w:val="00494C46"/>
    <w:rsid w:val="004B43FF"/>
    <w:rsid w:val="004C070C"/>
    <w:rsid w:val="004C7089"/>
    <w:rsid w:val="004D7E25"/>
    <w:rsid w:val="004F265B"/>
    <w:rsid w:val="00502641"/>
    <w:rsid w:val="00521CAC"/>
    <w:rsid w:val="0054578F"/>
    <w:rsid w:val="0056630A"/>
    <w:rsid w:val="00591A8B"/>
    <w:rsid w:val="005C6768"/>
    <w:rsid w:val="005E4871"/>
    <w:rsid w:val="00601C8A"/>
    <w:rsid w:val="00617AA2"/>
    <w:rsid w:val="006257E5"/>
    <w:rsid w:val="00634C25"/>
    <w:rsid w:val="0063542E"/>
    <w:rsid w:val="00637469"/>
    <w:rsid w:val="0064102E"/>
    <w:rsid w:val="006416AB"/>
    <w:rsid w:val="0065373D"/>
    <w:rsid w:val="00660445"/>
    <w:rsid w:val="00661BC2"/>
    <w:rsid w:val="00664F73"/>
    <w:rsid w:val="00666974"/>
    <w:rsid w:val="00675423"/>
    <w:rsid w:val="006768E9"/>
    <w:rsid w:val="00687982"/>
    <w:rsid w:val="006B3EC8"/>
    <w:rsid w:val="006B72B0"/>
    <w:rsid w:val="006D286E"/>
    <w:rsid w:val="006D695E"/>
    <w:rsid w:val="00725A6A"/>
    <w:rsid w:val="007706A6"/>
    <w:rsid w:val="007943F3"/>
    <w:rsid w:val="007A0583"/>
    <w:rsid w:val="007A738C"/>
    <w:rsid w:val="007B1349"/>
    <w:rsid w:val="007C40E6"/>
    <w:rsid w:val="007D45AC"/>
    <w:rsid w:val="007D4BAB"/>
    <w:rsid w:val="007D6466"/>
    <w:rsid w:val="007E25BD"/>
    <w:rsid w:val="007F3EEF"/>
    <w:rsid w:val="00802C35"/>
    <w:rsid w:val="008213CC"/>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C3651"/>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B7609"/>
    <w:rsid w:val="00CE203C"/>
    <w:rsid w:val="00CE2BC6"/>
    <w:rsid w:val="00CE3D09"/>
    <w:rsid w:val="00CF05FF"/>
    <w:rsid w:val="00D10C6A"/>
    <w:rsid w:val="00D257FB"/>
    <w:rsid w:val="00D340BB"/>
    <w:rsid w:val="00D34708"/>
    <w:rsid w:val="00D505D5"/>
    <w:rsid w:val="00D613A2"/>
    <w:rsid w:val="00D6781A"/>
    <w:rsid w:val="00D75B35"/>
    <w:rsid w:val="00D76E09"/>
    <w:rsid w:val="00D948B0"/>
    <w:rsid w:val="00D9736F"/>
    <w:rsid w:val="00D9792A"/>
    <w:rsid w:val="00DD0CD5"/>
    <w:rsid w:val="00DD377F"/>
    <w:rsid w:val="00DD7C38"/>
    <w:rsid w:val="00DF1E96"/>
    <w:rsid w:val="00E16575"/>
    <w:rsid w:val="00E25547"/>
    <w:rsid w:val="00E3287E"/>
    <w:rsid w:val="00E4499E"/>
    <w:rsid w:val="00E54D12"/>
    <w:rsid w:val="00E66197"/>
    <w:rsid w:val="00EA1CD8"/>
    <w:rsid w:val="00EC42FD"/>
    <w:rsid w:val="00F121A0"/>
    <w:rsid w:val="00F1367A"/>
    <w:rsid w:val="00F31093"/>
    <w:rsid w:val="00F318AC"/>
    <w:rsid w:val="00F33AB1"/>
    <w:rsid w:val="00F412AF"/>
    <w:rsid w:val="00F43667"/>
    <w:rsid w:val="00F447A7"/>
    <w:rsid w:val="00F4760B"/>
    <w:rsid w:val="00F82059"/>
    <w:rsid w:val="00FB4C59"/>
    <w:rsid w:val="00FB6521"/>
    <w:rsid w:val="00FC5284"/>
    <w:rsid w:val="00FC6DBB"/>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EA1CD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EA1CD8"/>
    <w:rPr>
      <w:rFonts w:ascii="Calibri" w:eastAsia="Times New Roman" w:hAnsi="Calibri" w:cs="Calibri"/>
      <w:color w:val="00000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CD8"/>
    <w:rPr>
      <w:sz w:val="16"/>
      <w:szCs w:val="16"/>
    </w:rPr>
  </w:style>
  <w:style w:type="paragraph" w:styleId="CommentText">
    <w:name w:val="annotation text"/>
    <w:basedOn w:val="Normal"/>
    <w:link w:val="CommentTextChar"/>
    <w:uiPriority w:val="99"/>
    <w:semiHidden/>
    <w:unhideWhenUsed/>
    <w:rsid w:val="00EA1CD8"/>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EA1CD8"/>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EA1CD8"/>
    <w:rPr>
      <w:b/>
      <w:bCs/>
    </w:rPr>
  </w:style>
  <w:style w:type="character" w:customStyle="1" w:styleId="CommentSubjectChar">
    <w:name w:val="Comment Subject Char"/>
    <w:basedOn w:val="CommentTextChar"/>
    <w:link w:val="CommentSubject"/>
    <w:uiPriority w:val="99"/>
    <w:semiHidden/>
    <w:rsid w:val="00EA1CD8"/>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image" Target="media/image3.png"/><Relationship Id="rId37" Type="http://schemas.openxmlformats.org/officeDocument/2006/relationships/footer" Target="footer9.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7.xml"/><Relationship Id="rId43" Type="http://schemas.openxmlformats.org/officeDocument/2006/relationships/header" Target="header2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image" Target="media/image4.png"/><Relationship Id="rId38" Type="http://schemas.openxmlformats.org/officeDocument/2006/relationships/header" Target="header18.xml"/><Relationship Id="rId20" Type="http://schemas.openxmlformats.org/officeDocument/2006/relationships/header" Target="header7.xml"/><Relationship Id="rId4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4</cp:revision>
  <cp:lastPrinted>2021-01-26T00:59:00Z</cp:lastPrinted>
  <dcterms:created xsi:type="dcterms:W3CDTF">2021-01-26T01:01:00Z</dcterms:created>
  <dcterms:modified xsi:type="dcterms:W3CDTF">2021-02-06T02:12:00Z</dcterms:modified>
</cp:coreProperties>
</file>