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C591C" w14:textId="77777777" w:rsidR="008E67A5" w:rsidRPr="008E67A5" w:rsidRDefault="008E67A5" w:rsidP="008E67A5">
      <w:pPr>
        <w:spacing w:after="0"/>
        <w:jc w:val="center"/>
        <w:rPr>
          <w:rFonts w:ascii="Times New Roman" w:eastAsia="Calibri" w:hAnsi="Times New Roman"/>
          <w:sz w:val="28"/>
          <w:szCs w:val="28"/>
          <w:lang w:eastAsia="en-MY"/>
        </w:rPr>
      </w:pPr>
      <w:r w:rsidRPr="008E67A5">
        <w:rPr>
          <w:rFonts w:ascii="Times New Roman" w:eastAsia="Calibri" w:hAnsi="Times New Roman"/>
          <w:sz w:val="28"/>
          <w:szCs w:val="28"/>
          <w:lang w:eastAsia="en-MY"/>
        </w:rPr>
        <w:t>STUDIES ON THE PROPERTIES OF NATURAL RUBBER/POLY-3-HYDROXYBUTYRATE BLENDS PREPARED BY SOLVENT CASTING</w:t>
      </w:r>
    </w:p>
    <w:p w14:paraId="02B32E83" w14:textId="77777777" w:rsidR="008E67A5" w:rsidRPr="008E67A5" w:rsidRDefault="008E67A5" w:rsidP="008E67A5">
      <w:pPr>
        <w:spacing w:after="0"/>
        <w:jc w:val="center"/>
        <w:rPr>
          <w:rFonts w:ascii="Times New Roman" w:eastAsia="Calibri" w:hAnsi="Times New Roman"/>
          <w:sz w:val="24"/>
          <w:szCs w:val="24"/>
          <w:lang w:eastAsia="en-MY"/>
        </w:rPr>
      </w:pPr>
    </w:p>
    <w:p w14:paraId="7E2524EC" w14:textId="4C77ED8C" w:rsidR="008E67A5" w:rsidRPr="008E67A5" w:rsidRDefault="008E67A5" w:rsidP="008E67A5">
      <w:pPr>
        <w:spacing w:after="0"/>
        <w:jc w:val="center"/>
        <w:rPr>
          <w:rFonts w:ascii="Times New Roman" w:eastAsia="Calibri" w:hAnsi="Times New Roman"/>
          <w:noProof/>
          <w:sz w:val="24"/>
          <w:szCs w:val="24"/>
          <w:lang w:val="ms-MY" w:eastAsia="en-MY"/>
        </w:rPr>
      </w:pPr>
      <w:r w:rsidRPr="008E67A5">
        <w:rPr>
          <w:rFonts w:ascii="Times New Roman" w:eastAsia="Calibri" w:hAnsi="Times New Roman"/>
          <w:sz w:val="24"/>
          <w:szCs w:val="24"/>
          <w:lang w:eastAsia="en-MY"/>
        </w:rPr>
        <w:t>(</w:t>
      </w:r>
      <w:r w:rsidRPr="008E67A5">
        <w:rPr>
          <w:rFonts w:ascii="Times New Roman" w:eastAsia="Calibri" w:hAnsi="Times New Roman"/>
          <w:noProof/>
          <w:sz w:val="24"/>
          <w:szCs w:val="24"/>
          <w:lang w:val="ms-MY" w:eastAsia="en-MY"/>
        </w:rPr>
        <w:t>Kajian Mengenai Sifat Campuran Getah Asli/Poli-3-Hidroksibutirat yang Disediakan Melalui Kaedah Acuan Pelarut</w:t>
      </w:r>
      <w:r w:rsidRPr="008E67A5">
        <w:rPr>
          <w:rFonts w:ascii="Times New Roman" w:eastAsia="Calibri" w:hAnsi="Times New Roman"/>
          <w:sz w:val="24"/>
          <w:szCs w:val="24"/>
          <w:lang w:eastAsia="en-MY"/>
        </w:rPr>
        <w:t>)</w:t>
      </w:r>
    </w:p>
    <w:p w14:paraId="720666FF" w14:textId="77777777" w:rsidR="008E67A5" w:rsidRPr="008E67A5" w:rsidRDefault="008E67A5" w:rsidP="008E67A5">
      <w:pPr>
        <w:spacing w:after="0"/>
        <w:jc w:val="center"/>
        <w:rPr>
          <w:rFonts w:ascii="Times New Roman" w:eastAsia="Calibri" w:hAnsi="Times New Roman"/>
          <w:sz w:val="24"/>
          <w:szCs w:val="24"/>
          <w:lang w:eastAsia="en-MY"/>
        </w:rPr>
      </w:pPr>
    </w:p>
    <w:p w14:paraId="7AAA28D0" w14:textId="77777777" w:rsidR="008E67A5" w:rsidRPr="008E67A5" w:rsidRDefault="008E67A5" w:rsidP="008E67A5">
      <w:pPr>
        <w:tabs>
          <w:tab w:val="left" w:pos="8310"/>
        </w:tabs>
        <w:spacing w:after="0"/>
        <w:jc w:val="center"/>
        <w:rPr>
          <w:rFonts w:ascii="Times New Roman" w:eastAsia="Calibri" w:hAnsi="Times New Roman"/>
          <w:sz w:val="20"/>
          <w:szCs w:val="20"/>
          <w:lang w:eastAsia="en-MY"/>
        </w:rPr>
      </w:pPr>
      <w:r w:rsidRPr="008E67A5">
        <w:rPr>
          <w:rFonts w:ascii="Times New Roman" w:eastAsia="Calibri" w:hAnsi="Times New Roman"/>
          <w:sz w:val="20"/>
          <w:szCs w:val="20"/>
          <w:lang w:eastAsia="en-MY"/>
        </w:rPr>
        <w:t>Asmaa’ Zainal Abidin, Noor Hana Hanif Abu Bakar*, Mohamad Abu Bakar</w:t>
      </w:r>
    </w:p>
    <w:p w14:paraId="6CECAE38" w14:textId="77777777" w:rsidR="008E67A5" w:rsidRPr="008E67A5" w:rsidRDefault="008E67A5" w:rsidP="008E67A5">
      <w:pPr>
        <w:tabs>
          <w:tab w:val="left" w:pos="8310"/>
        </w:tabs>
        <w:spacing w:after="0"/>
        <w:jc w:val="center"/>
        <w:rPr>
          <w:rFonts w:ascii="Times New Roman" w:eastAsia="Calibri" w:hAnsi="Times New Roman"/>
          <w:sz w:val="18"/>
          <w:szCs w:val="18"/>
          <w:lang w:eastAsia="en-MY"/>
        </w:rPr>
      </w:pPr>
    </w:p>
    <w:p w14:paraId="2F49A9CD" w14:textId="7F27B01B" w:rsidR="008E67A5" w:rsidRPr="008E67A5" w:rsidRDefault="008E67A5" w:rsidP="008E67A5">
      <w:pPr>
        <w:spacing w:after="0"/>
        <w:jc w:val="center"/>
        <w:rPr>
          <w:rFonts w:ascii="Times New Roman" w:eastAsia="Calibri" w:hAnsi="Times New Roman"/>
          <w:i/>
          <w:iCs/>
          <w:sz w:val="18"/>
          <w:szCs w:val="18"/>
          <w:lang w:eastAsia="en-MY"/>
        </w:rPr>
      </w:pPr>
      <w:r w:rsidRPr="008E67A5">
        <w:rPr>
          <w:rFonts w:ascii="Times New Roman" w:eastAsia="Calibri" w:hAnsi="Times New Roman"/>
          <w:i/>
          <w:iCs/>
          <w:sz w:val="18"/>
          <w:szCs w:val="18"/>
          <w:lang w:eastAsia="en-MY"/>
        </w:rPr>
        <w:t xml:space="preserve">Nanoscience Research Laboratory, School of Chemical Sciences, </w:t>
      </w:r>
    </w:p>
    <w:p w14:paraId="3803F930" w14:textId="2FBBF674" w:rsidR="008E67A5" w:rsidRPr="008E67A5" w:rsidRDefault="008E67A5" w:rsidP="008E67A5">
      <w:pPr>
        <w:spacing w:after="0"/>
        <w:jc w:val="center"/>
        <w:rPr>
          <w:rFonts w:ascii="Times New Roman" w:eastAsia="Calibri" w:hAnsi="Times New Roman"/>
          <w:i/>
          <w:iCs/>
          <w:sz w:val="18"/>
          <w:szCs w:val="18"/>
          <w:lang w:eastAsia="en-MY"/>
        </w:rPr>
      </w:pPr>
      <w:r w:rsidRPr="008E67A5">
        <w:rPr>
          <w:rFonts w:ascii="Times New Roman" w:eastAsia="Calibri" w:hAnsi="Times New Roman"/>
          <w:i/>
          <w:iCs/>
          <w:sz w:val="18"/>
          <w:szCs w:val="18"/>
          <w:lang w:eastAsia="en-MY"/>
        </w:rPr>
        <w:t>Universiti Sains Malaysia, 11800</w:t>
      </w:r>
      <w:r>
        <w:rPr>
          <w:rFonts w:ascii="Times New Roman" w:eastAsia="Calibri" w:hAnsi="Times New Roman"/>
          <w:i/>
          <w:iCs/>
          <w:sz w:val="18"/>
          <w:szCs w:val="18"/>
          <w:lang w:eastAsia="en-MY"/>
        </w:rPr>
        <w:t xml:space="preserve"> USM</w:t>
      </w:r>
      <w:r w:rsidRPr="008E67A5">
        <w:rPr>
          <w:rFonts w:ascii="Times New Roman" w:eastAsia="Calibri" w:hAnsi="Times New Roman"/>
          <w:i/>
          <w:iCs/>
          <w:sz w:val="18"/>
          <w:szCs w:val="18"/>
          <w:lang w:eastAsia="en-MY"/>
        </w:rPr>
        <w:t xml:space="preserve"> Penang, Malaysia</w:t>
      </w:r>
    </w:p>
    <w:p w14:paraId="0B7B6681" w14:textId="77777777" w:rsidR="008E67A5" w:rsidRPr="008E67A5" w:rsidRDefault="008E67A5" w:rsidP="008E67A5">
      <w:pPr>
        <w:spacing w:after="0"/>
        <w:jc w:val="center"/>
        <w:rPr>
          <w:rFonts w:ascii="Times New Roman" w:eastAsia="Calibri" w:hAnsi="Times New Roman"/>
          <w:i/>
          <w:iCs/>
          <w:sz w:val="18"/>
          <w:szCs w:val="18"/>
          <w:lang w:eastAsia="en-MY"/>
        </w:rPr>
      </w:pPr>
    </w:p>
    <w:p w14:paraId="181821F5" w14:textId="1D0332BB" w:rsidR="008E67A5" w:rsidRPr="008E67A5" w:rsidRDefault="008E67A5" w:rsidP="008E67A5">
      <w:pPr>
        <w:spacing w:after="0"/>
        <w:jc w:val="center"/>
        <w:rPr>
          <w:rFonts w:ascii="Times New Roman" w:eastAsia="Calibri" w:hAnsi="Times New Roman"/>
          <w:sz w:val="18"/>
          <w:szCs w:val="18"/>
          <w:lang w:eastAsia="en-MY"/>
        </w:rPr>
      </w:pPr>
      <w:r w:rsidRPr="008E67A5">
        <w:rPr>
          <w:rFonts w:ascii="Times New Roman" w:hAnsi="Times New Roman"/>
          <w:i/>
          <w:iCs/>
          <w:sz w:val="18"/>
          <w:szCs w:val="18"/>
        </w:rPr>
        <w:t>*Corresponding author:  hana_hanif@usm.my</w:t>
      </w:r>
      <w:r w:rsidRPr="008E67A5">
        <w:rPr>
          <w:rFonts w:ascii="Times New Roman" w:eastAsia="Calibri" w:hAnsi="Times New Roman"/>
          <w:sz w:val="18"/>
          <w:szCs w:val="18"/>
          <w:lang w:eastAsia="en-MY"/>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1ADCB817"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2178C3">
        <w:rPr>
          <w:rFonts w:ascii="Times New Roman" w:hAnsi="Times New Roman"/>
          <w:noProof/>
          <w:sz w:val="18"/>
          <w:szCs w:val="18"/>
          <w:lang w:bidi="ar-SA"/>
        </w:rPr>
        <w:t>18 September 2020</w:t>
      </w:r>
      <w:r w:rsidRPr="00510BA6">
        <w:rPr>
          <w:rFonts w:ascii="Times New Roman" w:hAnsi="Times New Roman"/>
          <w:noProof/>
          <w:sz w:val="18"/>
          <w:szCs w:val="18"/>
          <w:lang w:bidi="ar-SA"/>
        </w:rPr>
        <w:t xml:space="preserve">; Accepted: </w:t>
      </w:r>
      <w:r w:rsidR="002178C3">
        <w:rPr>
          <w:rFonts w:ascii="Times New Roman" w:hAnsi="Times New Roman"/>
          <w:noProof/>
          <w:sz w:val="18"/>
          <w:szCs w:val="18"/>
          <w:lang w:bidi="ar-SA"/>
        </w:rPr>
        <w:t>28 November 2020</w:t>
      </w:r>
      <w:r w:rsidR="00510BA6" w:rsidRPr="00510BA6">
        <w:rPr>
          <w:rFonts w:ascii="Times New Roman" w:hAnsi="Times New Roman"/>
          <w:noProof/>
          <w:sz w:val="18"/>
          <w:szCs w:val="18"/>
          <w:lang w:bidi="ar-SA"/>
        </w:rPr>
        <w:t xml:space="preserve">; Published: </w:t>
      </w:r>
      <w:r w:rsidR="008B25B1">
        <w:rPr>
          <w:rFonts w:ascii="Times New Roman" w:hAnsi="Times New Roman"/>
          <w:noProof/>
          <w:sz w:val="18"/>
          <w:szCs w:val="18"/>
          <w:lang w:bidi="ar-SA"/>
        </w:rPr>
        <w:t xml:space="preserve">xx </w:t>
      </w:r>
      <w:r w:rsidR="002178C3">
        <w:rPr>
          <w:rFonts w:ascii="Times New Roman" w:hAnsi="Times New Roman"/>
          <w:noProof/>
          <w:sz w:val="18"/>
          <w:szCs w:val="18"/>
          <w:lang w:bidi="ar-SA"/>
        </w:rPr>
        <w:t>February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7EB25068" w14:textId="77777777" w:rsidR="008E67A5" w:rsidRDefault="008E67A5" w:rsidP="008E67A5">
      <w:pPr>
        <w:spacing w:after="0"/>
        <w:jc w:val="both"/>
        <w:rPr>
          <w:rFonts w:ascii="Times New Roman" w:eastAsia="Calibri" w:hAnsi="Times New Roman"/>
          <w:b/>
          <w:bCs/>
          <w:sz w:val="18"/>
          <w:szCs w:val="18"/>
          <w:lang w:eastAsia="en-MY"/>
        </w:rPr>
      </w:pPr>
      <w:r w:rsidRPr="00A50CB4">
        <w:rPr>
          <w:rFonts w:ascii="Times New Roman" w:eastAsia="Calibri" w:hAnsi="Times New Roman"/>
          <w:sz w:val="18"/>
          <w:szCs w:val="18"/>
          <w:lang w:eastAsia="en-MY"/>
        </w:rPr>
        <w:t xml:space="preserve">Bio-based polymer blends constituting of poly(3-hydroxybutyrate) (PHB) and natural rubber (NR), prepared </w:t>
      </w:r>
      <w:r w:rsidRPr="00A50CB4">
        <w:rPr>
          <w:rFonts w:ascii="Times New Roman" w:eastAsia="Calibri" w:hAnsi="Times New Roman"/>
          <w:i/>
          <w:iCs/>
          <w:sz w:val="18"/>
          <w:szCs w:val="18"/>
          <w:lang w:eastAsia="en-MY"/>
        </w:rPr>
        <w:t>via</w:t>
      </w:r>
      <w:r w:rsidRPr="00A50CB4">
        <w:rPr>
          <w:rFonts w:ascii="Times New Roman" w:eastAsia="Calibri" w:hAnsi="Times New Roman"/>
          <w:sz w:val="18"/>
          <w:szCs w:val="18"/>
          <w:lang w:eastAsia="en-MY"/>
        </w:rPr>
        <w:t xml:space="preserve"> solvent casting technique have been studied. Various ratios of 80:20, 60:40, 40:60 and 20:80 (wt</w:t>
      </w:r>
      <w:r>
        <w:rPr>
          <w:rFonts w:ascii="Times New Roman" w:eastAsia="Calibri" w:hAnsi="Times New Roman"/>
          <w:sz w:val="18"/>
          <w:szCs w:val="18"/>
          <w:lang w:eastAsia="en-MY"/>
        </w:rPr>
        <w:t>.</w:t>
      </w:r>
      <w:r w:rsidRPr="00A50CB4">
        <w:rPr>
          <w:rFonts w:ascii="Times New Roman" w:eastAsia="Calibri" w:hAnsi="Times New Roman"/>
          <w:sz w:val="18"/>
          <w:szCs w:val="18"/>
          <w:lang w:eastAsia="en-MY"/>
        </w:rPr>
        <w:t>/wt</w:t>
      </w:r>
      <w:r>
        <w:rPr>
          <w:rFonts w:ascii="Times New Roman" w:eastAsia="Calibri" w:hAnsi="Times New Roman"/>
          <w:sz w:val="18"/>
          <w:szCs w:val="18"/>
          <w:lang w:eastAsia="en-MY"/>
        </w:rPr>
        <w:t>.</w:t>
      </w:r>
      <w:r w:rsidRPr="00A50CB4">
        <w:rPr>
          <w:rFonts w:ascii="Times New Roman" w:eastAsia="Calibri" w:hAnsi="Times New Roman"/>
          <w:sz w:val="18"/>
          <w:szCs w:val="18"/>
          <w:lang w:eastAsia="en-MY"/>
        </w:rPr>
        <w:t>) of NR/PHB were investigated. The IR spectra of the blend samples did not show any chemical interaction between the components. X-</w:t>
      </w:r>
      <w:r>
        <w:rPr>
          <w:rFonts w:ascii="Times New Roman" w:eastAsia="Calibri" w:hAnsi="Times New Roman"/>
          <w:sz w:val="18"/>
          <w:szCs w:val="18"/>
          <w:lang w:eastAsia="en-MY"/>
        </w:rPr>
        <w:t>r</w:t>
      </w:r>
      <w:r w:rsidRPr="00A50CB4">
        <w:rPr>
          <w:rFonts w:ascii="Times New Roman" w:eastAsia="Calibri" w:hAnsi="Times New Roman"/>
          <w:sz w:val="18"/>
          <w:szCs w:val="18"/>
          <w:lang w:eastAsia="en-MY"/>
        </w:rPr>
        <w:t>ay diffraction (XRD) confirmed that the crystallinity of the samples increased as the ratio of PHB is increased in the blend. Thermal stability and thermal transition of the blend system were characterized by thermogravimetric analysis (TG and DTG) and differential scanning calorimetry (DSC). Thermal stability of the blend samples showed similar characteristics as the original polymers. Meanwhile, two separate glass transition temperatures were observed for the blends, indicating that NR and PHB are immiscible. Polarized optical microscopy (POM) revealed inconsistent growth of PHB spherulite in the blends after subjected to annealing. The results indicated that NR obstructs the regular arrangement of the ring banded spherulite.</w:t>
      </w:r>
    </w:p>
    <w:p w14:paraId="19C3B160" w14:textId="77777777" w:rsidR="008E67A5" w:rsidRDefault="008E67A5" w:rsidP="008E67A5">
      <w:pPr>
        <w:spacing w:after="0"/>
        <w:jc w:val="both"/>
        <w:rPr>
          <w:rFonts w:ascii="Times New Roman" w:eastAsia="Calibri" w:hAnsi="Times New Roman"/>
          <w:b/>
          <w:bCs/>
          <w:sz w:val="18"/>
          <w:szCs w:val="18"/>
          <w:lang w:eastAsia="en-MY"/>
        </w:rPr>
      </w:pPr>
    </w:p>
    <w:p w14:paraId="037872A4" w14:textId="3D98FB8B" w:rsidR="008E67A5" w:rsidRDefault="008E67A5" w:rsidP="008E67A5">
      <w:pPr>
        <w:spacing w:after="0"/>
        <w:jc w:val="both"/>
        <w:rPr>
          <w:rFonts w:ascii="Times New Roman" w:eastAsia="Calibri" w:hAnsi="Times New Roman"/>
          <w:b/>
          <w:bCs/>
          <w:sz w:val="18"/>
          <w:szCs w:val="18"/>
          <w:lang w:eastAsia="en-MY"/>
        </w:rPr>
      </w:pPr>
      <w:r w:rsidRPr="00A50CB4">
        <w:rPr>
          <w:rFonts w:ascii="Times New Roman" w:eastAsia="Calibri" w:hAnsi="Times New Roman"/>
          <w:b/>
          <w:bCs/>
          <w:sz w:val="18"/>
          <w:szCs w:val="18"/>
          <w:lang w:eastAsia="en-MY"/>
        </w:rPr>
        <w:t>Keywords:</w:t>
      </w:r>
      <w:r w:rsidRPr="00A50CB4">
        <w:rPr>
          <w:rFonts w:ascii="Times New Roman" w:eastAsia="Calibri" w:hAnsi="Times New Roman"/>
          <w:sz w:val="18"/>
          <w:szCs w:val="18"/>
          <w:lang w:eastAsia="en-MY"/>
        </w:rPr>
        <w:t xml:space="preserve"> </w:t>
      </w:r>
      <w:r>
        <w:rPr>
          <w:rFonts w:ascii="Times New Roman" w:eastAsia="Calibri" w:hAnsi="Times New Roman"/>
          <w:sz w:val="18"/>
          <w:szCs w:val="18"/>
          <w:lang w:eastAsia="en-MY"/>
        </w:rPr>
        <w:t xml:space="preserve"> n</w:t>
      </w:r>
      <w:r w:rsidRPr="00A50CB4">
        <w:rPr>
          <w:rFonts w:ascii="Times New Roman" w:eastAsia="Calibri" w:hAnsi="Times New Roman"/>
          <w:sz w:val="18"/>
          <w:szCs w:val="18"/>
          <w:lang w:eastAsia="en-MY"/>
        </w:rPr>
        <w:t>atural rubber, poly-3-hydroxybutyrate, blending, solvent casting, miscibility</w:t>
      </w:r>
    </w:p>
    <w:p w14:paraId="3ED2AAFC" w14:textId="77777777" w:rsidR="008E67A5" w:rsidRDefault="008E67A5" w:rsidP="008E67A5">
      <w:pPr>
        <w:spacing w:after="0"/>
        <w:jc w:val="center"/>
        <w:rPr>
          <w:rFonts w:ascii="Times New Roman" w:eastAsia="Calibri" w:hAnsi="Times New Roman"/>
          <w:b/>
          <w:bCs/>
          <w:sz w:val="18"/>
          <w:szCs w:val="18"/>
          <w:lang w:eastAsia="en-MY"/>
        </w:rPr>
      </w:pPr>
    </w:p>
    <w:p w14:paraId="32F6623C" w14:textId="77777777" w:rsidR="008E67A5" w:rsidRPr="00A50CB4" w:rsidRDefault="008E67A5" w:rsidP="008E67A5">
      <w:pPr>
        <w:spacing w:after="0"/>
        <w:jc w:val="center"/>
        <w:rPr>
          <w:rFonts w:ascii="Times New Roman" w:eastAsia="Calibri" w:hAnsi="Times New Roman"/>
          <w:b/>
          <w:bCs/>
          <w:noProof/>
          <w:sz w:val="18"/>
          <w:szCs w:val="18"/>
          <w:lang w:val="ms-MY" w:eastAsia="en-MY"/>
        </w:rPr>
      </w:pPr>
      <w:r w:rsidRPr="00A50CB4">
        <w:rPr>
          <w:rFonts w:ascii="Times New Roman" w:eastAsia="Calibri" w:hAnsi="Times New Roman"/>
          <w:b/>
          <w:bCs/>
          <w:noProof/>
          <w:sz w:val="18"/>
          <w:szCs w:val="18"/>
          <w:lang w:val="ms-MY" w:eastAsia="en-MY"/>
        </w:rPr>
        <w:t>Abstrak</w:t>
      </w:r>
    </w:p>
    <w:p w14:paraId="312365B9" w14:textId="77777777" w:rsidR="008E67A5" w:rsidRDefault="008E67A5" w:rsidP="008E67A5">
      <w:pPr>
        <w:spacing w:after="0"/>
        <w:jc w:val="both"/>
        <w:rPr>
          <w:rFonts w:ascii="Times New Roman" w:eastAsia="Calibri" w:hAnsi="Times New Roman"/>
          <w:b/>
          <w:bCs/>
          <w:noProof/>
          <w:sz w:val="18"/>
          <w:szCs w:val="18"/>
          <w:lang w:val="ms-MY" w:eastAsia="en-MY"/>
        </w:rPr>
      </w:pPr>
      <w:r w:rsidRPr="00A50CB4">
        <w:rPr>
          <w:rFonts w:ascii="Times New Roman" w:eastAsia="Calibri" w:hAnsi="Times New Roman"/>
          <w:noProof/>
          <w:sz w:val="18"/>
          <w:szCs w:val="18"/>
          <w:lang w:val="ms-MY" w:eastAsia="en-MY"/>
        </w:rPr>
        <w:t>Campuran biopolimer yang terdiri daripada poli-3-hidroksibutirat (PHB) dan getah asli (NR), telah dikaji dan dis</w:t>
      </w:r>
      <w:r>
        <w:rPr>
          <w:rFonts w:ascii="Times New Roman" w:eastAsia="Calibri" w:hAnsi="Times New Roman"/>
          <w:noProof/>
          <w:sz w:val="18"/>
          <w:szCs w:val="18"/>
          <w:lang w:val="ms-MY" w:eastAsia="en-MY"/>
        </w:rPr>
        <w:t>i</w:t>
      </w:r>
      <w:r w:rsidRPr="00A50CB4">
        <w:rPr>
          <w:rFonts w:ascii="Times New Roman" w:eastAsia="Calibri" w:hAnsi="Times New Roman"/>
          <w:noProof/>
          <w:sz w:val="18"/>
          <w:szCs w:val="18"/>
          <w:lang w:val="ms-MY" w:eastAsia="en-MY"/>
        </w:rPr>
        <w:t>ntesis melalui teknik acuan pelarut. Pelbagai nisbah 80:20, 60:40, 40:60 dan 20:80 (wt</w:t>
      </w:r>
      <w:r>
        <w:rPr>
          <w:rFonts w:ascii="Times New Roman" w:eastAsia="Calibri" w:hAnsi="Times New Roman"/>
          <w:noProof/>
          <w:sz w:val="18"/>
          <w:szCs w:val="18"/>
          <w:lang w:val="ms-MY" w:eastAsia="en-MY"/>
        </w:rPr>
        <w:t>.</w:t>
      </w:r>
      <w:r w:rsidRPr="00A50CB4">
        <w:rPr>
          <w:rFonts w:ascii="Times New Roman" w:eastAsia="Calibri" w:hAnsi="Times New Roman"/>
          <w:noProof/>
          <w:sz w:val="18"/>
          <w:szCs w:val="18"/>
          <w:lang w:val="ms-MY" w:eastAsia="en-MY"/>
        </w:rPr>
        <w:t>/wt</w:t>
      </w:r>
      <w:r>
        <w:rPr>
          <w:rFonts w:ascii="Times New Roman" w:eastAsia="Calibri" w:hAnsi="Times New Roman"/>
          <w:noProof/>
          <w:sz w:val="18"/>
          <w:szCs w:val="18"/>
          <w:lang w:val="ms-MY" w:eastAsia="en-MY"/>
        </w:rPr>
        <w:t>.</w:t>
      </w:r>
      <w:r w:rsidRPr="00A50CB4">
        <w:rPr>
          <w:rFonts w:ascii="Times New Roman" w:eastAsia="Calibri" w:hAnsi="Times New Roman"/>
          <w:noProof/>
          <w:sz w:val="18"/>
          <w:szCs w:val="18"/>
          <w:lang w:val="ms-MY" w:eastAsia="en-MY"/>
        </w:rPr>
        <w:t xml:space="preserve">) NR/PHB telah dikaji. Spektrum IR bagi sampel campuran tidak menunjukkan interaksi kimia antara komponen. Pembelauan </w:t>
      </w:r>
      <w:r>
        <w:rPr>
          <w:rFonts w:ascii="Times New Roman" w:eastAsia="Calibri" w:hAnsi="Times New Roman"/>
          <w:noProof/>
          <w:sz w:val="18"/>
          <w:szCs w:val="18"/>
          <w:lang w:val="ms-MY" w:eastAsia="en-MY"/>
        </w:rPr>
        <w:t>sinar-</w:t>
      </w:r>
      <w:r w:rsidRPr="00A50CB4">
        <w:rPr>
          <w:rFonts w:ascii="Times New Roman" w:eastAsia="Calibri" w:hAnsi="Times New Roman"/>
          <w:noProof/>
          <w:sz w:val="18"/>
          <w:szCs w:val="18"/>
          <w:lang w:val="ms-MY" w:eastAsia="en-MY"/>
        </w:rPr>
        <w:t>X (XRD) mengesahkan bahawa kristaliniti sampel meningkat apabila nisbah PHB meningkat dalam campuran. Kestabilan terma dan peralihan terma bagi sistem campuran telah dianalisis menggunakan termogravimetri (TG dan DTG) dan perbezaan pengimbasan kalorimetri (DSC). Kestabilan terma untuk sampel campuran menunjukkan ciri yang serupa dengan polimer asal. Sementara itu, terdapat dua suhu peralihan kaca untuk campuran yang menunjukkan bahawa NR dan PHB tidak dapat dicampur. Mikroskop optik polarisasi (POM) menunjukkan pertumbuhan sferulit PHB yang tidak konsisten dalam campuran setelah mengalami penyepuhlindapan. Hasil kajian menunjukkan bahawa NR menghalang susunan biasa sferulit berikat cincin.</w:t>
      </w:r>
    </w:p>
    <w:p w14:paraId="36024073" w14:textId="77777777" w:rsidR="008E67A5" w:rsidRDefault="008E67A5" w:rsidP="008E67A5">
      <w:pPr>
        <w:spacing w:after="0"/>
        <w:jc w:val="both"/>
        <w:rPr>
          <w:rFonts w:ascii="Times New Roman" w:eastAsia="Calibri" w:hAnsi="Times New Roman"/>
          <w:b/>
          <w:bCs/>
          <w:noProof/>
          <w:sz w:val="18"/>
          <w:szCs w:val="18"/>
          <w:lang w:val="ms-MY" w:eastAsia="en-MY"/>
        </w:rPr>
      </w:pPr>
    </w:p>
    <w:p w14:paraId="580217D5" w14:textId="63592071" w:rsidR="000733D1" w:rsidRDefault="008E67A5" w:rsidP="008E67A5">
      <w:pPr>
        <w:spacing w:after="0"/>
        <w:jc w:val="both"/>
        <w:rPr>
          <w:rFonts w:ascii="Times New Roman" w:eastAsia="Calibri" w:hAnsi="Times New Roman"/>
          <w:noProof/>
          <w:sz w:val="18"/>
          <w:szCs w:val="18"/>
          <w:lang w:val="ms-MY" w:eastAsia="en-MY"/>
        </w:rPr>
        <w:sectPr w:rsidR="000733D1"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r w:rsidRPr="00A50CB4">
        <w:rPr>
          <w:rFonts w:ascii="Times New Roman" w:eastAsia="Calibri" w:hAnsi="Times New Roman"/>
          <w:b/>
          <w:bCs/>
          <w:noProof/>
          <w:sz w:val="18"/>
          <w:szCs w:val="18"/>
          <w:lang w:val="ms-MY" w:eastAsia="en-MY"/>
        </w:rPr>
        <w:t>Kata kunci:</w:t>
      </w:r>
      <w:r w:rsidRPr="00A50CB4">
        <w:rPr>
          <w:rFonts w:ascii="Times New Roman" w:eastAsia="Calibri" w:hAnsi="Times New Roman"/>
          <w:noProof/>
          <w:sz w:val="18"/>
          <w:szCs w:val="18"/>
          <w:lang w:val="ms-MY" w:eastAsia="en-MY"/>
        </w:rPr>
        <w:t xml:space="preserve"> </w:t>
      </w:r>
      <w:r>
        <w:rPr>
          <w:rFonts w:ascii="Times New Roman" w:eastAsia="Calibri" w:hAnsi="Times New Roman"/>
          <w:noProof/>
          <w:sz w:val="18"/>
          <w:szCs w:val="18"/>
          <w:lang w:val="ms-MY" w:eastAsia="en-MY"/>
        </w:rPr>
        <w:t xml:space="preserve"> g</w:t>
      </w:r>
      <w:r w:rsidRPr="00A50CB4">
        <w:rPr>
          <w:rFonts w:ascii="Times New Roman" w:eastAsia="Calibri" w:hAnsi="Times New Roman"/>
          <w:noProof/>
          <w:sz w:val="18"/>
          <w:szCs w:val="18"/>
          <w:lang w:val="ms-MY" w:eastAsia="en-MY"/>
        </w:rPr>
        <w:t>etah asli, poli-3-hidroksibutirat, campuran, acuan pelarut, keterlarutcampura</w:t>
      </w:r>
    </w:p>
    <w:p w14:paraId="5B19FA7B" w14:textId="77777777" w:rsidR="004846C8" w:rsidRDefault="004846C8" w:rsidP="000733D1">
      <w:pPr>
        <w:spacing w:after="0"/>
        <w:rPr>
          <w:rFonts w:ascii="Times New Roman" w:hAnsi="Times New Roman"/>
          <w:b/>
          <w:noProof/>
          <w:sz w:val="20"/>
          <w:szCs w:val="20"/>
          <w:lang w:bidi="ar-SA"/>
        </w:rPr>
        <w:sectPr w:rsidR="004846C8" w:rsidSect="000733D1">
          <w:footerReference w:type="default" r:id="rId13"/>
          <w:type w:val="oddPage"/>
          <w:pgSz w:w="12240" w:h="15840" w:code="1"/>
          <w:pgMar w:top="1800" w:right="1469" w:bottom="1699" w:left="1440" w:header="706" w:footer="706" w:gutter="0"/>
          <w:pgNumType w:start="0"/>
          <w:cols w:space="708"/>
          <w:docGrid w:linePitch="360"/>
        </w:sectPr>
      </w:pPr>
    </w:p>
    <w:p w14:paraId="6FC0EFD8" w14:textId="797365E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66C93827" w14:textId="77777777" w:rsidR="008E67A5" w:rsidRPr="008E67A5" w:rsidRDefault="008E67A5" w:rsidP="008E67A5">
      <w:pPr>
        <w:widowControl w:val="0"/>
        <w:spacing w:after="0"/>
        <w:jc w:val="both"/>
        <w:rPr>
          <w:rFonts w:ascii="Times New Roman" w:hAnsi="Times New Roman"/>
          <w:sz w:val="20"/>
          <w:szCs w:val="20"/>
          <w:lang w:eastAsia="en-MY"/>
        </w:rPr>
      </w:pPr>
      <w:r w:rsidRPr="008E67A5">
        <w:rPr>
          <w:rFonts w:ascii="Times New Roman" w:hAnsi="Times New Roman"/>
          <w:sz w:val="20"/>
          <w:szCs w:val="20"/>
          <w:lang w:eastAsia="en-MY"/>
        </w:rPr>
        <w:t xml:space="preserve">Polymers have been used in all aspects of modern living, such as plastics, paper, textiles and cosmetic products. The production of polymeric materials has reached a quantum of 30 million tons each year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{"citationItems":[{"id":"ITEM-1","itemData":{"ISSN":"00796425","abstract":"Nanoporous polymeric materials are porous materials with pore sizes in the nanometer range (i.e., below 200 nm), processed as bulk or film materials, and from a wide set of polymers. Over the last several years, research and development on these novel materials have progressed significantly, because it is believed that the reduction of the pore size to the nanometer range could strongly influence some of the properties of porous polymers, providing unexpected and improved properties compared to conventional porous and microporous polymers and non-porous solids. In this review, the key properties of these nanoporous polymeric materials (mechanical, thermal, dielectric, optical, filtration, sensing, etc.) are analyzed. The experimental and theoretical results obtained up to date related to the structure-property relations are presented. In several sections, in order to present a more compressive approach, the trends obtained for nanoporous polymers are compared to those for metallic and ceramic nanoporous systems. Moreover, some specific characteristics of these materials, such as the consequences of the confinement of both gas and solid phases, are described. Likewise, the main production methods are briefly described. Finally, some of the potential applications of these materials are also discussed in this paper.","author":[{"dropping-particle":"","family":"Notario","given":"B.","non-dropping-particle":"","parse-names":false,"suffix":""},{"dropping-particle":"","family":"Pinto","given":"J.","non-dropping-particle":"","parse-names":false,"suffix":""},{"dropping-particle":"","family":"Rodriguez-Perez","given":"M. A.","non-dropping-particle":"","parse-names":false,"suffix":""}],"container-title":"Progress in Materials Science","id":"ITEM-1","issued":{"date-parts":[["2016"]]},"page":"93-139","title":"Nanoporous polymeric materials: A new class of materials with enhanced properties","type":"article"},"uris":["http://www.mendeley.com/documents/?uuid=12386a03-ea38-3970-8719-8fdec98a712f"]}],"mendeley":{"formattedCitation":"[1]","plainTextFormattedCitation":"[1]","previouslyFormattedCitation":"&lt;sup&gt;1&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[1]</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w:t>
      </w:r>
      <w:r w:rsidRPr="008E67A5">
        <w:rPr>
          <w:rStyle w:val="FootnoteReference"/>
          <w:rFonts w:ascii="Times New Roman" w:hAnsi="Times New Roman"/>
          <w:sz w:val="20"/>
          <w:szCs w:val="20"/>
          <w:lang w:eastAsia="en-MY"/>
        </w:rPr>
        <w:t xml:space="preserve"> </w:t>
      </w:r>
      <w:r w:rsidRPr="008E67A5">
        <w:rPr>
          <w:rFonts w:ascii="Times New Roman" w:hAnsi="Times New Roman"/>
          <w:sz w:val="20"/>
          <w:szCs w:val="20"/>
          <w:lang w:eastAsia="en-MY"/>
        </w:rPr>
        <w:t xml:space="preserve">Owing to its promising advantages, such as strength, low cost and durability, polymer science and engineering has rapidly developed as one of the fastest growing industries in the world. Generally, two or more different polymers can be combined to obtain a novel material with desirable features. With this goal, vast systems based on physical and chemical modification of polymer have been developed through polymer blends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{"citationItems":[{"id":"ITEM-1","itemData":{"ISSN":"01429418","abstract":"Blends of two different biodegradable polyesters, poly(3-hydroxybutyrate) (PHB) and low molecular weight polycaprolactone (PCL), were obtained through solution casting and their miscibility and crystallinity were studied. The materials were characterized by wide angle X-ray diffraction, differential scanning calorimetry (DSC) and time-domain nuclear magnetic resonance (TD-NMR). Blends with PCL concentrations higher than 60% (w/w) were not obtained due the inability of low molecular weight PCL to form films by this method. The DSC technique revealed that the films were not miscible since there were no changes in the PHB glass transition temperature (Tg) after the PCL addition. However, the TD-NMR technique showed some partial miscibility, observed in the blend containing 10% (w/w) PCL, revealing domains around 30 nm, where the spin diffusion process was extremely close to that observed in the pure polymers. Other than that, the transversal relaxation showed that the partial miscibility of this composition occurs predominantly in the chain segments located in the interphase intercalation of the rigid regions, reducing the systems' crystallinity. These results are in accordance with the findings obtained through the WAXD analysis.","author":[{"dropping-particle":"","family":"Cavalcante","given":"Maxwell P.","non-dropping-particle":"","parse-names":false,"suffix":""},{"dropping-particle":"","family":"Toledo","given":"Anna L.M.M.","non-dropping-particle":"","parse-names":false,"suffix":""},{"dropping-particle":"","family":"Rodrigues","given":"Elton J.R.","non-dropping-particle":"","parse-names":false,"suffix":""},{"dropping-particle":"","family":"Neto","given":"Roberto P.C.","non-dropping-particle":"","parse-names":false,"suffix":""},{"dropping-particle":"","family":"Tavares","given":"Maria I.B.","non-dropping-particle":"","parse-names":false,"suffix":""}],"container-title":"Polymer Testing","id":"ITEM-1","issued":{"date-parts":[["2017"]]},"page":"159-165","publisher":"Elsevier Ltd","title":"Correlation between traditional techniques and TD-NMR to determine the morphology of PHB/PCL blends","type":"article-journal","volume":"58"},"uris":["http://www.mendeley.com/documents/?uuid=db3b5c6f-2b33-43dd-a416-f2f0d3de816c"]}],"mendeley":{"formattedCitation":"[2]","plainTextFormattedCitation":"[2]","previouslyFormattedCitation":"&lt;sup&gt;2&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[2]</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graft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{"citationItems":[{"id":"ITEM-1","itemData":{"ISSN":"13815148","abstract":"Thermo-sensitivity has been introduced onto poly(ethylene terephthalate) (PET) surfaces by graft copolymerization of N-isopropylacrylamide (NiPAAm). The PET surface was first photo-oxidized in the presence of H2O2, to have enriched concentration of –COOH groups which were later reacted with allylamine (AlAm) to introduce vinyl end groups at the surface. These groups were used as active sites for thermally initiated graft copolymerization of NiPAAm. The influence of solvent, monomer concentration and time on grafting has been investigated. Spectroscopic analysis confirmed the presence of (AlAm) linked to treated surfaces as well as poly(NiPAAm) grown from them. The thickness of grafted layer can be adjusted between 10 and 18 μm via grafting degree by controlling of grafting reaction parameters. Imaging in water environment revealed the reversible modification of surface morphology below and above the lower critical solution temperature (LCST) of PNiPAAm. The grafted surfaces were analyzed by colorimetric assay, ATR-FTIR, Raman, and XPS spectroscopies and Thermogravimetric analysis (TGA), and Differential scanning calorimetry (DSC).","author":[{"dropping-particle":"","family":"Golshaei","given":"Parisa","non-dropping-particle":"","parse-names":false,"suffix":""},{"dropping-particle":"","family":"Güven","given":"Olgun","non-dropping-particle":"","parse-names":false,"suffix":""}],"container-title":"Reactive and Functional Polymers","id":"ITEM-1","issued":{"date-parts":[["2017"]]},"page":"26-34","title":"Chemical modification of PET surface and subsequent graft copolymerization with poly(N-isopropylacrylamide)","type":"article-journal","volume":"118"},"uris":["http://www.mendeley.com/documents/?uuid=aee354cd-5d47-3d2b-84d8-aece59f2f9ed"]}],"mendeley":{"formattedCitation":"[3]","plainTextFormattedCitation":"[3]","previouslyFormattedCitation":"&lt;sup&gt;3&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[3]</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random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{"citationItems":[{"id":"ITEM-1","itemData":{"ISSN":"00143057","abstract":"Poly(carbonate-co-esters), were enzymatically synthesized (Novozyme-435) via polycondensation of diethylene carbonate, 1,4-butanediol and ω-pentadecalactone. Random poly(ω-pentadecalactone-co-butylene-co- carbonate) copolymers (PPBC) were obtained over a wide composition range (PDL content 10-75 mol%). Notwithstanding the high degree of compositional and microstructural disorder of the macromolecules, that are composed of randomly distributed ω-hydroxy acid (AB), carbonate (A2), and diol (B2) units, all (AB + A2 + B2) copolymers crystallize (crystallinity degree 30-66% by WAXS). When PDL content is ≥20 mol%, PPBCs crystallize in the PPDL lattice. The copolymer with 10 mol% PDL shows a more complex crystallization pattern, that was investigated by combined DSC and T-controlled WAXS measurements. This copolymer develops three different types of crystals: two of them with lattice parameters matching those of PPDL and PBC homopolymers, the third one not being earlier reported in the literature. In this copolymer such new phase persists above melting of PPDL crystals, but it disappears before melting of PBC crystals. The new phase is attributed to a yet unknown metastable polymorph of PBC. © 2012 Elsevier Ltd. All rights reserved.","author":[{"dropping-particle":"","family":"Mazzocchetti","given":"Laura","non-dropping-particle":"","parse-names":false,"suffix":""},{"dropping-particle":"","family":"Scandola","given":"Mariastella","non-dropping-particle":"","parse-names":false,"suffix":""},{"dropping-particle":"","family":"Jiang","given":"Zhaozhong","non-dropping-particle":"","parse-names":false,"suffix":""}],"container-title":"European Polymer Journal","id":"ITEM-1","issued":{"date-parts":[["2012"]]},"page":"1883-1891","title":"Random copolymerization with a large lactone enhances aliphatic polycarbonate crystallinity","type":"article-journal","volume":"48"},"uris":["http://www.mendeley.com/documents/?uuid=b338620f-3bdf-3e5a-b417-96add7410998"]}],"mendeley":{"formattedCitation":"[4]","plainTextFormattedCitation":"[4]","previouslyFormattedCitation":"&lt;sup&gt;4&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[4]</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and block copolymerization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{"citationItems":[{"id":"ITEM-1","itemData":{"DOI":"10.1016/j.carbpol.2010.03.049","ISSN":"01448617","abstract":"A novel injectable in situ gelling thermosensitive chitosan-block-poly(ethylene glycol) formulation was synthesized for drug delivery applications. Block copolymerization of monomethoxy-poly(ethylene glycol) onto chitosan using potassium persulfate as an initiator was carried under a nitrogen atmosphere in aqueous solution. The effects of potassium persulfate and poly(ethylene glycol) concentrations, reaction time and reaction temperature on block polymerization were studied by determining the yield of reaction (%Y), polymerization efficiency (%E) and add-on percentage (%Add-on). Keeping the other conditions constant, the optimum reaction conditions were found to be initiator = 0.01 M, reaction temperature = 60 °C and reaction time = 6 h. © 2010 Elsevier Ltd. All rights reserved.","author":[{"dropping-particle":"","family":"Ganji","given":"F.","non-dropping-particle":"","parse-names":false,"suffix":""},{"dropping-particle":"","family":"Abdekhodaie","given":"M. J.","non-dropping-particle":"","parse-names":false,"suffix":""}],"container-title":"Carbohydrate Polymers","id":"ITEM-1","issue":"4","issued":{"date-parts":[["2010"]]},"page":"799-804","publisher":"Elsevier Ltd.","title":"The effects of reaction conditions on block copolymerization of chitosan and poly(ethylene glycol)","type":"article-journal","volume":"81"},"uris":["http://www.mendeley.com/documents/?uuid=006bfb6d-b707-4789-925f-81d3e370e530"]}],"mendeley":{"formattedCitation":"[5]","plainTextFormattedCitation":"[5]","previouslyFormattedCitation":"&lt;sup&gt;5&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bCs/>
          <w:noProof/>
          <w:sz w:val="20"/>
          <w:szCs w:val="20"/>
          <w:lang w:eastAsia="en-MY"/>
        </w:rPr>
        <w:t>[5]</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w:t>
      </w:r>
    </w:p>
    <w:p w14:paraId="507C1AB7" w14:textId="77777777" w:rsidR="008E67A5" w:rsidRPr="008E67A5" w:rsidRDefault="008E67A5" w:rsidP="008E67A5">
      <w:pPr>
        <w:widowControl w:val="0"/>
        <w:spacing w:after="0"/>
        <w:jc w:val="both"/>
        <w:rPr>
          <w:rFonts w:ascii="Times New Roman" w:hAnsi="Times New Roman"/>
          <w:sz w:val="20"/>
          <w:szCs w:val="20"/>
          <w:lang w:eastAsia="en-MY"/>
        </w:rPr>
      </w:pPr>
    </w:p>
    <w:p w14:paraId="4419C38F" w14:textId="77777777" w:rsidR="008E67A5" w:rsidRPr="008E67A5" w:rsidRDefault="008E67A5" w:rsidP="008E67A5">
      <w:pPr>
        <w:widowControl w:val="0"/>
        <w:spacing w:after="0"/>
        <w:jc w:val="both"/>
        <w:rPr>
          <w:rFonts w:ascii="Times New Roman" w:hAnsi="Times New Roman"/>
          <w:sz w:val="20"/>
          <w:szCs w:val="20"/>
          <w:lang w:eastAsia="en-MY"/>
        </w:rPr>
      </w:pPr>
      <w:r w:rsidRPr="008E67A5">
        <w:rPr>
          <w:rFonts w:ascii="Times New Roman" w:hAnsi="Times New Roman"/>
          <w:sz w:val="20"/>
          <w:szCs w:val="20"/>
          <w:lang w:eastAsia="en-MY"/>
        </w:rPr>
        <w:t xml:space="preserve">Recently, the demand for bio-based polymers has found a niche in the polymer industry because of increasing environmental concerns. As an example, most disposed plastic materials remain persistent in the environment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{"citationItems":[{"id":"ITEM-1","itemData":{"ISSN":"18734863","abstract":"Bacterial polyhydroxyalkanoates (PHA) are expensive partly due to the recovery and purification processes. Thus, many studies have been carried out in order to minimize the cost. Here we report on the use of mealworm, which is the larva of mealworm beetle (Tenebrio molitor) to recover PHA granules from Cupriavidus necator. Mealworms were shown to readily consume the freeze-dried C. necator cells and excrete the PHA granules in the form of whitish feces. Further purification using water, detergent and heat resulted in almost 100% pure PHA granules. Comparison with chloroform extraction showed no signs of reduction in the molecular weight and dispersion of the PHA molecules. Scanning electron microscopy and dynamic light scattering measurements revealed that the biologically recovered PHA granules retained their native spherical morphology. The PHA granules were subjected to a battery of tests to determine their purity and properties in comparison to the chloroform extracted PHA. This study has demonstrated the possibility of using mealworms as a biological agent to partially purify the PHA granules.","author":[{"dropping-particle":"","family":"Murugan","given":"Paramasivam","non-dropping-particle":"","parse-names":false,"suffix":""},{"dropping-particle":"","family":"Han","given":"Lizhu","non-dropping-particle":"","parse-names":false,"suffix":""},{"dropping-particle":"","family":"Gan","given":"Chee Yuen","non-dropping-particle":"","parse-names":false,"suffix":""},{"dropping-particle":"","family":"Maurer","given":"Frans H.J.","non-dropping-particle":"","parse-names":false,"suffix":""},{"dropping-particle":"","family":"Sudesh","given":"Kumar","non-dropping-particle":"","parse-names":false,"suffix":""}],"container-title":"Journal of Biotechnology","id":"ITEM-1","issued":{"date-parts":[["2016"]]},"page":"98-105","title":"A new biological recovery approach for PHA using mealworm, Tenebrio molitor","type":"article-journal","volume":"239"},"uris":["http://www.mendeley.com/documents/?uuid=03cc9272-7915-33d6-9f2c-25fa9face058"]}],"mendeley":{"formattedCitation":"[6]","plainTextFormattedCitation":"[6]","previouslyFormattedCitation":"&lt;sup&gt;6&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[6]</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This is caused by their resistance to a biological breakdown. Thus, this occurrence has driven the search for biodegradable plastic materials. Poly-3-hydroxybutyrate (PHB) is a thermoplastic polymer belonging to the polyhydroxyalkanotae (PHA) family. It is a good candidate to replace non-biodegradable plastics due to its biodegradability, biocompatibility as well as processability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{"citationItems":[{"id":"ITEM-1","itemData":{"ISSN":"09266690","abstract":"Electrospun biobased and biodegradable nanocomposites for sustainable flexible films were developed. Poly(lactic acid) (PLA) was blended with 25 wt% of poly(hydroxybutyrate) (PHB) to produce bead-less fibers and plasticized with 15 wt% of acetyl(tributyl citrate) (ATBC) to obtain flexible materials. The system was further loaded with cellulose nanocrystals (CNC) in 1 wt% and 5 wt% to obtain bionanocomposites with improved thermal and mechanical resistance. The morphological, structural, thermal and mechanical performance of electrospun bionanocomposites was investigated. The effect of ATBC was characterized by a decrease of the glass transition temperature and an increase in the elongation at break. Meanwhile, CNC improved the thermal and mechanical resistance of mats. Thus, good performance for the intended use was achieved for the bionanocomposite loaded with 1 wt% of CNC (PLA–PHB–ATBC–CNC1), which also showed appropriate surface water resistance. All electrospun bionanocomposites were fully disintegrated under composting conditions showing their possible applications as compostable flexible film materials.","author":[{"dropping-particle":"","family":"Arrieta","given":"M. P.","non-dropping-particle":"","parse-names":false,"suffix":""},{"dropping-particle":"","family":"López","given":"J.","non-dropping-particle":"","parse-names":false,"suffix":""},{"dropping-particle":"","family":"López","given":"D.","non-dropping-particle":"","parse-names":false,"suffix":""},{"dropping-particle":"","family":"Kenny","given":"J. M.","non-dropping-particle":"","parse-names":false,"suffix":""},{"dropping-particle":"","family":"Peponi","given":"L.","non-dropping-particle":"","parse-names":false,"suffix":""}],"container-title":"Industrial Crops and Products","id":"ITEM-1","issued":{"date-parts":[["2016"]]},"page":"290-301","title":"Biodegradable electrospun bionanocomposite fibers based on plasticized PLA–PHB blends reinforced with cellulose nanocrystals","type":"article-journal","volume":"93"},"uris":["http://www.mendeley.com/documents/?uuid=8c782857-6af6-3ea0-8e69-bb0ad11800c3"]}],"mendeley":{"formattedCitation":"[7]","plainTextFormattedCitation":"[7]","previouslyFormattedCitation":"&lt;sup&gt;7&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[7]</w:t>
      </w:r>
      <w:r w:rsidRPr="008E67A5">
        <w:rPr>
          <w:rStyle w:val="FootnoteReference"/>
          <w:rFonts w:ascii="Times New Roman" w:hAnsi="Times New Roman"/>
          <w:sz w:val="20"/>
          <w:szCs w:val="20"/>
          <w:lang w:eastAsia="en-MY"/>
        </w:rPr>
        <w:fldChar w:fldCharType="end"/>
      </w:r>
      <w:r w:rsidRPr="008E67A5">
        <w:rPr>
          <w:rStyle w:val="FootnoteReference"/>
          <w:rFonts w:ascii="Times New Roman" w:hAnsi="Times New Roman"/>
          <w:sz w:val="20"/>
          <w:szCs w:val="20"/>
          <w:lang w:eastAsia="en-MY"/>
        </w:rPr>
        <w:t xml:space="preserve">. </w:t>
      </w:r>
      <w:r w:rsidRPr="008E67A5">
        <w:rPr>
          <w:rFonts w:ascii="Times New Roman" w:hAnsi="Times New Roman"/>
          <w:sz w:val="20"/>
          <w:szCs w:val="20"/>
          <w:lang w:eastAsia="en-MY"/>
        </w:rPr>
        <w:t xml:space="preserve">Unfortunately, PHB is generally labelled as a weak and brittle material, displaying a short break elongation and low mechanical strength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{"citationItems":[{"id":"ITEM-1","itemData":{"ISSN":"00406031","abstract":"A study of spherulitic growth in PHB and PHB/DGEBA (poly(3-hydroxybutyrate)/diglycidyl ether of bisphenol A) blends with PHB/DGEBA weight ratios of 100/0, 90/10, 80/20, 70/30 and 60/40 crystallized at temperatures in the range of 45-110 °C is carried out. The spherulitic growth rates at the crystallization temperatures are studied by optical microscopy. Differential scanning calorimetry is used to study the same isothermal process to fit the results by means of the Avrami theory to determine the characteristic parameters of the process. The obtained characteristic parameters are compared to the spherulitic growth rates that are determined by optical microscopy. The observed differences are discussed considering the process of nucleation. An increase in the secondary crystallization process is observed with increasing crystallization temperature and DGEBA content in the blend. Changes in the crystallization associated with an increase in the rigid amorphous fraction (RAF) mobility are discussed.","author":[{"dropping-particle":"","family":"Tognana","given":"Sebastián","non-dropping-particle":"","parse-names":false,"suffix":""},{"dropping-particle":"","family":"Salgueiro","given":"Walter","non-dropping-particle":"","parse-names":false,"suffix":""},{"dropping-particle":"","family":"Silva","given":"Leonel","non-dropping-particle":"","parse-names":false,"suffix":""}],"container-title":"Thermochimica Acta","id":"ITEM-1","issued":{"date-parts":[["2016"]]},"page":"1-8","title":"Spherulitic growth and crystallization kinetics in PHB/DGEBA blends","type":"article-journal","volume":"623"},"uris":["http://www.mendeley.com/documents/?uuid=fdbc8d05-5299-3932-9491-dfc4bf2ae3c2"]}],"mendeley":{"formattedCitation":"[8]","plainTextFormattedCitation":"[8]","previouslyFormattedCitation":"&lt;sup&gt;8&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[8]</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This limits its application. Hence, several approaches have been employed to modify PHB in order to widen its application range.</w:t>
      </w:r>
    </w:p>
    <w:p w14:paraId="2B702010" w14:textId="77777777" w:rsidR="008E67A5" w:rsidRPr="008E67A5" w:rsidRDefault="008E67A5" w:rsidP="008E67A5">
      <w:pPr>
        <w:widowControl w:val="0"/>
        <w:spacing w:after="0"/>
        <w:jc w:val="both"/>
        <w:rPr>
          <w:rFonts w:ascii="Times New Roman" w:hAnsi="Times New Roman"/>
          <w:sz w:val="20"/>
          <w:szCs w:val="20"/>
          <w:lang w:eastAsia="en-MY"/>
        </w:rPr>
      </w:pPr>
    </w:p>
    <w:p w14:paraId="078ADADC" w14:textId="77777777" w:rsidR="008E67A5" w:rsidRPr="008E67A5" w:rsidRDefault="008E67A5" w:rsidP="008E67A5">
      <w:pPr>
        <w:widowControl w:val="0"/>
        <w:spacing w:after="0"/>
        <w:jc w:val="both"/>
        <w:rPr>
          <w:rFonts w:ascii="Times New Roman" w:hAnsi="Times New Roman"/>
          <w:sz w:val="20"/>
          <w:szCs w:val="20"/>
          <w:lang w:eastAsia="en-MY"/>
        </w:rPr>
      </w:pPr>
      <w:r w:rsidRPr="008E67A5">
        <w:rPr>
          <w:rFonts w:ascii="Times New Roman" w:hAnsi="Times New Roman"/>
          <w:sz w:val="20"/>
          <w:szCs w:val="20"/>
          <w:lang w:eastAsia="en-MY"/>
        </w:rPr>
        <w:t xml:space="preserve">One of the successful approaches is the incorporation of hydroxyvalerate units into PHB during the fermentation process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{"citationItems":[{"id":"ITEM-1","itemData":{"ISSN":"09608524","abstract":"Short-chain polyhydroxyalkanoate co-polymers (poly(3-hydroxybutyrate-co-4-hydroxybutyrate)) (P(3HB-co-4HB)) and terpolymers (poly(3-hydroxybutyrate-4-hydroxybutyrate-3-hydroxyvalerate)) (P(3HB-4HB-3HV)) were produced using high-cell density fed-batch cultures of Cupriavidus necator DSM 545. C-source for growth and 3HB synthesis was waste glycerol (GRP) from a biodiesel plant. Incorporation of 4HB monomers was promoted by γ-butyrolactone (GBL). Propionic acid (PA), a stimulator of 4HB accumulation, increased the 4HB molar ratio 2-fold, but also acted as 3HV precursor, yielding P(3HB-4HB-3HV). Dissolved oxygen (DOC) was a key parameter for % PHA accumulation and volumetric productivity (Prod vol). 4HB molar ratio increased in the presence of PA and with extended accumulation time. By manipulating DOC and cultivation time, P(3HB-4HB) with between 11.4 and 21.5molar% of 4HB were attained. Similarly, P(3HB-4HB-3HV) was obtained with 4HB molar% between 24.8% and 43.6% and 3HV% from 5.6% to 9.8%. Mw varied between 5.5×10 5 and 1.37×10 6Da. PHA production from GRP helps reducing production costs with concomitant GRP valorization. © 2012 Elsevier Ltd.","author":[{"dropping-particle":"","family":"Cavalheiro","given":"João M.B.T.","non-dropping-particle":"","parse-names":false,"suffix":""},{"dropping-particle":"","family":"Raposo","given":"Rodrigo S.","non-dropping-particle":"","parse-names":false,"suffix":""},{"dropping-particle":"","family":"Almeida","given":"M. Catarina M.D.","non-dropping-particle":"de","parse-names":false,"suffix":""},{"dropping-particle":"","family":"Teresa Cesário","given":"M.","non-dropping-particle":"","parse-names":false,"suffix":""},{"dropping-particle":"","family":"Sevrin","given":"Chantal","non-dropping-particle":"","parse-names":false,"suffix":""},{"dropping-particle":"","family":"Grandfils","given":"Christian","non-dropping-particle":"","parse-names":false,"suffix":""},{"dropping-particle":"","family":"Fonseca","given":"M. M.R.","non-dropping-particle":"da","parse-names":false,"suffix":""}],"container-title":"Bioresource Technology","id":"ITEM-1","issued":{"date-parts":[["2012"]]},"page":"391-397","title":"Effect of cultivation parameters on the production of poly(3-hydroxybutyrate-co-4-hydroxybutyrate) and poly(3-hydroxybutyrate-4-hydroxybutyrate-3-hydroxyvalerate) by Cupriavidus necator using waste glycerol","type":"article-journal","volume":"111"},"uris":["http://www.mendeley.com/documents/?uuid=3b7e95d2-850b-328a-89c1-1299d841b0cd"]}],"mendeley":{"formattedCitation":"[9]","plainTextFormattedCitation":"[9]","previouslyFormattedCitation":"&lt;sup&gt;9&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[9]</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Another popular approach is blending PHB with other polymers capable of improving the inherent brittleness. Generally, PHB has been blended with numerous polymers ranging from natural to synthetic polymers. Studies on the blends of PHB with poly-caprolactone (PCL)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{"citationItems":[{"id":"ITEM-1","itemData":{"ISSN":"01429418","abstract":"Blends of two different biodegradable polyesters, poly(3-hydroxybutyrate) (PHB) and low molecular weight polycaprolactone (PCL), were obtained through solution casting and their miscibility and crystallinity were studied. The materials were characterized by wide angle X-ray diffraction, differential scanning calorimetry (DSC) and time-domain nuclear magnetic resonance (TD-NMR). Blends with PCL concentrations higher than 60% (w/w) were not obtained due the inability of low molecular weight PCL to form films by this method. The DSC technique revealed that the films were not miscible since there were no changes in the PHB glass transition temperature (Tg) after the PCL addition. However, the TD-NMR technique showed some partial miscibility, observed in the blend containing 10% (w/w) PCL, revealing domains around 30 nm, where the spin diffusion process was extremely close to that observed in the pure polymers. Other than that, the transversal relaxation showed that the partial miscibility of this composition occurs predominantly in the chain segments located in the interphase intercalation of the rigid regions, reducing the systems' crystallinity. These results are in accordance with the findings obtained through the WAXD analysis.","author":[{"dropping-particle":"","family":"Cavalcante","given":"Maxwell P.","non-dropping-particle":"","parse-names":false,"suffix":""},{"dropping-particle":"","family":"Toledo","given":"Anna L.M.M.","non-dropping-particle":"","parse-names":false,"suffix":""},{"dropping-particle":"","family":"Rodrigues","given":"Elton J.R.","non-dropping-particle":"","parse-names":false,"suffix":""},{"dropping-particle":"","family":"Neto","given":"Roberto P.C.","non-dropping-particle":"","parse-names":false,"suffix":""},{"dropping-particle":"","family":"Tavares","given":"Maria I.B.","non-dropping-particle":"","parse-names":false,"suffix":""}],"container-title":"Polymer Testing","id":"ITEM-1","issued":{"date-parts":[["2017"]]},"page":"159-165","publisher":"Elsevier Ltd","title":"Correlation between traditional techniques and TD-NMR to determine the morphology of PHB/PCL blends","type":"article-journal","volume":"58"},"uris":["http://www.mendeley.com/documents/?uuid=db3b5c6f-2b33-43dd-a416-f2f0d3de816c"]},{"id":"ITEM-2","itemData":{"DOI":"10.3144/expresspolymlett.2011.62","ISSN":"1788618X","abstract":"Since poly(3-hydroxybutyrate) (PHB) is inherently brittle and possesses poor elastic properties, hollow fibers produced by melt spinning from pure PHB, as described in our earlier study [Macromolecular Materials and Engineering, 2010, 295/6, 585-594], do not meet the required needs regarding the mechanical performance. Besides hardly available PHB copolymers, also blend systems are known to enhance material properties and have thus been considered to be eligible to fabricate flexible or rather pliable hollow fibers based on PHB. Blends of PHB and poly-ε-caprolactone (PCL) are promising for the application in tissue engineering due to the inherent biocompatibility and biodegradability. A wide range of PHB/PCL compositions have been prepared by melt extrusion. Thermal and mechanical properties of the obtained specimens were analyzed in order to identify miscibility and degree of dispersion as well as to determine the influence on the overall mechanical performance. Even though these constituents are known to be immiscible, PHB/PCL 70/30 was proven to be an adequate composition. This blend showed a highly increased elongation and was found to be easily processable by melt spinning compared to pure PHB. From this blend well defined dimensionally stable bendable hollow fibers were fabricated. © BME-PT.","author":[{"dropping-particle":"","family":"Hinüber","given":"C.","non-dropping-particle":"","parse-names":false,"suffix":""},{"dropping-particle":"","family":"Häussler","given":"L.","non-dropping-particle":"","parse-names":false,"suffix":""},{"dropping-particle":"","family":"Vogel","given":"R.","non-dropping-particle":"","parse-names":false,"suffix":""},{"dropping-particle":"","family":"Brünig","given":"H.","non-dropping-particle":"","parse-names":false,"suffix":""},{"dropping-particle":"","family":"Heinrich","given":"G.","non-dropping-particle":"","parse-names":false,"suffix":""},{"dropping-particle":"","family":"Werner","given":"C.","non-dropping-particle":"","parse-names":false,"suffix":""}],"container-title":"Express Polymer Letters","id":"ITEM-2","issue":"7","issued":{"date-parts":[["2011"]]},"page":"643-652","title":"Hollow fibers made from a poly(3-hydroxybutyrate)/poly-ε-caprolactone blend","type":"article-journal","volume":"5"},"uris":["http://www.mendeley.com/documents/?uuid=78737871-a894-4b70-8a0e-c8280f428c5e"]},{"id":"ITEM-3","itemData":{"DOI":"10.1007/s00289-016-1659-6","ISSN":"1436-2449","abstract":"The present work is focused on the development of binary blends from poly(hydroxybutyrate) (PHB) and poly(caprolactone) (PCL). Miscibility, mechanical and thermal properties as well as blends morphology are evaluated in terms of the blend composition. Binary PHB--PCL blends were manufactured by melt compounding in a twin screw co-rotating extruder and injection molded. The composition of PHB--PCL covered the full range between individual polymers at 25 wt% increments. The obtained results show that PCL acts as an impact modifier, thus leading to an increase in flexibility and ductility as the PCL content in the PHB--PCL blends increases with a noticeable increase in elongation at break and on the energy absorption in impact conditions. The tensile strength and the elastic modulus decrease with increasing PCL content in the PHB--PCL blends; nevertheless, the flexural strength and the flexural modulus reach the highest values for the PHB--PCL blends containing 25 wt% PCL, with a remarkable decrease over this composition. The analysis of fractured surfaces by field emission scanning electron microscopy and thermal properties obtained by differential scanning calorimetry (DSC) and TGA give clear evidences of the immiscibility of these two biodegradable polymers. Additionally, DSC results showed an increase in crystallinity of both PHB and PCL with regard to individual polymers for PHB--PCL blends containing 25 wt% PCL. Furthermore, an increase in the degradation onset (T0) of about 30 {\\textdegree}C higher was detected for the same blends. Dynamic mechanical thermal analysis showed slightly shifted glass transition temperatures of each individual polymer, thus indicating that although both PHB and PCL are not fully miscible, some interactions between them occur.","author":[{"dropping-particle":"","family":"Garcia-Garcia","given":"D","non-dropping-particle":"","parse-names":false,"suffix":""},{"dropping-particle":"","family":"Ferri","given":"J M","non-dropping-particle":"","parse-names":false,"suffix":""},{"dropping-particle":"","family":"Boronat","given":"T","non-dropping-particle":"","parse-names":false,"suffix":""},{"dropping-particle":"","family":"Lopez-Martinez","given":"J","non-dropping-particle":"","parse-names":false,"suffix":""},{"dropping-particle":"","family":"Balart","given":"R","non-dropping-particle":"","parse-names":false,"suffix":""}],"container-title":"Polymer Bulletin","id":"ITEM-3","issue":"12","issued":{"date-parts":[["2016","12"]]},"page":"3333-3350","title":"Processing and characterization of binary poly(hydroxybutyrate) (PHB) and poly(caprolactone) (PCL) blends with improved impact properties","type":"article-journal","volume":"73"},"uris":["http://www.mendeley.com/documents/?uuid=22c99911-4c62-4ed9-a7f6-678fe5a40fae"]}],"mendeley":{"formattedCitation":"[2, 10, 11]","plainTextFormattedCitation":"[2, 10, 11]","previouslyFormattedCitation":"&lt;sup&gt;2,10,11&lt;/sup&gt;"},"properties":{"noteIndex":0},"schema":"https://github.com/citation-style-language/schema/raw/master/csl-citation.json"}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bCs/>
          <w:noProof/>
          <w:sz w:val="20"/>
          <w:szCs w:val="20"/>
          <w:lang w:eastAsia="en-MY"/>
        </w:rPr>
        <w:t>[2, 10, 11]</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natural anionic polysaccharides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{"citationItems":[{"id":"ITEM-1","itemData":{"ISSN":"09284931","abstract":"In this paper, the biomineralization potential and cellular response of novel blend films of the anionic sulfated polysaccharides kappa-carrageenan (KCG) and fucoidan (FUC) derived from seaweeds with semi-crystalline polyhydroxybutyrate (PHB) and polyhydroxybutyrate-co-valerate (PHBV), respectively, were analyzed. The incorporation of KCG and FUC into PHB and PHBV, which has been studied here for the first time, led to an overall decrease in crystallinity, enhanced surface hydrophilicity, reduced brittleness and faster degradation of the polymer blend films. All PHB/KCG, PHBV/KCG and PHBV/FUC films exhibited a two-stage mass loss profiles with pH stabilization. PHBV/KCG film showed the highest biomineralization activity due the presence of sulfate groups on the surface of the films. NIH3T3 cells attached and proliferated well on all blend films on account of enhanced surface hydrophilicity and improved flexibility. PHBV/KCG led to a promoted cellular activity compared to PHBV/FUC, presumably due to phase separation and higher amount of biopolymer on the film surface that was a consequence of the immiscibility of the polymers in the blend films.","author":[{"dropping-particle":"","family":"Goonoo","given":"Nowsheen","non-dropping-particle":"","parse-names":false,"suffix":""},{"dropping-particle":"","family":"Bhaw-Luximon","given":"Archana","non-dropping-particle":"","parse-names":false,"suffix":""},{"dropping-particle":"","family":"Passanha","given":"Pearl","non-dropping-particle":"","parse-names":false,"suffix":""},{"dropping-particle":"","family":"Esteves","given":"Sandra","non-dropping-particle":"","parse-names":false,"suffix":""},{"dropping-particle":"","family":"Schönherr","given":"Holger","non-dropping-particle":"","parse-names":false,"suffix":""},{"dropping-particle":"","family":"Jhurry","given":"Dhanjay","non-dropping-particle":"","parse-names":false,"suffix":""}],"container-title":"Materials Science and Engineering C","id":"ITEM-1","issued":{"date-parts":[["2017"]]},"page":"13-24","title":"Biomineralization potential and cellular response of PHB and PHBV blends with natural anionic polysaccharides","type":"article-journal","volume":"76"},"uris":["http://www.mendeley.com/documents/?uuid=064e6037-e817-31b8-994a-1d6674726d26"]}],"mendeley":{"formattedCitation":"[12]","plainTextFormattedCitation":"[12]","previouslyFormattedCitation":"&lt;sup&gt;12&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[12]</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diglycidyl ether of bisphenol A (DGEBA)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{"citationItems":[{"id":"ITEM-1","itemData":{"ISSN":"00406031","abstract":"A study of spherulitic growth in PHB and PHB/DGEBA (poly(3-hydroxybutyrate)/diglycidyl ether of bisphenol A) blends with PHB/DGEBA weight ratios of 100/0, 90/10, 80/20, 70/30 and 60/40 crystallized at temperatures in the range of 45-110 °C is carried out. The spherulitic growth rates at the crystallization temperatures are studied by optical microscopy. Differential scanning calorimetry is used to study the same isothermal process to fit the results by means of the Avrami theory to determine the characteristic parameters of the process. The obtained characteristic parameters are compared to the spherulitic growth rates that are determined by optical microscopy. The observed differences are discussed considering the process of nucleation. An increase in the secondary crystallization process is observed with increasing crystallization temperature and DGEBA content in the blend. Changes in the crystallization associated with an increase in the rigid amorphous fraction (RAF) mobility are discussed.","author":[{"dropping-particle":"","family":"Tognana","given":"Sebastián","non-dropping-particle":"","parse-names":false,"suffix":""},{"dropping-particle":"","family":"Salgueiro","given":"Walter","non-dropping-particle":"","parse-names":false,"suffix":""},{"dropping-particle":"","family":"Silva","given":"Leonel","non-dropping-particle":"","parse-names":false,"suffix":""}],"container-title":"Thermochimica Acta","id":"ITEM-1","issued":{"date-parts":[["2016"]]},"page":"1-8","title":"Spherulitic growth and crystallization kinetics in PHB/DGEBA blends","type":"article-journal","volume":"623"},"uris":["http://www.mendeley.com/documents/?uuid=fdbc8d05-5299-3932-9491-dfc4bf2ae3c2"]}],"mendeley":{"formattedCitation":"[8]","plainTextFormattedCitation":"[8]","previouslyFormattedCitation":"&lt;sup&gt;8&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[8]</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poly-lactic acid (PLA)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{"citationItems":[{"id":"ITEM-1","itemData":{"ISSN":"01413910","abstract":"The disintegration under composting conditions of films based on poly(lactic acid)–poly(hydroxybutyrate) (PLA–PHB) blends and intended for food packaging was studied. Two different plasticizers, poly(ethylene glycol) (PEG) and acetyl-tri-n-butyl citrate (ATBC), were used to limit the inherent brittleness of both biopolymers. Neat PLA, plasticized PLA and PLA–PHB films were processed by melt-blending and compression molding and they were further treated under composting conditions in a laboratory-scale test at 58 ± 2 °C. Disintegration levels were evaluated by monitoring their weight loss at different times: 0, 7, 14, 21 and 28 days. Morphological changes in all formulations were followed by optical and scanning electron microscopy (SEM). The influence of plasticizers on the disintegration of PLA and PLA–PHB blends was studied by evaluating their thermal and nanomechanical properties by thermogravimetric analysis (TGA) and the nanoindentation technique, respectively. Meanwhile, structural changes were followed by Fourier transformed infrared spectroscopy (FTIR). The ability of PHB to act as nucleating agent in PLA–PHB blends slowed down the PLA disintegration, while plasticizers speeded it up. The relationship between the mesolactide to lactide forms of PLA was calculated with a Pyrolysis–Gas Chromatography–Mass Spectrometry device (Py–GC/MS), revealing that the mesolactide form increased during composting.","author":[{"dropping-particle":"","family":"Arrieta","given":"M. P.","non-dropping-particle":"","parse-names":false,"suffix":""},{"dropping-particle":"","family":"López","given":"J.","non-dropping-particle":"","parse-names":false,"suffix":""},{"dropping-particle":"","family":"Rayón","given":"E.","non-dropping-particle":"","parse-names":false,"suffix":""},{"dropping-particle":"","family":"Jiménez","given":"A.","non-dropping-particle":"","parse-names":false,"suffix":""}],"container-title":"Polymer Degradation and Stability","id":"ITEM-1","issued":{"date-parts":[["2014"]]},"page":"307-318","title":"Disintegrability under composting conditions of plasticized PLA–PHB blends","type":"article-journal","volume":"108"},"uris":["http://www.mendeley.com/documents/?uuid=e410a5d5-301e-3a2a-a501-e4b7ba7266b9"]}],"mendeley":{"formattedCitation":"[13]","plainTextFormattedCitation":"[13]","previouslyFormattedCitation":"&lt;sup&gt;13&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[13]</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and lignin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{"citationItems":[{"id":"ITEM-1","itemData":{"ISSN":"09266690","abstract":"The thermal and rheological properties of poly(hydroxybutyrate) (PHB) and lignin blends were investigated by thermogravimetric analysis (TGA), differential scanning calorimetry (DSC) and rheological analysis over the entire range of composition. The drop in the apparent energy of activation of decomposition, Ea from 112kJmol-1 for pure PHB to half that value with PHB/lignin blends, suggests that the addition lignin reduces the thermal stability of PHB. The rheology results show that for ≤30wt% lignin, lignin behaved like a plasticizer forming a single phase with PHB (as shown by glass transition data and scanning electron micrographs), and reduced the elasticity and viscosity relative to pure PHB. Further additions of lignin (e.g., 60wt% lignin) result in phase separation and thus decreased the ability of the blends to dissipate energy and increased the viscosities of the blends. © 2013 Elsevier B.V.","author":[{"dropping-particle":"","family":"Mousavioun","given":"Payam","non-dropping-particle":"","parse-names":false,"suffix":""},{"dropping-particle":"","family":"Halley","given":"Peter J.","non-dropping-particle":"","parse-names":false,"suffix":""},{"dropping-particle":"","family":"Doherty","given":"William O.S.","non-dropping-particle":"","parse-names":false,"suffix":""}],"container-title":"Industrial Crops and Products","id":"ITEM-1","issued":{"date-parts":[["2013"]]},"page":"270-275","title":"Thermophysical properties and rheology of PHB/lignin blends","type":"article-journal","volume":"50"},"uris":["http://www.mendeley.com/documents/?uuid=15c5d14e-1531-3af9-87db-bc66ae6fdf98"]}],"mendeley":{"formattedCitation":"[14]","plainTextFormattedCitation":"[14]","previouslyFormattedCitation":"&lt;sup&gt;14&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[14]</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have been carried out.  For instance, Cavalcante and co-workers investigated the miscibility and crystallinity </w:t>
      </w:r>
      <w:r w:rsidRPr="008E67A5">
        <w:rPr>
          <w:rFonts w:ascii="Times New Roman" w:hAnsi="Times New Roman"/>
          <w:sz w:val="20"/>
          <w:szCs w:val="20"/>
          <w:lang w:eastAsia="en-MY"/>
        </w:rPr>
        <w:t xml:space="preserve">of (PHB)/low molecular weight polycaprolactone (PCL), prepared through solvent casting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{"citationItems":[{"id":"ITEM-1","itemData":{"ISSN":"01429418","abstract":"Blends of two different biodegradable polyesters, poly(3-hydroxybutyrate) (PHB) and low molecular weight polycaprolactone (PCL), were obtained through solution casting and their miscibility and crystallinity were studied. The materials were characterized by wide angle X-ray diffraction, differential scanning calorimetry (DSC) and time-domain nuclear magnetic resonance (TD-NMR). Blends with PCL concentrations higher than 60% (w/w) were not obtained due the inability of low molecular weight PCL to form films by this method. The DSC technique revealed that the films were not miscible since there were no changes in the PHB glass transition temperature (Tg) after the PCL addition. However, the TD-NMR technique showed some partial miscibility, observed in the blend containing 10% (w/w) PCL, revealing domains around 30 nm, where the spin diffusion process was extremely close to that observed in the pure polymers. Other than that, the transversal relaxation showed that the partial miscibility of this composition occurs predominantly in the chain segments located in the interphase intercalation of the rigid regions, reducing the systems' crystallinity. These results are in accordance with the findings obtained through the WAXD analysis.","author":[{"dropping-particle":"","family":"Cavalcante","given":"Maxwell P.","non-dropping-particle":"","parse-names":false,"suffix":""},{"dropping-particle":"","family":"Toledo","given":"Anna L.M.M.","non-dropping-particle":"","parse-names":false,"suffix":""},{"dropping-particle":"","family":"Rodrigues","given":"Elton J.R.","non-dropping-particle":"","parse-names":false,"suffix":""},{"dropping-particle":"","family":"Neto","given":"Roberto P.C.","non-dropping-particle":"","parse-names":false,"suffix":""},{"dropping-particle":"","family":"Tavares","given":"Maria I.B.","non-dropping-particle":"","parse-names":false,"suffix":""}],"container-title":"Polymer Testing","id":"ITEM-1","issued":{"date-parts":[["2017"]]},"page":"159-165","publisher":"Elsevier Ltd","title":"Correlation between traditional techniques and TD-NMR to determine the morphology of PHB/PCL blends","type":"article-journal","volume":"58"},"uris":["http://www.mendeley.com/documents/?uuid=db3b5c6f-2b33-43dd-a416-f2f0d3de816c"]}],"mendeley":{"formattedCitation":"[2]","plainTextFormattedCitation":"[2]","previouslyFormattedCitation":"&lt;sup&gt;2&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[2]</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The strength of PHB/PCL blends increased when compared to that of pristine PHB. Elastomer can also be blended with PHB to improve its properties. Natural rubber (NR) is an important class of natural elastomer which is extracted from rubber trees (</w:t>
      </w:r>
      <w:r w:rsidRPr="008E67A5">
        <w:rPr>
          <w:rFonts w:ascii="Times New Roman" w:hAnsi="Times New Roman"/>
          <w:i/>
          <w:iCs/>
          <w:sz w:val="20"/>
          <w:szCs w:val="20"/>
          <w:lang w:eastAsia="en-MY"/>
        </w:rPr>
        <w:t>Hevea brasiliensis</w:t>
      </w:r>
      <w:r w:rsidRPr="008E67A5">
        <w:rPr>
          <w:rFonts w:ascii="Times New Roman" w:hAnsi="Times New Roman"/>
          <w:sz w:val="20"/>
          <w:szCs w:val="20"/>
          <w:lang w:eastAsia="en-MY"/>
        </w:rPr>
        <w:t xml:space="preserve">) in latex form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{"citationItems":[{"id":"ITEM-1","itemData":{"DOI":"10.1016/j.radphyschem.2017.11.006","ISSN":"18790895","abstract":"Maleic anhydride (MA) is an interesting monomer to be grafted onto natural rubber(NR) due to its potential as a compatibilizer of hydrophobic rubbers and polymers with higher polarity. So far, radiation grafting of MA onto NR in latex state has not been reported. In this study, the grafting of NR with MA in latex state was investigated by exposing the latex to cobalt-60 gamma irradiation at a fixed MA content of 9% and a varied absorbed doses from 2 to 10 kGy. The FTIR spectrometer, 1H NMR spectrometer and gel content analysis have confirmed successful grafting of MA onto NR after irradiation. The grafted NRs were then used to increase the compatibility and the impact property of PLA/NR blends. It was found that the highest impact strength of the blends was achieved when the grafting was carried out at the absorbed dose of 4 kGy.","author":[{"dropping-particle":"","family":"Pongsathit","given":"Siriwan","non-dropping-particle":"","parse-names":false,"suffix":""},{"dropping-particle":"","family":"Pattamaprom","given":"Cattaleeya","non-dropping-particle":"","parse-names":false,"suffix":""}],"container-title":"Radiation Physics and Chemistry","id":"ITEM-1","issue":"November 2017","issued":{"date-parts":[["2018"]]},"page":"13-20","publisher":"Elsevier Ltd","title":"Irradiation grafting of natural rubber latex with maleic anhydride and its compatibilization of poly(lactic acid)/natural rubber blends","type":"article-journal","volume":"144"},"uris":["http://www.mendeley.com/documents/?uuid=71579bde-b6be-4d75-b668-b8c5036e17bc"]}],"mendeley":{"formattedCitation":"[15]","plainTextFormattedCitation":"[15]","previouslyFormattedCitation":"&lt;sup&gt;15&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[15]</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NR is an amorphous polymer with hydrophobic characteristic and high elasticity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{"citationItems":[{"id":"ITEM-1","itemData":{"DOI":"10.1016/j.radphyschem.2017.11.006","ISSN":"18790895","abstract":"Maleic anhydride (MA) is an interesting monomer to be grafted onto natural rubber(NR) due to its potential as a compatibilizer of hydrophobic rubbers and polymers with higher polarity. So far, radiation grafting of MA onto NR in latex state has not been reported. In this study, the grafting of NR with MA in latex state was investigated by exposing the latex to cobalt-60 gamma irradiation at a fixed MA content of 9% and a varied absorbed doses from 2 to 10 kGy. The FTIR spectrometer, 1H NMR spectrometer and gel content analysis have confirmed successful grafting of MA onto NR after irradiation. The grafted NRs were then used to increase the compatibility and the impact property of PLA/NR blends. It was found that the highest impact strength of the blends was achieved when the grafting was carried out at the absorbed dose of 4 kGy.","author":[{"dropping-particle":"","family":"Pongsathit","given":"Siriwan","non-dropping-particle":"","parse-names":false,"suffix":""},{"dropping-particle":"","family":"Pattamaprom","given":"Cattaleeya","non-dropping-particle":"","parse-names":false,"suffix":""}],"container-title":"Radiation Physics and Chemistry","id":"ITEM-1","issue":"November 2017","issued":{"date-parts":[["2018"]]},"page":"13-20","publisher":"Elsevier Ltd","title":"Irradiation grafting of natural rubber latex with maleic anhydride and its compatibilization of poly(lactic acid)/natural rubber blends","type":"article-journal","volume":"144"},"uris":["http://www.mendeley.com/documents/?uuid=71579bde-b6be-4d75-b668-b8c5036e17bc"]}],"mendeley":{"formattedCitation":"[15]","plainTextFormattedCitation":"[15]","previouslyFormattedCitation":"&lt;sup&gt;15&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[15]</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Bhatt and co-workers studied the blending of medium chain length polyhydroxyalkanoate (mcl-PHA) with different types of rubber such as natural rubber, nitrile rubber and butadiene rubber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{"citationItems":[{"id":"ITEM-1","itemData":{"DOI":"10.1016/j.biortech.2007.06.054","ISSN":"09608524","abstract":"Medium chain length polyhydroxyalkanoates (mcl-PHA) and different rubbers; namely natural rubber, nitrile rubber and butadiene rubber were blended at room temperature using solution blending technique. Blends constituted 5%, 10% and 15% of mcl-PHA in different rubbers. Thermogravimetric analysis of mcl-PHA showed the melting temperature of the polymer around 50 °C. Thermal properties of the synthesized blend were studied by Differential Scanning Calorimetry which confirmed effective blending between the polymers. Blending of mcl-PHA with natural rubber led to the synthesis of a different polymer having the melting point of 90 °C. Degradation studies of the blends were carried out using a soil isolate, Pseudomonas sp. 202 for 30 days. Extracellular protein concentration as well as OD660 due to the growth of Pseudomonas sp. 202 was studied. The degradation of blended plastic material, as evidenced by % weight loss after degradation and increase in the growth of organism correlated with the amount of mcl-PHA present in the sample. Growth of Pseudomonas sp. 202 resulted in 14.63%, 16.12% and 3.84% weight loss of PHA:rubber blends (natural, nitrile and butadiene rubber). Scanning electron microscopic studies after 30 days of incubation further confirmed biodegradation of the films. © 2007 Elsevier Ltd. All rights reserved.","author":[{"dropping-particle":"","family":"Bhatt","given":"Rachana","non-dropping-particle":"","parse-names":false,"suffix":""},{"dropping-particle":"","family":"Shah","given":"Dishma","non-dropping-particle":"","parse-names":false,"suffix":""},{"dropping-particle":"","family":"Patel","given":"K. C.","non-dropping-particle":"","parse-names":false,"suffix":""},{"dropping-particle":"","family":"Trivedi","given":"Ujjval","non-dropping-particle":"","parse-names":false,"suffix":""}],"container-title":"Bioresource Technology","id":"ITEM-1","issue":"11","issued":{"date-parts":[["2008"]]},"page":"4615-4620","title":"PHA-rubber blends: Synthesis, characterization and biodegradation","type":"article-journal","volume":"99"},"uris":["http://www.mendeley.com/documents/?uuid=3ec0b1ac-fc1b-4476-bb7a-9d9cec2e3738"]}],"mendeley":{"formattedCitation":"[16]","plainTextFormattedCitation":"[16]","previouslyFormattedCitation":"&lt;sup&gt;16&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bCs/>
          <w:noProof/>
          <w:sz w:val="20"/>
          <w:szCs w:val="20"/>
          <w:lang w:eastAsia="en-MY"/>
        </w:rPr>
        <w:t>[16]</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xml:space="preserve">. It was discovered that the thermal decomposition temperature of the blends increased compared to that of pristine PHA. This shows that the two polymers successfully interacted since there was a shift in the melting point of the newly synthesized polymer blend. This finding was also reported by previous studies which focused mostly on the biodegradation of PHA blend with different rubbers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{"citationItems":[{"id":"ITEM-1","itemData":{"author":[{"dropping-particle":"","family":"Ramsay","given":"Bruce A","non-dropping-particle":"","parse-names":false,"suffix":""},{"dropping-particle":"","family":"Langlade","given":"Vincent","non-dropping-particle":"","parse-names":false,"suffix":""},{"dropping-particle":"","family":"Carreau","given":"Pierre J","non-dropping-particle":"","parse-names":false,"suffix":""},{"dropping-particle":"","family":"Juliana","given":"A","non-dropping-particle":"","parse-names":false,"suffix":""}],"id":"ITEM-1","issue":"4","issued":{"date-parts":[["1993"]]},"page":"1242-1246","title":"Biodegradability and Mechanical Properties of Poly-(f3-Hydroxybutyrate-Co-3-Hydroxyvalerate)-Starch Blends","type":"article-journal","volume":"59"},"uris":["http://www.mendeley.com/documents/?uuid=a638d9d3-b373-47be-974f-cd2ee2ab085d"]},{"id":"ITEM-2","itemData":{"DOI":"10.1016/j.biortech.2007.06.054","ISSN":"09608524","abstract":"Medium chain length polyhydroxyalkanoates (mcl-PHA) and different rubbers; namely natural rubber, nitrile rubber and butadiene rubber were blended at room temperature using solution blending technique. Blends constituted 5%, 10% and 15% of mcl-PHA in different rubbers. Thermogravimetric analysis of mcl-PHA showed the melting temperature of the polymer around 50 °C. Thermal properties of the synthesized blend were studied by Differential Scanning Calorimetry which confirmed effective blending between the polymers. Blending of mcl-PHA with natural rubber led to the synthesis of a different polymer having the melting point of 90 °C. Degradation studies of the blends were carried out using a soil isolate, Pseudomonas sp. 202 for 30 days. Extracellular protein concentration as well as OD660 due to the growth of Pseudomonas sp. 202 was studied. The degradation of blended plastic material, as evidenced by % weight loss after degradation and increase in the growth of organism correlated with the amount of mcl-PHA present in the sample. Growth of Pseudomonas sp. 202 resulted in 14.63%, 16.12% and 3.84% weight loss of PHA:rubber blends (natural, nitrile and butadiene rubber). Scanning electron microscopic studies after 30 days of incubation further confirmed biodegradation of the films. © 2007 Elsevier Ltd. All rights reserved.","author":[{"dropping-particle":"","family":"Bhatt","given":"Rachana","non-dropping-particle":"","parse-names":false,"suffix":""},{"dropping-particle":"","family":"Shah","given":"Dishma","non-dropping-particle":"","parse-names":false,"suffix":""},{"dropping-particle":"","family":"Patel","given":"K. C.","non-dropping-particle":"","parse-names":false,"suffix":""},{"dropping-particle":"","family":"Trivedi","given":"Ujjval","non-dropping-particle":"","parse-names":false,"suffix":""}],"container-title":"Bioresource Technology","id":"ITEM-2","issue":"11","issued":{"date-parts":[["2008"]]},"page":"4615-4620","title":"PHA-rubber blends: Synthesis, characterization and biodegradation","type":"article-journal","volume":"99"},"uris":["http://www.mendeley.com/documents/?uuid=3ec0b1ac-fc1b-4476-bb7a-9d9cec2e3738"]}],"mendeley":{"formattedCitation":"[16, 17]","plainTextFormattedCitation":"[16, 17]","previouslyFormattedCitation":"&lt;sup&gt;16,17&lt;/sup&gt;"},"properties":{"noteIndex":0},"schema":"https://github.com/citation-style-language/schema/raw/master/csl-citation.json"}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bCs/>
          <w:noProof/>
          <w:sz w:val="20"/>
          <w:szCs w:val="20"/>
          <w:lang w:eastAsia="en-MY"/>
        </w:rPr>
        <w:t>[16, 17]</w:t>
      </w:r>
      <w:r w:rsidRPr="008E67A5">
        <w:rPr>
          <w:rStyle w:val="FootnoteReference"/>
          <w:rFonts w:ascii="Times New Roman" w:hAnsi="Times New Roman"/>
          <w:sz w:val="20"/>
          <w:szCs w:val="20"/>
          <w:lang w:eastAsia="en-MY"/>
        </w:rPr>
        <w:fldChar w:fldCharType="end"/>
      </w:r>
      <w:r w:rsidRPr="008E67A5">
        <w:rPr>
          <w:rStyle w:val="FootnoteReference"/>
          <w:rFonts w:ascii="Times New Roman" w:hAnsi="Times New Roman"/>
          <w:sz w:val="20"/>
          <w:szCs w:val="20"/>
          <w:lang w:eastAsia="en-MY"/>
        </w:rPr>
        <w:t>.</w:t>
      </w:r>
      <w:r w:rsidRPr="008E67A5">
        <w:rPr>
          <w:rFonts w:ascii="Times New Roman" w:hAnsi="Times New Roman"/>
          <w:sz w:val="20"/>
          <w:szCs w:val="20"/>
          <w:lang w:eastAsia="en-MY"/>
        </w:rPr>
        <w:t xml:space="preserve"> They show that, the degradation of PHA enhances the degradation rate of natural rubber. Even though some reports were found on the blends of PHA/NR, so far, no studies have reported on the characteristic of NR/PHB blends. Hence, the present work attempted to explore the properties of blends which focus on PHB with NR prepared using different ratios.</w:t>
      </w:r>
    </w:p>
    <w:p w14:paraId="74FAE39D" w14:textId="77777777" w:rsidR="008E67A5" w:rsidRPr="008E67A5" w:rsidRDefault="008E67A5" w:rsidP="008E67A5">
      <w:pPr>
        <w:widowControl w:val="0"/>
        <w:spacing w:after="0"/>
        <w:jc w:val="center"/>
        <w:rPr>
          <w:rFonts w:ascii="Times New Roman" w:hAnsi="Times New Roman"/>
          <w:sz w:val="20"/>
          <w:szCs w:val="20"/>
          <w:lang w:eastAsia="en-MY"/>
        </w:rPr>
      </w:pPr>
    </w:p>
    <w:p w14:paraId="57FAF8FE" w14:textId="77777777" w:rsidR="008E67A5" w:rsidRPr="008E67A5" w:rsidRDefault="008E67A5" w:rsidP="008E67A5">
      <w:pPr>
        <w:widowControl w:val="0"/>
        <w:spacing w:after="0"/>
        <w:jc w:val="center"/>
        <w:rPr>
          <w:rFonts w:ascii="Times New Roman" w:hAnsi="Times New Roman"/>
          <w:sz w:val="20"/>
          <w:szCs w:val="20"/>
          <w:lang w:eastAsia="en-MY"/>
        </w:rPr>
      </w:pPr>
      <w:r w:rsidRPr="008E67A5">
        <w:rPr>
          <w:rFonts w:ascii="Times New Roman" w:hAnsi="Times New Roman"/>
          <w:b/>
          <w:bCs/>
          <w:sz w:val="20"/>
          <w:szCs w:val="20"/>
          <w:lang w:eastAsia="en-MY"/>
        </w:rPr>
        <w:t>Materials and Methods</w:t>
      </w:r>
    </w:p>
    <w:p w14:paraId="522F04F5" w14:textId="77777777" w:rsidR="008E67A5" w:rsidRPr="008E67A5" w:rsidRDefault="008E67A5" w:rsidP="008E67A5">
      <w:pPr>
        <w:widowControl w:val="0"/>
        <w:spacing w:after="0"/>
        <w:jc w:val="both"/>
        <w:rPr>
          <w:rFonts w:ascii="Times New Roman" w:eastAsia="Calibri" w:hAnsi="Times New Roman"/>
          <w:b/>
          <w:bCs/>
          <w:sz w:val="20"/>
          <w:szCs w:val="20"/>
          <w:lang w:eastAsia="en-MY"/>
        </w:rPr>
      </w:pPr>
      <w:r w:rsidRPr="008E67A5">
        <w:rPr>
          <w:rFonts w:ascii="Times New Roman" w:eastAsia="Calibri" w:hAnsi="Times New Roman"/>
          <w:b/>
          <w:bCs/>
          <w:sz w:val="20"/>
          <w:szCs w:val="20"/>
          <w:lang w:eastAsia="en-MY"/>
        </w:rPr>
        <w:t>Materials</w:t>
      </w:r>
    </w:p>
    <w:p w14:paraId="70DE1F4A" w14:textId="77777777" w:rsidR="008E67A5" w:rsidRPr="008E67A5" w:rsidRDefault="008E67A5" w:rsidP="008E67A5">
      <w:pPr>
        <w:widowControl w:val="0"/>
        <w:spacing w:after="0"/>
        <w:jc w:val="both"/>
        <w:rPr>
          <w:rFonts w:ascii="Times New Roman" w:hAnsi="Times New Roman"/>
          <w:sz w:val="20"/>
          <w:szCs w:val="20"/>
          <w:lang w:eastAsia="en-MY"/>
        </w:rPr>
      </w:pPr>
      <w:r w:rsidRPr="008E67A5">
        <w:rPr>
          <w:rFonts w:ascii="Times New Roman" w:eastAsia="Calibri" w:hAnsi="Times New Roman"/>
          <w:sz w:val="20"/>
          <w:szCs w:val="20"/>
          <w:lang w:eastAsia="en-MY"/>
        </w:rPr>
        <w:t>Natural rubber latex was obtained from Malaysian Rubber Board, Kuala Lumpur. Poly-3-hydroxybutyrate (PHB) was purchased from BIOCYCLE (Brazil) and purified before use. The following chemicals such as chloroform (QRec, Malaysia) and methanol (QRec, Malaysia) were purchased and used as received. Meanwhile, liquid nitrogen was supplied from Well solution Sdn. Bhd.</w:t>
      </w:r>
    </w:p>
    <w:p w14:paraId="1463567E" w14:textId="77777777" w:rsidR="008E67A5" w:rsidRPr="008E67A5" w:rsidRDefault="008E67A5" w:rsidP="008E67A5">
      <w:pPr>
        <w:widowControl w:val="0"/>
        <w:spacing w:after="0"/>
        <w:jc w:val="both"/>
        <w:rPr>
          <w:rFonts w:ascii="Times New Roman" w:hAnsi="Times New Roman"/>
          <w:sz w:val="20"/>
          <w:szCs w:val="20"/>
          <w:lang w:eastAsia="en-MY"/>
        </w:rPr>
      </w:pPr>
    </w:p>
    <w:p w14:paraId="41F9D5F2" w14:textId="77777777" w:rsidR="008E67A5" w:rsidRPr="008E67A5" w:rsidRDefault="008E67A5" w:rsidP="008E67A5">
      <w:pPr>
        <w:widowControl w:val="0"/>
        <w:spacing w:after="0"/>
        <w:jc w:val="both"/>
        <w:rPr>
          <w:rFonts w:ascii="Times New Roman" w:hAnsi="Times New Roman"/>
          <w:sz w:val="20"/>
          <w:szCs w:val="20"/>
          <w:lang w:eastAsia="en-MY"/>
        </w:rPr>
      </w:pPr>
      <w:r w:rsidRPr="008E67A5">
        <w:rPr>
          <w:rFonts w:ascii="Times New Roman" w:eastAsia="Calibri" w:hAnsi="Times New Roman"/>
          <w:b/>
          <w:bCs/>
          <w:sz w:val="20"/>
          <w:szCs w:val="20"/>
          <w:lang w:eastAsia="en-MY"/>
        </w:rPr>
        <w:t>Purification method of PHB and NR</w:t>
      </w:r>
    </w:p>
    <w:p w14:paraId="28918B45" w14:textId="77777777" w:rsidR="008E67A5" w:rsidRPr="008E67A5" w:rsidRDefault="008E67A5" w:rsidP="008E67A5">
      <w:pPr>
        <w:widowControl w:val="0"/>
        <w:spacing w:after="0"/>
        <w:jc w:val="both"/>
        <w:rPr>
          <w:rFonts w:ascii="Times New Roman" w:hAnsi="Times New Roman"/>
          <w:sz w:val="20"/>
          <w:szCs w:val="20"/>
        </w:rPr>
      </w:pPr>
      <w:r w:rsidRPr="008E67A5">
        <w:rPr>
          <w:rFonts w:ascii="Times New Roman" w:eastAsia="Calibri" w:hAnsi="Times New Roman"/>
          <w:sz w:val="20"/>
          <w:szCs w:val="20"/>
          <w:lang w:eastAsia="en-MY"/>
        </w:rPr>
        <w:t xml:space="preserve">PHB was purified by dissolution in chloroform. The mixture was stirred until a clear solution was obtained. It was then filtered and followed by precipitation using methanol. The resultant product was dried in a vacuum oven at 50 </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C for 24 hours.</w:t>
      </w:r>
      <w:r w:rsidRPr="008E67A5">
        <w:rPr>
          <w:rFonts w:ascii="Times New Roman" w:hAnsi="Times New Roman"/>
          <w:sz w:val="20"/>
          <w:szCs w:val="20"/>
          <w:lang w:eastAsia="en-MY"/>
        </w:rPr>
        <w:t xml:space="preserve"> </w:t>
      </w:r>
      <w:r w:rsidRPr="008E67A5">
        <w:rPr>
          <w:rFonts w:ascii="Times New Roman" w:hAnsi="Times New Roman"/>
          <w:sz w:val="20"/>
          <w:szCs w:val="20"/>
        </w:rPr>
        <w:t xml:space="preserve">Dry natural rubber (NR) was </w:t>
      </w:r>
      <w:r w:rsidRPr="008E67A5">
        <w:rPr>
          <w:rFonts w:ascii="Times New Roman" w:hAnsi="Times New Roman"/>
          <w:sz w:val="20"/>
          <w:szCs w:val="20"/>
        </w:rPr>
        <w:lastRenderedPageBreak/>
        <w:t>prepared using natural rubber latex (NRL). Natural rubber latex was dropped into acetone at room temperature, until a cloudy solution was obtained. The solution was removed after a while, leaving the NR coagulants which were washed again using acetone for a few times until a clear solution was achieved. Finally, the NR coagulants was dried in a vacuum oven at 40 ˚C until constant weight was reached.</w:t>
      </w:r>
    </w:p>
    <w:p w14:paraId="72988E2F" w14:textId="77777777" w:rsidR="008E67A5" w:rsidRPr="008E67A5" w:rsidRDefault="008E67A5" w:rsidP="008E67A5">
      <w:pPr>
        <w:widowControl w:val="0"/>
        <w:spacing w:after="0"/>
        <w:jc w:val="both"/>
        <w:rPr>
          <w:rFonts w:ascii="Times New Roman" w:hAnsi="Times New Roman"/>
          <w:sz w:val="20"/>
          <w:szCs w:val="20"/>
        </w:rPr>
      </w:pPr>
    </w:p>
    <w:p w14:paraId="6193A326" w14:textId="77777777" w:rsidR="008E67A5" w:rsidRPr="008E67A5" w:rsidRDefault="008E67A5" w:rsidP="008E67A5">
      <w:pPr>
        <w:widowControl w:val="0"/>
        <w:spacing w:after="0"/>
        <w:jc w:val="both"/>
        <w:rPr>
          <w:rFonts w:ascii="Times New Roman" w:hAnsi="Times New Roman"/>
          <w:sz w:val="20"/>
          <w:szCs w:val="20"/>
          <w:lang w:eastAsia="en-MY"/>
        </w:rPr>
      </w:pPr>
      <w:r w:rsidRPr="008E67A5">
        <w:rPr>
          <w:rFonts w:ascii="Times New Roman" w:eastAsia="Calibri" w:hAnsi="Times New Roman"/>
          <w:b/>
          <w:bCs/>
          <w:sz w:val="20"/>
          <w:szCs w:val="20"/>
          <w:lang w:eastAsia="en-MY"/>
        </w:rPr>
        <w:t>Preparation of NR/PHB blends</w:t>
      </w:r>
    </w:p>
    <w:p w14:paraId="77E6CF3B" w14:textId="763CDAE2" w:rsidR="008E67A5" w:rsidRPr="008E67A5" w:rsidRDefault="008E67A5" w:rsidP="008E67A5">
      <w:pPr>
        <w:widowControl w:val="0"/>
        <w:spacing w:after="0"/>
        <w:jc w:val="both"/>
        <w:rPr>
          <w:rFonts w:ascii="Times New Roman" w:eastAsia="Calibri" w:hAnsi="Times New Roman"/>
          <w:sz w:val="20"/>
          <w:szCs w:val="20"/>
          <w:lang w:eastAsia="en-MY"/>
        </w:rPr>
      </w:pPr>
      <w:r w:rsidRPr="008E67A5">
        <w:rPr>
          <w:rFonts w:ascii="Times New Roman" w:eastAsia="Calibri" w:hAnsi="Times New Roman"/>
          <w:sz w:val="20"/>
          <w:szCs w:val="20"/>
          <w:lang w:eastAsia="en-MY"/>
        </w:rPr>
        <w:t xml:space="preserve">The blends of NR and PHB with various compositions of 100:0, 20:80, 40:60, 60:40, 80:20 and 0:100 (wt./wt.) ratio were prepared via solvent casting technique. As much as 12.5 g of each pristine PHB and NR was dissolved separately in 500 mL chloroform.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Subsequently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various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volumes of the stock solution (according to Table 1) were mixed for 1 hour. It was then cast onto a Teflon mould and dried at room temperature to ensure complete evaporation of the solvent.</w:t>
      </w:r>
    </w:p>
    <w:p w14:paraId="47B0054E" w14:textId="77777777" w:rsidR="004846C8" w:rsidRDefault="004846C8" w:rsidP="008E67A5">
      <w:pPr>
        <w:widowControl w:val="0"/>
        <w:spacing w:after="0"/>
        <w:jc w:val="both"/>
        <w:rPr>
          <w:rFonts w:ascii="Times New Roman" w:eastAsia="Calibri" w:hAnsi="Times New Roman"/>
          <w:sz w:val="20"/>
          <w:szCs w:val="20"/>
          <w:lang w:eastAsia="en-MY"/>
        </w:rPr>
      </w:pPr>
    </w:p>
    <w:p w14:paraId="5E5ADDAC" w14:textId="77777777" w:rsidR="004846C8" w:rsidRPr="008E67A5" w:rsidRDefault="004846C8" w:rsidP="004846C8">
      <w:pPr>
        <w:spacing w:after="0"/>
        <w:jc w:val="both"/>
        <w:rPr>
          <w:rFonts w:ascii="Times New Roman" w:eastAsia="Calibri" w:hAnsi="Times New Roman"/>
          <w:sz w:val="20"/>
          <w:szCs w:val="20"/>
          <w:lang w:eastAsia="en-MY"/>
        </w:rPr>
      </w:pPr>
      <w:r w:rsidRPr="008E67A5">
        <w:rPr>
          <w:rFonts w:ascii="Times New Roman" w:eastAsia="Calibri" w:hAnsi="Times New Roman"/>
          <w:b/>
          <w:bCs/>
          <w:sz w:val="20"/>
          <w:szCs w:val="20"/>
          <w:lang w:eastAsia="en-MY"/>
        </w:rPr>
        <w:t xml:space="preserve">Characterization </w:t>
      </w:r>
    </w:p>
    <w:p w14:paraId="5EF6E98C" w14:textId="70233B04" w:rsidR="004846C8" w:rsidRPr="008E67A5" w:rsidRDefault="004846C8" w:rsidP="004846C8">
      <w:pPr>
        <w:spacing w:after="0"/>
        <w:jc w:val="both"/>
        <w:rPr>
          <w:rFonts w:ascii="Times New Roman" w:eastAsia="Calibri" w:hAnsi="Times New Roman"/>
          <w:sz w:val="20"/>
          <w:szCs w:val="20"/>
          <w:lang w:eastAsia="en-MY"/>
        </w:rPr>
      </w:pPr>
      <w:r w:rsidRPr="008E67A5">
        <w:rPr>
          <w:rFonts w:ascii="Times New Roman" w:eastAsia="Calibri" w:hAnsi="Times New Roman"/>
          <w:sz w:val="20"/>
          <w:szCs w:val="20"/>
          <w:lang w:eastAsia="en-MY"/>
        </w:rPr>
        <w:t>The as prepared samples (NR, PHB and various ratios of NR/PHB blends) were characterized by FTIR Perkin Elmer 2000 spectrometer. The sample was scanned on Attenuated Total Reflection (ATR) mode ranging from 4000 to 650 cm</w:t>
      </w:r>
      <w:r w:rsidRPr="008E67A5">
        <w:rPr>
          <w:rFonts w:ascii="Times New Roman" w:eastAsia="Calibri" w:hAnsi="Times New Roman"/>
          <w:sz w:val="20"/>
          <w:szCs w:val="20"/>
          <w:vertAlign w:val="superscript"/>
          <w:lang w:eastAsia="en-MY"/>
        </w:rPr>
        <w:t>-1</w:t>
      </w:r>
      <w:r w:rsidRPr="008E67A5">
        <w:rPr>
          <w:rFonts w:ascii="Times New Roman" w:eastAsia="Calibri" w:hAnsi="Times New Roman"/>
          <w:sz w:val="20"/>
          <w:szCs w:val="20"/>
          <w:lang w:eastAsia="en-MY"/>
        </w:rPr>
        <w:t xml:space="preserve">. The samples were analyzed by placing a sample on the surface of a KBr disc surface and subjecting to IR scan. Meanwhile, the thermal behaviour of the samples was investigated using a Mettler Toledo </w:t>
      </w:r>
      <w:r w:rsidRPr="008E67A5">
        <w:rPr>
          <w:rFonts w:ascii="Times New Roman" w:eastAsia="Calibri" w:hAnsi="Times New Roman"/>
          <w:sz w:val="20"/>
          <w:szCs w:val="20"/>
          <w:lang w:eastAsia="en-MY"/>
        </w:rPr>
        <w:t xml:space="preserve">DSC 800.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The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sample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was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first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heated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from 30 to 190 ˚C at a heating rate of 20 ˚C min</w:t>
      </w:r>
      <w:r w:rsidRPr="008E67A5">
        <w:rPr>
          <w:rFonts w:ascii="Times New Roman" w:eastAsia="Calibri" w:hAnsi="Times New Roman"/>
          <w:sz w:val="20"/>
          <w:szCs w:val="20"/>
          <w:vertAlign w:val="superscript"/>
          <w:lang w:eastAsia="en-MY"/>
        </w:rPr>
        <w:t>-1</w:t>
      </w:r>
      <w:r w:rsidRPr="008E67A5">
        <w:rPr>
          <w:rFonts w:ascii="Times New Roman" w:eastAsia="Calibri" w:hAnsi="Times New Roman"/>
          <w:sz w:val="20"/>
          <w:szCs w:val="20"/>
          <w:lang w:eastAsia="en-MY"/>
        </w:rPr>
        <w:t xml:space="preserve"> under nitrogen atmosphere and held for 2 minutes. The sample was then quenched to -100˚C at a rate of 20 ˚C min</w:t>
      </w:r>
      <w:r w:rsidRPr="008E67A5">
        <w:rPr>
          <w:rFonts w:ascii="Times New Roman" w:eastAsia="Calibri" w:hAnsi="Times New Roman"/>
          <w:sz w:val="20"/>
          <w:szCs w:val="20"/>
          <w:vertAlign w:val="superscript"/>
          <w:lang w:eastAsia="en-MY"/>
        </w:rPr>
        <w:t>-1</w:t>
      </w:r>
      <w:r w:rsidRPr="008E67A5">
        <w:rPr>
          <w:rFonts w:ascii="Times New Roman" w:eastAsia="Calibri" w:hAnsi="Times New Roman"/>
          <w:sz w:val="20"/>
          <w:szCs w:val="20"/>
          <w:lang w:eastAsia="en-MY"/>
        </w:rPr>
        <w:t xml:space="preserve"> and held for another 2 minutes. Finally, the sample was subjected to a second heating scan where it was again heated from -100 ˚C to 190 ˚C at a rate of 20 ˚C min</w:t>
      </w:r>
      <w:r w:rsidRPr="008E67A5">
        <w:rPr>
          <w:rFonts w:ascii="Times New Roman" w:eastAsia="Calibri" w:hAnsi="Times New Roman"/>
          <w:sz w:val="20"/>
          <w:szCs w:val="20"/>
          <w:vertAlign w:val="superscript"/>
          <w:lang w:eastAsia="en-MY"/>
        </w:rPr>
        <w:t>-1</w:t>
      </w:r>
      <w:r w:rsidRPr="008E67A5">
        <w:rPr>
          <w:rFonts w:ascii="Times New Roman" w:eastAsia="Calibri" w:hAnsi="Times New Roman"/>
          <w:sz w:val="20"/>
          <w:szCs w:val="20"/>
          <w:lang w:eastAsia="en-MY"/>
        </w:rPr>
        <w:t>. Subsequently, the thermal stability of the as prepared samples was conducted using a Perkin Elmer STA 6000 simultaneous thermal analyser at a heating rate of 20 ˚C min</w:t>
      </w:r>
      <w:r w:rsidRPr="008E67A5">
        <w:rPr>
          <w:rFonts w:ascii="Times New Roman" w:eastAsia="Calibri" w:hAnsi="Times New Roman"/>
          <w:sz w:val="20"/>
          <w:szCs w:val="20"/>
          <w:vertAlign w:val="superscript"/>
          <w:lang w:eastAsia="en-MY"/>
        </w:rPr>
        <w:t>-1</w:t>
      </w:r>
      <w:r w:rsidRPr="008E67A5">
        <w:rPr>
          <w:rFonts w:ascii="Times New Roman" w:eastAsia="Calibri" w:hAnsi="Times New Roman"/>
          <w:sz w:val="20"/>
          <w:szCs w:val="20"/>
          <w:lang w:eastAsia="en-MY"/>
        </w:rPr>
        <w:t xml:space="preserve">. The samples were heated from 30 ˚C to 900 ˚C under nitrogen flow and the weight change of the sample as a function of temperature was monitored. </w:t>
      </w:r>
    </w:p>
    <w:p w14:paraId="416A8670" w14:textId="77777777" w:rsidR="004846C8" w:rsidRPr="008E67A5" w:rsidRDefault="004846C8" w:rsidP="004846C8">
      <w:pPr>
        <w:spacing w:after="0"/>
        <w:jc w:val="both"/>
        <w:rPr>
          <w:rFonts w:ascii="Times New Roman" w:eastAsia="Calibri" w:hAnsi="Times New Roman"/>
          <w:sz w:val="20"/>
          <w:szCs w:val="20"/>
          <w:lang w:eastAsia="en-MY"/>
        </w:rPr>
      </w:pPr>
    </w:p>
    <w:p w14:paraId="2EB443B7" w14:textId="77777777" w:rsidR="004846C8" w:rsidRDefault="004846C8" w:rsidP="004846C8">
      <w:pPr>
        <w:spacing w:after="0"/>
        <w:jc w:val="both"/>
        <w:rPr>
          <w:rFonts w:ascii="Times New Roman" w:eastAsia="Calibri" w:hAnsi="Times New Roman"/>
          <w:sz w:val="20"/>
          <w:szCs w:val="20"/>
          <w:lang w:eastAsia="en-MY"/>
        </w:rPr>
      </w:pPr>
      <w:r w:rsidRPr="008E67A5">
        <w:rPr>
          <w:rFonts w:ascii="Times New Roman" w:eastAsia="Calibri" w:hAnsi="Times New Roman"/>
          <w:sz w:val="20"/>
          <w:szCs w:val="20"/>
          <w:lang w:eastAsia="en-MY"/>
        </w:rPr>
        <w:t xml:space="preserve">The diffractogram of the crystalline polymer was obtained using X-ray diffraction (XRD) technique. The X-ray diffraction pattern of the sample was obtained using the Philips X’pert Pro Mrd Pw3040 X-ray diffractometer in the 2θ range 30˚-100˚. A Cu – Kα radiation (λ = 1.54 Å) was employed as the X-ray source. Besides that, the growths of spherulite of the prepared samples were monitored under an Olympus polarizing optical microscope equipped with a Linkam THMS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hot stage.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A sample was</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 placed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on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a</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 xml:space="preserve"> clean glass slide. Then, the sample was heated from 30 to 190 ˚C at a heating rate of 20 </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C min</w:t>
      </w:r>
      <w:r w:rsidRPr="008E67A5">
        <w:rPr>
          <w:rFonts w:ascii="Times New Roman" w:eastAsia="Calibri" w:hAnsi="Times New Roman"/>
          <w:sz w:val="20"/>
          <w:szCs w:val="20"/>
          <w:vertAlign w:val="superscript"/>
          <w:lang w:eastAsia="en-MY"/>
        </w:rPr>
        <w:t xml:space="preserve">-1 </w:t>
      </w:r>
      <w:r w:rsidRPr="008E67A5">
        <w:rPr>
          <w:rFonts w:ascii="Times New Roman" w:eastAsia="Calibri" w:hAnsi="Times New Roman"/>
          <w:sz w:val="20"/>
          <w:szCs w:val="20"/>
          <w:lang w:eastAsia="en-MY"/>
        </w:rPr>
        <w:t>and held for 2 minutes, before cooling to room temperature. The spherulite were allowed to grow during the cooling step and the images of the growing spherulite were acquired.</w:t>
      </w:r>
    </w:p>
    <w:p w14:paraId="56504AE7" w14:textId="615652B6" w:rsidR="004846C8" w:rsidRDefault="004846C8" w:rsidP="008E67A5">
      <w:pPr>
        <w:widowControl w:val="0"/>
        <w:spacing w:after="0"/>
        <w:jc w:val="both"/>
        <w:rPr>
          <w:rFonts w:ascii="Times New Roman" w:eastAsia="Calibri" w:hAnsi="Times New Roman"/>
          <w:sz w:val="20"/>
          <w:szCs w:val="20"/>
          <w:lang w:eastAsia="en-MY"/>
        </w:rPr>
        <w:sectPr w:rsidR="004846C8" w:rsidSect="004846C8">
          <w:footerReference w:type="even" r:id="rId14"/>
          <w:type w:val="continuous"/>
          <w:pgSz w:w="12240" w:h="15840" w:code="1"/>
          <w:pgMar w:top="1800" w:right="1469" w:bottom="1699" w:left="1440" w:header="706" w:footer="706" w:gutter="0"/>
          <w:pgNumType w:start="0"/>
          <w:cols w:num="2" w:space="403"/>
          <w:docGrid w:linePitch="360"/>
        </w:sectPr>
      </w:pPr>
    </w:p>
    <w:p w14:paraId="6CA8EFE2" w14:textId="0EAB2252" w:rsidR="008E67A5" w:rsidRDefault="008E67A5" w:rsidP="008E67A5">
      <w:pPr>
        <w:widowControl w:val="0"/>
        <w:spacing w:after="0"/>
        <w:jc w:val="both"/>
        <w:rPr>
          <w:rFonts w:ascii="Times New Roman" w:eastAsia="Calibri" w:hAnsi="Times New Roman"/>
          <w:sz w:val="20"/>
          <w:szCs w:val="20"/>
          <w:lang w:eastAsia="en-MY"/>
        </w:rPr>
      </w:pPr>
    </w:p>
    <w:p w14:paraId="1521CE63" w14:textId="77777777" w:rsidR="008E67A5" w:rsidRPr="008E67A5" w:rsidRDefault="008E67A5" w:rsidP="008E67A5">
      <w:pPr>
        <w:widowControl w:val="0"/>
        <w:spacing w:after="0"/>
        <w:jc w:val="both"/>
        <w:rPr>
          <w:rFonts w:ascii="Times New Roman" w:eastAsia="Calibri" w:hAnsi="Times New Roman"/>
          <w:sz w:val="20"/>
          <w:szCs w:val="20"/>
          <w:lang w:eastAsia="en-MY"/>
        </w:rPr>
      </w:pPr>
    </w:p>
    <w:p w14:paraId="49D952B4" w14:textId="4D50F2F7" w:rsidR="008E67A5" w:rsidRPr="008E67A5" w:rsidRDefault="008E67A5" w:rsidP="008E67A5">
      <w:pPr>
        <w:widowControl w:val="0"/>
        <w:spacing w:after="120"/>
        <w:jc w:val="center"/>
        <w:rPr>
          <w:rFonts w:ascii="Times New Roman" w:eastAsia="Calibri" w:hAnsi="Times New Roman"/>
          <w:sz w:val="20"/>
          <w:szCs w:val="20"/>
          <w:lang w:eastAsia="en-MY"/>
        </w:rPr>
      </w:pPr>
      <w:r w:rsidRPr="008E67A5">
        <w:rPr>
          <w:rFonts w:ascii="Times New Roman" w:eastAsia="Calibri" w:hAnsi="Times New Roman"/>
          <w:sz w:val="20"/>
          <w:szCs w:val="20"/>
          <w:lang w:eastAsia="en-MY"/>
        </w:rPr>
        <w:t xml:space="preserve">Table 1. </w:t>
      </w:r>
      <w:r>
        <w:rPr>
          <w:rFonts w:ascii="Times New Roman" w:eastAsia="Calibri" w:hAnsi="Times New Roman"/>
          <w:sz w:val="20"/>
          <w:szCs w:val="20"/>
          <w:lang w:eastAsia="en-MY"/>
        </w:rPr>
        <w:t xml:space="preserve"> </w:t>
      </w:r>
      <w:r w:rsidRPr="008E67A5">
        <w:rPr>
          <w:rFonts w:ascii="Times New Roman" w:eastAsia="Calibri" w:hAnsi="Times New Roman"/>
          <w:sz w:val="20"/>
          <w:szCs w:val="20"/>
          <w:lang w:eastAsia="en-MY"/>
        </w:rPr>
        <w:t>Preparation of NR/PHB blends</w:t>
      </w:r>
    </w:p>
    <w:tbl>
      <w:tblPr>
        <w:tblStyle w:val="TableGrid"/>
        <w:tblW w:w="0" w:type="auto"/>
        <w:jc w:val="center"/>
        <w:tblInd w:w="0" w:type="dxa"/>
        <w:tblLook w:val="04A0" w:firstRow="1" w:lastRow="0" w:firstColumn="1" w:lastColumn="0" w:noHBand="0" w:noVBand="1"/>
      </w:tblPr>
      <w:tblGrid>
        <w:gridCol w:w="1962"/>
        <w:gridCol w:w="2077"/>
        <w:gridCol w:w="2416"/>
      </w:tblGrid>
      <w:tr w:rsidR="008E67A5" w:rsidRPr="008E67A5" w14:paraId="6C88084C" w14:textId="77777777" w:rsidTr="008E67A5">
        <w:trPr>
          <w:jc w:val="center"/>
        </w:trPr>
        <w:tc>
          <w:tcPr>
            <w:tcW w:w="1962" w:type="dxa"/>
            <w:tcBorders>
              <w:top w:val="single" w:sz="4" w:space="0" w:color="auto"/>
              <w:left w:val="nil"/>
              <w:bottom w:val="single" w:sz="4" w:space="0" w:color="auto"/>
              <w:right w:val="nil"/>
            </w:tcBorders>
          </w:tcPr>
          <w:p w14:paraId="3146A40D" w14:textId="77777777" w:rsidR="008E67A5" w:rsidRPr="008E67A5" w:rsidRDefault="008E67A5" w:rsidP="008E67A5">
            <w:pPr>
              <w:spacing w:before="60" w:after="0"/>
              <w:rPr>
                <w:rFonts w:eastAsia="Calibri"/>
                <w:b/>
                <w:bCs/>
                <w:sz w:val="20"/>
                <w:szCs w:val="20"/>
              </w:rPr>
            </w:pPr>
            <w:r w:rsidRPr="008E67A5">
              <w:rPr>
                <w:rFonts w:eastAsia="Calibri"/>
                <w:b/>
                <w:bCs/>
                <w:sz w:val="20"/>
                <w:szCs w:val="20"/>
              </w:rPr>
              <w:t>NR/PHB</w:t>
            </w:r>
          </w:p>
          <w:p w14:paraId="7E104655" w14:textId="77777777" w:rsidR="008E67A5" w:rsidRPr="008E67A5" w:rsidRDefault="008E67A5" w:rsidP="008E67A5">
            <w:pPr>
              <w:spacing w:after="0"/>
              <w:rPr>
                <w:rFonts w:eastAsia="Calibri"/>
                <w:b/>
                <w:bCs/>
                <w:sz w:val="20"/>
                <w:szCs w:val="20"/>
              </w:rPr>
            </w:pPr>
            <w:r w:rsidRPr="008E67A5">
              <w:rPr>
                <w:rFonts w:eastAsia="Calibri"/>
                <w:b/>
                <w:bCs/>
                <w:sz w:val="20"/>
                <w:szCs w:val="20"/>
              </w:rPr>
              <w:t>Ratio</w:t>
            </w:r>
          </w:p>
        </w:tc>
        <w:tc>
          <w:tcPr>
            <w:tcW w:w="0" w:type="auto"/>
            <w:tcBorders>
              <w:top w:val="single" w:sz="4" w:space="0" w:color="auto"/>
              <w:left w:val="nil"/>
              <w:bottom w:val="single" w:sz="4" w:space="0" w:color="auto"/>
              <w:right w:val="nil"/>
            </w:tcBorders>
            <w:hideMark/>
          </w:tcPr>
          <w:p w14:paraId="5167333F" w14:textId="225E87A3" w:rsidR="008E67A5" w:rsidRPr="008E67A5" w:rsidRDefault="008E67A5" w:rsidP="008E67A5">
            <w:pPr>
              <w:spacing w:before="60" w:after="0"/>
              <w:jc w:val="center"/>
              <w:rPr>
                <w:rFonts w:eastAsia="Calibri"/>
                <w:b/>
                <w:bCs/>
                <w:sz w:val="20"/>
                <w:szCs w:val="20"/>
              </w:rPr>
            </w:pPr>
            <w:r w:rsidRPr="008E67A5">
              <w:rPr>
                <w:rFonts w:eastAsia="Calibri"/>
                <w:b/>
                <w:bCs/>
                <w:sz w:val="20"/>
                <w:szCs w:val="20"/>
              </w:rPr>
              <w:t>Volume of 0.37 M NR</w:t>
            </w:r>
          </w:p>
          <w:p w14:paraId="7F25E833" w14:textId="77777777" w:rsidR="008E67A5" w:rsidRPr="008E67A5" w:rsidRDefault="008E67A5" w:rsidP="008E67A5">
            <w:pPr>
              <w:spacing w:after="0"/>
              <w:jc w:val="center"/>
              <w:rPr>
                <w:rFonts w:eastAsia="Calibri"/>
                <w:b/>
                <w:bCs/>
                <w:sz w:val="20"/>
                <w:szCs w:val="20"/>
              </w:rPr>
            </w:pPr>
            <w:r w:rsidRPr="008E67A5">
              <w:rPr>
                <w:rFonts w:eastAsia="Calibri"/>
                <w:b/>
                <w:bCs/>
                <w:sz w:val="20"/>
                <w:szCs w:val="20"/>
              </w:rPr>
              <w:t>Stock Solution</w:t>
            </w:r>
          </w:p>
          <w:p w14:paraId="6C49F771" w14:textId="77777777" w:rsidR="008E67A5" w:rsidRPr="008E67A5" w:rsidRDefault="008E67A5" w:rsidP="008E67A5">
            <w:pPr>
              <w:spacing w:after="0"/>
              <w:jc w:val="center"/>
              <w:rPr>
                <w:rFonts w:eastAsia="Calibri"/>
                <w:b/>
                <w:bCs/>
                <w:sz w:val="20"/>
                <w:szCs w:val="20"/>
              </w:rPr>
            </w:pPr>
            <w:r w:rsidRPr="008E67A5">
              <w:rPr>
                <w:rFonts w:eastAsia="Calibri"/>
                <w:b/>
                <w:bCs/>
                <w:sz w:val="20"/>
                <w:szCs w:val="20"/>
              </w:rPr>
              <w:t>(mL)</w:t>
            </w:r>
          </w:p>
        </w:tc>
        <w:tc>
          <w:tcPr>
            <w:tcW w:w="0" w:type="auto"/>
            <w:tcBorders>
              <w:top w:val="single" w:sz="4" w:space="0" w:color="auto"/>
              <w:left w:val="nil"/>
              <w:bottom w:val="single" w:sz="4" w:space="0" w:color="auto"/>
              <w:right w:val="nil"/>
            </w:tcBorders>
            <w:hideMark/>
          </w:tcPr>
          <w:p w14:paraId="6CA6A142" w14:textId="1F862E8A" w:rsidR="008E67A5" w:rsidRPr="008E67A5" w:rsidRDefault="008E67A5" w:rsidP="008E67A5">
            <w:pPr>
              <w:spacing w:before="60" w:after="0"/>
              <w:jc w:val="center"/>
              <w:rPr>
                <w:rFonts w:eastAsia="Calibri"/>
                <w:b/>
                <w:bCs/>
                <w:sz w:val="20"/>
                <w:szCs w:val="20"/>
              </w:rPr>
            </w:pPr>
            <w:r w:rsidRPr="008E67A5">
              <w:rPr>
                <w:rFonts w:eastAsia="Calibri"/>
                <w:b/>
                <w:bCs/>
                <w:sz w:val="20"/>
                <w:szCs w:val="20"/>
              </w:rPr>
              <w:t>Volume of 0.25 M of PHB</w:t>
            </w:r>
          </w:p>
          <w:p w14:paraId="4F8560E1" w14:textId="77777777" w:rsidR="008E67A5" w:rsidRPr="008E67A5" w:rsidRDefault="008E67A5" w:rsidP="008E67A5">
            <w:pPr>
              <w:spacing w:after="0"/>
              <w:jc w:val="center"/>
              <w:rPr>
                <w:rFonts w:eastAsia="Calibri"/>
                <w:b/>
                <w:bCs/>
                <w:sz w:val="20"/>
                <w:szCs w:val="20"/>
              </w:rPr>
            </w:pPr>
            <w:r w:rsidRPr="008E67A5">
              <w:rPr>
                <w:rFonts w:eastAsia="Calibri"/>
                <w:b/>
                <w:bCs/>
                <w:sz w:val="20"/>
                <w:szCs w:val="20"/>
              </w:rPr>
              <w:t>Stock Solution</w:t>
            </w:r>
          </w:p>
          <w:p w14:paraId="4AE273FA" w14:textId="77777777" w:rsidR="008E67A5" w:rsidRPr="008E67A5" w:rsidRDefault="008E67A5" w:rsidP="008E67A5">
            <w:pPr>
              <w:spacing w:after="60"/>
              <w:jc w:val="center"/>
              <w:rPr>
                <w:rFonts w:eastAsia="Calibri"/>
                <w:b/>
                <w:bCs/>
                <w:sz w:val="20"/>
                <w:szCs w:val="20"/>
              </w:rPr>
            </w:pPr>
            <w:r w:rsidRPr="008E67A5">
              <w:rPr>
                <w:rFonts w:eastAsia="Calibri"/>
                <w:b/>
                <w:bCs/>
                <w:sz w:val="20"/>
                <w:szCs w:val="20"/>
              </w:rPr>
              <w:t>(mL)</w:t>
            </w:r>
          </w:p>
        </w:tc>
      </w:tr>
      <w:tr w:rsidR="008E67A5" w:rsidRPr="008E67A5" w14:paraId="3E0E91EB" w14:textId="77777777" w:rsidTr="008E67A5">
        <w:trPr>
          <w:jc w:val="center"/>
        </w:trPr>
        <w:tc>
          <w:tcPr>
            <w:tcW w:w="1962" w:type="dxa"/>
            <w:tcBorders>
              <w:top w:val="single" w:sz="4" w:space="0" w:color="auto"/>
              <w:left w:val="nil"/>
              <w:bottom w:val="nil"/>
              <w:right w:val="nil"/>
            </w:tcBorders>
            <w:hideMark/>
          </w:tcPr>
          <w:p w14:paraId="39B33A94" w14:textId="77777777" w:rsidR="008E67A5" w:rsidRPr="008E67A5" w:rsidRDefault="008E67A5" w:rsidP="008E67A5">
            <w:pPr>
              <w:spacing w:before="60" w:after="0"/>
              <w:rPr>
                <w:rFonts w:eastAsia="Calibri"/>
                <w:sz w:val="20"/>
                <w:szCs w:val="20"/>
              </w:rPr>
            </w:pPr>
            <w:r w:rsidRPr="008E67A5">
              <w:rPr>
                <w:rFonts w:eastAsia="Calibri"/>
                <w:sz w:val="20"/>
                <w:szCs w:val="20"/>
              </w:rPr>
              <w:t>100:0</w:t>
            </w:r>
          </w:p>
        </w:tc>
        <w:tc>
          <w:tcPr>
            <w:tcW w:w="0" w:type="auto"/>
            <w:tcBorders>
              <w:top w:val="single" w:sz="4" w:space="0" w:color="auto"/>
              <w:left w:val="nil"/>
              <w:bottom w:val="nil"/>
              <w:right w:val="nil"/>
            </w:tcBorders>
            <w:hideMark/>
          </w:tcPr>
          <w:p w14:paraId="2BDB1A0E"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40</w:t>
            </w:r>
          </w:p>
        </w:tc>
        <w:tc>
          <w:tcPr>
            <w:tcW w:w="0" w:type="auto"/>
            <w:tcBorders>
              <w:top w:val="single" w:sz="4" w:space="0" w:color="auto"/>
              <w:left w:val="nil"/>
              <w:bottom w:val="nil"/>
              <w:right w:val="nil"/>
            </w:tcBorders>
            <w:hideMark/>
          </w:tcPr>
          <w:p w14:paraId="0F836035"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0</w:t>
            </w:r>
          </w:p>
        </w:tc>
      </w:tr>
      <w:tr w:rsidR="008E67A5" w:rsidRPr="008E67A5" w14:paraId="2D09F94F" w14:textId="77777777" w:rsidTr="008E67A5">
        <w:trPr>
          <w:jc w:val="center"/>
        </w:trPr>
        <w:tc>
          <w:tcPr>
            <w:tcW w:w="1962" w:type="dxa"/>
            <w:tcBorders>
              <w:top w:val="nil"/>
              <w:left w:val="nil"/>
              <w:bottom w:val="nil"/>
              <w:right w:val="nil"/>
            </w:tcBorders>
            <w:hideMark/>
          </w:tcPr>
          <w:p w14:paraId="5000B4D8" w14:textId="77777777" w:rsidR="008E67A5" w:rsidRPr="008E67A5" w:rsidRDefault="008E67A5" w:rsidP="008E67A5">
            <w:pPr>
              <w:spacing w:before="60" w:after="0"/>
              <w:rPr>
                <w:rFonts w:eastAsia="Calibri"/>
                <w:sz w:val="20"/>
                <w:szCs w:val="20"/>
              </w:rPr>
            </w:pPr>
            <w:r w:rsidRPr="008E67A5">
              <w:rPr>
                <w:rFonts w:eastAsia="Calibri"/>
                <w:sz w:val="20"/>
                <w:szCs w:val="20"/>
              </w:rPr>
              <w:t>80:20</w:t>
            </w:r>
          </w:p>
        </w:tc>
        <w:tc>
          <w:tcPr>
            <w:tcW w:w="0" w:type="auto"/>
            <w:tcBorders>
              <w:top w:val="nil"/>
              <w:left w:val="nil"/>
              <w:bottom w:val="nil"/>
              <w:right w:val="nil"/>
            </w:tcBorders>
            <w:hideMark/>
          </w:tcPr>
          <w:p w14:paraId="46269F74"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32</w:t>
            </w:r>
          </w:p>
        </w:tc>
        <w:tc>
          <w:tcPr>
            <w:tcW w:w="0" w:type="auto"/>
            <w:tcBorders>
              <w:top w:val="nil"/>
              <w:left w:val="nil"/>
              <w:bottom w:val="nil"/>
              <w:right w:val="nil"/>
            </w:tcBorders>
            <w:hideMark/>
          </w:tcPr>
          <w:p w14:paraId="52C00EF0"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8</w:t>
            </w:r>
          </w:p>
        </w:tc>
      </w:tr>
      <w:tr w:rsidR="008E67A5" w:rsidRPr="008E67A5" w14:paraId="3F0DE252" w14:textId="77777777" w:rsidTr="008E67A5">
        <w:trPr>
          <w:jc w:val="center"/>
        </w:trPr>
        <w:tc>
          <w:tcPr>
            <w:tcW w:w="1962" w:type="dxa"/>
            <w:tcBorders>
              <w:top w:val="nil"/>
              <w:left w:val="nil"/>
              <w:bottom w:val="nil"/>
              <w:right w:val="nil"/>
            </w:tcBorders>
            <w:hideMark/>
          </w:tcPr>
          <w:p w14:paraId="72AE29A8" w14:textId="77777777" w:rsidR="008E67A5" w:rsidRPr="008E67A5" w:rsidRDefault="008E67A5" w:rsidP="008E67A5">
            <w:pPr>
              <w:spacing w:before="60" w:after="0"/>
              <w:rPr>
                <w:rFonts w:eastAsia="Calibri"/>
                <w:sz w:val="20"/>
                <w:szCs w:val="20"/>
              </w:rPr>
            </w:pPr>
            <w:r w:rsidRPr="008E67A5">
              <w:rPr>
                <w:rFonts w:eastAsia="Calibri"/>
                <w:sz w:val="20"/>
                <w:szCs w:val="20"/>
              </w:rPr>
              <w:t>60:40</w:t>
            </w:r>
          </w:p>
        </w:tc>
        <w:tc>
          <w:tcPr>
            <w:tcW w:w="0" w:type="auto"/>
            <w:tcBorders>
              <w:top w:val="nil"/>
              <w:left w:val="nil"/>
              <w:bottom w:val="nil"/>
              <w:right w:val="nil"/>
            </w:tcBorders>
            <w:hideMark/>
          </w:tcPr>
          <w:p w14:paraId="1E8109B2"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24</w:t>
            </w:r>
          </w:p>
        </w:tc>
        <w:tc>
          <w:tcPr>
            <w:tcW w:w="0" w:type="auto"/>
            <w:tcBorders>
              <w:top w:val="nil"/>
              <w:left w:val="nil"/>
              <w:bottom w:val="nil"/>
              <w:right w:val="nil"/>
            </w:tcBorders>
            <w:hideMark/>
          </w:tcPr>
          <w:p w14:paraId="575DA849"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16</w:t>
            </w:r>
          </w:p>
        </w:tc>
      </w:tr>
      <w:tr w:rsidR="008E67A5" w:rsidRPr="008E67A5" w14:paraId="47934167" w14:textId="77777777" w:rsidTr="008E67A5">
        <w:trPr>
          <w:jc w:val="center"/>
        </w:trPr>
        <w:tc>
          <w:tcPr>
            <w:tcW w:w="1962" w:type="dxa"/>
            <w:tcBorders>
              <w:top w:val="nil"/>
              <w:left w:val="nil"/>
              <w:bottom w:val="nil"/>
              <w:right w:val="nil"/>
            </w:tcBorders>
            <w:hideMark/>
          </w:tcPr>
          <w:p w14:paraId="12B0298D" w14:textId="77777777" w:rsidR="008E67A5" w:rsidRPr="008E67A5" w:rsidRDefault="008E67A5" w:rsidP="008E67A5">
            <w:pPr>
              <w:spacing w:before="60" w:after="0"/>
              <w:rPr>
                <w:rFonts w:eastAsia="Calibri"/>
                <w:sz w:val="20"/>
                <w:szCs w:val="20"/>
              </w:rPr>
            </w:pPr>
            <w:r w:rsidRPr="008E67A5">
              <w:rPr>
                <w:rFonts w:eastAsia="Calibri"/>
                <w:sz w:val="20"/>
                <w:szCs w:val="20"/>
              </w:rPr>
              <w:t>40:60</w:t>
            </w:r>
          </w:p>
        </w:tc>
        <w:tc>
          <w:tcPr>
            <w:tcW w:w="0" w:type="auto"/>
            <w:tcBorders>
              <w:top w:val="nil"/>
              <w:left w:val="nil"/>
              <w:bottom w:val="nil"/>
              <w:right w:val="nil"/>
            </w:tcBorders>
            <w:hideMark/>
          </w:tcPr>
          <w:p w14:paraId="0B36BDD3"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16</w:t>
            </w:r>
          </w:p>
        </w:tc>
        <w:tc>
          <w:tcPr>
            <w:tcW w:w="0" w:type="auto"/>
            <w:tcBorders>
              <w:top w:val="nil"/>
              <w:left w:val="nil"/>
              <w:bottom w:val="nil"/>
              <w:right w:val="nil"/>
            </w:tcBorders>
            <w:hideMark/>
          </w:tcPr>
          <w:p w14:paraId="4E1CF296"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24</w:t>
            </w:r>
          </w:p>
        </w:tc>
      </w:tr>
      <w:tr w:rsidR="008E67A5" w:rsidRPr="008E67A5" w14:paraId="4A86A2F6" w14:textId="77777777" w:rsidTr="008E67A5">
        <w:trPr>
          <w:jc w:val="center"/>
        </w:trPr>
        <w:tc>
          <w:tcPr>
            <w:tcW w:w="1962" w:type="dxa"/>
            <w:tcBorders>
              <w:top w:val="nil"/>
              <w:left w:val="nil"/>
              <w:bottom w:val="nil"/>
              <w:right w:val="nil"/>
            </w:tcBorders>
            <w:hideMark/>
          </w:tcPr>
          <w:p w14:paraId="7740EF3F" w14:textId="77777777" w:rsidR="008E67A5" w:rsidRPr="008E67A5" w:rsidRDefault="008E67A5" w:rsidP="008E67A5">
            <w:pPr>
              <w:spacing w:before="60" w:after="0"/>
              <w:rPr>
                <w:rFonts w:eastAsia="Calibri"/>
                <w:sz w:val="20"/>
                <w:szCs w:val="20"/>
              </w:rPr>
            </w:pPr>
            <w:r w:rsidRPr="008E67A5">
              <w:rPr>
                <w:rFonts w:eastAsia="Calibri"/>
                <w:sz w:val="20"/>
                <w:szCs w:val="20"/>
              </w:rPr>
              <w:t>20:80</w:t>
            </w:r>
          </w:p>
        </w:tc>
        <w:tc>
          <w:tcPr>
            <w:tcW w:w="0" w:type="auto"/>
            <w:tcBorders>
              <w:top w:val="nil"/>
              <w:left w:val="nil"/>
              <w:bottom w:val="nil"/>
              <w:right w:val="nil"/>
            </w:tcBorders>
            <w:hideMark/>
          </w:tcPr>
          <w:p w14:paraId="11273422"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8</w:t>
            </w:r>
          </w:p>
        </w:tc>
        <w:tc>
          <w:tcPr>
            <w:tcW w:w="0" w:type="auto"/>
            <w:tcBorders>
              <w:top w:val="nil"/>
              <w:left w:val="nil"/>
              <w:bottom w:val="nil"/>
              <w:right w:val="nil"/>
            </w:tcBorders>
            <w:hideMark/>
          </w:tcPr>
          <w:p w14:paraId="2807B3BA" w14:textId="77777777" w:rsidR="008E67A5" w:rsidRPr="008E67A5" w:rsidRDefault="008E67A5" w:rsidP="008E67A5">
            <w:pPr>
              <w:spacing w:before="60" w:after="0"/>
              <w:jc w:val="center"/>
              <w:rPr>
                <w:rFonts w:eastAsia="Calibri"/>
                <w:sz w:val="20"/>
                <w:szCs w:val="20"/>
              </w:rPr>
            </w:pPr>
            <w:r w:rsidRPr="008E67A5">
              <w:rPr>
                <w:rFonts w:eastAsia="Calibri"/>
                <w:sz w:val="20"/>
                <w:szCs w:val="20"/>
              </w:rPr>
              <w:t>32</w:t>
            </w:r>
          </w:p>
        </w:tc>
      </w:tr>
      <w:tr w:rsidR="008E67A5" w:rsidRPr="008E67A5" w14:paraId="1C770368" w14:textId="77777777" w:rsidTr="008E67A5">
        <w:trPr>
          <w:jc w:val="center"/>
        </w:trPr>
        <w:tc>
          <w:tcPr>
            <w:tcW w:w="1962" w:type="dxa"/>
            <w:tcBorders>
              <w:top w:val="nil"/>
              <w:left w:val="nil"/>
              <w:bottom w:val="single" w:sz="4" w:space="0" w:color="auto"/>
              <w:right w:val="nil"/>
            </w:tcBorders>
            <w:hideMark/>
          </w:tcPr>
          <w:p w14:paraId="2A26A0A5" w14:textId="77777777" w:rsidR="008E67A5" w:rsidRPr="008E67A5" w:rsidRDefault="008E67A5" w:rsidP="008E67A5">
            <w:pPr>
              <w:spacing w:before="60" w:after="60"/>
              <w:rPr>
                <w:rFonts w:eastAsia="Calibri"/>
                <w:sz w:val="20"/>
                <w:szCs w:val="20"/>
              </w:rPr>
            </w:pPr>
            <w:r w:rsidRPr="008E67A5">
              <w:rPr>
                <w:rFonts w:eastAsia="Calibri"/>
                <w:sz w:val="20"/>
                <w:szCs w:val="20"/>
              </w:rPr>
              <w:t>0:100</w:t>
            </w:r>
          </w:p>
        </w:tc>
        <w:tc>
          <w:tcPr>
            <w:tcW w:w="0" w:type="auto"/>
            <w:tcBorders>
              <w:top w:val="nil"/>
              <w:left w:val="nil"/>
              <w:bottom w:val="single" w:sz="4" w:space="0" w:color="auto"/>
              <w:right w:val="nil"/>
            </w:tcBorders>
            <w:hideMark/>
          </w:tcPr>
          <w:p w14:paraId="26ED9549" w14:textId="77777777" w:rsidR="008E67A5" w:rsidRPr="008E67A5" w:rsidRDefault="008E67A5" w:rsidP="008E67A5">
            <w:pPr>
              <w:spacing w:before="60" w:after="60"/>
              <w:jc w:val="center"/>
              <w:rPr>
                <w:rFonts w:eastAsia="Calibri"/>
                <w:sz w:val="20"/>
                <w:szCs w:val="20"/>
              </w:rPr>
            </w:pPr>
            <w:r w:rsidRPr="008E67A5">
              <w:rPr>
                <w:rFonts w:eastAsia="Calibri"/>
                <w:sz w:val="20"/>
                <w:szCs w:val="20"/>
              </w:rPr>
              <w:t>0</w:t>
            </w:r>
          </w:p>
        </w:tc>
        <w:tc>
          <w:tcPr>
            <w:tcW w:w="0" w:type="auto"/>
            <w:tcBorders>
              <w:top w:val="nil"/>
              <w:left w:val="nil"/>
              <w:bottom w:val="single" w:sz="4" w:space="0" w:color="auto"/>
              <w:right w:val="nil"/>
            </w:tcBorders>
            <w:hideMark/>
          </w:tcPr>
          <w:p w14:paraId="0384E5F8" w14:textId="77777777" w:rsidR="008E67A5" w:rsidRPr="008E67A5" w:rsidRDefault="008E67A5" w:rsidP="008E67A5">
            <w:pPr>
              <w:spacing w:before="60" w:after="60"/>
              <w:jc w:val="center"/>
              <w:rPr>
                <w:rFonts w:eastAsia="Calibri"/>
                <w:sz w:val="20"/>
                <w:szCs w:val="20"/>
              </w:rPr>
            </w:pPr>
            <w:r w:rsidRPr="008E67A5">
              <w:rPr>
                <w:rFonts w:eastAsia="Calibri"/>
                <w:sz w:val="20"/>
                <w:szCs w:val="20"/>
              </w:rPr>
              <w:t>40</w:t>
            </w:r>
          </w:p>
        </w:tc>
      </w:tr>
    </w:tbl>
    <w:p w14:paraId="1CCA7BFC" w14:textId="622502B3" w:rsidR="008E67A5" w:rsidRDefault="008E67A5" w:rsidP="008E67A5">
      <w:pPr>
        <w:spacing w:after="0"/>
        <w:jc w:val="both"/>
        <w:rPr>
          <w:rFonts w:ascii="Times New Roman" w:eastAsia="Calibri" w:hAnsi="Times New Roman"/>
          <w:b/>
          <w:bCs/>
          <w:sz w:val="20"/>
          <w:szCs w:val="20"/>
          <w:lang w:eastAsia="en-MY"/>
        </w:rPr>
      </w:pPr>
    </w:p>
    <w:p w14:paraId="40E56DC3" w14:textId="0E7F7440" w:rsidR="008E67A5" w:rsidRDefault="008E67A5" w:rsidP="008E67A5">
      <w:pPr>
        <w:spacing w:after="0"/>
        <w:jc w:val="both"/>
        <w:rPr>
          <w:rFonts w:ascii="Times New Roman" w:eastAsia="Calibri" w:hAnsi="Times New Roman"/>
          <w:b/>
          <w:bCs/>
          <w:sz w:val="20"/>
          <w:szCs w:val="20"/>
          <w:lang w:eastAsia="en-MY"/>
        </w:rPr>
      </w:pPr>
    </w:p>
    <w:p w14:paraId="4A9B8188" w14:textId="77777777" w:rsidR="004846C8" w:rsidRPr="008E67A5" w:rsidRDefault="004846C8" w:rsidP="008E67A5">
      <w:pPr>
        <w:spacing w:after="0"/>
        <w:jc w:val="both"/>
        <w:rPr>
          <w:rFonts w:ascii="Times New Roman" w:eastAsia="Calibri" w:hAnsi="Times New Roman"/>
          <w:b/>
          <w:bCs/>
          <w:sz w:val="20"/>
          <w:szCs w:val="20"/>
          <w:lang w:eastAsia="en-MY"/>
        </w:rPr>
      </w:pPr>
    </w:p>
    <w:p w14:paraId="6813C7D6" w14:textId="77777777" w:rsidR="008E67A5" w:rsidRPr="00510BA6" w:rsidRDefault="008E67A5" w:rsidP="008E67A5">
      <w:pPr>
        <w:spacing w:after="0"/>
        <w:jc w:val="center"/>
        <w:rPr>
          <w:rFonts w:ascii="Times New Roman" w:hAnsi="Times New Roman"/>
          <w:noProof/>
          <w:sz w:val="20"/>
          <w:szCs w:val="20"/>
          <w:lang w:bidi="ar-SA"/>
        </w:rPr>
      </w:pPr>
    </w:p>
    <w:p w14:paraId="0344D1FA" w14:textId="77777777" w:rsidR="004846C8" w:rsidRDefault="004846C8" w:rsidP="00510BA6">
      <w:pPr>
        <w:spacing w:after="0"/>
        <w:jc w:val="center"/>
        <w:rPr>
          <w:rFonts w:ascii="Times New Roman" w:hAnsi="Times New Roman"/>
          <w:b/>
          <w:noProof/>
          <w:sz w:val="20"/>
          <w:szCs w:val="20"/>
          <w:lang w:bidi="ar-SA"/>
        </w:rPr>
        <w:sectPr w:rsidR="004846C8" w:rsidSect="004846C8">
          <w:footerReference w:type="default" r:id="rId15"/>
          <w:type w:val="continuous"/>
          <w:pgSz w:w="12240" w:h="15840" w:code="1"/>
          <w:pgMar w:top="1800" w:right="1469" w:bottom="1699" w:left="1440" w:header="706" w:footer="706" w:gutter="0"/>
          <w:pgNumType w:start="0"/>
          <w:cols w:space="708"/>
          <w:docGrid w:linePitch="360"/>
        </w:sectPr>
      </w:pPr>
    </w:p>
    <w:p w14:paraId="172DB04A" w14:textId="129BEFA2"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76A8681A" w14:textId="77777777" w:rsidR="00782C8C" w:rsidRPr="008E67A5" w:rsidRDefault="00782C8C" w:rsidP="00782C8C">
      <w:pPr>
        <w:spacing w:after="0"/>
        <w:jc w:val="both"/>
        <w:rPr>
          <w:rFonts w:ascii="Times New Roman" w:eastAsia="Calibri" w:hAnsi="Times New Roman"/>
          <w:b/>
          <w:sz w:val="20"/>
          <w:szCs w:val="20"/>
          <w:lang w:eastAsia="en-MY"/>
        </w:rPr>
      </w:pPr>
      <w:r w:rsidRPr="008E67A5">
        <w:rPr>
          <w:rFonts w:ascii="Times New Roman" w:hAnsi="Times New Roman"/>
          <w:b/>
          <w:bCs/>
          <w:sz w:val="20"/>
          <w:szCs w:val="20"/>
          <w:lang w:eastAsia="en-MY"/>
        </w:rPr>
        <w:t>Fourier Transform Infrared Spectroscopy</w:t>
      </w:r>
    </w:p>
    <w:p w14:paraId="35AE9419" w14:textId="77777777" w:rsidR="00782C8C" w:rsidRPr="008E67A5" w:rsidRDefault="00782C8C" w:rsidP="00782C8C">
      <w:pPr>
        <w:spacing w:after="0"/>
        <w:jc w:val="both"/>
        <w:rPr>
          <w:rFonts w:ascii="Times New Roman" w:hAnsi="Times New Roman"/>
          <w:b/>
          <w:sz w:val="20"/>
          <w:szCs w:val="20"/>
          <w:lang w:eastAsia="en-MY"/>
        </w:rPr>
      </w:pPr>
      <w:r w:rsidRPr="008E67A5">
        <w:rPr>
          <w:rFonts w:ascii="Times New Roman" w:hAnsi="Times New Roman"/>
          <w:sz w:val="20"/>
          <w:szCs w:val="20"/>
          <w:lang w:eastAsia="en-MY"/>
        </w:rPr>
        <w:t>Figure 1 shows the FTIR spectra for PHB, NR, and a typical NR/PHB blend with 40:60 ratio, respectively. As can be seen in Figure 1(a), the main peak of PHB occurs at 1720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which is attributed to the carbonyl stretching. Besides that, the peak, which appears at 1100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is ascribed as C-O-C stretching vibration. The peaks at 2975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and 2937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correspond to the –C-H asymmetric and symmetric stretching, respectively. Meanwhile, peaks that occur at 1455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1379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and 826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belong to the various CH</w:t>
      </w:r>
      <w:r w:rsidRPr="008E67A5">
        <w:rPr>
          <w:rFonts w:ascii="Times New Roman" w:hAnsi="Times New Roman"/>
          <w:sz w:val="20"/>
          <w:szCs w:val="20"/>
          <w:vertAlign w:val="subscript"/>
          <w:lang w:eastAsia="en-MY"/>
        </w:rPr>
        <w:t>3</w:t>
      </w:r>
      <w:r w:rsidRPr="008E67A5">
        <w:rPr>
          <w:rFonts w:ascii="Times New Roman" w:hAnsi="Times New Roman"/>
          <w:sz w:val="20"/>
          <w:szCs w:val="20"/>
          <w:lang w:eastAsia="en-MY"/>
        </w:rPr>
        <w:t xml:space="preserve"> modes, such as asymmetric deformation, symmetric deformation as well as bending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{"citationItems":[{"id":"ITEM-1","itemData":{"DOI":"10.1016/j.polymdegradstab.2012.05.036","ISSN":"01413910","abstract":"A blend of poly(lactic acid) (PLA) (75% by weight) and poly(3- hydroxybutyrate) (PHB) (25% by weight) with a polyester plasticizer (Lapol 108) at two different concentrations (5 and 7% by weight per 100 parts of the blends) were investigated by TGA, DSC, XRD, SEM, mechanical testing and biodegradation studies. PLA/PHB blends showed a good distribution of the major components and absence of phase separation. XRD showed that the original crystal structure of PHB in the PLA75/PHB25 blend had been disturbed. DSC curves of PLA or PHB with plasticizer exhibited one T g value, indicating that both major blend components are miscible. The T g values also decreased with increased amount of plasticizer and showed good correlation to the Fox Equation, The melting temperature of PLA and PHB blends mostly did not change with an increase in plasticizer content, and the thermal stability of PLA and PHB was not affected. Also, the elongation at break of the PLA/PHB blend was greatly improved with the addition of plasticizer. In addition, in preliminary biodegradation studies carried in natural compost neat PHB showed some biodegradation, whereas the samples containing PLA did not experience a substantial biodegradation. This last aspect is worthy of further investigation in a more comprehensive and detailed approach. © 2012 Elsevier Ltd. All rights reserved.","author":[{"dropping-particle":"","family":"Abdelwahab","given":"Mohamed A.","non-dropping-particle":"","parse-names":false,"suffix":""},{"dropping-particle":"","family":"Flynn","given":"Allison","non-dropping-particle":"","parse-names":false,"suffix":""},{"dropping-particle":"Sen","family":"Chiou","given":"Bor","non-dropping-particle":"","parse-names":false,"suffix":""},{"dropping-particle":"","family":"Imam","given":"Syed","non-dropping-particle":"","parse-names":false,"suffix":""},{"dropping-particle":"","family":"Orts","given":"William","non-dropping-particle":"","parse-names":false,"suffix":""},{"dropping-particle":"","family":"Chiellini","given":"Emo","non-dropping-particle":"","parse-names":false,"suffix":""}],"container-title":"Polymer Degradation and Stability","id":"ITEM-1","issue":"9","issued":{"date-parts":[["2012"]]},"page":"1822-1828","publisher":"Elsevier Ltd","title":"Thermal, mechanical and morphological characterization of plasticized PLA-PHB blends","type":"article-journal","volume":"97"},"uris":["http://www.mendeley.com/documents/?uuid=76cd1914-8d25-41f5-94d8-2df3180489c0"]}],"mendeley":{"formattedCitation":"[18]","plainTextFormattedCitation":"[18]","previouslyFormattedCitation":"&lt;sup&gt;18&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[18]</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w:t>
      </w:r>
    </w:p>
    <w:p w14:paraId="0574573B" w14:textId="77777777" w:rsidR="00782C8C" w:rsidRPr="008E67A5" w:rsidRDefault="00782C8C" w:rsidP="00782C8C">
      <w:pPr>
        <w:spacing w:after="0"/>
        <w:jc w:val="both"/>
        <w:rPr>
          <w:rFonts w:ascii="Times New Roman" w:hAnsi="Times New Roman"/>
          <w:b/>
          <w:sz w:val="20"/>
          <w:szCs w:val="20"/>
          <w:lang w:eastAsia="en-MY"/>
        </w:rPr>
      </w:pPr>
    </w:p>
    <w:p w14:paraId="5B43253C" w14:textId="77777777" w:rsidR="00782C8C" w:rsidRPr="008E67A5" w:rsidRDefault="00782C8C" w:rsidP="00782C8C">
      <w:pPr>
        <w:spacing w:after="0"/>
        <w:jc w:val="both"/>
        <w:rPr>
          <w:rFonts w:ascii="Times New Roman" w:hAnsi="Times New Roman"/>
          <w:b/>
          <w:sz w:val="20"/>
          <w:szCs w:val="20"/>
          <w:lang w:eastAsia="en-MY"/>
        </w:rPr>
      </w:pPr>
      <w:r w:rsidRPr="008E67A5">
        <w:rPr>
          <w:rFonts w:ascii="Times New Roman" w:hAnsi="Times New Roman"/>
          <w:sz w:val="20"/>
          <w:szCs w:val="20"/>
          <w:lang w:eastAsia="en-MY"/>
        </w:rPr>
        <w:t>In contrast, the FTIR spectrum of pristine NR as shown in Figure 1(b) exhibits three significant peaks at 2962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2921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and 2853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The first peak corresponds to the CH</w:t>
      </w:r>
      <w:r w:rsidRPr="008E67A5">
        <w:rPr>
          <w:rFonts w:ascii="Times New Roman" w:hAnsi="Times New Roman"/>
          <w:sz w:val="20"/>
          <w:szCs w:val="20"/>
          <w:vertAlign w:val="subscript"/>
          <w:lang w:eastAsia="en-MY"/>
        </w:rPr>
        <w:t>3</w:t>
      </w:r>
      <w:r w:rsidRPr="008E67A5">
        <w:rPr>
          <w:rFonts w:ascii="Times New Roman" w:hAnsi="Times New Roman"/>
          <w:sz w:val="20"/>
          <w:szCs w:val="20"/>
          <w:lang w:eastAsia="en-MY"/>
        </w:rPr>
        <w:t xml:space="preserve"> asymmetric vibrations, while the other two depict asymmetry and symmetry -CH</w:t>
      </w:r>
      <w:r w:rsidRPr="008E67A5">
        <w:rPr>
          <w:rFonts w:ascii="Times New Roman" w:hAnsi="Times New Roman"/>
          <w:sz w:val="20"/>
          <w:szCs w:val="20"/>
          <w:vertAlign w:val="subscript"/>
          <w:lang w:eastAsia="en-MY"/>
        </w:rPr>
        <w:t>2</w:t>
      </w:r>
      <w:r w:rsidRPr="008E67A5">
        <w:rPr>
          <w:rFonts w:ascii="Times New Roman" w:hAnsi="Times New Roman"/>
          <w:sz w:val="20"/>
          <w:szCs w:val="20"/>
          <w:lang w:eastAsia="en-MY"/>
        </w:rPr>
        <w:t>- as well as CH</w:t>
      </w:r>
      <w:r w:rsidRPr="008E67A5">
        <w:rPr>
          <w:rFonts w:ascii="Times New Roman" w:hAnsi="Times New Roman"/>
          <w:sz w:val="20"/>
          <w:szCs w:val="20"/>
          <w:vertAlign w:val="subscript"/>
          <w:lang w:eastAsia="en-MY"/>
        </w:rPr>
        <w:t xml:space="preserve">3 </w:t>
      </w:r>
      <w:r w:rsidRPr="008E67A5">
        <w:rPr>
          <w:rFonts w:ascii="Times New Roman" w:hAnsi="Times New Roman"/>
          <w:sz w:val="20"/>
          <w:szCs w:val="20"/>
          <w:lang w:eastAsia="en-MY"/>
        </w:rPr>
        <w:t>vibrations. Additionally, the small peak, which appears at 1663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is due to the C=C stretching while another two sharp peaks at 1446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and 1376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correspond to the –CH</w:t>
      </w:r>
      <w:r w:rsidRPr="008E67A5">
        <w:rPr>
          <w:rFonts w:ascii="Times New Roman" w:hAnsi="Times New Roman"/>
          <w:sz w:val="20"/>
          <w:szCs w:val="20"/>
          <w:vertAlign w:val="subscript"/>
          <w:lang w:eastAsia="en-MY"/>
        </w:rPr>
        <w:t>2</w:t>
      </w:r>
      <w:r w:rsidRPr="008E67A5">
        <w:rPr>
          <w:rFonts w:ascii="Times New Roman" w:hAnsi="Times New Roman"/>
          <w:sz w:val="20"/>
          <w:szCs w:val="20"/>
          <w:lang w:eastAsia="en-MY"/>
        </w:rPr>
        <w:t xml:space="preserve"> and CH</w:t>
      </w:r>
      <w:r w:rsidRPr="008E67A5">
        <w:rPr>
          <w:rFonts w:ascii="Times New Roman" w:hAnsi="Times New Roman"/>
          <w:sz w:val="20"/>
          <w:szCs w:val="20"/>
          <w:vertAlign w:val="subscript"/>
          <w:lang w:eastAsia="en-MY"/>
        </w:rPr>
        <w:t>3</w:t>
      </w:r>
      <w:r w:rsidRPr="008E67A5">
        <w:rPr>
          <w:rFonts w:ascii="Times New Roman" w:hAnsi="Times New Roman"/>
          <w:sz w:val="20"/>
          <w:szCs w:val="20"/>
          <w:lang w:eastAsia="en-MY"/>
        </w:rPr>
        <w:t xml:space="preserve"> bending of NR. On the other hand, another significant peak at 836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represents =CH out of plane bending. The IR spectrum of NR exhibits similar features to those reported in previous works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{"citationItems":[{"id":"ITEM-1","itemData":{"DOI":"10.1016/j.polymertesting.2015.02.011","ISSN":"01429418","abstract":"A large panel of Natural Rubber (NR) samples was characterized using Fourier Transform Infrared (FT-IR) spectroscopy in Attenuated Total Reflection (ATR) configuration. Specific vibrational bands were attributed to some non-isoprene compounds naturally present in NR composition. A rapid and non-destructive method was developed to investigate some specific functional groups contained in lipids (ester and carboxyl groups) and proteins (amides). Ester and carboxyl groups were quantified using calibration curves developed from synthetic cis-1,4-polyisoprene mixtures with either methyl stearate or stearic acid. Amide groups of proteins and peptides were found to be directly quantifiable from NR FT-IR spectra. The clonal origin and processing were found to influence the non-isoprene composition of NR. Significant correlations were found between FT-IR results and conventional chemical analyses: nitrogen content for proteins and total lipid extract.","author":[{"dropping-particle":"","family":"Rolere","given":"Sébastien","non-dropping-particle":"","parse-names":false,"suffix":""},{"dropping-particle":"","family":"Liengprayoon","given":"Siriluck","non-dropping-particle":"","parse-names":false,"suffix":""},{"dropping-particle":"","family":"Vaysse","given":"Laurent","non-dropping-particle":"","parse-names":false,"suffix":""},{"dropping-particle":"","family":"Sainte-Beuve","given":"Jérôme","non-dropping-particle":"","parse-names":false,"suffix":""},{"dropping-particle":"","family":"Bonfils","given":"Frédéric","non-dropping-particle":"","parse-names":false,"suffix":""}],"container-title":"Polymer Testing","id":"ITEM-1","issued":{"date-parts":[["2015"]]},"page":"83-93","title":"Investigating natural rubber composition with Fourier Transform Infrared (FT-IR) spectroscopy: A rapid and non-destructive method to determine both protein and lipid contents simultaneously","type":"article-journal","volume":"43"},"uris":["http://www.mendeley.com/documents/?uuid=6447b0ec-493b-4a63-8318-88a6c6656147"]},{"id":"ITEM-2","itemData":{"DOI":"10.1002/aenm.201200304","ISBN":"0967-3911","ISSN":"16146832","PMID":"871301","abstract":"Direct incorporation of nano reinforcement ﬁllers has been a challenge for composite design because of strong aggregation. In this article, a stabilizer-free method is developed to prepare new graphene/natural rubber latex (NRL) composite as the stabilizer ammonium was diffused completely in the ﬁnal heat vulcanization. The as-prepared composite was investigated by scanning electron microscopy, static mechanical analysis, dynamic thermal mechanical analysis, swelling analysis, and positron annihilation analysis. The results demonstrated that because of good dispersion and special two-dimensional structure of the graphene, there is strong interfacial interaction originated from the p–p interactions and hydrogen bonds between graphene and NRL matrix even at a low loading. After the introduction of graphene, the glass transition temperature (Tg) and the crosslink density are improved to 68C and 7%, respectively, with a slight decrease in overall free-volume number (3.5%) and fraction (1%). It is also surprising to notice that the tensile strength of NRL is improved to 8% without compromising the elongation at break, which actually increases 3%. Therefore, ammonium-assisted dispersion of graphene is feasible for graphene/NRL fabrication.","author":[{"dropping-particle":"","family":"Li","given":"Chengpeng","non-dropping-particle":"","parse-names":false,"suffix":""},{"dropping-particle":"","family":"Feng","given":"Chunfang","non-dropping-particle":"","parse-names":false,"suffix":""},{"dropping-particle":"","family":"Peng","given":"Zheng","non-dropping-particle":"","parse-names":false,"suffix":""},{"dropping-particle":"","family":"Gong","given":"Wei","non-dropping-particle":"","parse-names":false,"suffix":""},{"dropping-particle":"","family":"Kong","given":"Lingxue","non-dropping-particle":"","parse-names":false,"suffix":""}],"container-title":"Polymer Composite","id":"ITEM-2","issue":"1","issued":{"date-parts":[["2013","12","20"]]},"page":"88-95","title":"Ammonium-Assisted Green Fabrication of Graphene/ Natural Rubber Latex Composite","type":"article-journal","volume":"34"},"uris":["http://www.mendeley.com/documents/?uuid=d42a5aa8-c679-46ee-9ea6-d70e866496d2"]}],"mendeley":{"formattedCitation":"[19, 20]","plainTextFormattedCitation":"[19, 20]","previouslyFormattedCitation":"&lt;sup&gt;19,20&lt;/sup&gt;"},"properties":{"noteIndex":0},"schema":"https://github.com/citation-style-language/schema/raw/master/csl-citation.json"}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bCs/>
          <w:noProof/>
          <w:sz w:val="20"/>
          <w:szCs w:val="20"/>
          <w:lang w:eastAsia="en-MY"/>
        </w:rPr>
        <w:t>[19, 20]</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w:t>
      </w:r>
    </w:p>
    <w:p w14:paraId="39F84E7B" w14:textId="77777777" w:rsidR="00782C8C" w:rsidRPr="008E67A5" w:rsidRDefault="00782C8C" w:rsidP="00782C8C">
      <w:pPr>
        <w:spacing w:after="0"/>
        <w:jc w:val="both"/>
        <w:rPr>
          <w:rFonts w:ascii="Times New Roman" w:hAnsi="Times New Roman"/>
          <w:b/>
          <w:sz w:val="20"/>
          <w:szCs w:val="20"/>
          <w:lang w:eastAsia="en-MY"/>
        </w:rPr>
      </w:pPr>
    </w:p>
    <w:p w14:paraId="05E79CCE" w14:textId="77777777" w:rsidR="00782C8C" w:rsidRPr="008E67A5" w:rsidRDefault="00782C8C" w:rsidP="00782C8C">
      <w:pPr>
        <w:spacing w:after="0"/>
        <w:jc w:val="both"/>
        <w:rPr>
          <w:rFonts w:ascii="Times New Roman" w:hAnsi="Times New Roman"/>
          <w:sz w:val="20"/>
          <w:szCs w:val="20"/>
          <w:lang w:eastAsia="en-MY"/>
        </w:rPr>
      </w:pPr>
      <w:r w:rsidRPr="008E67A5">
        <w:rPr>
          <w:rFonts w:ascii="Times New Roman" w:hAnsi="Times New Roman"/>
          <w:sz w:val="20"/>
          <w:szCs w:val="20"/>
          <w:lang w:eastAsia="en-MY"/>
        </w:rPr>
        <w:t>The comparison of the spectra of NR/PHB blends with that of the pristine PHB and NR, confirms that peaks for both NR and PHB were present in the blends. This is presented in Figure 1(c). As an example, the main peaks attributed to PHB are observed at 1720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1455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1379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2975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and 2937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respectively. Meanwhile, the peaks for NR are seen at 2853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as well as at 836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with no appearance of the C=C peak signal at 1663 cm</w:t>
      </w:r>
      <w:r w:rsidRPr="008E67A5">
        <w:rPr>
          <w:rFonts w:ascii="Times New Roman" w:hAnsi="Times New Roman"/>
          <w:sz w:val="20"/>
          <w:szCs w:val="20"/>
          <w:vertAlign w:val="superscript"/>
          <w:lang w:eastAsia="en-MY"/>
        </w:rPr>
        <w:t>-1</w:t>
      </w:r>
      <w:r w:rsidRPr="008E67A5">
        <w:rPr>
          <w:rFonts w:ascii="Times New Roman" w:hAnsi="Times New Roman"/>
          <w:sz w:val="20"/>
          <w:szCs w:val="20"/>
          <w:lang w:eastAsia="en-MY"/>
        </w:rPr>
        <w:t xml:space="preserve">. This may be because the C=C peak overlaps with the C=O peak of PHB. In addition, as can be seen in Figure 1(c), the PHB peaks are more prominent compared to NR due to the PHB rich phase in the blends. No significant peak shifts and additional peaks are seen, suggesting that no interaction between NR and PHB occurred. </w:t>
      </w:r>
    </w:p>
    <w:p w14:paraId="086DA179" w14:textId="7278DB69" w:rsidR="004846C8" w:rsidRDefault="004846C8" w:rsidP="00782C8C">
      <w:pPr>
        <w:spacing w:after="0"/>
        <w:jc w:val="both"/>
        <w:rPr>
          <w:rFonts w:ascii="Times New Roman" w:hAnsi="Times New Roman"/>
          <w:b/>
          <w:sz w:val="20"/>
          <w:szCs w:val="20"/>
          <w:lang w:eastAsia="en-MY"/>
        </w:rPr>
      </w:pPr>
    </w:p>
    <w:p w14:paraId="0BC70826" w14:textId="77777777" w:rsidR="004846C8" w:rsidRPr="008E67A5" w:rsidRDefault="004846C8" w:rsidP="004846C8">
      <w:pPr>
        <w:spacing w:after="0"/>
        <w:jc w:val="both"/>
        <w:rPr>
          <w:rFonts w:ascii="Times New Roman" w:eastAsia="Calibri" w:hAnsi="Times New Roman"/>
          <w:b/>
          <w:bCs/>
          <w:sz w:val="20"/>
          <w:szCs w:val="20"/>
          <w:lang w:eastAsia="en-MY"/>
        </w:rPr>
      </w:pPr>
      <w:r w:rsidRPr="008E67A5">
        <w:rPr>
          <w:rFonts w:ascii="Times New Roman" w:eastAsia="Calibri" w:hAnsi="Times New Roman"/>
          <w:b/>
          <w:bCs/>
          <w:sz w:val="20"/>
          <w:szCs w:val="20"/>
          <w:lang w:eastAsia="en-MY"/>
        </w:rPr>
        <w:t>X-ray diffraction analysis</w:t>
      </w:r>
    </w:p>
    <w:p w14:paraId="6D90470F" w14:textId="77777777" w:rsidR="004846C8" w:rsidRPr="008E67A5" w:rsidRDefault="004846C8" w:rsidP="004846C8">
      <w:pPr>
        <w:spacing w:after="0"/>
        <w:jc w:val="both"/>
        <w:rPr>
          <w:rFonts w:ascii="Times New Roman" w:eastAsia="Calibri" w:hAnsi="Times New Roman"/>
          <w:sz w:val="20"/>
          <w:szCs w:val="20"/>
          <w:lang w:eastAsia="en-MY"/>
        </w:rPr>
      </w:pPr>
      <w:r w:rsidRPr="008E67A5">
        <w:rPr>
          <w:rFonts w:ascii="Times New Roman" w:eastAsia="Calibri" w:hAnsi="Times New Roman"/>
          <w:sz w:val="20"/>
          <w:szCs w:val="20"/>
          <w:lang w:eastAsia="en-MY"/>
        </w:rPr>
        <w:t>The prepared samples were further characterized by the X-ray diffraction technique. As illustrated in Figure 2(a), the pristine PHB exhibits six prominent peaks at 2θ values of 13.6</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17.3</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22.5</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26.8</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29.8</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and 45.1</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xml:space="preserve">. These peaks are indexed to the respective (0 2 0), (1 1 0), (1 0 1), (1 1 1), (1 2 1), (0 0 2), and (2 2 2) planes signifying a face centred cubic (fcc) phase of an orthorhombic unit cell. This is in agreement with previous studies that show PHB commonly crystallizes in an orthorhombic lattice structure </w:t>
      </w:r>
      <w:r w:rsidRPr="008E67A5">
        <w:rPr>
          <w:rStyle w:val="FootnoteReference"/>
          <w:rFonts w:ascii="Times New Roman" w:eastAsia="Calibri" w:hAnsi="Times New Roman"/>
          <w:sz w:val="20"/>
          <w:szCs w:val="20"/>
          <w:lang w:eastAsia="en-MY"/>
        </w:rPr>
        <w:fldChar w:fldCharType="begin" w:fldLock="1"/>
      </w:r>
      <w:r w:rsidRPr="008E67A5">
        <w:rPr>
          <w:rFonts w:ascii="Times New Roman" w:eastAsia="Calibri" w:hAnsi="Times New Roman"/>
          <w:sz w:val="20"/>
          <w:szCs w:val="20"/>
          <w:lang w:eastAsia="en-MY"/>
        </w:rPr>
        <w:instrText>ADDIN CSL_CITATION {"citationItems":[{"id":"ITEM-1","itemData":{"ISSN":"09266690","abstract":"Electrospun biobased and biodegradable nanocomposites for sustainable flexible films were developed. Poly(lactic acid) (PLA) was blended with 25 wt% of poly(hydroxybutyrate) (PHB) to produce bead-less fibers and plasticized with 15 wt% of acetyl(tributyl citrate) (ATBC) to obtain flexible materials. The system was further loaded with cellulose nanocrystals (CNC) in 1 wt% and 5 wt% to obtain bionanocomposites with improved thermal and mechanical resistance. The morphological, structural, thermal and mechanical performance of electrospun bionanocomposites was investigated. The effect of ATBC was characterized by a decrease of the glass transition temperature and an increase in the elongation at break. Meanwhile, CNC improved the thermal and mechanical resistance of mats. Thus, good performance for the intended use was achieved for the bionanocomposite loaded with 1 wt% of CNC (PLA–PHB–ATBC–CNC1), which also showed appropriate surface water resistance. All electrospun bionanocomposites were fully disintegrated under composting conditions showing their possible applications as compostable flexible film materials.","author":[{"dropping-particle":"","family":"Arrieta","given":"M. P.","non-dropping-particle":"","parse-names":false,"suffix":""},{"dropping-particle":"","family":"López","given":"J.","non-dropping-particle":"","parse-names":false,"suffix":""},{"dropping-particle":"","family":"López","given":"D.","non-dropping-particle":"","parse-names":false,"suffix":""},{"dropping-particle":"","family":"Kenny","given":"J. M.","non-dropping-particle":"","parse-names":false,"suffix":""},{"dropping-particle":"","family":"Peponi","given":"L.","non-dropping-particle":"","parse-names":false,"suffix":""}],"container-title":"Industrial Crops and Products","id":"ITEM-1","issued":{"date-parts":[["2016"]]},"page":"290-301","title":"Biodegradable electrospun bionanocomposite fibers based on plasticized PLA–PHB blends reinforced with cellulose nanocrystals","type":"article-journal","volume":"93"},"uris":["http://www.mendeley.com/documents/?uuid=8c782857-6af6-3ea0-8e69-bb0ad11800c3"]},{"id":"ITEM-2","itemData":{"DOI":"10.1016/j.polymdegradstab.2012.05.036","ISSN":"01413910","abstract":"A blend of poly(lactic acid) (PLA) (75% by weight) and poly(3- hydroxybutyrate) (PHB) (25% by weight) with a polyester plasticizer (Lapol 108) at two different concentrations (5 and 7% by weight per 100 parts of the blends) were investigated by TGA, DSC, XRD, SEM, mechanical testing and biodegradation studies. PLA/PHB blends showed a good distribution of the major components and absence of phase separation. XRD showed that the original crystal structure of PHB in the PLA75/PHB25 blend had been disturbed. DSC curves of PLA or PHB with plasticizer exhibited one T g value, indicating that both major blend components are miscible. The T g values also decreased with increased amount of plasticizer and showed good correlation to the Fox Equation, The melting temperature of PLA and PHB blends mostly did not change with an increase in plasticizer content, and the thermal stability of PLA and PHB was not affected. Also, the elongation at break of the PLA/PHB blend was greatly improved with the addition of plasticizer. In addition, in preliminary biodegradation studies carried in natural compost neat PHB showed some biodegradation, whereas the samples containing PLA did not experience a substantial biodegradation. This last aspect is worthy of further investigation in a more comprehensive and detailed approach. © 2012 Elsevier Ltd. All rights reserved.","author":[{"dropping-particle":"","family":"Abdelwahab","given":"Mohamed A.","non-dropping-particle":"","parse-names":false,"suffix":""},{"dropping-particle":"","family":"Flynn","given":"Allison","non-dropping-particle":"","parse-names":false,"suffix":""},{"dropping-particle":"Sen","family":"Chiou","given":"Bor","non-dropping-particle":"","parse-names":false,"suffix":""},{"dropping-particle":"","family":"Imam","given":"Syed","non-dropping-particle":"","parse-names":false,"suffix":""},{"dropping-particle":"","family":"Orts","given":"William","non-dropping-particle":"","parse-names":false,"suffix":""},{"dropping-particle":"","family":"Chiellini","given":"Emo","non-dropping-particle":"","parse-names":false,"suffix":""}],"container-title":"Polymer Degradation and Stability","id":"ITEM-2","issue":"9","issued":{"date-parts":[["2012"]]},"page":"1822-1828","publisher":"Elsevier Ltd","title":"Thermal, mechanical and morphological characterization of plasticized PLA-PHB blends","type":"article-journal","volume":"97"},"uris":["http://www.mendeley.com/documents/?uuid=76cd1914-8d25-41f5-94d8-2df3180489c0"]},{"id":"ITEM-3","itemData":{"ISSN":"09284931","abstract":"Poly(hydroxybutyrate) (PHB)/cellulose acetate (CA) blend nanofiber scaffolds were fabricated by electrospinning using the blends of chloroform and DMF as solvent. The blend nanofiber scaffolds were characterized by SEM, FTIR, XRD, DSC, contact angle and tensile test. The blend nanofibers exhibited cylindrical, uniform, bead-free and random orientation with the diameter ranged from 80-680 nm. The scaffolds had very well interconnected porous fibrous network structure and large aspect surface areas. It was found that the presence of CA affected the crystallization of PHB due to formation of intermolecular hydrogen bonds, which restricted the preferential orientation of PHB molecules. The DSC result showed that the PHB and CA were miscible in the blend nanofiber. An increase in the glass transition temperature was observed with increasing CA content. Additionally, the mechanical properties of blend nanofiber scaffolds were largely influenced by the weight ratio of PHB/CA. The tensile strength, yield strength and elongation at break of the blend nanofiber scaffolds increased from 3.3 ± 0.35 MPa, 2.8 ± 0.26 MPa, and 8 ± 0.77% to 5.05 ± 0.52 MPa, 4.6 ± 0.82 MPa, and 17.6 ± 1.24% by increasing PHB content from 60% to 90%, respectively. The water contact angle of blend nanofiber scaffolds decreased about 50% from 112 ± 2.1° to 60 ± 0.75°. The biodegradability was evaluated by in vitro degradation test and the results revealed that the blend nanofiber scaffolds showed much higher degradation rates than the neat PHB. The cytocompatibility of the blend nanofiber scaffolds was preliminarily evaluated by cell adhesion studies. The cells incubated with PHB/CA blend nanofiber scaffold for 48 h were capable of forming cell adhesion and proliferation. It showed much better biocompatibility than pure PHB film. Thus, the prepared PHB/CA blend nanofiber scaffolds are bioactive and may be more suitable for cell proliferation suggesting that these scaffolds can be used for wound dressing or tissue-engineering scaffolds.","author":[{"dropping-particle":"","family":"Zhijiang","given":"Cai","non-dropping-particle":"","parse-names":false,"suffix":""},{"dropping-particle":"","family":"Yi","given":"Xu","non-dropping-particle":"","parse-names":false,"suffix":""},{"dropping-particle":"","family":"Haizheng","given":"Yang","non-dropping-particle":"","parse-names":false,"suffix":""},{"dropping-particle":"","family":"Jia","given":"Jianru","non-dropping-particle":"","parse-names":false,"suffix":""},{"dropping-particle":"","family":"Liu","given":"Yuanpei","non-dropping-particle":"","parse-names":false,"suffix":""}],"container-title":"Materials Science and Engineering C","id":"ITEM-3","issued":{"date-parts":[["2016"]]},"page":"757-767","title":"Poly(hydroxybutyrate)/cellulose acetate blend nanofiber scaffolds: Preparation, characterization and cytocompatibility","type":"article-journal","volume":"58"},"uris":["http://www.mendeley.com/documents/?uuid=556fda88-d3b7-3115-9bbb-78e518a2c032"]}],"mendeley":{"formattedCitation":"[7, 18, 21]","plainTextFormattedCitation":"[7, 18, 21]","previouslyFormattedCitation":"&lt;sup&gt;7,18,21&lt;/sup&gt;"},"properties":{"noteIndex":0},"schema":"https://github.com/citation-style-language/schema/raw/master/csl-citation.json"}</w:instrText>
      </w:r>
      <w:r w:rsidRPr="008E67A5">
        <w:rPr>
          <w:rStyle w:val="FootnoteReference"/>
          <w:rFonts w:ascii="Times New Roman" w:eastAsia="Calibri" w:hAnsi="Times New Roman"/>
          <w:sz w:val="20"/>
          <w:szCs w:val="20"/>
          <w:lang w:eastAsia="en-MY"/>
        </w:rPr>
        <w:fldChar w:fldCharType="separate"/>
      </w:r>
      <w:r w:rsidRPr="008E67A5">
        <w:rPr>
          <w:rFonts w:ascii="Times New Roman" w:eastAsia="Calibri" w:hAnsi="Times New Roman"/>
          <w:noProof/>
          <w:sz w:val="20"/>
          <w:szCs w:val="20"/>
          <w:lang w:eastAsia="en-MY"/>
        </w:rPr>
        <w:t>[7, 18, 21]</w:t>
      </w:r>
      <w:r w:rsidRPr="008E67A5">
        <w:rPr>
          <w:rStyle w:val="FootnoteReference"/>
          <w:rFonts w:ascii="Times New Roman" w:eastAsia="Calibri" w:hAnsi="Times New Roman"/>
          <w:sz w:val="20"/>
          <w:szCs w:val="20"/>
          <w:lang w:eastAsia="en-MY"/>
        </w:rPr>
        <w:fldChar w:fldCharType="end"/>
      </w:r>
      <w:r w:rsidRPr="008E67A5">
        <w:rPr>
          <w:rFonts w:ascii="Times New Roman" w:eastAsia="Calibri" w:hAnsi="Times New Roman"/>
          <w:sz w:val="20"/>
          <w:szCs w:val="20"/>
          <w:lang w:eastAsia="en-MY"/>
        </w:rPr>
        <w:t>. On the other hand, NR displays a broad hump in the 2θ range of 10.0</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xml:space="preserve"> to 30.0</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xml:space="preserve"> characteristic of an amorphous polymer. A similar observation has been reported in other studies </w:t>
      </w:r>
      <w:r w:rsidRPr="008E67A5">
        <w:rPr>
          <w:rStyle w:val="FootnoteReference"/>
          <w:rFonts w:ascii="Times New Roman" w:eastAsia="Calibri" w:hAnsi="Times New Roman"/>
          <w:sz w:val="20"/>
          <w:szCs w:val="20"/>
          <w:lang w:eastAsia="en-MY"/>
        </w:rPr>
        <w:fldChar w:fldCharType="begin" w:fldLock="1"/>
      </w:r>
      <w:r w:rsidRPr="008E67A5">
        <w:rPr>
          <w:rFonts w:ascii="Times New Roman" w:eastAsia="Calibri" w:hAnsi="Times New Roman"/>
          <w:sz w:val="20"/>
          <w:szCs w:val="20"/>
          <w:lang w:eastAsia="en-MY"/>
        </w:rPr>
        <w:instrText>ADDIN CSL_CITATION {"citationItems":[{"id":"ITEM-1","itemData":{"DOI":"10.1016/j.polymdegradstab.2012.07.028","ISSN":"01413910","abstract":"The biodegradation of the composites of natural rubber (NR) reinforced with nanocellulose was studied by vermicomposting method with reference to the crosslinking of the matrix. An epigeic vermicompost worm Eudrilus eugeniae was used for this purpose. Nanocellulose isolated from raw jute fibre by steam explosion is the reinforcing element for the composite. Morphological, X-ray diffraction (XRD) and tensile strength results indicate that a strong cellulose/NR interaction exist in the cross linked samples. The rate of biodegradation of the NR composites indicates that the cellulose has to be hydrolysed before microorganisms can utilise it as a nutrient source. The weight percentage of reinforced nanocellulose highly influences the rate of biodegradation of the composite. The rate of biodegradation by vermicomposting was found to be comparatively higher in non-cross linked composites than its cross linked counterparts. The effectiveness of Eudrilus eugeniae for the biodegradation of NR/cellulose composites either it is cross linked or non-cross linked is clearly depicted. © 2012 Elsevier Ltd. All rights reserved.","author":[{"dropping-particle":"","family":"Abraham","given":"Eldho","non-dropping-particle":"","parse-names":false,"suffix":""},{"dropping-particle":"","family":"Elbi","given":"P. A.","non-dropping-particle":"","parse-names":false,"suffix":""},{"dropping-particle":"","family":"Deepa","given":"B.","non-dropping-particle":"","parse-names":false,"suffix":""},{"dropping-particle":"","family":"Jyotishkumar","given":"P.","non-dropping-particle":"","parse-names":false,"suffix":""},{"dropping-particle":"","family":"Pothen","given":"L. A.","non-dropping-particle":"","parse-names":false,"suffix":""},{"dropping-particle":"","family":"Narine","given":"S. S.","non-dropping-particle":"","parse-names":false,"suffix":""},{"dropping-particle":"","family":"Thomas","given":"S.","non-dropping-particle":"","parse-names":false,"suffix":""}],"container-title":"Polymer Degradation and Stability","id":"ITEM-1","issue":"11","issued":{"date-parts":[["2012"]]},"page":"2378-2387","publisher":"Elsevier Ltd","title":"X-ray diffraction and biodegradation analysis of green composites of natural rubber/nanocellulose","type":"article-journal","volume":"97"},"uris":["http://www.mendeley.com/documents/?uuid=f2add1a9-a3db-4445-8c86-567dd44e1af7"]},{"id":"ITEM-2","itemData":{"DOI":"10.1016/j.polymer.2016.11.059","ISSN":"00323861","abstract":"In this study, copper nanoparticles (CNPs) were applied to obtain optimized mechanical and electrical properties of copper nanoparticles/natural rubber composites cured through sulfur vulcanization. Moreover, the effect of both conventional and efficient curing systems, in presence of copper nanoparticles or without CNPs, on these mentioned properties was also compared. For this purpose, compounds including different contents of copper nanoparticles were prepared under the same processing condition considered for each sample preparation. The samples were cured by means of compression molding at constant temperature/pressure and specific time duration. The efficient cured samples containing 0.074 vol% of CNPs possessed the highest electrical conductivity (</w:instrText>
      </w:r>
      <w:r w:rsidRPr="008E67A5">
        <w:rPr>
          <w:rFonts w:ascii="Cambria Math" w:eastAsia="Calibri" w:hAnsi="Cambria Math" w:cs="Cambria Math"/>
          <w:sz w:val="20"/>
          <w:szCs w:val="20"/>
          <w:lang w:eastAsia="en-MY"/>
        </w:rPr>
        <w:instrText>∼</w:instrText>
      </w:r>
      <w:r w:rsidRPr="008E67A5">
        <w:rPr>
          <w:rFonts w:ascii="Times New Roman" w:eastAsia="Calibri" w:hAnsi="Times New Roman"/>
          <w:sz w:val="20"/>
          <w:szCs w:val="20"/>
          <w:lang w:eastAsia="en-MY"/>
        </w:rPr>
        <w:instrText>0.014 S m−1) at a percolation threshold and showed tensile strength around 12.79 MPa among different samples. SEM and TEM data revealed that homogenous dispersion and distribution were attained for the efficient cured samples reinforced with a considerably low amount of CNPs.","author":[{"dropping-particle":"","family":"Pazhooh","given":"Hadi Najafi","non-dropping-particle":"","parse-names":false,"suffix":""},{"dropping-particle":"","family":"Bagheri","given":"Rouhollah","non-dropping-particle":"","parse-names":false,"suffix":""},{"dropping-particle":"","family":"Adloo","given":"Ali","non-dropping-particle":"","parse-names":false,"suffix":""}],"container-title":"Polymer","id":"ITEM-2","issued":{"date-parts":[["2017"]]},"page":"135-145","publisher":"Elsevier Ltd","title":"Fabrication of semi-conductive natural rubber nanocomposites with low copper nanoparticle contents","type":"article-journal","volume":"108"},"uris":["http://www.mendeley.com/documents/?uuid=874fd1e3-9d64-4311-91fe-420755d5d07c"]}],"mendeley":{"formattedCitation":"[22, 23]","plainTextFormattedCitation":"[22, 23]","previouslyFormattedCitation":"&lt;sup&gt;22,23&lt;/sup&gt;"},"properties":{"noteIndex":0},"schema":"https://github.com/citation-style-language/schema/raw/master/csl-citation.json"}</w:instrText>
      </w:r>
      <w:r w:rsidRPr="008E67A5">
        <w:rPr>
          <w:rStyle w:val="FootnoteReference"/>
          <w:rFonts w:ascii="Times New Roman" w:eastAsia="Calibri" w:hAnsi="Times New Roman"/>
          <w:sz w:val="20"/>
          <w:szCs w:val="20"/>
          <w:lang w:eastAsia="en-MY"/>
        </w:rPr>
        <w:fldChar w:fldCharType="separate"/>
      </w:r>
      <w:r w:rsidRPr="008E67A5">
        <w:rPr>
          <w:rFonts w:ascii="Times New Roman" w:eastAsia="Calibri" w:hAnsi="Times New Roman"/>
          <w:bCs/>
          <w:noProof/>
          <w:sz w:val="20"/>
          <w:szCs w:val="20"/>
          <w:lang w:eastAsia="en-MY"/>
        </w:rPr>
        <w:t>[22, 23]</w:t>
      </w:r>
      <w:r w:rsidRPr="008E67A5">
        <w:rPr>
          <w:rStyle w:val="FootnoteReference"/>
          <w:rFonts w:ascii="Times New Roman" w:eastAsia="Calibri" w:hAnsi="Times New Roman"/>
          <w:sz w:val="20"/>
          <w:szCs w:val="20"/>
          <w:lang w:eastAsia="en-MY"/>
        </w:rPr>
        <w:fldChar w:fldCharType="end"/>
      </w:r>
      <w:r w:rsidRPr="008E67A5">
        <w:rPr>
          <w:rFonts w:ascii="Times New Roman" w:eastAsia="Calibri" w:hAnsi="Times New Roman"/>
          <w:sz w:val="20"/>
          <w:szCs w:val="20"/>
          <w:lang w:eastAsia="en-MY"/>
        </w:rPr>
        <w:t>.</w:t>
      </w:r>
    </w:p>
    <w:p w14:paraId="5302FF90" w14:textId="77777777" w:rsidR="004846C8" w:rsidRPr="008E67A5" w:rsidRDefault="004846C8" w:rsidP="004846C8">
      <w:pPr>
        <w:spacing w:after="0"/>
        <w:jc w:val="both"/>
        <w:rPr>
          <w:rFonts w:ascii="Times New Roman" w:eastAsia="Calibri" w:hAnsi="Times New Roman"/>
          <w:sz w:val="20"/>
          <w:szCs w:val="20"/>
          <w:lang w:eastAsia="en-MY"/>
        </w:rPr>
      </w:pPr>
    </w:p>
    <w:p w14:paraId="41FE5DA4" w14:textId="77777777" w:rsidR="004846C8" w:rsidRDefault="004846C8" w:rsidP="00782C8C">
      <w:pPr>
        <w:spacing w:after="0"/>
        <w:jc w:val="both"/>
        <w:rPr>
          <w:rFonts w:ascii="Times New Roman" w:eastAsia="Calibri" w:hAnsi="Times New Roman"/>
          <w:sz w:val="20"/>
          <w:szCs w:val="20"/>
          <w:lang w:eastAsia="en-MY"/>
        </w:rPr>
      </w:pPr>
      <w:r w:rsidRPr="008E67A5">
        <w:rPr>
          <w:rFonts w:ascii="Times New Roman" w:hAnsi="Times New Roman"/>
          <w:sz w:val="20"/>
          <w:szCs w:val="20"/>
          <w:lang w:eastAsia="en-MY"/>
        </w:rPr>
        <w:t xml:space="preserve">For crystalline/amorphous polymer blends, the crystalline behaviour of the crystalline component can be influenced greatly and even prohibited when the content of the amorphous component is increased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{"citationItems":[{"id":"ITEM-1","itemData":{"DOI":"10.1039/c5cp06076a","ISSN":"14639076","abstract":"The miscibility of poly(propylene carbonate) (PPC) and poly(3-hydroxybutyrate) (PHB) blends was analyzed by differential scanning calorimetry (DSC) and polarized optical microscopy (POM). The results indicated that the blends are immiscible at most blending compositions, and a miscible blend can be obtained when the PHB content is as low as 10 wt%. The morphology of the PPC/PHB (70/30) blend film was characterized by POM, scanning electron micrography (SEM) and Fourier transform infrared spectroscopy (FTIR), and the development of a PPC-top and microporous PHB-bottom bilayer structure can be revealed. Different from the normal case, phase separation can take place on the normal direction of the film surface in the PPC/PHB (70/30) blend at 190°C, attributed to the different surface energies of the two components. The continuous segregation of PPC to the top-layer can result in the crystallization of PHB at the bottom layer and conversely promote the complete development of a bilayer structure. Since the isotropic PPC layer is transparent with no birefringence, the PHB spherulite with a microporous structure at the bottom layer can be observed directly by POM. Moreover, the microporous structure of the bottom layer should be attributed to the solution cast procedure. Thus, some unique crystalline patterns may be created in the demixed crystalline/amorphous polymer blends, which differ greatly from those obtained from the miscible blend systems.","author":[{"dropping-particle":"","family":"Zhang","given":"Shujing","non-dropping-particle":"","parse-names":false,"suffix":""},{"dropping-particle":"","family":"Sun","given":"Xiaoli","non-dropping-particle":"","parse-names":false,"suffix":""},{"dropping-particle":"","family":"Ren","given":"Zhongjie","non-dropping-particle":"","parse-names":false,"suffix":""},{"dropping-particle":"","family":"Li","given":"Huihui","non-dropping-particle":"","parse-names":false,"suffix":""},{"dropping-particle":"","family":"Yan","given":"Shouke","non-dropping-particle":"","parse-names":false,"suffix":""}],"container-title":"Physical Chemistry Chemical Physics","id":"ITEM-1","issue":"48","issued":{"date-parts":[["2015"]]},"page":"32225-32231","publisher":"Royal Society of Chemistry","title":"The development of a bilayer structure of poly(propylene carbonate)/poly(3-hydroxybutyrate) blends from the demixed melt","type":"article-journal","volume":"17"},"uris":["http://www.mendeley.com/documents/?uuid=fb55a4fb-9c9e-4a90-9898-76a6f559f3df"]}],"mendeley":{"formattedCitation":"[24]","plainTextFormattedCitation":"[24]","previouslyFormattedCitation":"&lt;sup&gt;24&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bCs/>
          <w:noProof/>
          <w:sz w:val="20"/>
          <w:szCs w:val="20"/>
          <w:lang w:eastAsia="en-MY"/>
        </w:rPr>
        <w:t>[24]</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w:t>
      </w:r>
      <w:r w:rsidRPr="008E67A5">
        <w:rPr>
          <w:rStyle w:val="FootnoteReference"/>
          <w:rFonts w:ascii="Times New Roman" w:hAnsi="Times New Roman"/>
          <w:sz w:val="20"/>
          <w:szCs w:val="20"/>
          <w:lang w:eastAsia="en-MY"/>
        </w:rPr>
        <w:t xml:space="preserve"> </w:t>
      </w:r>
      <w:r w:rsidRPr="008E67A5">
        <w:rPr>
          <w:rFonts w:ascii="Times New Roman" w:eastAsia="Calibri" w:hAnsi="Times New Roman"/>
          <w:sz w:val="20"/>
          <w:szCs w:val="20"/>
          <w:lang w:eastAsia="en-MY"/>
        </w:rPr>
        <w:t>The comparison of the neat PHB and NR spectra with the spectra of the NR/PHB blends is shown in Figure 2(b). The results show that all peaks mentioned in NR and PHB are seen in the 80:20, 60:40, 40:60, and 20:80 ratios. In general, NR/PHB blends with ratios 80:20 and 60:40 show a broad pattern, which is similar to NR. Additionally, low intensities of PHB peaks are observed at 13.6</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17.3</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26.8</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and 29.8˚</w:t>
      </w:r>
      <w:r w:rsidRPr="008E67A5">
        <w:rPr>
          <w:rFonts w:ascii="Times New Roman" w:eastAsia="Calibri" w:hAnsi="Times New Roman"/>
          <w:sz w:val="20"/>
          <w:szCs w:val="20"/>
          <w:vertAlign w:val="superscript"/>
          <w:lang w:eastAsia="en-MY"/>
        </w:rPr>
        <w:t xml:space="preserve"> </w:t>
      </w:r>
      <w:r w:rsidRPr="008E67A5">
        <w:rPr>
          <w:rFonts w:ascii="Times New Roman" w:eastAsia="Calibri" w:hAnsi="Times New Roman"/>
          <w:sz w:val="20"/>
          <w:szCs w:val="20"/>
          <w:lang w:eastAsia="en-MY"/>
        </w:rPr>
        <w:t>respectively. This may be attributed to the low amount of PHB in the blends and can be related to the low crystallinity of the samples when compared to the other ratios. The NR/PHB blends with ratios of 40:60 and 20:80, exhibit high intensity diffraction peaks at 2θ of 13.6</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xml:space="preserve"> and 29.5</w:t>
      </w:r>
      <w:r w:rsidRPr="008E67A5">
        <w:rPr>
          <w:rFonts w:ascii="Times New Roman" w:eastAsia="Calibri" w:hAnsi="Times New Roman"/>
          <w:sz w:val="20"/>
          <w:szCs w:val="20"/>
          <w:vertAlign w:val="superscript"/>
          <w:lang w:eastAsia="en-MY"/>
        </w:rPr>
        <w:t>˚</w:t>
      </w:r>
      <w:r w:rsidRPr="008E67A5">
        <w:rPr>
          <w:rFonts w:ascii="Times New Roman" w:eastAsia="Calibri" w:hAnsi="Times New Roman"/>
          <w:sz w:val="20"/>
          <w:szCs w:val="20"/>
          <w:lang w:eastAsia="en-MY"/>
        </w:rPr>
        <w:t>. In addition, the broad peak of NR is reduced. This may indicate that crystallinity of the blends increases when PHB is the major phase and decreases when NR is the major phase.</w:t>
      </w:r>
    </w:p>
    <w:p w14:paraId="01068715" w14:textId="77777777" w:rsidR="004846C8" w:rsidRDefault="004846C8" w:rsidP="004846C8">
      <w:pPr>
        <w:spacing w:after="0"/>
        <w:jc w:val="both"/>
        <w:rPr>
          <w:rFonts w:ascii="Times New Roman" w:hAnsi="Times New Roman"/>
          <w:b/>
          <w:bCs/>
          <w:sz w:val="20"/>
          <w:szCs w:val="20"/>
          <w:lang w:eastAsia="en-MY"/>
        </w:rPr>
      </w:pPr>
    </w:p>
    <w:p w14:paraId="336E81AB" w14:textId="6FA3FBFA" w:rsidR="004846C8" w:rsidRPr="008E67A5" w:rsidRDefault="004846C8" w:rsidP="004846C8">
      <w:pPr>
        <w:spacing w:after="0"/>
        <w:jc w:val="both"/>
        <w:rPr>
          <w:rFonts w:ascii="Times New Roman" w:hAnsi="Times New Roman"/>
          <w:b/>
          <w:bCs/>
          <w:sz w:val="20"/>
          <w:szCs w:val="20"/>
          <w:lang w:eastAsia="en-MY"/>
        </w:rPr>
      </w:pPr>
      <w:r w:rsidRPr="008E67A5">
        <w:rPr>
          <w:rFonts w:ascii="Times New Roman" w:hAnsi="Times New Roman"/>
          <w:b/>
          <w:bCs/>
          <w:sz w:val="20"/>
          <w:szCs w:val="20"/>
          <w:lang w:eastAsia="en-MY"/>
        </w:rPr>
        <w:t>Thermogravimetric analysis</w:t>
      </w:r>
    </w:p>
    <w:p w14:paraId="31714DD2" w14:textId="77777777" w:rsidR="004846C8" w:rsidRDefault="004846C8" w:rsidP="004846C8">
      <w:pPr>
        <w:spacing w:after="0"/>
        <w:jc w:val="both"/>
        <w:rPr>
          <w:rFonts w:ascii="Times New Roman" w:hAnsi="Times New Roman"/>
          <w:sz w:val="20"/>
          <w:szCs w:val="20"/>
          <w:lang w:eastAsia="en-MY"/>
        </w:rPr>
      </w:pPr>
      <w:r w:rsidRPr="008E67A5">
        <w:rPr>
          <w:rFonts w:ascii="Times New Roman" w:hAnsi="Times New Roman"/>
          <w:sz w:val="20"/>
          <w:szCs w:val="20"/>
          <w:lang w:eastAsia="en-MY"/>
        </w:rPr>
        <w:t>The thermal stability of the polymer blends can be evaluated via the TG and DTG profiles. As can be seen in Figures 3(a) and (b), the TG and DTG profiles of pristine PHB, NR and various compositions of NR/PHB blends. The temperatures that correspond to the onset of weight loss (T</w:t>
      </w:r>
      <w:r w:rsidRPr="008E67A5">
        <w:rPr>
          <w:rFonts w:ascii="Times New Roman" w:hAnsi="Times New Roman"/>
          <w:sz w:val="20"/>
          <w:szCs w:val="20"/>
          <w:vertAlign w:val="subscript"/>
          <w:lang w:eastAsia="en-MY"/>
        </w:rPr>
        <w:t>onset</w:t>
      </w:r>
      <w:r w:rsidRPr="008E67A5">
        <w:rPr>
          <w:rFonts w:ascii="Times New Roman" w:hAnsi="Times New Roman"/>
          <w:sz w:val="20"/>
          <w:szCs w:val="20"/>
          <w:lang w:eastAsia="en-MY"/>
        </w:rPr>
        <w:t>) and temperature at maximum degradation rate (T</w:t>
      </w:r>
      <w:r w:rsidRPr="008E67A5">
        <w:rPr>
          <w:rFonts w:ascii="Times New Roman" w:hAnsi="Times New Roman"/>
          <w:sz w:val="20"/>
          <w:szCs w:val="20"/>
          <w:vertAlign w:val="subscript"/>
          <w:lang w:eastAsia="en-MY"/>
        </w:rPr>
        <w:t>max</w:t>
      </w:r>
      <w:r w:rsidRPr="008E67A5">
        <w:rPr>
          <w:rFonts w:ascii="Times New Roman" w:hAnsi="Times New Roman"/>
          <w:sz w:val="20"/>
          <w:szCs w:val="20"/>
          <w:lang w:eastAsia="en-MY"/>
        </w:rPr>
        <w:t xml:space="preserve">) are summarized in Table 2. </w:t>
      </w:r>
    </w:p>
    <w:p w14:paraId="7700FB5C" w14:textId="77777777" w:rsidR="004846C8" w:rsidRDefault="004846C8" w:rsidP="004846C8">
      <w:pPr>
        <w:spacing w:after="0"/>
        <w:jc w:val="both"/>
        <w:rPr>
          <w:rFonts w:ascii="Times New Roman" w:hAnsi="Times New Roman"/>
          <w:sz w:val="20"/>
          <w:szCs w:val="20"/>
          <w:lang w:eastAsia="en-MY"/>
        </w:rPr>
      </w:pPr>
      <w:r w:rsidRPr="008E67A5">
        <w:rPr>
          <w:rFonts w:ascii="Times New Roman" w:hAnsi="Times New Roman"/>
          <w:sz w:val="20"/>
          <w:szCs w:val="20"/>
          <w:lang w:eastAsia="en-MY"/>
        </w:rPr>
        <w:lastRenderedPageBreak/>
        <w:t xml:space="preserve">The PHB indicates a single weight loss in the range of 29 to 911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In addition, pristine PHB was stable up to 271.4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beyond which, it started to decompose and the T</w:t>
      </w:r>
      <w:r w:rsidRPr="008E67A5">
        <w:rPr>
          <w:rFonts w:ascii="Times New Roman" w:hAnsi="Times New Roman"/>
          <w:sz w:val="20"/>
          <w:szCs w:val="20"/>
          <w:vertAlign w:val="subscript"/>
          <w:lang w:eastAsia="en-MY"/>
        </w:rPr>
        <w:t>max</w:t>
      </w:r>
      <w:r w:rsidRPr="008E67A5">
        <w:rPr>
          <w:rFonts w:ascii="Times New Roman" w:hAnsi="Times New Roman"/>
          <w:sz w:val="20"/>
          <w:szCs w:val="20"/>
          <w:lang w:eastAsia="en-MY"/>
        </w:rPr>
        <w:t xml:space="preserve"> of PHB occurred at 285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This is due to the chain scission of PHB. In contrast, NR shows a single step of weight loss with T</w:t>
      </w:r>
      <w:r w:rsidRPr="008E67A5">
        <w:rPr>
          <w:rFonts w:ascii="Times New Roman" w:hAnsi="Times New Roman"/>
          <w:sz w:val="20"/>
          <w:szCs w:val="20"/>
          <w:vertAlign w:val="subscript"/>
          <w:lang w:eastAsia="en-MY"/>
        </w:rPr>
        <w:t>onset</w:t>
      </w:r>
      <w:r w:rsidRPr="008E67A5">
        <w:rPr>
          <w:rFonts w:ascii="Times New Roman" w:hAnsi="Times New Roman"/>
          <w:sz w:val="20"/>
          <w:szCs w:val="20"/>
          <w:lang w:eastAsia="en-MY"/>
        </w:rPr>
        <w:t xml:space="preserve"> at 359.6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and the T</w:t>
      </w:r>
      <w:r w:rsidRPr="008E67A5">
        <w:rPr>
          <w:rFonts w:ascii="Times New Roman" w:hAnsi="Times New Roman"/>
          <w:sz w:val="20"/>
          <w:szCs w:val="20"/>
          <w:vertAlign w:val="subscript"/>
          <w:lang w:eastAsia="en-MY"/>
        </w:rPr>
        <w:t>max</w:t>
      </w:r>
      <w:r w:rsidRPr="008E67A5">
        <w:rPr>
          <w:rFonts w:ascii="Times New Roman" w:hAnsi="Times New Roman"/>
          <w:sz w:val="20"/>
          <w:szCs w:val="20"/>
          <w:lang w:eastAsia="en-MY"/>
        </w:rPr>
        <w:t xml:space="preserve"> occurred at 385.0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This can be attributed to the thermal decomposition of the polymer chain poly(</w:t>
      </w:r>
      <w:r w:rsidRPr="008E67A5">
        <w:rPr>
          <w:rFonts w:ascii="Times New Roman" w:hAnsi="Times New Roman"/>
          <w:i/>
          <w:sz w:val="20"/>
          <w:szCs w:val="20"/>
          <w:lang w:eastAsia="en-MY"/>
        </w:rPr>
        <w:t>cis-1,4-isoprene</w:t>
      </w:r>
      <w:r w:rsidRPr="008E67A5">
        <w:rPr>
          <w:rFonts w:ascii="Times New Roman" w:hAnsi="Times New Roman"/>
          <w:sz w:val="20"/>
          <w:szCs w:val="20"/>
          <w:lang w:eastAsia="en-MY"/>
        </w:rPr>
        <w:t>). After blending, similar weight loss trends were observed in the TG profiles of NR/PHB blends. This indicates the highly immiscible two-phase phenomenon of the blends. For instance, the T</w:t>
      </w:r>
      <w:r w:rsidRPr="008E67A5">
        <w:rPr>
          <w:rFonts w:ascii="Times New Roman" w:hAnsi="Times New Roman"/>
          <w:sz w:val="20"/>
          <w:szCs w:val="20"/>
          <w:vertAlign w:val="subscript"/>
          <w:lang w:eastAsia="en-MY"/>
        </w:rPr>
        <w:t>onset</w:t>
      </w:r>
      <w:r w:rsidRPr="008E67A5">
        <w:rPr>
          <w:rFonts w:ascii="Times New Roman" w:hAnsi="Times New Roman"/>
          <w:sz w:val="20"/>
          <w:szCs w:val="20"/>
          <w:lang w:eastAsia="en-MY"/>
        </w:rPr>
        <w:t xml:space="preserve"> for the first step of weight loss for 80:20, 60:40, 40:60</w:t>
      </w:r>
      <w:r w:rsidRPr="008E67A5">
        <w:rPr>
          <w:rFonts w:ascii="Times New Roman" w:hAnsi="Times New Roman"/>
          <w:sz w:val="20"/>
          <w:szCs w:val="20"/>
          <w:vertAlign w:val="subscript"/>
          <w:lang w:eastAsia="en-MY"/>
        </w:rPr>
        <w:t>,</w:t>
      </w:r>
      <w:r w:rsidRPr="008E67A5">
        <w:rPr>
          <w:rFonts w:ascii="Times New Roman" w:hAnsi="Times New Roman"/>
          <w:sz w:val="20"/>
          <w:szCs w:val="20"/>
          <w:lang w:eastAsia="en-MY"/>
        </w:rPr>
        <w:t xml:space="preserve"> and 20:80 ratios occurred at 244.9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260.0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273.2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and 281.2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These are ascribed to the degradation of PHB. As can be seen here, low T</w:t>
      </w:r>
      <w:r w:rsidRPr="008E67A5">
        <w:rPr>
          <w:rFonts w:ascii="Times New Roman" w:hAnsi="Times New Roman"/>
          <w:sz w:val="20"/>
          <w:szCs w:val="20"/>
          <w:vertAlign w:val="subscript"/>
          <w:lang w:eastAsia="en-MY"/>
        </w:rPr>
        <w:t>onset</w:t>
      </w:r>
      <w:r w:rsidRPr="008E67A5">
        <w:rPr>
          <w:rFonts w:ascii="Times New Roman" w:hAnsi="Times New Roman"/>
          <w:sz w:val="20"/>
          <w:szCs w:val="20"/>
          <w:lang w:eastAsia="en-MY"/>
        </w:rPr>
        <w:t xml:space="preserve"> values for 80:20 and 60:40 ratios were observed when compared to that of pure PHB. This trend may be due to the availability of </w:t>
      </w:r>
      <w:r w:rsidRPr="008E67A5">
        <w:rPr>
          <w:rFonts w:ascii="Times New Roman" w:hAnsi="Times New Roman"/>
          <w:sz w:val="20"/>
          <w:szCs w:val="20"/>
          <w:lang w:eastAsia="en-MY"/>
        </w:rPr>
        <w:t>less bulky PHB chains in the blends, which caused T</w:t>
      </w:r>
      <w:r w:rsidRPr="008E67A5">
        <w:rPr>
          <w:rFonts w:ascii="Times New Roman" w:hAnsi="Times New Roman"/>
          <w:sz w:val="20"/>
          <w:szCs w:val="20"/>
          <w:vertAlign w:val="subscript"/>
          <w:lang w:eastAsia="en-MY"/>
        </w:rPr>
        <w:t>onset</w:t>
      </w:r>
      <w:r w:rsidRPr="008E67A5">
        <w:rPr>
          <w:rFonts w:ascii="Times New Roman" w:hAnsi="Times New Roman"/>
          <w:sz w:val="20"/>
          <w:szCs w:val="20"/>
          <w:lang w:eastAsia="en-MY"/>
        </w:rPr>
        <w:t xml:space="preserve"> to occur earlier. Nevertheless, T</w:t>
      </w:r>
      <w:r w:rsidRPr="008E67A5">
        <w:rPr>
          <w:rFonts w:ascii="Times New Roman" w:hAnsi="Times New Roman"/>
          <w:sz w:val="20"/>
          <w:szCs w:val="20"/>
          <w:vertAlign w:val="subscript"/>
          <w:lang w:eastAsia="en-MY"/>
        </w:rPr>
        <w:t>max1</w:t>
      </w:r>
      <w:r w:rsidRPr="008E67A5">
        <w:rPr>
          <w:rFonts w:ascii="Times New Roman" w:hAnsi="Times New Roman"/>
          <w:sz w:val="20"/>
          <w:szCs w:val="20"/>
          <w:lang w:eastAsia="en-MY"/>
        </w:rPr>
        <w:t xml:space="preserve"> of NR/PHB blends show a similar trend with the pure PHB as tabulated in Table 2.  </w:t>
      </w:r>
    </w:p>
    <w:p w14:paraId="7BB7E5AA" w14:textId="77777777" w:rsidR="004846C8" w:rsidRPr="008E67A5" w:rsidRDefault="004846C8" w:rsidP="004846C8">
      <w:pPr>
        <w:spacing w:after="0"/>
        <w:jc w:val="both"/>
        <w:rPr>
          <w:rFonts w:ascii="Times New Roman" w:hAnsi="Times New Roman"/>
          <w:sz w:val="20"/>
          <w:szCs w:val="20"/>
          <w:lang w:eastAsia="en-MY"/>
        </w:rPr>
      </w:pPr>
    </w:p>
    <w:p w14:paraId="58F2A4AA" w14:textId="77777777" w:rsidR="004846C8" w:rsidRPr="008E67A5" w:rsidRDefault="004846C8" w:rsidP="004846C8">
      <w:pPr>
        <w:spacing w:after="0"/>
        <w:jc w:val="both"/>
        <w:rPr>
          <w:rFonts w:ascii="Times New Roman" w:hAnsi="Times New Roman"/>
          <w:sz w:val="20"/>
          <w:szCs w:val="20"/>
          <w:lang w:eastAsia="en-MY"/>
        </w:rPr>
      </w:pPr>
      <w:r w:rsidRPr="008E67A5">
        <w:rPr>
          <w:rFonts w:ascii="Times New Roman" w:hAnsi="Times New Roman"/>
          <w:sz w:val="20"/>
          <w:szCs w:val="20"/>
          <w:lang w:eastAsia="en-MY"/>
        </w:rPr>
        <w:t>In contrast, the T</w:t>
      </w:r>
      <w:r w:rsidRPr="008E67A5">
        <w:rPr>
          <w:rFonts w:ascii="Times New Roman" w:hAnsi="Times New Roman"/>
          <w:sz w:val="20"/>
          <w:szCs w:val="20"/>
          <w:vertAlign w:val="subscript"/>
          <w:lang w:eastAsia="en-MY"/>
        </w:rPr>
        <w:t>onset</w:t>
      </w:r>
      <w:r w:rsidRPr="008E67A5">
        <w:rPr>
          <w:rFonts w:ascii="Times New Roman" w:hAnsi="Times New Roman"/>
          <w:sz w:val="20"/>
          <w:szCs w:val="20"/>
          <w:lang w:eastAsia="en-MY"/>
        </w:rPr>
        <w:t xml:space="preserve"> for the second stage of weight loss occurred at temperatures 364.4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362.6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357.0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and 367.8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for the 80:20, 60:40, 40:60, and 20:80 ratios of NR/PHB blends respectively. These are attributed to the degradation of NR. Additionally, the T</w:t>
      </w:r>
      <w:r w:rsidRPr="008E67A5">
        <w:rPr>
          <w:rFonts w:ascii="Times New Roman" w:hAnsi="Times New Roman"/>
          <w:sz w:val="20"/>
          <w:szCs w:val="20"/>
          <w:vertAlign w:val="subscript"/>
          <w:lang w:eastAsia="en-MY"/>
        </w:rPr>
        <w:t>max2</w:t>
      </w:r>
      <w:r w:rsidRPr="008E67A5">
        <w:rPr>
          <w:rFonts w:ascii="Times New Roman" w:hAnsi="Times New Roman"/>
          <w:sz w:val="20"/>
          <w:szCs w:val="20"/>
          <w:lang w:eastAsia="en-MY"/>
        </w:rPr>
        <w:t xml:space="preserve"> of the NR/PHB blends show no significant difference with pure NR. It can be seen that the 20:80, 40:60, 60:40, and 80:20 ratios of NR/PHB blends showed T</w:t>
      </w:r>
      <w:r w:rsidRPr="008E67A5">
        <w:rPr>
          <w:rFonts w:ascii="Times New Roman" w:hAnsi="Times New Roman"/>
          <w:sz w:val="20"/>
          <w:szCs w:val="20"/>
          <w:vertAlign w:val="subscript"/>
          <w:lang w:eastAsia="en-MY"/>
        </w:rPr>
        <w:t>max2</w:t>
      </w:r>
      <w:r w:rsidRPr="008E67A5">
        <w:rPr>
          <w:rFonts w:ascii="Times New Roman" w:hAnsi="Times New Roman"/>
          <w:sz w:val="20"/>
          <w:szCs w:val="20"/>
          <w:lang w:eastAsia="en-MY"/>
        </w:rPr>
        <w:t xml:space="preserve"> values at 385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385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386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and 386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respectively. Therefore, based on the results obtained, the thermal stability of NR/PHB blends remained the same as the pure polymer, which confirms that no interaction occurred in this system.</w:t>
      </w:r>
    </w:p>
    <w:p w14:paraId="3D2A6D0D" w14:textId="7CF0EE99" w:rsidR="004846C8" w:rsidRPr="004846C8" w:rsidRDefault="004846C8" w:rsidP="00782C8C">
      <w:pPr>
        <w:spacing w:after="0"/>
        <w:jc w:val="both"/>
        <w:rPr>
          <w:rFonts w:ascii="Times New Roman" w:eastAsia="Calibri" w:hAnsi="Times New Roman"/>
          <w:sz w:val="20"/>
          <w:szCs w:val="20"/>
          <w:lang w:eastAsia="en-MY"/>
        </w:rPr>
        <w:sectPr w:rsidR="004846C8" w:rsidRPr="004846C8" w:rsidSect="004846C8">
          <w:footerReference w:type="even" r:id="rId16"/>
          <w:type w:val="continuous"/>
          <w:pgSz w:w="12240" w:h="15840" w:code="1"/>
          <w:pgMar w:top="1800" w:right="1469" w:bottom="1699" w:left="1440" w:header="706" w:footer="706" w:gutter="0"/>
          <w:pgNumType w:start="0"/>
          <w:cols w:num="2" w:space="403"/>
          <w:docGrid w:linePitch="360"/>
        </w:sectPr>
      </w:pPr>
    </w:p>
    <w:p w14:paraId="21772F54" w14:textId="0238192C" w:rsidR="00782C8C" w:rsidRDefault="00782C8C" w:rsidP="00782C8C">
      <w:pPr>
        <w:spacing w:after="0"/>
        <w:jc w:val="both"/>
        <w:rPr>
          <w:rFonts w:ascii="Times New Roman" w:hAnsi="Times New Roman"/>
          <w:b/>
          <w:sz w:val="20"/>
          <w:szCs w:val="20"/>
          <w:lang w:eastAsia="en-MY"/>
        </w:rPr>
      </w:pPr>
    </w:p>
    <w:p w14:paraId="340F4715" w14:textId="4926B3D7" w:rsidR="00782C8C" w:rsidRDefault="00782C8C" w:rsidP="00782C8C">
      <w:pPr>
        <w:spacing w:after="0"/>
        <w:jc w:val="both"/>
        <w:rPr>
          <w:rFonts w:ascii="Times New Roman" w:hAnsi="Times New Roman"/>
          <w:b/>
          <w:sz w:val="20"/>
          <w:szCs w:val="20"/>
          <w:lang w:eastAsia="en-MY"/>
        </w:rPr>
      </w:pPr>
    </w:p>
    <w:p w14:paraId="6CCE1652" w14:textId="77777777" w:rsidR="00782C8C" w:rsidRPr="008E67A5" w:rsidRDefault="00782C8C" w:rsidP="00782C8C">
      <w:pPr>
        <w:spacing w:after="0"/>
        <w:jc w:val="both"/>
        <w:rPr>
          <w:rFonts w:ascii="Times New Roman" w:hAnsi="Times New Roman"/>
          <w:b/>
          <w:sz w:val="20"/>
          <w:szCs w:val="20"/>
          <w:lang w:eastAsia="en-MY"/>
        </w:rPr>
      </w:pPr>
    </w:p>
    <w:p w14:paraId="0C22CF8F" w14:textId="393B321D" w:rsidR="00782C8C" w:rsidRPr="00782C8C" w:rsidRDefault="00782C8C" w:rsidP="00782C8C">
      <w:pPr>
        <w:spacing w:after="120"/>
        <w:jc w:val="center"/>
        <w:rPr>
          <w:rFonts w:ascii="Times New Roman" w:hAnsi="Times New Roman"/>
          <w:b/>
          <w:bCs/>
          <w:sz w:val="20"/>
          <w:szCs w:val="20"/>
          <w:lang w:eastAsia="en-MY"/>
        </w:rPr>
      </w:pPr>
      <w:r w:rsidRPr="008E67A5">
        <w:rPr>
          <w:rFonts w:ascii="Times New Roman" w:hAnsi="Times New Roman"/>
          <w:b/>
          <w:bCs/>
          <w:noProof/>
          <w:sz w:val="20"/>
          <w:szCs w:val="20"/>
          <w:lang w:eastAsia="en-MY"/>
        </w:rPr>
        <w:drawing>
          <wp:inline distT="0" distB="0" distL="0" distR="0" wp14:anchorId="207D256B" wp14:editId="7C112EC4">
            <wp:extent cx="4674760" cy="2365157"/>
            <wp:effectExtent l="19050" t="19050" r="12065" b="16510"/>
            <wp:docPr id="44302" name="Picture 4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2" name="Picture 4430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48360" cy="2402395"/>
                    </a:xfrm>
                    <a:prstGeom prst="rect">
                      <a:avLst/>
                    </a:prstGeom>
                    <a:ln w="3175">
                      <a:solidFill>
                        <a:schemeClr val="tx1"/>
                      </a:solidFill>
                    </a:ln>
                  </pic:spPr>
                </pic:pic>
              </a:graphicData>
            </a:graphic>
          </wp:inline>
        </w:drawing>
      </w:r>
    </w:p>
    <w:p w14:paraId="2E814AB0" w14:textId="7647EF98" w:rsidR="00782C8C" w:rsidRPr="008E67A5" w:rsidRDefault="00782C8C" w:rsidP="00782C8C">
      <w:pPr>
        <w:spacing w:after="0"/>
        <w:jc w:val="center"/>
        <w:rPr>
          <w:rFonts w:ascii="Times New Roman" w:hAnsi="Times New Roman"/>
          <w:sz w:val="20"/>
          <w:szCs w:val="20"/>
          <w:lang w:eastAsia="en-MY"/>
        </w:rPr>
      </w:pPr>
      <w:r w:rsidRPr="008E67A5">
        <w:rPr>
          <w:rFonts w:ascii="Times New Roman" w:hAnsi="Times New Roman"/>
          <w:sz w:val="20"/>
          <w:szCs w:val="20"/>
          <w:lang w:eastAsia="en-MY"/>
        </w:rPr>
        <w:t>Figure 1.</w:t>
      </w:r>
      <w:r>
        <w:rPr>
          <w:rFonts w:ascii="Times New Roman" w:hAnsi="Times New Roman"/>
          <w:sz w:val="20"/>
          <w:szCs w:val="20"/>
          <w:lang w:eastAsia="en-MY"/>
        </w:rPr>
        <w:t xml:space="preserve">  </w:t>
      </w:r>
      <w:r w:rsidRPr="008E67A5">
        <w:rPr>
          <w:rFonts w:ascii="Times New Roman" w:hAnsi="Times New Roman"/>
          <w:sz w:val="20"/>
          <w:szCs w:val="20"/>
          <w:lang w:eastAsia="en-MY"/>
        </w:rPr>
        <w:t>FTIR spectra of (a) purified PHB (b) pristine NR and (c) typical of 40:60 (wt./wt.) NR/PHB</w:t>
      </w:r>
    </w:p>
    <w:p w14:paraId="311AFC15" w14:textId="77777777" w:rsidR="00782C8C" w:rsidRPr="008E67A5" w:rsidRDefault="00782C8C" w:rsidP="00782C8C">
      <w:pPr>
        <w:spacing w:after="0"/>
        <w:jc w:val="both"/>
        <w:rPr>
          <w:rFonts w:ascii="Times New Roman" w:hAnsi="Times New Roman"/>
          <w:sz w:val="20"/>
          <w:szCs w:val="20"/>
          <w:lang w:eastAsia="en-MY"/>
        </w:rPr>
      </w:pPr>
    </w:p>
    <w:p w14:paraId="734589AB" w14:textId="77777777" w:rsidR="00782C8C" w:rsidRPr="008E67A5" w:rsidRDefault="00782C8C" w:rsidP="00782C8C">
      <w:pPr>
        <w:spacing w:after="0"/>
        <w:jc w:val="both"/>
        <w:rPr>
          <w:rFonts w:ascii="Times New Roman" w:eastAsia="Calibri" w:hAnsi="Times New Roman"/>
          <w:b/>
          <w:bCs/>
          <w:sz w:val="20"/>
          <w:szCs w:val="20"/>
          <w:lang w:eastAsia="en-MY"/>
        </w:rPr>
      </w:pPr>
    </w:p>
    <w:p w14:paraId="5478F2DA" w14:textId="3F097A6C" w:rsidR="00782C8C" w:rsidRDefault="00782C8C" w:rsidP="00782C8C">
      <w:pPr>
        <w:spacing w:after="0"/>
        <w:jc w:val="both"/>
        <w:rPr>
          <w:rFonts w:ascii="Times New Roman" w:eastAsia="Calibri" w:hAnsi="Times New Roman"/>
          <w:sz w:val="20"/>
          <w:szCs w:val="20"/>
          <w:lang w:eastAsia="en-MY"/>
        </w:rPr>
      </w:pPr>
    </w:p>
    <w:p w14:paraId="69AA6A48" w14:textId="77777777" w:rsidR="00782C8C" w:rsidRPr="008E67A5" w:rsidRDefault="00782C8C" w:rsidP="00782C8C">
      <w:pPr>
        <w:spacing w:after="0"/>
        <w:jc w:val="both"/>
        <w:rPr>
          <w:rFonts w:ascii="Times New Roman" w:eastAsia="Calibri" w:hAnsi="Times New Roman"/>
          <w:sz w:val="20"/>
          <w:szCs w:val="20"/>
          <w:lang w:eastAsia="en-MY"/>
        </w:rPr>
      </w:pPr>
    </w:p>
    <w:p w14:paraId="27BC8DC0" w14:textId="77777777" w:rsidR="00782C8C" w:rsidRPr="008E67A5" w:rsidRDefault="00782C8C" w:rsidP="004846C8">
      <w:pPr>
        <w:spacing w:after="120"/>
        <w:jc w:val="center"/>
        <w:rPr>
          <w:rFonts w:ascii="Times New Roman" w:eastAsia="Calibri" w:hAnsi="Times New Roman"/>
          <w:bCs/>
          <w:sz w:val="20"/>
          <w:szCs w:val="20"/>
          <w:lang w:eastAsia="en-MY"/>
        </w:rPr>
      </w:pPr>
      <w:r w:rsidRPr="008E67A5">
        <w:rPr>
          <w:rFonts w:ascii="Times New Roman" w:hAnsi="Times New Roman"/>
          <w:noProof/>
          <w:sz w:val="20"/>
          <w:szCs w:val="20"/>
          <w:lang w:eastAsia="en-MY"/>
        </w:rPr>
        <w:lastRenderedPageBreak/>
        <mc:AlternateContent>
          <mc:Choice Requires="wps">
            <w:drawing>
              <wp:anchor distT="0" distB="0" distL="114300" distR="114300" simplePos="0" relativeHeight="251737600" behindDoc="0" locked="0" layoutInCell="1" allowOverlap="1" wp14:anchorId="3A3C1E8C" wp14:editId="30887BED">
                <wp:simplePos x="0" y="0"/>
                <wp:positionH relativeFrom="column">
                  <wp:posOffset>278484</wp:posOffset>
                </wp:positionH>
                <wp:positionV relativeFrom="paragraph">
                  <wp:posOffset>101237</wp:posOffset>
                </wp:positionV>
                <wp:extent cx="351692" cy="272562"/>
                <wp:effectExtent l="0" t="0" r="0" b="0"/>
                <wp:wrapNone/>
                <wp:docPr id="44053" name="Text Box 44053"/>
                <wp:cNvGraphicFramePr/>
                <a:graphic xmlns:a="http://schemas.openxmlformats.org/drawingml/2006/main">
                  <a:graphicData uri="http://schemas.microsoft.com/office/word/2010/wordprocessingShape">
                    <wps:wsp>
                      <wps:cNvSpPr txBox="1"/>
                      <wps:spPr>
                        <a:xfrm>
                          <a:off x="0" y="0"/>
                          <a:ext cx="351692" cy="272562"/>
                        </a:xfrm>
                        <a:prstGeom prst="rect">
                          <a:avLst/>
                        </a:prstGeom>
                        <a:solidFill>
                          <a:sysClr val="window" lastClr="FFFFFF"/>
                        </a:solidFill>
                        <a:ln w="6350">
                          <a:noFill/>
                        </a:ln>
                      </wps:spPr>
                      <wps:txbx>
                        <w:txbxContent>
                          <w:p w14:paraId="0B137241" w14:textId="77777777" w:rsidR="00782C8C" w:rsidRPr="00B75D23" w:rsidRDefault="00782C8C" w:rsidP="00782C8C">
                            <w:pPr>
                              <w:rPr>
                                <w:rFonts w:ascii="Times New Roman" w:hAnsi="Times New Roman"/>
                                <w:sz w:val="20"/>
                                <w:szCs w:val="20"/>
                              </w:rPr>
                            </w:pPr>
                            <w:r w:rsidRPr="00B75D23">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3C1E8C" id="_x0000_t202" coordsize="21600,21600" o:spt="202" path="m,l,21600r21600,l21600,xe">
                <v:stroke joinstyle="miter"/>
                <v:path gradientshapeok="t" o:connecttype="rect"/>
              </v:shapetype>
              <v:shape id="Text Box 44053" o:spid="_x0000_s1026" type="#_x0000_t202" style="position:absolute;left:0;text-align:left;margin-left:21.95pt;margin-top:7.95pt;width:27.7pt;height:21.4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" fillcolor="window" stroked="f" strokeweight=".5pt">
                <v:textbox>
                  <w:txbxContent>
                    <w:p w14:paraId="0B137241" w14:textId="77777777" w:rsidR="00782C8C" w:rsidRPr="00B75D23" w:rsidRDefault="00782C8C" w:rsidP="00782C8C">
                      <w:pPr>
                        <w:rPr>
                          <w:rFonts w:ascii="Times New Roman" w:hAnsi="Times New Roman"/>
                          <w:sz w:val="20"/>
                          <w:szCs w:val="20"/>
                        </w:rPr>
                      </w:pPr>
                      <w:r w:rsidRPr="00B75D23">
                        <w:rPr>
                          <w:rFonts w:ascii="Times New Roman" w:hAnsi="Times New Roman"/>
                          <w:sz w:val="20"/>
                          <w:szCs w:val="20"/>
                        </w:rPr>
                        <w:t>(a)</w:t>
                      </w:r>
                    </w:p>
                  </w:txbxContent>
                </v:textbox>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06880" behindDoc="0" locked="0" layoutInCell="1" allowOverlap="1" wp14:anchorId="78F87A0F" wp14:editId="6F6F8942">
                <wp:simplePos x="0" y="0"/>
                <wp:positionH relativeFrom="column">
                  <wp:posOffset>2250440</wp:posOffset>
                </wp:positionH>
                <wp:positionV relativeFrom="paragraph">
                  <wp:posOffset>2146935</wp:posOffset>
                </wp:positionV>
                <wp:extent cx="45719" cy="119663"/>
                <wp:effectExtent l="19050" t="38100" r="31115" b="52070"/>
                <wp:wrapNone/>
                <wp:docPr id="7" name="5-Point Star 7"/>
                <wp:cNvGraphicFramePr/>
                <a:graphic xmlns:a="http://schemas.openxmlformats.org/drawingml/2006/main">
                  <a:graphicData uri="http://schemas.microsoft.com/office/word/2010/wordprocessingShape">
                    <wps:wsp>
                      <wps:cNvSpPr/>
                      <wps:spPr>
                        <a:xfrm flipH="1">
                          <a:off x="0" y="0"/>
                          <a:ext cx="45719" cy="119663"/>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BA8AC74" id="5-Point Star 7" o:spid="_x0000_s1026" style="position:absolute;margin-left:177.2pt;margin-top:169.05pt;width:3.6pt;height:9.4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1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" path="m,45707r17463,l22860,r5396,45707l45719,45707,31591,73955r5396,45708l22860,91414,8732,119663,14128,73955,,45707xe" fillcolor="windowText" strokeweight="1pt">
                <v:stroke joinstyle="miter"/>
                <v:path arrowok="t" o:connecttype="custom" o:connectlocs="0,45707;17463,45707;22860,0;28256,45707;45719,45707;31591,73955;36987,119663;22860,91414;8732,119663;14128,73955;0,45707"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0976" behindDoc="0" locked="0" layoutInCell="1" allowOverlap="1" wp14:anchorId="24F193E7" wp14:editId="62C3C02F">
                <wp:simplePos x="0" y="0"/>
                <wp:positionH relativeFrom="column">
                  <wp:posOffset>1911985</wp:posOffset>
                </wp:positionH>
                <wp:positionV relativeFrom="paragraph">
                  <wp:posOffset>1939290</wp:posOffset>
                </wp:positionV>
                <wp:extent cx="45719" cy="73572"/>
                <wp:effectExtent l="19050" t="38100" r="31115" b="60325"/>
                <wp:wrapNone/>
                <wp:docPr id="6" name="5-Point Star 6"/>
                <wp:cNvGraphicFramePr/>
                <a:graphic xmlns:a="http://schemas.openxmlformats.org/drawingml/2006/main">
                  <a:graphicData uri="http://schemas.microsoft.com/office/word/2010/wordprocessingShape">
                    <wps:wsp>
                      <wps:cNvSpPr/>
                      <wps:spPr>
                        <a:xfrm>
                          <a:off x="0" y="0"/>
                          <a:ext cx="45719" cy="73572"/>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32DE63" id="5-Point Star 6" o:spid="_x0000_s1026" style="position:absolute;margin-left:150.55pt;margin-top:152.7pt;width:3.6pt;height:5.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7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" path="m,28102r17463,l22860,r5396,28102l45719,28102,31591,45470r5396,28102l22860,56204,8732,73572,14128,45470,,28102xe" fillcolor="windowText" strokeweight="1pt">
                <v:stroke joinstyle="miter"/>
                <v:path arrowok="t" o:connecttype="custom" o:connectlocs="0,28102;17463,28102;22860,0;28256,28102;45719,28102;31591,45470;36987,73572;22860,56204;8732,73572;14128,45470;0,28102"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08928" behindDoc="0" locked="0" layoutInCell="1" allowOverlap="1" wp14:anchorId="0AB0BEEB" wp14:editId="3998E9CE">
                <wp:simplePos x="0" y="0"/>
                <wp:positionH relativeFrom="column">
                  <wp:posOffset>2540282</wp:posOffset>
                </wp:positionH>
                <wp:positionV relativeFrom="paragraph">
                  <wp:posOffset>2474524</wp:posOffset>
                </wp:positionV>
                <wp:extent cx="45085" cy="45085"/>
                <wp:effectExtent l="19050" t="38100" r="31115" b="31115"/>
                <wp:wrapNone/>
                <wp:docPr id="21" name="5-Point Star 21"/>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3CD703" id="5-Point Star 21" o:spid="_x0000_s1026" style="position:absolute;margin-left:200pt;margin-top:194.85pt;width:3.55pt;height:3.55pt;z-index:251708928;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07904" behindDoc="0" locked="0" layoutInCell="1" allowOverlap="1" wp14:anchorId="3A4E52A9" wp14:editId="69C5FA87">
                <wp:simplePos x="0" y="0"/>
                <wp:positionH relativeFrom="column">
                  <wp:posOffset>2378428</wp:posOffset>
                </wp:positionH>
                <wp:positionV relativeFrom="paragraph">
                  <wp:posOffset>2476500</wp:posOffset>
                </wp:positionV>
                <wp:extent cx="45719" cy="63500"/>
                <wp:effectExtent l="19050" t="38100" r="31115" b="50800"/>
                <wp:wrapNone/>
                <wp:docPr id="13" name="5-Point Star 13"/>
                <wp:cNvGraphicFramePr/>
                <a:graphic xmlns:a="http://schemas.openxmlformats.org/drawingml/2006/main">
                  <a:graphicData uri="http://schemas.microsoft.com/office/word/2010/wordprocessingShape">
                    <wps:wsp>
                      <wps:cNvSpPr/>
                      <wps:spPr>
                        <a:xfrm>
                          <a:off x="0" y="0"/>
                          <a:ext cx="45719" cy="635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6D8FA200" id="5-Point Star 13" o:spid="_x0000_s1026" style="position:absolute;margin-left:187.3pt;margin-top:195pt;width:3.6pt;height: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719,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" path="m,24255r17463,l22860,r5396,24255l45719,24255,31591,39245r5396,24255l22860,48509,8732,63500,14128,39245,,24255xe" fillcolor="windowText" strokeweight="1pt">
                <v:stroke joinstyle="miter"/>
                <v:path arrowok="t" o:connecttype="custom" o:connectlocs="0,24255;17463,24255;22860,0;28256,24255;45719,24255;31591,39245;36987,63500;22860,48509;8732,63500;14128,39245;0,24255" o:connectangles="0,0,0,0,0,0,0,0,0,0,0"/>
              </v:shape>
            </w:pict>
          </mc:Fallback>
        </mc:AlternateContent>
      </w:r>
      <w:r w:rsidRPr="008E67A5">
        <w:rPr>
          <w:rFonts w:ascii="Times New Roman" w:hAnsi="Times New Roman"/>
          <w:noProof/>
          <w:sz w:val="20"/>
          <w:szCs w:val="20"/>
          <w:lang w:eastAsia="en-MY"/>
        </w:rPr>
        <mc:AlternateContent>
          <mc:Choice Requires="wps">
            <w:drawing>
              <wp:anchor distT="0" distB="0" distL="114300" distR="114300" simplePos="0" relativeHeight="251732480" behindDoc="0" locked="0" layoutInCell="1" allowOverlap="1" wp14:anchorId="6B2904C7" wp14:editId="1FA92A2D">
                <wp:simplePos x="0" y="0"/>
                <wp:positionH relativeFrom="column">
                  <wp:posOffset>4498975</wp:posOffset>
                </wp:positionH>
                <wp:positionV relativeFrom="paragraph">
                  <wp:posOffset>2214880</wp:posOffset>
                </wp:positionV>
                <wp:extent cx="360045" cy="292608"/>
                <wp:effectExtent l="0" t="0" r="1905" b="0"/>
                <wp:wrapNone/>
                <wp:docPr id="46" name="Text Box 46"/>
                <wp:cNvGraphicFramePr/>
                <a:graphic xmlns:a="http://schemas.openxmlformats.org/drawingml/2006/main">
                  <a:graphicData uri="http://schemas.microsoft.com/office/word/2010/wordprocessingShape">
                    <wps:wsp>
                      <wps:cNvSpPr txBox="1"/>
                      <wps:spPr>
                        <a:xfrm>
                          <a:off x="0" y="0"/>
                          <a:ext cx="360045" cy="292608"/>
                        </a:xfrm>
                        <a:prstGeom prst="rect">
                          <a:avLst/>
                        </a:prstGeom>
                        <a:solidFill>
                          <a:sysClr val="window" lastClr="FFFFFF"/>
                        </a:solidFill>
                        <a:ln w="6350">
                          <a:noFill/>
                        </a:ln>
                      </wps:spPr>
                      <wps:txbx>
                        <w:txbxContent>
                          <w:p w14:paraId="0412CCC8" w14:textId="77777777" w:rsidR="00782C8C" w:rsidRPr="008F433F" w:rsidRDefault="00782C8C" w:rsidP="00782C8C">
                            <w:pPr>
                              <w:rPr>
                                <w:sz w:val="16"/>
                                <w:szCs w:val="16"/>
                              </w:rPr>
                            </w:pPr>
                            <w:r w:rsidRPr="008F433F">
                              <w:rPr>
                                <w:sz w:val="16"/>
                                <w:szCs w:val="16"/>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04C7" id="Text Box 46" o:spid="_x0000_s1027" type="#_x0000_t202" style="position:absolute;left:0;text-align:left;margin-left:354.25pt;margin-top:174.4pt;width:28.35pt;height:23.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" fillcolor="window" stroked="f" strokeweight=".5pt">
                <v:textbox>
                  <w:txbxContent>
                    <w:p w14:paraId="0412CCC8" w14:textId="77777777" w:rsidR="00782C8C" w:rsidRPr="008F433F" w:rsidRDefault="00782C8C" w:rsidP="00782C8C">
                      <w:pPr>
                        <w:rPr>
                          <w:sz w:val="16"/>
                          <w:szCs w:val="16"/>
                        </w:rPr>
                      </w:pPr>
                      <w:r w:rsidRPr="008F433F">
                        <w:rPr>
                          <w:sz w:val="16"/>
                          <w:szCs w:val="16"/>
                        </w:rPr>
                        <w:t>(ii)</w:t>
                      </w:r>
                    </w:p>
                  </w:txbxContent>
                </v:textbox>
              </v:shape>
            </w:pict>
          </mc:Fallback>
        </mc:AlternateContent>
      </w:r>
      <w:r w:rsidRPr="008E67A5">
        <w:rPr>
          <w:rFonts w:ascii="Times New Roman" w:hAnsi="Times New Roman"/>
          <w:noProof/>
          <w:sz w:val="20"/>
          <w:szCs w:val="20"/>
          <w:lang w:eastAsia="en-MY"/>
        </w:rPr>
        <mc:AlternateContent>
          <mc:Choice Requires="wps">
            <w:drawing>
              <wp:anchor distT="0" distB="0" distL="114300" distR="114300" simplePos="0" relativeHeight="251731456" behindDoc="0" locked="0" layoutInCell="1" allowOverlap="1" wp14:anchorId="37C3B8C5" wp14:editId="6A942EC9">
                <wp:simplePos x="0" y="0"/>
                <wp:positionH relativeFrom="column">
                  <wp:posOffset>4530090</wp:posOffset>
                </wp:positionH>
                <wp:positionV relativeFrom="paragraph">
                  <wp:posOffset>2727960</wp:posOffset>
                </wp:positionV>
                <wp:extent cx="323850" cy="202223"/>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323850" cy="202223"/>
                        </a:xfrm>
                        <a:prstGeom prst="rect">
                          <a:avLst/>
                        </a:prstGeom>
                        <a:solidFill>
                          <a:sysClr val="window" lastClr="FFFFFF"/>
                        </a:solidFill>
                        <a:ln w="6350">
                          <a:noFill/>
                        </a:ln>
                        <a:effectLst/>
                      </wps:spPr>
                      <wps:txbx>
                        <w:txbxContent>
                          <w:p w14:paraId="6046CBBA" w14:textId="77777777" w:rsidR="00782C8C" w:rsidRPr="008F433F" w:rsidRDefault="00782C8C" w:rsidP="00782C8C">
                            <w:pPr>
                              <w:rPr>
                                <w:sz w:val="16"/>
                                <w:szCs w:val="16"/>
                              </w:rPr>
                            </w:pPr>
                            <w:r w:rsidRPr="008F433F">
                              <w:rPr>
                                <w:sz w:val="16"/>
                                <w:szCs w:val="16"/>
                              </w:rPr>
                              <w:t>(i)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7C3B8C5" id="Text Box 43" o:spid="_x0000_s1028" type="#_x0000_t202" style="position:absolute;left:0;text-align:left;margin-left:356.7pt;margin-top:214.8pt;width:25.5pt;height:15.9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" fillcolor="window" stroked="f" strokeweight=".5pt">
                <v:textbox>
                  <w:txbxContent>
                    <w:p w14:paraId="6046CBBA" w14:textId="77777777" w:rsidR="00782C8C" w:rsidRPr="008F433F" w:rsidRDefault="00782C8C" w:rsidP="00782C8C">
                      <w:pPr>
                        <w:rPr>
                          <w:sz w:val="16"/>
                          <w:szCs w:val="16"/>
                        </w:rPr>
                      </w:pPr>
                      <w:r w:rsidRPr="008F433F">
                        <w:rPr>
                          <w:sz w:val="16"/>
                          <w:szCs w:val="16"/>
                        </w:rPr>
                        <w:t>(i)</w:t>
                      </w:r>
                    </w:p>
                  </w:txbxContent>
                </v:textbox>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09952" behindDoc="0" locked="0" layoutInCell="1" allowOverlap="1" wp14:anchorId="51D3D153" wp14:editId="4612441B">
                <wp:simplePos x="0" y="0"/>
                <wp:positionH relativeFrom="column">
                  <wp:posOffset>3011170</wp:posOffset>
                </wp:positionH>
                <wp:positionV relativeFrom="paragraph">
                  <wp:posOffset>2720975</wp:posOffset>
                </wp:positionV>
                <wp:extent cx="45085" cy="45085"/>
                <wp:effectExtent l="19050" t="38100" r="31115" b="31115"/>
                <wp:wrapNone/>
                <wp:docPr id="22" name="5-Point Star 22"/>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F60A643" id="5-Point Star 22" o:spid="_x0000_s1026" style="position:absolute;margin-left:237.1pt;margin-top:214.25pt;width:3.55pt;height:3.55pt;z-index:251709952;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ybQ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05856" behindDoc="0" locked="0" layoutInCell="1" allowOverlap="1" wp14:anchorId="45CB8950" wp14:editId="2C5FA32C">
                <wp:simplePos x="0" y="0"/>
                <wp:positionH relativeFrom="column">
                  <wp:posOffset>2061845</wp:posOffset>
                </wp:positionH>
                <wp:positionV relativeFrom="paragraph">
                  <wp:posOffset>2138045</wp:posOffset>
                </wp:positionV>
                <wp:extent cx="75543" cy="81083"/>
                <wp:effectExtent l="19050" t="38100" r="39370" b="33655"/>
                <wp:wrapNone/>
                <wp:docPr id="23" name="5-Point Star 23"/>
                <wp:cNvGraphicFramePr/>
                <a:graphic xmlns:a="http://schemas.openxmlformats.org/drawingml/2006/main">
                  <a:graphicData uri="http://schemas.microsoft.com/office/word/2010/wordprocessingShape">
                    <wps:wsp>
                      <wps:cNvSpPr/>
                      <wps:spPr>
                        <a:xfrm flipH="1">
                          <a:off x="0" y="0"/>
                          <a:ext cx="75543" cy="81083"/>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8257B01" id="5-Point Star 23" o:spid="_x0000_s1026" style="position:absolute;margin-left:162.35pt;margin-top:168.35pt;width:5.95pt;height:6.4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43,8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" path="m,30971r28855,l37772,r8916,30971l75543,30971,52199,50112r8917,30971l37772,61941,14427,81083,23344,50112,,30971xe" fillcolor="windowText" strokeweight="1pt">
                <v:stroke joinstyle="miter"/>
                <v:path arrowok="t" o:connecttype="custom" o:connectlocs="0,30971;28855,30971;37772,0;46688,30971;75543,30971;52199,50112;61116,81083;37772,61941;14427,81083;23344,50112;0,30971" o:connectangles="0,0,0,0,0,0,0,0,0,0,0"/>
              </v:shape>
            </w:pict>
          </mc:Fallback>
        </mc:AlternateContent>
      </w:r>
      <w:r w:rsidRPr="008E67A5">
        <w:rPr>
          <w:rFonts w:ascii="Times New Roman" w:eastAsia="Calibri" w:hAnsi="Times New Roman"/>
          <w:noProof/>
          <w:sz w:val="20"/>
          <w:szCs w:val="20"/>
          <w:lang w:eastAsia="en-MY"/>
        </w:rPr>
        <w:drawing>
          <wp:inline distT="0" distB="0" distL="0" distR="0" wp14:anchorId="6C03920B" wp14:editId="60069FA3">
            <wp:extent cx="5506542" cy="3688080"/>
            <wp:effectExtent l="19050" t="19050" r="1841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06542" cy="3688080"/>
                    </a:xfrm>
                    <a:prstGeom prst="rect">
                      <a:avLst/>
                    </a:prstGeom>
                    <a:noFill/>
                    <a:ln>
                      <a:solidFill>
                        <a:schemeClr val="tx1"/>
                      </a:solidFill>
                    </a:ln>
                  </pic:spPr>
                </pic:pic>
              </a:graphicData>
            </a:graphic>
          </wp:inline>
        </w:drawing>
      </w:r>
    </w:p>
    <w:p w14:paraId="4002F5E9" w14:textId="49BC3F52" w:rsidR="00782C8C" w:rsidRPr="008E67A5" w:rsidRDefault="00782C8C" w:rsidP="00782C8C">
      <w:pPr>
        <w:spacing w:after="120"/>
        <w:jc w:val="center"/>
        <w:rPr>
          <w:rFonts w:ascii="Times New Roman" w:eastAsia="Calibri" w:hAnsi="Times New Roman"/>
          <w:sz w:val="20"/>
          <w:szCs w:val="20"/>
          <w:lang w:eastAsia="en-MY"/>
        </w:rPr>
      </w:pPr>
      <w:r w:rsidRPr="008E67A5">
        <w:rPr>
          <w:rFonts w:ascii="Times New Roman" w:eastAsia="Calibri" w:hAnsi="Times New Roman"/>
          <w:noProof/>
          <w:sz w:val="20"/>
          <w:szCs w:val="20"/>
          <w:lang w:eastAsia="en-MY"/>
        </w:rPr>
        <mc:AlternateContent>
          <mc:Choice Requires="wps">
            <w:drawing>
              <wp:anchor distT="0" distB="0" distL="114300" distR="114300" simplePos="0" relativeHeight="251738624" behindDoc="0" locked="0" layoutInCell="1" allowOverlap="1" wp14:anchorId="792722ED" wp14:editId="6FCCC34D">
                <wp:simplePos x="0" y="0"/>
                <wp:positionH relativeFrom="column">
                  <wp:posOffset>195489</wp:posOffset>
                </wp:positionH>
                <wp:positionV relativeFrom="paragraph">
                  <wp:posOffset>82550</wp:posOffset>
                </wp:positionV>
                <wp:extent cx="483577" cy="298939"/>
                <wp:effectExtent l="0" t="0" r="0" b="6350"/>
                <wp:wrapNone/>
                <wp:docPr id="44057" name="Text Box 44057"/>
                <wp:cNvGraphicFramePr/>
                <a:graphic xmlns:a="http://schemas.openxmlformats.org/drawingml/2006/main">
                  <a:graphicData uri="http://schemas.microsoft.com/office/word/2010/wordprocessingShape">
                    <wps:wsp>
                      <wps:cNvSpPr txBox="1"/>
                      <wps:spPr>
                        <a:xfrm>
                          <a:off x="0" y="0"/>
                          <a:ext cx="483577" cy="298939"/>
                        </a:xfrm>
                        <a:prstGeom prst="rect">
                          <a:avLst/>
                        </a:prstGeom>
                        <a:solidFill>
                          <a:sysClr val="window" lastClr="FFFFFF"/>
                        </a:solidFill>
                        <a:ln w="6350">
                          <a:noFill/>
                        </a:ln>
                      </wps:spPr>
                      <wps:txbx>
                        <w:txbxContent>
                          <w:p w14:paraId="17028BD2" w14:textId="77777777" w:rsidR="00782C8C" w:rsidRPr="00B75D23" w:rsidRDefault="00782C8C" w:rsidP="00782C8C">
                            <w:pPr>
                              <w:rPr>
                                <w:rFonts w:ascii="Times New Roman" w:hAnsi="Times New Roman"/>
                                <w:sz w:val="20"/>
                                <w:szCs w:val="20"/>
                              </w:rPr>
                            </w:pPr>
                            <w:r w:rsidRPr="00B75D23">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22ED" id="Text Box 44057" o:spid="_x0000_s1029" type="#_x0000_t202" style="position:absolute;left:0;text-align:left;margin-left:15.4pt;margin-top:6.5pt;width:38.1pt;height:23.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" fillcolor="window" stroked="f" strokeweight=".5pt">
                <v:textbox>
                  <w:txbxContent>
                    <w:p w14:paraId="17028BD2" w14:textId="77777777" w:rsidR="00782C8C" w:rsidRPr="00B75D23" w:rsidRDefault="00782C8C" w:rsidP="00782C8C">
                      <w:pPr>
                        <w:rPr>
                          <w:rFonts w:ascii="Times New Roman" w:hAnsi="Times New Roman"/>
                          <w:sz w:val="20"/>
                          <w:szCs w:val="20"/>
                        </w:rPr>
                      </w:pPr>
                      <w:r w:rsidRPr="00B75D23">
                        <w:rPr>
                          <w:rFonts w:ascii="Times New Roman" w:hAnsi="Times New Roman"/>
                          <w:sz w:val="20"/>
                          <w:szCs w:val="20"/>
                        </w:rPr>
                        <w:t>(b)</w:t>
                      </w:r>
                    </w:p>
                  </w:txbxContent>
                </v:textbox>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7120" behindDoc="0" locked="0" layoutInCell="1" allowOverlap="1" wp14:anchorId="11AB1BB8" wp14:editId="6C532102">
                <wp:simplePos x="0" y="0"/>
                <wp:positionH relativeFrom="column">
                  <wp:posOffset>1565707</wp:posOffset>
                </wp:positionH>
                <wp:positionV relativeFrom="paragraph">
                  <wp:posOffset>289533</wp:posOffset>
                </wp:positionV>
                <wp:extent cx="49557" cy="68864"/>
                <wp:effectExtent l="19050" t="38100" r="45720" b="64770"/>
                <wp:wrapNone/>
                <wp:docPr id="26" name="5-Point Star 26"/>
                <wp:cNvGraphicFramePr/>
                <a:graphic xmlns:a="http://schemas.openxmlformats.org/drawingml/2006/main">
                  <a:graphicData uri="http://schemas.microsoft.com/office/word/2010/wordprocessingShape">
                    <wps:wsp>
                      <wps:cNvSpPr/>
                      <wps:spPr>
                        <a:xfrm>
                          <a:off x="0" y="0"/>
                          <a:ext cx="49557" cy="68864"/>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6334F66" id="5-Point Star 26" o:spid="_x0000_s1026" style="position:absolute;margin-left:123.3pt;margin-top:22.8pt;width:3.9pt;height:5.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57,6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" path="m,26304r18929,l24779,r5849,26304l49557,26304,34243,42560r5849,26304l24779,52607,9465,68864,15314,42560,,26304xe" fillcolor="windowText" strokeweight="1pt">
                <v:stroke joinstyle="miter"/>
                <v:path arrowok="t" o:connecttype="custom" o:connectlocs="0,26304;18929,26304;24779,0;30628,26304;49557,26304;34243,42560;40092,68864;24779,52607;9465,68864;15314,42560;0,26304"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3024" behindDoc="0" locked="0" layoutInCell="1" allowOverlap="1" wp14:anchorId="4C262849" wp14:editId="6EE45B59">
                <wp:simplePos x="0" y="0"/>
                <wp:positionH relativeFrom="column">
                  <wp:posOffset>1708123</wp:posOffset>
                </wp:positionH>
                <wp:positionV relativeFrom="paragraph">
                  <wp:posOffset>1681480</wp:posOffset>
                </wp:positionV>
                <wp:extent cx="45085" cy="45085"/>
                <wp:effectExtent l="19050" t="38100" r="31115" b="31115"/>
                <wp:wrapNone/>
                <wp:docPr id="39" name="5-Point Star 39"/>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6E8DC37" id="5-Point Star 39" o:spid="_x0000_s1026" style="position:absolute;margin-left:134.5pt;margin-top:132.4pt;width:3.55pt;height:3.55pt;z-index:251713024;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5072" behindDoc="0" locked="0" layoutInCell="1" allowOverlap="1" wp14:anchorId="49915593" wp14:editId="678CC623">
                <wp:simplePos x="0" y="0"/>
                <wp:positionH relativeFrom="column">
                  <wp:posOffset>1701570</wp:posOffset>
                </wp:positionH>
                <wp:positionV relativeFrom="paragraph">
                  <wp:posOffset>1414780</wp:posOffset>
                </wp:positionV>
                <wp:extent cx="45085" cy="45085"/>
                <wp:effectExtent l="19050" t="38100" r="31115" b="31115"/>
                <wp:wrapNone/>
                <wp:docPr id="24" name="5-Point Star 24"/>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20EBAA" id="5-Point Star 24" o:spid="_x0000_s1026" style="position:absolute;margin-left:134pt;margin-top:111.4pt;width:3.55pt;height:3.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WWbQ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4288" behindDoc="0" locked="0" layoutInCell="1" allowOverlap="1" wp14:anchorId="1E9A0F79" wp14:editId="175057DF">
                <wp:simplePos x="0" y="0"/>
                <wp:positionH relativeFrom="column">
                  <wp:posOffset>1717040</wp:posOffset>
                </wp:positionH>
                <wp:positionV relativeFrom="paragraph">
                  <wp:posOffset>1075690</wp:posOffset>
                </wp:positionV>
                <wp:extent cx="45085" cy="45085"/>
                <wp:effectExtent l="19050" t="38100" r="31115" b="31115"/>
                <wp:wrapNone/>
                <wp:docPr id="33" name="5-Point Star 33"/>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619044" id="5-Point Star 33" o:spid="_x0000_s1026" style="position:absolute;margin-left:135.2pt;margin-top:84.7pt;width:3.55pt;height:3.55pt;z-index:251724288;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0192" behindDoc="0" locked="0" layoutInCell="1" allowOverlap="1" wp14:anchorId="0047C15C" wp14:editId="5BD19480">
                <wp:simplePos x="0" y="0"/>
                <wp:positionH relativeFrom="column">
                  <wp:posOffset>1562100</wp:posOffset>
                </wp:positionH>
                <wp:positionV relativeFrom="paragraph">
                  <wp:posOffset>968375</wp:posOffset>
                </wp:positionV>
                <wp:extent cx="45085" cy="45085"/>
                <wp:effectExtent l="19050" t="38100" r="31115" b="31115"/>
                <wp:wrapNone/>
                <wp:docPr id="29" name="5-Point Star 29"/>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368FFB" id="5-Point Star 29" o:spid="_x0000_s1026" style="position:absolute;margin-left:123pt;margin-top:76.25pt;width:3.55pt;height:3.55pt;z-index:251720192;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4048" behindDoc="0" locked="0" layoutInCell="1" allowOverlap="1" wp14:anchorId="123AE78B" wp14:editId="78D176B7">
                <wp:simplePos x="0" y="0"/>
                <wp:positionH relativeFrom="column">
                  <wp:posOffset>1563802</wp:posOffset>
                </wp:positionH>
                <wp:positionV relativeFrom="paragraph">
                  <wp:posOffset>1466039</wp:posOffset>
                </wp:positionV>
                <wp:extent cx="45085" cy="45085"/>
                <wp:effectExtent l="19050" t="38100" r="31115" b="31115"/>
                <wp:wrapNone/>
                <wp:docPr id="38" name="5-Point Star 38"/>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0573DEB" id="5-Point Star 38" o:spid="_x0000_s1026" style="position:absolute;margin-left:123.15pt;margin-top:115.45pt;width:3.55pt;height:3.55pt;z-index:251714048;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gZ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2000" behindDoc="0" locked="0" layoutInCell="1" allowOverlap="1" wp14:anchorId="16C445AA" wp14:editId="02B155EA">
                <wp:simplePos x="0" y="0"/>
                <wp:positionH relativeFrom="column">
                  <wp:posOffset>1560884</wp:posOffset>
                </wp:positionH>
                <wp:positionV relativeFrom="paragraph">
                  <wp:posOffset>1784377</wp:posOffset>
                </wp:positionV>
                <wp:extent cx="45720" cy="45720"/>
                <wp:effectExtent l="19050" t="38100" r="30480" b="30480"/>
                <wp:wrapNone/>
                <wp:docPr id="40" name="5-Point Star 40"/>
                <wp:cNvGraphicFramePr/>
                <a:graphic xmlns:a="http://schemas.openxmlformats.org/drawingml/2006/main">
                  <a:graphicData uri="http://schemas.microsoft.com/office/word/2010/wordprocessingShape">
                    <wps:wsp>
                      <wps:cNvSpPr/>
                      <wps:spPr>
                        <a:xfrm>
                          <a:off x="0" y="0"/>
                          <a:ext cx="45720" cy="4572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85FA0A" id="5-Point Star 40" o:spid="_x0000_s1026" style="position:absolute;margin-left:122.9pt;margin-top:140.5pt;width:3.6pt;height:3.6pt;z-index:251712000;visibility:visible;mso-wrap-style:square;mso-wrap-distance-left:9pt;mso-wrap-distance-top:0;mso-wrap-distance-right:9pt;mso-wrap-distance-bottom:0;mso-position-horizontal:absolute;mso-position-horizontal-relative:text;mso-position-vertical:absolute;mso-position-vertical-relative:text;v-text-anchor:middl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" path="m,17463r17464,1l22860,r5396,17464l45720,17463,31592,28256r5396,17464l22860,34927,8732,45720,14128,28256,,17463xe" fillcolor="windowText" strokeweight="1pt">
                <v:stroke joinstyle="miter"/>
                <v:path arrowok="t" o:connecttype="custom" o:connectlocs="0,17463;17464,17464;22860,0;28256,17464;45720,17463;31592,28256;36988,45720;22860,34927;8732,45720;14128,28256;0,17463"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9408" behindDoc="0" locked="0" layoutInCell="1" allowOverlap="1" wp14:anchorId="6839AC9A" wp14:editId="079F6B70">
                <wp:simplePos x="0" y="0"/>
                <wp:positionH relativeFrom="column">
                  <wp:posOffset>2207004</wp:posOffset>
                </wp:positionH>
                <wp:positionV relativeFrom="paragraph">
                  <wp:posOffset>2127885</wp:posOffset>
                </wp:positionV>
                <wp:extent cx="45085" cy="45085"/>
                <wp:effectExtent l="19050" t="38100" r="31115" b="31115"/>
                <wp:wrapNone/>
                <wp:docPr id="288" name="5-Point Star 288"/>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9A86C6" id="5-Point Star 288" o:spid="_x0000_s1026" style="position:absolute;margin-left:173.8pt;margin-top:167.55pt;width:3.55pt;height:3.55pt;z-index:251729408;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9168" behindDoc="0" locked="0" layoutInCell="1" allowOverlap="1" wp14:anchorId="09E969DA" wp14:editId="5A8E9295">
                <wp:simplePos x="0" y="0"/>
                <wp:positionH relativeFrom="column">
                  <wp:posOffset>2235835</wp:posOffset>
                </wp:positionH>
                <wp:positionV relativeFrom="paragraph">
                  <wp:posOffset>964565</wp:posOffset>
                </wp:positionV>
                <wp:extent cx="45085" cy="45085"/>
                <wp:effectExtent l="19050" t="38100" r="31115" b="31115"/>
                <wp:wrapNone/>
                <wp:docPr id="28" name="5-Point Star 28"/>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817D1D5" id="5-Point Star 28" o:spid="_x0000_s1026" style="position:absolute;margin-left:176.05pt;margin-top:75.95pt;width:3.55pt;height:3.55pt;z-index:251719168;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ebA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8144" behindDoc="0" locked="0" layoutInCell="1" allowOverlap="1" wp14:anchorId="2A9A356C" wp14:editId="79003B29">
                <wp:simplePos x="0" y="0"/>
                <wp:positionH relativeFrom="column">
                  <wp:posOffset>2251075</wp:posOffset>
                </wp:positionH>
                <wp:positionV relativeFrom="paragraph">
                  <wp:posOffset>166370</wp:posOffset>
                </wp:positionV>
                <wp:extent cx="45085" cy="45085"/>
                <wp:effectExtent l="19050" t="38100" r="31115" b="31115"/>
                <wp:wrapNone/>
                <wp:docPr id="27" name="5-Point Star 27"/>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8B6AC0F" id="5-Point Star 27" o:spid="_x0000_s1026" style="position:absolute;margin-left:177.25pt;margin-top:13.1pt;width:3.55pt;height:3.55pt;z-index:251718144;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OkbQ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30432" behindDoc="0" locked="0" layoutInCell="1" allowOverlap="1" wp14:anchorId="18EA8650" wp14:editId="782F6C9F">
                <wp:simplePos x="0" y="0"/>
                <wp:positionH relativeFrom="column">
                  <wp:posOffset>2074748</wp:posOffset>
                </wp:positionH>
                <wp:positionV relativeFrom="paragraph">
                  <wp:posOffset>1991387</wp:posOffset>
                </wp:positionV>
                <wp:extent cx="45085" cy="45085"/>
                <wp:effectExtent l="19050" t="38100" r="31115" b="31115"/>
                <wp:wrapNone/>
                <wp:docPr id="44050" name="5-Point Star 44050"/>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AC0444" id="5-Point Star 44050" o:spid="_x0000_s1026" style="position:absolute;margin-left:163.35pt;margin-top:156.8pt;width:3.55pt;height:3.55pt;z-index:251730432;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7360" behindDoc="0" locked="0" layoutInCell="1" allowOverlap="1" wp14:anchorId="4E670D7E" wp14:editId="627D6CD1">
                <wp:simplePos x="0" y="0"/>
                <wp:positionH relativeFrom="column">
                  <wp:posOffset>2065196</wp:posOffset>
                </wp:positionH>
                <wp:positionV relativeFrom="paragraph">
                  <wp:posOffset>1350131</wp:posOffset>
                </wp:positionV>
                <wp:extent cx="45085" cy="45085"/>
                <wp:effectExtent l="19050" t="38100" r="31115" b="31115"/>
                <wp:wrapNone/>
                <wp:docPr id="36" name="5-Point Star 36"/>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DDD7181" id="5-Point Star 36" o:spid="_x0000_s1026" style="position:absolute;margin-left:162.6pt;margin-top:106.3pt;width:3.55pt;height:3.55pt;z-index:251727360;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3264" behindDoc="0" locked="0" layoutInCell="1" allowOverlap="1" wp14:anchorId="00C48A29" wp14:editId="0EF50085">
                <wp:simplePos x="0" y="0"/>
                <wp:positionH relativeFrom="column">
                  <wp:posOffset>2060954</wp:posOffset>
                </wp:positionH>
                <wp:positionV relativeFrom="paragraph">
                  <wp:posOffset>648997</wp:posOffset>
                </wp:positionV>
                <wp:extent cx="45085" cy="45085"/>
                <wp:effectExtent l="19050" t="38100" r="31115" b="31115"/>
                <wp:wrapNone/>
                <wp:docPr id="32" name="5-Point Star 32"/>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1BFD01" id="5-Point Star 32" o:spid="_x0000_s1026" style="position:absolute;margin-left:162.3pt;margin-top:51.1pt;width:3.55pt;height:3.55pt;z-index:251723264;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y1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16096" behindDoc="0" locked="0" layoutInCell="1" allowOverlap="1" wp14:anchorId="68219594" wp14:editId="6B743AFF">
                <wp:simplePos x="0" y="0"/>
                <wp:positionH relativeFrom="column">
                  <wp:posOffset>2223770</wp:posOffset>
                </wp:positionH>
                <wp:positionV relativeFrom="paragraph">
                  <wp:posOffset>1684655</wp:posOffset>
                </wp:positionV>
                <wp:extent cx="45085" cy="45085"/>
                <wp:effectExtent l="19050" t="38100" r="31115" b="31115"/>
                <wp:wrapNone/>
                <wp:docPr id="25" name="5-Point Star 25"/>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A6D860" id="5-Point Star 25" o:spid="_x0000_s1026" style="position:absolute;margin-left:175.1pt;margin-top:132.65pt;width:3.55pt;height:3.55pt;z-index:251716096;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gxbA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6336" behindDoc="0" locked="0" layoutInCell="1" allowOverlap="1" wp14:anchorId="65084444" wp14:editId="092FD9D2">
                <wp:simplePos x="0" y="0"/>
                <wp:positionH relativeFrom="column">
                  <wp:posOffset>2827682</wp:posOffset>
                </wp:positionH>
                <wp:positionV relativeFrom="paragraph">
                  <wp:posOffset>1459230</wp:posOffset>
                </wp:positionV>
                <wp:extent cx="45085" cy="45085"/>
                <wp:effectExtent l="19050" t="38100" r="31115" b="31115"/>
                <wp:wrapNone/>
                <wp:docPr id="35" name="5-Point Star 35"/>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289AF6" id="5-Point Star 35" o:spid="_x0000_s1026" style="position:absolute;margin-left:222.65pt;margin-top:114.9pt;width:3.55pt;height:3.55pt;z-index:251726336;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12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5312" behindDoc="0" locked="0" layoutInCell="1" allowOverlap="1" wp14:anchorId="0BC3FD19" wp14:editId="78D15735">
                <wp:simplePos x="0" y="0"/>
                <wp:positionH relativeFrom="column">
                  <wp:posOffset>2819400</wp:posOffset>
                </wp:positionH>
                <wp:positionV relativeFrom="paragraph">
                  <wp:posOffset>796290</wp:posOffset>
                </wp:positionV>
                <wp:extent cx="45085" cy="45085"/>
                <wp:effectExtent l="19050" t="38100" r="31115" b="31115"/>
                <wp:wrapNone/>
                <wp:docPr id="34" name="5-Point Star 34"/>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D0308D2" id="5-Point Star 34" o:spid="_x0000_s1026" style="position:absolute;margin-left:222pt;margin-top:62.7pt;width:3.55pt;height:3.55pt;z-index:251725312;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DR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2240" behindDoc="0" locked="0" layoutInCell="1" allowOverlap="1" wp14:anchorId="120B9620" wp14:editId="618B057E">
                <wp:simplePos x="0" y="0"/>
                <wp:positionH relativeFrom="column">
                  <wp:posOffset>1885950</wp:posOffset>
                </wp:positionH>
                <wp:positionV relativeFrom="paragraph">
                  <wp:posOffset>453849</wp:posOffset>
                </wp:positionV>
                <wp:extent cx="45085" cy="45085"/>
                <wp:effectExtent l="19050" t="38100" r="31115" b="31115"/>
                <wp:wrapNone/>
                <wp:docPr id="31" name="5-Point Star 31"/>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D27BE9B" id="5-Point Star 31" o:spid="_x0000_s1026" style="position:absolute;margin-left:148.5pt;margin-top:35.75pt;width:3.55pt;height:3.55pt;z-index:251722240;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36576" behindDoc="0" locked="0" layoutInCell="1" allowOverlap="1" wp14:anchorId="2D5E91A2" wp14:editId="2005CC0B">
                <wp:simplePos x="0" y="0"/>
                <wp:positionH relativeFrom="column">
                  <wp:posOffset>4431323</wp:posOffset>
                </wp:positionH>
                <wp:positionV relativeFrom="paragraph">
                  <wp:posOffset>817685</wp:posOffset>
                </wp:positionV>
                <wp:extent cx="457200" cy="241446"/>
                <wp:effectExtent l="0" t="0" r="0" b="6350"/>
                <wp:wrapNone/>
                <wp:docPr id="44040" name="Text Box 44040"/>
                <wp:cNvGraphicFramePr/>
                <a:graphic xmlns:a="http://schemas.openxmlformats.org/drawingml/2006/main">
                  <a:graphicData uri="http://schemas.microsoft.com/office/word/2010/wordprocessingShape">
                    <wps:wsp>
                      <wps:cNvSpPr txBox="1"/>
                      <wps:spPr>
                        <a:xfrm>
                          <a:off x="0" y="0"/>
                          <a:ext cx="457200" cy="241446"/>
                        </a:xfrm>
                        <a:prstGeom prst="rect">
                          <a:avLst/>
                        </a:prstGeom>
                        <a:solidFill>
                          <a:sysClr val="window" lastClr="FFFFFF"/>
                        </a:solidFill>
                        <a:ln w="6350">
                          <a:noFill/>
                        </a:ln>
                      </wps:spPr>
                      <wps:txbx>
                        <w:txbxContent>
                          <w:p w14:paraId="57BAA452" w14:textId="77777777" w:rsidR="00782C8C" w:rsidRPr="008F433F" w:rsidRDefault="00782C8C" w:rsidP="00782C8C">
                            <w:pPr>
                              <w:rPr>
                                <w:sz w:val="16"/>
                                <w:szCs w:val="16"/>
                              </w:rPr>
                            </w:pPr>
                            <w:r>
                              <w:rPr>
                                <w:sz w:val="16"/>
                                <w:szCs w:val="16"/>
                              </w:rPr>
                              <w:t xml:space="preserve">  </w:t>
                            </w:r>
                            <w:r w:rsidRPr="008F433F">
                              <w:rPr>
                                <w:sz w:val="16"/>
                                <w:szCs w:val="16"/>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91A2" id="Text Box 44040" o:spid="_x0000_s1030" type="#_x0000_t202" style="position:absolute;left:0;text-align:left;margin-left:348.9pt;margin-top:64.4pt;width:36pt;height:1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" fillcolor="window" stroked="f" strokeweight=".5pt">
                <v:textbox>
                  <w:txbxContent>
                    <w:p w14:paraId="57BAA452" w14:textId="77777777" w:rsidR="00782C8C" w:rsidRPr="008F433F" w:rsidRDefault="00782C8C" w:rsidP="00782C8C">
                      <w:pPr>
                        <w:rPr>
                          <w:sz w:val="16"/>
                          <w:szCs w:val="16"/>
                        </w:rPr>
                      </w:pPr>
                      <w:r>
                        <w:rPr>
                          <w:sz w:val="16"/>
                          <w:szCs w:val="16"/>
                        </w:rPr>
                        <w:t xml:space="preserve">  </w:t>
                      </w:r>
                      <w:r w:rsidRPr="008F433F">
                        <w:rPr>
                          <w:sz w:val="16"/>
                          <w:szCs w:val="16"/>
                        </w:rPr>
                        <w:t>(iv)</w:t>
                      </w:r>
                    </w:p>
                  </w:txbxContent>
                </v:textbox>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35552" behindDoc="0" locked="0" layoutInCell="1" allowOverlap="1" wp14:anchorId="197193D2" wp14:editId="3540A041">
                <wp:simplePos x="0" y="0"/>
                <wp:positionH relativeFrom="column">
                  <wp:posOffset>4475285</wp:posOffset>
                </wp:positionH>
                <wp:positionV relativeFrom="paragraph">
                  <wp:posOffset>1397976</wp:posOffset>
                </wp:positionV>
                <wp:extent cx="404446" cy="254977"/>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04446" cy="254977"/>
                        </a:xfrm>
                        <a:prstGeom prst="rect">
                          <a:avLst/>
                        </a:prstGeom>
                        <a:solidFill>
                          <a:sysClr val="window" lastClr="FFFFFF"/>
                        </a:solidFill>
                        <a:ln w="6350">
                          <a:noFill/>
                        </a:ln>
                      </wps:spPr>
                      <wps:txbx>
                        <w:txbxContent>
                          <w:p w14:paraId="2E3EBE00" w14:textId="77777777" w:rsidR="00782C8C" w:rsidRPr="008F433F" w:rsidRDefault="00782C8C" w:rsidP="00782C8C">
                            <w:pPr>
                              <w:rPr>
                                <w:sz w:val="16"/>
                                <w:szCs w:val="16"/>
                              </w:rPr>
                            </w:pPr>
                            <w:r w:rsidRPr="008F433F">
                              <w:rPr>
                                <w:sz w:val="16"/>
                                <w:szCs w:val="16"/>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193D2" id="Text Box 63" o:spid="_x0000_s1031" type="#_x0000_t202" style="position:absolute;left:0;text-align:left;margin-left:352.4pt;margin-top:110.1pt;width:31.85pt;height:20.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" fillcolor="window" stroked="f" strokeweight=".5pt">
                <v:textbox>
                  <w:txbxContent>
                    <w:p w14:paraId="2E3EBE00" w14:textId="77777777" w:rsidR="00782C8C" w:rsidRPr="008F433F" w:rsidRDefault="00782C8C" w:rsidP="00782C8C">
                      <w:pPr>
                        <w:rPr>
                          <w:sz w:val="16"/>
                          <w:szCs w:val="16"/>
                        </w:rPr>
                      </w:pPr>
                      <w:r w:rsidRPr="008F433F">
                        <w:rPr>
                          <w:sz w:val="16"/>
                          <w:szCs w:val="16"/>
                        </w:rPr>
                        <w:t>(iii)</w:t>
                      </w:r>
                    </w:p>
                  </w:txbxContent>
                </v:textbox>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34528" behindDoc="0" locked="0" layoutInCell="1" allowOverlap="1" wp14:anchorId="0B50A39A" wp14:editId="2FA0F116">
                <wp:simplePos x="0" y="0"/>
                <wp:positionH relativeFrom="column">
                  <wp:posOffset>4475236</wp:posOffset>
                </wp:positionH>
                <wp:positionV relativeFrom="paragraph">
                  <wp:posOffset>1758315</wp:posOffset>
                </wp:positionV>
                <wp:extent cx="369277" cy="219807"/>
                <wp:effectExtent l="0" t="0" r="0" b="8890"/>
                <wp:wrapNone/>
                <wp:docPr id="48" name="Text Box 48"/>
                <wp:cNvGraphicFramePr/>
                <a:graphic xmlns:a="http://schemas.openxmlformats.org/drawingml/2006/main">
                  <a:graphicData uri="http://schemas.microsoft.com/office/word/2010/wordprocessingShape">
                    <wps:wsp>
                      <wps:cNvSpPr txBox="1"/>
                      <wps:spPr>
                        <a:xfrm>
                          <a:off x="0" y="0"/>
                          <a:ext cx="369277" cy="219807"/>
                        </a:xfrm>
                        <a:prstGeom prst="rect">
                          <a:avLst/>
                        </a:prstGeom>
                        <a:solidFill>
                          <a:sysClr val="window" lastClr="FFFFFF"/>
                        </a:solidFill>
                        <a:ln w="6350">
                          <a:noFill/>
                        </a:ln>
                      </wps:spPr>
                      <wps:txbx>
                        <w:txbxContent>
                          <w:p w14:paraId="380BC22B" w14:textId="77777777" w:rsidR="00782C8C" w:rsidRPr="008F433F" w:rsidRDefault="00782C8C" w:rsidP="00782C8C">
                            <w:pPr>
                              <w:rPr>
                                <w:sz w:val="16"/>
                                <w:szCs w:val="16"/>
                              </w:rPr>
                            </w:pPr>
                            <w:r w:rsidRPr="008F433F">
                              <w:rPr>
                                <w:sz w:val="16"/>
                                <w:szCs w:val="16"/>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A39A" id="Text Box 48" o:spid="_x0000_s1032" type="#_x0000_t202" style="position:absolute;left:0;text-align:left;margin-left:352.4pt;margin-top:138.45pt;width:29.1pt;height:17.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" fillcolor="window" stroked="f" strokeweight=".5pt">
                <v:textbox>
                  <w:txbxContent>
                    <w:p w14:paraId="380BC22B" w14:textId="77777777" w:rsidR="00782C8C" w:rsidRPr="008F433F" w:rsidRDefault="00782C8C" w:rsidP="00782C8C">
                      <w:pPr>
                        <w:rPr>
                          <w:sz w:val="16"/>
                          <w:szCs w:val="16"/>
                        </w:rPr>
                      </w:pPr>
                      <w:r w:rsidRPr="008F433F">
                        <w:rPr>
                          <w:sz w:val="16"/>
                          <w:szCs w:val="16"/>
                        </w:rPr>
                        <w:t>(ii)</w:t>
                      </w:r>
                    </w:p>
                  </w:txbxContent>
                </v:textbox>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33504" behindDoc="0" locked="0" layoutInCell="1" allowOverlap="1" wp14:anchorId="4C4D9DED" wp14:editId="58B06B22">
                <wp:simplePos x="0" y="0"/>
                <wp:positionH relativeFrom="column">
                  <wp:posOffset>4483735</wp:posOffset>
                </wp:positionH>
                <wp:positionV relativeFrom="paragraph">
                  <wp:posOffset>2169404</wp:posOffset>
                </wp:positionV>
                <wp:extent cx="316523" cy="211016"/>
                <wp:effectExtent l="0" t="0" r="7620" b="0"/>
                <wp:wrapNone/>
                <wp:docPr id="47" name="Text Box 47"/>
                <wp:cNvGraphicFramePr/>
                <a:graphic xmlns:a="http://schemas.openxmlformats.org/drawingml/2006/main">
                  <a:graphicData uri="http://schemas.microsoft.com/office/word/2010/wordprocessingShape">
                    <wps:wsp>
                      <wps:cNvSpPr txBox="1"/>
                      <wps:spPr>
                        <a:xfrm>
                          <a:off x="0" y="0"/>
                          <a:ext cx="316523" cy="211016"/>
                        </a:xfrm>
                        <a:prstGeom prst="rect">
                          <a:avLst/>
                        </a:prstGeom>
                        <a:solidFill>
                          <a:sysClr val="window" lastClr="FFFFFF"/>
                        </a:solidFill>
                        <a:ln w="6350">
                          <a:noFill/>
                        </a:ln>
                      </wps:spPr>
                      <wps:txbx>
                        <w:txbxContent>
                          <w:p w14:paraId="3624BFFE" w14:textId="77777777" w:rsidR="00782C8C" w:rsidRPr="008F433F" w:rsidRDefault="00782C8C" w:rsidP="00782C8C">
                            <w:pPr>
                              <w:rPr>
                                <w:sz w:val="16"/>
                                <w:szCs w:val="16"/>
                              </w:rPr>
                            </w:pPr>
                            <w:r w:rsidRPr="008F433F">
                              <w:rPr>
                                <w:sz w:val="16"/>
                                <w:szCs w:val="1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9DED" id="Text Box 47" o:spid="_x0000_s1033" type="#_x0000_t202" style="position:absolute;left:0;text-align:left;margin-left:353.05pt;margin-top:170.8pt;width:24.9pt;height:1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" fillcolor="window" stroked="f" strokeweight=".5pt">
                <v:textbox>
                  <w:txbxContent>
                    <w:p w14:paraId="3624BFFE" w14:textId="77777777" w:rsidR="00782C8C" w:rsidRPr="008F433F" w:rsidRDefault="00782C8C" w:rsidP="00782C8C">
                      <w:pPr>
                        <w:rPr>
                          <w:sz w:val="16"/>
                          <w:szCs w:val="16"/>
                        </w:rPr>
                      </w:pPr>
                      <w:r w:rsidRPr="008F433F">
                        <w:rPr>
                          <w:sz w:val="16"/>
                          <w:szCs w:val="16"/>
                        </w:rPr>
                        <w:t>(i)</w:t>
                      </w:r>
                    </w:p>
                  </w:txbxContent>
                </v:textbox>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8384" behindDoc="0" locked="0" layoutInCell="1" allowOverlap="1" wp14:anchorId="030ACF9F" wp14:editId="50CBB930">
                <wp:simplePos x="0" y="0"/>
                <wp:positionH relativeFrom="column">
                  <wp:posOffset>2032000</wp:posOffset>
                </wp:positionH>
                <wp:positionV relativeFrom="paragraph">
                  <wp:posOffset>1727200</wp:posOffset>
                </wp:positionV>
                <wp:extent cx="45085" cy="45085"/>
                <wp:effectExtent l="19050" t="38100" r="31115" b="31115"/>
                <wp:wrapNone/>
                <wp:docPr id="37" name="5-Point Star 37"/>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0239B1B" id="5-Point Star 37" o:spid="_x0000_s1026" style="position:absolute;margin-left:160pt;margin-top:136pt;width:3.55pt;height:3.55pt;z-index:251728384;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bj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lang w:eastAsia="en-MY"/>
        </w:rPr>
        <mc:AlternateContent>
          <mc:Choice Requires="wps">
            <w:drawing>
              <wp:anchor distT="0" distB="0" distL="114300" distR="114300" simplePos="0" relativeHeight="251721216" behindDoc="0" locked="0" layoutInCell="1" allowOverlap="1" wp14:anchorId="328C49A5" wp14:editId="4AF21C4D">
                <wp:simplePos x="0" y="0"/>
                <wp:positionH relativeFrom="column">
                  <wp:posOffset>1693545</wp:posOffset>
                </wp:positionH>
                <wp:positionV relativeFrom="paragraph">
                  <wp:posOffset>495935</wp:posOffset>
                </wp:positionV>
                <wp:extent cx="45085" cy="45085"/>
                <wp:effectExtent l="19050" t="38100" r="31115" b="31115"/>
                <wp:wrapNone/>
                <wp:docPr id="30" name="5-Point Star 30"/>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653B3E9" id="5-Point Star 30" o:spid="_x0000_s1026" style="position:absolute;margin-left:133.35pt;margin-top:39.05pt;width:3.55pt;height:3.55pt;z-index:251721216;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cgbA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Pr="008E67A5">
        <w:rPr>
          <w:rFonts w:ascii="Times New Roman" w:eastAsia="Calibri" w:hAnsi="Times New Roman"/>
          <w:noProof/>
          <w:sz w:val="20"/>
          <w:szCs w:val="20"/>
          <w:vertAlign w:val="subscript"/>
          <w:lang w:eastAsia="en-MY"/>
        </w:rPr>
        <w:drawing>
          <wp:inline distT="0" distB="0" distL="0" distR="0" wp14:anchorId="45349C40" wp14:editId="0E5B1AC5">
            <wp:extent cx="5625465" cy="3030855"/>
            <wp:effectExtent l="19050" t="19050" r="1333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30577" cy="3034145"/>
                    </a:xfrm>
                    <a:prstGeom prst="rect">
                      <a:avLst/>
                    </a:prstGeom>
                    <a:noFill/>
                    <a:ln>
                      <a:solidFill>
                        <a:schemeClr val="tx1"/>
                      </a:solidFill>
                    </a:ln>
                  </pic:spPr>
                </pic:pic>
              </a:graphicData>
            </a:graphic>
          </wp:inline>
        </w:drawing>
      </w:r>
    </w:p>
    <w:p w14:paraId="4CA0B00E" w14:textId="75C8BC74" w:rsidR="00782C8C" w:rsidRPr="008E67A5" w:rsidRDefault="00782C8C" w:rsidP="00782C8C">
      <w:pPr>
        <w:spacing w:after="0"/>
        <w:ind w:left="851" w:hanging="851"/>
        <w:jc w:val="both"/>
        <w:rPr>
          <w:rFonts w:ascii="Times New Roman" w:eastAsia="Calibri" w:hAnsi="Times New Roman"/>
          <w:sz w:val="20"/>
          <w:szCs w:val="20"/>
          <w:lang w:eastAsia="en-MY"/>
        </w:rPr>
      </w:pPr>
      <w:r w:rsidRPr="008E67A5">
        <w:rPr>
          <w:rFonts w:ascii="Times New Roman" w:eastAsia="Calibri" w:hAnsi="Times New Roman"/>
          <w:sz w:val="20"/>
          <w:szCs w:val="20"/>
          <w:lang w:eastAsia="en-MY"/>
        </w:rPr>
        <w:t xml:space="preserve">Figure 2. </w:t>
      </w:r>
      <w:r>
        <w:rPr>
          <w:rFonts w:ascii="Times New Roman" w:eastAsia="Calibri" w:hAnsi="Times New Roman"/>
          <w:sz w:val="20"/>
          <w:szCs w:val="20"/>
          <w:lang w:eastAsia="en-MY"/>
        </w:rPr>
        <w:tab/>
      </w:r>
      <w:r w:rsidRPr="008E67A5">
        <w:rPr>
          <w:rFonts w:ascii="Times New Roman" w:eastAsia="Calibri" w:hAnsi="Times New Roman"/>
          <w:sz w:val="20"/>
          <w:szCs w:val="20"/>
          <w:lang w:eastAsia="en-MY"/>
        </w:rPr>
        <w:t>XRD patterns of (a) pristine PHB (i) and NR (ii), while (b) NR/PHB blends with 80:20 (i) 60:40 (ii) 40:60 (iii) and 20:80 (iv) ratios of NR/PHB blends</w:t>
      </w:r>
    </w:p>
    <w:p w14:paraId="4B8EDCB5" w14:textId="30F2A25B" w:rsidR="00782C8C" w:rsidRDefault="00782C8C" w:rsidP="00782C8C">
      <w:pPr>
        <w:spacing w:after="0"/>
        <w:jc w:val="both"/>
        <w:rPr>
          <w:rFonts w:ascii="Times New Roman" w:eastAsia="Calibri" w:hAnsi="Times New Roman"/>
          <w:sz w:val="20"/>
          <w:szCs w:val="20"/>
          <w:lang w:eastAsia="en-MY"/>
        </w:rPr>
      </w:pPr>
    </w:p>
    <w:p w14:paraId="674B4C68" w14:textId="77777777" w:rsidR="00782C8C" w:rsidRPr="008E67A5" w:rsidRDefault="00782C8C" w:rsidP="00782C8C">
      <w:pPr>
        <w:spacing w:after="0"/>
        <w:jc w:val="both"/>
        <w:rPr>
          <w:rFonts w:ascii="Times New Roman" w:eastAsia="Calibri" w:hAnsi="Times New Roman"/>
          <w:sz w:val="20"/>
          <w:szCs w:val="20"/>
          <w:lang w:eastAsia="en-MY"/>
        </w:rPr>
      </w:pPr>
    </w:p>
    <w:p w14:paraId="3038652E" w14:textId="3A025444" w:rsidR="00782C8C" w:rsidRDefault="00782C8C" w:rsidP="00782C8C">
      <w:pPr>
        <w:spacing w:after="0"/>
        <w:jc w:val="center"/>
        <w:rPr>
          <w:rFonts w:ascii="Times New Roman" w:hAnsi="Times New Roman"/>
          <w:sz w:val="20"/>
          <w:szCs w:val="20"/>
        </w:rPr>
      </w:pPr>
      <w:r w:rsidRPr="008E67A5">
        <w:rPr>
          <w:rFonts w:ascii="Times New Roman" w:hAnsi="Times New Roman"/>
          <w:noProof/>
          <w:sz w:val="20"/>
          <w:szCs w:val="20"/>
          <w:lang w:eastAsia="en-MY"/>
        </w:rPr>
        <w:lastRenderedPageBreak/>
        <mc:AlternateContent>
          <mc:Choice Requires="wps">
            <w:drawing>
              <wp:anchor distT="0" distB="0" distL="114300" distR="114300" simplePos="0" relativeHeight="251740672" behindDoc="0" locked="0" layoutInCell="1" allowOverlap="1" wp14:anchorId="581EB109" wp14:editId="0EDC71B1">
                <wp:simplePos x="0" y="0"/>
                <wp:positionH relativeFrom="margin">
                  <wp:posOffset>569331</wp:posOffset>
                </wp:positionH>
                <wp:positionV relativeFrom="paragraph">
                  <wp:posOffset>49464</wp:posOffset>
                </wp:positionV>
                <wp:extent cx="382905" cy="370114"/>
                <wp:effectExtent l="0" t="0" r="17145" b="1143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70114"/>
                        </a:xfrm>
                        <a:prstGeom prst="rect">
                          <a:avLst/>
                        </a:prstGeom>
                        <a:solidFill>
                          <a:srgbClr val="FFFFFF"/>
                        </a:solidFill>
                        <a:ln w="9525">
                          <a:solidFill>
                            <a:sysClr val="window" lastClr="FFFFFF"/>
                          </a:solidFill>
                          <a:miter lim="800000"/>
                        </a:ln>
                      </wps:spPr>
                      <wps:txbx>
                        <w:txbxContent>
                          <w:p w14:paraId="3AE63AFB" w14:textId="77777777" w:rsidR="00782C8C" w:rsidRPr="00B75D23" w:rsidRDefault="00782C8C" w:rsidP="00782C8C">
                            <w:pPr>
                              <w:rPr>
                                <w:rFonts w:asciiTheme="majorBidi" w:hAnsiTheme="majorBidi" w:cstheme="majorBidi"/>
                                <w:sz w:val="20"/>
                                <w:szCs w:val="20"/>
                              </w:rPr>
                            </w:pPr>
                            <w:r w:rsidRPr="00B75D23">
                              <w:rPr>
                                <w:rFonts w:asciiTheme="majorBidi" w:hAnsiTheme="majorBidi" w:cstheme="majorBidi"/>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EB109" id="Text Box 2" o:spid="_x0000_s1034" type="#_x0000_t202" style="position:absolute;left:0;text-align:left;margin-left:44.85pt;margin-top:3.9pt;width:30.15pt;height:29.1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" strokecolor="window">
                <v:textbox>
                  <w:txbxContent>
                    <w:p w14:paraId="3AE63AFB" w14:textId="77777777" w:rsidR="00782C8C" w:rsidRPr="00B75D23" w:rsidRDefault="00782C8C" w:rsidP="00782C8C">
                      <w:pPr>
                        <w:rPr>
                          <w:rFonts w:asciiTheme="majorBidi" w:hAnsiTheme="majorBidi" w:cstheme="majorBidi"/>
                          <w:sz w:val="20"/>
                          <w:szCs w:val="20"/>
                        </w:rPr>
                      </w:pPr>
                      <w:r w:rsidRPr="00B75D23">
                        <w:rPr>
                          <w:rFonts w:asciiTheme="majorBidi" w:hAnsiTheme="majorBidi" w:cstheme="majorBidi"/>
                          <w:sz w:val="20"/>
                          <w:szCs w:val="20"/>
                        </w:rPr>
                        <w:t>(a)</w:t>
                      </w:r>
                    </w:p>
                  </w:txbxContent>
                </v:textbox>
                <w10:wrap anchorx="margin"/>
              </v:shape>
            </w:pict>
          </mc:Fallback>
        </mc:AlternateContent>
      </w:r>
      <w:r w:rsidRPr="008E67A5">
        <w:rPr>
          <w:rFonts w:ascii="Times New Roman" w:hAnsi="Times New Roman"/>
          <w:sz w:val="20"/>
          <w:szCs w:val="20"/>
        </w:rPr>
        <w:object w:dxaOrig="24030" w:dyaOrig="18240" w14:anchorId="23EF0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pt;height:273.6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Origin50.Graph" ShapeID="_x0000_i1025" DrawAspect="Content" ObjectID="_1673642542" r:id="rId21"/>
        </w:object>
      </w:r>
    </w:p>
    <w:p w14:paraId="06677AB1" w14:textId="77777777" w:rsidR="00782C8C" w:rsidRPr="008E67A5" w:rsidRDefault="00782C8C" w:rsidP="00782C8C">
      <w:pPr>
        <w:spacing w:after="0"/>
        <w:jc w:val="center"/>
        <w:rPr>
          <w:rFonts w:ascii="Times New Roman" w:hAnsi="Times New Roman"/>
          <w:sz w:val="20"/>
          <w:szCs w:val="20"/>
          <w:lang w:eastAsia="en-MY"/>
        </w:rPr>
      </w:pPr>
    </w:p>
    <w:p w14:paraId="3A1ADD3B" w14:textId="0B3F6A52" w:rsidR="00782C8C" w:rsidRPr="008E67A5" w:rsidRDefault="00782C8C" w:rsidP="00782C8C">
      <w:pPr>
        <w:spacing w:after="120"/>
        <w:jc w:val="center"/>
        <w:rPr>
          <w:rFonts w:ascii="Times New Roman" w:hAnsi="Times New Roman"/>
          <w:sz w:val="20"/>
          <w:szCs w:val="20"/>
        </w:rPr>
      </w:pPr>
      <w:r w:rsidRPr="008E67A5">
        <w:rPr>
          <w:rFonts w:ascii="Times New Roman" w:hAnsi="Times New Roman"/>
          <w:noProof/>
          <w:sz w:val="20"/>
          <w:szCs w:val="20"/>
          <w:lang w:eastAsia="en-MY"/>
        </w:rPr>
        <mc:AlternateContent>
          <mc:Choice Requires="wps">
            <w:drawing>
              <wp:anchor distT="0" distB="0" distL="114300" distR="114300" simplePos="0" relativeHeight="251739648" behindDoc="0" locked="0" layoutInCell="1" allowOverlap="1" wp14:anchorId="74660EC3" wp14:editId="5683DB01">
                <wp:simplePos x="0" y="0"/>
                <wp:positionH relativeFrom="margin">
                  <wp:posOffset>555188</wp:posOffset>
                </wp:positionH>
                <wp:positionV relativeFrom="paragraph">
                  <wp:posOffset>93345</wp:posOffset>
                </wp:positionV>
                <wp:extent cx="370205" cy="271780"/>
                <wp:effectExtent l="0" t="0" r="10795" b="139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71780"/>
                        </a:xfrm>
                        <a:prstGeom prst="rect">
                          <a:avLst/>
                        </a:prstGeom>
                        <a:solidFill>
                          <a:srgbClr val="FFFFFF"/>
                        </a:solidFill>
                        <a:ln w="9525">
                          <a:solidFill>
                            <a:sysClr val="window" lastClr="FFFFFF"/>
                          </a:solidFill>
                          <a:miter lim="800000"/>
                        </a:ln>
                      </wps:spPr>
                      <wps:txbx>
                        <w:txbxContent>
                          <w:p w14:paraId="2D718281" w14:textId="77777777" w:rsidR="00782C8C" w:rsidRPr="00B75D23" w:rsidRDefault="00782C8C" w:rsidP="00782C8C">
                            <w:pPr>
                              <w:rPr>
                                <w:rFonts w:asciiTheme="majorBidi" w:hAnsiTheme="majorBidi" w:cstheme="majorBidi"/>
                                <w:sz w:val="20"/>
                                <w:szCs w:val="20"/>
                              </w:rPr>
                            </w:pPr>
                            <w:r w:rsidRPr="00B75D23">
                              <w:rPr>
                                <w:rFonts w:asciiTheme="majorBidi" w:hAnsiTheme="majorBidi" w:cstheme="majorBidi"/>
                                <w:sz w:val="20"/>
                                <w:szCs w:val="20"/>
                              </w:rPr>
                              <w:t>(b)</w:t>
                            </w:r>
                          </w:p>
                        </w:txbxContent>
                      </wps:txbx>
                      <wps:bodyPr rot="0" vert="horz" wrap="square" lIns="91440" tIns="45720" rIns="91440" bIns="45720" anchor="t" anchorCtr="0">
                        <a:noAutofit/>
                      </wps:bodyPr>
                    </wps:wsp>
                  </a:graphicData>
                </a:graphic>
              </wp:anchor>
            </w:drawing>
          </mc:Choice>
          <mc:Fallback>
            <w:pict>
              <v:shape w14:anchorId="74660EC3" id="_x0000_s1035" type="#_x0000_t202" style="position:absolute;left:0;text-align:left;margin-left:43.7pt;margin-top:7.35pt;width:29.15pt;height:21.4pt;z-index:251739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" strokecolor="window">
                <v:textbox>
                  <w:txbxContent>
                    <w:p w14:paraId="2D718281" w14:textId="77777777" w:rsidR="00782C8C" w:rsidRPr="00B75D23" w:rsidRDefault="00782C8C" w:rsidP="00782C8C">
                      <w:pPr>
                        <w:rPr>
                          <w:rFonts w:asciiTheme="majorBidi" w:hAnsiTheme="majorBidi" w:cstheme="majorBidi"/>
                          <w:sz w:val="20"/>
                          <w:szCs w:val="20"/>
                        </w:rPr>
                      </w:pPr>
                      <w:r w:rsidRPr="00B75D23">
                        <w:rPr>
                          <w:rFonts w:asciiTheme="majorBidi" w:hAnsiTheme="majorBidi" w:cstheme="majorBidi"/>
                          <w:sz w:val="20"/>
                          <w:szCs w:val="20"/>
                        </w:rPr>
                        <w:t>(b)</w:t>
                      </w:r>
                    </w:p>
                  </w:txbxContent>
                </v:textbox>
                <w10:wrap anchorx="margin"/>
              </v:shape>
            </w:pict>
          </mc:Fallback>
        </mc:AlternateContent>
      </w:r>
      <w:r w:rsidRPr="008E67A5">
        <w:rPr>
          <w:rFonts w:ascii="Times New Roman" w:hAnsi="Times New Roman"/>
          <w:sz w:val="20"/>
          <w:szCs w:val="20"/>
        </w:rPr>
        <w:object w:dxaOrig="24030" w:dyaOrig="18240" w14:anchorId="23BC54F1">
          <v:shape id="_x0000_i1026" type="#_x0000_t75" style="width:396.6pt;height:303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Origin50.Graph" ShapeID="_x0000_i1026" DrawAspect="Content" ObjectID="_1673642543" r:id="rId23"/>
        </w:object>
      </w:r>
    </w:p>
    <w:p w14:paraId="637FF60E" w14:textId="77777777" w:rsidR="0076778D" w:rsidRDefault="00782C8C" w:rsidP="00782C8C">
      <w:pPr>
        <w:spacing w:after="0"/>
        <w:jc w:val="center"/>
        <w:rPr>
          <w:rFonts w:ascii="Times New Roman" w:hAnsi="Times New Roman"/>
          <w:sz w:val="20"/>
          <w:szCs w:val="20"/>
          <w:lang w:eastAsia="en-MY"/>
        </w:rPr>
        <w:sectPr w:rsidR="0076778D" w:rsidSect="004846C8">
          <w:footerReference w:type="even" r:id="rId24"/>
          <w:footerReference w:type="default" r:id="rId25"/>
          <w:type w:val="continuous"/>
          <w:pgSz w:w="12240" w:h="15840" w:code="1"/>
          <w:pgMar w:top="1800" w:right="1469" w:bottom="1699" w:left="1440" w:header="706" w:footer="706" w:gutter="0"/>
          <w:pgNumType w:start="0"/>
          <w:cols w:space="708"/>
          <w:docGrid w:linePitch="360"/>
        </w:sectPr>
      </w:pPr>
      <w:r w:rsidRPr="008E67A5">
        <w:rPr>
          <w:rFonts w:ascii="Times New Roman" w:hAnsi="Times New Roman"/>
          <w:sz w:val="20"/>
          <w:szCs w:val="20"/>
          <w:lang w:eastAsia="en-MY"/>
        </w:rPr>
        <w:t xml:space="preserve">Figure 3. </w:t>
      </w:r>
      <w:r>
        <w:rPr>
          <w:rFonts w:ascii="Times New Roman" w:hAnsi="Times New Roman"/>
          <w:sz w:val="20"/>
          <w:szCs w:val="20"/>
          <w:lang w:eastAsia="en-MY"/>
        </w:rPr>
        <w:t xml:space="preserve"> </w:t>
      </w:r>
      <w:r w:rsidRPr="008E67A5">
        <w:rPr>
          <w:rFonts w:ascii="Times New Roman" w:hAnsi="Times New Roman"/>
          <w:sz w:val="20"/>
          <w:szCs w:val="20"/>
          <w:lang w:eastAsia="en-MY"/>
        </w:rPr>
        <w:t>(a) TG and (b) DTG of the NR, PHB, and various composition of NR/PHB blends</w:t>
      </w:r>
    </w:p>
    <w:p w14:paraId="5BFDE36C" w14:textId="77777777" w:rsidR="00782C8C" w:rsidRPr="008E67A5" w:rsidRDefault="00782C8C" w:rsidP="00782C8C">
      <w:pPr>
        <w:spacing w:after="0"/>
        <w:jc w:val="both"/>
        <w:rPr>
          <w:rFonts w:ascii="Times New Roman" w:hAnsi="Times New Roman"/>
          <w:sz w:val="20"/>
          <w:szCs w:val="20"/>
          <w:lang w:eastAsia="en-MY"/>
        </w:rPr>
      </w:pPr>
    </w:p>
    <w:p w14:paraId="360A997A" w14:textId="77777777" w:rsidR="00782C8C" w:rsidRPr="008E67A5" w:rsidRDefault="00782C8C" w:rsidP="00782C8C">
      <w:pPr>
        <w:spacing w:after="0"/>
        <w:jc w:val="center"/>
        <w:rPr>
          <w:rFonts w:ascii="Times New Roman" w:hAnsi="Times New Roman"/>
          <w:sz w:val="20"/>
          <w:szCs w:val="20"/>
          <w:lang w:eastAsia="en-MY"/>
        </w:rPr>
      </w:pPr>
      <w:r w:rsidRPr="008E67A5">
        <w:rPr>
          <w:rFonts w:ascii="Times New Roman" w:hAnsi="Times New Roman"/>
          <w:sz w:val="20"/>
          <w:szCs w:val="20"/>
          <w:lang w:eastAsia="en-MY"/>
        </w:rPr>
        <w:t>Table 2. Thermal degradation of NR, PHB, and various composition of NR/PHB blends</w:t>
      </w:r>
    </w:p>
    <w:tbl>
      <w:tblPr>
        <w:tblpPr w:leftFromText="180" w:rightFromText="180" w:vertAnchor="text" w:horzAnchor="margin" w:tblpXSpec="center" w:tblpY="130"/>
        <w:tblW w:w="0" w:type="auto"/>
        <w:tblLook w:val="04A0" w:firstRow="1" w:lastRow="0" w:firstColumn="1" w:lastColumn="0" w:noHBand="0" w:noVBand="1"/>
      </w:tblPr>
      <w:tblGrid>
        <w:gridCol w:w="1242"/>
        <w:gridCol w:w="704"/>
        <w:gridCol w:w="704"/>
        <w:gridCol w:w="653"/>
        <w:gridCol w:w="653"/>
      </w:tblGrid>
      <w:tr w:rsidR="00782C8C" w:rsidRPr="008E67A5" w14:paraId="0C87DC4F" w14:textId="77777777" w:rsidTr="00782C8C">
        <w:trPr>
          <w:trHeight w:val="276"/>
        </w:trPr>
        <w:tc>
          <w:tcPr>
            <w:tcW w:w="1242" w:type="dxa"/>
            <w:vMerge w:val="restart"/>
            <w:tcBorders>
              <w:top w:val="single" w:sz="4" w:space="0" w:color="auto"/>
              <w:bottom w:val="single" w:sz="4" w:space="0" w:color="auto"/>
            </w:tcBorders>
          </w:tcPr>
          <w:p w14:paraId="4FAEAD1E" w14:textId="77777777" w:rsidR="00782C8C" w:rsidRPr="008E67A5" w:rsidRDefault="00782C8C" w:rsidP="00782C8C">
            <w:pPr>
              <w:spacing w:before="60" w:after="0"/>
              <w:rPr>
                <w:rFonts w:ascii="Times New Roman" w:hAnsi="Times New Roman"/>
                <w:b/>
                <w:bCs/>
                <w:sz w:val="20"/>
                <w:szCs w:val="20"/>
                <w:lang w:eastAsia="en-MY"/>
              </w:rPr>
            </w:pPr>
            <w:r w:rsidRPr="008E67A5">
              <w:rPr>
                <w:rFonts w:ascii="Times New Roman" w:hAnsi="Times New Roman"/>
                <w:b/>
                <w:bCs/>
                <w:sz w:val="20"/>
                <w:szCs w:val="20"/>
                <w:lang w:eastAsia="en-MY"/>
              </w:rPr>
              <w:t>NR/PHB</w:t>
            </w:r>
          </w:p>
        </w:tc>
        <w:tc>
          <w:tcPr>
            <w:tcW w:w="0" w:type="auto"/>
            <w:gridSpan w:val="2"/>
            <w:tcBorders>
              <w:top w:val="single" w:sz="4" w:space="0" w:color="auto"/>
              <w:bottom w:val="single" w:sz="4" w:space="0" w:color="auto"/>
            </w:tcBorders>
          </w:tcPr>
          <w:p w14:paraId="7B3442E5" w14:textId="77777777" w:rsidR="00782C8C" w:rsidRPr="008E67A5" w:rsidRDefault="00782C8C" w:rsidP="00782C8C">
            <w:pPr>
              <w:spacing w:before="60" w:after="0"/>
              <w:jc w:val="center"/>
              <w:rPr>
                <w:rFonts w:ascii="Times New Roman" w:hAnsi="Times New Roman"/>
                <w:b/>
                <w:bCs/>
                <w:sz w:val="20"/>
                <w:szCs w:val="20"/>
                <w:vertAlign w:val="subscript"/>
                <w:lang w:eastAsia="en-MY"/>
              </w:rPr>
            </w:pPr>
            <w:r w:rsidRPr="008E67A5">
              <w:rPr>
                <w:rFonts w:ascii="Times New Roman" w:hAnsi="Times New Roman"/>
                <w:b/>
                <w:bCs/>
                <w:sz w:val="20"/>
                <w:szCs w:val="20"/>
                <w:lang w:eastAsia="en-MY"/>
              </w:rPr>
              <w:t>T</w:t>
            </w:r>
            <w:r w:rsidRPr="008E67A5">
              <w:rPr>
                <w:rFonts w:ascii="Times New Roman" w:hAnsi="Times New Roman"/>
                <w:b/>
                <w:bCs/>
                <w:sz w:val="20"/>
                <w:szCs w:val="20"/>
                <w:vertAlign w:val="subscript"/>
                <w:lang w:eastAsia="en-MY"/>
              </w:rPr>
              <w:t>onset</w:t>
            </w:r>
          </w:p>
        </w:tc>
        <w:tc>
          <w:tcPr>
            <w:tcW w:w="0" w:type="auto"/>
            <w:gridSpan w:val="2"/>
            <w:tcBorders>
              <w:top w:val="single" w:sz="4" w:space="0" w:color="auto"/>
              <w:bottom w:val="single" w:sz="4" w:space="0" w:color="auto"/>
            </w:tcBorders>
          </w:tcPr>
          <w:p w14:paraId="1EF733B8" w14:textId="77777777" w:rsidR="00782C8C" w:rsidRPr="008E67A5" w:rsidRDefault="00782C8C" w:rsidP="00782C8C">
            <w:pPr>
              <w:spacing w:before="60" w:after="0"/>
              <w:jc w:val="center"/>
              <w:rPr>
                <w:rFonts w:ascii="Times New Roman" w:hAnsi="Times New Roman"/>
                <w:b/>
                <w:bCs/>
                <w:sz w:val="20"/>
                <w:szCs w:val="20"/>
                <w:vertAlign w:val="subscript"/>
                <w:lang w:eastAsia="en-MY"/>
              </w:rPr>
            </w:pPr>
            <w:r w:rsidRPr="008E67A5">
              <w:rPr>
                <w:rFonts w:ascii="Times New Roman" w:hAnsi="Times New Roman"/>
                <w:b/>
                <w:bCs/>
                <w:sz w:val="20"/>
                <w:szCs w:val="20"/>
                <w:lang w:eastAsia="en-MY"/>
              </w:rPr>
              <w:t>T</w:t>
            </w:r>
            <w:r w:rsidRPr="008E67A5">
              <w:rPr>
                <w:rFonts w:ascii="Times New Roman" w:hAnsi="Times New Roman"/>
                <w:b/>
                <w:bCs/>
                <w:sz w:val="20"/>
                <w:szCs w:val="20"/>
                <w:vertAlign w:val="subscript"/>
                <w:lang w:eastAsia="en-MY"/>
              </w:rPr>
              <w:t>max</w:t>
            </w:r>
          </w:p>
        </w:tc>
      </w:tr>
      <w:tr w:rsidR="00782C8C" w:rsidRPr="008E67A5" w14:paraId="67B8D425" w14:textId="77777777" w:rsidTr="00782C8C">
        <w:trPr>
          <w:trHeight w:val="260"/>
        </w:trPr>
        <w:tc>
          <w:tcPr>
            <w:tcW w:w="1242" w:type="dxa"/>
            <w:vMerge/>
            <w:tcBorders>
              <w:top w:val="single" w:sz="4" w:space="0" w:color="auto"/>
              <w:bottom w:val="single" w:sz="4" w:space="0" w:color="auto"/>
            </w:tcBorders>
          </w:tcPr>
          <w:p w14:paraId="531B7A98" w14:textId="77777777" w:rsidR="00782C8C" w:rsidRPr="008E67A5" w:rsidRDefault="00782C8C" w:rsidP="00782C8C">
            <w:pPr>
              <w:spacing w:after="0"/>
              <w:rPr>
                <w:rFonts w:ascii="Times New Roman" w:hAnsi="Times New Roman"/>
                <w:b/>
                <w:bCs/>
                <w:sz w:val="20"/>
                <w:szCs w:val="20"/>
                <w:lang w:eastAsia="en-MY"/>
              </w:rPr>
            </w:pPr>
          </w:p>
        </w:tc>
        <w:tc>
          <w:tcPr>
            <w:tcW w:w="0" w:type="auto"/>
            <w:tcBorders>
              <w:top w:val="single" w:sz="4" w:space="0" w:color="auto"/>
              <w:bottom w:val="single" w:sz="4" w:space="0" w:color="auto"/>
            </w:tcBorders>
          </w:tcPr>
          <w:p w14:paraId="603B0663" w14:textId="77777777" w:rsidR="00782C8C" w:rsidRPr="008E67A5" w:rsidRDefault="00782C8C" w:rsidP="00782C8C">
            <w:pPr>
              <w:spacing w:after="0"/>
              <w:jc w:val="center"/>
              <w:rPr>
                <w:rFonts w:ascii="Times New Roman" w:hAnsi="Times New Roman"/>
                <w:b/>
                <w:bCs/>
                <w:sz w:val="20"/>
                <w:szCs w:val="20"/>
                <w:vertAlign w:val="subscript"/>
                <w:lang w:eastAsia="en-MY"/>
              </w:rPr>
            </w:pPr>
            <w:r w:rsidRPr="008E67A5">
              <w:rPr>
                <w:rFonts w:ascii="Times New Roman" w:hAnsi="Times New Roman"/>
                <w:b/>
                <w:bCs/>
                <w:sz w:val="20"/>
                <w:szCs w:val="20"/>
                <w:lang w:eastAsia="en-MY"/>
              </w:rPr>
              <w:t>T</w:t>
            </w:r>
            <w:r w:rsidRPr="008E67A5">
              <w:rPr>
                <w:rFonts w:ascii="Times New Roman" w:hAnsi="Times New Roman"/>
                <w:b/>
                <w:bCs/>
                <w:sz w:val="20"/>
                <w:szCs w:val="20"/>
                <w:vertAlign w:val="subscript"/>
                <w:lang w:eastAsia="en-MY"/>
              </w:rPr>
              <w:t>onset1</w:t>
            </w:r>
          </w:p>
        </w:tc>
        <w:tc>
          <w:tcPr>
            <w:tcW w:w="0" w:type="auto"/>
            <w:tcBorders>
              <w:top w:val="single" w:sz="4" w:space="0" w:color="auto"/>
              <w:bottom w:val="single" w:sz="4" w:space="0" w:color="auto"/>
            </w:tcBorders>
          </w:tcPr>
          <w:p w14:paraId="5370F6C1" w14:textId="77777777" w:rsidR="00782C8C" w:rsidRPr="008E67A5" w:rsidRDefault="00782C8C" w:rsidP="00782C8C">
            <w:pPr>
              <w:spacing w:after="0"/>
              <w:jc w:val="center"/>
              <w:rPr>
                <w:rFonts w:ascii="Times New Roman" w:hAnsi="Times New Roman"/>
                <w:b/>
                <w:bCs/>
                <w:sz w:val="20"/>
                <w:szCs w:val="20"/>
                <w:vertAlign w:val="subscript"/>
                <w:lang w:eastAsia="en-MY"/>
              </w:rPr>
            </w:pPr>
            <w:r w:rsidRPr="008E67A5">
              <w:rPr>
                <w:rFonts w:ascii="Times New Roman" w:hAnsi="Times New Roman"/>
                <w:b/>
                <w:bCs/>
                <w:sz w:val="20"/>
                <w:szCs w:val="20"/>
                <w:lang w:eastAsia="en-MY"/>
              </w:rPr>
              <w:t>T</w:t>
            </w:r>
            <w:r w:rsidRPr="008E67A5">
              <w:rPr>
                <w:rFonts w:ascii="Times New Roman" w:hAnsi="Times New Roman"/>
                <w:b/>
                <w:bCs/>
                <w:sz w:val="20"/>
                <w:szCs w:val="20"/>
                <w:vertAlign w:val="subscript"/>
                <w:lang w:eastAsia="en-MY"/>
              </w:rPr>
              <w:t>onset2</w:t>
            </w:r>
          </w:p>
        </w:tc>
        <w:tc>
          <w:tcPr>
            <w:tcW w:w="0" w:type="auto"/>
            <w:tcBorders>
              <w:top w:val="single" w:sz="4" w:space="0" w:color="auto"/>
              <w:bottom w:val="single" w:sz="4" w:space="0" w:color="auto"/>
            </w:tcBorders>
          </w:tcPr>
          <w:p w14:paraId="2FB72E72" w14:textId="77777777" w:rsidR="00782C8C" w:rsidRPr="008E67A5" w:rsidRDefault="00782C8C" w:rsidP="00782C8C">
            <w:pPr>
              <w:spacing w:after="0"/>
              <w:jc w:val="center"/>
              <w:rPr>
                <w:rFonts w:ascii="Times New Roman" w:hAnsi="Times New Roman"/>
                <w:b/>
                <w:bCs/>
                <w:sz w:val="20"/>
                <w:szCs w:val="20"/>
                <w:vertAlign w:val="subscript"/>
                <w:lang w:eastAsia="en-MY"/>
              </w:rPr>
            </w:pPr>
            <w:r w:rsidRPr="008E67A5">
              <w:rPr>
                <w:rFonts w:ascii="Times New Roman" w:hAnsi="Times New Roman"/>
                <w:b/>
                <w:bCs/>
                <w:sz w:val="20"/>
                <w:szCs w:val="20"/>
                <w:lang w:eastAsia="en-MY"/>
              </w:rPr>
              <w:t>T</w:t>
            </w:r>
            <w:r w:rsidRPr="008E67A5">
              <w:rPr>
                <w:rFonts w:ascii="Times New Roman" w:hAnsi="Times New Roman"/>
                <w:b/>
                <w:bCs/>
                <w:sz w:val="20"/>
                <w:szCs w:val="20"/>
                <w:vertAlign w:val="subscript"/>
                <w:lang w:eastAsia="en-MY"/>
              </w:rPr>
              <w:t>max1</w:t>
            </w:r>
          </w:p>
        </w:tc>
        <w:tc>
          <w:tcPr>
            <w:tcW w:w="0" w:type="auto"/>
            <w:tcBorders>
              <w:top w:val="single" w:sz="4" w:space="0" w:color="auto"/>
              <w:bottom w:val="single" w:sz="4" w:space="0" w:color="auto"/>
            </w:tcBorders>
          </w:tcPr>
          <w:p w14:paraId="217D8736" w14:textId="77777777" w:rsidR="00782C8C" w:rsidRPr="008E67A5" w:rsidRDefault="00782C8C" w:rsidP="00782C8C">
            <w:pPr>
              <w:spacing w:after="60"/>
              <w:jc w:val="center"/>
              <w:rPr>
                <w:rFonts w:ascii="Times New Roman" w:hAnsi="Times New Roman"/>
                <w:b/>
                <w:bCs/>
                <w:sz w:val="20"/>
                <w:szCs w:val="20"/>
                <w:vertAlign w:val="subscript"/>
                <w:lang w:eastAsia="en-MY"/>
              </w:rPr>
            </w:pPr>
            <w:r w:rsidRPr="008E67A5">
              <w:rPr>
                <w:rFonts w:ascii="Times New Roman" w:hAnsi="Times New Roman"/>
                <w:b/>
                <w:bCs/>
                <w:sz w:val="20"/>
                <w:szCs w:val="20"/>
                <w:lang w:eastAsia="en-MY"/>
              </w:rPr>
              <w:t>T</w:t>
            </w:r>
            <w:r w:rsidRPr="008E67A5">
              <w:rPr>
                <w:rFonts w:ascii="Times New Roman" w:hAnsi="Times New Roman"/>
                <w:b/>
                <w:bCs/>
                <w:sz w:val="20"/>
                <w:szCs w:val="20"/>
                <w:vertAlign w:val="subscript"/>
                <w:lang w:eastAsia="en-MY"/>
              </w:rPr>
              <w:t>max2</w:t>
            </w:r>
          </w:p>
        </w:tc>
      </w:tr>
      <w:tr w:rsidR="00782C8C" w:rsidRPr="008E67A5" w14:paraId="552FEC93" w14:textId="77777777" w:rsidTr="00782C8C">
        <w:tc>
          <w:tcPr>
            <w:tcW w:w="1242" w:type="dxa"/>
            <w:tcBorders>
              <w:top w:val="single" w:sz="4" w:space="0" w:color="auto"/>
            </w:tcBorders>
          </w:tcPr>
          <w:p w14:paraId="38AF6BC1" w14:textId="77777777" w:rsidR="00782C8C" w:rsidRPr="008E67A5" w:rsidRDefault="00782C8C" w:rsidP="00782C8C">
            <w:pPr>
              <w:spacing w:before="60" w:after="0"/>
              <w:rPr>
                <w:rFonts w:ascii="Times New Roman" w:hAnsi="Times New Roman"/>
                <w:sz w:val="20"/>
                <w:szCs w:val="20"/>
                <w:lang w:eastAsia="en-MY"/>
              </w:rPr>
            </w:pPr>
            <w:r w:rsidRPr="008E67A5">
              <w:rPr>
                <w:rFonts w:ascii="Times New Roman" w:hAnsi="Times New Roman"/>
                <w:sz w:val="20"/>
                <w:szCs w:val="20"/>
                <w:lang w:eastAsia="en-MY"/>
              </w:rPr>
              <w:t>100:0</w:t>
            </w:r>
          </w:p>
        </w:tc>
        <w:tc>
          <w:tcPr>
            <w:tcW w:w="0" w:type="auto"/>
            <w:tcBorders>
              <w:top w:val="single" w:sz="4" w:space="0" w:color="auto"/>
            </w:tcBorders>
          </w:tcPr>
          <w:p w14:paraId="3CC59C90"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359.6</w:t>
            </w:r>
          </w:p>
        </w:tc>
        <w:tc>
          <w:tcPr>
            <w:tcW w:w="0" w:type="auto"/>
            <w:tcBorders>
              <w:top w:val="single" w:sz="4" w:space="0" w:color="auto"/>
            </w:tcBorders>
          </w:tcPr>
          <w:p w14:paraId="041404CD"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w:t>
            </w:r>
          </w:p>
        </w:tc>
        <w:tc>
          <w:tcPr>
            <w:tcW w:w="0" w:type="auto"/>
            <w:tcBorders>
              <w:top w:val="single" w:sz="4" w:space="0" w:color="auto"/>
            </w:tcBorders>
          </w:tcPr>
          <w:p w14:paraId="0F08E0B3"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385</w:t>
            </w:r>
          </w:p>
        </w:tc>
        <w:tc>
          <w:tcPr>
            <w:tcW w:w="0" w:type="auto"/>
            <w:tcBorders>
              <w:top w:val="single" w:sz="4" w:space="0" w:color="auto"/>
            </w:tcBorders>
          </w:tcPr>
          <w:p w14:paraId="62A0FDA7"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w:t>
            </w:r>
          </w:p>
        </w:tc>
      </w:tr>
      <w:tr w:rsidR="00782C8C" w:rsidRPr="008E67A5" w14:paraId="1BB09E3B" w14:textId="77777777" w:rsidTr="00782C8C">
        <w:tc>
          <w:tcPr>
            <w:tcW w:w="1242" w:type="dxa"/>
          </w:tcPr>
          <w:p w14:paraId="2A939560" w14:textId="77777777" w:rsidR="00782C8C" w:rsidRPr="008E67A5" w:rsidRDefault="00782C8C" w:rsidP="00782C8C">
            <w:pPr>
              <w:spacing w:before="60" w:after="0"/>
              <w:rPr>
                <w:rFonts w:ascii="Times New Roman" w:hAnsi="Times New Roman"/>
                <w:sz w:val="20"/>
                <w:szCs w:val="20"/>
                <w:lang w:eastAsia="en-MY"/>
              </w:rPr>
            </w:pPr>
            <w:r w:rsidRPr="008E67A5">
              <w:rPr>
                <w:rFonts w:ascii="Times New Roman" w:hAnsi="Times New Roman"/>
                <w:sz w:val="20"/>
                <w:szCs w:val="20"/>
                <w:lang w:eastAsia="en-MY"/>
              </w:rPr>
              <w:t>80:20</w:t>
            </w:r>
          </w:p>
        </w:tc>
        <w:tc>
          <w:tcPr>
            <w:tcW w:w="0" w:type="auto"/>
          </w:tcPr>
          <w:p w14:paraId="7AD652C5"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244.9</w:t>
            </w:r>
          </w:p>
        </w:tc>
        <w:tc>
          <w:tcPr>
            <w:tcW w:w="0" w:type="auto"/>
          </w:tcPr>
          <w:p w14:paraId="0B325A0A"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364.4</w:t>
            </w:r>
          </w:p>
        </w:tc>
        <w:tc>
          <w:tcPr>
            <w:tcW w:w="0" w:type="auto"/>
          </w:tcPr>
          <w:p w14:paraId="25B4D886"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288</w:t>
            </w:r>
          </w:p>
        </w:tc>
        <w:tc>
          <w:tcPr>
            <w:tcW w:w="0" w:type="auto"/>
          </w:tcPr>
          <w:p w14:paraId="25E34A93"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385</w:t>
            </w:r>
          </w:p>
        </w:tc>
      </w:tr>
      <w:tr w:rsidR="00782C8C" w:rsidRPr="008E67A5" w14:paraId="53E68CDE" w14:textId="77777777" w:rsidTr="00782C8C">
        <w:tc>
          <w:tcPr>
            <w:tcW w:w="1242" w:type="dxa"/>
          </w:tcPr>
          <w:p w14:paraId="61B2F315" w14:textId="77777777" w:rsidR="00782C8C" w:rsidRPr="008E67A5" w:rsidRDefault="00782C8C" w:rsidP="00782C8C">
            <w:pPr>
              <w:spacing w:before="60" w:after="0"/>
              <w:rPr>
                <w:rFonts w:ascii="Times New Roman" w:hAnsi="Times New Roman"/>
                <w:sz w:val="20"/>
                <w:szCs w:val="20"/>
                <w:lang w:eastAsia="en-MY"/>
              </w:rPr>
            </w:pPr>
            <w:r w:rsidRPr="008E67A5">
              <w:rPr>
                <w:rFonts w:ascii="Times New Roman" w:hAnsi="Times New Roman"/>
                <w:sz w:val="20"/>
                <w:szCs w:val="20"/>
                <w:lang w:eastAsia="en-MY"/>
              </w:rPr>
              <w:t>60:40</w:t>
            </w:r>
          </w:p>
        </w:tc>
        <w:tc>
          <w:tcPr>
            <w:tcW w:w="0" w:type="auto"/>
          </w:tcPr>
          <w:p w14:paraId="29244891"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260.0</w:t>
            </w:r>
          </w:p>
        </w:tc>
        <w:tc>
          <w:tcPr>
            <w:tcW w:w="0" w:type="auto"/>
          </w:tcPr>
          <w:p w14:paraId="7000B7A4"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362.6</w:t>
            </w:r>
          </w:p>
        </w:tc>
        <w:tc>
          <w:tcPr>
            <w:tcW w:w="0" w:type="auto"/>
          </w:tcPr>
          <w:p w14:paraId="66920E07"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285</w:t>
            </w:r>
          </w:p>
        </w:tc>
        <w:tc>
          <w:tcPr>
            <w:tcW w:w="0" w:type="auto"/>
          </w:tcPr>
          <w:p w14:paraId="0C3121B3"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385</w:t>
            </w:r>
          </w:p>
        </w:tc>
      </w:tr>
      <w:tr w:rsidR="00782C8C" w:rsidRPr="008E67A5" w14:paraId="5F558326" w14:textId="77777777" w:rsidTr="00782C8C">
        <w:tc>
          <w:tcPr>
            <w:tcW w:w="1242" w:type="dxa"/>
          </w:tcPr>
          <w:p w14:paraId="4EB70D5E" w14:textId="77777777" w:rsidR="00782C8C" w:rsidRPr="008E67A5" w:rsidRDefault="00782C8C" w:rsidP="00782C8C">
            <w:pPr>
              <w:spacing w:before="60" w:after="0"/>
              <w:rPr>
                <w:rFonts w:ascii="Times New Roman" w:hAnsi="Times New Roman"/>
                <w:sz w:val="20"/>
                <w:szCs w:val="20"/>
                <w:lang w:eastAsia="en-MY"/>
              </w:rPr>
            </w:pPr>
            <w:r w:rsidRPr="008E67A5">
              <w:rPr>
                <w:rFonts w:ascii="Times New Roman" w:hAnsi="Times New Roman"/>
                <w:sz w:val="20"/>
                <w:szCs w:val="20"/>
                <w:lang w:eastAsia="en-MY"/>
              </w:rPr>
              <w:t>40:60</w:t>
            </w:r>
          </w:p>
        </w:tc>
        <w:tc>
          <w:tcPr>
            <w:tcW w:w="0" w:type="auto"/>
          </w:tcPr>
          <w:p w14:paraId="5F88BE7E"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273.2</w:t>
            </w:r>
          </w:p>
        </w:tc>
        <w:tc>
          <w:tcPr>
            <w:tcW w:w="0" w:type="auto"/>
          </w:tcPr>
          <w:p w14:paraId="1C00BE78"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357.0</w:t>
            </w:r>
          </w:p>
        </w:tc>
        <w:tc>
          <w:tcPr>
            <w:tcW w:w="0" w:type="auto"/>
          </w:tcPr>
          <w:p w14:paraId="6397BB23"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286</w:t>
            </w:r>
          </w:p>
        </w:tc>
        <w:tc>
          <w:tcPr>
            <w:tcW w:w="0" w:type="auto"/>
          </w:tcPr>
          <w:p w14:paraId="4EF31ABC"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386</w:t>
            </w:r>
          </w:p>
        </w:tc>
      </w:tr>
      <w:tr w:rsidR="00782C8C" w:rsidRPr="008E67A5" w14:paraId="5627F442" w14:textId="77777777" w:rsidTr="00782C8C">
        <w:tc>
          <w:tcPr>
            <w:tcW w:w="1242" w:type="dxa"/>
          </w:tcPr>
          <w:p w14:paraId="6E953560" w14:textId="77777777" w:rsidR="00782C8C" w:rsidRPr="008E67A5" w:rsidRDefault="00782C8C" w:rsidP="00782C8C">
            <w:pPr>
              <w:spacing w:before="60" w:after="0"/>
              <w:rPr>
                <w:rFonts w:ascii="Times New Roman" w:hAnsi="Times New Roman"/>
                <w:sz w:val="20"/>
                <w:szCs w:val="20"/>
                <w:lang w:eastAsia="en-MY"/>
              </w:rPr>
            </w:pPr>
            <w:r w:rsidRPr="008E67A5">
              <w:rPr>
                <w:rFonts w:ascii="Times New Roman" w:hAnsi="Times New Roman"/>
                <w:sz w:val="20"/>
                <w:szCs w:val="20"/>
                <w:lang w:eastAsia="en-MY"/>
              </w:rPr>
              <w:t>20:80</w:t>
            </w:r>
          </w:p>
        </w:tc>
        <w:tc>
          <w:tcPr>
            <w:tcW w:w="0" w:type="auto"/>
          </w:tcPr>
          <w:p w14:paraId="6D2D8548"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281.2</w:t>
            </w:r>
          </w:p>
        </w:tc>
        <w:tc>
          <w:tcPr>
            <w:tcW w:w="0" w:type="auto"/>
          </w:tcPr>
          <w:p w14:paraId="065EFA18"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367.8</w:t>
            </w:r>
          </w:p>
        </w:tc>
        <w:tc>
          <w:tcPr>
            <w:tcW w:w="0" w:type="auto"/>
          </w:tcPr>
          <w:p w14:paraId="04AD2398"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280</w:t>
            </w:r>
          </w:p>
        </w:tc>
        <w:tc>
          <w:tcPr>
            <w:tcW w:w="0" w:type="auto"/>
          </w:tcPr>
          <w:p w14:paraId="013B2C87" w14:textId="77777777" w:rsidR="00782C8C" w:rsidRPr="008E67A5" w:rsidRDefault="00782C8C" w:rsidP="00782C8C">
            <w:pPr>
              <w:spacing w:before="60" w:after="0"/>
              <w:jc w:val="center"/>
              <w:rPr>
                <w:rFonts w:ascii="Times New Roman" w:hAnsi="Times New Roman"/>
                <w:sz w:val="20"/>
                <w:szCs w:val="20"/>
                <w:lang w:eastAsia="en-MY"/>
              </w:rPr>
            </w:pPr>
            <w:r w:rsidRPr="008E67A5">
              <w:rPr>
                <w:rFonts w:ascii="Times New Roman" w:hAnsi="Times New Roman"/>
                <w:sz w:val="20"/>
                <w:szCs w:val="20"/>
                <w:lang w:eastAsia="en-MY"/>
              </w:rPr>
              <w:t>386</w:t>
            </w:r>
          </w:p>
        </w:tc>
      </w:tr>
      <w:tr w:rsidR="00782C8C" w:rsidRPr="008E67A5" w14:paraId="4E084AC5" w14:textId="77777777" w:rsidTr="00782C8C">
        <w:tc>
          <w:tcPr>
            <w:tcW w:w="1242" w:type="dxa"/>
            <w:tcBorders>
              <w:bottom w:val="single" w:sz="4" w:space="0" w:color="auto"/>
            </w:tcBorders>
          </w:tcPr>
          <w:p w14:paraId="55D2712D" w14:textId="77777777" w:rsidR="00782C8C" w:rsidRPr="008E67A5" w:rsidRDefault="00782C8C" w:rsidP="00782C8C">
            <w:pPr>
              <w:spacing w:before="60" w:after="60"/>
              <w:rPr>
                <w:rFonts w:ascii="Times New Roman" w:hAnsi="Times New Roman"/>
                <w:sz w:val="20"/>
                <w:szCs w:val="20"/>
                <w:lang w:eastAsia="en-MY"/>
              </w:rPr>
            </w:pPr>
            <w:r w:rsidRPr="008E67A5">
              <w:rPr>
                <w:rFonts w:ascii="Times New Roman" w:hAnsi="Times New Roman"/>
                <w:sz w:val="20"/>
                <w:szCs w:val="20"/>
                <w:lang w:eastAsia="en-MY"/>
              </w:rPr>
              <w:t>0:100</w:t>
            </w:r>
          </w:p>
        </w:tc>
        <w:tc>
          <w:tcPr>
            <w:tcW w:w="0" w:type="auto"/>
            <w:tcBorders>
              <w:bottom w:val="single" w:sz="4" w:space="0" w:color="auto"/>
            </w:tcBorders>
          </w:tcPr>
          <w:p w14:paraId="054CB18E" w14:textId="77777777" w:rsidR="00782C8C" w:rsidRPr="008E67A5" w:rsidRDefault="00782C8C" w:rsidP="00782C8C">
            <w:pPr>
              <w:spacing w:before="60" w:after="60"/>
              <w:jc w:val="center"/>
              <w:rPr>
                <w:rFonts w:ascii="Times New Roman" w:hAnsi="Times New Roman"/>
                <w:sz w:val="20"/>
                <w:szCs w:val="20"/>
                <w:lang w:eastAsia="en-MY"/>
              </w:rPr>
            </w:pPr>
            <w:r w:rsidRPr="008E67A5">
              <w:rPr>
                <w:rFonts w:ascii="Times New Roman" w:hAnsi="Times New Roman"/>
                <w:sz w:val="20"/>
                <w:szCs w:val="20"/>
                <w:lang w:eastAsia="en-MY"/>
              </w:rPr>
              <w:t>271.4</w:t>
            </w:r>
          </w:p>
        </w:tc>
        <w:tc>
          <w:tcPr>
            <w:tcW w:w="0" w:type="auto"/>
            <w:tcBorders>
              <w:bottom w:val="single" w:sz="4" w:space="0" w:color="auto"/>
            </w:tcBorders>
          </w:tcPr>
          <w:p w14:paraId="6A443EC5" w14:textId="77777777" w:rsidR="00782C8C" w:rsidRPr="008E67A5" w:rsidRDefault="00782C8C" w:rsidP="00782C8C">
            <w:pPr>
              <w:spacing w:before="60" w:after="60"/>
              <w:jc w:val="center"/>
              <w:rPr>
                <w:rFonts w:ascii="Times New Roman" w:hAnsi="Times New Roman"/>
                <w:sz w:val="20"/>
                <w:szCs w:val="20"/>
                <w:lang w:eastAsia="en-MY"/>
              </w:rPr>
            </w:pPr>
            <w:r w:rsidRPr="008E67A5">
              <w:rPr>
                <w:rFonts w:ascii="Times New Roman" w:hAnsi="Times New Roman"/>
                <w:sz w:val="20"/>
                <w:szCs w:val="20"/>
                <w:lang w:eastAsia="en-MY"/>
              </w:rPr>
              <w:t>-</w:t>
            </w:r>
          </w:p>
        </w:tc>
        <w:tc>
          <w:tcPr>
            <w:tcW w:w="0" w:type="auto"/>
            <w:tcBorders>
              <w:bottom w:val="single" w:sz="4" w:space="0" w:color="auto"/>
            </w:tcBorders>
          </w:tcPr>
          <w:p w14:paraId="5728EF85" w14:textId="77777777" w:rsidR="00782C8C" w:rsidRPr="008E67A5" w:rsidRDefault="00782C8C" w:rsidP="00782C8C">
            <w:pPr>
              <w:spacing w:before="60" w:after="60"/>
              <w:jc w:val="center"/>
              <w:rPr>
                <w:rFonts w:ascii="Times New Roman" w:hAnsi="Times New Roman"/>
                <w:sz w:val="20"/>
                <w:szCs w:val="20"/>
                <w:lang w:eastAsia="en-MY"/>
              </w:rPr>
            </w:pPr>
            <w:r w:rsidRPr="008E67A5">
              <w:rPr>
                <w:rFonts w:ascii="Times New Roman" w:hAnsi="Times New Roman"/>
                <w:sz w:val="20"/>
                <w:szCs w:val="20"/>
                <w:lang w:eastAsia="en-MY"/>
              </w:rPr>
              <w:t>285</w:t>
            </w:r>
          </w:p>
        </w:tc>
        <w:tc>
          <w:tcPr>
            <w:tcW w:w="0" w:type="auto"/>
            <w:tcBorders>
              <w:bottom w:val="single" w:sz="4" w:space="0" w:color="auto"/>
            </w:tcBorders>
          </w:tcPr>
          <w:p w14:paraId="5879A6FE" w14:textId="77777777" w:rsidR="00782C8C" w:rsidRPr="008E67A5" w:rsidRDefault="00782C8C" w:rsidP="00782C8C">
            <w:pPr>
              <w:spacing w:before="60" w:after="60"/>
              <w:jc w:val="center"/>
              <w:rPr>
                <w:rFonts w:ascii="Times New Roman" w:hAnsi="Times New Roman"/>
                <w:sz w:val="20"/>
                <w:szCs w:val="20"/>
                <w:lang w:eastAsia="en-MY"/>
              </w:rPr>
            </w:pPr>
            <w:r w:rsidRPr="008E67A5">
              <w:rPr>
                <w:rFonts w:ascii="Times New Roman" w:hAnsi="Times New Roman"/>
                <w:sz w:val="20"/>
                <w:szCs w:val="20"/>
                <w:lang w:eastAsia="en-MY"/>
              </w:rPr>
              <w:t>-</w:t>
            </w:r>
          </w:p>
        </w:tc>
      </w:tr>
    </w:tbl>
    <w:p w14:paraId="2F294202" w14:textId="77777777" w:rsidR="00782C8C" w:rsidRPr="008E67A5" w:rsidRDefault="00782C8C" w:rsidP="00782C8C">
      <w:pPr>
        <w:spacing w:after="0"/>
        <w:jc w:val="both"/>
        <w:rPr>
          <w:rFonts w:ascii="Times New Roman" w:hAnsi="Times New Roman"/>
          <w:sz w:val="20"/>
          <w:szCs w:val="20"/>
        </w:rPr>
      </w:pPr>
    </w:p>
    <w:p w14:paraId="5CD6036B" w14:textId="77777777" w:rsidR="00782C8C" w:rsidRPr="008E67A5" w:rsidRDefault="00782C8C" w:rsidP="00782C8C">
      <w:pPr>
        <w:spacing w:after="0"/>
        <w:jc w:val="both"/>
        <w:rPr>
          <w:rFonts w:ascii="Times New Roman" w:eastAsia="Calibri" w:hAnsi="Times New Roman"/>
          <w:b/>
          <w:bCs/>
          <w:sz w:val="20"/>
          <w:szCs w:val="20"/>
          <w:lang w:eastAsia="en-MY"/>
        </w:rPr>
      </w:pPr>
    </w:p>
    <w:p w14:paraId="194DFEA8" w14:textId="41688287" w:rsidR="00782C8C" w:rsidRPr="008E67A5" w:rsidRDefault="00782C8C" w:rsidP="00782C8C">
      <w:pPr>
        <w:spacing w:after="0"/>
        <w:jc w:val="center"/>
        <w:rPr>
          <w:rFonts w:ascii="Times New Roman" w:eastAsia="Calibri" w:hAnsi="Times New Roman"/>
          <w:b/>
          <w:bCs/>
          <w:sz w:val="20"/>
          <w:szCs w:val="20"/>
          <w:lang w:eastAsia="en-MY"/>
        </w:rPr>
      </w:pPr>
    </w:p>
    <w:p w14:paraId="602F4440" w14:textId="77777777" w:rsidR="00782C8C" w:rsidRPr="008E67A5" w:rsidRDefault="00782C8C" w:rsidP="00782C8C">
      <w:pPr>
        <w:spacing w:after="0"/>
        <w:jc w:val="both"/>
        <w:rPr>
          <w:rFonts w:ascii="Times New Roman" w:eastAsia="Calibri" w:hAnsi="Times New Roman"/>
          <w:b/>
          <w:bCs/>
          <w:sz w:val="20"/>
          <w:szCs w:val="20"/>
          <w:lang w:eastAsia="en-MY"/>
        </w:rPr>
      </w:pPr>
    </w:p>
    <w:p w14:paraId="105A478F" w14:textId="77777777" w:rsidR="00782C8C" w:rsidRPr="008E67A5" w:rsidRDefault="00782C8C" w:rsidP="00782C8C">
      <w:pPr>
        <w:spacing w:after="0"/>
        <w:jc w:val="both"/>
        <w:rPr>
          <w:rFonts w:ascii="Times New Roman" w:eastAsia="Calibri" w:hAnsi="Times New Roman"/>
          <w:b/>
          <w:bCs/>
          <w:sz w:val="20"/>
          <w:szCs w:val="20"/>
          <w:lang w:eastAsia="en-MY"/>
        </w:rPr>
      </w:pPr>
    </w:p>
    <w:p w14:paraId="5D0E29FC" w14:textId="77777777" w:rsidR="00782C8C" w:rsidRDefault="00782C8C" w:rsidP="00782C8C">
      <w:pPr>
        <w:spacing w:after="0"/>
        <w:jc w:val="both"/>
        <w:rPr>
          <w:rFonts w:ascii="Times New Roman" w:eastAsia="Calibri" w:hAnsi="Times New Roman"/>
          <w:b/>
          <w:bCs/>
          <w:sz w:val="20"/>
          <w:szCs w:val="20"/>
          <w:lang w:eastAsia="en-MY"/>
        </w:rPr>
      </w:pPr>
    </w:p>
    <w:p w14:paraId="1B919D3E" w14:textId="77777777" w:rsidR="00782C8C" w:rsidRDefault="00782C8C" w:rsidP="00782C8C">
      <w:pPr>
        <w:spacing w:after="0"/>
        <w:jc w:val="both"/>
        <w:rPr>
          <w:rFonts w:ascii="Times New Roman" w:eastAsia="Calibri" w:hAnsi="Times New Roman"/>
          <w:b/>
          <w:bCs/>
          <w:sz w:val="20"/>
          <w:szCs w:val="20"/>
          <w:lang w:eastAsia="en-MY"/>
        </w:rPr>
      </w:pPr>
    </w:p>
    <w:p w14:paraId="00E9C66F" w14:textId="77777777" w:rsidR="00782C8C" w:rsidRDefault="00782C8C" w:rsidP="00782C8C">
      <w:pPr>
        <w:spacing w:after="0"/>
        <w:jc w:val="both"/>
        <w:rPr>
          <w:rFonts w:ascii="Times New Roman" w:eastAsia="Calibri" w:hAnsi="Times New Roman"/>
          <w:b/>
          <w:bCs/>
          <w:sz w:val="20"/>
          <w:szCs w:val="20"/>
          <w:lang w:eastAsia="en-MY"/>
        </w:rPr>
      </w:pPr>
    </w:p>
    <w:p w14:paraId="555D417A" w14:textId="77777777" w:rsidR="00782C8C" w:rsidRDefault="00782C8C" w:rsidP="00782C8C">
      <w:pPr>
        <w:spacing w:after="0"/>
        <w:jc w:val="both"/>
        <w:rPr>
          <w:rFonts w:ascii="Times New Roman" w:eastAsia="Calibri" w:hAnsi="Times New Roman"/>
          <w:b/>
          <w:bCs/>
          <w:sz w:val="20"/>
          <w:szCs w:val="20"/>
          <w:lang w:eastAsia="en-MY"/>
        </w:rPr>
      </w:pPr>
    </w:p>
    <w:p w14:paraId="7376A018" w14:textId="77777777" w:rsidR="00782C8C" w:rsidRDefault="00782C8C" w:rsidP="00782C8C">
      <w:pPr>
        <w:spacing w:after="0"/>
        <w:jc w:val="both"/>
        <w:rPr>
          <w:rFonts w:ascii="Times New Roman" w:eastAsia="Calibri" w:hAnsi="Times New Roman"/>
          <w:b/>
          <w:bCs/>
          <w:sz w:val="20"/>
          <w:szCs w:val="20"/>
          <w:lang w:eastAsia="en-MY"/>
        </w:rPr>
      </w:pPr>
    </w:p>
    <w:p w14:paraId="041EFB12" w14:textId="77777777" w:rsidR="00782C8C" w:rsidRDefault="00782C8C" w:rsidP="00782C8C">
      <w:pPr>
        <w:spacing w:after="0"/>
        <w:jc w:val="both"/>
        <w:rPr>
          <w:rFonts w:ascii="Times New Roman" w:eastAsia="Calibri" w:hAnsi="Times New Roman"/>
          <w:b/>
          <w:bCs/>
          <w:sz w:val="20"/>
          <w:szCs w:val="20"/>
          <w:lang w:eastAsia="en-MY"/>
        </w:rPr>
      </w:pPr>
    </w:p>
    <w:p w14:paraId="1899B592" w14:textId="0CD02136" w:rsidR="00782C8C" w:rsidRDefault="00782C8C" w:rsidP="00782C8C">
      <w:pPr>
        <w:spacing w:after="0"/>
        <w:jc w:val="both"/>
        <w:rPr>
          <w:rFonts w:ascii="Times New Roman" w:eastAsia="Calibri" w:hAnsi="Times New Roman"/>
          <w:b/>
          <w:bCs/>
          <w:sz w:val="20"/>
          <w:szCs w:val="20"/>
          <w:lang w:eastAsia="en-MY"/>
        </w:rPr>
      </w:pPr>
    </w:p>
    <w:p w14:paraId="2796C89F" w14:textId="77777777" w:rsidR="00782C8C" w:rsidRDefault="00782C8C" w:rsidP="00782C8C">
      <w:pPr>
        <w:spacing w:after="0"/>
        <w:jc w:val="both"/>
        <w:rPr>
          <w:rFonts w:ascii="Times New Roman" w:eastAsia="Calibri" w:hAnsi="Times New Roman"/>
          <w:b/>
          <w:bCs/>
          <w:sz w:val="20"/>
          <w:szCs w:val="20"/>
          <w:lang w:eastAsia="en-MY"/>
        </w:rPr>
      </w:pPr>
    </w:p>
    <w:p w14:paraId="3E828E6D" w14:textId="77777777" w:rsidR="004846C8" w:rsidRDefault="004846C8" w:rsidP="00782C8C">
      <w:pPr>
        <w:spacing w:after="0"/>
        <w:jc w:val="both"/>
        <w:rPr>
          <w:rFonts w:ascii="Times New Roman" w:eastAsia="Calibri" w:hAnsi="Times New Roman"/>
          <w:b/>
          <w:bCs/>
          <w:sz w:val="20"/>
          <w:szCs w:val="20"/>
          <w:lang w:eastAsia="en-MY"/>
        </w:rPr>
      </w:pPr>
    </w:p>
    <w:p w14:paraId="77291D21" w14:textId="32674303" w:rsidR="004846C8" w:rsidRDefault="004846C8" w:rsidP="00782C8C">
      <w:pPr>
        <w:spacing w:after="0"/>
        <w:jc w:val="both"/>
        <w:rPr>
          <w:rFonts w:ascii="Times New Roman" w:eastAsia="Calibri" w:hAnsi="Times New Roman"/>
          <w:b/>
          <w:bCs/>
          <w:sz w:val="20"/>
          <w:szCs w:val="20"/>
          <w:lang w:eastAsia="en-MY"/>
        </w:rPr>
        <w:sectPr w:rsidR="004846C8" w:rsidSect="0076778D">
          <w:footerReference w:type="default" r:id="rId26"/>
          <w:type w:val="oddPage"/>
          <w:pgSz w:w="12240" w:h="15840" w:code="1"/>
          <w:pgMar w:top="1800" w:right="1469" w:bottom="1699" w:left="1440" w:header="706" w:footer="706" w:gutter="0"/>
          <w:pgNumType w:start="0"/>
          <w:cols w:space="708"/>
          <w:docGrid w:linePitch="360"/>
        </w:sectPr>
      </w:pPr>
    </w:p>
    <w:p w14:paraId="7277F989" w14:textId="5058BBCA" w:rsidR="00782C8C" w:rsidRPr="008E67A5" w:rsidRDefault="00782C8C" w:rsidP="00782C8C">
      <w:pPr>
        <w:spacing w:after="0"/>
        <w:jc w:val="both"/>
        <w:rPr>
          <w:rFonts w:ascii="Times New Roman" w:eastAsia="Calibri" w:hAnsi="Times New Roman"/>
          <w:sz w:val="20"/>
          <w:szCs w:val="20"/>
          <w:lang w:eastAsia="en-MY"/>
        </w:rPr>
      </w:pPr>
      <w:r w:rsidRPr="008E67A5">
        <w:rPr>
          <w:rFonts w:ascii="Times New Roman" w:eastAsia="Calibri" w:hAnsi="Times New Roman"/>
          <w:b/>
          <w:bCs/>
          <w:sz w:val="20"/>
          <w:szCs w:val="20"/>
          <w:lang w:eastAsia="en-MY"/>
        </w:rPr>
        <w:t xml:space="preserve">Differential scanning calorimetry </w:t>
      </w:r>
    </w:p>
    <w:p w14:paraId="7FACECA2" w14:textId="77777777" w:rsidR="00782C8C" w:rsidRPr="008E67A5" w:rsidRDefault="00782C8C" w:rsidP="00782C8C">
      <w:pPr>
        <w:spacing w:after="0"/>
        <w:jc w:val="both"/>
        <w:rPr>
          <w:rFonts w:ascii="Times New Roman" w:hAnsi="Times New Roman"/>
          <w:sz w:val="20"/>
          <w:szCs w:val="20"/>
          <w:lang w:eastAsia="en-MY"/>
        </w:rPr>
      </w:pPr>
      <w:r w:rsidRPr="008E67A5">
        <w:rPr>
          <w:rFonts w:ascii="Times New Roman" w:hAnsi="Times New Roman"/>
          <w:sz w:val="20"/>
          <w:szCs w:val="20"/>
          <w:lang w:eastAsia="en-MY"/>
        </w:rPr>
        <w:t>The thermal properties were investigated for pristine NR and PHB as well as the NR/PHB blends with various compositions. The thermograms of the samples are shown in Figure 4, while the thermal data including the glass transition temperature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crystallization temperature (T</w:t>
      </w:r>
      <w:r w:rsidRPr="008E67A5">
        <w:rPr>
          <w:rFonts w:ascii="Times New Roman" w:hAnsi="Times New Roman"/>
          <w:sz w:val="20"/>
          <w:szCs w:val="20"/>
          <w:vertAlign w:val="subscript"/>
          <w:lang w:eastAsia="en-MY"/>
        </w:rPr>
        <w:t>c</w:t>
      </w:r>
      <w:r w:rsidRPr="008E67A5">
        <w:rPr>
          <w:rFonts w:ascii="Times New Roman" w:hAnsi="Times New Roman"/>
          <w:sz w:val="20"/>
          <w:szCs w:val="20"/>
          <w:lang w:eastAsia="en-MY"/>
        </w:rPr>
        <w:t>), melting temperature (T</w:t>
      </w:r>
      <w:r w:rsidRPr="008E67A5">
        <w:rPr>
          <w:rFonts w:ascii="Times New Roman" w:hAnsi="Times New Roman"/>
          <w:sz w:val="20"/>
          <w:szCs w:val="20"/>
          <w:vertAlign w:val="subscript"/>
          <w:lang w:eastAsia="en-MY"/>
        </w:rPr>
        <w:t>m</w:t>
      </w:r>
      <w:r w:rsidRPr="008E67A5">
        <w:rPr>
          <w:rFonts w:ascii="Times New Roman" w:hAnsi="Times New Roman"/>
          <w:sz w:val="20"/>
          <w:szCs w:val="20"/>
          <w:lang w:eastAsia="en-MY"/>
        </w:rPr>
        <w:t xml:space="preserve">) and the calculated polymer’s crystallinity (χc) are listed in Table 3. </w:t>
      </w:r>
    </w:p>
    <w:p w14:paraId="27FF0A66" w14:textId="77777777" w:rsidR="00782C8C" w:rsidRPr="008E67A5" w:rsidRDefault="00782C8C" w:rsidP="00782C8C">
      <w:pPr>
        <w:spacing w:after="0"/>
        <w:jc w:val="both"/>
        <w:rPr>
          <w:rFonts w:ascii="Times New Roman" w:hAnsi="Times New Roman"/>
          <w:sz w:val="20"/>
          <w:szCs w:val="20"/>
          <w:lang w:eastAsia="en-MY"/>
        </w:rPr>
      </w:pPr>
    </w:p>
    <w:p w14:paraId="7E3EB528" w14:textId="5E9B317C" w:rsidR="00782C8C" w:rsidRDefault="00782C8C" w:rsidP="00782C8C">
      <w:pPr>
        <w:spacing w:after="0"/>
        <w:jc w:val="both"/>
        <w:rPr>
          <w:rFonts w:ascii="Times New Roman" w:hAnsi="Times New Roman"/>
          <w:sz w:val="20"/>
          <w:szCs w:val="20"/>
        </w:rPr>
      </w:pPr>
      <w:r w:rsidRPr="008E67A5">
        <w:rPr>
          <w:rFonts w:ascii="Times New Roman" w:hAnsi="Times New Roman"/>
          <w:sz w:val="20"/>
          <w:szCs w:val="20"/>
        </w:rPr>
        <w:t>Pristine NR shows a T</w:t>
      </w:r>
      <w:r w:rsidRPr="008E67A5">
        <w:rPr>
          <w:rFonts w:ascii="Times New Roman" w:hAnsi="Times New Roman"/>
          <w:sz w:val="20"/>
          <w:szCs w:val="20"/>
          <w:vertAlign w:val="subscript"/>
        </w:rPr>
        <w:t>g</w:t>
      </w:r>
      <w:r w:rsidRPr="008E67A5">
        <w:rPr>
          <w:rFonts w:ascii="Times New Roman" w:hAnsi="Times New Roman"/>
          <w:sz w:val="20"/>
          <w:szCs w:val="20"/>
        </w:rPr>
        <w:t xml:space="preserve"> at -60.9 </w:t>
      </w:r>
      <w:r w:rsidRPr="008E67A5">
        <w:rPr>
          <w:rFonts w:ascii="Times New Roman" w:hAnsi="Times New Roman"/>
          <w:sz w:val="20"/>
          <w:szCs w:val="20"/>
          <w:vertAlign w:val="superscript"/>
        </w:rPr>
        <w:t>o</w:t>
      </w:r>
      <w:r w:rsidRPr="008E67A5">
        <w:rPr>
          <w:rFonts w:ascii="Times New Roman" w:hAnsi="Times New Roman"/>
          <w:sz w:val="20"/>
          <w:szCs w:val="20"/>
        </w:rPr>
        <w:t>C with the absence of melting and a crystallization peak. This corresponds to the amorphous nature of NR, which causes the low T</w:t>
      </w:r>
      <w:r w:rsidRPr="008E67A5">
        <w:rPr>
          <w:rFonts w:ascii="Times New Roman" w:hAnsi="Times New Roman"/>
          <w:sz w:val="20"/>
          <w:szCs w:val="20"/>
          <w:vertAlign w:val="subscript"/>
        </w:rPr>
        <w:t>g</w:t>
      </w:r>
      <w:r w:rsidRPr="008E67A5">
        <w:rPr>
          <w:rFonts w:ascii="Times New Roman" w:hAnsi="Times New Roman"/>
          <w:sz w:val="20"/>
          <w:szCs w:val="20"/>
        </w:rPr>
        <w:t xml:space="preserve"> value. In contrast, the T</w:t>
      </w:r>
      <w:r w:rsidRPr="008E67A5">
        <w:rPr>
          <w:rFonts w:ascii="Times New Roman" w:hAnsi="Times New Roman"/>
          <w:sz w:val="20"/>
          <w:szCs w:val="20"/>
          <w:vertAlign w:val="subscript"/>
        </w:rPr>
        <w:t>g</w:t>
      </w:r>
      <w:r w:rsidRPr="008E67A5">
        <w:rPr>
          <w:rFonts w:ascii="Times New Roman" w:hAnsi="Times New Roman"/>
          <w:sz w:val="20"/>
          <w:szCs w:val="20"/>
        </w:rPr>
        <w:t xml:space="preserve"> of pristine PHB was clearly observed at 8.6 </w:t>
      </w:r>
      <w:r w:rsidRPr="008E67A5">
        <w:rPr>
          <w:rFonts w:ascii="Times New Roman" w:hAnsi="Times New Roman"/>
          <w:sz w:val="20"/>
          <w:szCs w:val="20"/>
          <w:vertAlign w:val="superscript"/>
        </w:rPr>
        <w:t>o</w:t>
      </w:r>
      <w:r w:rsidRPr="008E67A5">
        <w:rPr>
          <w:rFonts w:ascii="Times New Roman" w:hAnsi="Times New Roman"/>
          <w:sz w:val="20"/>
          <w:szCs w:val="20"/>
        </w:rPr>
        <w:t>C with a T</w:t>
      </w:r>
      <w:r w:rsidRPr="008E67A5">
        <w:rPr>
          <w:rFonts w:ascii="Times New Roman" w:hAnsi="Times New Roman"/>
          <w:sz w:val="20"/>
          <w:szCs w:val="20"/>
          <w:vertAlign w:val="subscript"/>
        </w:rPr>
        <w:t>m</w:t>
      </w:r>
      <w:r w:rsidRPr="008E67A5">
        <w:rPr>
          <w:rFonts w:ascii="Times New Roman" w:hAnsi="Times New Roman"/>
          <w:sz w:val="20"/>
          <w:szCs w:val="20"/>
        </w:rPr>
        <w:t xml:space="preserve"> located at 172.1 </w:t>
      </w:r>
      <w:r w:rsidRPr="008E67A5">
        <w:rPr>
          <w:rFonts w:ascii="Times New Roman" w:hAnsi="Times New Roman"/>
          <w:sz w:val="20"/>
          <w:szCs w:val="20"/>
          <w:vertAlign w:val="superscript"/>
        </w:rPr>
        <w:t>o</w:t>
      </w:r>
      <w:r w:rsidRPr="008E67A5">
        <w:rPr>
          <w:rFonts w:ascii="Times New Roman" w:hAnsi="Times New Roman"/>
          <w:sz w:val="20"/>
          <w:szCs w:val="20"/>
        </w:rPr>
        <w:t>C. It is interesting to note that the T</w:t>
      </w:r>
      <w:r w:rsidRPr="008E67A5">
        <w:rPr>
          <w:rFonts w:ascii="Times New Roman" w:hAnsi="Times New Roman"/>
          <w:sz w:val="20"/>
          <w:szCs w:val="20"/>
          <w:vertAlign w:val="subscript"/>
        </w:rPr>
        <w:t>c</w:t>
      </w:r>
      <w:r w:rsidRPr="008E67A5">
        <w:rPr>
          <w:rFonts w:ascii="Times New Roman" w:hAnsi="Times New Roman"/>
          <w:sz w:val="20"/>
          <w:szCs w:val="20"/>
        </w:rPr>
        <w:t xml:space="preserve"> peaks were undetectable in PHB and all the NR/PHB samples. Only an endothermic peak which is related to the melting of PHB was observed in the thermograms. The disappearance of the T</w:t>
      </w:r>
      <w:r w:rsidRPr="008E67A5">
        <w:rPr>
          <w:rFonts w:ascii="Times New Roman" w:hAnsi="Times New Roman"/>
          <w:sz w:val="20"/>
          <w:szCs w:val="20"/>
          <w:vertAlign w:val="subscript"/>
        </w:rPr>
        <w:t>c</w:t>
      </w:r>
      <w:r w:rsidRPr="008E67A5">
        <w:rPr>
          <w:rFonts w:ascii="Times New Roman" w:hAnsi="Times New Roman"/>
          <w:sz w:val="20"/>
          <w:szCs w:val="20"/>
        </w:rPr>
        <w:t xml:space="preserve"> peak in the second heating scan is attributed to the complete crystallization process during the cooling step </w:t>
      </w:r>
      <w:r w:rsidRPr="008E67A5">
        <w:rPr>
          <w:rStyle w:val="FootnoteReference"/>
          <w:rFonts w:ascii="Times New Roman" w:hAnsi="Times New Roman"/>
          <w:sz w:val="20"/>
          <w:szCs w:val="20"/>
        </w:rPr>
        <w:fldChar w:fldCharType="begin" w:fldLock="1"/>
      </w:r>
      <w:r w:rsidRPr="008E67A5">
        <w:rPr>
          <w:rFonts w:ascii="Times New Roman" w:hAnsi="Times New Roman"/>
          <w:sz w:val="20"/>
          <w:szCs w:val="20"/>
        </w:rPr>
        <w:instrText>ADDIN CSL_CITATION {"citationItems":[{"id":"ITEM-1","itemData":{"DOI":"10.1088/1757-899X/133/1/012012","ISSN":"1757899X","abstract":"Polyhydroxybutyrate (PHB) films with highly porous structures were synthesized using a one phase system comprising of metal chloride/methanol/PHB/chloroform (MCl2/CH3OH/PHB/CHCl3). SEM analyses confirmed that the MCl2 (where M = Cu2+ or Ni2+) induced porous structures with pore sizes ranging from 0.3 - 2.0 μm. The average pore size increased with the increasing MCl2 content. There existed weak physical interactions between the PHB chains and MCl2 as revealed by FTIR and NMR spectroscopies. The residue of MCl2 in the porous PHB film does not exert significant influence on the thermal stability of PHB. Nevertheless, the crystallinity of the prepared film is enhanced, as MCl2 acts as the nucleation sites to promote the growth of spherullites.","author":[{"dropping-particle":"","family":"Tan","given":"W. L.","non-dropping-particle":"","parse-names":false,"suffix":""},{"dropping-particle":"","family":"Yaakob","given":"N. N.","non-dropping-particle":"","parse-names":false,"suffix":""},{"dropping-particle":"","family":"Abidin","given":"A. Zainal","non-dropping-particle":"","parse-names":false,"suffix":""},{"dropping-particle":"","family":"Bakar","given":"M. Abu","non-dropping-particle":"","parse-names":false,"suffix":""},{"dropping-particle":"","family":"Bakar","given":"N. H.H.Abu","non-dropping-particle":"","parse-names":false,"suffix":""}],"container-title":"IOP Conference Series: Materials Science and Engineering","id":"ITEM-1","issue":"1","issued":{"date-parts":[["2016"]]},"title":"Metal Chloride Induced Formation of Porous Polyhydroxybutyrate (PHB) Films: Morphology, Thermal Properties and Crystallinity","type":"article-journal","volume":"133"},"uris":["http://www.mendeley.com/documents/?uuid=7c39d8ec-9f34-41f6-884f-4cbb5430a436"]}],"mendeley":{"formattedCitation":"[25]","plainTextFormattedCitation":"[25]","previouslyFormattedCitation":"&lt;sup&gt;25&lt;/sup&gt;"},"properties":{"noteIndex":0},"schema":"https://github.com/citation-style-language/schema/raw/master/csl-citation.json"}</w:instrText>
      </w:r>
      <w:r w:rsidRPr="008E67A5">
        <w:rPr>
          <w:rStyle w:val="FootnoteReference"/>
          <w:rFonts w:ascii="Times New Roman" w:hAnsi="Times New Roman"/>
          <w:sz w:val="20"/>
          <w:szCs w:val="20"/>
        </w:rPr>
        <w:fldChar w:fldCharType="separate"/>
      </w:r>
      <w:r w:rsidRPr="008E67A5">
        <w:rPr>
          <w:rFonts w:ascii="Times New Roman" w:hAnsi="Times New Roman"/>
          <w:noProof/>
          <w:sz w:val="20"/>
          <w:szCs w:val="20"/>
        </w:rPr>
        <w:t>[25]</w:t>
      </w:r>
      <w:r w:rsidRPr="008E67A5">
        <w:rPr>
          <w:rStyle w:val="FootnoteReference"/>
          <w:rFonts w:ascii="Times New Roman" w:hAnsi="Times New Roman"/>
          <w:sz w:val="20"/>
          <w:szCs w:val="20"/>
        </w:rPr>
        <w:fldChar w:fldCharType="end"/>
      </w:r>
      <w:r w:rsidRPr="008E67A5">
        <w:rPr>
          <w:rFonts w:ascii="Times New Roman" w:hAnsi="Times New Roman"/>
          <w:sz w:val="20"/>
          <w:szCs w:val="20"/>
        </w:rPr>
        <w:t xml:space="preserve">. Therefore, perfect lamellar crystals were formed during the second heating scan </w:t>
      </w:r>
      <w:r w:rsidRPr="008E67A5">
        <w:rPr>
          <w:rStyle w:val="FootnoteReference"/>
          <w:rFonts w:ascii="Times New Roman" w:hAnsi="Times New Roman"/>
          <w:sz w:val="20"/>
          <w:szCs w:val="20"/>
        </w:rPr>
        <w:fldChar w:fldCharType="begin" w:fldLock="1"/>
      </w:r>
      <w:r w:rsidRPr="008E67A5">
        <w:rPr>
          <w:rFonts w:ascii="Times New Roman" w:hAnsi="Times New Roman"/>
          <w:sz w:val="20"/>
          <w:szCs w:val="20"/>
        </w:rPr>
        <w:instrText>ADDIN CSL_CITATION {"citationItems":[{"id":"ITEM-1","itemData":{"DOI":"10.1088/1757-899X/133/1/012012","ISSN":"1757899X","abstract":"Polyhydroxybutyrate (PHB) films with highly porous structures were synthesized using a one phase system comprising of metal chloride/methanol/PHB/chloroform (MCl2/CH3OH/PHB/CHCl3). SEM analyses confirmed that the MCl2 (where M = Cu2+ or Ni2+) induced porous structures with pore sizes ranging from 0.3 - 2.0 μm. The average pore size increased with the increasing MCl2 content. There existed weak physical interactions between the PHB chains and MCl2 as revealed by FTIR and NMR spectroscopies. The residue of MCl2 in the porous PHB film does not exert significant influence on the thermal stability of PHB. Nevertheless, the crystallinity of the prepared film is enhanced, as MCl2 acts as the nucleation sites to promote the growth of spherullites.","author":[{"dropping-particle":"","family":"Tan","given":"W. L.","non-dropping-particle":"","parse-names":false,"suffix":""},{"dropping-particle":"","family":"Yaakob","given":"N. N.","non-dropping-particle":"","parse-names":false,"suffix":""},{"dropping-particle":"","family":"Abidin","given":"A. Zainal","non-dropping-particle":"","parse-names":false,"suffix":""},{"dropping-particle":"","family":"Bakar","given":"M. Abu","non-dropping-particle":"","parse-names":false,"suffix":""},{"dropping-particle":"","family":"Bakar","given":"N. H.H.Abu","non-dropping-particle":"","parse-names":false,"suffix":""}],"container-title":"IOP Conference Series: Materials Science and Engineering","id":"ITEM-1","issue":"1","issued":{"date-parts":[["2016"]]},"title":"Metal Chloride Induced Formation of Porous Polyhydroxybutyrate (PHB) Films: Morphology, Thermal Properties and Crystallinity","type":"article-journal","volume":"133"},"uris":["http://www.mendeley.com/documents/?uuid=7c39d8ec-9f34-41f6-884f-4cbb5430a436"]}],"mendeley":{"formattedCitation":"[25]","plainTextFormattedCitation":"[25]","previouslyFormattedCitation":"&lt;sup&gt;25&lt;/sup&gt;"},"properties":{"noteIndex":0},"schema":"https://github.com/citation-style-language/schema/raw/master/csl-citation.json"}</w:instrText>
      </w:r>
      <w:r w:rsidRPr="008E67A5">
        <w:rPr>
          <w:rStyle w:val="FootnoteReference"/>
          <w:rFonts w:ascii="Times New Roman" w:hAnsi="Times New Roman"/>
          <w:sz w:val="20"/>
          <w:szCs w:val="20"/>
        </w:rPr>
        <w:fldChar w:fldCharType="separate"/>
      </w:r>
      <w:r w:rsidRPr="008E67A5">
        <w:rPr>
          <w:rFonts w:ascii="Times New Roman" w:hAnsi="Times New Roman"/>
          <w:noProof/>
          <w:sz w:val="20"/>
          <w:szCs w:val="20"/>
        </w:rPr>
        <w:t>[25]</w:t>
      </w:r>
      <w:r w:rsidRPr="008E67A5">
        <w:rPr>
          <w:rStyle w:val="FootnoteReference"/>
          <w:rFonts w:ascii="Times New Roman" w:hAnsi="Times New Roman"/>
          <w:sz w:val="20"/>
          <w:szCs w:val="20"/>
        </w:rPr>
        <w:fldChar w:fldCharType="end"/>
      </w:r>
      <w:r w:rsidRPr="008E67A5">
        <w:rPr>
          <w:rFonts w:ascii="Times New Roman" w:hAnsi="Times New Roman"/>
          <w:sz w:val="20"/>
          <w:szCs w:val="20"/>
        </w:rPr>
        <w:t xml:space="preserve">. </w:t>
      </w:r>
    </w:p>
    <w:p w14:paraId="02C644F5" w14:textId="77777777" w:rsidR="00782C8C" w:rsidRPr="008E67A5" w:rsidRDefault="00782C8C" w:rsidP="00782C8C">
      <w:pPr>
        <w:spacing w:after="0"/>
        <w:jc w:val="both"/>
        <w:rPr>
          <w:rFonts w:ascii="Times New Roman" w:hAnsi="Times New Roman"/>
          <w:sz w:val="20"/>
          <w:szCs w:val="20"/>
          <w:lang w:eastAsia="en-MY"/>
        </w:rPr>
      </w:pPr>
    </w:p>
    <w:p w14:paraId="46B8B206" w14:textId="0B50157E" w:rsidR="00782C8C" w:rsidRDefault="00782C8C" w:rsidP="00782C8C">
      <w:pPr>
        <w:spacing w:after="0"/>
        <w:jc w:val="both"/>
        <w:rPr>
          <w:rFonts w:ascii="Times New Roman" w:hAnsi="Times New Roman"/>
          <w:sz w:val="20"/>
          <w:szCs w:val="20"/>
          <w:lang w:eastAsia="en-MY"/>
        </w:rPr>
      </w:pPr>
      <w:r w:rsidRPr="008E67A5">
        <w:rPr>
          <w:rFonts w:ascii="Times New Roman" w:hAnsi="Times New Roman"/>
          <w:sz w:val="20"/>
          <w:szCs w:val="20"/>
          <w:lang w:eastAsia="en-MY"/>
        </w:rPr>
        <w:t>As can be seen in Table 3, the T</w:t>
      </w:r>
      <w:r w:rsidRPr="008E67A5">
        <w:rPr>
          <w:rFonts w:ascii="Times New Roman" w:hAnsi="Times New Roman"/>
          <w:sz w:val="20"/>
          <w:szCs w:val="20"/>
          <w:vertAlign w:val="subscript"/>
          <w:lang w:eastAsia="en-MY"/>
        </w:rPr>
        <w:t>m</w:t>
      </w:r>
      <w:r w:rsidRPr="008E67A5">
        <w:rPr>
          <w:rFonts w:ascii="Times New Roman" w:hAnsi="Times New Roman"/>
          <w:sz w:val="20"/>
          <w:szCs w:val="20"/>
          <w:lang w:eastAsia="en-MY"/>
        </w:rPr>
        <w:t xml:space="preserve"> values for 80:20, 60:40, 40:60, and 20:80 of NR/PHB blends occurred at 171.9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169.4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172.4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and 171.5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respectively. These blends reveal a T</w:t>
      </w:r>
      <w:r w:rsidRPr="008E67A5">
        <w:rPr>
          <w:rFonts w:ascii="Times New Roman" w:hAnsi="Times New Roman"/>
          <w:sz w:val="20"/>
          <w:szCs w:val="20"/>
          <w:vertAlign w:val="subscript"/>
          <w:lang w:eastAsia="en-MY"/>
        </w:rPr>
        <w:t>m</w:t>
      </w:r>
      <w:r w:rsidRPr="008E67A5">
        <w:rPr>
          <w:rFonts w:ascii="Times New Roman" w:hAnsi="Times New Roman"/>
          <w:sz w:val="20"/>
          <w:szCs w:val="20"/>
          <w:lang w:eastAsia="en-MY"/>
        </w:rPr>
        <w:t xml:space="preserve"> peak similar to that of the neat PHB, which also indicate the non-interacting nature between the components. A contradicting observation </w:t>
      </w:r>
      <w:r w:rsidRPr="008E67A5">
        <w:rPr>
          <w:rFonts w:ascii="Times New Roman" w:hAnsi="Times New Roman"/>
          <w:sz w:val="20"/>
          <w:szCs w:val="20"/>
          <w:lang w:eastAsia="en-MY"/>
        </w:rPr>
        <w:t xml:space="preserve">was reported by a previous work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{"citationItems":[{"id":"ITEM-1","itemData":{"DOI":"10.1016/j.biortech.2007.06.054","ISSN":"09608524","abstract":"Medium chain length polyhydroxyalkanoates (mcl-PHA) and different rubbers; namely natural rubber, nitrile rubber and butadiene rubber were blended at room temperature using solution blending technique. Blends constituted 5%, 10% and 15% of mcl-PHA in different rubbers. Thermogravimetric analysis of mcl-PHA showed the melting temperature of the polymer around 50 °C. Thermal properties of the synthesized blend were studied by Differential Scanning Calorimetry which confirmed effective blending between the polymers. Blending of mcl-PHA with natural rubber led to the synthesis of a different polymer having the melting point of 90 °C. Degradation studies of the blends were carried out using a soil isolate, Pseudomonas sp. 202 for 30 days. Extracellular protein concentration as well as OD660 due to the growth of Pseudomonas sp. 202 was studied. The degradation of blended plastic material, as evidenced by % weight loss after degradation and increase in the growth of organism correlated with the amount of mcl-PHA present in the sample. Growth of Pseudomonas sp. 202 resulted in 14.63%, 16.12% and 3.84% weight loss of PHA:rubber blends (natural, nitrile and butadiene rubber). Scanning electron microscopic studies after 30 days of incubation further confirmed biodegradation of the films. © 2007 Elsevier Ltd. All rights reserved.","author":[{"dropping-particle":"","family":"Bhatt","given":"Rachana","non-dropping-particle":"","parse-names":false,"suffix":""},{"dropping-particle":"","family":"Shah","given":"Dishma","non-dropping-particle":"","parse-names":false,"suffix":""},{"dropping-particle":"","family":"Patel","given":"K. C.","non-dropping-particle":"","parse-names":false,"suffix":""},{"dropping-particle":"","family":"Trivedi","given":"Ujjval","non-dropping-particle":"","parse-names":false,"suffix":""}],"container-title":"Bioresource Technology","id":"ITEM-1","issue":"11","issued":{"date-parts":[["2008"]]},"page":"4615-4620","title":"PHA-rubber blends: Synthesis, characterization and biodegradation","type":"article-journal","volume":"99"},"uris":["http://www.mendeley.com/documents/?uuid=3ec0b1ac-fc1b-4476-bb7a-9d9cec2e3738"]}],"mendeley":{"formattedCitation":"[16]","plainTextFormattedCitation":"[16]","previouslyFormattedCitation":"&lt;sup&gt;16&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noProof/>
          <w:sz w:val="20"/>
          <w:szCs w:val="20"/>
          <w:lang w:eastAsia="en-MY"/>
        </w:rPr>
        <w:t>[16]</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The authors discovered that a medium chain length of PHA (mcl-PHA)/NR blends was successfully interacted since there was a shifting in T</w:t>
      </w:r>
      <w:r w:rsidRPr="008E67A5">
        <w:rPr>
          <w:rFonts w:ascii="Times New Roman" w:hAnsi="Times New Roman"/>
          <w:sz w:val="20"/>
          <w:szCs w:val="20"/>
          <w:vertAlign w:val="subscript"/>
          <w:lang w:eastAsia="en-MY"/>
        </w:rPr>
        <w:t>m</w:t>
      </w:r>
      <w:r w:rsidRPr="008E67A5">
        <w:rPr>
          <w:rFonts w:ascii="Times New Roman" w:hAnsi="Times New Roman"/>
          <w:sz w:val="20"/>
          <w:szCs w:val="20"/>
          <w:lang w:eastAsia="en-MY"/>
        </w:rPr>
        <w:t xml:space="preserve"> value for 15:85 ratio. This suggests that a variation in ratio of the polymers can promote interaction. This may be related to the long polymer chain of NR.</w:t>
      </w:r>
    </w:p>
    <w:p w14:paraId="1A5535E1" w14:textId="77777777" w:rsidR="00782C8C" w:rsidRPr="008E67A5" w:rsidRDefault="00782C8C" w:rsidP="00782C8C">
      <w:pPr>
        <w:spacing w:after="0"/>
        <w:jc w:val="both"/>
        <w:rPr>
          <w:rFonts w:ascii="Times New Roman" w:hAnsi="Times New Roman"/>
          <w:sz w:val="20"/>
          <w:szCs w:val="20"/>
          <w:lang w:eastAsia="en-MY"/>
        </w:rPr>
      </w:pPr>
    </w:p>
    <w:p w14:paraId="310F421F" w14:textId="77777777" w:rsidR="004846C8" w:rsidRDefault="00782C8C" w:rsidP="00782C8C">
      <w:pPr>
        <w:spacing w:after="0"/>
        <w:jc w:val="both"/>
        <w:rPr>
          <w:rFonts w:ascii="Times New Roman" w:hAnsi="Times New Roman"/>
          <w:sz w:val="20"/>
          <w:szCs w:val="20"/>
          <w:lang w:eastAsia="en-MY"/>
        </w:rPr>
      </w:pPr>
      <w:r w:rsidRPr="008E67A5">
        <w:rPr>
          <w:rFonts w:ascii="Times New Roman" w:hAnsi="Times New Roman"/>
          <w:sz w:val="20"/>
          <w:szCs w:val="20"/>
          <w:lang w:eastAsia="en-MY"/>
        </w:rPr>
        <w:t>Subsequently, all the blends exhibited two distinct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The appearance of two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values indicates the occurrence of phase separation as a result of the non-interacting nature of the two polymers. Furthermore, the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for NR/PHB blends prepared using 80:20, 60:40, 40:60, and 20:80 ratios showed similar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values as NR and PHB. It can be observed that, the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for 80:20, 60:40, 40:60, and 20:80 of NR/PHB ratio occurred at -60.1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and 6.3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-61.6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and 5.3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-60.2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and 7.9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as well as -61.0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 xml:space="preserve">C and 8.2 </w:t>
      </w:r>
      <w:r w:rsidRPr="008E67A5">
        <w:rPr>
          <w:rFonts w:ascii="Times New Roman" w:hAnsi="Times New Roman"/>
          <w:sz w:val="20"/>
          <w:szCs w:val="20"/>
          <w:vertAlign w:val="superscript"/>
          <w:lang w:eastAsia="en-MY"/>
        </w:rPr>
        <w:t>o</w:t>
      </w:r>
      <w:r w:rsidRPr="008E67A5">
        <w:rPr>
          <w:rFonts w:ascii="Times New Roman" w:hAnsi="Times New Roman"/>
          <w:sz w:val="20"/>
          <w:szCs w:val="20"/>
          <w:lang w:eastAsia="en-MY"/>
        </w:rPr>
        <w:t>C respectively. As can be seen,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of PHB decreases with increasing NR content. This behaviour is possibly due to the disruption of the PHB chain by NR to a limited extent. In the meantime, the apparent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associated with NR remained the same across composition. Interestingly, a previous study also reported similar findings with the appearance of two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values when blending PHB with poly(ethylene-co-vinyl acetate) (EVA)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{"citationItems":[{"id":"ITEM-1","itemData":{"DOI":"10.3144/expresspolymlett.2014.55","ISSN":"1788618X","abstract":"Partially bio-based thermoplastic elastomers (bio-TPE) were designed and prepared by physical blending a commercial grade poly(hydroxyalkanoate)s (PHBM, Metabolix) and poly(ethylene-co-vinyl acetate) (EVA). The PHBM is miscible with EVA90 which has a vinyl acetate (VA) content of 90 wt% while it is not miscible with EVA at low VA content (!70 wt%). The PHBM/EVA90 blends exhibit high tensile strength and typical thermoplastic elastomeric characteristics e.g. high elongation at break (&gt;800%), good strain-recovery (&gt;60%) and melt processability. The spherulite growth rate of PHBM decreases with increasing EVA90 content. Consequently, a large number of fine PHBM spherulites were formed in the blends. The spherulites act as physical crosslink-points leading to a thermoreversable network in the blends. Such network and elastic EVA90 molecules result in the thermoplastic and elastomeric characteristics of the PHBM/EVA90 blends. © BME-PT.","author":[{"dropping-particle":"","family":"Ma","given":"P.","non-dropping-particle":"","parse-names":false,"suffix":""},{"dropping-particle":"","family":"Cai","given":"X.","non-dropping-particle":"","parse-names":false,"suffix":""},{"dropping-particle":"","family":"Chen","given":"M.","non-dropping-particle":"","parse-names":false,"suffix":""},{"dropping-particle":"","family":"Dong","given":"W.","non-dropping-particle":"","parse-names":false,"suffix":""},{"dropping-particle":"","family":"Lemstra","given":"P. J.","non-dropping-particle":"","parse-names":false,"suffix":""}],"container-title":"Express Polymer Letters","id":"ITEM-1","issue":"7","issued":{"date-parts":[["2014"]]},"page":"517-527","title":"Partially bio-based thermoplastic elastomers by physical blending of poly(hydroxyalkanoate)s and poly(ethylene-co-vinyl acetate)","type":"article-journal","volume":"8"},"uris":["http://www.mendeley.com/documents/?uuid=11d3b3e8-34a1-4d1d-be05-90357ce669f4"]}],"mendeley":{"formattedCitation":"[26]","plainTextFormattedCitation":"[26]","previouslyFormattedCitation":"&lt;sup&gt;26&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bCs/>
          <w:noProof/>
          <w:sz w:val="20"/>
          <w:szCs w:val="20"/>
          <w:lang w:eastAsia="en-MY"/>
        </w:rPr>
        <w:t>[26]</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 However, only a single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was detected for PHB/EVA with a 10:90 ratio. Therefore, it can be concluded that the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values and miscibility of the polymer blends are strongly dependent on the blend compositions.</w:t>
      </w:r>
    </w:p>
    <w:p w14:paraId="0F5F731B" w14:textId="77777777" w:rsidR="004846C8" w:rsidRDefault="004846C8" w:rsidP="00782C8C">
      <w:pPr>
        <w:spacing w:after="0"/>
        <w:jc w:val="both"/>
        <w:rPr>
          <w:rFonts w:ascii="Times New Roman" w:hAnsi="Times New Roman"/>
          <w:sz w:val="20"/>
          <w:szCs w:val="20"/>
          <w:lang w:eastAsia="en-MY"/>
        </w:rPr>
      </w:pPr>
    </w:p>
    <w:p w14:paraId="336F75E2" w14:textId="67E2D0BF" w:rsidR="009650F7" w:rsidRDefault="009650F7" w:rsidP="009650F7">
      <w:pPr>
        <w:spacing w:after="0"/>
        <w:jc w:val="both"/>
        <w:rPr>
          <w:rFonts w:ascii="Times New Roman" w:hAnsi="Times New Roman"/>
          <w:sz w:val="20"/>
          <w:szCs w:val="20"/>
          <w:lang w:eastAsia="en-MY"/>
        </w:rPr>
      </w:pPr>
      <w:r w:rsidRPr="008E67A5">
        <w:rPr>
          <w:rFonts w:ascii="Times New Roman" w:hAnsi="Times New Roman"/>
          <w:sz w:val="20"/>
          <w:szCs w:val="20"/>
          <w:lang w:eastAsia="en-MY"/>
        </w:rPr>
        <w:t>The DSC curves as shown in Figure 4, reveal the addition of NR into PHB interrupted the molecular attraction between PHB chains to some extent, thereby it inhibited cold crystallization to occur in all NR/PHB blends. This is depicted by the disappearance of the T</w:t>
      </w:r>
      <w:r w:rsidRPr="008E67A5">
        <w:rPr>
          <w:rFonts w:ascii="Times New Roman" w:hAnsi="Times New Roman"/>
          <w:sz w:val="20"/>
          <w:szCs w:val="20"/>
          <w:vertAlign w:val="subscript"/>
          <w:lang w:eastAsia="en-MY"/>
        </w:rPr>
        <w:t>c</w:t>
      </w:r>
      <w:r w:rsidRPr="008E67A5">
        <w:rPr>
          <w:rFonts w:ascii="Times New Roman" w:hAnsi="Times New Roman"/>
          <w:sz w:val="20"/>
          <w:szCs w:val="20"/>
          <w:lang w:eastAsia="en-MY"/>
        </w:rPr>
        <w:t xml:space="preserve"> peaks in the thermograms. Similar observation was reported in another study </w:t>
      </w:r>
      <w:r w:rsidRPr="008E67A5">
        <w:rPr>
          <w:rStyle w:val="FootnoteReference"/>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{"citationItems":[{"id":"ITEM-1","itemData":{"DOI":"10.1590/S1516-14392009000200008","ISSN":"15161439","abstract":"The ever increasing accumulation of plastic waste in the environment has motivated research on polymers that degrade rapidly after being discarded as possible substitutes for conventional inert plastics. Biodegradable polymers can be an alternative, since they have non-toxic residual products and low environmental permanence. Poly (hydroxybutyrate) is a biodegradable polymer with a strong potential for industrial purposes, but its thermal instability and fragility limit its applications. Thus, an alternative to improve the processability and properties of poly (hydroxybutyrate) is to mix it with another polymer, not necessarily a biodegradable one. In this work, different mixtures of poly(hydroxybutyrate) or PHB and polypropylene or PP were extruded and injected. After processing, the blends were studied and their miscibility, mechanical properties and degradability in different soils were analyzed. The main results indicated that the PHB/PP blends had better mechanical properties than pure PHB, as well as improved immiscibility and higher degradation in alkaline soil. The poly-hydroxybutyrate/polypropylene blends showed a tendency for lower crystallinity and stiffness of the polymer matrix, proportional to the amount of polypropylene in the blends, rendering them less stiff and fragile. The degradation tests showed that both pure PHB and blends with 90% PHB and 10% PP were degraded, with loss of their mechanical properties and weight.","author":[{"dropping-particle":"","family":"Pachekoski","given":"Wagner Mauricio","non-dropping-particle":"","parse-names":false,"suffix":""},{"dropping-particle":"","family":"Agnelli","given":"José Augusto Marcondes","non-dropping-particle":"","parse-names":false,"suffix":""},{"dropping-particle":"","family":"Belem","given":"Lauriberto Paulo","non-dropping-particle":"","parse-names":false,"suffix":""}],"container-title":"Materials Research","id":"ITEM-1","issue":"2","issued":{"date-parts":[["2009"]]},"page":"159-164","title":"Thermal, mechanical and morphological properties of poly (hydroxybutyrate) and polypropylene blends after processing","type":"article-journal","volume":"12"},"uris":["http://www.mendeley.com/documents/?uuid=afaac185-b2ae-491c-8f66-a901ccac33f9"]}],"mendeley":{"formattedCitation":"[27]","plainTextFormattedCitation":"[27]","previouslyFormattedCitation":"&lt;sup&gt;27&lt;/sup&gt;"},"properties":{"noteIndex":0},"schema":"https://github.com/citation-style-language/schema/raw/master/csl-citation.json"}</w:instrText>
      </w:r>
      <w:r w:rsidRPr="008E67A5">
        <w:rPr>
          <w:rStyle w:val="FootnoteReference"/>
          <w:rFonts w:ascii="Times New Roman" w:hAnsi="Times New Roman"/>
          <w:sz w:val="20"/>
          <w:szCs w:val="20"/>
          <w:lang w:eastAsia="en-MY"/>
        </w:rPr>
        <w:fldChar w:fldCharType="separate"/>
      </w:r>
      <w:r w:rsidRPr="008E67A5">
        <w:rPr>
          <w:rFonts w:ascii="Times New Roman" w:hAnsi="Times New Roman"/>
          <w:bCs/>
          <w:noProof/>
          <w:sz w:val="20"/>
          <w:szCs w:val="20"/>
          <w:lang w:eastAsia="en-MY"/>
        </w:rPr>
        <w:t>[27]</w:t>
      </w:r>
      <w:r w:rsidRPr="008E67A5">
        <w:rPr>
          <w:rStyle w:val="FootnoteReference"/>
          <w:rFonts w:ascii="Times New Roman" w:hAnsi="Times New Roman"/>
          <w:sz w:val="20"/>
          <w:szCs w:val="20"/>
          <w:lang w:eastAsia="en-MY"/>
        </w:rPr>
        <w:fldChar w:fldCharType="end"/>
      </w:r>
      <w:r w:rsidRPr="008E67A5">
        <w:rPr>
          <w:rFonts w:ascii="Times New Roman" w:hAnsi="Times New Roman"/>
          <w:sz w:val="20"/>
          <w:szCs w:val="20"/>
          <w:lang w:eastAsia="en-MY"/>
        </w:rPr>
        <w:t>.</w:t>
      </w:r>
      <w:r w:rsidRPr="008E67A5">
        <w:rPr>
          <w:rStyle w:val="FootnoteReference"/>
          <w:rFonts w:ascii="Times New Roman" w:hAnsi="Times New Roman"/>
          <w:sz w:val="20"/>
          <w:szCs w:val="20"/>
          <w:lang w:eastAsia="en-MY"/>
        </w:rPr>
        <w:t xml:space="preserve"> </w:t>
      </w:r>
      <w:r w:rsidRPr="008E67A5">
        <w:rPr>
          <w:rFonts w:ascii="Times New Roman" w:hAnsi="Times New Roman"/>
          <w:sz w:val="20"/>
          <w:szCs w:val="20"/>
          <w:lang w:eastAsia="en-MY"/>
        </w:rPr>
        <w:t xml:space="preserve">The degree of crystallinity (χc) of neat PHB and NR/PHB blends was calculated using </w:t>
      </w:r>
      <w:r>
        <w:rPr>
          <w:rFonts w:ascii="Times New Roman" w:hAnsi="Times New Roman"/>
          <w:sz w:val="20"/>
          <w:szCs w:val="20"/>
          <w:lang w:eastAsia="en-MY"/>
        </w:rPr>
        <w:t>E</w:t>
      </w:r>
      <w:r w:rsidRPr="008E67A5">
        <w:rPr>
          <w:rFonts w:ascii="Times New Roman" w:hAnsi="Times New Roman"/>
          <w:sz w:val="20"/>
          <w:szCs w:val="20"/>
          <w:lang w:eastAsia="en-MY"/>
        </w:rPr>
        <w:t xml:space="preserve">quation </w:t>
      </w:r>
      <w:r>
        <w:rPr>
          <w:rFonts w:ascii="Times New Roman" w:hAnsi="Times New Roman"/>
          <w:sz w:val="20"/>
          <w:szCs w:val="20"/>
          <w:lang w:eastAsia="en-MY"/>
        </w:rPr>
        <w:t>1</w:t>
      </w:r>
      <w:r w:rsidRPr="008E67A5">
        <w:rPr>
          <w:rFonts w:ascii="Times New Roman" w:hAnsi="Times New Roman"/>
          <w:sz w:val="20"/>
          <w:szCs w:val="20"/>
          <w:lang w:eastAsia="en-MY"/>
        </w:rPr>
        <w:t>.</w:t>
      </w:r>
    </w:p>
    <w:p w14:paraId="560A2AA1" w14:textId="77777777" w:rsidR="009650F7" w:rsidRPr="008E67A5" w:rsidRDefault="009650F7" w:rsidP="009650F7">
      <w:pPr>
        <w:spacing w:after="0"/>
        <w:jc w:val="both"/>
        <w:rPr>
          <w:rFonts w:ascii="Times New Roman" w:hAnsi="Times New Roman"/>
          <w:sz w:val="20"/>
          <w:szCs w:val="20"/>
          <w:lang w:eastAsia="en-MY"/>
        </w:rPr>
      </w:pPr>
    </w:p>
    <w:p w14:paraId="5F123FEC" w14:textId="1456FEA8" w:rsidR="009650F7" w:rsidRDefault="009650F7" w:rsidP="009650F7">
      <w:pPr>
        <w:spacing w:after="0"/>
        <w:jc w:val="both"/>
        <w:rPr>
          <w:rFonts w:ascii="Times New Roman" w:hAnsi="Times New Roman"/>
          <w:sz w:val="20"/>
          <w:szCs w:val="20"/>
          <w:lang w:eastAsia="en-MY"/>
        </w:rPr>
      </w:pPr>
      <w:r w:rsidRPr="008E67A5">
        <w:rPr>
          <w:rFonts w:ascii="Times New Roman" w:hAnsi="Times New Roman"/>
          <w:sz w:val="20"/>
          <w:szCs w:val="20"/>
          <w:lang w:eastAsia="en-MY"/>
        </w:rPr>
        <w:t>χc = ΔH</w:t>
      </w:r>
      <w:r w:rsidRPr="008E67A5">
        <w:rPr>
          <w:rFonts w:ascii="Times New Roman" w:hAnsi="Times New Roman"/>
          <w:sz w:val="20"/>
          <w:szCs w:val="20"/>
          <w:vertAlign w:val="subscript"/>
          <w:lang w:eastAsia="en-MY"/>
        </w:rPr>
        <w:t>m</w:t>
      </w:r>
      <w:r w:rsidRPr="008E67A5">
        <w:rPr>
          <w:rFonts w:ascii="Times New Roman" w:hAnsi="Times New Roman"/>
          <w:sz w:val="20"/>
          <w:szCs w:val="20"/>
          <w:lang w:eastAsia="en-MY"/>
        </w:rPr>
        <w:t>/ΔH</w:t>
      </w:r>
      <w:r w:rsidRPr="008E67A5">
        <w:rPr>
          <w:rFonts w:ascii="Times New Roman" w:hAnsi="Times New Roman"/>
          <w:sz w:val="20"/>
          <w:szCs w:val="20"/>
          <w:vertAlign w:val="subscript"/>
          <w:lang w:eastAsia="en-MY"/>
        </w:rPr>
        <w:t>100</w:t>
      </w:r>
      <w:r w:rsidRPr="008E67A5">
        <w:rPr>
          <w:rFonts w:ascii="Times New Roman" w:hAnsi="Times New Roman"/>
          <w:sz w:val="20"/>
          <w:szCs w:val="20"/>
          <w:lang w:eastAsia="en-MY"/>
        </w:rPr>
        <w:t xml:space="preserve"> ·W</w:t>
      </w:r>
      <w:r w:rsidRPr="008E67A5">
        <w:rPr>
          <w:rFonts w:ascii="Times New Roman" w:hAnsi="Times New Roman"/>
          <w:sz w:val="20"/>
          <w:szCs w:val="20"/>
          <w:vertAlign w:val="subscript"/>
          <w:lang w:eastAsia="en-MY"/>
        </w:rPr>
        <w:t>PHB</w:t>
      </w:r>
      <w:r w:rsidRPr="008E67A5">
        <w:rPr>
          <w:rFonts w:ascii="Times New Roman" w:hAnsi="Times New Roman"/>
          <w:sz w:val="20"/>
          <w:szCs w:val="20"/>
          <w:lang w:eastAsia="en-MY"/>
        </w:rPr>
        <w:t xml:space="preserve"> x 100%             </w:t>
      </w:r>
      <w:r>
        <w:rPr>
          <w:rFonts w:ascii="Times New Roman" w:hAnsi="Times New Roman"/>
          <w:sz w:val="20"/>
          <w:szCs w:val="20"/>
          <w:lang w:eastAsia="en-MY"/>
        </w:rPr>
        <w:t xml:space="preserve">                         </w:t>
      </w:r>
      <w:r w:rsidRPr="008E67A5">
        <w:rPr>
          <w:rFonts w:ascii="Times New Roman" w:hAnsi="Times New Roman"/>
          <w:sz w:val="20"/>
          <w:szCs w:val="20"/>
          <w:lang w:eastAsia="en-MY"/>
        </w:rPr>
        <w:t>(1)</w:t>
      </w:r>
    </w:p>
    <w:p w14:paraId="76FE270F" w14:textId="77777777" w:rsidR="009650F7" w:rsidRDefault="009650F7" w:rsidP="009650F7">
      <w:pPr>
        <w:spacing w:after="0"/>
        <w:jc w:val="both"/>
        <w:rPr>
          <w:rFonts w:ascii="Times New Roman" w:hAnsi="Times New Roman"/>
          <w:sz w:val="20"/>
          <w:szCs w:val="20"/>
          <w:lang w:eastAsia="en-MY"/>
        </w:rPr>
      </w:pPr>
    </w:p>
    <w:p w14:paraId="458FC994" w14:textId="565787B6" w:rsidR="009650F7" w:rsidRDefault="009650F7" w:rsidP="009650F7">
      <w:pPr>
        <w:spacing w:after="0"/>
        <w:jc w:val="both"/>
        <w:rPr>
          <w:rFonts w:ascii="Times New Roman" w:hAnsi="Times New Roman"/>
          <w:sz w:val="20"/>
          <w:szCs w:val="20"/>
          <w:lang w:eastAsia="en-MY"/>
        </w:rPr>
      </w:pPr>
      <w:r w:rsidRPr="008E67A5">
        <w:rPr>
          <w:rFonts w:ascii="Times New Roman" w:hAnsi="Times New Roman"/>
          <w:sz w:val="20"/>
          <w:szCs w:val="20"/>
          <w:lang w:eastAsia="en-MY"/>
        </w:rPr>
        <w:t>The values are summarized in Table 3. Pristine PHB exerts 55% of χc values, while for NR/PHB blend falls in the range of 47-17%. This trend is due to the amorphous nature of NR in the blends, which reduced the crystallinity of PHB. Similar to the XRD results, the crystallinity of the NR/PHB blends increased with an increase in the PHB content in the samples. For instance, NR/PHB blends with a ratio 20:80 displayed the highest χ</w:t>
      </w:r>
      <w:r w:rsidRPr="008E67A5">
        <w:rPr>
          <w:rFonts w:ascii="Times New Roman" w:hAnsi="Times New Roman"/>
          <w:sz w:val="20"/>
          <w:szCs w:val="20"/>
          <w:vertAlign w:val="subscript"/>
          <w:lang w:eastAsia="en-MY"/>
        </w:rPr>
        <w:t>c</w:t>
      </w:r>
      <w:r w:rsidRPr="008E67A5">
        <w:rPr>
          <w:rFonts w:ascii="Times New Roman" w:hAnsi="Times New Roman"/>
          <w:sz w:val="20"/>
          <w:szCs w:val="20"/>
          <w:lang w:eastAsia="en-MY"/>
        </w:rPr>
        <w:t xml:space="preserve"> value which is 47%. This is followed by NR/PHB blends with ratios 40:60, 60:40, and 80:20, which have decreasing χc values of 42%, 35.8%, and 17.8%, respectively. </w:t>
      </w:r>
    </w:p>
    <w:p w14:paraId="4DC1DAB2" w14:textId="77777777" w:rsidR="004846C8" w:rsidRDefault="004846C8" w:rsidP="00782C8C">
      <w:pPr>
        <w:spacing w:after="0"/>
        <w:jc w:val="both"/>
        <w:rPr>
          <w:rFonts w:ascii="Times New Roman" w:hAnsi="Times New Roman"/>
          <w:sz w:val="20"/>
          <w:szCs w:val="20"/>
          <w:lang w:eastAsia="en-MY"/>
        </w:rPr>
      </w:pPr>
    </w:p>
    <w:p w14:paraId="28E78EA1" w14:textId="77777777" w:rsidR="009650F7" w:rsidRDefault="009650F7" w:rsidP="009650F7">
      <w:pPr>
        <w:spacing w:after="0"/>
        <w:jc w:val="both"/>
        <w:rPr>
          <w:rFonts w:ascii="Times New Roman" w:hAnsi="Times New Roman"/>
          <w:sz w:val="20"/>
          <w:szCs w:val="20"/>
          <w:lang w:eastAsia="en-MY"/>
        </w:rPr>
      </w:pPr>
      <w:r w:rsidRPr="008E67A5">
        <w:rPr>
          <w:rFonts w:ascii="Times New Roman" w:hAnsi="Times New Roman"/>
          <w:sz w:val="20"/>
          <w:szCs w:val="20"/>
          <w:lang w:eastAsia="en-MY"/>
        </w:rPr>
        <w:t>To summarize, two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values with no shifting in the T</w:t>
      </w:r>
      <w:r w:rsidRPr="008E67A5">
        <w:rPr>
          <w:rFonts w:ascii="Times New Roman" w:hAnsi="Times New Roman"/>
          <w:sz w:val="20"/>
          <w:szCs w:val="20"/>
          <w:vertAlign w:val="subscript"/>
          <w:lang w:eastAsia="en-MY"/>
        </w:rPr>
        <w:t>m</w:t>
      </w:r>
      <w:r w:rsidRPr="008E67A5">
        <w:rPr>
          <w:rFonts w:ascii="Times New Roman" w:hAnsi="Times New Roman"/>
          <w:sz w:val="20"/>
          <w:szCs w:val="20"/>
          <w:lang w:eastAsia="en-MY"/>
        </w:rPr>
        <w:t xml:space="preserve"> of PHB indicate that phase separation occurred in NR/PHB blends. However, a previous study involving blends of PHB/ polycarbonate (PPC) shows contrary findings with the appearance of a single T</w:t>
      </w:r>
      <w:r w:rsidRPr="008E67A5">
        <w:rPr>
          <w:rFonts w:ascii="Times New Roman" w:hAnsi="Times New Roman"/>
          <w:sz w:val="20"/>
          <w:szCs w:val="20"/>
          <w:vertAlign w:val="subscript"/>
          <w:lang w:eastAsia="en-MY"/>
        </w:rPr>
        <w:t>g</w:t>
      </w:r>
      <w:r w:rsidRPr="008E67A5">
        <w:rPr>
          <w:rFonts w:ascii="Times New Roman" w:hAnsi="Times New Roman"/>
          <w:sz w:val="20"/>
          <w:szCs w:val="20"/>
          <w:lang w:eastAsia="en-MY"/>
        </w:rPr>
        <w:t xml:space="preserve"> and no significant change in the T</w:t>
      </w:r>
      <w:r w:rsidRPr="008E67A5">
        <w:rPr>
          <w:rFonts w:ascii="Times New Roman" w:hAnsi="Times New Roman"/>
          <w:sz w:val="20"/>
          <w:szCs w:val="20"/>
          <w:vertAlign w:val="subscript"/>
          <w:lang w:eastAsia="en-MY"/>
        </w:rPr>
        <w:t>m</w:t>
      </w:r>
      <w:r w:rsidRPr="008E67A5">
        <w:rPr>
          <w:rFonts w:ascii="Times New Roman" w:hAnsi="Times New Roman"/>
          <w:sz w:val="20"/>
          <w:szCs w:val="20"/>
          <w:lang w:eastAsia="en-MY"/>
        </w:rPr>
        <w:t xml:space="preserve"> peaks of PHB </w:t>
      </w:r>
      <w:r w:rsidRPr="008E67A5">
        <w:rPr>
          <w:rFonts w:ascii="Times New Roman" w:hAnsi="Times New Roman"/>
          <w:sz w:val="20"/>
          <w:szCs w:val="20"/>
          <w:lang w:eastAsia="en-MY"/>
        </w:rPr>
        <w:fldChar w:fldCharType="begin" w:fldLock="1"/>
      </w:r>
      <w:r w:rsidRPr="008E67A5">
        <w:rPr>
          <w:rFonts w:ascii="Times New Roman" w:hAnsi="Times New Roman"/>
          <w:sz w:val="20"/>
          <w:szCs w:val="20"/>
          <w:lang w:eastAsia="en-MY"/>
        </w:rPr>
        <w:instrText>ADDIN CSL_CITATION {"citationItems":[{"id":"ITEM-1","itemData":{"DOI":"10.1039/c5cp06076a","ISSN":"14639076","abstract":"The miscibility of poly(propylene carbonate) (PPC) and poly(3-hydroxybutyrate) (PHB) blends was analyzed by differential scanning calorimetry (DSC) and polarized optical microscopy (POM). The results indicated that the blends are immiscible at most blending compositions, and a miscible blend can be obtained when the PHB content is as low as 10 wt%. The morphology of the PPC/PHB (70/30) blend film was characterized by POM, scanning electron micrography (SEM) and Fourier transform infrared spectroscopy (FTIR), and the development of a PPC-top and microporous PHB-bottom bilayer structure can be revealed. Different from the normal case, phase separation can take place on the normal direction of the film surface in the PPC/PHB (70/30) blend at 190°C, attributed to the different surface energies of the two components. The continuous segregation of PPC to the top-layer can result in the crystallization of PHB at the bottom layer and conversely promote the complete development of a bilayer structure. Since the isotropic PPC layer is transparent with no birefringence, the PHB spherulite with a microporous structure at the bottom layer can be observed directly by POM. Moreover, the microporous structure of the bottom layer should be attributed to the solution cast procedure. Thus, some unique crystalline patterns may be created in the demixed crystalline/amorphous polymer blends, which differ greatly from those obtained from the miscible blend systems.","author":[{"dropping-particle":"","family":"Zhang","given":"Shujing","non-dropping-particle":"","parse-names":false,"suffix":""},{"dropping-particle":"","family":"Sun","given":"Xiaoli","non-dropping-particle":"","parse-names":false,"suffix":""},{"dropping-particle":"","family":"Ren","given":"Zhongjie","non-dropping-particle":"","parse-names":false,"suffix":""},{"dropping-particle":"","family":"Li","given":"Huihui","non-dropping-particle":"","parse-names":false,"suffix":""},{"dropping-particle":"","family":"Yan","given":"Shouke","non-dropping-particle":"","parse-names":false,"suffix":""}],"container-title":"Physical Chemistry Chemical Physics","id":"ITEM-1","issue":"48","issued":{"date-parts":[["2015"]]},"page":"32225-32231","publisher":"Royal Society of Chemistry","title":"The development of a bilayer structure of poly(propylene carbonate)/poly(3-hydroxybutyrate) blends from the demixed melt","type":"article-journal","volume":"17"},"uris":["http://www.mendeley.com/documents/?uuid=fb55a4fb-9c9e-4a90-9898-76a6f559f3df"]}],"mendeley":{"formattedCitation":"[24]","plainTextFormattedCitation":"[24]","previouslyFormattedCitation":"&lt;sup&gt;24&lt;/sup&gt;"},"properties":{"noteIndex":0},"schema":"https://github.com/citation-style-language/schema/raw/master/csl-citation.json"}</w:instrText>
      </w:r>
      <w:r w:rsidRPr="008E67A5">
        <w:rPr>
          <w:rFonts w:ascii="Times New Roman" w:hAnsi="Times New Roman"/>
          <w:sz w:val="20"/>
          <w:szCs w:val="20"/>
          <w:lang w:eastAsia="en-MY"/>
        </w:rPr>
        <w:fldChar w:fldCharType="separate"/>
      </w:r>
      <w:r w:rsidRPr="008E67A5">
        <w:rPr>
          <w:rFonts w:ascii="Times New Roman" w:hAnsi="Times New Roman"/>
          <w:noProof/>
          <w:sz w:val="20"/>
          <w:szCs w:val="20"/>
          <w:lang w:eastAsia="en-MY"/>
        </w:rPr>
        <w:t>[24]</w:t>
      </w:r>
      <w:r w:rsidRPr="008E67A5">
        <w:rPr>
          <w:rFonts w:ascii="Times New Roman" w:hAnsi="Times New Roman"/>
          <w:sz w:val="20"/>
          <w:szCs w:val="20"/>
          <w:lang w:eastAsia="en-MY"/>
        </w:rPr>
        <w:fldChar w:fldCharType="end"/>
      </w:r>
      <w:r w:rsidRPr="008E67A5">
        <w:rPr>
          <w:rFonts w:ascii="Times New Roman" w:hAnsi="Times New Roman"/>
          <w:sz w:val="20"/>
          <w:szCs w:val="20"/>
          <w:lang w:eastAsia="en-MY"/>
        </w:rPr>
        <w:t>. In general, it is difficult to deduce the miscibility of the blend based on the T</w:t>
      </w:r>
      <w:r w:rsidRPr="008E67A5">
        <w:rPr>
          <w:rFonts w:ascii="Times New Roman" w:hAnsi="Times New Roman"/>
          <w:sz w:val="20"/>
          <w:szCs w:val="20"/>
          <w:vertAlign w:val="subscript"/>
          <w:lang w:eastAsia="en-MY"/>
        </w:rPr>
        <w:t xml:space="preserve">g </w:t>
      </w:r>
      <w:r w:rsidRPr="008E67A5">
        <w:rPr>
          <w:rFonts w:ascii="Times New Roman" w:hAnsi="Times New Roman"/>
          <w:sz w:val="20"/>
          <w:szCs w:val="20"/>
          <w:lang w:eastAsia="en-MY"/>
        </w:rPr>
        <w:t>values. Further confirmation of the miscibility of polymer blends can be carried out using the polarized optical microscopy, since the two polymers have different refractive indices.</w:t>
      </w:r>
    </w:p>
    <w:p w14:paraId="58E6A388" w14:textId="77777777" w:rsidR="009650F7" w:rsidRDefault="009650F7" w:rsidP="00782C8C">
      <w:pPr>
        <w:spacing w:after="0"/>
        <w:jc w:val="both"/>
        <w:rPr>
          <w:rFonts w:ascii="Times New Roman" w:hAnsi="Times New Roman"/>
          <w:sz w:val="20"/>
          <w:szCs w:val="20"/>
          <w:lang w:eastAsia="en-MY"/>
        </w:rPr>
      </w:pPr>
    </w:p>
    <w:p w14:paraId="644DC791" w14:textId="77777777" w:rsidR="009650F7" w:rsidRPr="00A50CB4" w:rsidRDefault="009650F7" w:rsidP="009650F7">
      <w:pPr>
        <w:spacing w:after="0"/>
        <w:jc w:val="both"/>
        <w:rPr>
          <w:rFonts w:asciiTheme="majorBidi" w:hAnsiTheme="majorBidi" w:cstheme="majorBidi"/>
          <w:b/>
          <w:bCs/>
          <w:sz w:val="20"/>
          <w:szCs w:val="20"/>
          <w:lang w:eastAsia="en-MY"/>
        </w:rPr>
      </w:pPr>
      <w:r w:rsidRPr="00A50CB4">
        <w:rPr>
          <w:rFonts w:asciiTheme="majorBidi" w:hAnsiTheme="majorBidi" w:cstheme="majorBidi"/>
          <w:b/>
          <w:bCs/>
          <w:sz w:val="20"/>
          <w:szCs w:val="20"/>
          <w:lang w:eastAsia="en-MY"/>
        </w:rPr>
        <w:t xml:space="preserve">Polarized optical microscopy </w:t>
      </w:r>
    </w:p>
    <w:p w14:paraId="16EDF566" w14:textId="77777777" w:rsidR="009650F7" w:rsidRPr="00A50CB4" w:rsidRDefault="009650F7" w:rsidP="009650F7">
      <w:pPr>
        <w:spacing w:after="0"/>
        <w:jc w:val="both"/>
        <w:rPr>
          <w:rFonts w:asciiTheme="majorBidi" w:hAnsiTheme="majorBidi" w:cstheme="majorBidi"/>
          <w:sz w:val="20"/>
          <w:szCs w:val="20"/>
          <w:lang w:eastAsia="en-MY"/>
        </w:rPr>
      </w:pPr>
      <w:r w:rsidRPr="00A50CB4">
        <w:rPr>
          <w:rFonts w:asciiTheme="majorBidi" w:hAnsiTheme="majorBidi" w:cstheme="majorBidi"/>
          <w:sz w:val="20"/>
          <w:szCs w:val="20"/>
          <w:lang w:eastAsia="en-MY"/>
        </w:rPr>
        <w:t>The morphologies of pristine NR, PHB, and the NR/PHB blends are shown in Figure 5. The properties of the prepared samples directly influence their respective morphologies. Therefore, the interplay between the evaporation of solvent, phase separation composition, and crystallization of PHB directly determines the morphologies of the blends.</w:t>
      </w:r>
    </w:p>
    <w:p w14:paraId="41EBF6DD" w14:textId="77777777" w:rsidR="009650F7" w:rsidRDefault="009650F7" w:rsidP="009650F7">
      <w:pPr>
        <w:spacing w:after="0"/>
        <w:jc w:val="both"/>
        <w:rPr>
          <w:rFonts w:asciiTheme="majorBidi" w:hAnsiTheme="majorBidi" w:cstheme="majorBidi"/>
          <w:sz w:val="20"/>
          <w:szCs w:val="20"/>
          <w:lang w:eastAsia="en-MY"/>
        </w:rPr>
      </w:pPr>
    </w:p>
    <w:p w14:paraId="146A4797" w14:textId="77777777" w:rsidR="009650F7" w:rsidRDefault="009650F7" w:rsidP="009650F7">
      <w:pPr>
        <w:spacing w:after="0"/>
        <w:jc w:val="both"/>
        <w:rPr>
          <w:rFonts w:asciiTheme="majorBidi" w:hAnsiTheme="majorBidi" w:cstheme="majorBidi"/>
          <w:sz w:val="20"/>
          <w:szCs w:val="20"/>
          <w:lang w:eastAsia="en-MY"/>
        </w:rPr>
      </w:pPr>
      <w:r w:rsidRPr="00A50CB4">
        <w:rPr>
          <w:rFonts w:asciiTheme="majorBidi" w:hAnsiTheme="majorBidi" w:cstheme="majorBidi"/>
          <w:sz w:val="20"/>
          <w:szCs w:val="20"/>
          <w:lang w:eastAsia="en-MY"/>
        </w:rPr>
        <w:t xml:space="preserve">As shown in Figure 5(a), the POM image of NR has an even and smooth surface due to its amorphous characteristic. In contrast, a neat PHB (Figure 5(b)) features large spherulites with closely ring bands. These spherulites are attributed to the crystalline properties of PHB. As for the blends, </w:t>
      </w:r>
      <w:r w:rsidRPr="00A50CB4">
        <w:rPr>
          <w:rFonts w:ascii="Times New Roman" w:hAnsi="Times New Roman"/>
          <w:sz w:val="20"/>
          <w:szCs w:val="20"/>
          <w:lang w:eastAsia="en-MY"/>
        </w:rPr>
        <w:t xml:space="preserve">a single phase should be observed if PHB is miscible with NR. Otherwise, two phases are formed. Here, </w:t>
      </w:r>
      <w:r w:rsidRPr="00A50CB4">
        <w:rPr>
          <w:rFonts w:asciiTheme="majorBidi" w:hAnsiTheme="majorBidi" w:cstheme="majorBidi"/>
          <w:sz w:val="20"/>
          <w:szCs w:val="20"/>
          <w:lang w:eastAsia="en-MY"/>
        </w:rPr>
        <w:t>all compositions show heterogeneous phases. The presence of NR in the blends of NR/PHB results in spherulites with various sizes that vary depending on the blend’s composition. The addition of NR to PHB influences the crystallinity of PHB as it decreases the mobility of PHB segments and retards the crystal growth.</w:t>
      </w:r>
    </w:p>
    <w:p w14:paraId="4C493463" w14:textId="77777777" w:rsidR="009650F7" w:rsidRDefault="009650F7" w:rsidP="009650F7">
      <w:pPr>
        <w:spacing w:after="0"/>
        <w:jc w:val="both"/>
        <w:rPr>
          <w:rFonts w:asciiTheme="majorBidi" w:hAnsiTheme="majorBidi" w:cstheme="majorBidi"/>
          <w:sz w:val="20"/>
          <w:szCs w:val="20"/>
          <w:lang w:eastAsia="en-MY"/>
        </w:rPr>
      </w:pPr>
    </w:p>
    <w:p w14:paraId="2F6B8D36" w14:textId="77777777" w:rsidR="009650F7" w:rsidRDefault="009650F7" w:rsidP="009650F7">
      <w:pPr>
        <w:spacing w:after="0"/>
        <w:jc w:val="both"/>
        <w:rPr>
          <w:rFonts w:asciiTheme="majorBidi" w:hAnsiTheme="majorBidi" w:cstheme="majorBidi"/>
          <w:sz w:val="20"/>
          <w:szCs w:val="20"/>
          <w:lang w:eastAsia="en-MY"/>
        </w:rPr>
      </w:pPr>
      <w:r w:rsidRPr="00A50CB4">
        <w:rPr>
          <w:rFonts w:asciiTheme="majorBidi" w:hAnsiTheme="majorBidi" w:cstheme="majorBidi"/>
          <w:sz w:val="20"/>
          <w:szCs w:val="20"/>
          <w:lang w:eastAsia="en-MY"/>
        </w:rPr>
        <w:t xml:space="preserve">The morphology of the 80:20 NR/PHB ratio shows the appearance of PHB crystalline phase with no occurrence of spherulites. These globular PHB islands </w:t>
      </w:r>
      <w:r>
        <w:rPr>
          <w:rFonts w:asciiTheme="majorBidi" w:hAnsiTheme="majorBidi" w:cstheme="majorBidi"/>
          <w:sz w:val="20"/>
          <w:szCs w:val="20"/>
          <w:lang w:eastAsia="en-MY"/>
        </w:rPr>
        <w:t>(</w:t>
      </w:r>
      <w:r w:rsidRPr="00A50CB4">
        <w:rPr>
          <w:rFonts w:asciiTheme="majorBidi" w:hAnsiTheme="majorBidi" w:cstheme="majorBidi"/>
          <w:sz w:val="20"/>
          <w:szCs w:val="20"/>
          <w:lang w:eastAsia="en-MY"/>
        </w:rPr>
        <w:t>refer to the arrow in Figure 5(c)</w:t>
      </w:r>
      <w:r>
        <w:rPr>
          <w:rFonts w:asciiTheme="majorBidi" w:hAnsiTheme="majorBidi" w:cstheme="majorBidi"/>
          <w:sz w:val="20"/>
          <w:szCs w:val="20"/>
          <w:lang w:eastAsia="en-MY"/>
        </w:rPr>
        <w:t>)</w:t>
      </w:r>
      <w:r w:rsidRPr="00A50CB4">
        <w:rPr>
          <w:rFonts w:asciiTheme="majorBidi" w:hAnsiTheme="majorBidi" w:cstheme="majorBidi"/>
          <w:sz w:val="20"/>
          <w:szCs w:val="20"/>
          <w:lang w:eastAsia="en-MY"/>
        </w:rPr>
        <w:t xml:space="preserve"> are dispersed in the amorphous phase of NR. This observation has been reported by Zhang and co-workers </w:t>
      </w:r>
      <w:r w:rsidRPr="00A50CB4">
        <w:rPr>
          <w:rStyle w:val="FootnoteReference"/>
          <w:rFonts w:asciiTheme="majorBidi" w:hAnsiTheme="majorBidi" w:cstheme="majorBidi"/>
          <w:sz w:val="20"/>
          <w:szCs w:val="20"/>
          <w:lang w:eastAsia="en-MY"/>
        </w:rPr>
        <w:fldChar w:fldCharType="begin" w:fldLock="1"/>
      </w:r>
      <w:r w:rsidRPr="00A50CB4">
        <w:rPr>
          <w:rFonts w:asciiTheme="majorBidi" w:hAnsiTheme="majorBidi" w:cstheme="majorBidi"/>
          <w:sz w:val="20"/>
          <w:szCs w:val="20"/>
          <w:lang w:eastAsia="en-MY"/>
        </w:rPr>
        <w:instrText>ADDIN CSL_CITATION {"citationItems":[{"id":"ITEM-1","itemData":{"DOI":"10.1039/c5cp06076a","ISSN":"14639076","abstract":"The miscibility of poly(propylene carbonate) (PPC) and poly(3-hydroxybutyrate) (PHB) blends was analyzed by differential scanning calorimetry (DSC) and polarized optical microscopy (POM). The results indicated that the blends are immiscible at most blending compositions, and a miscible blend can be obtained when the PHB content is as low as 10 wt%. The morphology of the PPC/PHB (70/30) blend film was characterized by POM, scanning electron micrography (SEM) and Fourier transform infrared spectroscopy (FTIR), and the development of a PPC-top and microporous PHB-bottom bilayer structure can be revealed. Different from the normal case, phase separation can take place on the normal direction of the film surface in the PPC/PHB (70/30) blend at 190°C, attributed to the different surface energies of the two components. The continuous segregation of PPC to the top-layer can result in the crystallization of PHB at the bottom layer and conversely promote the complete development of a bilayer structure. Since the isotropic PPC layer is transparent with no birefringence, the PHB spherulite with a microporous structure at the bottom layer can be observed directly by POM. Moreover, the microporous structure of the bottom layer should be attributed to the solution cast procedure. Thus, some unique crystalline patterns may be created in the demixed crystalline/amorphous polymer blends, which differ greatly from those obtained from the miscible blend systems.","author":[{"dropping-particle":"","family":"Zhang","given":"Shujing","non-dropping-particle":"","parse-names":false,"suffix":""},{"dropping-particle":"","family":"Sun","given":"Xiaoli","non-dropping-particle":"","parse-names":false,"suffix":""},{"dropping-particle":"","family":"Ren","given":"Zhongjie","non-dropping-particle":"","parse-names":false,"suffix":""},{"dropping-particle":"","family":"Li","given":"Huihui","non-dropping-particle":"","parse-names":false,"suffix":""},{"dropping-particle":"","family":"Yan","given":"Shouke","non-dropping-particle":"","parse-names":false,"suffix":""}],"container-title":"Physical Chemistry Chemical Physics","id":"ITEM-1","issue":"48","issued":{"date-parts":[["2015"]]},"page":"32225-32231","publisher":"Royal Society of Chemistry","title":"The development of a bilayer structure of poly(propylene carbonate)/poly(3-hydroxybutyrate) blends from the demixed melt","type":"article-journal","volume":"17"},"uris":["http://www.mendeley.com/documents/?uuid=fb55a4fb-9c9e-4a90-9898-76a6f559f3df"]}],"mendeley":{"formattedCitation":"[24]","plainTextFormattedCitation":"[24]","previouslyFormattedCitation":"&lt;sup&gt;24&lt;/sup&gt;"},"properties":{"noteIndex":0},"schema":"https://github.com/citation-style-language/schema/raw/master/csl-citation.json"}</w:instrText>
      </w:r>
      <w:r w:rsidRPr="00A50CB4">
        <w:rPr>
          <w:rStyle w:val="FootnoteReference"/>
          <w:rFonts w:asciiTheme="majorBidi" w:hAnsiTheme="majorBidi" w:cstheme="majorBidi"/>
          <w:sz w:val="20"/>
          <w:szCs w:val="20"/>
          <w:lang w:eastAsia="en-MY"/>
        </w:rPr>
        <w:fldChar w:fldCharType="separate"/>
      </w:r>
      <w:r w:rsidRPr="00A50CB4">
        <w:rPr>
          <w:rFonts w:asciiTheme="majorBidi" w:hAnsiTheme="majorBidi" w:cstheme="majorBidi"/>
          <w:noProof/>
          <w:sz w:val="20"/>
          <w:szCs w:val="20"/>
          <w:lang w:eastAsia="en-MY"/>
        </w:rPr>
        <w:t>[24]</w:t>
      </w:r>
      <w:r w:rsidRPr="00A50CB4">
        <w:rPr>
          <w:rStyle w:val="FootnoteReference"/>
          <w:rFonts w:asciiTheme="majorBidi" w:hAnsiTheme="majorBidi" w:cstheme="majorBidi"/>
          <w:sz w:val="20"/>
          <w:szCs w:val="20"/>
          <w:lang w:eastAsia="en-MY"/>
        </w:rPr>
        <w:fldChar w:fldCharType="end"/>
      </w:r>
      <w:r w:rsidRPr="00A50CB4">
        <w:rPr>
          <w:rFonts w:asciiTheme="majorBidi" w:hAnsiTheme="majorBidi" w:cstheme="majorBidi"/>
          <w:sz w:val="20"/>
          <w:szCs w:val="20"/>
          <w:lang w:eastAsia="en-MY"/>
        </w:rPr>
        <w:t xml:space="preserve"> where the minor droplets of PHB are dispersed in the amorphous polycarbonate (PPC) matrix when PPC is the major phase. Besides that, in this case, the absence of spherulites maybe due to the higher content of NR which covered the surface of the PHB crystal. Further decrease in the NR content, such as in the 60:40, 40:60, and 20:80 NR/PHB blends, reveals different morphologies, which have irregular shape and imperfect spherulites. In addition, the spherulite sizes are smaller and the boarders of the spherulites are not clearly seen compared to pure PHB. This phenomenon can be due to the occurrence of the degradation of PHB after the annealing process.</w:t>
      </w:r>
    </w:p>
    <w:p w14:paraId="4C1522E3" w14:textId="77777777" w:rsidR="009650F7" w:rsidRDefault="009650F7" w:rsidP="009650F7">
      <w:pPr>
        <w:spacing w:after="0"/>
        <w:jc w:val="both"/>
        <w:rPr>
          <w:rFonts w:asciiTheme="majorBidi" w:hAnsiTheme="majorBidi" w:cstheme="majorBidi"/>
          <w:sz w:val="20"/>
          <w:szCs w:val="20"/>
          <w:lang w:eastAsia="en-MY"/>
        </w:rPr>
      </w:pPr>
    </w:p>
    <w:p w14:paraId="0915D369" w14:textId="77777777" w:rsidR="009650F7" w:rsidRDefault="009650F7" w:rsidP="009650F7">
      <w:pPr>
        <w:spacing w:after="0"/>
        <w:jc w:val="both"/>
        <w:rPr>
          <w:rFonts w:asciiTheme="majorBidi" w:hAnsiTheme="majorBidi" w:cstheme="majorBidi"/>
          <w:sz w:val="20"/>
          <w:szCs w:val="20"/>
          <w:lang w:eastAsia="en-MY"/>
        </w:rPr>
      </w:pPr>
      <w:r w:rsidRPr="00A50CB4">
        <w:rPr>
          <w:rFonts w:asciiTheme="majorBidi" w:hAnsiTheme="majorBidi" w:cstheme="majorBidi"/>
          <w:sz w:val="20"/>
          <w:szCs w:val="20"/>
          <w:lang w:eastAsia="en-MY"/>
        </w:rPr>
        <w:t>As can be seen from the 60:40 ratio, the phase separation is obvious with no clear banded structure detected in the spherulite. Since its content is only 40 wt</w:t>
      </w:r>
      <w:r>
        <w:rPr>
          <w:rFonts w:asciiTheme="majorBidi" w:hAnsiTheme="majorBidi" w:cstheme="majorBidi"/>
          <w:sz w:val="20"/>
          <w:szCs w:val="20"/>
          <w:lang w:eastAsia="en-MY"/>
        </w:rPr>
        <w:t>.</w:t>
      </w:r>
      <w:r w:rsidRPr="00A50CB4">
        <w:rPr>
          <w:rFonts w:asciiTheme="majorBidi" w:hAnsiTheme="majorBidi" w:cstheme="majorBidi"/>
          <w:sz w:val="20"/>
          <w:szCs w:val="20"/>
          <w:lang w:eastAsia="en-MY"/>
        </w:rPr>
        <w:t xml:space="preserve">% in the blend, PHB crystallizes in a pattern as shown in Figure 5(d). In contrast, an uneven surface morphology is seen in the 40:60 ratio with a much denser nucleation and smaller size of spherulites compared to 60:40. This is due to rubber dispersed in the continuous PHB matrix. On the other hand, from Figure 5(f) of the 20:80 ratio, the growth of spherulites seems to have different rates, since there is a coexistence of large and small spherulites. This </w:t>
      </w:r>
      <w:r w:rsidRPr="00A50CB4">
        <w:rPr>
          <w:rFonts w:asciiTheme="majorBidi" w:hAnsiTheme="majorBidi" w:cstheme="majorBidi"/>
          <w:sz w:val="20"/>
          <w:szCs w:val="20"/>
          <w:lang w:eastAsia="en-MY"/>
        </w:rPr>
        <w:lastRenderedPageBreak/>
        <w:t xml:space="preserve">phenomenon corresponds to the inhomogeneity of PHB in the blends. Therefore, it can be summarized that, more imperfect spherulites were formed although with a smaller volume shown in 40:60 and 20:80 when the PHB was the major phase. Overall, the morphologies of NR/PHB blends prove a phase separation, which </w:t>
      </w:r>
      <w:r w:rsidRPr="00A50CB4">
        <w:rPr>
          <w:rFonts w:asciiTheme="majorBidi" w:hAnsiTheme="majorBidi" w:cstheme="majorBidi"/>
          <w:sz w:val="20"/>
          <w:szCs w:val="20"/>
          <w:lang w:eastAsia="en-MY"/>
        </w:rPr>
        <w:t>correspond to the immiscibility between NR and PHB. This result agrees well with the DSC findings. The lack of immiscibility between the polymers in this system can be ascribed to the bulkiness of the polymer chains which causes poor chain entanglement between the two polymers.</w:t>
      </w:r>
    </w:p>
    <w:p w14:paraId="26D41CF2" w14:textId="255C12F3" w:rsidR="009650F7" w:rsidRDefault="009650F7" w:rsidP="009650F7">
      <w:pPr>
        <w:spacing w:after="0"/>
        <w:jc w:val="both"/>
        <w:rPr>
          <w:rFonts w:ascii="Times New Roman" w:hAnsi="Times New Roman"/>
          <w:sz w:val="20"/>
          <w:szCs w:val="20"/>
          <w:lang w:eastAsia="en-MY"/>
        </w:rPr>
        <w:sectPr w:rsidR="009650F7" w:rsidSect="004846C8">
          <w:footerReference w:type="even" r:id="rId27"/>
          <w:footerReference w:type="default" r:id="rId28"/>
          <w:type w:val="continuous"/>
          <w:pgSz w:w="12240" w:h="15840" w:code="1"/>
          <w:pgMar w:top="1800" w:right="1469" w:bottom="1699" w:left="1440" w:header="706" w:footer="706" w:gutter="0"/>
          <w:pgNumType w:start="0"/>
          <w:cols w:num="2" w:space="403"/>
          <w:docGrid w:linePitch="360"/>
        </w:sectPr>
      </w:pPr>
    </w:p>
    <w:p w14:paraId="369258A3" w14:textId="61E55574" w:rsidR="00782C8C" w:rsidRPr="008E67A5" w:rsidRDefault="009650F7" w:rsidP="00782C8C">
      <w:pPr>
        <w:spacing w:after="0"/>
        <w:jc w:val="both"/>
        <w:rPr>
          <w:rFonts w:ascii="Times New Roman" w:hAnsi="Times New Roman"/>
          <w:sz w:val="20"/>
          <w:szCs w:val="20"/>
          <w:lang w:eastAsia="en-MY"/>
        </w:rPr>
      </w:pPr>
      <w:r>
        <w:rPr>
          <w:rFonts w:ascii="Times New Roman" w:hAnsi="Times New Roman"/>
          <w:sz w:val="20"/>
          <w:szCs w:val="20"/>
          <w:lang w:eastAsia="en-MY"/>
        </w:rPr>
        <w:t xml:space="preserve">    </w:t>
      </w:r>
    </w:p>
    <w:p w14:paraId="3F3AD6E1" w14:textId="77777777" w:rsidR="00782C8C" w:rsidRDefault="00782C8C" w:rsidP="009650F7">
      <w:pPr>
        <w:spacing w:after="0"/>
        <w:rPr>
          <w:rFonts w:ascii="Times New Roman" w:hAnsi="Times New Roman"/>
          <w:noProof/>
          <w:sz w:val="20"/>
          <w:szCs w:val="20"/>
          <w:lang w:bidi="ar-SA"/>
        </w:rPr>
      </w:pPr>
    </w:p>
    <w:p w14:paraId="79B917C0" w14:textId="20AB78FB" w:rsidR="00782C8C" w:rsidRDefault="00782C8C" w:rsidP="00782C8C">
      <w:pPr>
        <w:spacing w:after="120"/>
        <w:jc w:val="center"/>
        <w:rPr>
          <w:rFonts w:ascii="Times New Roman" w:hAnsi="Times New Roman"/>
          <w:noProof/>
          <w:sz w:val="20"/>
          <w:szCs w:val="20"/>
          <w:lang w:bidi="ar-SA"/>
        </w:rPr>
      </w:pPr>
      <w:r w:rsidRPr="00A50CB4">
        <w:rPr>
          <w:rFonts w:asciiTheme="majorBidi" w:hAnsiTheme="majorBidi" w:cstheme="majorBidi"/>
          <w:sz w:val="20"/>
          <w:szCs w:val="20"/>
          <w:lang w:eastAsia="en-MY"/>
        </w:rPr>
        <w:object w:dxaOrig="24030" w:dyaOrig="18240" w14:anchorId="0D737065">
          <v:shape id="_x0000_i1027" type="#_x0000_t75" style="width:429pt;height:303.6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Origin50.Graph" ShapeID="_x0000_i1027" DrawAspect="Content" ObjectID="_1673642544" r:id="rId30"/>
        </w:object>
      </w:r>
    </w:p>
    <w:p w14:paraId="7055132F" w14:textId="0ACDF07B" w:rsidR="00782C8C" w:rsidRDefault="00782C8C" w:rsidP="00782C8C">
      <w:pPr>
        <w:spacing w:after="0" w:line="240" w:lineRule="auto"/>
        <w:jc w:val="center"/>
        <w:rPr>
          <w:rFonts w:asciiTheme="majorBidi" w:hAnsiTheme="majorBidi" w:cstheme="majorBidi"/>
          <w:sz w:val="20"/>
          <w:szCs w:val="20"/>
          <w:lang w:eastAsia="en-MY"/>
        </w:rPr>
      </w:pPr>
      <w:r w:rsidRPr="00A50CB4">
        <w:rPr>
          <w:rFonts w:asciiTheme="majorBidi" w:hAnsiTheme="majorBidi" w:cstheme="majorBidi"/>
          <w:sz w:val="20"/>
          <w:szCs w:val="20"/>
          <w:lang w:eastAsia="en-MY"/>
        </w:rPr>
        <w:t>Figure 4</w:t>
      </w:r>
      <w:r>
        <w:rPr>
          <w:rFonts w:asciiTheme="majorBidi" w:hAnsiTheme="majorBidi" w:cstheme="majorBidi"/>
          <w:sz w:val="20"/>
          <w:szCs w:val="20"/>
          <w:lang w:eastAsia="en-MY"/>
        </w:rPr>
        <w:t xml:space="preserve">.  </w:t>
      </w:r>
      <w:r w:rsidRPr="00A50CB4">
        <w:rPr>
          <w:rFonts w:asciiTheme="majorBidi" w:hAnsiTheme="majorBidi" w:cstheme="majorBidi"/>
          <w:sz w:val="20"/>
          <w:szCs w:val="20"/>
          <w:lang w:eastAsia="en-MY"/>
        </w:rPr>
        <w:t>DSC thermogram for NR, PHB and various ratio of NR/PHB blends</w:t>
      </w:r>
    </w:p>
    <w:p w14:paraId="0AFBC438" w14:textId="07FC6E13" w:rsidR="00782C8C" w:rsidRDefault="00782C8C" w:rsidP="00510BA6">
      <w:pPr>
        <w:spacing w:after="0"/>
        <w:jc w:val="center"/>
        <w:rPr>
          <w:rFonts w:ascii="Times New Roman" w:hAnsi="Times New Roman"/>
          <w:noProof/>
          <w:sz w:val="20"/>
          <w:szCs w:val="20"/>
          <w:lang w:bidi="ar-SA"/>
        </w:rPr>
      </w:pPr>
    </w:p>
    <w:p w14:paraId="7A178AC4" w14:textId="77777777" w:rsidR="009650F7" w:rsidRDefault="009650F7" w:rsidP="00510BA6">
      <w:pPr>
        <w:spacing w:after="0"/>
        <w:jc w:val="center"/>
        <w:rPr>
          <w:rFonts w:ascii="Times New Roman" w:hAnsi="Times New Roman"/>
          <w:noProof/>
          <w:sz w:val="20"/>
          <w:szCs w:val="20"/>
          <w:lang w:bidi="ar-SA"/>
        </w:rPr>
      </w:pPr>
    </w:p>
    <w:p w14:paraId="74D76F6D" w14:textId="5AB52983" w:rsidR="00F424CE" w:rsidRPr="00A50CB4" w:rsidRDefault="00F424CE" w:rsidP="00F424CE">
      <w:pPr>
        <w:spacing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Table 3</w:t>
      </w:r>
      <w:r>
        <w:rPr>
          <w:rFonts w:ascii="Times New Roman" w:hAnsi="Times New Roman"/>
          <w:sz w:val="20"/>
          <w:szCs w:val="20"/>
          <w:lang w:eastAsia="en-MY"/>
        </w:rPr>
        <w:t xml:space="preserve">.  </w:t>
      </w:r>
      <w:r w:rsidRPr="00A50CB4">
        <w:rPr>
          <w:rFonts w:ascii="Times New Roman" w:hAnsi="Times New Roman"/>
          <w:sz w:val="20"/>
          <w:szCs w:val="20"/>
          <w:lang w:eastAsia="en-MY"/>
        </w:rPr>
        <w:t>The thermal transition of NR, PHB and various NR/PHB blend</w:t>
      </w:r>
    </w:p>
    <w:tbl>
      <w:tblPr>
        <w:tblpPr w:leftFromText="180" w:rightFromText="180" w:vertAnchor="text" w:horzAnchor="margin" w:tblpXSpec="center" w:tblpY="141"/>
        <w:tblW w:w="0" w:type="auto"/>
        <w:tblLook w:val="04A0" w:firstRow="1" w:lastRow="0" w:firstColumn="1" w:lastColumn="0" w:noHBand="0" w:noVBand="1"/>
      </w:tblPr>
      <w:tblGrid>
        <w:gridCol w:w="1332"/>
        <w:gridCol w:w="855"/>
        <w:gridCol w:w="855"/>
        <w:gridCol w:w="851"/>
        <w:gridCol w:w="836"/>
        <w:gridCol w:w="566"/>
      </w:tblGrid>
      <w:tr w:rsidR="00F424CE" w:rsidRPr="00A50CB4" w14:paraId="31B870A5" w14:textId="77777777" w:rsidTr="00F424CE">
        <w:trPr>
          <w:trHeight w:val="132"/>
        </w:trPr>
        <w:tc>
          <w:tcPr>
            <w:tcW w:w="1332" w:type="dxa"/>
            <w:vMerge w:val="restart"/>
            <w:tcBorders>
              <w:top w:val="single" w:sz="4" w:space="0" w:color="auto"/>
            </w:tcBorders>
          </w:tcPr>
          <w:p w14:paraId="3BEBBFBE" w14:textId="77777777" w:rsidR="00F424CE" w:rsidRPr="00F36E75" w:rsidRDefault="00F424CE" w:rsidP="00F424CE">
            <w:pPr>
              <w:spacing w:before="60" w:after="0" w:line="240" w:lineRule="auto"/>
              <w:rPr>
                <w:rFonts w:ascii="Times New Roman" w:hAnsi="Times New Roman"/>
                <w:b/>
                <w:bCs/>
                <w:sz w:val="20"/>
                <w:szCs w:val="20"/>
                <w:lang w:eastAsia="en-MY"/>
              </w:rPr>
            </w:pPr>
            <w:r w:rsidRPr="00F36E75">
              <w:rPr>
                <w:rFonts w:ascii="Times New Roman" w:hAnsi="Times New Roman"/>
                <w:b/>
                <w:bCs/>
                <w:sz w:val="20"/>
                <w:szCs w:val="20"/>
                <w:lang w:eastAsia="en-MY"/>
              </w:rPr>
              <w:t>NR/PHB</w:t>
            </w:r>
          </w:p>
        </w:tc>
        <w:tc>
          <w:tcPr>
            <w:tcW w:w="0" w:type="auto"/>
            <w:gridSpan w:val="5"/>
            <w:tcBorders>
              <w:top w:val="single" w:sz="4" w:space="0" w:color="auto"/>
              <w:bottom w:val="single" w:sz="4" w:space="0" w:color="auto"/>
            </w:tcBorders>
          </w:tcPr>
          <w:p w14:paraId="5E27A381" w14:textId="77777777" w:rsidR="00F424CE" w:rsidRPr="00F36E75" w:rsidRDefault="00F424CE" w:rsidP="00F424CE">
            <w:pPr>
              <w:spacing w:before="60" w:after="0" w:line="240" w:lineRule="auto"/>
              <w:jc w:val="center"/>
              <w:rPr>
                <w:rFonts w:ascii="Times New Roman" w:hAnsi="Times New Roman"/>
                <w:b/>
                <w:bCs/>
                <w:sz w:val="20"/>
                <w:szCs w:val="20"/>
                <w:lang w:eastAsia="en-MY"/>
              </w:rPr>
            </w:pPr>
            <w:r w:rsidRPr="00F36E75">
              <w:rPr>
                <w:rFonts w:ascii="Times New Roman" w:hAnsi="Times New Roman"/>
                <w:b/>
                <w:bCs/>
                <w:sz w:val="20"/>
                <w:szCs w:val="20"/>
                <w:lang w:eastAsia="en-MY"/>
              </w:rPr>
              <w:t>2</w:t>
            </w:r>
            <w:r w:rsidRPr="00F36E75">
              <w:rPr>
                <w:rFonts w:ascii="Times New Roman" w:hAnsi="Times New Roman"/>
                <w:b/>
                <w:bCs/>
                <w:sz w:val="20"/>
                <w:szCs w:val="20"/>
                <w:vertAlign w:val="superscript"/>
                <w:lang w:eastAsia="en-MY"/>
              </w:rPr>
              <w:t>nd</w:t>
            </w:r>
            <w:r w:rsidRPr="00F36E75">
              <w:rPr>
                <w:rFonts w:ascii="Times New Roman" w:hAnsi="Times New Roman"/>
                <w:b/>
                <w:bCs/>
                <w:sz w:val="20"/>
                <w:szCs w:val="20"/>
                <w:lang w:eastAsia="en-MY"/>
              </w:rPr>
              <w:t xml:space="preserve"> Heating Scan</w:t>
            </w:r>
          </w:p>
        </w:tc>
      </w:tr>
      <w:tr w:rsidR="00F424CE" w:rsidRPr="00A50CB4" w14:paraId="55D62864" w14:textId="77777777" w:rsidTr="00F424CE">
        <w:trPr>
          <w:trHeight w:val="109"/>
        </w:trPr>
        <w:tc>
          <w:tcPr>
            <w:tcW w:w="1332" w:type="dxa"/>
            <w:vMerge/>
            <w:tcBorders>
              <w:bottom w:val="single" w:sz="4" w:space="0" w:color="auto"/>
            </w:tcBorders>
          </w:tcPr>
          <w:p w14:paraId="0BC6292F" w14:textId="77777777" w:rsidR="00F424CE" w:rsidRPr="00F36E75" w:rsidRDefault="00F424CE" w:rsidP="00F424CE">
            <w:pPr>
              <w:spacing w:after="0" w:line="240" w:lineRule="auto"/>
              <w:rPr>
                <w:rFonts w:ascii="Times New Roman" w:hAnsi="Times New Roman"/>
                <w:b/>
                <w:bCs/>
                <w:sz w:val="20"/>
                <w:szCs w:val="20"/>
                <w:lang w:eastAsia="en-MY"/>
              </w:rPr>
            </w:pPr>
          </w:p>
        </w:tc>
        <w:tc>
          <w:tcPr>
            <w:tcW w:w="0" w:type="auto"/>
            <w:tcBorders>
              <w:top w:val="single" w:sz="4" w:space="0" w:color="auto"/>
              <w:bottom w:val="single" w:sz="4" w:space="0" w:color="auto"/>
            </w:tcBorders>
          </w:tcPr>
          <w:p w14:paraId="4C26AF3D" w14:textId="77777777" w:rsidR="00F424CE" w:rsidRPr="00F36E75" w:rsidRDefault="00F424CE" w:rsidP="00F424CE">
            <w:pPr>
              <w:spacing w:after="60" w:line="240" w:lineRule="auto"/>
              <w:jc w:val="center"/>
              <w:rPr>
                <w:rFonts w:ascii="Times New Roman" w:hAnsi="Times New Roman"/>
                <w:b/>
                <w:bCs/>
                <w:sz w:val="20"/>
                <w:szCs w:val="20"/>
                <w:lang w:eastAsia="en-MY"/>
              </w:rPr>
            </w:pPr>
            <w:r w:rsidRPr="00F36E75">
              <w:rPr>
                <w:rFonts w:ascii="Times New Roman" w:hAnsi="Times New Roman"/>
                <w:b/>
                <w:bCs/>
                <w:sz w:val="20"/>
                <w:szCs w:val="20"/>
                <w:lang w:eastAsia="en-MY"/>
              </w:rPr>
              <w:t>T</w:t>
            </w:r>
            <w:r w:rsidRPr="00F36E75">
              <w:rPr>
                <w:rFonts w:ascii="Times New Roman" w:hAnsi="Times New Roman"/>
                <w:b/>
                <w:bCs/>
                <w:sz w:val="20"/>
                <w:szCs w:val="20"/>
                <w:vertAlign w:val="subscript"/>
                <w:lang w:eastAsia="en-MY"/>
              </w:rPr>
              <w:t xml:space="preserve">g1 </w:t>
            </w:r>
            <w:r w:rsidRPr="00F36E75">
              <w:rPr>
                <w:rFonts w:ascii="Times New Roman" w:hAnsi="Times New Roman"/>
                <w:b/>
                <w:bCs/>
                <w:sz w:val="20"/>
                <w:szCs w:val="20"/>
                <w:lang w:eastAsia="en-MY"/>
              </w:rPr>
              <w:t>(</w:t>
            </w:r>
            <w:r w:rsidRPr="00F36E75">
              <w:rPr>
                <w:rFonts w:ascii="Times New Roman" w:hAnsi="Times New Roman"/>
                <w:b/>
                <w:bCs/>
                <w:sz w:val="20"/>
                <w:szCs w:val="20"/>
                <w:vertAlign w:val="superscript"/>
                <w:lang w:eastAsia="en-MY"/>
              </w:rPr>
              <w:t>o</w:t>
            </w:r>
            <w:r w:rsidRPr="00F36E75">
              <w:rPr>
                <w:rFonts w:ascii="Times New Roman" w:hAnsi="Times New Roman"/>
                <w:b/>
                <w:bCs/>
                <w:sz w:val="20"/>
                <w:szCs w:val="20"/>
                <w:lang w:eastAsia="en-MY"/>
              </w:rPr>
              <w:t>C)</w:t>
            </w:r>
          </w:p>
        </w:tc>
        <w:tc>
          <w:tcPr>
            <w:tcW w:w="0" w:type="auto"/>
            <w:tcBorders>
              <w:top w:val="single" w:sz="4" w:space="0" w:color="auto"/>
              <w:bottom w:val="single" w:sz="4" w:space="0" w:color="auto"/>
            </w:tcBorders>
          </w:tcPr>
          <w:p w14:paraId="031D95B9" w14:textId="77777777" w:rsidR="00F424CE" w:rsidRPr="00F36E75" w:rsidRDefault="00F424CE" w:rsidP="00F424CE">
            <w:pPr>
              <w:spacing w:after="0" w:line="240" w:lineRule="auto"/>
              <w:jc w:val="center"/>
              <w:rPr>
                <w:rFonts w:ascii="Times New Roman" w:hAnsi="Times New Roman"/>
                <w:b/>
                <w:bCs/>
                <w:sz w:val="20"/>
                <w:szCs w:val="20"/>
                <w:lang w:eastAsia="en-MY"/>
              </w:rPr>
            </w:pPr>
            <w:r w:rsidRPr="00F36E75">
              <w:rPr>
                <w:rFonts w:ascii="Times New Roman" w:hAnsi="Times New Roman"/>
                <w:b/>
                <w:bCs/>
                <w:sz w:val="20"/>
                <w:szCs w:val="20"/>
                <w:lang w:eastAsia="en-MY"/>
              </w:rPr>
              <w:t>T</w:t>
            </w:r>
            <w:r w:rsidRPr="00F36E75">
              <w:rPr>
                <w:rFonts w:ascii="Times New Roman" w:hAnsi="Times New Roman"/>
                <w:b/>
                <w:bCs/>
                <w:sz w:val="20"/>
                <w:szCs w:val="20"/>
                <w:vertAlign w:val="subscript"/>
                <w:lang w:eastAsia="en-MY"/>
              </w:rPr>
              <w:t xml:space="preserve">g2 </w:t>
            </w:r>
            <w:r w:rsidRPr="00F36E75">
              <w:rPr>
                <w:rFonts w:ascii="Times New Roman" w:hAnsi="Times New Roman"/>
                <w:b/>
                <w:bCs/>
                <w:sz w:val="20"/>
                <w:szCs w:val="20"/>
                <w:lang w:eastAsia="en-MY"/>
              </w:rPr>
              <w:t>(</w:t>
            </w:r>
            <w:r w:rsidRPr="00F36E75">
              <w:rPr>
                <w:rFonts w:ascii="Times New Roman" w:hAnsi="Times New Roman"/>
                <w:b/>
                <w:bCs/>
                <w:sz w:val="20"/>
                <w:szCs w:val="20"/>
                <w:vertAlign w:val="superscript"/>
                <w:lang w:eastAsia="en-MY"/>
              </w:rPr>
              <w:t>o</w:t>
            </w:r>
            <w:r w:rsidRPr="00F36E75">
              <w:rPr>
                <w:rFonts w:ascii="Times New Roman" w:hAnsi="Times New Roman"/>
                <w:b/>
                <w:bCs/>
                <w:sz w:val="20"/>
                <w:szCs w:val="20"/>
                <w:lang w:eastAsia="en-MY"/>
              </w:rPr>
              <w:t>C)</w:t>
            </w:r>
          </w:p>
        </w:tc>
        <w:tc>
          <w:tcPr>
            <w:tcW w:w="0" w:type="auto"/>
            <w:tcBorders>
              <w:top w:val="single" w:sz="4" w:space="0" w:color="auto"/>
              <w:bottom w:val="single" w:sz="4" w:space="0" w:color="auto"/>
            </w:tcBorders>
          </w:tcPr>
          <w:p w14:paraId="21059687" w14:textId="77777777" w:rsidR="00F424CE" w:rsidRPr="00F36E75" w:rsidRDefault="00F424CE" w:rsidP="00F424CE">
            <w:pPr>
              <w:spacing w:after="0" w:line="240" w:lineRule="auto"/>
              <w:jc w:val="center"/>
              <w:rPr>
                <w:rFonts w:ascii="Times New Roman" w:hAnsi="Times New Roman"/>
                <w:b/>
                <w:bCs/>
                <w:sz w:val="20"/>
                <w:szCs w:val="20"/>
                <w:lang w:eastAsia="en-MY"/>
              </w:rPr>
            </w:pPr>
            <w:r w:rsidRPr="00F36E75">
              <w:rPr>
                <w:rFonts w:ascii="Times New Roman" w:hAnsi="Times New Roman"/>
                <w:b/>
                <w:bCs/>
                <w:sz w:val="20"/>
                <w:szCs w:val="20"/>
                <w:lang w:eastAsia="en-MY"/>
              </w:rPr>
              <w:t>T</w:t>
            </w:r>
            <w:r w:rsidRPr="00F36E75">
              <w:rPr>
                <w:rFonts w:ascii="Times New Roman" w:hAnsi="Times New Roman"/>
                <w:b/>
                <w:bCs/>
                <w:sz w:val="20"/>
                <w:szCs w:val="20"/>
                <w:vertAlign w:val="subscript"/>
                <w:lang w:eastAsia="en-MY"/>
              </w:rPr>
              <w:t>m</w:t>
            </w:r>
            <w:r w:rsidRPr="00F36E75">
              <w:rPr>
                <w:rFonts w:ascii="Times New Roman" w:hAnsi="Times New Roman"/>
                <w:b/>
                <w:bCs/>
                <w:sz w:val="20"/>
                <w:szCs w:val="20"/>
                <w:lang w:eastAsia="en-MY"/>
              </w:rPr>
              <w:t xml:space="preserve"> (</w:t>
            </w:r>
            <w:r w:rsidRPr="00F36E75">
              <w:rPr>
                <w:rFonts w:ascii="Times New Roman" w:hAnsi="Times New Roman"/>
                <w:b/>
                <w:bCs/>
                <w:sz w:val="20"/>
                <w:szCs w:val="20"/>
                <w:vertAlign w:val="superscript"/>
                <w:lang w:eastAsia="en-MY"/>
              </w:rPr>
              <w:t>o</w:t>
            </w:r>
            <w:r w:rsidRPr="00F36E75">
              <w:rPr>
                <w:rFonts w:ascii="Times New Roman" w:hAnsi="Times New Roman"/>
                <w:b/>
                <w:bCs/>
                <w:sz w:val="20"/>
                <w:szCs w:val="20"/>
                <w:lang w:eastAsia="en-MY"/>
              </w:rPr>
              <w:t>C)</w:t>
            </w:r>
          </w:p>
        </w:tc>
        <w:tc>
          <w:tcPr>
            <w:tcW w:w="0" w:type="auto"/>
            <w:tcBorders>
              <w:top w:val="single" w:sz="4" w:space="0" w:color="auto"/>
              <w:bottom w:val="single" w:sz="4" w:space="0" w:color="auto"/>
            </w:tcBorders>
          </w:tcPr>
          <w:p w14:paraId="6E6C74FC" w14:textId="77777777" w:rsidR="00F424CE" w:rsidRPr="00F36E75" w:rsidRDefault="00F424CE" w:rsidP="00F424CE">
            <w:pPr>
              <w:spacing w:after="0" w:line="240" w:lineRule="auto"/>
              <w:jc w:val="center"/>
              <w:rPr>
                <w:rFonts w:ascii="Times New Roman" w:hAnsi="Times New Roman"/>
                <w:b/>
                <w:bCs/>
                <w:sz w:val="20"/>
                <w:szCs w:val="20"/>
                <w:lang w:eastAsia="en-MY"/>
              </w:rPr>
            </w:pPr>
            <w:r w:rsidRPr="00F36E75">
              <w:rPr>
                <w:rFonts w:ascii="Times New Roman" w:hAnsi="Times New Roman"/>
                <w:b/>
                <w:bCs/>
                <w:sz w:val="20"/>
                <w:szCs w:val="20"/>
                <w:lang w:eastAsia="en-MY"/>
              </w:rPr>
              <w:t>T</w:t>
            </w:r>
            <w:r w:rsidRPr="00F36E75">
              <w:rPr>
                <w:rFonts w:ascii="Times New Roman" w:hAnsi="Times New Roman"/>
                <w:b/>
                <w:bCs/>
                <w:sz w:val="20"/>
                <w:szCs w:val="20"/>
                <w:vertAlign w:val="subscript"/>
                <w:lang w:eastAsia="en-MY"/>
              </w:rPr>
              <w:t>C</w:t>
            </w:r>
            <w:r w:rsidRPr="00F36E75">
              <w:rPr>
                <w:rFonts w:ascii="Times New Roman" w:hAnsi="Times New Roman"/>
                <w:b/>
                <w:bCs/>
                <w:sz w:val="20"/>
                <w:szCs w:val="20"/>
                <w:lang w:eastAsia="en-MY"/>
              </w:rPr>
              <w:t xml:space="preserve"> (</w:t>
            </w:r>
            <w:r w:rsidRPr="00F36E75">
              <w:rPr>
                <w:rFonts w:ascii="Times New Roman" w:hAnsi="Times New Roman"/>
                <w:b/>
                <w:bCs/>
                <w:sz w:val="20"/>
                <w:szCs w:val="20"/>
                <w:vertAlign w:val="superscript"/>
                <w:lang w:eastAsia="en-MY"/>
              </w:rPr>
              <w:t>o</w:t>
            </w:r>
            <w:r w:rsidRPr="00F36E75">
              <w:rPr>
                <w:rFonts w:ascii="Times New Roman" w:hAnsi="Times New Roman"/>
                <w:b/>
                <w:bCs/>
                <w:sz w:val="20"/>
                <w:szCs w:val="20"/>
                <w:lang w:eastAsia="en-MY"/>
              </w:rPr>
              <w:t>C)</w:t>
            </w:r>
          </w:p>
        </w:tc>
        <w:tc>
          <w:tcPr>
            <w:tcW w:w="0" w:type="auto"/>
            <w:tcBorders>
              <w:top w:val="single" w:sz="4" w:space="0" w:color="auto"/>
              <w:bottom w:val="single" w:sz="4" w:space="0" w:color="auto"/>
            </w:tcBorders>
          </w:tcPr>
          <w:p w14:paraId="51D0E460" w14:textId="77777777" w:rsidR="00F424CE" w:rsidRPr="00F36E75" w:rsidRDefault="00F424CE" w:rsidP="00F424CE">
            <w:pPr>
              <w:spacing w:after="0" w:line="240" w:lineRule="auto"/>
              <w:jc w:val="center"/>
              <w:rPr>
                <w:rFonts w:ascii="Times New Roman" w:hAnsi="Times New Roman"/>
                <w:b/>
                <w:bCs/>
                <w:sz w:val="20"/>
                <w:szCs w:val="20"/>
                <w:lang w:eastAsia="en-MY"/>
              </w:rPr>
            </w:pPr>
            <w:r w:rsidRPr="00F36E75">
              <w:rPr>
                <w:rFonts w:ascii="Times New Roman" w:hAnsi="Times New Roman"/>
                <w:b/>
                <w:bCs/>
                <w:sz w:val="20"/>
                <w:szCs w:val="20"/>
                <w:lang w:eastAsia="en-MY"/>
              </w:rPr>
              <w:t>χ</w:t>
            </w:r>
            <w:r w:rsidRPr="00F36E75">
              <w:rPr>
                <w:rFonts w:ascii="Times New Roman" w:hAnsi="Times New Roman"/>
                <w:b/>
                <w:bCs/>
                <w:sz w:val="20"/>
                <w:szCs w:val="20"/>
                <w:vertAlign w:val="subscript"/>
                <w:lang w:eastAsia="en-MY"/>
              </w:rPr>
              <w:t>c</w:t>
            </w:r>
          </w:p>
        </w:tc>
      </w:tr>
      <w:tr w:rsidR="00F424CE" w:rsidRPr="00A50CB4" w14:paraId="4581791E" w14:textId="77777777" w:rsidTr="00F424CE">
        <w:trPr>
          <w:trHeight w:val="262"/>
        </w:trPr>
        <w:tc>
          <w:tcPr>
            <w:tcW w:w="1332" w:type="dxa"/>
            <w:tcBorders>
              <w:top w:val="single" w:sz="4" w:space="0" w:color="auto"/>
            </w:tcBorders>
          </w:tcPr>
          <w:p w14:paraId="13D8654A" w14:textId="77777777" w:rsidR="00F424CE" w:rsidRPr="00A50CB4" w:rsidRDefault="00F424CE" w:rsidP="00F424CE">
            <w:pPr>
              <w:spacing w:before="60" w:after="0" w:line="240" w:lineRule="auto"/>
              <w:rPr>
                <w:rFonts w:ascii="Times New Roman" w:hAnsi="Times New Roman"/>
                <w:sz w:val="20"/>
                <w:szCs w:val="20"/>
                <w:lang w:eastAsia="en-MY"/>
              </w:rPr>
            </w:pPr>
            <w:r w:rsidRPr="00A50CB4">
              <w:rPr>
                <w:rFonts w:ascii="Times New Roman" w:hAnsi="Times New Roman"/>
                <w:sz w:val="20"/>
                <w:szCs w:val="20"/>
                <w:lang w:eastAsia="en-MY"/>
              </w:rPr>
              <w:t>100:0</w:t>
            </w:r>
          </w:p>
        </w:tc>
        <w:tc>
          <w:tcPr>
            <w:tcW w:w="0" w:type="auto"/>
            <w:tcBorders>
              <w:top w:val="single" w:sz="4" w:space="0" w:color="auto"/>
            </w:tcBorders>
          </w:tcPr>
          <w:p w14:paraId="6FB27D01"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-60.9</w:t>
            </w:r>
          </w:p>
        </w:tc>
        <w:tc>
          <w:tcPr>
            <w:tcW w:w="0" w:type="auto"/>
            <w:tcBorders>
              <w:top w:val="single" w:sz="4" w:space="0" w:color="auto"/>
            </w:tcBorders>
          </w:tcPr>
          <w:p w14:paraId="2D728740"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Borders>
              <w:top w:val="single" w:sz="4" w:space="0" w:color="auto"/>
            </w:tcBorders>
          </w:tcPr>
          <w:p w14:paraId="1DBB6DB5"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Borders>
              <w:top w:val="single" w:sz="4" w:space="0" w:color="auto"/>
            </w:tcBorders>
          </w:tcPr>
          <w:p w14:paraId="3A6C68DC"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Borders>
              <w:top w:val="single" w:sz="4" w:space="0" w:color="auto"/>
            </w:tcBorders>
          </w:tcPr>
          <w:p w14:paraId="6BFF8AEC"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r>
      <w:tr w:rsidR="00F424CE" w:rsidRPr="00A50CB4" w14:paraId="40C4945E" w14:textId="77777777" w:rsidTr="00F424CE">
        <w:trPr>
          <w:trHeight w:val="262"/>
        </w:trPr>
        <w:tc>
          <w:tcPr>
            <w:tcW w:w="1332" w:type="dxa"/>
          </w:tcPr>
          <w:p w14:paraId="131057A2" w14:textId="77777777" w:rsidR="00F424CE" w:rsidRPr="00A50CB4" w:rsidRDefault="00F424CE" w:rsidP="00F424CE">
            <w:pPr>
              <w:spacing w:before="60" w:after="0" w:line="240" w:lineRule="auto"/>
              <w:rPr>
                <w:rFonts w:ascii="Times New Roman" w:hAnsi="Times New Roman"/>
                <w:sz w:val="20"/>
                <w:szCs w:val="20"/>
                <w:lang w:eastAsia="en-MY"/>
              </w:rPr>
            </w:pPr>
            <w:r w:rsidRPr="00A50CB4">
              <w:rPr>
                <w:rFonts w:ascii="Times New Roman" w:hAnsi="Times New Roman"/>
                <w:sz w:val="20"/>
                <w:szCs w:val="20"/>
                <w:lang w:eastAsia="en-MY"/>
              </w:rPr>
              <w:t>80:20</w:t>
            </w:r>
          </w:p>
        </w:tc>
        <w:tc>
          <w:tcPr>
            <w:tcW w:w="0" w:type="auto"/>
          </w:tcPr>
          <w:p w14:paraId="74FE8C42"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-60.1</w:t>
            </w:r>
          </w:p>
        </w:tc>
        <w:tc>
          <w:tcPr>
            <w:tcW w:w="0" w:type="auto"/>
          </w:tcPr>
          <w:p w14:paraId="6457B8D6"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6.3</w:t>
            </w:r>
          </w:p>
        </w:tc>
        <w:tc>
          <w:tcPr>
            <w:tcW w:w="0" w:type="auto"/>
          </w:tcPr>
          <w:p w14:paraId="145AC322"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171.9</w:t>
            </w:r>
          </w:p>
        </w:tc>
        <w:tc>
          <w:tcPr>
            <w:tcW w:w="0" w:type="auto"/>
          </w:tcPr>
          <w:p w14:paraId="78FCBD93"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Pr>
          <w:p w14:paraId="1301A285"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17.8</w:t>
            </w:r>
          </w:p>
        </w:tc>
      </w:tr>
      <w:tr w:rsidR="00F424CE" w:rsidRPr="00A50CB4" w14:paraId="60DD4893" w14:textId="77777777" w:rsidTr="00F424CE">
        <w:trPr>
          <w:trHeight w:val="278"/>
        </w:trPr>
        <w:tc>
          <w:tcPr>
            <w:tcW w:w="1332" w:type="dxa"/>
          </w:tcPr>
          <w:p w14:paraId="507CC200" w14:textId="77777777" w:rsidR="00F424CE" w:rsidRPr="00A50CB4" w:rsidRDefault="00F424CE" w:rsidP="00F424CE">
            <w:pPr>
              <w:spacing w:before="60" w:after="0" w:line="240" w:lineRule="auto"/>
              <w:rPr>
                <w:rFonts w:ascii="Times New Roman" w:hAnsi="Times New Roman"/>
                <w:sz w:val="20"/>
                <w:szCs w:val="20"/>
                <w:lang w:eastAsia="en-MY"/>
              </w:rPr>
            </w:pPr>
            <w:r w:rsidRPr="00A50CB4">
              <w:rPr>
                <w:rFonts w:ascii="Times New Roman" w:hAnsi="Times New Roman"/>
                <w:sz w:val="20"/>
                <w:szCs w:val="20"/>
                <w:lang w:eastAsia="en-MY"/>
              </w:rPr>
              <w:t>60:40</w:t>
            </w:r>
          </w:p>
        </w:tc>
        <w:tc>
          <w:tcPr>
            <w:tcW w:w="0" w:type="auto"/>
          </w:tcPr>
          <w:p w14:paraId="5D2B4A66"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-61.6</w:t>
            </w:r>
          </w:p>
        </w:tc>
        <w:tc>
          <w:tcPr>
            <w:tcW w:w="0" w:type="auto"/>
          </w:tcPr>
          <w:p w14:paraId="60D20112"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5.3</w:t>
            </w:r>
          </w:p>
        </w:tc>
        <w:tc>
          <w:tcPr>
            <w:tcW w:w="0" w:type="auto"/>
          </w:tcPr>
          <w:p w14:paraId="737FFD75"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169.4</w:t>
            </w:r>
          </w:p>
        </w:tc>
        <w:tc>
          <w:tcPr>
            <w:tcW w:w="0" w:type="auto"/>
          </w:tcPr>
          <w:p w14:paraId="102B5D41"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Pr>
          <w:p w14:paraId="6AA541E1"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35.8</w:t>
            </w:r>
          </w:p>
        </w:tc>
      </w:tr>
      <w:tr w:rsidR="00F424CE" w:rsidRPr="00A50CB4" w14:paraId="49B40FDD" w14:textId="77777777" w:rsidTr="00F424CE">
        <w:trPr>
          <w:trHeight w:val="262"/>
        </w:trPr>
        <w:tc>
          <w:tcPr>
            <w:tcW w:w="1332" w:type="dxa"/>
          </w:tcPr>
          <w:p w14:paraId="24362890" w14:textId="77777777" w:rsidR="00F424CE" w:rsidRPr="00A50CB4" w:rsidRDefault="00F424CE" w:rsidP="00F424CE">
            <w:pPr>
              <w:spacing w:before="60" w:after="0" w:line="240" w:lineRule="auto"/>
              <w:rPr>
                <w:rFonts w:ascii="Times New Roman" w:hAnsi="Times New Roman"/>
                <w:sz w:val="20"/>
                <w:szCs w:val="20"/>
                <w:lang w:eastAsia="en-MY"/>
              </w:rPr>
            </w:pPr>
            <w:r w:rsidRPr="00A50CB4">
              <w:rPr>
                <w:rFonts w:ascii="Times New Roman" w:hAnsi="Times New Roman"/>
                <w:sz w:val="20"/>
                <w:szCs w:val="20"/>
                <w:lang w:eastAsia="en-MY"/>
              </w:rPr>
              <w:t>40:60</w:t>
            </w:r>
          </w:p>
        </w:tc>
        <w:tc>
          <w:tcPr>
            <w:tcW w:w="0" w:type="auto"/>
          </w:tcPr>
          <w:p w14:paraId="4CBEEB23"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-60.2</w:t>
            </w:r>
          </w:p>
        </w:tc>
        <w:tc>
          <w:tcPr>
            <w:tcW w:w="0" w:type="auto"/>
          </w:tcPr>
          <w:p w14:paraId="534F7ADA"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7.9</w:t>
            </w:r>
          </w:p>
        </w:tc>
        <w:tc>
          <w:tcPr>
            <w:tcW w:w="0" w:type="auto"/>
          </w:tcPr>
          <w:p w14:paraId="2B28CE92"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172.4</w:t>
            </w:r>
          </w:p>
        </w:tc>
        <w:tc>
          <w:tcPr>
            <w:tcW w:w="0" w:type="auto"/>
          </w:tcPr>
          <w:p w14:paraId="5789748E"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Pr>
          <w:p w14:paraId="4F494A4B"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42.0</w:t>
            </w:r>
          </w:p>
        </w:tc>
      </w:tr>
      <w:tr w:rsidR="00F424CE" w:rsidRPr="00A50CB4" w14:paraId="232EBED6" w14:textId="77777777" w:rsidTr="00F424CE">
        <w:trPr>
          <w:trHeight w:val="262"/>
        </w:trPr>
        <w:tc>
          <w:tcPr>
            <w:tcW w:w="1332" w:type="dxa"/>
          </w:tcPr>
          <w:p w14:paraId="1BD16B5A" w14:textId="77777777" w:rsidR="00F424CE" w:rsidRPr="00A50CB4" w:rsidRDefault="00F424CE" w:rsidP="00F424CE">
            <w:pPr>
              <w:spacing w:before="60" w:after="0" w:line="240" w:lineRule="auto"/>
              <w:rPr>
                <w:rFonts w:ascii="Times New Roman" w:hAnsi="Times New Roman"/>
                <w:sz w:val="20"/>
                <w:szCs w:val="20"/>
                <w:lang w:eastAsia="en-MY"/>
              </w:rPr>
            </w:pPr>
            <w:r w:rsidRPr="00A50CB4">
              <w:rPr>
                <w:rFonts w:ascii="Times New Roman" w:hAnsi="Times New Roman"/>
                <w:sz w:val="20"/>
                <w:szCs w:val="20"/>
                <w:lang w:eastAsia="en-MY"/>
              </w:rPr>
              <w:t>20:80</w:t>
            </w:r>
          </w:p>
        </w:tc>
        <w:tc>
          <w:tcPr>
            <w:tcW w:w="0" w:type="auto"/>
          </w:tcPr>
          <w:p w14:paraId="4C101BE9"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-61.0</w:t>
            </w:r>
          </w:p>
        </w:tc>
        <w:tc>
          <w:tcPr>
            <w:tcW w:w="0" w:type="auto"/>
          </w:tcPr>
          <w:p w14:paraId="210B86AC"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8.2</w:t>
            </w:r>
          </w:p>
        </w:tc>
        <w:tc>
          <w:tcPr>
            <w:tcW w:w="0" w:type="auto"/>
          </w:tcPr>
          <w:p w14:paraId="523A43D5"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171.5</w:t>
            </w:r>
          </w:p>
        </w:tc>
        <w:tc>
          <w:tcPr>
            <w:tcW w:w="0" w:type="auto"/>
          </w:tcPr>
          <w:p w14:paraId="204929EF"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Pr>
          <w:p w14:paraId="31DA6A5A" w14:textId="77777777" w:rsidR="00F424CE" w:rsidRPr="00A50CB4" w:rsidRDefault="00F424CE" w:rsidP="00F424CE">
            <w:pPr>
              <w:spacing w:before="60" w:after="0" w:line="240" w:lineRule="auto"/>
              <w:jc w:val="center"/>
              <w:rPr>
                <w:rFonts w:ascii="Times New Roman" w:hAnsi="Times New Roman"/>
                <w:sz w:val="20"/>
                <w:szCs w:val="20"/>
                <w:lang w:eastAsia="en-MY"/>
              </w:rPr>
            </w:pPr>
            <w:r w:rsidRPr="00A50CB4">
              <w:rPr>
                <w:rFonts w:ascii="Times New Roman" w:hAnsi="Times New Roman"/>
                <w:sz w:val="20"/>
                <w:szCs w:val="20"/>
                <w:lang w:eastAsia="en-MY"/>
              </w:rPr>
              <w:t>47.0</w:t>
            </w:r>
          </w:p>
        </w:tc>
      </w:tr>
      <w:tr w:rsidR="00F424CE" w:rsidRPr="00A50CB4" w14:paraId="551C66E4" w14:textId="77777777" w:rsidTr="00F424CE">
        <w:trPr>
          <w:trHeight w:val="278"/>
        </w:trPr>
        <w:tc>
          <w:tcPr>
            <w:tcW w:w="1332" w:type="dxa"/>
            <w:tcBorders>
              <w:bottom w:val="single" w:sz="4" w:space="0" w:color="auto"/>
            </w:tcBorders>
          </w:tcPr>
          <w:p w14:paraId="535BDDCD" w14:textId="77777777" w:rsidR="00F424CE" w:rsidRPr="00A50CB4" w:rsidRDefault="00F424CE" w:rsidP="00F424CE">
            <w:pPr>
              <w:spacing w:before="60" w:after="60" w:line="240" w:lineRule="auto"/>
              <w:rPr>
                <w:rFonts w:ascii="Times New Roman" w:hAnsi="Times New Roman"/>
                <w:sz w:val="20"/>
                <w:szCs w:val="20"/>
                <w:lang w:eastAsia="en-MY"/>
              </w:rPr>
            </w:pPr>
            <w:r w:rsidRPr="00A50CB4">
              <w:rPr>
                <w:rFonts w:ascii="Times New Roman" w:hAnsi="Times New Roman"/>
                <w:sz w:val="20"/>
                <w:szCs w:val="20"/>
                <w:lang w:eastAsia="en-MY"/>
              </w:rPr>
              <w:t>0:100</w:t>
            </w:r>
          </w:p>
        </w:tc>
        <w:tc>
          <w:tcPr>
            <w:tcW w:w="0" w:type="auto"/>
            <w:tcBorders>
              <w:bottom w:val="single" w:sz="4" w:space="0" w:color="auto"/>
            </w:tcBorders>
          </w:tcPr>
          <w:p w14:paraId="0658D4F2" w14:textId="77777777" w:rsidR="00F424CE" w:rsidRPr="00A50CB4" w:rsidRDefault="00F424CE" w:rsidP="00F424CE">
            <w:pPr>
              <w:spacing w:before="60" w:after="6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Borders>
              <w:bottom w:val="single" w:sz="4" w:space="0" w:color="auto"/>
            </w:tcBorders>
          </w:tcPr>
          <w:p w14:paraId="18EE08BB" w14:textId="77777777" w:rsidR="00F424CE" w:rsidRPr="00A50CB4" w:rsidRDefault="00F424CE" w:rsidP="00F424CE">
            <w:pPr>
              <w:spacing w:before="60" w:after="60" w:line="240" w:lineRule="auto"/>
              <w:jc w:val="center"/>
              <w:rPr>
                <w:rFonts w:ascii="Times New Roman" w:hAnsi="Times New Roman"/>
                <w:sz w:val="20"/>
                <w:szCs w:val="20"/>
                <w:lang w:eastAsia="en-MY"/>
              </w:rPr>
            </w:pPr>
            <w:r w:rsidRPr="00A50CB4">
              <w:rPr>
                <w:rFonts w:ascii="Times New Roman" w:hAnsi="Times New Roman"/>
                <w:sz w:val="20"/>
                <w:szCs w:val="20"/>
                <w:lang w:eastAsia="en-MY"/>
              </w:rPr>
              <w:t>8.6</w:t>
            </w:r>
          </w:p>
        </w:tc>
        <w:tc>
          <w:tcPr>
            <w:tcW w:w="0" w:type="auto"/>
            <w:tcBorders>
              <w:bottom w:val="single" w:sz="4" w:space="0" w:color="auto"/>
            </w:tcBorders>
          </w:tcPr>
          <w:p w14:paraId="7ED1A5FA" w14:textId="77777777" w:rsidR="00F424CE" w:rsidRPr="00A50CB4" w:rsidRDefault="00F424CE" w:rsidP="00F424CE">
            <w:pPr>
              <w:spacing w:before="60" w:after="60" w:line="240" w:lineRule="auto"/>
              <w:jc w:val="center"/>
              <w:rPr>
                <w:rFonts w:ascii="Times New Roman" w:hAnsi="Times New Roman"/>
                <w:sz w:val="20"/>
                <w:szCs w:val="20"/>
                <w:lang w:eastAsia="en-MY"/>
              </w:rPr>
            </w:pPr>
            <w:r w:rsidRPr="00A50CB4">
              <w:rPr>
                <w:rFonts w:ascii="Times New Roman" w:hAnsi="Times New Roman"/>
                <w:sz w:val="20"/>
                <w:szCs w:val="20"/>
                <w:lang w:eastAsia="en-MY"/>
              </w:rPr>
              <w:t>172.1</w:t>
            </w:r>
          </w:p>
        </w:tc>
        <w:tc>
          <w:tcPr>
            <w:tcW w:w="0" w:type="auto"/>
            <w:tcBorders>
              <w:bottom w:val="single" w:sz="4" w:space="0" w:color="auto"/>
            </w:tcBorders>
          </w:tcPr>
          <w:p w14:paraId="4BD962ED" w14:textId="77777777" w:rsidR="00F424CE" w:rsidRPr="00A50CB4" w:rsidRDefault="00F424CE" w:rsidP="00F424CE">
            <w:pPr>
              <w:spacing w:before="60" w:after="60" w:line="240" w:lineRule="auto"/>
              <w:jc w:val="center"/>
              <w:rPr>
                <w:rFonts w:ascii="Times New Roman" w:hAnsi="Times New Roman"/>
                <w:sz w:val="20"/>
                <w:szCs w:val="20"/>
                <w:lang w:eastAsia="en-MY"/>
              </w:rPr>
            </w:pPr>
            <w:r w:rsidRPr="00A50CB4">
              <w:rPr>
                <w:rFonts w:ascii="Times New Roman" w:hAnsi="Times New Roman"/>
                <w:sz w:val="20"/>
                <w:szCs w:val="20"/>
                <w:lang w:eastAsia="en-MY"/>
              </w:rPr>
              <w:t>-</w:t>
            </w:r>
          </w:p>
        </w:tc>
        <w:tc>
          <w:tcPr>
            <w:tcW w:w="0" w:type="auto"/>
            <w:tcBorders>
              <w:bottom w:val="single" w:sz="4" w:space="0" w:color="auto"/>
            </w:tcBorders>
          </w:tcPr>
          <w:p w14:paraId="6DB508B8" w14:textId="77777777" w:rsidR="00F424CE" w:rsidRPr="00A50CB4" w:rsidRDefault="00F424CE" w:rsidP="00F424CE">
            <w:pPr>
              <w:spacing w:before="60" w:after="60" w:line="240" w:lineRule="auto"/>
              <w:jc w:val="center"/>
              <w:rPr>
                <w:rFonts w:ascii="Times New Roman" w:hAnsi="Times New Roman"/>
                <w:sz w:val="20"/>
                <w:szCs w:val="20"/>
                <w:lang w:eastAsia="en-MY"/>
              </w:rPr>
            </w:pPr>
            <w:r w:rsidRPr="00A50CB4">
              <w:rPr>
                <w:rFonts w:ascii="Times New Roman" w:hAnsi="Times New Roman"/>
                <w:sz w:val="20"/>
                <w:szCs w:val="20"/>
                <w:lang w:eastAsia="en-MY"/>
              </w:rPr>
              <w:t>55.0</w:t>
            </w:r>
          </w:p>
        </w:tc>
      </w:tr>
    </w:tbl>
    <w:p w14:paraId="5474AC1E" w14:textId="77777777" w:rsidR="00F424CE" w:rsidRPr="00A50CB4" w:rsidRDefault="00F424CE" w:rsidP="00F424CE">
      <w:pPr>
        <w:spacing w:after="0" w:line="240" w:lineRule="auto"/>
        <w:rPr>
          <w:rFonts w:asciiTheme="majorBidi" w:hAnsiTheme="majorBidi" w:cstheme="majorBidi"/>
          <w:sz w:val="20"/>
          <w:szCs w:val="20"/>
          <w:lang w:eastAsia="en-MY"/>
        </w:rPr>
      </w:pPr>
    </w:p>
    <w:p w14:paraId="1AFBF09D" w14:textId="77777777" w:rsidR="00F424CE" w:rsidRPr="00A50CB4" w:rsidRDefault="00F424CE" w:rsidP="00F424CE">
      <w:pPr>
        <w:spacing w:after="0" w:line="240" w:lineRule="auto"/>
        <w:jc w:val="both"/>
        <w:rPr>
          <w:rFonts w:asciiTheme="majorBidi" w:hAnsiTheme="majorBidi" w:cstheme="majorBidi"/>
          <w:sz w:val="20"/>
          <w:szCs w:val="20"/>
          <w:lang w:eastAsia="en-MY"/>
        </w:rPr>
      </w:pPr>
    </w:p>
    <w:p w14:paraId="4E4A7839" w14:textId="77777777" w:rsidR="00F424CE" w:rsidRPr="00A50CB4" w:rsidRDefault="00F424CE" w:rsidP="00F424CE">
      <w:pPr>
        <w:spacing w:after="0" w:line="240" w:lineRule="auto"/>
        <w:jc w:val="both"/>
        <w:rPr>
          <w:rFonts w:asciiTheme="majorBidi" w:hAnsiTheme="majorBidi" w:cstheme="majorBidi"/>
          <w:b/>
          <w:bCs/>
          <w:sz w:val="20"/>
          <w:szCs w:val="20"/>
          <w:lang w:eastAsia="en-MY"/>
        </w:rPr>
      </w:pPr>
    </w:p>
    <w:p w14:paraId="19F2FD99" w14:textId="77777777" w:rsidR="00F424CE" w:rsidRPr="00A50CB4" w:rsidRDefault="00F424CE" w:rsidP="00F424CE">
      <w:pPr>
        <w:spacing w:after="0" w:line="240" w:lineRule="auto"/>
        <w:jc w:val="both"/>
        <w:rPr>
          <w:rFonts w:asciiTheme="majorBidi" w:hAnsiTheme="majorBidi" w:cstheme="majorBidi"/>
          <w:b/>
          <w:bCs/>
          <w:sz w:val="20"/>
          <w:szCs w:val="20"/>
          <w:lang w:eastAsia="en-MY"/>
        </w:rPr>
      </w:pPr>
    </w:p>
    <w:p w14:paraId="19F796B9" w14:textId="77777777" w:rsidR="00F424CE" w:rsidRPr="00A50CB4" w:rsidRDefault="00F424CE" w:rsidP="00F424CE">
      <w:pPr>
        <w:spacing w:after="0" w:line="240" w:lineRule="auto"/>
        <w:jc w:val="both"/>
        <w:rPr>
          <w:rFonts w:asciiTheme="majorBidi" w:hAnsiTheme="majorBidi" w:cstheme="majorBidi"/>
          <w:b/>
          <w:bCs/>
          <w:sz w:val="20"/>
          <w:szCs w:val="20"/>
          <w:lang w:eastAsia="en-MY"/>
        </w:rPr>
      </w:pPr>
    </w:p>
    <w:p w14:paraId="4A5DFD44" w14:textId="77777777" w:rsidR="00F424CE" w:rsidRPr="00A50CB4" w:rsidRDefault="00F424CE" w:rsidP="00F424CE">
      <w:pPr>
        <w:spacing w:after="0" w:line="240" w:lineRule="auto"/>
        <w:jc w:val="both"/>
        <w:rPr>
          <w:rFonts w:asciiTheme="majorBidi" w:hAnsiTheme="majorBidi" w:cstheme="majorBidi"/>
          <w:b/>
          <w:bCs/>
          <w:sz w:val="20"/>
          <w:szCs w:val="20"/>
          <w:lang w:eastAsia="en-MY"/>
        </w:rPr>
      </w:pPr>
    </w:p>
    <w:p w14:paraId="12C9ED2D" w14:textId="77777777" w:rsidR="00F424CE" w:rsidRPr="00A50CB4" w:rsidRDefault="00F424CE" w:rsidP="00F424CE">
      <w:pPr>
        <w:spacing w:after="0" w:line="240" w:lineRule="auto"/>
        <w:jc w:val="both"/>
        <w:rPr>
          <w:rFonts w:asciiTheme="majorBidi" w:hAnsiTheme="majorBidi" w:cstheme="majorBidi"/>
          <w:b/>
          <w:bCs/>
          <w:sz w:val="20"/>
          <w:szCs w:val="20"/>
          <w:lang w:eastAsia="en-MY"/>
        </w:rPr>
      </w:pPr>
    </w:p>
    <w:p w14:paraId="679C9829" w14:textId="77777777" w:rsidR="00F424CE" w:rsidRPr="00A50CB4" w:rsidRDefault="00F424CE" w:rsidP="00F424CE">
      <w:pPr>
        <w:spacing w:after="0" w:line="240" w:lineRule="auto"/>
        <w:jc w:val="both"/>
        <w:rPr>
          <w:rFonts w:asciiTheme="majorBidi" w:hAnsiTheme="majorBidi" w:cstheme="majorBidi"/>
          <w:b/>
          <w:bCs/>
          <w:sz w:val="20"/>
          <w:szCs w:val="20"/>
          <w:lang w:eastAsia="en-MY"/>
        </w:rPr>
      </w:pPr>
    </w:p>
    <w:p w14:paraId="7D863B4D" w14:textId="77777777" w:rsidR="00F424CE" w:rsidRPr="00A50CB4" w:rsidRDefault="00F424CE" w:rsidP="00F424CE">
      <w:pPr>
        <w:spacing w:after="0" w:line="240" w:lineRule="auto"/>
        <w:jc w:val="both"/>
        <w:rPr>
          <w:rFonts w:asciiTheme="majorBidi" w:hAnsiTheme="majorBidi" w:cstheme="majorBidi"/>
          <w:b/>
          <w:bCs/>
          <w:sz w:val="20"/>
          <w:szCs w:val="20"/>
          <w:lang w:eastAsia="en-MY"/>
        </w:rPr>
      </w:pPr>
    </w:p>
    <w:p w14:paraId="03446F30" w14:textId="77777777" w:rsidR="00F424CE" w:rsidRDefault="00F424CE" w:rsidP="00510BA6">
      <w:pPr>
        <w:spacing w:after="0"/>
        <w:jc w:val="center"/>
        <w:rPr>
          <w:rFonts w:ascii="Times New Roman" w:hAnsi="Times New Roman"/>
          <w:noProof/>
          <w:sz w:val="20"/>
          <w:szCs w:val="20"/>
          <w:lang w:bidi="ar-SA"/>
        </w:rPr>
      </w:pPr>
    </w:p>
    <w:p w14:paraId="542EDB6D" w14:textId="77777777" w:rsidR="00F424CE" w:rsidRDefault="00F424CE" w:rsidP="00F424CE">
      <w:pPr>
        <w:spacing w:after="0"/>
        <w:jc w:val="both"/>
        <w:rPr>
          <w:rFonts w:asciiTheme="majorBidi" w:hAnsiTheme="majorBidi" w:cstheme="majorBidi"/>
          <w:b/>
          <w:bCs/>
          <w:sz w:val="20"/>
          <w:szCs w:val="20"/>
          <w:lang w:eastAsia="en-MY"/>
        </w:rPr>
      </w:pPr>
    </w:p>
    <w:p w14:paraId="3F9ED980" w14:textId="7B897B58" w:rsidR="00F424CE" w:rsidRPr="00F36E75" w:rsidRDefault="00F424CE" w:rsidP="00F424CE">
      <w:pPr>
        <w:spacing w:after="0"/>
        <w:jc w:val="both"/>
        <w:rPr>
          <w:rFonts w:asciiTheme="majorBidi" w:hAnsiTheme="majorBidi" w:cstheme="majorBidi"/>
          <w:sz w:val="20"/>
          <w:szCs w:val="20"/>
          <w:lang w:eastAsia="en-MY"/>
        </w:rPr>
      </w:pPr>
    </w:p>
    <w:tbl>
      <w:tblPr>
        <w:tblW w:w="7147" w:type="dxa"/>
        <w:jc w:val="center"/>
        <w:tblLook w:val="04A0" w:firstRow="1" w:lastRow="0" w:firstColumn="1" w:lastColumn="0" w:noHBand="0" w:noVBand="1"/>
      </w:tblPr>
      <w:tblGrid>
        <w:gridCol w:w="3655"/>
        <w:gridCol w:w="3492"/>
      </w:tblGrid>
      <w:tr w:rsidR="00F424CE" w:rsidRPr="00A50CB4" w14:paraId="51B11CB4" w14:textId="77777777" w:rsidTr="00F8651C">
        <w:trPr>
          <w:trHeight w:val="3503"/>
          <w:jc w:val="center"/>
        </w:trPr>
        <w:tc>
          <w:tcPr>
            <w:tcW w:w="0" w:type="auto"/>
          </w:tcPr>
          <w:p w14:paraId="4C0ADE03" w14:textId="77777777" w:rsidR="00F424CE" w:rsidRPr="00F424CE" w:rsidRDefault="00F424CE" w:rsidP="009B463E">
            <w:pPr>
              <w:spacing w:after="0"/>
              <w:jc w:val="both"/>
              <w:rPr>
                <w:rFonts w:asciiTheme="majorBidi" w:hAnsiTheme="majorBidi" w:cstheme="majorBidi"/>
                <w:sz w:val="20"/>
                <w:szCs w:val="20"/>
                <w:lang w:eastAsia="en-MY"/>
              </w:rPr>
            </w:pPr>
          </w:p>
          <w:p w14:paraId="57F4031D" w14:textId="77777777" w:rsidR="00F424CE" w:rsidRPr="00F424CE" w:rsidRDefault="00F424CE" w:rsidP="00F424CE">
            <w:pPr>
              <w:spacing w:after="120"/>
              <w:jc w:val="right"/>
              <w:rPr>
                <w:rFonts w:asciiTheme="majorBidi" w:hAnsiTheme="majorBidi" w:cstheme="majorBidi"/>
                <w:sz w:val="20"/>
                <w:szCs w:val="20"/>
                <w:lang w:eastAsia="en-MY"/>
              </w:rPr>
            </w:pPr>
            <w:r w:rsidRPr="00F424CE">
              <w:rPr>
                <w:rFonts w:asciiTheme="majorBidi" w:hAnsiTheme="majorBidi" w:cstheme="majorBidi"/>
                <w:noProof/>
                <w:sz w:val="20"/>
                <w:szCs w:val="20"/>
                <w:lang w:eastAsia="en-MY"/>
              </w:rPr>
              <mc:AlternateContent>
                <mc:Choice Requires="wps">
                  <w:drawing>
                    <wp:anchor distT="0" distB="0" distL="114300" distR="114300" simplePos="0" relativeHeight="251745792" behindDoc="0" locked="0" layoutInCell="1" allowOverlap="1" wp14:anchorId="4CB06A09" wp14:editId="26E0C824">
                      <wp:simplePos x="0" y="0"/>
                      <wp:positionH relativeFrom="column">
                        <wp:posOffset>804933</wp:posOffset>
                      </wp:positionH>
                      <wp:positionV relativeFrom="paragraph">
                        <wp:posOffset>2513008</wp:posOffset>
                      </wp:positionV>
                      <wp:extent cx="121920" cy="353568"/>
                      <wp:effectExtent l="38100" t="38100" r="30480" b="27940"/>
                      <wp:wrapNone/>
                      <wp:docPr id="1" name="Straight Arrow Connector 1"/>
                      <wp:cNvGraphicFramePr/>
                      <a:graphic xmlns:a="http://schemas.openxmlformats.org/drawingml/2006/main">
                        <a:graphicData uri="http://schemas.microsoft.com/office/word/2010/wordprocessingShape">
                          <wps:wsp>
                            <wps:cNvCnPr/>
                            <wps:spPr>
                              <a:xfrm flipH="1" flipV="1">
                                <a:off x="0" y="0"/>
                                <a:ext cx="121920" cy="353568"/>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type w14:anchorId="147BFD06" id="_x0000_t32" coordsize="21600,21600" o:spt="32" o:oned="t" path="m,l21600,21600e" filled="f">
                      <v:path arrowok="t" fillok="f" o:connecttype="none"/>
                      <o:lock v:ext="edit" shapetype="t"/>
                    </v:shapetype>
                    <v:shape id="Straight Arrow Connector 1" o:spid="_x0000_s1026" type="#_x0000_t32" style="position:absolute;margin-left:63.4pt;margin-top:197.85pt;width:9.6pt;height:27.85pt;flip:x y;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" strokecolor="windowText" strokeweight="1.5pt">
                      <v:stroke endarrow="block" joinstyle="miter"/>
                    </v:shape>
                  </w:pict>
                </mc:Fallback>
              </mc:AlternateContent>
            </w:r>
            <w:r w:rsidRPr="00F424CE">
              <w:rPr>
                <w:rFonts w:asciiTheme="majorBidi" w:hAnsiTheme="majorBidi" w:cstheme="majorBidi"/>
                <w:noProof/>
                <w:sz w:val="20"/>
                <w:szCs w:val="20"/>
                <w:lang w:eastAsia="en-MY"/>
              </w:rPr>
              <mc:AlternateContent>
                <mc:Choice Requires="wps">
                  <w:drawing>
                    <wp:anchor distT="0" distB="0" distL="114300" distR="114300" simplePos="0" relativeHeight="251746816" behindDoc="0" locked="0" layoutInCell="1" allowOverlap="1" wp14:anchorId="186AE3FF" wp14:editId="57B97C16">
                      <wp:simplePos x="0" y="0"/>
                      <wp:positionH relativeFrom="column">
                        <wp:posOffset>190547</wp:posOffset>
                      </wp:positionH>
                      <wp:positionV relativeFrom="paragraph">
                        <wp:posOffset>2020419</wp:posOffset>
                      </wp:positionV>
                      <wp:extent cx="341194" cy="293427"/>
                      <wp:effectExtent l="0" t="0" r="0" b="0"/>
                      <wp:wrapNone/>
                      <wp:docPr id="4" name="Text Box 4"/>
                      <wp:cNvGraphicFramePr/>
                      <a:graphic xmlns:a="http://schemas.openxmlformats.org/drawingml/2006/main">
                        <a:graphicData uri="http://schemas.microsoft.com/office/word/2010/wordprocessingShape">
                          <wps:wsp>
                            <wps:cNvSpPr txBox="1"/>
                            <wps:spPr>
                              <a:xfrm>
                                <a:off x="0" y="0"/>
                                <a:ext cx="341194" cy="293427"/>
                              </a:xfrm>
                              <a:prstGeom prst="rect">
                                <a:avLst/>
                              </a:prstGeom>
                              <a:noFill/>
                              <a:ln w="6350">
                                <a:noFill/>
                              </a:ln>
                            </wps:spPr>
                            <wps:txbx>
                              <w:txbxContent>
                                <w:p w14:paraId="746D079B"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c</w:t>
                                  </w:r>
                                  <w:r w:rsidRPr="00F36E75">
                                    <w:rPr>
                                      <w:rFonts w:ascii="Times New Roman" w:hAnsi="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E3FF" id="Text Box 4" o:spid="_x0000_s1036" type="#_x0000_t202" style="position:absolute;left:0;text-align:left;margin-left:15pt;margin-top:159.1pt;width:26.85pt;height:23.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" filled="f" stroked="f" strokeweight=".5pt">
                      <v:textbox>
                        <w:txbxContent>
                          <w:p w14:paraId="746D079B"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c</w:t>
                            </w:r>
                            <w:r w:rsidRPr="00F36E75">
                              <w:rPr>
                                <w:rFonts w:ascii="Times New Roman" w:hAnsi="Times New Roman"/>
                                <w:b/>
                                <w:bCs/>
                                <w:color w:val="FFFFFF" w:themeColor="background1"/>
                                <w:sz w:val="20"/>
                                <w:szCs w:val="20"/>
                              </w:rPr>
                              <w:t>)</w:t>
                            </w:r>
                          </w:p>
                        </w:txbxContent>
                      </v:textbox>
                    </v:shape>
                  </w:pict>
                </mc:Fallback>
              </mc:AlternateContent>
            </w:r>
            <w:r w:rsidRPr="00F424CE">
              <w:rPr>
                <w:rFonts w:asciiTheme="majorBidi" w:hAnsiTheme="majorBidi" w:cstheme="majorBidi"/>
                <w:noProof/>
                <w:sz w:val="20"/>
                <w:szCs w:val="20"/>
                <w:lang w:eastAsia="en-MY"/>
              </w:rPr>
              <w:drawing>
                <wp:anchor distT="0" distB="0" distL="114300" distR="114300" simplePos="0" relativeHeight="251744768" behindDoc="0" locked="0" layoutInCell="1" allowOverlap="1" wp14:anchorId="01DA38A7" wp14:editId="2BBC1E49">
                  <wp:simplePos x="0" y="0"/>
                  <wp:positionH relativeFrom="column">
                    <wp:posOffset>150363</wp:posOffset>
                  </wp:positionH>
                  <wp:positionV relativeFrom="paragraph">
                    <wp:posOffset>1986280</wp:posOffset>
                  </wp:positionV>
                  <wp:extent cx="1993900" cy="1893570"/>
                  <wp:effectExtent l="0" t="0" r="6350" b="0"/>
                  <wp:wrapThrough wrapText="bothSides">
                    <wp:wrapPolygon edited="0">
                      <wp:start x="0" y="0"/>
                      <wp:lineTo x="0" y="21296"/>
                      <wp:lineTo x="21462" y="21296"/>
                      <wp:lineTo x="2146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93900" cy="1893570"/>
                          </a:xfrm>
                          <a:prstGeom prst="rect">
                            <a:avLst/>
                          </a:prstGeom>
                        </pic:spPr>
                      </pic:pic>
                    </a:graphicData>
                  </a:graphic>
                  <wp14:sizeRelH relativeFrom="page">
                    <wp14:pctWidth>0</wp14:pctWidth>
                  </wp14:sizeRelH>
                  <wp14:sizeRelV relativeFrom="page">
                    <wp14:pctHeight>0</wp14:pctHeight>
                  </wp14:sizeRelV>
                </wp:anchor>
              </w:drawing>
            </w:r>
            <w:r w:rsidRPr="00F424CE">
              <w:rPr>
                <w:rFonts w:asciiTheme="majorBidi" w:hAnsiTheme="majorBidi" w:cstheme="majorBidi"/>
                <w:noProof/>
                <w:sz w:val="20"/>
                <w:szCs w:val="20"/>
                <w:lang w:eastAsia="en-MY"/>
              </w:rPr>
              <mc:AlternateContent>
                <mc:Choice Requires="wps">
                  <w:drawing>
                    <wp:anchor distT="0" distB="0" distL="114300" distR="114300" simplePos="0" relativeHeight="251742720" behindDoc="0" locked="0" layoutInCell="1" allowOverlap="1" wp14:anchorId="6AE2922A" wp14:editId="110E3638">
                      <wp:simplePos x="0" y="0"/>
                      <wp:positionH relativeFrom="column">
                        <wp:posOffset>176937</wp:posOffset>
                      </wp:positionH>
                      <wp:positionV relativeFrom="paragraph">
                        <wp:posOffset>20974</wp:posOffset>
                      </wp:positionV>
                      <wp:extent cx="341194" cy="293427"/>
                      <wp:effectExtent l="0" t="0" r="0" b="0"/>
                      <wp:wrapNone/>
                      <wp:docPr id="3" name="Text Box 3"/>
                      <wp:cNvGraphicFramePr/>
                      <a:graphic xmlns:a="http://schemas.openxmlformats.org/drawingml/2006/main">
                        <a:graphicData uri="http://schemas.microsoft.com/office/word/2010/wordprocessingShape">
                          <wps:wsp>
                            <wps:cNvSpPr txBox="1"/>
                            <wps:spPr>
                              <a:xfrm>
                                <a:off x="0" y="0"/>
                                <a:ext cx="341194" cy="293427"/>
                              </a:xfrm>
                              <a:prstGeom prst="rect">
                                <a:avLst/>
                              </a:prstGeom>
                              <a:noFill/>
                              <a:ln w="6350">
                                <a:noFill/>
                              </a:ln>
                            </wps:spPr>
                            <wps:txbx>
                              <w:txbxContent>
                                <w:p w14:paraId="15C9C30B"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2922A" id="Text Box 3" o:spid="_x0000_s1037" type="#_x0000_t202" style="position:absolute;left:0;text-align:left;margin-left:13.95pt;margin-top:1.65pt;width:26.85pt;height:23.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" filled="f" stroked="f" strokeweight=".5pt">
                      <v:textbox>
                        <w:txbxContent>
                          <w:p w14:paraId="15C9C30B"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(a)</w:t>
                            </w:r>
                          </w:p>
                        </w:txbxContent>
                      </v:textbox>
                    </v:shape>
                  </w:pict>
                </mc:Fallback>
              </mc:AlternateContent>
            </w:r>
            <w:r w:rsidRPr="00F424CE">
              <w:rPr>
                <w:rFonts w:asciiTheme="majorBidi" w:hAnsiTheme="majorBidi" w:cstheme="majorBidi"/>
                <w:noProof/>
                <w:sz w:val="20"/>
                <w:szCs w:val="20"/>
                <w:lang w:eastAsia="en-MY"/>
              </w:rPr>
              <w:drawing>
                <wp:inline distT="0" distB="0" distL="0" distR="0" wp14:anchorId="6942B79E" wp14:editId="2DE43F66">
                  <wp:extent cx="2011680" cy="1883664"/>
                  <wp:effectExtent l="0" t="0" r="762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1680" cy="1883664"/>
                          </a:xfrm>
                          <a:prstGeom prst="rect">
                            <a:avLst/>
                          </a:prstGeom>
                        </pic:spPr>
                      </pic:pic>
                    </a:graphicData>
                  </a:graphic>
                </wp:inline>
              </w:drawing>
            </w:r>
          </w:p>
        </w:tc>
        <w:tc>
          <w:tcPr>
            <w:tcW w:w="0" w:type="auto"/>
          </w:tcPr>
          <w:p w14:paraId="47284A33" w14:textId="77777777" w:rsidR="00F424CE" w:rsidRPr="00A50CB4" w:rsidRDefault="00F424CE" w:rsidP="009B463E">
            <w:pPr>
              <w:spacing w:after="0"/>
              <w:jc w:val="both"/>
              <w:rPr>
                <w:rFonts w:asciiTheme="majorBidi" w:hAnsiTheme="majorBidi" w:cstheme="majorBidi"/>
                <w:lang w:eastAsia="en-MY"/>
              </w:rPr>
            </w:pPr>
          </w:p>
          <w:p w14:paraId="4E48960C" w14:textId="40EE41D6" w:rsidR="00F424CE" w:rsidRPr="00A50CB4" w:rsidRDefault="00F8651C" w:rsidP="00F424CE">
            <w:pPr>
              <w:spacing w:after="0"/>
              <w:rPr>
                <w:rFonts w:asciiTheme="majorBidi" w:hAnsiTheme="majorBidi" w:cstheme="majorBidi"/>
                <w:lang w:eastAsia="en-MY"/>
              </w:rPr>
            </w:pPr>
            <w:r>
              <w:rPr>
                <w:rFonts w:asciiTheme="majorBidi" w:hAnsiTheme="majorBidi" w:cstheme="majorBidi"/>
                <w:noProof/>
                <w:lang w:eastAsia="en-MY"/>
              </w:rPr>
              <mc:AlternateContent>
                <mc:Choice Requires="wps">
                  <w:drawing>
                    <wp:anchor distT="0" distB="0" distL="114300" distR="114300" simplePos="0" relativeHeight="251748864" behindDoc="0" locked="0" layoutInCell="1" allowOverlap="1" wp14:anchorId="5722B896" wp14:editId="77C1C2D7">
                      <wp:simplePos x="0" y="0"/>
                      <wp:positionH relativeFrom="column">
                        <wp:posOffset>55088</wp:posOffset>
                      </wp:positionH>
                      <wp:positionV relativeFrom="paragraph">
                        <wp:posOffset>2039529</wp:posOffset>
                      </wp:positionV>
                      <wp:extent cx="375313" cy="320665"/>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75313" cy="320665"/>
                              </a:xfrm>
                              <a:prstGeom prst="rect">
                                <a:avLst/>
                              </a:prstGeom>
                              <a:noFill/>
                              <a:ln w="6350">
                                <a:noFill/>
                              </a:ln>
                            </wps:spPr>
                            <wps:txbx>
                              <w:txbxContent>
                                <w:p w14:paraId="1CC17115"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d</w:t>
                                  </w:r>
                                  <w:r w:rsidRPr="00F36E75">
                                    <w:rPr>
                                      <w:rFonts w:ascii="Times New Roman" w:hAnsi="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2B896" id="Text Box 8" o:spid="_x0000_s1038" type="#_x0000_t202" style="position:absolute;margin-left:4.35pt;margin-top:160.6pt;width:29.55pt;height:25.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" filled="f" stroked="f" strokeweight=".5pt">
                      <v:textbox>
                        <w:txbxContent>
                          <w:p w14:paraId="1CC17115"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d</w:t>
                            </w:r>
                            <w:r w:rsidRPr="00F36E75">
                              <w:rPr>
                                <w:rFonts w:ascii="Times New Roman" w:hAnsi="Times New Roman"/>
                                <w:b/>
                                <w:bCs/>
                                <w:color w:val="FFFFFF" w:themeColor="background1"/>
                                <w:sz w:val="20"/>
                                <w:szCs w:val="20"/>
                              </w:rPr>
                              <w:t>)</w:t>
                            </w:r>
                          </w:p>
                        </w:txbxContent>
                      </v:textbox>
                    </v:shape>
                  </w:pict>
                </mc:Fallback>
              </mc:AlternateContent>
            </w:r>
            <w:r w:rsidR="00F424CE" w:rsidRPr="00A50CB4">
              <w:rPr>
                <w:rFonts w:asciiTheme="majorBidi" w:hAnsiTheme="majorBidi" w:cstheme="majorBidi"/>
                <w:noProof/>
                <w:lang w:eastAsia="en-MY"/>
              </w:rPr>
              <w:drawing>
                <wp:anchor distT="0" distB="0" distL="114300" distR="114300" simplePos="0" relativeHeight="251747840" behindDoc="0" locked="0" layoutInCell="1" allowOverlap="1" wp14:anchorId="53B94622" wp14:editId="05C45D92">
                  <wp:simplePos x="0" y="0"/>
                  <wp:positionH relativeFrom="column">
                    <wp:posOffset>2540</wp:posOffset>
                  </wp:positionH>
                  <wp:positionV relativeFrom="paragraph">
                    <wp:posOffset>1995170</wp:posOffset>
                  </wp:positionV>
                  <wp:extent cx="1950720" cy="18859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0720" cy="1885950"/>
                          </a:xfrm>
                          <a:prstGeom prst="rect">
                            <a:avLst/>
                          </a:prstGeom>
                        </pic:spPr>
                      </pic:pic>
                    </a:graphicData>
                  </a:graphic>
                  <wp14:sizeRelH relativeFrom="page">
                    <wp14:pctWidth>0</wp14:pctWidth>
                  </wp14:sizeRelH>
                  <wp14:sizeRelV relativeFrom="page">
                    <wp14:pctHeight>0</wp14:pctHeight>
                  </wp14:sizeRelV>
                </wp:anchor>
              </w:drawing>
            </w:r>
            <w:r w:rsidR="00F424CE">
              <w:rPr>
                <w:rFonts w:asciiTheme="majorBidi" w:hAnsiTheme="majorBidi" w:cstheme="majorBidi"/>
                <w:noProof/>
                <w:lang w:eastAsia="en-MY"/>
              </w:rPr>
              <mc:AlternateContent>
                <mc:Choice Requires="wps">
                  <w:drawing>
                    <wp:anchor distT="0" distB="0" distL="114300" distR="114300" simplePos="0" relativeHeight="251743744" behindDoc="0" locked="0" layoutInCell="1" allowOverlap="1" wp14:anchorId="59466DFF" wp14:editId="7DF6C62B">
                      <wp:simplePos x="0" y="0"/>
                      <wp:positionH relativeFrom="column">
                        <wp:posOffset>66561</wp:posOffset>
                      </wp:positionH>
                      <wp:positionV relativeFrom="paragraph">
                        <wp:posOffset>42630</wp:posOffset>
                      </wp:positionV>
                      <wp:extent cx="382138" cy="293427"/>
                      <wp:effectExtent l="0" t="0" r="0" b="0"/>
                      <wp:wrapNone/>
                      <wp:docPr id="5" name="Text Box 5"/>
                      <wp:cNvGraphicFramePr/>
                      <a:graphic xmlns:a="http://schemas.openxmlformats.org/drawingml/2006/main">
                        <a:graphicData uri="http://schemas.microsoft.com/office/word/2010/wordprocessingShape">
                          <wps:wsp>
                            <wps:cNvSpPr txBox="1"/>
                            <wps:spPr>
                              <a:xfrm>
                                <a:off x="0" y="0"/>
                                <a:ext cx="382138" cy="293427"/>
                              </a:xfrm>
                              <a:prstGeom prst="rect">
                                <a:avLst/>
                              </a:prstGeom>
                              <a:noFill/>
                              <a:ln w="6350">
                                <a:noFill/>
                              </a:ln>
                            </wps:spPr>
                            <wps:txbx>
                              <w:txbxContent>
                                <w:p w14:paraId="784C28AD"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b</w:t>
                                  </w:r>
                                  <w:r w:rsidRPr="00F36E75">
                                    <w:rPr>
                                      <w:rFonts w:ascii="Times New Roman" w:hAnsi="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6DFF" id="Text Box 5" o:spid="_x0000_s1039" type="#_x0000_t202" style="position:absolute;margin-left:5.25pt;margin-top:3.35pt;width:30.1pt;height:23.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" filled="f" stroked="f" strokeweight=".5pt">
                      <v:textbox>
                        <w:txbxContent>
                          <w:p w14:paraId="784C28AD"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b</w:t>
                            </w:r>
                            <w:r w:rsidRPr="00F36E75">
                              <w:rPr>
                                <w:rFonts w:ascii="Times New Roman" w:hAnsi="Times New Roman"/>
                                <w:b/>
                                <w:bCs/>
                                <w:color w:val="FFFFFF" w:themeColor="background1"/>
                                <w:sz w:val="20"/>
                                <w:szCs w:val="20"/>
                              </w:rPr>
                              <w:t>)</w:t>
                            </w:r>
                          </w:p>
                        </w:txbxContent>
                      </v:textbox>
                    </v:shape>
                  </w:pict>
                </mc:Fallback>
              </mc:AlternateContent>
            </w:r>
            <w:r w:rsidR="00F424CE" w:rsidRPr="00A50CB4">
              <w:rPr>
                <w:rFonts w:asciiTheme="majorBidi" w:hAnsiTheme="majorBidi" w:cstheme="majorBidi"/>
                <w:noProof/>
                <w:lang w:eastAsia="en-MY"/>
              </w:rPr>
              <w:drawing>
                <wp:inline distT="0" distB="0" distL="0" distR="0" wp14:anchorId="7F1D6D75" wp14:editId="7315EC9B">
                  <wp:extent cx="1951223" cy="18697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4499" cy="1930377"/>
                          </a:xfrm>
                          <a:prstGeom prst="rect">
                            <a:avLst/>
                          </a:prstGeom>
                        </pic:spPr>
                      </pic:pic>
                    </a:graphicData>
                  </a:graphic>
                </wp:inline>
              </w:drawing>
            </w:r>
          </w:p>
        </w:tc>
      </w:tr>
      <w:tr w:rsidR="00F424CE" w:rsidRPr="00A50CB4" w14:paraId="5AA7C993" w14:textId="77777777" w:rsidTr="00F8651C">
        <w:trPr>
          <w:trHeight w:val="3500"/>
          <w:jc w:val="center"/>
        </w:trPr>
        <w:tc>
          <w:tcPr>
            <w:tcW w:w="0" w:type="auto"/>
          </w:tcPr>
          <w:p w14:paraId="12A71723" w14:textId="77777777" w:rsidR="00F424CE" w:rsidRPr="00F424CE" w:rsidRDefault="00F424CE" w:rsidP="009B463E">
            <w:pPr>
              <w:spacing w:after="0"/>
              <w:jc w:val="both"/>
              <w:rPr>
                <w:rFonts w:asciiTheme="majorBidi" w:hAnsiTheme="majorBidi" w:cstheme="majorBidi"/>
                <w:sz w:val="20"/>
                <w:szCs w:val="20"/>
                <w:lang w:eastAsia="en-MY"/>
              </w:rPr>
            </w:pPr>
          </w:p>
          <w:p w14:paraId="2F2F42DA" w14:textId="77777777" w:rsidR="00F424CE" w:rsidRPr="00F424CE" w:rsidRDefault="00F424CE" w:rsidP="00F424CE">
            <w:pPr>
              <w:spacing w:after="0"/>
              <w:jc w:val="center"/>
              <w:rPr>
                <w:rFonts w:asciiTheme="majorBidi" w:hAnsiTheme="majorBidi" w:cstheme="majorBidi"/>
                <w:sz w:val="20"/>
                <w:szCs w:val="20"/>
                <w:lang w:eastAsia="en-MY"/>
              </w:rPr>
            </w:pPr>
            <w:r w:rsidRPr="00F424CE">
              <w:rPr>
                <w:rFonts w:asciiTheme="majorBidi" w:hAnsiTheme="majorBidi" w:cstheme="majorBidi"/>
                <w:noProof/>
                <w:sz w:val="20"/>
                <w:szCs w:val="20"/>
                <w:lang w:eastAsia="en-MY"/>
              </w:rPr>
              <mc:AlternateContent>
                <mc:Choice Requires="wps">
                  <w:drawing>
                    <wp:anchor distT="0" distB="0" distL="114300" distR="114300" simplePos="0" relativeHeight="251749888" behindDoc="0" locked="0" layoutInCell="1" allowOverlap="1" wp14:anchorId="0CA94637" wp14:editId="54F757E3">
                      <wp:simplePos x="0" y="0"/>
                      <wp:positionH relativeFrom="column">
                        <wp:posOffset>41180</wp:posOffset>
                      </wp:positionH>
                      <wp:positionV relativeFrom="paragraph">
                        <wp:posOffset>36820</wp:posOffset>
                      </wp:positionV>
                      <wp:extent cx="341194" cy="293427"/>
                      <wp:effectExtent l="0" t="0" r="0" b="0"/>
                      <wp:wrapNone/>
                      <wp:docPr id="9" name="Text Box 9"/>
                      <wp:cNvGraphicFramePr/>
                      <a:graphic xmlns:a="http://schemas.openxmlformats.org/drawingml/2006/main">
                        <a:graphicData uri="http://schemas.microsoft.com/office/word/2010/wordprocessingShape">
                          <wps:wsp>
                            <wps:cNvSpPr txBox="1"/>
                            <wps:spPr>
                              <a:xfrm>
                                <a:off x="0" y="0"/>
                                <a:ext cx="341194" cy="293427"/>
                              </a:xfrm>
                              <a:prstGeom prst="rect">
                                <a:avLst/>
                              </a:prstGeom>
                              <a:noFill/>
                              <a:ln w="6350">
                                <a:noFill/>
                              </a:ln>
                            </wps:spPr>
                            <wps:txbx>
                              <w:txbxContent>
                                <w:p w14:paraId="441BEC66"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e</w:t>
                                  </w:r>
                                  <w:r w:rsidRPr="00F36E75">
                                    <w:rPr>
                                      <w:rFonts w:ascii="Times New Roman" w:hAnsi="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94637" id="Text Box 9" o:spid="_x0000_s1040" type="#_x0000_t202" style="position:absolute;left:0;text-align:left;margin-left:3.25pt;margin-top:2.9pt;width:26.85pt;height:23.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" filled="f" stroked="f" strokeweight=".5pt">
                      <v:textbox>
                        <w:txbxContent>
                          <w:p w14:paraId="441BEC66"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e</w:t>
                            </w:r>
                            <w:r w:rsidRPr="00F36E75">
                              <w:rPr>
                                <w:rFonts w:ascii="Times New Roman" w:hAnsi="Times New Roman"/>
                                <w:b/>
                                <w:bCs/>
                                <w:color w:val="FFFFFF" w:themeColor="background1"/>
                                <w:sz w:val="20"/>
                                <w:szCs w:val="20"/>
                              </w:rPr>
                              <w:t>)</w:t>
                            </w:r>
                          </w:p>
                        </w:txbxContent>
                      </v:textbox>
                    </v:shape>
                  </w:pict>
                </mc:Fallback>
              </mc:AlternateContent>
            </w:r>
            <w:r w:rsidRPr="00F424CE">
              <w:rPr>
                <w:rFonts w:asciiTheme="majorBidi" w:hAnsiTheme="majorBidi" w:cstheme="majorBidi"/>
                <w:noProof/>
                <w:sz w:val="20"/>
                <w:szCs w:val="20"/>
                <w:lang w:eastAsia="en-MY"/>
              </w:rPr>
              <w:drawing>
                <wp:inline distT="0" distB="0" distL="0" distR="0" wp14:anchorId="2FF38A3D" wp14:editId="69BFF8DE">
                  <wp:extent cx="2159644" cy="188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9644" cy="1886400"/>
                          </a:xfrm>
                          <a:prstGeom prst="rect">
                            <a:avLst/>
                          </a:prstGeom>
                        </pic:spPr>
                      </pic:pic>
                    </a:graphicData>
                  </a:graphic>
                </wp:inline>
              </w:drawing>
            </w:r>
          </w:p>
        </w:tc>
        <w:tc>
          <w:tcPr>
            <w:tcW w:w="0" w:type="auto"/>
          </w:tcPr>
          <w:p w14:paraId="43247452" w14:textId="77777777" w:rsidR="00F424CE" w:rsidRPr="00A50CB4" w:rsidRDefault="00F424CE" w:rsidP="009B463E">
            <w:pPr>
              <w:spacing w:after="0"/>
              <w:jc w:val="both"/>
              <w:rPr>
                <w:rFonts w:asciiTheme="majorBidi" w:hAnsiTheme="majorBidi" w:cstheme="majorBidi"/>
                <w:lang w:eastAsia="en-MY"/>
              </w:rPr>
            </w:pPr>
          </w:p>
          <w:p w14:paraId="688F406F" w14:textId="77777777" w:rsidR="00F424CE" w:rsidRPr="00A50CB4" w:rsidRDefault="00F424CE" w:rsidP="00F424CE">
            <w:pPr>
              <w:spacing w:after="0"/>
              <w:jc w:val="right"/>
              <w:rPr>
                <w:rFonts w:asciiTheme="majorBidi" w:hAnsiTheme="majorBidi" w:cstheme="majorBidi"/>
                <w:lang w:eastAsia="en-MY"/>
              </w:rPr>
            </w:pPr>
            <w:r w:rsidRPr="00A50CB4">
              <w:rPr>
                <w:rFonts w:asciiTheme="majorBidi" w:hAnsiTheme="majorBidi" w:cstheme="majorBidi"/>
                <w:noProof/>
                <w:lang w:eastAsia="en-MY"/>
              </w:rPr>
              <w:drawing>
                <wp:inline distT="0" distB="0" distL="0" distR="0" wp14:anchorId="1DE8DC69" wp14:editId="095C57F4">
                  <wp:extent cx="2052562" cy="18864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2562" cy="1886400"/>
                          </a:xfrm>
                          <a:prstGeom prst="rect">
                            <a:avLst/>
                          </a:prstGeom>
                        </pic:spPr>
                      </pic:pic>
                    </a:graphicData>
                  </a:graphic>
                </wp:inline>
              </w:drawing>
            </w:r>
            <w:r>
              <w:rPr>
                <w:rFonts w:asciiTheme="majorBidi" w:hAnsiTheme="majorBidi" w:cstheme="majorBidi"/>
                <w:noProof/>
                <w:lang w:eastAsia="en-MY"/>
              </w:rPr>
              <mc:AlternateContent>
                <mc:Choice Requires="wps">
                  <w:drawing>
                    <wp:anchor distT="0" distB="0" distL="114300" distR="114300" simplePos="0" relativeHeight="251750912" behindDoc="0" locked="0" layoutInCell="1" allowOverlap="1" wp14:anchorId="36A6DAC5" wp14:editId="3A239B12">
                      <wp:simplePos x="0" y="0"/>
                      <wp:positionH relativeFrom="column">
                        <wp:posOffset>-4445</wp:posOffset>
                      </wp:positionH>
                      <wp:positionV relativeFrom="paragraph">
                        <wp:posOffset>3810</wp:posOffset>
                      </wp:positionV>
                      <wp:extent cx="341194" cy="29342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1194" cy="293427"/>
                              </a:xfrm>
                              <a:prstGeom prst="rect">
                                <a:avLst/>
                              </a:prstGeom>
                              <a:noFill/>
                              <a:ln w="6350">
                                <a:noFill/>
                              </a:ln>
                            </wps:spPr>
                            <wps:txbx>
                              <w:txbxContent>
                                <w:p w14:paraId="7E48E09D"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f</w:t>
                                  </w:r>
                                  <w:r w:rsidRPr="00F36E75">
                                    <w:rPr>
                                      <w:rFonts w:ascii="Times New Roman" w:hAnsi="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6DAC5" id="Text Box 10" o:spid="_x0000_s1041" type="#_x0000_t202" style="position:absolute;left:0;text-align:left;margin-left:-.35pt;margin-top:.3pt;width:26.85pt;height:23.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" filled="f" stroked="f" strokeweight=".5pt">
                      <v:textbox>
                        <w:txbxContent>
                          <w:p w14:paraId="7E48E09D" w14:textId="77777777" w:rsidR="00F424CE" w:rsidRPr="00F36E75" w:rsidRDefault="00F424CE" w:rsidP="00F424CE">
                            <w:pPr>
                              <w:rPr>
                                <w:rFonts w:ascii="Times New Roman" w:hAnsi="Times New Roman"/>
                                <w:b/>
                                <w:bCs/>
                                <w:color w:val="FFFFFF" w:themeColor="background1"/>
                                <w:sz w:val="20"/>
                                <w:szCs w:val="20"/>
                              </w:rPr>
                            </w:pPr>
                            <w:r w:rsidRPr="00F36E75">
                              <w:rPr>
                                <w:rFonts w:ascii="Times New Roman" w:hAnsi="Times New Roman"/>
                                <w:b/>
                                <w:bCs/>
                                <w:color w:val="FFFFFF" w:themeColor="background1"/>
                                <w:sz w:val="20"/>
                                <w:szCs w:val="20"/>
                              </w:rPr>
                              <w:t>(</w:t>
                            </w:r>
                            <w:r>
                              <w:rPr>
                                <w:rFonts w:ascii="Times New Roman" w:hAnsi="Times New Roman"/>
                                <w:b/>
                                <w:bCs/>
                                <w:color w:val="FFFFFF" w:themeColor="background1"/>
                                <w:sz w:val="20"/>
                                <w:szCs w:val="20"/>
                              </w:rPr>
                              <w:t>f</w:t>
                            </w:r>
                            <w:r w:rsidRPr="00F36E75">
                              <w:rPr>
                                <w:rFonts w:ascii="Times New Roman" w:hAnsi="Times New Roman"/>
                                <w:b/>
                                <w:bCs/>
                                <w:color w:val="FFFFFF" w:themeColor="background1"/>
                                <w:sz w:val="20"/>
                                <w:szCs w:val="20"/>
                              </w:rPr>
                              <w:t>)</w:t>
                            </w:r>
                          </w:p>
                        </w:txbxContent>
                      </v:textbox>
                    </v:shape>
                  </w:pict>
                </mc:Fallback>
              </mc:AlternateContent>
            </w:r>
          </w:p>
        </w:tc>
      </w:tr>
    </w:tbl>
    <w:p w14:paraId="2A045648" w14:textId="5316D488" w:rsidR="00F424CE" w:rsidRDefault="00F424CE" w:rsidP="00F8651C">
      <w:pPr>
        <w:spacing w:after="0"/>
        <w:ind w:left="810" w:hanging="810"/>
        <w:jc w:val="both"/>
        <w:rPr>
          <w:rFonts w:asciiTheme="majorBidi" w:hAnsiTheme="majorBidi" w:cstheme="majorBidi"/>
          <w:sz w:val="20"/>
          <w:szCs w:val="20"/>
          <w:lang w:eastAsia="en-MY"/>
        </w:rPr>
      </w:pPr>
      <w:r w:rsidRPr="00A50CB4">
        <w:rPr>
          <w:rFonts w:asciiTheme="majorBidi" w:hAnsiTheme="majorBidi" w:cstheme="majorBidi"/>
          <w:sz w:val="20"/>
          <w:szCs w:val="20"/>
          <w:lang w:eastAsia="en-MY"/>
        </w:rPr>
        <w:t>Figure 5</w:t>
      </w:r>
      <w:r>
        <w:rPr>
          <w:rFonts w:asciiTheme="majorBidi" w:hAnsiTheme="majorBidi" w:cstheme="majorBidi"/>
          <w:sz w:val="20"/>
          <w:szCs w:val="20"/>
          <w:lang w:eastAsia="en-MY"/>
        </w:rPr>
        <w:t>.</w:t>
      </w:r>
      <w:r w:rsidRPr="00A50CB4">
        <w:rPr>
          <w:rFonts w:asciiTheme="majorBidi" w:hAnsiTheme="majorBidi" w:cstheme="majorBidi"/>
          <w:sz w:val="20"/>
          <w:szCs w:val="20"/>
          <w:lang w:eastAsia="en-MY"/>
        </w:rPr>
        <w:t xml:space="preserve"> </w:t>
      </w:r>
      <w:r w:rsidR="00F8651C">
        <w:rPr>
          <w:rFonts w:asciiTheme="majorBidi" w:hAnsiTheme="majorBidi" w:cstheme="majorBidi"/>
          <w:sz w:val="20"/>
          <w:szCs w:val="20"/>
          <w:lang w:eastAsia="en-MY"/>
        </w:rPr>
        <w:tab/>
      </w:r>
      <w:r w:rsidRPr="00A50CB4">
        <w:rPr>
          <w:rFonts w:asciiTheme="majorBidi" w:hAnsiTheme="majorBidi" w:cstheme="majorBidi"/>
          <w:sz w:val="20"/>
          <w:szCs w:val="20"/>
          <w:lang w:eastAsia="en-MY"/>
        </w:rPr>
        <w:t>Polarized Optical Micrograph images (10x magnification) of (a) NR (b) PHB (c) 80:20 (d) 60:40 (e) 40:60 and (f) 20:80 of NR/PHB blend</w:t>
      </w:r>
    </w:p>
    <w:p w14:paraId="1A27657C" w14:textId="77777777" w:rsidR="00F424CE" w:rsidRDefault="00F424CE" w:rsidP="00F424CE">
      <w:pPr>
        <w:spacing w:after="0"/>
        <w:jc w:val="both"/>
        <w:rPr>
          <w:rFonts w:ascii="Times New Roman" w:hAnsi="Times New Roman"/>
          <w:b/>
          <w:noProof/>
          <w:sz w:val="20"/>
          <w:szCs w:val="20"/>
          <w:lang w:bidi="ar-SA"/>
        </w:rPr>
      </w:pPr>
    </w:p>
    <w:p w14:paraId="42D77D0E" w14:textId="77777777" w:rsidR="00F424CE" w:rsidRDefault="00F424CE" w:rsidP="00510BA6">
      <w:pPr>
        <w:spacing w:after="0"/>
        <w:jc w:val="center"/>
        <w:rPr>
          <w:rFonts w:ascii="Times New Roman" w:hAnsi="Times New Roman"/>
          <w:b/>
          <w:noProof/>
          <w:sz w:val="20"/>
          <w:szCs w:val="20"/>
          <w:lang w:bidi="ar-SA"/>
        </w:rPr>
      </w:pPr>
    </w:p>
    <w:p w14:paraId="77B8DBEF" w14:textId="77777777" w:rsidR="009650F7" w:rsidRDefault="009650F7" w:rsidP="00510BA6">
      <w:pPr>
        <w:spacing w:after="0"/>
        <w:jc w:val="center"/>
        <w:rPr>
          <w:rFonts w:ascii="Times New Roman" w:hAnsi="Times New Roman"/>
          <w:b/>
          <w:noProof/>
          <w:sz w:val="20"/>
          <w:szCs w:val="20"/>
          <w:lang w:bidi="ar-SA"/>
        </w:rPr>
        <w:sectPr w:rsidR="009650F7" w:rsidSect="004846C8">
          <w:footerReference w:type="even" r:id="rId37"/>
          <w:type w:val="continuous"/>
          <w:pgSz w:w="12240" w:h="15840" w:code="1"/>
          <w:pgMar w:top="1800" w:right="1469" w:bottom="1699" w:left="1440" w:header="706" w:footer="706" w:gutter="0"/>
          <w:pgNumType w:start="0"/>
          <w:cols w:space="708"/>
          <w:docGrid w:linePitch="360"/>
        </w:sectPr>
      </w:pPr>
    </w:p>
    <w:p w14:paraId="183D362C" w14:textId="7433866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48573BF5" w14:textId="77777777" w:rsidR="00F8651C" w:rsidRPr="00F8651C" w:rsidRDefault="00F8651C" w:rsidP="00F8651C">
      <w:pPr>
        <w:spacing w:after="0" w:line="240" w:lineRule="auto"/>
        <w:jc w:val="both"/>
        <w:rPr>
          <w:rFonts w:asciiTheme="majorBidi" w:hAnsiTheme="majorBidi" w:cstheme="majorBidi"/>
          <w:sz w:val="20"/>
          <w:szCs w:val="20"/>
          <w:lang w:eastAsia="en-MY"/>
        </w:rPr>
      </w:pPr>
      <w:r w:rsidRPr="00F8651C">
        <w:rPr>
          <w:rFonts w:asciiTheme="majorBidi" w:hAnsiTheme="majorBidi" w:cstheme="majorBidi"/>
          <w:sz w:val="20"/>
          <w:szCs w:val="20"/>
          <w:lang w:eastAsia="en-MY"/>
        </w:rPr>
        <w:t xml:space="preserve">In summary, this work describes a basic study on an amorphous/semi-crystalline blend system focusing on characterization of the blends in terms of morphology, crystallinity as well as thermal behaviour. Blending is </w:t>
      </w:r>
      <w:r w:rsidRPr="00F8651C">
        <w:rPr>
          <w:rFonts w:asciiTheme="majorBidi" w:hAnsiTheme="majorBidi" w:cstheme="majorBidi"/>
          <w:sz w:val="20"/>
          <w:szCs w:val="20"/>
          <w:lang w:eastAsia="en-MY"/>
        </w:rPr>
        <w:t xml:space="preserve">the easiest, most effective and economical approach for obtaining new materials with improved physical and mechanical properties. The drawbacks of the parent components can be altered and tailored by choosing and varying the compositions of the blend and preparation parameters. Based on FTIR, blends of NR/PHB </w:t>
      </w:r>
      <w:r w:rsidRPr="00F8651C">
        <w:rPr>
          <w:rFonts w:asciiTheme="majorBidi" w:hAnsiTheme="majorBidi" w:cstheme="majorBidi"/>
          <w:sz w:val="20"/>
          <w:szCs w:val="20"/>
          <w:lang w:eastAsia="en-MY"/>
        </w:rPr>
        <w:lastRenderedPageBreak/>
        <w:t>prepared in various compositions ranging from 20 to 80 wt.% of PHB, using solvent casting technique, has revealed that, no interaction occurred between NR and PHB since no shifting and additional peaks are observed. Besides that, the presence of NR has evident influence on the crystallization and spherulite morphology of PHB. The XRD patterns obtained show low crystallinity peaks were observed when the NR amount was increased. These results correlate with the degree of crystallinity from the DSC data. Besides that, DSC results indicated immiscibility of all compositions, due to the two distinct glass transition temperatures that are similar to pristine NR and PHB respectively. In addition, the TG data for NR/PHB blends shows similar characteristic of NR and PHB. Further confirmation of the immiscible system can be seen via the two-phase morphology from POM studies. The occurrence of immiscibility in this system is because of the high molecular weight of NR and PHB, leads to poor interfacial adhesion between the phases.</w:t>
      </w:r>
    </w:p>
    <w:p w14:paraId="55A41426" w14:textId="77777777" w:rsidR="00F8651C" w:rsidRPr="00F8651C" w:rsidRDefault="00F8651C" w:rsidP="00F8651C">
      <w:pPr>
        <w:spacing w:after="0" w:line="240" w:lineRule="auto"/>
        <w:jc w:val="center"/>
        <w:rPr>
          <w:rFonts w:asciiTheme="majorBidi" w:hAnsiTheme="majorBidi" w:cstheme="majorBidi"/>
          <w:sz w:val="20"/>
          <w:szCs w:val="20"/>
          <w:lang w:eastAsia="en-MY"/>
        </w:rPr>
      </w:pPr>
    </w:p>
    <w:p w14:paraId="12A5D019" w14:textId="77777777" w:rsidR="00F8651C" w:rsidRPr="00F8651C" w:rsidRDefault="00F8651C" w:rsidP="00F8651C">
      <w:pPr>
        <w:spacing w:after="0" w:line="240" w:lineRule="auto"/>
        <w:jc w:val="center"/>
        <w:rPr>
          <w:rFonts w:asciiTheme="majorBidi" w:hAnsiTheme="majorBidi" w:cstheme="majorBidi"/>
          <w:sz w:val="20"/>
          <w:szCs w:val="20"/>
          <w:lang w:eastAsia="en-MY"/>
        </w:rPr>
      </w:pPr>
      <w:r w:rsidRPr="00F8651C">
        <w:rPr>
          <w:rFonts w:ascii="Times New Roman" w:eastAsia="Calibri" w:hAnsi="Times New Roman"/>
          <w:b/>
          <w:bCs/>
          <w:sz w:val="20"/>
          <w:szCs w:val="20"/>
        </w:rPr>
        <w:t>Acknowledgement</w:t>
      </w:r>
    </w:p>
    <w:p w14:paraId="5D215AFF" w14:textId="1F12E1C5" w:rsidR="006768E9" w:rsidRPr="00F8651C" w:rsidRDefault="00F8651C" w:rsidP="00F8651C">
      <w:pPr>
        <w:spacing w:after="0" w:line="240" w:lineRule="auto"/>
        <w:jc w:val="both"/>
        <w:rPr>
          <w:rFonts w:asciiTheme="majorBidi" w:hAnsiTheme="majorBidi" w:cstheme="majorBidi"/>
          <w:sz w:val="20"/>
          <w:szCs w:val="20"/>
          <w:lang w:eastAsia="en-MY"/>
        </w:rPr>
      </w:pPr>
      <w:r w:rsidRPr="00F8651C">
        <w:rPr>
          <w:rFonts w:ascii="Times New Roman" w:eastAsia="Calibri" w:hAnsi="Times New Roman"/>
          <w:sz w:val="20"/>
          <w:szCs w:val="20"/>
        </w:rPr>
        <w:t>The authors would like to acknowledge the financial support from research grant scheme (FRGS 203/PKIMIA/6711596) and ministry of higher education for scholarship.</w:t>
      </w:r>
    </w:p>
    <w:p w14:paraId="125B0DDA" w14:textId="77777777" w:rsidR="009650F7" w:rsidRDefault="009650F7" w:rsidP="005E2F75">
      <w:pPr>
        <w:tabs>
          <w:tab w:val="left" w:pos="5377"/>
        </w:tabs>
        <w:spacing w:after="0"/>
        <w:rPr>
          <w:rFonts w:ascii="Times New Roman" w:hAnsi="Times New Roman"/>
          <w:noProof/>
          <w:sz w:val="20"/>
          <w:szCs w:val="20"/>
          <w:lang w:bidi="ar-SA"/>
        </w:rPr>
      </w:pPr>
    </w:p>
    <w:p w14:paraId="35B5A6C4" w14:textId="77777777" w:rsidR="009650F7" w:rsidRPr="00510BA6" w:rsidRDefault="009650F7" w:rsidP="009650F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14CB8459"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eastAsia="Calibri" w:hAnsi="Times New Roman"/>
          <w:sz w:val="20"/>
          <w:szCs w:val="20"/>
          <w:lang w:eastAsia="en-MY"/>
        </w:rPr>
        <w:fldChar w:fldCharType="begin" w:fldLock="1"/>
      </w:r>
      <w:r w:rsidRPr="00EB58B3">
        <w:rPr>
          <w:rFonts w:ascii="Times New Roman" w:eastAsia="Calibri" w:hAnsi="Times New Roman"/>
          <w:sz w:val="20"/>
          <w:szCs w:val="20"/>
          <w:lang w:eastAsia="en-MY"/>
        </w:rPr>
        <w:instrText xml:space="preserve">ADDIN Mendeley Bibliography CSL_BIBLIOGRAPHY </w:instrText>
      </w:r>
      <w:r w:rsidRPr="00EB58B3">
        <w:rPr>
          <w:rFonts w:ascii="Times New Roman" w:eastAsia="Calibri" w:hAnsi="Times New Roman"/>
          <w:sz w:val="20"/>
          <w:szCs w:val="20"/>
          <w:lang w:eastAsia="en-MY"/>
        </w:rPr>
        <w:fldChar w:fldCharType="separate"/>
      </w:r>
      <w:r w:rsidRPr="00EB58B3">
        <w:rPr>
          <w:rFonts w:ascii="Times New Roman" w:hAnsi="Times New Roman"/>
          <w:noProof/>
          <w:sz w:val="20"/>
          <w:szCs w:val="20"/>
        </w:rPr>
        <w:t xml:space="preserve">Notario, B., Pinto, J., Rodriguez-Perez, M. A. (2016). Nanoporous polymeric materials: A new class of materials with enhanced properties. </w:t>
      </w:r>
      <w:r w:rsidRPr="00EB58B3">
        <w:rPr>
          <w:rFonts w:ascii="Times New Roman" w:hAnsi="Times New Roman"/>
          <w:i/>
          <w:iCs/>
          <w:noProof/>
          <w:sz w:val="20"/>
          <w:szCs w:val="20"/>
        </w:rPr>
        <w:t xml:space="preserve">Progress in Materials Science, </w:t>
      </w:r>
      <w:r w:rsidRPr="00EB58B3">
        <w:rPr>
          <w:rFonts w:ascii="Times New Roman" w:hAnsi="Times New Roman"/>
          <w:noProof/>
          <w:sz w:val="20"/>
          <w:szCs w:val="20"/>
        </w:rPr>
        <w:t>78-79: 93-139.</w:t>
      </w:r>
    </w:p>
    <w:p w14:paraId="5EA10752"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Cavalcante, M. P., Toledo, A. L. M. M., Rodrigues, E. J. R., Neto, R. P. C. and Tavares, M. I. B. (2017). Correlation between traditional techniques and TD-NMR to determine the morphology of PHB/PCL blends. </w:t>
      </w:r>
      <w:r w:rsidRPr="00EB58B3">
        <w:rPr>
          <w:rFonts w:ascii="Times New Roman" w:hAnsi="Times New Roman"/>
          <w:i/>
          <w:iCs/>
          <w:noProof/>
          <w:sz w:val="20"/>
          <w:szCs w:val="20"/>
        </w:rPr>
        <w:t xml:space="preserve">Polymer Testing, </w:t>
      </w:r>
      <w:r w:rsidRPr="00EB58B3">
        <w:rPr>
          <w:rFonts w:ascii="Times New Roman" w:hAnsi="Times New Roman"/>
          <w:noProof/>
          <w:sz w:val="20"/>
          <w:szCs w:val="20"/>
        </w:rPr>
        <w:t>58:159-165.</w:t>
      </w:r>
    </w:p>
    <w:p w14:paraId="62A2CF72" w14:textId="79019C4F"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Golshaei, P. and Güven, O. (2017). Chemical modification of PET surface and subsequent graft copolymerization with poly(N-isopropylacryl</w:t>
      </w:r>
      <w:r>
        <w:rPr>
          <w:rFonts w:ascii="Times New Roman" w:hAnsi="Times New Roman"/>
          <w:noProof/>
          <w:sz w:val="20"/>
          <w:szCs w:val="20"/>
        </w:rPr>
        <w:t xml:space="preserve"> </w:t>
      </w:r>
      <w:r w:rsidRPr="00EB58B3">
        <w:rPr>
          <w:rFonts w:ascii="Times New Roman" w:hAnsi="Times New Roman"/>
          <w:noProof/>
          <w:sz w:val="20"/>
          <w:szCs w:val="20"/>
        </w:rPr>
        <w:t xml:space="preserve">amide). </w:t>
      </w:r>
      <w:r w:rsidRPr="00EB58B3">
        <w:rPr>
          <w:rFonts w:ascii="Times New Roman" w:hAnsi="Times New Roman"/>
          <w:i/>
          <w:iCs/>
          <w:noProof/>
          <w:sz w:val="20"/>
          <w:szCs w:val="20"/>
        </w:rPr>
        <w:t xml:space="preserve">Reactive Functional Polymer, </w:t>
      </w:r>
      <w:r w:rsidRPr="00EB58B3">
        <w:rPr>
          <w:rFonts w:ascii="Times New Roman" w:hAnsi="Times New Roman"/>
          <w:noProof/>
          <w:sz w:val="20"/>
          <w:szCs w:val="20"/>
        </w:rPr>
        <w:t>118: 26-34.</w:t>
      </w:r>
    </w:p>
    <w:p w14:paraId="1AFD2F85"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Mazzocchetti, L., Scandola, M. and Jiang, Z. (2012). Random copolymerization with a large lactone enhances aliphatic polycarbonate crystallinity.</w:t>
      </w:r>
      <w:r w:rsidRPr="00EB58B3">
        <w:rPr>
          <w:rFonts w:ascii="Times New Roman" w:hAnsi="Times New Roman"/>
          <w:i/>
          <w:iCs/>
          <w:noProof/>
          <w:sz w:val="20"/>
          <w:szCs w:val="20"/>
        </w:rPr>
        <w:t xml:space="preserve"> European Polymer Journal,</w:t>
      </w:r>
      <w:r w:rsidRPr="00EB58B3">
        <w:rPr>
          <w:rFonts w:ascii="Times New Roman" w:hAnsi="Times New Roman"/>
          <w:noProof/>
          <w:sz w:val="20"/>
          <w:szCs w:val="20"/>
        </w:rPr>
        <w:t xml:space="preserve"> 48:1883-1891.</w:t>
      </w:r>
    </w:p>
    <w:p w14:paraId="7E14B264"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Ganji, F. and Abdekhodaie, M. J. (2010). The effects of reaction conditions on block copolymerization of chitosan and poly(ethylene glycol). </w:t>
      </w:r>
      <w:r w:rsidRPr="00EB58B3">
        <w:rPr>
          <w:rFonts w:ascii="Times New Roman" w:hAnsi="Times New Roman"/>
          <w:i/>
          <w:iCs/>
          <w:noProof/>
          <w:sz w:val="20"/>
          <w:szCs w:val="20"/>
        </w:rPr>
        <w:t>Carbohydrate Polymer,</w:t>
      </w:r>
      <w:r w:rsidRPr="00EB58B3">
        <w:rPr>
          <w:rFonts w:ascii="Times New Roman" w:hAnsi="Times New Roman"/>
          <w:noProof/>
          <w:sz w:val="20"/>
          <w:szCs w:val="20"/>
        </w:rPr>
        <w:t xml:space="preserve"> 81: 799-804.</w:t>
      </w:r>
    </w:p>
    <w:p w14:paraId="7B0CA58E"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Murugan, P., Han, L., Gan, C. Y., Maurer, F. H. J. and Sudesh, K. (2016). A new biological recovery approach for PHA using mealworm, </w:t>
      </w:r>
      <w:r w:rsidRPr="00EB58B3">
        <w:rPr>
          <w:rFonts w:ascii="Times New Roman" w:hAnsi="Times New Roman"/>
          <w:i/>
          <w:iCs/>
          <w:noProof/>
          <w:sz w:val="20"/>
          <w:szCs w:val="20"/>
        </w:rPr>
        <w:t>Tenebrio molitor</w:t>
      </w:r>
      <w:r w:rsidRPr="00EB58B3">
        <w:rPr>
          <w:rFonts w:ascii="Times New Roman" w:hAnsi="Times New Roman"/>
          <w:noProof/>
          <w:sz w:val="20"/>
          <w:szCs w:val="20"/>
        </w:rPr>
        <w:t xml:space="preserve">. </w:t>
      </w:r>
      <w:r w:rsidRPr="00EB58B3">
        <w:rPr>
          <w:rFonts w:ascii="Times New Roman" w:hAnsi="Times New Roman"/>
          <w:i/>
          <w:iCs/>
          <w:noProof/>
          <w:sz w:val="20"/>
          <w:szCs w:val="20"/>
        </w:rPr>
        <w:t xml:space="preserve">Journal of Biotechnology, </w:t>
      </w:r>
      <w:r w:rsidRPr="00EB58B3">
        <w:rPr>
          <w:rFonts w:ascii="Times New Roman" w:hAnsi="Times New Roman"/>
          <w:noProof/>
          <w:sz w:val="20"/>
          <w:szCs w:val="20"/>
        </w:rPr>
        <w:t>239: 98-105.</w:t>
      </w:r>
    </w:p>
    <w:p w14:paraId="2F3822E9"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Arrieta, M. P., López, J., López, D., Kenny, J. M. and Peponi, L. (2016). Biodegradable electrospun bionanocomposite fibers based on plasticized PLA–PHB blends reinforced with cellulose nanocrystals. </w:t>
      </w:r>
      <w:r w:rsidRPr="00EB58B3">
        <w:rPr>
          <w:rFonts w:ascii="Times New Roman" w:hAnsi="Times New Roman"/>
          <w:i/>
          <w:iCs/>
          <w:noProof/>
          <w:sz w:val="20"/>
          <w:szCs w:val="20"/>
        </w:rPr>
        <w:t>Industrial Crops Products,</w:t>
      </w:r>
      <w:r w:rsidRPr="00EB58B3">
        <w:rPr>
          <w:rFonts w:ascii="Times New Roman" w:hAnsi="Times New Roman"/>
          <w:noProof/>
          <w:sz w:val="20"/>
          <w:szCs w:val="20"/>
        </w:rPr>
        <w:t xml:space="preserve"> 93: 290-230.</w:t>
      </w:r>
    </w:p>
    <w:p w14:paraId="17A014E5"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Tognana, S., Salgueiro, W. and Silva, L. (2016). Spherulitic growth and crystallization kinetics in PHB/DGEBA blends. </w:t>
      </w:r>
      <w:r w:rsidRPr="00EB58B3">
        <w:rPr>
          <w:rFonts w:ascii="Times New Roman" w:hAnsi="Times New Roman"/>
          <w:i/>
          <w:iCs/>
          <w:noProof/>
          <w:sz w:val="20"/>
          <w:szCs w:val="20"/>
        </w:rPr>
        <w:t>Thermochimica Acta,</w:t>
      </w:r>
      <w:r w:rsidRPr="00EB58B3">
        <w:rPr>
          <w:rFonts w:ascii="Times New Roman" w:hAnsi="Times New Roman"/>
          <w:noProof/>
          <w:sz w:val="20"/>
          <w:szCs w:val="20"/>
        </w:rPr>
        <w:t xml:space="preserve"> 623:1-8.</w:t>
      </w:r>
    </w:p>
    <w:p w14:paraId="734E5D45"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Cavalheiro, J. M. B.T., Raposo, R. S., de Almeida, M. C. M. D., Teresa Cesário, M., Sevrin, C., Grandfils, C. and da Fonseca, M. M. R. (2012). Effect of cultivation parameters on the production of poly(3-hydroxybutyrate-co-4-hydroxybutyrate) and poly(3-hydroxybutyrate-4-hydroxybutyrate-3-hydroxy valerate) by </w:t>
      </w:r>
      <w:r w:rsidRPr="00EB58B3">
        <w:rPr>
          <w:rFonts w:ascii="Times New Roman" w:hAnsi="Times New Roman"/>
          <w:i/>
          <w:iCs/>
          <w:noProof/>
          <w:sz w:val="20"/>
          <w:szCs w:val="20"/>
        </w:rPr>
        <w:t>Cupriavidus necator</w:t>
      </w:r>
      <w:r w:rsidRPr="00EB58B3">
        <w:rPr>
          <w:rFonts w:ascii="Times New Roman" w:hAnsi="Times New Roman"/>
          <w:noProof/>
          <w:sz w:val="20"/>
          <w:szCs w:val="20"/>
        </w:rPr>
        <w:t xml:space="preserve"> using waste glycerol. </w:t>
      </w:r>
      <w:r w:rsidRPr="00EB58B3">
        <w:rPr>
          <w:rFonts w:ascii="Times New Roman" w:hAnsi="Times New Roman"/>
          <w:i/>
          <w:iCs/>
          <w:noProof/>
          <w:sz w:val="20"/>
          <w:szCs w:val="20"/>
        </w:rPr>
        <w:t>Bioresource Technology,</w:t>
      </w:r>
      <w:r w:rsidRPr="00EB58B3">
        <w:rPr>
          <w:rFonts w:ascii="Times New Roman" w:hAnsi="Times New Roman"/>
          <w:noProof/>
          <w:sz w:val="20"/>
          <w:szCs w:val="20"/>
        </w:rPr>
        <w:t xml:space="preserve"> 111: 391-397.</w:t>
      </w:r>
    </w:p>
    <w:p w14:paraId="205D163B"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Hinüber, C., Häussler, L., Vogel, R., Brünig, H., Heinrich, G. and Werner, C. (2011). Hollow fibers made from a poly(3-hydroxybutyrate)/poly-ε-caprolactone blend. </w:t>
      </w:r>
      <w:r w:rsidRPr="00EB58B3">
        <w:rPr>
          <w:rFonts w:ascii="Times New Roman" w:hAnsi="Times New Roman"/>
          <w:i/>
          <w:iCs/>
          <w:noProof/>
          <w:sz w:val="20"/>
          <w:szCs w:val="20"/>
        </w:rPr>
        <w:t>Express Polymer Letter,</w:t>
      </w:r>
      <w:r w:rsidRPr="00EB58B3">
        <w:rPr>
          <w:rFonts w:ascii="Times New Roman" w:hAnsi="Times New Roman"/>
          <w:noProof/>
          <w:sz w:val="20"/>
          <w:szCs w:val="20"/>
        </w:rPr>
        <w:t xml:space="preserve"> 5: 643-652.</w:t>
      </w:r>
    </w:p>
    <w:p w14:paraId="2E2A9A25"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Garcia-Garcia, D., Ferri, J. M., Boronat, T., Lopez-Martinez, J., Balart, R. (2016). Processing and characterization of binary poly(hydroxybutyrate) (PHB) and poly(caprolactone) (PCL) blends with improved impact properties. </w:t>
      </w:r>
      <w:r w:rsidRPr="00EB58B3">
        <w:rPr>
          <w:rFonts w:ascii="Times New Roman" w:hAnsi="Times New Roman"/>
          <w:i/>
          <w:iCs/>
          <w:noProof/>
          <w:sz w:val="20"/>
          <w:szCs w:val="20"/>
        </w:rPr>
        <w:t>Polymer Bulletin,</w:t>
      </w:r>
      <w:r w:rsidRPr="00EB58B3">
        <w:rPr>
          <w:rFonts w:ascii="Times New Roman" w:hAnsi="Times New Roman"/>
          <w:noProof/>
          <w:sz w:val="20"/>
          <w:szCs w:val="20"/>
        </w:rPr>
        <w:t xml:space="preserve"> 73: 3333-3350.</w:t>
      </w:r>
    </w:p>
    <w:p w14:paraId="5D5D0319" w14:textId="3E755544" w:rsidR="009650F7" w:rsidRPr="0023356E"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Goonoo, N., Bhaw-Luximon, A., Passanha, P., Esteves, S., Schönherr, H. and Jhurry, D. (2017). Biomineralization potential and cellular response of PHB and PHBV blends with natural anionic polysaccharides. </w:t>
      </w:r>
      <w:r w:rsidRPr="00EB58B3">
        <w:rPr>
          <w:rFonts w:ascii="Times New Roman" w:hAnsi="Times New Roman"/>
          <w:i/>
          <w:iCs/>
          <w:noProof/>
          <w:sz w:val="20"/>
          <w:szCs w:val="20"/>
        </w:rPr>
        <w:t>Materials Science Engineering C,</w:t>
      </w:r>
      <w:r w:rsidRPr="00EB58B3">
        <w:rPr>
          <w:rFonts w:ascii="Times New Roman" w:hAnsi="Times New Roman"/>
          <w:noProof/>
          <w:sz w:val="20"/>
          <w:szCs w:val="20"/>
        </w:rPr>
        <w:t xml:space="preserve"> 76:13-24.</w:t>
      </w:r>
    </w:p>
    <w:p w14:paraId="426833AB" w14:textId="3654F1E9"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t xml:space="preserve">Arrieta, M. P., López, J., Rayón, E. and Jiménez, A. (2014). Disintegrability under composting conditions of plasticized PLA–PHB blends. </w:t>
      </w:r>
      <w:r w:rsidRPr="00EB58B3">
        <w:rPr>
          <w:rFonts w:ascii="Times New Roman" w:hAnsi="Times New Roman"/>
          <w:i/>
          <w:iCs/>
          <w:noProof/>
          <w:sz w:val="20"/>
          <w:szCs w:val="20"/>
        </w:rPr>
        <w:t>Polymer Degradation and Stability,</w:t>
      </w:r>
      <w:r w:rsidRPr="00EB58B3">
        <w:rPr>
          <w:rFonts w:ascii="Times New Roman" w:hAnsi="Times New Roman"/>
          <w:noProof/>
          <w:sz w:val="20"/>
          <w:szCs w:val="20"/>
        </w:rPr>
        <w:t xml:space="preserve"> 108: 307-318.</w:t>
      </w:r>
    </w:p>
    <w:p w14:paraId="73D15A2C" w14:textId="621A51CA" w:rsidR="0023356E" w:rsidRDefault="0023356E" w:rsidP="0023356E">
      <w:pPr>
        <w:spacing w:after="0"/>
        <w:jc w:val="both"/>
        <w:rPr>
          <w:rFonts w:ascii="Times New Roman" w:hAnsi="Times New Roman"/>
          <w:noProof/>
          <w:sz w:val="20"/>
          <w:szCs w:val="20"/>
        </w:rPr>
      </w:pPr>
    </w:p>
    <w:p w14:paraId="26C0A1E1" w14:textId="77777777" w:rsidR="0023356E" w:rsidRPr="0023356E" w:rsidRDefault="0023356E" w:rsidP="0023356E">
      <w:pPr>
        <w:spacing w:after="0"/>
        <w:jc w:val="both"/>
        <w:rPr>
          <w:rFonts w:ascii="Times New Roman" w:hAnsi="Times New Roman"/>
          <w:noProof/>
          <w:sz w:val="20"/>
          <w:szCs w:val="20"/>
        </w:rPr>
      </w:pPr>
    </w:p>
    <w:p w14:paraId="3292FECA"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EB58B3">
        <w:rPr>
          <w:rFonts w:ascii="Times New Roman" w:hAnsi="Times New Roman"/>
          <w:noProof/>
          <w:sz w:val="20"/>
          <w:szCs w:val="20"/>
        </w:rPr>
        <w:lastRenderedPageBreak/>
        <w:t xml:space="preserve">Mousavioun, P., Halley, P. J. and Doherty, W. O. S. (2013). Thermophysical properties and rheology of PHB/lignin blends. </w:t>
      </w:r>
      <w:r w:rsidRPr="00EB58B3">
        <w:rPr>
          <w:rFonts w:ascii="Times New Roman" w:hAnsi="Times New Roman"/>
          <w:i/>
          <w:iCs/>
          <w:noProof/>
          <w:sz w:val="20"/>
          <w:szCs w:val="20"/>
        </w:rPr>
        <w:t xml:space="preserve">Industrial Crops Products, </w:t>
      </w:r>
      <w:r w:rsidRPr="00EB58B3">
        <w:rPr>
          <w:rFonts w:ascii="Times New Roman" w:hAnsi="Times New Roman"/>
          <w:noProof/>
          <w:sz w:val="20"/>
          <w:szCs w:val="20"/>
        </w:rPr>
        <w:t>50: 270-275.</w:t>
      </w:r>
    </w:p>
    <w:p w14:paraId="4C4552CA"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Pongsathit, S. and Pattamaprom, C. (2018). Irradiation grafting of natural rubber latex with maleic anhydride and its compatibilization of poly(lactic acid)/natural rubber blends. </w:t>
      </w:r>
      <w:r w:rsidRPr="00441085">
        <w:rPr>
          <w:rFonts w:ascii="Times New Roman" w:hAnsi="Times New Roman"/>
          <w:i/>
          <w:iCs/>
          <w:noProof/>
          <w:sz w:val="20"/>
          <w:szCs w:val="20"/>
        </w:rPr>
        <w:t>Radiation Physics and Chemistry</w:t>
      </w:r>
      <w:r w:rsidRPr="00441085">
        <w:rPr>
          <w:rFonts w:ascii="Times New Roman" w:hAnsi="Times New Roman"/>
          <w:noProof/>
          <w:sz w:val="20"/>
          <w:szCs w:val="20"/>
        </w:rPr>
        <w:t xml:space="preserve"> 144: 13-20.</w:t>
      </w:r>
    </w:p>
    <w:p w14:paraId="1A85ED32"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Bhatt, R., Shah, D., Patel, K. C. and Trivedi, U. (2008) PHA-rubber blends: Synthesis, characterization and biodegradation. </w:t>
      </w:r>
      <w:r w:rsidRPr="00441085">
        <w:rPr>
          <w:rFonts w:ascii="Times New Roman" w:hAnsi="Times New Roman"/>
          <w:i/>
          <w:iCs/>
          <w:noProof/>
          <w:sz w:val="20"/>
          <w:szCs w:val="20"/>
        </w:rPr>
        <w:t>Bioresource Technology,</w:t>
      </w:r>
      <w:r w:rsidRPr="00441085">
        <w:rPr>
          <w:rFonts w:ascii="Times New Roman" w:hAnsi="Times New Roman"/>
          <w:noProof/>
          <w:sz w:val="20"/>
          <w:szCs w:val="20"/>
        </w:rPr>
        <w:t xml:space="preserve"> 99: 4615-4620.</w:t>
      </w:r>
    </w:p>
    <w:p w14:paraId="1EE95A87"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Ramsay, B. A., Langlade, V., Carreau, P. J. and Juliana, A. (1993). Biodegradability and mechanical properties of poly-(f3-hydroxybutyrate-co-3-hydroxyvalerate)-starch blends. </w:t>
      </w:r>
      <w:r w:rsidRPr="00441085">
        <w:rPr>
          <w:rFonts w:ascii="Times New Roman" w:hAnsi="Times New Roman"/>
          <w:i/>
          <w:iCs/>
          <w:noProof/>
          <w:sz w:val="20"/>
          <w:szCs w:val="20"/>
        </w:rPr>
        <w:t>Applied and Environmental Microbiology,</w:t>
      </w:r>
      <w:r w:rsidRPr="00441085">
        <w:rPr>
          <w:rFonts w:ascii="Times New Roman" w:hAnsi="Times New Roman"/>
          <w:noProof/>
          <w:sz w:val="20"/>
          <w:szCs w:val="20"/>
        </w:rPr>
        <w:t xml:space="preserve"> 59:1242-1246.</w:t>
      </w:r>
    </w:p>
    <w:p w14:paraId="7942ABD4"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Abdelwahab, M. A., Flynn, A., Chiou, B. S., Imam, S., Orts, W. and Chiellini, E. (2012). Thermal, mechanical and morphological characterization of plasticized PLA-PHB blends. </w:t>
      </w:r>
      <w:r w:rsidRPr="00441085">
        <w:rPr>
          <w:rFonts w:ascii="Times New Roman" w:hAnsi="Times New Roman"/>
          <w:i/>
          <w:iCs/>
          <w:noProof/>
          <w:sz w:val="20"/>
          <w:szCs w:val="20"/>
        </w:rPr>
        <w:t>Polymer Degradation and Stability</w:t>
      </w:r>
      <w:r w:rsidRPr="00441085">
        <w:rPr>
          <w:rFonts w:ascii="Times New Roman" w:hAnsi="Times New Roman"/>
          <w:noProof/>
          <w:sz w:val="20"/>
          <w:szCs w:val="20"/>
        </w:rPr>
        <w:t xml:space="preserve"> 97: 1822-1828.</w:t>
      </w:r>
    </w:p>
    <w:p w14:paraId="0DC6EC77"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Rolere, S., Liengprayoon, S., Vaysse, L., Sainte-Beuve, J. and Bonfils, F. (2015). Investigating natural rubber composition with Fourier transform infrared (FT-IR) spectroscopy: A rapid and non-destructive method to determine both protein and lipid contents simultaneously. </w:t>
      </w:r>
      <w:r w:rsidRPr="00441085">
        <w:rPr>
          <w:rFonts w:ascii="Times New Roman" w:hAnsi="Times New Roman"/>
          <w:i/>
          <w:iCs/>
          <w:noProof/>
          <w:sz w:val="20"/>
          <w:szCs w:val="20"/>
        </w:rPr>
        <w:t>Polymer Testing,</w:t>
      </w:r>
      <w:r w:rsidRPr="00441085">
        <w:rPr>
          <w:rFonts w:ascii="Times New Roman" w:hAnsi="Times New Roman"/>
          <w:noProof/>
          <w:sz w:val="20"/>
          <w:szCs w:val="20"/>
        </w:rPr>
        <w:t xml:space="preserve"> 43:83-93.</w:t>
      </w:r>
    </w:p>
    <w:p w14:paraId="236A3BDE"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Li, C., Feng, C., Peng, Z., Gong, W. and Kong, L. (2013) Ammonium-assisted green fabrication of graphene/ natural rubber latex composite. </w:t>
      </w:r>
      <w:r w:rsidRPr="00441085">
        <w:rPr>
          <w:rFonts w:ascii="Times New Roman" w:hAnsi="Times New Roman"/>
          <w:i/>
          <w:iCs/>
          <w:noProof/>
          <w:sz w:val="20"/>
          <w:szCs w:val="20"/>
        </w:rPr>
        <w:t>Polymer Composite,</w:t>
      </w:r>
      <w:r w:rsidRPr="00441085">
        <w:rPr>
          <w:rFonts w:ascii="Times New Roman" w:hAnsi="Times New Roman"/>
          <w:noProof/>
          <w:sz w:val="20"/>
          <w:szCs w:val="20"/>
        </w:rPr>
        <w:t xml:space="preserve"> 34: 88-95.</w:t>
      </w:r>
    </w:p>
    <w:p w14:paraId="3D8774B0"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Zhijiang, C., Yi, X., Haizheng, Y., Jia, J. and Liu, Y. (2016). Poly(hydroxybutyrate)/cellulose acetate </w:t>
      </w:r>
      <w:r w:rsidRPr="00441085">
        <w:rPr>
          <w:rFonts w:ascii="Times New Roman" w:hAnsi="Times New Roman"/>
          <w:noProof/>
          <w:sz w:val="20"/>
          <w:szCs w:val="20"/>
        </w:rPr>
        <w:t xml:space="preserve">blend nanofiber scaffolds: Preparation, characterization and cytocompatibility. </w:t>
      </w:r>
      <w:r w:rsidRPr="00441085">
        <w:rPr>
          <w:rFonts w:ascii="Times New Roman" w:hAnsi="Times New Roman"/>
          <w:i/>
          <w:iCs/>
          <w:noProof/>
          <w:sz w:val="20"/>
          <w:szCs w:val="20"/>
        </w:rPr>
        <w:t>Materials Science Engineering C,</w:t>
      </w:r>
      <w:r w:rsidRPr="00441085">
        <w:rPr>
          <w:rFonts w:ascii="Times New Roman" w:hAnsi="Times New Roman"/>
          <w:noProof/>
          <w:sz w:val="20"/>
          <w:szCs w:val="20"/>
        </w:rPr>
        <w:t xml:space="preserve"> 58: 757-767.</w:t>
      </w:r>
    </w:p>
    <w:p w14:paraId="109450E4"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Abraham, E., Elbi, P. A., Deepa, B., Jyotishkumar, P., Pothen, L. A., Narine, S. S. and Thomas, S. (2012). X-ray diffraction and biodegradation analysis of green composites of natural rubber/nanocellulose. </w:t>
      </w:r>
      <w:r w:rsidRPr="00441085">
        <w:rPr>
          <w:rFonts w:ascii="Times New Roman" w:hAnsi="Times New Roman"/>
          <w:i/>
          <w:iCs/>
          <w:noProof/>
          <w:sz w:val="20"/>
          <w:szCs w:val="20"/>
        </w:rPr>
        <w:t>Polymer Degradation and Stability,</w:t>
      </w:r>
      <w:r w:rsidRPr="00441085">
        <w:rPr>
          <w:rFonts w:ascii="Times New Roman" w:hAnsi="Times New Roman"/>
          <w:noProof/>
          <w:sz w:val="20"/>
          <w:szCs w:val="20"/>
        </w:rPr>
        <w:t xml:space="preserve"> 97: 2378-2387.</w:t>
      </w:r>
    </w:p>
    <w:p w14:paraId="24F00336"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Pazhooh, H. N., Bagheri, R. and Adloo, A. (2017). Fabrication of semi-conductive natural rubber nanocomposites with low copper nanoparticle contents. </w:t>
      </w:r>
      <w:r w:rsidRPr="00441085">
        <w:rPr>
          <w:rFonts w:ascii="Times New Roman" w:hAnsi="Times New Roman"/>
          <w:i/>
          <w:iCs/>
          <w:noProof/>
          <w:sz w:val="20"/>
          <w:szCs w:val="20"/>
        </w:rPr>
        <w:t>Polymer,</w:t>
      </w:r>
      <w:r w:rsidRPr="00441085">
        <w:rPr>
          <w:rFonts w:ascii="Times New Roman" w:hAnsi="Times New Roman"/>
          <w:noProof/>
          <w:sz w:val="20"/>
          <w:szCs w:val="20"/>
        </w:rPr>
        <w:t xml:space="preserve"> 108:135-145.</w:t>
      </w:r>
    </w:p>
    <w:p w14:paraId="26B7F3ED"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Zhang, S., Sun, X., Ren, Z., Li, H. and Yan, S. (2015) The development of a bilayer structure of poly(propylene carbonate)/poly(3-hydroxybutyrate) blends from the demixed melt. </w:t>
      </w:r>
      <w:r w:rsidRPr="00441085">
        <w:rPr>
          <w:rFonts w:ascii="Times New Roman" w:hAnsi="Times New Roman"/>
          <w:i/>
          <w:iCs/>
          <w:noProof/>
          <w:sz w:val="20"/>
          <w:szCs w:val="20"/>
        </w:rPr>
        <w:t>Physical Chemistry,</w:t>
      </w:r>
      <w:r w:rsidRPr="00441085">
        <w:rPr>
          <w:rFonts w:ascii="Times New Roman" w:hAnsi="Times New Roman"/>
          <w:noProof/>
          <w:sz w:val="20"/>
          <w:szCs w:val="20"/>
        </w:rPr>
        <w:t xml:space="preserve"> 17: 32225-32231.</w:t>
      </w:r>
    </w:p>
    <w:p w14:paraId="7A15A59C"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Tan, W. L., Yaakob, N. N., Zainal Abidin, A., Abu Bakar, M. and Abu Bakar, N. H. H. (2016). Metal chloride induced formation of porous polyhydroxybutyrate (PHB) films: Morphology, Thermal properties and crystallinity. </w:t>
      </w:r>
      <w:r w:rsidRPr="00441085">
        <w:rPr>
          <w:rFonts w:ascii="Times New Roman" w:hAnsi="Times New Roman"/>
          <w:i/>
          <w:iCs/>
          <w:noProof/>
          <w:sz w:val="20"/>
          <w:szCs w:val="20"/>
        </w:rPr>
        <w:t>IOP Conference Series Materials Science Engineering,</w:t>
      </w:r>
      <w:r w:rsidRPr="00441085">
        <w:rPr>
          <w:rFonts w:ascii="Times New Roman" w:hAnsi="Times New Roman"/>
          <w:noProof/>
          <w:sz w:val="20"/>
          <w:szCs w:val="20"/>
        </w:rPr>
        <w:t>133: 1-11.</w:t>
      </w:r>
    </w:p>
    <w:p w14:paraId="2B7F3BB2" w14:textId="77777777" w:rsidR="009650F7"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Ma, P., Cai, X., Chen, M., Dong, W. and Lemstra, P. J. (2014). Partially bio-based thermoplastic elastomers by physical blending of poly(hydroxyalkanoate)s and poly(ethylene-co-vinyl acetate). </w:t>
      </w:r>
      <w:r w:rsidRPr="00441085">
        <w:rPr>
          <w:rFonts w:ascii="Times New Roman" w:hAnsi="Times New Roman"/>
          <w:i/>
          <w:iCs/>
          <w:noProof/>
          <w:sz w:val="20"/>
          <w:szCs w:val="20"/>
        </w:rPr>
        <w:t>Express Polymer Letter,</w:t>
      </w:r>
      <w:r w:rsidRPr="00441085">
        <w:rPr>
          <w:rFonts w:ascii="Times New Roman" w:hAnsi="Times New Roman"/>
          <w:noProof/>
          <w:sz w:val="20"/>
          <w:szCs w:val="20"/>
        </w:rPr>
        <w:t xml:space="preserve"> 8: 517-527.</w:t>
      </w:r>
    </w:p>
    <w:p w14:paraId="4B21F667" w14:textId="77777777" w:rsidR="009650F7" w:rsidRPr="00441085" w:rsidRDefault="009650F7" w:rsidP="009650F7">
      <w:pPr>
        <w:pStyle w:val="ListParagraph"/>
        <w:numPr>
          <w:ilvl w:val="0"/>
          <w:numId w:val="7"/>
        </w:numPr>
        <w:spacing w:after="0"/>
        <w:ind w:left="360"/>
        <w:contextualSpacing w:val="0"/>
        <w:jc w:val="both"/>
        <w:rPr>
          <w:rFonts w:ascii="Times New Roman" w:hAnsi="Times New Roman"/>
          <w:noProof/>
          <w:sz w:val="20"/>
          <w:szCs w:val="20"/>
        </w:rPr>
      </w:pPr>
      <w:r w:rsidRPr="00441085">
        <w:rPr>
          <w:rFonts w:ascii="Times New Roman" w:hAnsi="Times New Roman"/>
          <w:noProof/>
          <w:sz w:val="20"/>
          <w:szCs w:val="20"/>
        </w:rPr>
        <w:t xml:space="preserve">Pachekoski, W. M., Agnelli, J. A. M. and Belem, L. P. (2009). Thermal, mechanical and morphological properties of poly (hydroxybutyrate) and polypropylene blends after processing. </w:t>
      </w:r>
      <w:r w:rsidRPr="00441085">
        <w:rPr>
          <w:rFonts w:ascii="Times New Roman" w:hAnsi="Times New Roman"/>
          <w:i/>
          <w:iCs/>
          <w:noProof/>
          <w:sz w:val="20"/>
          <w:szCs w:val="20"/>
        </w:rPr>
        <w:t>Materials Resource,</w:t>
      </w:r>
      <w:r w:rsidRPr="00441085">
        <w:rPr>
          <w:rFonts w:ascii="Times New Roman" w:hAnsi="Times New Roman"/>
          <w:noProof/>
          <w:sz w:val="20"/>
          <w:szCs w:val="20"/>
        </w:rPr>
        <w:t xml:space="preserve"> 12: 159-164.</w:t>
      </w:r>
    </w:p>
    <w:p w14:paraId="1A88B3F2" w14:textId="70F6A5FB" w:rsidR="009650F7" w:rsidRDefault="009650F7" w:rsidP="009650F7">
      <w:pPr>
        <w:tabs>
          <w:tab w:val="left" w:pos="5377"/>
        </w:tabs>
        <w:spacing w:after="0"/>
        <w:rPr>
          <w:rFonts w:ascii="Times New Roman" w:hAnsi="Times New Roman"/>
          <w:noProof/>
          <w:sz w:val="20"/>
          <w:szCs w:val="20"/>
          <w:lang w:bidi="ar-SA"/>
        </w:rPr>
        <w:sectPr w:rsidR="009650F7" w:rsidSect="009650F7">
          <w:footerReference w:type="even" r:id="rId38"/>
          <w:footerReference w:type="default" r:id="rId39"/>
          <w:type w:val="continuous"/>
          <w:pgSz w:w="12240" w:h="15840" w:code="1"/>
          <w:pgMar w:top="1800" w:right="1469" w:bottom="1699" w:left="1440" w:header="706" w:footer="706" w:gutter="0"/>
          <w:pgNumType w:start="0"/>
          <w:cols w:num="2" w:space="403"/>
          <w:docGrid w:linePitch="360"/>
        </w:sectPr>
      </w:pPr>
      <w:r w:rsidRPr="00EB58B3">
        <w:rPr>
          <w:rFonts w:ascii="Times New Roman" w:eastAsia="Calibri" w:hAnsi="Times New Roman"/>
          <w:sz w:val="20"/>
          <w:szCs w:val="20"/>
          <w:lang w:eastAsia="en-MY"/>
        </w:rPr>
        <w:fldChar w:fldCharType="end"/>
      </w:r>
    </w:p>
    <w:p w14:paraId="63ACC625" w14:textId="09DA6606" w:rsidR="006768E9" w:rsidRPr="00510BA6" w:rsidRDefault="005E2F75" w:rsidP="005E2F75">
      <w:pPr>
        <w:tabs>
          <w:tab w:val="left" w:pos="5377"/>
        </w:tabs>
        <w:spacing w:after="0"/>
        <w:rPr>
          <w:rFonts w:ascii="Times New Roman" w:hAnsi="Times New Roman"/>
          <w:noProof/>
          <w:sz w:val="20"/>
          <w:szCs w:val="20"/>
          <w:lang w:bidi="ar-SA"/>
        </w:rPr>
      </w:pPr>
      <w:r>
        <w:rPr>
          <w:rFonts w:ascii="Times New Roman" w:hAnsi="Times New Roman"/>
          <w:noProof/>
          <w:sz w:val="20"/>
          <w:szCs w:val="20"/>
          <w:lang w:bidi="ar-SA"/>
        </w:rPr>
        <w:tab/>
      </w:r>
    </w:p>
    <w:p w14:paraId="64293A25" w14:textId="70638A18" w:rsidR="00A74A7E" w:rsidRPr="00510BA6" w:rsidRDefault="00A74A7E" w:rsidP="00EB58B3">
      <w:pPr>
        <w:spacing w:after="0"/>
        <w:jc w:val="both"/>
        <w:rPr>
          <w:noProof/>
          <w:szCs w:val="20"/>
          <w:lang w:bidi="ar-SA"/>
        </w:rPr>
      </w:pPr>
    </w:p>
    <w:p w14:paraId="1CA88E23" w14:textId="77777777" w:rsidR="00672075" w:rsidRPr="00510BA6" w:rsidRDefault="00672075" w:rsidP="00510BA6">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4846C8">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449D4357"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510AE">
      <w:rPr>
        <w:rFonts w:ascii="Times New Roman" w:hAnsi="Times New Roman"/>
        <w:lang w:val="en-US"/>
      </w:rPr>
      <w:t>4</w:t>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B9D7B" w14:textId="3FDDD7AE" w:rsidR="0023356E" w:rsidRDefault="0023356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510AE">
      <w:rPr>
        <w:rFonts w:ascii="Times New Roman" w:hAnsi="Times New Roman"/>
        <w:lang w:val="en-US"/>
      </w:rPr>
      <w:t>4</w:t>
    </w:r>
    <w:r>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0FB3" w14:textId="3CA7F458" w:rsidR="0023356E" w:rsidRPr="004B43FF" w:rsidRDefault="001510AE">
    <w:pPr>
      <w:pStyle w:val="Footer"/>
      <w:rPr>
        <w:rFonts w:ascii="Times New Roman" w:hAnsi="Times New Roman"/>
        <w:lang w:val="en-US"/>
      </w:rPr>
    </w:pPr>
    <w:r>
      <w:rPr>
        <w:rFonts w:ascii="Times New Roman" w:hAnsi="Times New Roman"/>
        <w:noProof/>
        <w:lang w:val="en-US"/>
      </w:rPr>
      <w:t>4</w:t>
    </w:r>
    <w:r w:rsidR="0023356E">
      <w:rPr>
        <w:rFonts w:ascii="Times New Roman" w:hAnsi="Times New Roman"/>
        <w:noProof/>
        <w:lang w:val="en-US"/>
      </w:rPr>
      <w:t>9</w:t>
    </w:r>
    <w:r w:rsidR="0023356E" w:rsidRPr="0069547D">
      <w:rPr>
        <w:rFonts w:ascii="Times New Roman" w:hAnsi="Times New Roman"/>
        <w:noProof/>
        <w:lang w:val="en-US"/>
      </w:rPr>
      <w:ptab w:relativeTo="margin" w:alignment="center" w:leader="none"/>
    </w:r>
    <w:r w:rsidR="0023356E"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8D20E" w14:textId="7C10AED5" w:rsidR="0023356E" w:rsidRDefault="0023356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510AE">
      <w:rPr>
        <w:rFonts w:ascii="Times New Roman" w:hAnsi="Times New Roman"/>
        <w:lang w:val="en-US"/>
      </w:rPr>
      <w:t>5</w:t>
    </w:r>
    <w:r>
      <w:rPr>
        <w:rFonts w:ascii="Times New Roman" w:hAnsi="Times New Roman"/>
        <w:lang w:val="en-US"/>
      </w:rPr>
      <w:t>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EB1D8" w14:textId="257C62C9" w:rsidR="0023356E" w:rsidRDefault="0023356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510AE">
      <w:rPr>
        <w:rFonts w:ascii="Times New Roman" w:hAnsi="Times New Roman"/>
        <w:lang w:val="en-US"/>
      </w:rPr>
      <w:t>5</w:t>
    </w:r>
    <w:r>
      <w:rPr>
        <w:rFonts w:ascii="Times New Roman" w:hAnsi="Times New Roman"/>
        <w:lang w:val="en-US"/>
      </w:rPr>
      <w:t>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9F18C" w14:textId="31A2DA57" w:rsidR="0023356E" w:rsidRPr="004B43FF" w:rsidRDefault="001510AE">
    <w:pPr>
      <w:pStyle w:val="Footer"/>
      <w:rPr>
        <w:rFonts w:ascii="Times New Roman" w:hAnsi="Times New Roman"/>
        <w:lang w:val="en-US"/>
      </w:rPr>
    </w:pPr>
    <w:r>
      <w:rPr>
        <w:rFonts w:ascii="Times New Roman" w:hAnsi="Times New Roman"/>
        <w:noProof/>
        <w:lang w:val="en-US"/>
      </w:rPr>
      <w:t>5</w:t>
    </w:r>
    <w:r w:rsidR="0023356E">
      <w:rPr>
        <w:rFonts w:ascii="Times New Roman" w:hAnsi="Times New Roman"/>
        <w:noProof/>
        <w:lang w:val="en-US"/>
      </w:rPr>
      <w:t>1</w:t>
    </w:r>
    <w:r w:rsidR="0023356E" w:rsidRPr="0069547D">
      <w:rPr>
        <w:rFonts w:ascii="Times New Roman" w:hAnsi="Times New Roman"/>
        <w:noProof/>
        <w:lang w:val="en-US"/>
      </w:rPr>
      <w:ptab w:relativeTo="margin" w:alignment="center" w:leader="none"/>
    </w:r>
    <w:r w:rsidR="0023356E"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6799" w14:textId="5127CFB7" w:rsidR="0076778D" w:rsidRPr="004B43FF" w:rsidRDefault="001510AE">
    <w:pPr>
      <w:pStyle w:val="Footer"/>
      <w:rPr>
        <w:rFonts w:ascii="Times New Roman" w:hAnsi="Times New Roman"/>
        <w:lang w:val="en-US"/>
      </w:rPr>
    </w:pPr>
    <w:r>
      <w:rPr>
        <w:rFonts w:ascii="Times New Roman" w:hAnsi="Times New Roman"/>
        <w:noProof/>
        <w:lang w:val="en-US"/>
      </w:rPr>
      <w:t>4</w:t>
    </w:r>
    <w:r w:rsidR="0076778D">
      <w:rPr>
        <w:rFonts w:ascii="Times New Roman" w:hAnsi="Times New Roman"/>
        <w:noProof/>
        <w:lang w:val="en-US"/>
      </w:rPr>
      <w:t>1</w:t>
    </w:r>
    <w:r w:rsidR="0076778D" w:rsidRPr="0069547D">
      <w:rPr>
        <w:rFonts w:ascii="Times New Roman" w:hAnsi="Times New Roman"/>
        <w:noProof/>
        <w:lang w:val="en-US"/>
      </w:rPr>
      <w:ptab w:relativeTo="margin" w:alignment="center" w:leader="none"/>
    </w:r>
    <w:r w:rsidR="0076778D" w:rsidRPr="0069547D">
      <w:rPr>
        <w:rFonts w:ascii="Times New Roman" w:hAnsi="Times New Roman"/>
        <w:noProof/>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10890" w14:textId="7F587F16" w:rsidR="0076778D" w:rsidRDefault="0076778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510AE">
      <w:rPr>
        <w:rFonts w:ascii="Times New Roman" w:hAnsi="Times New Roman"/>
        <w:lang w:val="en-US"/>
      </w:rPr>
      <w:t>4</w:t>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91B79" w14:textId="01106682" w:rsidR="0076778D" w:rsidRPr="004B43FF" w:rsidRDefault="001510AE">
    <w:pPr>
      <w:pStyle w:val="Footer"/>
      <w:rPr>
        <w:rFonts w:ascii="Times New Roman" w:hAnsi="Times New Roman"/>
        <w:lang w:val="en-US"/>
      </w:rPr>
    </w:pPr>
    <w:r>
      <w:rPr>
        <w:rFonts w:ascii="Times New Roman" w:hAnsi="Times New Roman"/>
        <w:noProof/>
        <w:lang w:val="en-US"/>
      </w:rPr>
      <w:t>4</w:t>
    </w:r>
    <w:r w:rsidR="0076778D">
      <w:rPr>
        <w:rFonts w:ascii="Times New Roman" w:hAnsi="Times New Roman"/>
        <w:noProof/>
        <w:lang w:val="en-US"/>
      </w:rPr>
      <w:t>3</w:t>
    </w:r>
    <w:r w:rsidR="0076778D" w:rsidRPr="0069547D">
      <w:rPr>
        <w:rFonts w:ascii="Times New Roman" w:hAnsi="Times New Roman"/>
        <w:noProof/>
        <w:lang w:val="en-US"/>
      </w:rPr>
      <w:ptab w:relativeTo="margin" w:alignment="center" w:leader="none"/>
    </w:r>
    <w:r w:rsidR="0076778D"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A027E" w14:textId="6D3931E9" w:rsidR="0076778D" w:rsidRDefault="0076778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510AE">
      <w:rPr>
        <w:rFonts w:ascii="Times New Roman" w:hAnsi="Times New Roman"/>
        <w:lang w:val="en-US"/>
      </w:rPr>
      <w:t>4</w:t>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C3183" w14:textId="2046957D" w:rsidR="0076778D" w:rsidRDefault="0076778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510AE">
      <w:rPr>
        <w:rFonts w:ascii="Times New Roman" w:hAnsi="Times New Roman"/>
        <w:lang w:val="en-US"/>
      </w:rPr>
      <w:t>4</w:t>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57A25" w14:textId="463CA9B0" w:rsidR="0076778D" w:rsidRPr="004B43FF" w:rsidRDefault="001510AE">
    <w:pPr>
      <w:pStyle w:val="Footer"/>
      <w:rPr>
        <w:rFonts w:ascii="Times New Roman" w:hAnsi="Times New Roman"/>
        <w:lang w:val="en-US"/>
      </w:rPr>
    </w:pPr>
    <w:r>
      <w:rPr>
        <w:rFonts w:ascii="Times New Roman" w:hAnsi="Times New Roman"/>
        <w:noProof/>
        <w:lang w:val="en-US"/>
      </w:rPr>
      <w:t>4</w:t>
    </w:r>
    <w:r w:rsidR="0076778D">
      <w:rPr>
        <w:rFonts w:ascii="Times New Roman" w:hAnsi="Times New Roman"/>
        <w:noProof/>
        <w:lang w:val="en-US"/>
      </w:rPr>
      <w:t>5</w:t>
    </w:r>
    <w:r w:rsidR="0076778D" w:rsidRPr="0069547D">
      <w:rPr>
        <w:rFonts w:ascii="Times New Roman" w:hAnsi="Times New Roman"/>
        <w:noProof/>
        <w:lang w:val="en-US"/>
      </w:rPr>
      <w:ptab w:relativeTo="margin" w:alignment="center" w:leader="none"/>
    </w:r>
    <w:r w:rsidR="0076778D"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F986D" w14:textId="4EE19A00" w:rsidR="0023356E" w:rsidRPr="004B43FF" w:rsidRDefault="001510AE">
    <w:pPr>
      <w:pStyle w:val="Footer"/>
      <w:rPr>
        <w:rFonts w:ascii="Times New Roman" w:hAnsi="Times New Roman"/>
        <w:lang w:val="en-US"/>
      </w:rPr>
    </w:pPr>
    <w:r>
      <w:rPr>
        <w:rFonts w:ascii="Times New Roman" w:hAnsi="Times New Roman"/>
        <w:noProof/>
        <w:lang w:val="en-US"/>
      </w:rPr>
      <w:t>4</w:t>
    </w:r>
    <w:r w:rsidR="0023356E">
      <w:rPr>
        <w:rFonts w:ascii="Times New Roman" w:hAnsi="Times New Roman"/>
        <w:noProof/>
        <w:lang w:val="en-US"/>
      </w:rPr>
      <w:t>7</w:t>
    </w:r>
    <w:r w:rsidR="0023356E" w:rsidRPr="0069547D">
      <w:rPr>
        <w:rFonts w:ascii="Times New Roman" w:hAnsi="Times New Roman"/>
        <w:noProof/>
        <w:lang w:val="en-US"/>
      </w:rPr>
      <w:ptab w:relativeTo="margin" w:alignment="center" w:leader="none"/>
    </w:r>
    <w:r w:rsidR="0023356E"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65586B6"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E17493">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1510AE">
      <w:rPr>
        <w:rFonts w:ascii="Times New Roman" w:hAnsi="Times New Roman"/>
        <w:i/>
        <w:lang w:val="en-US"/>
      </w:rPr>
      <w:t>40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1510AE">
      <w:rPr>
        <w:rFonts w:ascii="Times New Roman" w:hAnsi="Times New Roman"/>
        <w:i/>
        <w:lang w:val="en-US"/>
      </w:rPr>
      <w:t>52</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6F959" w14:textId="07FDC828" w:rsidR="008E67A5" w:rsidRPr="008E67A5" w:rsidRDefault="008E6968" w:rsidP="008E67A5">
    <w:pPr>
      <w:spacing w:after="0"/>
      <w:ind w:left="1260" w:hanging="1260"/>
      <w:rPr>
        <w:rFonts w:ascii="Times New Roman" w:eastAsia="Calibri" w:hAnsi="Times New Roman"/>
        <w:sz w:val="20"/>
        <w:szCs w:val="20"/>
        <w:lang w:eastAsia="en-MY"/>
      </w:rPr>
    </w:pPr>
    <w:r w:rsidRPr="008E67A5">
      <w:rPr>
        <w:rFonts w:ascii="Times New Roman" w:hAnsi="Times New Roman"/>
        <w:sz w:val="20"/>
        <w:szCs w:val="20"/>
      </w:rPr>
      <w:t>A</w:t>
    </w:r>
    <w:r w:rsidR="008E67A5" w:rsidRPr="008E67A5">
      <w:rPr>
        <w:rFonts w:ascii="Times New Roman" w:hAnsi="Times New Roman"/>
        <w:sz w:val="20"/>
        <w:szCs w:val="20"/>
      </w:rPr>
      <w:t>smaa’ et al</w:t>
    </w:r>
    <w:r w:rsidRPr="008E67A5">
      <w:rPr>
        <w:rFonts w:ascii="Times New Roman" w:hAnsi="Times New Roman"/>
        <w:sz w:val="20"/>
        <w:szCs w:val="20"/>
      </w:rPr>
      <w:t xml:space="preserve">:  </w:t>
    </w:r>
    <w:r w:rsidR="002752F0" w:rsidRPr="008E67A5">
      <w:rPr>
        <w:rFonts w:ascii="Times New Roman" w:hAnsi="Times New Roman"/>
        <w:sz w:val="20"/>
        <w:szCs w:val="20"/>
      </w:rPr>
      <w:t xml:space="preserve"> </w:t>
    </w:r>
    <w:r w:rsidR="008E67A5">
      <w:rPr>
        <w:rFonts w:ascii="Times New Roman" w:hAnsi="Times New Roman"/>
        <w:sz w:val="20"/>
        <w:szCs w:val="20"/>
      </w:rPr>
      <w:tab/>
    </w:r>
    <w:r w:rsidR="008E67A5" w:rsidRPr="008E67A5">
      <w:rPr>
        <w:rFonts w:ascii="Times New Roman" w:eastAsia="Calibri" w:hAnsi="Times New Roman"/>
        <w:sz w:val="20"/>
        <w:szCs w:val="20"/>
        <w:lang w:eastAsia="en-MY"/>
      </w:rPr>
      <w:t>STUDIES ON THE PROPERTIES OF NATURAL RUBBER/POLY-3-HYDROXYBUTYRATE BLENDS PREPARED BY SOLVENT CASTING</w:t>
    </w:r>
  </w:p>
  <w:p w14:paraId="652E6EB3" w14:textId="5EE8CCF5"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2726A"/>
    <w:multiLevelType w:val="hybridMultilevel"/>
    <w:tmpl w:val="28B0421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7A25A1F"/>
    <w:multiLevelType w:val="multilevel"/>
    <w:tmpl w:val="51CED2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A0418FF"/>
    <w:multiLevelType w:val="hybridMultilevel"/>
    <w:tmpl w:val="3CE8F7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A715F36"/>
    <w:multiLevelType w:val="multilevel"/>
    <w:tmpl w:val="CC0A5778"/>
    <w:lvl w:ilvl="0">
      <w:start w:val="1"/>
      <w:numFmt w:val="decimal"/>
      <w:lvlText w:val="(%1)"/>
      <w:lvlJc w:val="right"/>
      <w:pPr>
        <w:ind w:left="720" w:hanging="153"/>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71423DFD"/>
    <w:multiLevelType w:val="hybridMultilevel"/>
    <w:tmpl w:val="B9F44F0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23B095B"/>
    <w:multiLevelType w:val="hybridMultilevel"/>
    <w:tmpl w:val="4D26FD3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733D1"/>
    <w:rsid w:val="00084936"/>
    <w:rsid w:val="000944A8"/>
    <w:rsid w:val="000C49FF"/>
    <w:rsid w:val="000C5261"/>
    <w:rsid w:val="000D0631"/>
    <w:rsid w:val="000E5AF1"/>
    <w:rsid w:val="000F77DA"/>
    <w:rsid w:val="001068E8"/>
    <w:rsid w:val="00117BCD"/>
    <w:rsid w:val="001510AE"/>
    <w:rsid w:val="001D035A"/>
    <w:rsid w:val="001D3855"/>
    <w:rsid w:val="001D6F2C"/>
    <w:rsid w:val="001F72B9"/>
    <w:rsid w:val="002004F5"/>
    <w:rsid w:val="002178C3"/>
    <w:rsid w:val="00221D39"/>
    <w:rsid w:val="0023356E"/>
    <w:rsid w:val="002752F0"/>
    <w:rsid w:val="002867F0"/>
    <w:rsid w:val="0029079C"/>
    <w:rsid w:val="002A5FF1"/>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41085"/>
    <w:rsid w:val="004760D4"/>
    <w:rsid w:val="004846C8"/>
    <w:rsid w:val="00494C46"/>
    <w:rsid w:val="004A12DD"/>
    <w:rsid w:val="004B43FF"/>
    <w:rsid w:val="00502641"/>
    <w:rsid w:val="00510BA6"/>
    <w:rsid w:val="00534441"/>
    <w:rsid w:val="00545363"/>
    <w:rsid w:val="00567D9E"/>
    <w:rsid w:val="00583C85"/>
    <w:rsid w:val="00584156"/>
    <w:rsid w:val="005C6768"/>
    <w:rsid w:val="005E2F75"/>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6778D"/>
    <w:rsid w:val="007703FE"/>
    <w:rsid w:val="00782C8C"/>
    <w:rsid w:val="007859BE"/>
    <w:rsid w:val="007943F3"/>
    <w:rsid w:val="007A738C"/>
    <w:rsid w:val="007B1349"/>
    <w:rsid w:val="007E25BD"/>
    <w:rsid w:val="007F4ECC"/>
    <w:rsid w:val="00801E18"/>
    <w:rsid w:val="00802C35"/>
    <w:rsid w:val="0082181A"/>
    <w:rsid w:val="0086622B"/>
    <w:rsid w:val="008B02C7"/>
    <w:rsid w:val="008B25B1"/>
    <w:rsid w:val="008B470E"/>
    <w:rsid w:val="008C14D6"/>
    <w:rsid w:val="008E1211"/>
    <w:rsid w:val="008E5BBF"/>
    <w:rsid w:val="008E67A5"/>
    <w:rsid w:val="008E6968"/>
    <w:rsid w:val="008F2DC2"/>
    <w:rsid w:val="009110FB"/>
    <w:rsid w:val="00917637"/>
    <w:rsid w:val="009650F7"/>
    <w:rsid w:val="00992776"/>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66197"/>
    <w:rsid w:val="00EB58B3"/>
    <w:rsid w:val="00EB5BA5"/>
    <w:rsid w:val="00EF4195"/>
    <w:rsid w:val="00F202C3"/>
    <w:rsid w:val="00F23D94"/>
    <w:rsid w:val="00F31093"/>
    <w:rsid w:val="00F412AF"/>
    <w:rsid w:val="00F424CE"/>
    <w:rsid w:val="00F43667"/>
    <w:rsid w:val="00F447A7"/>
    <w:rsid w:val="00F467A2"/>
    <w:rsid w:val="00F567E6"/>
    <w:rsid w:val="00F8651C"/>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15">
    <w:name w:val="15"/>
    <w:basedOn w:val="DefaultParagraphFont"/>
    <w:rsid w:val="002178C3"/>
    <w:rPr>
      <w:rFonts w:ascii="Calibri" w:hAnsi="Calibri" w:cs="Calibri" w:hint="default"/>
      <w:color w:val="0000FF"/>
      <w:u w:val="single"/>
    </w:rPr>
  </w:style>
  <w:style w:type="character" w:styleId="Hyperlink">
    <w:name w:val="Hyperlink"/>
    <w:basedOn w:val="DefaultParagraphFont"/>
    <w:uiPriority w:val="99"/>
    <w:unhideWhenUsed/>
    <w:rsid w:val="002178C3"/>
    <w:rPr>
      <w:color w:val="0000FF" w:themeColor="hyperlink"/>
      <w:u w:val="single"/>
    </w:rPr>
  </w:style>
  <w:style w:type="character" w:customStyle="1" w:styleId="UnresolvedMention1">
    <w:name w:val="Unresolved Mention1"/>
    <w:basedOn w:val="DefaultParagraphFont"/>
    <w:uiPriority w:val="99"/>
    <w:semiHidden/>
    <w:unhideWhenUsed/>
    <w:rsid w:val="002178C3"/>
    <w:rPr>
      <w:color w:val="605E5C"/>
      <w:shd w:val="clear" w:color="auto" w:fill="E1DFDD"/>
    </w:rPr>
  </w:style>
  <w:style w:type="table" w:styleId="TableGrid">
    <w:name w:val="Table Grid"/>
    <w:basedOn w:val="TableNormal"/>
    <w:uiPriority w:val="99"/>
    <w:rsid w:val="002178C3"/>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178C3"/>
    <w:pPr>
      <w:spacing w:after="0" w:line="240" w:lineRule="auto"/>
    </w:pPr>
    <w:rPr>
      <w:rFonts w:asciiTheme="minorHAnsi" w:eastAsiaTheme="minorHAnsi" w:hAnsiTheme="minorHAnsi" w:cstheme="minorBidi"/>
      <w:sz w:val="20"/>
      <w:szCs w:val="20"/>
      <w:lang w:val="en-MY" w:bidi="ar-SA"/>
    </w:rPr>
  </w:style>
  <w:style w:type="character" w:customStyle="1" w:styleId="FootnoteTextChar">
    <w:name w:val="Footnote Text Char"/>
    <w:basedOn w:val="DefaultParagraphFont"/>
    <w:link w:val="FootnoteText"/>
    <w:uiPriority w:val="99"/>
    <w:semiHidden/>
    <w:rsid w:val="002178C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2178C3"/>
    <w:rPr>
      <w:vertAlign w:val="superscript"/>
    </w:rPr>
  </w:style>
  <w:style w:type="paragraph" w:styleId="EndnoteText">
    <w:name w:val="endnote text"/>
    <w:basedOn w:val="Normal"/>
    <w:link w:val="EndnoteTextChar"/>
    <w:uiPriority w:val="99"/>
    <w:semiHidden/>
    <w:unhideWhenUsed/>
    <w:rsid w:val="002178C3"/>
    <w:pPr>
      <w:spacing w:after="0" w:line="240" w:lineRule="auto"/>
    </w:pPr>
    <w:rPr>
      <w:rFonts w:asciiTheme="minorHAnsi" w:eastAsiaTheme="minorHAnsi" w:hAnsiTheme="minorHAnsi" w:cstheme="minorBidi"/>
      <w:sz w:val="20"/>
      <w:szCs w:val="20"/>
      <w:lang w:val="en-MY" w:bidi="ar-SA"/>
    </w:rPr>
  </w:style>
  <w:style w:type="character" w:customStyle="1" w:styleId="EndnoteTextChar">
    <w:name w:val="Endnote Text Char"/>
    <w:basedOn w:val="DefaultParagraphFont"/>
    <w:link w:val="EndnoteText"/>
    <w:uiPriority w:val="99"/>
    <w:semiHidden/>
    <w:rsid w:val="002178C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2178C3"/>
    <w:rPr>
      <w:vertAlign w:val="superscript"/>
    </w:rPr>
  </w:style>
  <w:style w:type="paragraph" w:styleId="NormalWeb">
    <w:name w:val="Normal (Web)"/>
    <w:basedOn w:val="Normal"/>
    <w:uiPriority w:val="99"/>
    <w:unhideWhenUsed/>
    <w:rsid w:val="002178C3"/>
    <w:pPr>
      <w:spacing w:after="160" w:line="259" w:lineRule="auto"/>
    </w:pPr>
    <w:rPr>
      <w:rFonts w:ascii="Times New Roman" w:eastAsiaTheme="minorHAnsi" w:hAnsi="Times New Roman"/>
      <w:sz w:val="24"/>
      <w:szCs w:val="24"/>
      <w:lang w:val="en-MY"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oleObject" Target="embeddings/oleObject1.bin"/><Relationship Id="rId34"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5.emf"/><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9.jpeg"/><Relationship Id="rId37" Type="http://schemas.openxmlformats.org/officeDocument/2006/relationships/footer" Target="footer1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2.bin"/><Relationship Id="rId28" Type="http://schemas.openxmlformats.org/officeDocument/2006/relationships/footer" Target="footer11.xml"/><Relationship Id="rId36"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emf"/><Relationship Id="rId27" Type="http://schemas.openxmlformats.org/officeDocument/2006/relationships/footer" Target="footer10.xml"/><Relationship Id="rId30" Type="http://schemas.openxmlformats.org/officeDocument/2006/relationships/oleObject" Target="embeddings/oleObject3.bin"/><Relationship Id="rId35" Type="http://schemas.openxmlformats.org/officeDocument/2006/relationships/image" Target="media/image1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8.xml"/><Relationship Id="rId33" Type="http://schemas.openxmlformats.org/officeDocument/2006/relationships/image" Target="media/image10.jpeg"/><Relationship Id="rId38"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18550</Words>
  <Characters>105735</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124037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5</cp:revision>
  <dcterms:created xsi:type="dcterms:W3CDTF">2021-01-19T06:57:00Z</dcterms:created>
  <dcterms:modified xsi:type="dcterms:W3CDTF">2021-01-31T15:56:00Z</dcterms:modified>
</cp:coreProperties>
</file>