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237E7175"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EB2EED">
        <w:rPr>
          <w:rFonts w:ascii="Times New Roman" w:hAnsi="Times New Roman" w:cs="Times New Roman"/>
          <w:b/>
          <w:i/>
          <w:sz w:val="24"/>
          <w:szCs w:val="24"/>
        </w:rPr>
        <w:t>893</w:t>
      </w:r>
      <w:r w:rsidR="003A1F80" w:rsidRPr="006E79D9">
        <w:rPr>
          <w:rFonts w:ascii="Times New Roman" w:hAnsi="Times New Roman" w:cs="Times New Roman"/>
          <w:b/>
          <w:i/>
          <w:sz w:val="24"/>
          <w:szCs w:val="24"/>
        </w:rPr>
        <w:t xml:space="preserve"> - </w:t>
      </w:r>
      <w:r w:rsidR="00EB2EED">
        <w:rPr>
          <w:rFonts w:ascii="Times New Roman" w:hAnsi="Times New Roman" w:cs="Times New Roman"/>
          <w:b/>
          <w:i/>
          <w:sz w:val="24"/>
          <w:szCs w:val="24"/>
        </w:rPr>
        <w:t>905</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3D30AFFC" w14:textId="77777777" w:rsidR="00EB2EED" w:rsidRPr="00F23647" w:rsidRDefault="00EB2EED" w:rsidP="00EB2EED">
      <w:pPr>
        <w:spacing w:after="0"/>
        <w:jc w:val="center"/>
        <w:rPr>
          <w:rFonts w:ascii="Times New Roman" w:hAnsi="Times New Roman"/>
          <w:bCs/>
          <w:sz w:val="28"/>
          <w:szCs w:val="28"/>
        </w:rPr>
      </w:pPr>
      <w:r w:rsidRPr="00F23647">
        <w:rPr>
          <w:rFonts w:ascii="Times New Roman" w:hAnsi="Times New Roman"/>
          <w:bCs/>
          <w:sz w:val="28"/>
          <w:szCs w:val="28"/>
        </w:rPr>
        <w:t>DEVELOPMENT OF DISPERSIVE MICRO-SOLID PHASE EXTRACTION FOR THE ANALYSIS OF OFLOXACIN AND SPARFLOXACIN IN HUMAN PLASMA</w:t>
      </w:r>
    </w:p>
    <w:p w14:paraId="0FDC3E8D" w14:textId="77777777" w:rsidR="00EB2EED" w:rsidRPr="00F23647" w:rsidRDefault="00EB2EED" w:rsidP="00EB2EED">
      <w:pPr>
        <w:spacing w:after="0"/>
        <w:jc w:val="center"/>
        <w:outlineLvl w:val="0"/>
        <w:rPr>
          <w:rFonts w:ascii="Times New Roman" w:hAnsi="Times New Roman"/>
          <w:bCs/>
          <w:sz w:val="24"/>
        </w:rPr>
      </w:pPr>
    </w:p>
    <w:p w14:paraId="0F585F33" w14:textId="77777777" w:rsidR="00EB2EED" w:rsidRPr="00F23647" w:rsidRDefault="00EB2EED" w:rsidP="00EB2EED">
      <w:pPr>
        <w:spacing w:after="0"/>
        <w:jc w:val="center"/>
        <w:outlineLvl w:val="0"/>
        <w:rPr>
          <w:rFonts w:ascii="Times New Roman" w:hAnsi="Times New Roman"/>
          <w:bCs/>
          <w:sz w:val="24"/>
          <w:szCs w:val="24"/>
          <w:lang w:val="ms-MY"/>
        </w:rPr>
      </w:pPr>
      <w:r w:rsidRPr="00F23647">
        <w:rPr>
          <w:rFonts w:ascii="Times New Roman" w:hAnsi="Times New Roman"/>
          <w:bCs/>
          <w:sz w:val="24"/>
          <w:szCs w:val="24"/>
        </w:rPr>
        <w:t xml:space="preserve">(Pembangunan </w:t>
      </w:r>
      <w:r w:rsidRPr="00F23647">
        <w:rPr>
          <w:rFonts w:ascii="Times New Roman" w:hAnsi="Times New Roman"/>
          <w:bCs/>
          <w:sz w:val="24"/>
          <w:szCs w:val="24"/>
          <w:lang w:val="ms-MY"/>
        </w:rPr>
        <w:t xml:space="preserve">Pengekstrakan Fasa Pepejal-Mikro Disesarkan untuk Analisis Oflosaksin </w:t>
      </w:r>
    </w:p>
    <w:p w14:paraId="4C48CEF0" w14:textId="77777777" w:rsidR="00EB2EED" w:rsidRPr="00F23647" w:rsidRDefault="00EB2EED" w:rsidP="00EB2EED">
      <w:pPr>
        <w:spacing w:after="0"/>
        <w:jc w:val="center"/>
        <w:outlineLvl w:val="0"/>
        <w:rPr>
          <w:rFonts w:ascii="Times New Roman" w:hAnsi="Times New Roman"/>
          <w:bCs/>
          <w:sz w:val="24"/>
          <w:szCs w:val="24"/>
          <w:lang w:val="ms-MY"/>
        </w:rPr>
      </w:pPr>
      <w:r w:rsidRPr="00F23647">
        <w:rPr>
          <w:rFonts w:ascii="Times New Roman" w:hAnsi="Times New Roman"/>
          <w:bCs/>
          <w:sz w:val="24"/>
          <w:szCs w:val="24"/>
          <w:lang w:val="ms-MY"/>
        </w:rPr>
        <w:t>dan Sparflosaksin dalam Plasma Manusia)</w:t>
      </w:r>
    </w:p>
    <w:p w14:paraId="2037BBDC" w14:textId="77777777" w:rsidR="00EB2EED" w:rsidRPr="00F23647" w:rsidRDefault="00EB2EED" w:rsidP="00EB2EED">
      <w:pPr>
        <w:spacing w:after="0"/>
        <w:jc w:val="center"/>
        <w:outlineLvl w:val="0"/>
        <w:rPr>
          <w:rFonts w:ascii="Times New Roman" w:hAnsi="Times New Roman"/>
          <w:b/>
          <w:sz w:val="20"/>
          <w:szCs w:val="20"/>
          <w:lang w:val="en-MY"/>
        </w:rPr>
      </w:pPr>
    </w:p>
    <w:p w14:paraId="152EA544" w14:textId="77777777" w:rsidR="00EB2EED" w:rsidRDefault="00EB2EED" w:rsidP="00EB2EED">
      <w:pPr>
        <w:spacing w:after="0"/>
        <w:jc w:val="center"/>
        <w:rPr>
          <w:rFonts w:ascii="Times New Roman" w:hAnsi="Times New Roman"/>
          <w:bCs/>
          <w:sz w:val="20"/>
          <w:szCs w:val="20"/>
          <w:lang w:val="ms-MY"/>
        </w:rPr>
      </w:pPr>
      <w:r w:rsidRPr="00F23647">
        <w:rPr>
          <w:rFonts w:ascii="Times New Roman" w:hAnsi="Times New Roman"/>
          <w:bCs/>
          <w:sz w:val="20"/>
          <w:szCs w:val="20"/>
          <w:lang w:val="ms-MY"/>
        </w:rPr>
        <w:t>Sohaib Jumaah Owaid</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 Noorfatimah Yahaya</w:t>
      </w:r>
      <w:r w:rsidRPr="00F23647">
        <w:rPr>
          <w:rFonts w:ascii="Times New Roman" w:hAnsi="Times New Roman"/>
          <w:bCs/>
          <w:sz w:val="20"/>
          <w:szCs w:val="20"/>
          <w:vertAlign w:val="superscript"/>
          <w:lang w:val="ms-MY"/>
        </w:rPr>
        <w:t>2</w:t>
      </w:r>
      <w:r w:rsidRPr="00F23647">
        <w:rPr>
          <w:rFonts w:ascii="Times New Roman" w:hAnsi="Times New Roman"/>
          <w:bCs/>
          <w:sz w:val="20"/>
          <w:szCs w:val="20"/>
          <w:lang w:val="ms-MY"/>
        </w:rPr>
        <w:t>, Nurul Yani Rahim</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 Rania Adam Edrees Mohammad</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 xml:space="preserve">, </w:t>
      </w:r>
    </w:p>
    <w:p w14:paraId="3986D9FA" w14:textId="77777777" w:rsidR="00EB2EED" w:rsidRPr="00F23647" w:rsidRDefault="00EB2EED" w:rsidP="00EB2EED">
      <w:pPr>
        <w:spacing w:after="0"/>
        <w:jc w:val="center"/>
        <w:rPr>
          <w:rFonts w:ascii="Times New Roman" w:hAnsi="Times New Roman"/>
          <w:bCs/>
          <w:sz w:val="20"/>
          <w:szCs w:val="20"/>
          <w:lang w:val="ms-MY"/>
        </w:rPr>
      </w:pPr>
      <w:r w:rsidRPr="00F23647">
        <w:rPr>
          <w:rFonts w:ascii="Times New Roman" w:hAnsi="Times New Roman"/>
          <w:bCs/>
          <w:sz w:val="20"/>
          <w:szCs w:val="20"/>
          <w:lang w:val="ms-MY"/>
        </w:rPr>
        <w:t>Maizatul Najwa Jajuli</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 Mazidatulakmam Miskam</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w:t>
      </w:r>
    </w:p>
    <w:p w14:paraId="05650F1C" w14:textId="77777777" w:rsidR="00EB2EED" w:rsidRPr="00EB2EED" w:rsidRDefault="00EB2EED" w:rsidP="00EB2EED">
      <w:pPr>
        <w:spacing w:after="0"/>
        <w:jc w:val="center"/>
        <w:outlineLvl w:val="0"/>
        <w:rPr>
          <w:rFonts w:ascii="Times New Roman" w:hAnsi="Times New Roman"/>
          <w:b/>
          <w:sz w:val="20"/>
          <w:szCs w:val="20"/>
        </w:rPr>
      </w:pPr>
    </w:p>
    <w:p w14:paraId="11015CFF" w14:textId="21F6D35D" w:rsidR="00EB2EED" w:rsidRDefault="00EB2EED" w:rsidP="00EB2EED">
      <w:pPr>
        <w:spacing w:after="0"/>
        <w:jc w:val="center"/>
        <w:rPr>
          <w:rFonts w:ascii="Times New Roman" w:hAnsi="Times New Roman"/>
          <w:bCs/>
          <w:i/>
          <w:iCs/>
          <w:sz w:val="20"/>
          <w:szCs w:val="20"/>
        </w:rPr>
      </w:pPr>
      <w:r w:rsidRPr="00EB2EED">
        <w:rPr>
          <w:rFonts w:ascii="Times New Roman" w:hAnsi="Times New Roman"/>
          <w:bCs/>
          <w:i/>
          <w:iCs/>
          <w:sz w:val="20"/>
          <w:szCs w:val="20"/>
          <w:vertAlign w:val="superscript"/>
        </w:rPr>
        <w:t>1</w:t>
      </w:r>
      <w:r w:rsidRPr="00EB2EED">
        <w:rPr>
          <w:rFonts w:ascii="Times New Roman" w:hAnsi="Times New Roman"/>
          <w:bCs/>
          <w:i/>
          <w:iCs/>
          <w:sz w:val="20"/>
          <w:szCs w:val="20"/>
        </w:rPr>
        <w:t>School of Chemical Sciences</w:t>
      </w:r>
      <w:r w:rsidR="00C437AB">
        <w:rPr>
          <w:rFonts w:ascii="Times New Roman" w:hAnsi="Times New Roman"/>
          <w:bCs/>
          <w:i/>
          <w:iCs/>
          <w:sz w:val="20"/>
          <w:szCs w:val="20"/>
        </w:rPr>
        <w:t>,</w:t>
      </w:r>
    </w:p>
    <w:p w14:paraId="15174EFC" w14:textId="269EA9D4" w:rsidR="00C437AB" w:rsidRPr="00EB2EED" w:rsidRDefault="00C437AB" w:rsidP="00C437AB">
      <w:pPr>
        <w:spacing w:after="0"/>
        <w:jc w:val="center"/>
        <w:rPr>
          <w:rFonts w:ascii="Times New Roman" w:hAnsi="Times New Roman"/>
          <w:bCs/>
          <w:i/>
          <w:iCs/>
          <w:sz w:val="20"/>
          <w:szCs w:val="20"/>
        </w:rPr>
      </w:pPr>
      <w:r w:rsidRPr="00EB2EED">
        <w:rPr>
          <w:rFonts w:ascii="Times New Roman" w:hAnsi="Times New Roman"/>
          <w:bCs/>
          <w:i/>
          <w:iCs/>
          <w:sz w:val="20"/>
          <w:szCs w:val="20"/>
        </w:rPr>
        <w:t>Universiti Sains Malaysia, 1</w:t>
      </w:r>
      <w:r>
        <w:rPr>
          <w:rFonts w:ascii="Times New Roman" w:hAnsi="Times New Roman"/>
          <w:bCs/>
          <w:i/>
          <w:iCs/>
          <w:sz w:val="20"/>
          <w:szCs w:val="20"/>
        </w:rPr>
        <w:t>19</w:t>
      </w:r>
      <w:r w:rsidRPr="00EB2EED">
        <w:rPr>
          <w:rFonts w:ascii="Times New Roman" w:hAnsi="Times New Roman"/>
          <w:bCs/>
          <w:i/>
          <w:iCs/>
          <w:sz w:val="20"/>
          <w:szCs w:val="20"/>
        </w:rPr>
        <w:t xml:space="preserve">00 </w:t>
      </w:r>
      <w:r>
        <w:rPr>
          <w:rFonts w:ascii="Times New Roman" w:hAnsi="Times New Roman"/>
          <w:bCs/>
          <w:i/>
          <w:iCs/>
          <w:sz w:val="20"/>
          <w:szCs w:val="20"/>
        </w:rPr>
        <w:t>Minden</w:t>
      </w:r>
      <w:r w:rsidRPr="00EB2EED">
        <w:rPr>
          <w:rFonts w:ascii="Times New Roman" w:hAnsi="Times New Roman"/>
          <w:bCs/>
          <w:i/>
          <w:iCs/>
          <w:sz w:val="20"/>
          <w:szCs w:val="20"/>
        </w:rPr>
        <w:t>, Pulau Pinang, Malaysia</w:t>
      </w:r>
    </w:p>
    <w:p w14:paraId="7C596279" w14:textId="2FE5FB04" w:rsidR="00EB2EED" w:rsidRPr="00EB2EED" w:rsidRDefault="00EB2EED" w:rsidP="00EB2EED">
      <w:pPr>
        <w:spacing w:after="0"/>
        <w:jc w:val="center"/>
        <w:rPr>
          <w:rFonts w:ascii="Times New Roman" w:hAnsi="Times New Roman"/>
          <w:bCs/>
          <w:i/>
          <w:iCs/>
          <w:sz w:val="20"/>
          <w:szCs w:val="20"/>
        </w:rPr>
      </w:pPr>
      <w:r w:rsidRPr="00EB2EED">
        <w:rPr>
          <w:rFonts w:ascii="Times New Roman" w:hAnsi="Times New Roman"/>
          <w:bCs/>
          <w:i/>
          <w:iCs/>
          <w:sz w:val="20"/>
          <w:szCs w:val="20"/>
          <w:vertAlign w:val="superscript"/>
        </w:rPr>
        <w:t>2</w:t>
      </w:r>
      <w:r w:rsidRPr="00EB2EED">
        <w:rPr>
          <w:rFonts w:ascii="Times New Roman" w:hAnsi="Times New Roman"/>
          <w:bCs/>
          <w:i/>
          <w:iCs/>
          <w:sz w:val="20"/>
          <w:szCs w:val="20"/>
        </w:rPr>
        <w:t xml:space="preserve"> Integrative Medicine Cluster, Advanced Medical and Dental Institute (AMDI)</w:t>
      </w:r>
      <w:r w:rsidR="00C437AB">
        <w:rPr>
          <w:rFonts w:ascii="Times New Roman" w:hAnsi="Times New Roman"/>
          <w:bCs/>
          <w:i/>
          <w:iCs/>
          <w:sz w:val="20"/>
          <w:szCs w:val="20"/>
        </w:rPr>
        <w:t>,</w:t>
      </w:r>
    </w:p>
    <w:p w14:paraId="0C23B2DF" w14:textId="77777777" w:rsidR="00EB2EED" w:rsidRPr="00EB2EED" w:rsidRDefault="00EB2EED" w:rsidP="00EB2EED">
      <w:pPr>
        <w:spacing w:after="0"/>
        <w:jc w:val="center"/>
        <w:rPr>
          <w:rFonts w:ascii="Times New Roman" w:hAnsi="Times New Roman"/>
          <w:bCs/>
          <w:i/>
          <w:iCs/>
          <w:sz w:val="20"/>
          <w:szCs w:val="20"/>
        </w:rPr>
      </w:pPr>
      <w:r w:rsidRPr="00EB2EED">
        <w:rPr>
          <w:rFonts w:ascii="Times New Roman" w:hAnsi="Times New Roman"/>
          <w:bCs/>
          <w:i/>
          <w:iCs/>
          <w:sz w:val="20"/>
          <w:szCs w:val="20"/>
        </w:rPr>
        <w:t>Universiti Sains Malaysia, 13200 Bertam, Pulau Pinang, Malaysia</w:t>
      </w:r>
    </w:p>
    <w:p w14:paraId="5091D2AD" w14:textId="77777777" w:rsidR="00EB2EED" w:rsidRPr="00EB2EED" w:rsidRDefault="00EB2EED" w:rsidP="00EB2EED">
      <w:pPr>
        <w:spacing w:after="0"/>
        <w:jc w:val="center"/>
        <w:outlineLvl w:val="0"/>
        <w:rPr>
          <w:rFonts w:ascii="Times New Roman" w:hAnsi="Times New Roman"/>
          <w:b/>
          <w:sz w:val="20"/>
          <w:szCs w:val="20"/>
        </w:rPr>
      </w:pPr>
    </w:p>
    <w:p w14:paraId="054C237F" w14:textId="77777777" w:rsidR="00EB2EED" w:rsidRPr="00EB2EED" w:rsidRDefault="00EB2EED" w:rsidP="00EB2EED">
      <w:pPr>
        <w:spacing w:after="0"/>
        <w:jc w:val="center"/>
        <w:outlineLvl w:val="0"/>
        <w:rPr>
          <w:rFonts w:ascii="Times New Roman" w:hAnsi="Times New Roman"/>
          <w:i/>
          <w:sz w:val="20"/>
          <w:szCs w:val="20"/>
        </w:rPr>
      </w:pPr>
      <w:r w:rsidRPr="00EB2EED">
        <w:rPr>
          <w:rFonts w:ascii="Times New Roman" w:hAnsi="Times New Roman"/>
          <w:i/>
          <w:sz w:val="20"/>
          <w:szCs w:val="20"/>
        </w:rPr>
        <w:t xml:space="preserve">*Corresponding author:  </w:t>
      </w:r>
      <w:r w:rsidRPr="00EB2EED">
        <w:rPr>
          <w:rFonts w:ascii="Times New Roman" w:hAnsi="Times New Roman"/>
          <w:i/>
          <w:iCs/>
          <w:sz w:val="20"/>
          <w:szCs w:val="20"/>
        </w:rPr>
        <w:t>mazidatul@usm.my</w:t>
      </w:r>
    </w:p>
    <w:p w14:paraId="54FA8126" w14:textId="77777777" w:rsidR="00EB2EED" w:rsidRPr="00EB2EED" w:rsidRDefault="00EB2EED" w:rsidP="00EB2EED">
      <w:pPr>
        <w:spacing w:after="0"/>
        <w:jc w:val="center"/>
        <w:rPr>
          <w:rFonts w:ascii="Times New Roman" w:hAnsi="Times New Roman"/>
          <w:noProof/>
          <w:sz w:val="20"/>
          <w:szCs w:val="20"/>
        </w:rPr>
      </w:pPr>
    </w:p>
    <w:p w14:paraId="2939699F" w14:textId="77777777" w:rsidR="00EB2EED" w:rsidRPr="00EB2EED" w:rsidRDefault="00EB2EED" w:rsidP="00EB2EED">
      <w:pPr>
        <w:spacing w:after="0"/>
        <w:jc w:val="center"/>
        <w:rPr>
          <w:rFonts w:ascii="Times New Roman" w:hAnsi="Times New Roman"/>
          <w:noProof/>
          <w:sz w:val="20"/>
          <w:szCs w:val="20"/>
        </w:rPr>
      </w:pPr>
    </w:p>
    <w:p w14:paraId="1A95B1EF" w14:textId="77777777" w:rsidR="00EB2EED" w:rsidRPr="00EB2EED" w:rsidRDefault="00EB2EED" w:rsidP="00EB2EED">
      <w:pPr>
        <w:spacing w:after="0"/>
        <w:jc w:val="center"/>
        <w:rPr>
          <w:rFonts w:ascii="Times New Roman" w:hAnsi="Times New Roman"/>
          <w:noProof/>
          <w:sz w:val="20"/>
          <w:szCs w:val="20"/>
        </w:rPr>
      </w:pPr>
      <w:r w:rsidRPr="00EB2EED">
        <w:rPr>
          <w:rFonts w:ascii="Times New Roman" w:hAnsi="Times New Roman"/>
          <w:noProof/>
          <w:sz w:val="20"/>
          <w:szCs w:val="20"/>
        </w:rPr>
        <w:t>Received: 13 August 2020; Accepted: 18 October 2020; Published:  xx December 2020</w:t>
      </w:r>
    </w:p>
    <w:p w14:paraId="7BD7E800" w14:textId="77777777" w:rsidR="00EB2EED" w:rsidRPr="00EB2EED" w:rsidRDefault="00EB2EED" w:rsidP="00EB2EED">
      <w:pPr>
        <w:spacing w:after="0"/>
        <w:jc w:val="center"/>
        <w:rPr>
          <w:rFonts w:ascii="Times New Roman" w:hAnsi="Times New Roman"/>
          <w:noProof/>
          <w:sz w:val="20"/>
          <w:szCs w:val="20"/>
        </w:rPr>
      </w:pPr>
    </w:p>
    <w:p w14:paraId="24EC4176" w14:textId="77777777" w:rsidR="00EB2EED" w:rsidRPr="00EB2EED" w:rsidRDefault="00EB2EED" w:rsidP="00EB2EED">
      <w:pPr>
        <w:spacing w:after="0"/>
        <w:jc w:val="center"/>
        <w:rPr>
          <w:rFonts w:ascii="Times New Roman" w:hAnsi="Times New Roman"/>
          <w:noProof/>
          <w:sz w:val="20"/>
          <w:szCs w:val="20"/>
        </w:rPr>
      </w:pPr>
    </w:p>
    <w:p w14:paraId="16981048" w14:textId="77777777" w:rsidR="00EB2EED" w:rsidRPr="00EB2EED" w:rsidRDefault="00EB2EED" w:rsidP="00EB2EED">
      <w:pPr>
        <w:spacing w:after="0"/>
        <w:jc w:val="center"/>
        <w:rPr>
          <w:rFonts w:ascii="Times New Roman" w:hAnsi="Times New Roman"/>
          <w:b/>
          <w:noProof/>
          <w:sz w:val="20"/>
          <w:szCs w:val="20"/>
        </w:rPr>
      </w:pPr>
      <w:r w:rsidRPr="00EB2EED">
        <w:rPr>
          <w:rFonts w:ascii="Times New Roman" w:hAnsi="Times New Roman"/>
          <w:b/>
          <w:noProof/>
          <w:sz w:val="20"/>
          <w:szCs w:val="20"/>
        </w:rPr>
        <w:t>Abstract</w:t>
      </w:r>
    </w:p>
    <w:p w14:paraId="62B54769" w14:textId="77777777" w:rsidR="00EB2EED" w:rsidRPr="00EB2EED" w:rsidRDefault="00EB2EED" w:rsidP="00EB2EED">
      <w:pPr>
        <w:spacing w:after="0"/>
        <w:jc w:val="both"/>
        <w:outlineLvl w:val="0"/>
        <w:rPr>
          <w:rFonts w:ascii="Times New Roman" w:hAnsi="Times New Roman"/>
          <w:sz w:val="20"/>
          <w:szCs w:val="20"/>
          <w:lang w:val="en-MY"/>
        </w:rPr>
      </w:pPr>
      <w:r w:rsidRPr="00EB2EED">
        <w:rPr>
          <w:rFonts w:ascii="Times New Roman" w:hAnsi="Times New Roman"/>
          <w:sz w:val="20"/>
          <w:szCs w:val="20"/>
        </w:rPr>
        <w:t>D</w:t>
      </w:r>
      <w:r w:rsidRPr="00EB2EED">
        <w:rPr>
          <w:rFonts w:ascii="Times New Roman" w:hAnsi="Times New Roman"/>
          <w:sz w:val="20"/>
          <w:szCs w:val="20"/>
          <w:lang w:val="en-MY"/>
        </w:rPr>
        <w:t>ispersive micro-solid phase extraction (D-μ-SPE) using C</w:t>
      </w:r>
      <w:r w:rsidRPr="00EB2EED">
        <w:rPr>
          <w:rFonts w:ascii="Times New Roman" w:hAnsi="Times New Roman"/>
          <w:sz w:val="20"/>
          <w:szCs w:val="20"/>
          <w:vertAlign w:val="subscript"/>
          <w:lang w:val="en-MY"/>
        </w:rPr>
        <w:t>18</w:t>
      </w:r>
      <w:r w:rsidRPr="00EB2EED">
        <w:rPr>
          <w:rFonts w:ascii="Times New Roman" w:hAnsi="Times New Roman"/>
          <w:sz w:val="20"/>
          <w:szCs w:val="20"/>
          <w:lang w:val="en-MY"/>
        </w:rPr>
        <w:t xml:space="preserve"> adsorbent combined with HPLV-UV was developed for the determination of ofloxacin and sparfloxacin in human plasma. Seven D‐μ‐SPE parameters namely type and amount of adsorbent mass, sample volume, pH of sample solution, extraction time, desorption solvent and volume were optimized. Under optimum conditions, calibration curves showed good linearity in the range of 0.5–1000 μg L</w:t>
      </w:r>
      <w:r w:rsidRPr="00EB2EED">
        <w:rPr>
          <w:rFonts w:ascii="Times New Roman" w:hAnsi="Times New Roman"/>
          <w:sz w:val="20"/>
          <w:szCs w:val="20"/>
          <w:vertAlign w:val="superscript"/>
          <w:lang w:val="en-MY"/>
        </w:rPr>
        <w:t>-1</w:t>
      </w:r>
      <w:r w:rsidRPr="00EB2EED">
        <w:rPr>
          <w:rFonts w:ascii="Times New Roman" w:hAnsi="Times New Roman"/>
          <w:sz w:val="20"/>
          <w:szCs w:val="20"/>
          <w:lang w:val="en-MY"/>
        </w:rPr>
        <w:t xml:space="preserve"> with acceptable limit of detection (LOD) of 0.73 and 1.81 μg L</w:t>
      </w:r>
      <w:r w:rsidRPr="00EB2EED">
        <w:rPr>
          <w:rFonts w:ascii="Times New Roman" w:hAnsi="Times New Roman"/>
          <w:sz w:val="20"/>
          <w:szCs w:val="20"/>
          <w:vertAlign w:val="superscript"/>
          <w:lang w:val="en-MY"/>
        </w:rPr>
        <w:t>-1</w:t>
      </w:r>
      <w:r w:rsidRPr="00EB2EED">
        <w:rPr>
          <w:rFonts w:ascii="Times New Roman" w:hAnsi="Times New Roman"/>
          <w:sz w:val="20"/>
          <w:szCs w:val="20"/>
          <w:lang w:val="en-MY"/>
        </w:rPr>
        <w:t xml:space="preserve"> and limit of quantitation (LOQ) of 2.44 and 6.03 μg L</w:t>
      </w:r>
      <w:r w:rsidRPr="00EB2EED">
        <w:rPr>
          <w:rFonts w:ascii="Times New Roman" w:hAnsi="Times New Roman"/>
          <w:sz w:val="20"/>
          <w:szCs w:val="20"/>
          <w:vertAlign w:val="superscript"/>
          <w:lang w:val="en-MY"/>
        </w:rPr>
        <w:t>-1</w:t>
      </w:r>
      <w:r w:rsidRPr="00EB2EED">
        <w:rPr>
          <w:rFonts w:ascii="Times New Roman" w:hAnsi="Times New Roman"/>
          <w:sz w:val="20"/>
          <w:szCs w:val="20"/>
          <w:lang w:val="en-MY"/>
        </w:rPr>
        <w:t xml:space="preserve"> for ofloxacin and sparfloxacin, resp</w:t>
      </w:r>
      <w:r w:rsidRPr="00EB2EED">
        <w:rPr>
          <w:rFonts w:ascii="Times New Roman" w:hAnsi="Times New Roman" w:hint="eastAsia"/>
          <w:sz w:val="20"/>
          <w:szCs w:val="20"/>
          <w:lang w:val="en-MY"/>
        </w:rPr>
        <w:t xml:space="preserve">ectively. The </w:t>
      </w:r>
      <w:r w:rsidRPr="00EB2EED">
        <w:rPr>
          <w:rFonts w:ascii="Times New Roman" w:hAnsi="Times New Roman"/>
          <w:sz w:val="20"/>
          <w:szCs w:val="20"/>
          <w:lang w:val="en-MY"/>
        </w:rPr>
        <w:t xml:space="preserve">D‐μ‐SPE </w:t>
      </w:r>
      <w:r w:rsidRPr="00EB2EED">
        <w:rPr>
          <w:rFonts w:ascii="Times New Roman" w:hAnsi="Times New Roman" w:hint="eastAsia"/>
          <w:sz w:val="20"/>
          <w:szCs w:val="20"/>
          <w:lang w:val="en-MY"/>
        </w:rPr>
        <w:t xml:space="preserve">also demonstrated acceptable precision at the concentration of 500 dan 1000 </w:t>
      </w:r>
      <w:r w:rsidRPr="00EB2EED">
        <w:rPr>
          <w:rFonts w:ascii="Times New Roman" w:hAnsi="Times New Roman"/>
          <w:sz w:val="20"/>
          <w:szCs w:val="20"/>
          <w:lang w:val="en-MY"/>
        </w:rPr>
        <w:t>μg L</w:t>
      </w:r>
      <w:r w:rsidRPr="00EB2EED">
        <w:rPr>
          <w:rFonts w:ascii="Times New Roman" w:hAnsi="Times New Roman"/>
          <w:sz w:val="20"/>
          <w:szCs w:val="20"/>
          <w:vertAlign w:val="superscript"/>
          <w:lang w:val="en-MY"/>
        </w:rPr>
        <w:t>-1</w:t>
      </w:r>
      <w:r w:rsidRPr="00EB2EED">
        <w:rPr>
          <w:rFonts w:ascii="Times New Roman" w:hAnsi="Times New Roman"/>
          <w:sz w:val="20"/>
          <w:szCs w:val="20"/>
          <w:lang w:val="en-MY"/>
        </w:rPr>
        <w:t xml:space="preserve"> </w:t>
      </w:r>
      <w:r w:rsidRPr="00EB2EED">
        <w:rPr>
          <w:rFonts w:ascii="Times New Roman" w:hAnsi="Times New Roman" w:hint="eastAsia"/>
          <w:sz w:val="20"/>
          <w:szCs w:val="20"/>
          <w:lang w:val="en-MY"/>
        </w:rPr>
        <w:t xml:space="preserve">of ofloxacin and sparfloxacin, respectively in human plasma with RSD value of </w:t>
      </w:r>
      <w:r w:rsidRPr="00EB2EED">
        <w:rPr>
          <w:rFonts w:ascii="Times New Roman" w:hAnsi="Times New Roman"/>
          <w:sz w:val="20"/>
          <w:szCs w:val="20"/>
        </w:rPr>
        <w:t>≤</w:t>
      </w:r>
      <w:r w:rsidRPr="00EB2EED">
        <w:rPr>
          <w:rFonts w:ascii="Times New Roman" w:hAnsi="Times New Roman" w:hint="eastAsia"/>
          <w:sz w:val="20"/>
          <w:szCs w:val="20"/>
          <w:lang w:val="en-MY"/>
        </w:rPr>
        <w:t>12.5%. A good relative recoveries was obtained between 90.1-109.5%. The</w:t>
      </w:r>
      <w:r w:rsidRPr="00EB2EED">
        <w:rPr>
          <w:rFonts w:ascii="Times New Roman" w:hAnsi="Times New Roman"/>
          <w:sz w:val="20"/>
          <w:szCs w:val="20"/>
          <w:lang w:val="en-MY"/>
        </w:rPr>
        <w:t xml:space="preserve"> developed D-μ-SPE method has proven to be a fast and simple approach which only </w:t>
      </w:r>
      <w:r w:rsidRPr="00EB2EED">
        <w:rPr>
          <w:rFonts w:ascii="Times New Roman" w:hAnsi="Times New Roman" w:hint="eastAsia"/>
          <w:sz w:val="20"/>
          <w:szCs w:val="20"/>
          <w:lang w:val="en-MY"/>
        </w:rPr>
        <w:t>requir</w:t>
      </w:r>
      <w:r w:rsidRPr="00EB2EED">
        <w:rPr>
          <w:rFonts w:ascii="Times New Roman" w:hAnsi="Times New Roman"/>
          <w:sz w:val="20"/>
          <w:szCs w:val="20"/>
          <w:lang w:val="en-MY"/>
        </w:rPr>
        <w:t>es</w:t>
      </w:r>
      <w:r w:rsidRPr="00EB2EED">
        <w:rPr>
          <w:rFonts w:ascii="Times New Roman" w:hAnsi="Times New Roman" w:hint="eastAsia"/>
          <w:sz w:val="20"/>
          <w:szCs w:val="20"/>
          <w:lang w:val="en-MY"/>
        </w:rPr>
        <w:t xml:space="preserve"> </w:t>
      </w:r>
      <w:r w:rsidRPr="00EB2EED">
        <w:rPr>
          <w:rFonts w:ascii="Times New Roman" w:hAnsi="Times New Roman"/>
          <w:sz w:val="20"/>
          <w:szCs w:val="20"/>
          <w:lang w:val="en-MY"/>
        </w:rPr>
        <w:t>low</w:t>
      </w:r>
      <w:r w:rsidRPr="00EB2EED">
        <w:rPr>
          <w:rFonts w:ascii="Times New Roman" w:hAnsi="Times New Roman" w:hint="eastAsia"/>
          <w:sz w:val="20"/>
          <w:szCs w:val="20"/>
          <w:lang w:val="en-MY"/>
        </w:rPr>
        <w:t xml:space="preserve"> amount of </w:t>
      </w:r>
      <w:r w:rsidRPr="00EB2EED">
        <w:rPr>
          <w:rFonts w:ascii="Times New Roman" w:hAnsi="Times New Roman"/>
          <w:sz w:val="20"/>
          <w:szCs w:val="20"/>
          <w:lang w:val="en-MY"/>
        </w:rPr>
        <w:t xml:space="preserve">extraction </w:t>
      </w:r>
      <w:r w:rsidRPr="00EB2EED">
        <w:rPr>
          <w:rFonts w:ascii="Times New Roman" w:hAnsi="Times New Roman" w:hint="eastAsia"/>
          <w:sz w:val="20"/>
          <w:szCs w:val="20"/>
          <w:lang w:val="en-MY"/>
        </w:rPr>
        <w:t>solvent for drug analysis.</w:t>
      </w:r>
    </w:p>
    <w:p w14:paraId="5F817C41" w14:textId="77777777" w:rsidR="00EB2EED" w:rsidRPr="00EB2EED" w:rsidRDefault="00EB2EED" w:rsidP="00EB2EED">
      <w:pPr>
        <w:spacing w:after="0"/>
        <w:jc w:val="both"/>
        <w:outlineLvl w:val="0"/>
        <w:rPr>
          <w:rFonts w:ascii="Times New Roman" w:hAnsi="Times New Roman"/>
          <w:b/>
          <w:sz w:val="20"/>
          <w:szCs w:val="20"/>
          <w:lang w:val="en-MY"/>
        </w:rPr>
      </w:pPr>
    </w:p>
    <w:p w14:paraId="0588C626" w14:textId="77777777" w:rsidR="00EB2EED" w:rsidRPr="00EB2EED" w:rsidRDefault="00EB2EED" w:rsidP="00EB2EED">
      <w:pPr>
        <w:spacing w:after="0"/>
        <w:ind w:left="993" w:hanging="993"/>
        <w:jc w:val="both"/>
        <w:outlineLvl w:val="0"/>
        <w:rPr>
          <w:rFonts w:ascii="Times New Roman" w:hAnsi="Times New Roman"/>
          <w:sz w:val="20"/>
          <w:szCs w:val="20"/>
          <w:lang w:val="en-MY"/>
        </w:rPr>
      </w:pPr>
      <w:r w:rsidRPr="00EB2EED">
        <w:rPr>
          <w:rFonts w:ascii="Times New Roman" w:hAnsi="Times New Roman"/>
          <w:b/>
          <w:sz w:val="20"/>
          <w:szCs w:val="20"/>
        </w:rPr>
        <w:t>Keywords</w:t>
      </w:r>
      <w:r w:rsidRPr="00EB2EED">
        <w:rPr>
          <w:rFonts w:ascii="Times New Roman" w:hAnsi="Times New Roman"/>
          <w:b/>
          <w:bCs/>
          <w:sz w:val="20"/>
          <w:szCs w:val="20"/>
        </w:rPr>
        <w:t>:</w:t>
      </w:r>
      <w:r w:rsidRPr="00EB2EED">
        <w:rPr>
          <w:rFonts w:ascii="Times New Roman" w:hAnsi="Times New Roman"/>
          <w:sz w:val="20"/>
          <w:szCs w:val="20"/>
        </w:rPr>
        <w:t xml:space="preserve"> </w:t>
      </w:r>
      <w:r w:rsidRPr="00EB2EED">
        <w:rPr>
          <w:rFonts w:ascii="Times New Roman" w:hAnsi="Times New Roman"/>
          <w:sz w:val="20"/>
          <w:szCs w:val="20"/>
        </w:rPr>
        <w:tab/>
      </w:r>
      <w:r w:rsidRPr="00EB2EED">
        <w:rPr>
          <w:rFonts w:ascii="Times New Roman" w:hAnsi="Times New Roman"/>
          <w:sz w:val="20"/>
          <w:szCs w:val="20"/>
          <w:lang w:val="en-MY"/>
        </w:rPr>
        <w:t xml:space="preserve">dispersive micro-solid phase extraction, high performance liquid chromatography, ofloxacin, sparfloxacin, human plasma  </w:t>
      </w:r>
    </w:p>
    <w:p w14:paraId="6B264EEF" w14:textId="77777777" w:rsidR="00EB2EED" w:rsidRPr="00EB2EED" w:rsidRDefault="00EB2EED" w:rsidP="00EB2EED">
      <w:pPr>
        <w:spacing w:after="0"/>
        <w:jc w:val="center"/>
        <w:outlineLvl w:val="0"/>
        <w:rPr>
          <w:rFonts w:ascii="Times New Roman" w:hAnsi="Times New Roman"/>
          <w:b/>
          <w:sz w:val="20"/>
          <w:szCs w:val="20"/>
        </w:rPr>
      </w:pPr>
    </w:p>
    <w:p w14:paraId="37AF0A54" w14:textId="77777777" w:rsidR="00EB2EED" w:rsidRPr="00EB2EED" w:rsidRDefault="00EB2EED" w:rsidP="00EB2EED">
      <w:pPr>
        <w:spacing w:after="0"/>
        <w:jc w:val="center"/>
        <w:outlineLvl w:val="0"/>
        <w:rPr>
          <w:rFonts w:ascii="Times New Roman" w:hAnsi="Times New Roman"/>
          <w:b/>
          <w:sz w:val="20"/>
          <w:szCs w:val="20"/>
          <w:lang w:val="ms-MY"/>
        </w:rPr>
      </w:pPr>
      <w:r w:rsidRPr="00EB2EED">
        <w:rPr>
          <w:rFonts w:ascii="Times New Roman" w:hAnsi="Times New Roman"/>
          <w:b/>
          <w:sz w:val="20"/>
          <w:szCs w:val="20"/>
          <w:lang w:val="ms-MY"/>
        </w:rPr>
        <w:t>Abstrak</w:t>
      </w:r>
    </w:p>
    <w:p w14:paraId="512C1ABF" w14:textId="77777777" w:rsidR="00EB2EED" w:rsidRPr="00EB2EED" w:rsidRDefault="00EB2EED" w:rsidP="00EB2EED">
      <w:pPr>
        <w:spacing w:after="0"/>
        <w:jc w:val="both"/>
        <w:outlineLvl w:val="0"/>
        <w:rPr>
          <w:rFonts w:ascii="Times New Roman" w:hAnsi="Times New Roman"/>
          <w:sz w:val="20"/>
          <w:szCs w:val="20"/>
          <w:lang w:val="ms-MY"/>
        </w:rPr>
      </w:pPr>
      <w:r w:rsidRPr="00EB2EED">
        <w:rPr>
          <w:rFonts w:ascii="Times New Roman" w:hAnsi="Times New Roman"/>
          <w:sz w:val="20"/>
          <w:szCs w:val="20"/>
          <w:lang w:val="ms-MY"/>
        </w:rPr>
        <w:lastRenderedPageBreak/>
        <w:t>Pengekstrakkan fasa pepejal mikro disesarkan (D-µ-SPE) menggunakan penjerap C</w:t>
      </w:r>
      <w:r w:rsidRPr="00EB2EED">
        <w:rPr>
          <w:rFonts w:ascii="Times New Roman" w:hAnsi="Times New Roman"/>
          <w:sz w:val="20"/>
          <w:szCs w:val="20"/>
          <w:vertAlign w:val="subscript"/>
          <w:lang w:val="ms-MY"/>
        </w:rPr>
        <w:t>18</w:t>
      </w:r>
      <w:r w:rsidRPr="00EB2EED">
        <w:rPr>
          <w:rFonts w:ascii="Times New Roman" w:hAnsi="Times New Roman"/>
          <w:sz w:val="20"/>
          <w:szCs w:val="20"/>
          <w:lang w:val="ms-MY"/>
        </w:rPr>
        <w:t xml:space="preserve"> yang digabungkan dengan HPLC-UV telah dibangunkan untuk penentuan oflosaksin dan sparflosaksin dalam plasma manusia. Beberapa parameter D‐μ‐SPE seperti jenis dan jumlah jisim penjerap, isipadu sampel, pH larutan sampel, masa pengekstrakan, pelarut penyahjerap dan masa penyahjerap telah dioptimumkan. Dalam keadaan yang optimum, lengkung penentu ukuran menunjukkan lineariti yang baik dalam julat 0.5-1000 μg L</w:t>
      </w:r>
      <w:r w:rsidRPr="00EB2EED">
        <w:rPr>
          <w:rFonts w:ascii="Times New Roman" w:hAnsi="Times New Roman"/>
          <w:sz w:val="20"/>
          <w:szCs w:val="20"/>
          <w:vertAlign w:val="superscript"/>
          <w:lang w:val="ms-MY"/>
        </w:rPr>
        <w:t>-1</w:t>
      </w:r>
      <w:r w:rsidRPr="00EB2EED">
        <w:rPr>
          <w:rFonts w:ascii="Times New Roman" w:hAnsi="Times New Roman"/>
          <w:sz w:val="20"/>
          <w:szCs w:val="20"/>
          <w:lang w:val="ms-MY"/>
        </w:rPr>
        <w:t xml:space="preserve"> dengan had pengesanan (LOD) 0.73 dan 1.81 μg L</w:t>
      </w:r>
      <w:r w:rsidRPr="00EB2EED">
        <w:rPr>
          <w:rFonts w:ascii="Times New Roman" w:hAnsi="Times New Roman"/>
          <w:sz w:val="20"/>
          <w:szCs w:val="20"/>
          <w:vertAlign w:val="superscript"/>
          <w:lang w:val="ms-MY"/>
        </w:rPr>
        <w:t xml:space="preserve">-1 </w:t>
      </w:r>
      <w:r w:rsidRPr="00EB2EED">
        <w:rPr>
          <w:rFonts w:ascii="Times New Roman" w:hAnsi="Times New Roman"/>
          <w:sz w:val="20"/>
          <w:szCs w:val="20"/>
          <w:lang w:val="ms-MY"/>
        </w:rPr>
        <w:t>dan had pengukuran (LOQ) 2.44 dan 6.03 μg L</w:t>
      </w:r>
      <w:r w:rsidRPr="00EB2EED">
        <w:rPr>
          <w:rFonts w:ascii="Times New Roman" w:hAnsi="Times New Roman"/>
          <w:sz w:val="20"/>
          <w:szCs w:val="20"/>
          <w:vertAlign w:val="superscript"/>
          <w:lang w:val="ms-MY"/>
        </w:rPr>
        <w:t>-1</w:t>
      </w:r>
      <w:r w:rsidRPr="00EB2EED">
        <w:rPr>
          <w:rFonts w:ascii="Times New Roman" w:hAnsi="Times New Roman"/>
          <w:sz w:val="20"/>
          <w:szCs w:val="20"/>
          <w:lang w:val="ms-MY"/>
        </w:rPr>
        <w:t xml:space="preserve"> yang memuaskan masing-masing bagi ofloksaksin dan sparflosaksin. Kaedah yang dicadangkan juga menunjukkan ketepatan pada kepekatan 500 dan 1000 μg L</w:t>
      </w:r>
      <w:r w:rsidRPr="00EB2EED">
        <w:rPr>
          <w:rFonts w:ascii="Times New Roman" w:hAnsi="Times New Roman"/>
          <w:sz w:val="20"/>
          <w:szCs w:val="20"/>
          <w:vertAlign w:val="superscript"/>
          <w:lang w:val="ms-MY"/>
        </w:rPr>
        <w:t xml:space="preserve">-1 </w:t>
      </w:r>
      <w:r w:rsidRPr="00EB2EED">
        <w:rPr>
          <w:rFonts w:ascii="Times New Roman" w:hAnsi="Times New Roman"/>
          <w:sz w:val="20"/>
          <w:szCs w:val="20"/>
          <w:lang w:val="ms-MY"/>
        </w:rPr>
        <w:t>yang baik bagi oflosaksin dan sparflosaksin dari plasma manusia dengan RSD ≤12.5% ​​dan pemulihan relatif yang baik dalam julat 90.1-109.5%. Kaedah D‐μ‐SPE terbukti sebagai kaedah yang cepat danmudah untuk analisis ubat-ubatan kerana ia hanya memerlukan pelarut organik dalam jumlah yang kecil sewaktu analisis dijalankan.</w:t>
      </w:r>
    </w:p>
    <w:p w14:paraId="240AF03F" w14:textId="77777777" w:rsidR="00EB2EED" w:rsidRPr="00EB2EED" w:rsidRDefault="00EB2EED" w:rsidP="00EB2EED">
      <w:pPr>
        <w:spacing w:after="0"/>
        <w:jc w:val="both"/>
        <w:outlineLvl w:val="0"/>
        <w:rPr>
          <w:rFonts w:ascii="Times New Roman" w:hAnsi="Times New Roman"/>
          <w:sz w:val="20"/>
          <w:szCs w:val="20"/>
          <w:lang w:val="ms-MY"/>
        </w:rPr>
      </w:pPr>
    </w:p>
    <w:p w14:paraId="2157B833" w14:textId="223B0CC6" w:rsidR="00EB2EED" w:rsidRPr="00F155E2" w:rsidRDefault="00EB2EED" w:rsidP="00EB2EED">
      <w:pPr>
        <w:spacing w:after="0"/>
        <w:ind w:left="1080" w:hanging="1080"/>
        <w:jc w:val="both"/>
        <w:rPr>
          <w:rFonts w:ascii="Times New Roman" w:hAnsi="Times New Roman" w:cs="Times New Roman"/>
          <w:noProof/>
          <w:sz w:val="20"/>
          <w:szCs w:val="20"/>
        </w:rPr>
      </w:pPr>
      <w:r w:rsidRPr="00EB2EED">
        <w:rPr>
          <w:rFonts w:ascii="Times New Roman" w:hAnsi="Times New Roman"/>
          <w:b/>
          <w:sz w:val="20"/>
          <w:szCs w:val="20"/>
          <w:lang w:val="ms-MY"/>
        </w:rPr>
        <w:t xml:space="preserve">Kata kunci: </w:t>
      </w:r>
      <w:r w:rsidRPr="00EB2EED">
        <w:rPr>
          <w:rFonts w:ascii="Times New Roman" w:hAnsi="Times New Roman"/>
          <w:b/>
          <w:sz w:val="20"/>
          <w:szCs w:val="20"/>
          <w:lang w:val="ms-MY"/>
        </w:rPr>
        <w:tab/>
      </w:r>
      <w:r w:rsidRPr="00EB2EED">
        <w:rPr>
          <w:rFonts w:ascii="Times New Roman" w:hAnsi="Times New Roman"/>
          <w:sz w:val="20"/>
          <w:szCs w:val="20"/>
          <w:lang w:val="ms-MY"/>
        </w:rPr>
        <w:t>pengekstrakkan fasa pepejal mikro disesarkan, kromatografi cecair berprestasi tinggi, oflosaksin, sparflosaksin, plasma manusia</w:t>
      </w:r>
    </w:p>
    <w:p w14:paraId="30D095AC" w14:textId="1BC86352" w:rsidR="00EB2EED" w:rsidRPr="00F155E2" w:rsidRDefault="00EB2EED" w:rsidP="00F155E2">
      <w:pPr>
        <w:spacing w:after="0"/>
        <w:jc w:val="center"/>
        <w:rPr>
          <w:rFonts w:ascii="Times New Roman" w:eastAsia="Calibri" w:hAnsi="Times New Roman" w:cs="Times New Roman"/>
          <w:sz w:val="20"/>
          <w:szCs w:val="20"/>
          <w:lang w:val="ms-MY"/>
        </w:rPr>
      </w:pPr>
    </w:p>
    <w:p w14:paraId="49EE864D" w14:textId="77777777" w:rsidR="00F155E2" w:rsidRPr="00F155E2" w:rsidRDefault="00F155E2" w:rsidP="00F155E2">
      <w:pPr>
        <w:spacing w:after="0"/>
        <w:jc w:val="center"/>
        <w:rPr>
          <w:rFonts w:ascii="Times New Roman" w:hAnsi="Times New Roman" w:cs="Times New Roman"/>
          <w:b/>
          <w:noProof/>
          <w:sz w:val="20"/>
          <w:szCs w:val="20"/>
        </w:rPr>
      </w:pPr>
      <w:r w:rsidRPr="00F155E2">
        <w:rPr>
          <w:rFonts w:ascii="Times New Roman" w:hAnsi="Times New Roman" w:cs="Times New Roman"/>
          <w:b/>
          <w:noProof/>
          <w:sz w:val="20"/>
          <w:szCs w:val="20"/>
        </w:rPr>
        <w:t>References</w:t>
      </w:r>
    </w:p>
    <w:p w14:paraId="5EA31F4C"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Minovski, N., Vračko, M., and Šolmajer, T. (2011). Quantitative structure-activity relationship study of antitubercular fluoroquinolones. </w:t>
      </w:r>
      <w:r w:rsidRPr="00F155E2">
        <w:rPr>
          <w:rFonts w:ascii="Times New Roman" w:hAnsi="Times New Roman"/>
          <w:i/>
          <w:iCs/>
          <w:sz w:val="20"/>
          <w:szCs w:val="20"/>
        </w:rPr>
        <w:t>Molecular Diversity</w:t>
      </w:r>
      <w:r w:rsidRPr="00F155E2">
        <w:rPr>
          <w:rFonts w:ascii="Times New Roman" w:hAnsi="Times New Roman"/>
          <w:sz w:val="20"/>
          <w:szCs w:val="20"/>
        </w:rPr>
        <w:t>, 15 (2): 417-426.</w:t>
      </w:r>
    </w:p>
    <w:p w14:paraId="32F492F5"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lang w:val="en-MY"/>
        </w:rPr>
      </w:pPr>
      <w:r w:rsidRPr="00F155E2">
        <w:rPr>
          <w:rFonts w:ascii="Times New Roman" w:hAnsi="Times New Roman"/>
          <w:noProof/>
          <w:sz w:val="20"/>
          <w:szCs w:val="20"/>
        </w:rPr>
        <w:t xml:space="preserve">He, K. and Blaney, L. (2015). Systematic Optimization of an SPE with HPLC-FLD method for fluoroquinolone detection in wastewater. </w:t>
      </w:r>
      <w:r w:rsidRPr="00F155E2">
        <w:rPr>
          <w:rFonts w:ascii="Times New Roman" w:hAnsi="Times New Roman"/>
          <w:i/>
          <w:iCs/>
          <w:noProof/>
          <w:sz w:val="20"/>
          <w:szCs w:val="20"/>
        </w:rPr>
        <w:t>Journal of Hazardous Materials,</w:t>
      </w:r>
      <w:r w:rsidRPr="00F155E2">
        <w:rPr>
          <w:rFonts w:ascii="Times New Roman" w:hAnsi="Times New Roman"/>
          <w:noProof/>
          <w:sz w:val="20"/>
          <w:szCs w:val="20"/>
        </w:rPr>
        <w:t xml:space="preserve"> 282:96-105. </w:t>
      </w:r>
    </w:p>
    <w:p w14:paraId="6BB68D81"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Shao, H., Zhou, H., Zhang, T., Zhao, X., Jiang, Z. and Wang, Q. (2019). Preparation of molecularly imprinted hybrid monoliths for the selective detection of fluoroquinolones in infant formula powders. </w:t>
      </w:r>
      <w:r w:rsidRPr="00F155E2">
        <w:rPr>
          <w:rFonts w:ascii="Times New Roman" w:hAnsi="Times New Roman"/>
          <w:i/>
          <w:iCs/>
          <w:sz w:val="20"/>
          <w:szCs w:val="20"/>
        </w:rPr>
        <w:t>Journal of Chromatography A</w:t>
      </w:r>
      <w:r w:rsidRPr="00F155E2">
        <w:rPr>
          <w:rFonts w:ascii="Times New Roman" w:hAnsi="Times New Roman"/>
          <w:sz w:val="20"/>
          <w:szCs w:val="20"/>
        </w:rPr>
        <w:t>, 1588: 33-40.</w:t>
      </w:r>
    </w:p>
    <w:p w14:paraId="555F7929"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Shipkova, M. and Svinarov, D. (2016).</w:t>
      </w:r>
      <w:r w:rsidRPr="00F155E2">
        <w:rPr>
          <w:rFonts w:ascii="Times New Roman" w:hAnsi="Times New Roman"/>
          <w:b/>
          <w:bCs/>
          <w:sz w:val="20"/>
          <w:szCs w:val="20"/>
        </w:rPr>
        <w:t xml:space="preserve"> </w:t>
      </w:r>
      <w:r w:rsidRPr="00F155E2">
        <w:rPr>
          <w:rFonts w:ascii="Times New Roman" w:hAnsi="Times New Roman"/>
          <w:sz w:val="20"/>
          <w:szCs w:val="20"/>
        </w:rPr>
        <w:t xml:space="preserve">LC–MS/MS as a tool for TDM services: Where are we? </w:t>
      </w:r>
      <w:r w:rsidRPr="00F155E2">
        <w:rPr>
          <w:rFonts w:ascii="Times New Roman" w:hAnsi="Times New Roman"/>
          <w:i/>
          <w:iCs/>
          <w:sz w:val="20"/>
          <w:szCs w:val="20"/>
        </w:rPr>
        <w:t>Clinical Biochemistry</w:t>
      </w:r>
      <w:r w:rsidRPr="00F155E2">
        <w:rPr>
          <w:rFonts w:ascii="Times New Roman" w:hAnsi="Times New Roman"/>
          <w:sz w:val="20"/>
          <w:szCs w:val="20"/>
        </w:rPr>
        <w:t xml:space="preserve">, 49: 1009-1023. </w:t>
      </w:r>
    </w:p>
    <w:p w14:paraId="4AB7F7EE"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Zeng, H. J., Yang, R., Liu, B., Lei, L. F., Li, J. J. and Qu, L. B. (2012). Simple and sensitive determination of sparfloxacin in pharmaceuticals and biological samples by immunoassay. </w:t>
      </w:r>
      <w:r w:rsidRPr="00F155E2">
        <w:rPr>
          <w:rFonts w:ascii="Times New Roman" w:hAnsi="Times New Roman"/>
          <w:i/>
          <w:iCs/>
          <w:sz w:val="20"/>
          <w:szCs w:val="20"/>
        </w:rPr>
        <w:t>Journal of Pharmaceutical Analysis</w:t>
      </w:r>
      <w:r w:rsidRPr="00F155E2">
        <w:rPr>
          <w:rFonts w:ascii="Times New Roman" w:hAnsi="Times New Roman"/>
          <w:sz w:val="20"/>
          <w:szCs w:val="20"/>
        </w:rPr>
        <w:t>, 2(3): 214-219.</w:t>
      </w:r>
    </w:p>
    <w:p w14:paraId="0EAF3DBB"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Assadian, F. and Niazi, A. (2017). Application of response surface modeling and chemometrics methods for the determination of ofloxacin in human urine using dispersive liquid-liquid microextraction combined with spectrofluorimetry. </w:t>
      </w:r>
      <w:r w:rsidRPr="00F155E2">
        <w:rPr>
          <w:rFonts w:ascii="Times New Roman" w:hAnsi="Times New Roman"/>
          <w:i/>
          <w:iCs/>
          <w:sz w:val="20"/>
          <w:szCs w:val="20"/>
        </w:rPr>
        <w:t xml:space="preserve">Journal of the Brazilian Chemical Society, </w:t>
      </w:r>
      <w:r w:rsidRPr="00F155E2">
        <w:rPr>
          <w:rFonts w:ascii="Times New Roman" w:hAnsi="Times New Roman"/>
          <w:sz w:val="20"/>
          <w:szCs w:val="20"/>
        </w:rPr>
        <w:t>28(12): 2291-2300.</w:t>
      </w:r>
    </w:p>
    <w:p w14:paraId="73DFE15C"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Khezeli, T. and Daneshfar, A. (2017). Development of dispersive micro-solid phase extraction based on micro and nano sorbents. </w:t>
      </w:r>
      <w:r w:rsidRPr="00F155E2">
        <w:rPr>
          <w:rFonts w:ascii="Times New Roman" w:hAnsi="Times New Roman"/>
          <w:i/>
          <w:iCs/>
          <w:sz w:val="20"/>
          <w:szCs w:val="20"/>
        </w:rPr>
        <w:t>Trends in Analytical Chemistry</w:t>
      </w:r>
      <w:r w:rsidRPr="00F155E2">
        <w:rPr>
          <w:rFonts w:ascii="Times New Roman" w:hAnsi="Times New Roman"/>
          <w:sz w:val="20"/>
          <w:szCs w:val="20"/>
        </w:rPr>
        <w:t>, 89: 99-118.</w:t>
      </w:r>
    </w:p>
    <w:p w14:paraId="6ED569A0"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Wu, Q., Zhao, Y., Wang, C., Sun, M., Ma, X. and Wang, Z. (2015). Mesoporous carbon reinforced hollow fiber liquid-phase microextraction for the enrichment of phenylurea herbicides followed by their determination with high performance liquid chromatography. </w:t>
      </w:r>
      <w:r w:rsidRPr="00F155E2">
        <w:rPr>
          <w:rFonts w:ascii="Times New Roman" w:hAnsi="Times New Roman"/>
          <w:i/>
          <w:iCs/>
          <w:sz w:val="20"/>
          <w:szCs w:val="20"/>
        </w:rPr>
        <w:t>Analytical Methods</w:t>
      </w:r>
      <w:r w:rsidRPr="00F155E2">
        <w:rPr>
          <w:rFonts w:ascii="Times New Roman" w:hAnsi="Times New Roman"/>
          <w:sz w:val="20"/>
          <w:szCs w:val="20"/>
        </w:rPr>
        <w:t>, 7(3): 901–908.</w:t>
      </w:r>
    </w:p>
    <w:p w14:paraId="0C420BD9"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Khan, F. U., Nasir, F., Iqbal, Z., Khan, I., Shahbaz, N., Hassan, M. and Ullah, F. (2016). Simultaneous Determination of moxifloxacin and ofloxacin in physiological fluids using high performance liquid chromatography with ultraviolet detection. </w:t>
      </w:r>
      <w:r w:rsidRPr="00F155E2">
        <w:rPr>
          <w:rFonts w:ascii="Times New Roman" w:hAnsi="Times New Roman"/>
          <w:i/>
          <w:iCs/>
          <w:sz w:val="20"/>
          <w:szCs w:val="20"/>
        </w:rPr>
        <w:t>Journal of Chromatography B: Analytical Technologies in the Biomedical and Life Sciences</w:t>
      </w:r>
      <w:r w:rsidRPr="00F155E2">
        <w:rPr>
          <w:rFonts w:ascii="Times New Roman" w:hAnsi="Times New Roman"/>
          <w:sz w:val="20"/>
          <w:szCs w:val="20"/>
        </w:rPr>
        <w:t>, 1017–1018: 120-128.</w:t>
      </w:r>
    </w:p>
    <w:p w14:paraId="5CCD4CE3"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Attimarad, M. and Alnajjar, A. (2013). A conventional HPLC-MS method for the simultaneous determination of ofloxacin and cefixime in plasma: Development and validation. </w:t>
      </w:r>
      <w:r w:rsidRPr="00F155E2">
        <w:rPr>
          <w:rFonts w:ascii="Times New Roman" w:hAnsi="Times New Roman"/>
          <w:i/>
          <w:iCs/>
          <w:sz w:val="20"/>
          <w:szCs w:val="20"/>
        </w:rPr>
        <w:t>Journal of Basic and Clinical Pharmacy</w:t>
      </w:r>
      <w:r w:rsidRPr="00F155E2">
        <w:rPr>
          <w:rFonts w:ascii="Times New Roman" w:hAnsi="Times New Roman"/>
          <w:sz w:val="20"/>
          <w:szCs w:val="20"/>
        </w:rPr>
        <w:t>, 4(2): 36.</w:t>
      </w:r>
    </w:p>
    <w:p w14:paraId="4B0B7E20"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Tang, Q., Yang, T., Tan, X. and Luo, J. (2009). Simultaneous determination of fluoroquinolone antibiotic residues in milk sample by solid-phase extraction - liquid chromatography-tandem mass spectrometry. </w:t>
      </w:r>
      <w:r w:rsidRPr="00F155E2">
        <w:rPr>
          <w:rFonts w:ascii="Times New Roman" w:hAnsi="Times New Roman"/>
          <w:i/>
          <w:iCs/>
          <w:sz w:val="20"/>
          <w:szCs w:val="20"/>
        </w:rPr>
        <w:t>Journal of Agricultural and Food Chemistry</w:t>
      </w:r>
      <w:r w:rsidRPr="00F155E2">
        <w:rPr>
          <w:rFonts w:ascii="Times New Roman" w:hAnsi="Times New Roman"/>
          <w:sz w:val="20"/>
          <w:szCs w:val="20"/>
        </w:rPr>
        <w:t>, 57(11): 4535-4539.</w:t>
      </w:r>
    </w:p>
    <w:p w14:paraId="12F26D6A"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lastRenderedPageBreak/>
        <w:t xml:space="preserve">Tian, Z., Gao, J. J. and Qin, W. (2018). Determination of fluoroquinolones in milk by ionic liquid-mediated two-phase extraction followed by capillary electrophoresis analysis. </w:t>
      </w:r>
      <w:r w:rsidRPr="00F155E2">
        <w:rPr>
          <w:rFonts w:ascii="Times New Roman" w:hAnsi="Times New Roman"/>
          <w:i/>
          <w:iCs/>
          <w:sz w:val="20"/>
          <w:szCs w:val="20"/>
        </w:rPr>
        <w:t>Madridge Journal of Analytical Sciences and Instrumentation</w:t>
      </w:r>
      <w:r w:rsidRPr="00F155E2">
        <w:rPr>
          <w:rFonts w:ascii="Times New Roman" w:hAnsi="Times New Roman"/>
          <w:sz w:val="20"/>
          <w:szCs w:val="20"/>
        </w:rPr>
        <w:t>, 3(1): 62-67.</w:t>
      </w:r>
    </w:p>
    <w:p w14:paraId="795C4289"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noProof/>
          <w:sz w:val="20"/>
          <w:szCs w:val="20"/>
        </w:rPr>
        <w:t xml:space="preserve">Maia, A. S., Paíga, P., Delerue-Matos, C., Castro, P. M. L. and Tiritan, M. E. (2020). Quantification of fluoroquinolones in wastewaters by liquid chromatography-tandem mass spectrometry. </w:t>
      </w:r>
      <w:r w:rsidRPr="00F155E2">
        <w:rPr>
          <w:rFonts w:ascii="Times New Roman" w:hAnsi="Times New Roman"/>
          <w:i/>
          <w:iCs/>
          <w:noProof/>
          <w:sz w:val="20"/>
          <w:szCs w:val="20"/>
        </w:rPr>
        <w:t>Environment Pollution</w:t>
      </w:r>
      <w:r w:rsidRPr="00F155E2">
        <w:rPr>
          <w:rFonts w:ascii="Times New Roman" w:hAnsi="Times New Roman"/>
          <w:noProof/>
          <w:sz w:val="20"/>
          <w:szCs w:val="20"/>
        </w:rPr>
        <w:t>, 259: 113927.</w:t>
      </w:r>
    </w:p>
    <w:p w14:paraId="63718976"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Rodrigues-Silva, C., Porto, R.S., dos Santos, S. G., Schneider, J. and Rath, S. (2019). Fluoroquinolones in hospital wastewater: Analytical method, occurrence, treatment with ozone and residual antimicrobial activity evaluation. </w:t>
      </w:r>
      <w:r w:rsidRPr="00F155E2">
        <w:rPr>
          <w:rFonts w:ascii="Times New Roman" w:hAnsi="Times New Roman"/>
          <w:i/>
          <w:iCs/>
          <w:sz w:val="20"/>
          <w:szCs w:val="20"/>
        </w:rPr>
        <w:t xml:space="preserve">Journal of the Brazilian Chemical Society, </w:t>
      </w:r>
      <w:r w:rsidRPr="00F155E2">
        <w:rPr>
          <w:rFonts w:ascii="Times New Roman" w:hAnsi="Times New Roman"/>
          <w:sz w:val="20"/>
          <w:szCs w:val="20"/>
        </w:rPr>
        <w:t>30(7): 1447-1457.</w:t>
      </w:r>
    </w:p>
    <w:p w14:paraId="15B37246"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Zheng, J., Xi, C., Wang, G., Cao, S., Tang, B., and Mu, Z. (2018). Simultaneous determination of 20 antibiotics in bovine colostrum tablet using UHPLC–MS/MS and SPE. </w:t>
      </w:r>
      <w:r w:rsidRPr="00F155E2">
        <w:rPr>
          <w:rFonts w:ascii="Times New Roman" w:hAnsi="Times New Roman"/>
          <w:i/>
          <w:iCs/>
          <w:sz w:val="20"/>
          <w:szCs w:val="20"/>
        </w:rPr>
        <w:t>Chromatographia</w:t>
      </w:r>
      <w:r w:rsidRPr="00F155E2">
        <w:rPr>
          <w:rFonts w:ascii="Times New Roman" w:hAnsi="Times New Roman"/>
          <w:sz w:val="20"/>
          <w:szCs w:val="20"/>
        </w:rPr>
        <w:t>, 81(6): 947-957.</w:t>
      </w:r>
    </w:p>
    <w:p w14:paraId="2033AB51"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Lee, H. B., Peart, E. T. and Svoboda, M. L. (2007). Determination of ofloxacin, norfloxacin, and ciprofloxacin in sewage by selective solid-phase extraction, liquid chromatography with fluorescence detection and liquid chromatography-tandem mass spectrometry. </w:t>
      </w:r>
      <w:r w:rsidRPr="00F155E2">
        <w:rPr>
          <w:rFonts w:ascii="Times New Roman" w:hAnsi="Times New Roman"/>
          <w:i/>
          <w:iCs/>
          <w:sz w:val="20"/>
          <w:szCs w:val="20"/>
        </w:rPr>
        <w:t>Journal of Chromatography A</w:t>
      </w:r>
      <w:r w:rsidRPr="00F155E2">
        <w:rPr>
          <w:rFonts w:ascii="Times New Roman" w:hAnsi="Times New Roman"/>
          <w:sz w:val="20"/>
          <w:szCs w:val="20"/>
        </w:rPr>
        <w:t>, 1139(1): 45-52.</w:t>
      </w:r>
    </w:p>
    <w:p w14:paraId="79400BA1"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Ruiz, F. J., Ripoll, L., Hidalgo, M. and Canals, A. (2019). Dispersive micro solid-phase extraction (D-µ-SPE) with graphene oxide as adsorbent for sensitive elemental analysis of aqueous samples by laser induced breakdown spectroscopy (LIBS). </w:t>
      </w:r>
      <w:r w:rsidRPr="00F155E2">
        <w:rPr>
          <w:rFonts w:ascii="Times New Roman" w:hAnsi="Times New Roman"/>
          <w:i/>
          <w:iCs/>
          <w:sz w:val="20"/>
          <w:szCs w:val="20"/>
        </w:rPr>
        <w:t>Talanta</w:t>
      </w:r>
      <w:r w:rsidRPr="00F155E2">
        <w:rPr>
          <w:rFonts w:ascii="Times New Roman" w:hAnsi="Times New Roman"/>
          <w:sz w:val="20"/>
          <w:szCs w:val="20"/>
        </w:rPr>
        <w:t>, 191: 162-170.</w:t>
      </w:r>
    </w:p>
    <w:p w14:paraId="290B0B16"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Chung, W. H., Tzing, S. H. and Ding, W. H. (2013). Dispersive micro solid-phase extraction for the rapid analysis of synthetic polycyclic musks using thermal desorption gas chromatography-mass spectrometry. </w:t>
      </w:r>
      <w:r w:rsidRPr="00F155E2">
        <w:rPr>
          <w:rFonts w:ascii="Times New Roman" w:hAnsi="Times New Roman"/>
          <w:i/>
          <w:iCs/>
          <w:sz w:val="20"/>
          <w:szCs w:val="20"/>
        </w:rPr>
        <w:t>Journal of Chromatography A</w:t>
      </w:r>
      <w:r w:rsidRPr="00F155E2">
        <w:rPr>
          <w:rFonts w:ascii="Times New Roman" w:hAnsi="Times New Roman"/>
          <w:sz w:val="20"/>
          <w:szCs w:val="20"/>
        </w:rPr>
        <w:t>, 1307: 34-40.</w:t>
      </w:r>
    </w:p>
    <w:p w14:paraId="27B51E8A"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Ghorbani, M., Aghamohammadhassan, M., Ghorbani, H. and Zabihi, A. (2020). Trends in sorbent development for dispersive micro-solid phase extraction. </w:t>
      </w:r>
      <w:r w:rsidRPr="00F155E2">
        <w:rPr>
          <w:rFonts w:ascii="Times New Roman" w:hAnsi="Times New Roman"/>
          <w:i/>
          <w:iCs/>
          <w:sz w:val="20"/>
          <w:szCs w:val="20"/>
        </w:rPr>
        <w:t>Microchemical Journal</w:t>
      </w:r>
      <w:r w:rsidRPr="00F155E2">
        <w:rPr>
          <w:rFonts w:ascii="Times New Roman" w:hAnsi="Times New Roman"/>
          <w:sz w:val="20"/>
          <w:szCs w:val="20"/>
        </w:rPr>
        <w:t>, 158: 105250.</w:t>
      </w:r>
    </w:p>
    <w:p w14:paraId="6A615BE9"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Jamali M. R., Firouzjah, A. and Rahnama R. (2013). Solvent-assisted dispersive solid phase extraction. </w:t>
      </w:r>
      <w:r w:rsidRPr="00F155E2">
        <w:rPr>
          <w:rFonts w:ascii="Times New Roman" w:hAnsi="Times New Roman"/>
          <w:i/>
          <w:iCs/>
          <w:sz w:val="20"/>
          <w:szCs w:val="20"/>
        </w:rPr>
        <w:t>Talanta</w:t>
      </w:r>
      <w:r w:rsidRPr="00F155E2">
        <w:rPr>
          <w:rFonts w:ascii="Times New Roman" w:hAnsi="Times New Roman"/>
          <w:sz w:val="20"/>
          <w:szCs w:val="20"/>
        </w:rPr>
        <w:t>, 116: 454-459.</w:t>
      </w:r>
    </w:p>
    <w:p w14:paraId="340FFA4C"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Anastassiades, M., Lehotay, S. J., Stajnbaher, D. and Schenck, F. J. (2003). Fast and easy multiresidue method employing acetonitrile extraction/partitioning and “dispersive solid-phase extraction” for the determination of pesticide residues in produce. </w:t>
      </w:r>
      <w:r w:rsidRPr="00F155E2">
        <w:rPr>
          <w:rFonts w:ascii="Times New Roman" w:hAnsi="Times New Roman"/>
          <w:i/>
          <w:iCs/>
          <w:sz w:val="20"/>
          <w:szCs w:val="20"/>
        </w:rPr>
        <w:t>Journal of AOAC International</w:t>
      </w:r>
      <w:r w:rsidRPr="00F155E2">
        <w:rPr>
          <w:rFonts w:ascii="Times New Roman" w:hAnsi="Times New Roman"/>
          <w:sz w:val="20"/>
          <w:szCs w:val="20"/>
        </w:rPr>
        <w:t>, 86(2): 412-431.</w:t>
      </w:r>
    </w:p>
    <w:p w14:paraId="64020ABA"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Amoli-diva, M. and Pourghazi, K. (2018). CoFe</w:t>
      </w:r>
      <w:r w:rsidRPr="00F155E2">
        <w:rPr>
          <w:rFonts w:ascii="Times New Roman" w:hAnsi="Times New Roman"/>
          <w:strike/>
          <w:sz w:val="20"/>
          <w:szCs w:val="20"/>
          <w:vertAlign w:val="subscript"/>
        </w:rPr>
        <w:t>2</w:t>
      </w:r>
      <w:r w:rsidRPr="00F155E2">
        <w:rPr>
          <w:rFonts w:ascii="Times New Roman" w:hAnsi="Times New Roman"/>
          <w:sz w:val="20"/>
          <w:szCs w:val="20"/>
        </w:rPr>
        <w:t>O</w:t>
      </w:r>
      <w:r w:rsidRPr="00F155E2">
        <w:rPr>
          <w:rFonts w:ascii="Times New Roman" w:hAnsi="Times New Roman"/>
          <w:sz w:val="20"/>
          <w:szCs w:val="20"/>
          <w:vertAlign w:val="subscript"/>
        </w:rPr>
        <w:t>4</w:t>
      </w:r>
      <w:r w:rsidRPr="00F155E2">
        <w:rPr>
          <w:rFonts w:ascii="Times New Roman" w:hAnsi="Times New Roman"/>
          <w:sz w:val="20"/>
          <w:szCs w:val="20"/>
        </w:rPr>
        <w:t xml:space="preserve"> nanoparticles grafted multi-walled carbon nanotubes coupled with surfactant-enhanced spectrofluorimetry for determination of ofloxacin in human plasma. </w:t>
      </w:r>
      <w:r w:rsidRPr="00F155E2">
        <w:rPr>
          <w:rFonts w:ascii="Times New Roman" w:hAnsi="Times New Roman"/>
          <w:i/>
          <w:iCs/>
          <w:sz w:val="20"/>
          <w:szCs w:val="20"/>
        </w:rPr>
        <w:t xml:space="preserve">Nanochemistry Research, </w:t>
      </w:r>
      <w:r w:rsidRPr="00F155E2">
        <w:rPr>
          <w:rFonts w:ascii="Times New Roman" w:hAnsi="Times New Roman"/>
          <w:sz w:val="20"/>
          <w:szCs w:val="20"/>
        </w:rPr>
        <w:t>3(1): 17-23.</w:t>
      </w:r>
    </w:p>
    <w:p w14:paraId="3D626899"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Vakh C., Alaboud, M., Lebedinets, S., Korolev, D., Postnov, V., Moskvin, L., Osmolovskaya, O. and Bulatov, A. (2018). An automated magnetic dispersive micro-solid phase extraction in a fluidized reactor for the determination of fluoroquinolones in baby food samples. </w:t>
      </w:r>
      <w:r w:rsidRPr="00F155E2">
        <w:rPr>
          <w:rFonts w:ascii="Times New Roman" w:hAnsi="Times New Roman"/>
          <w:i/>
          <w:iCs/>
          <w:sz w:val="20"/>
          <w:szCs w:val="20"/>
        </w:rPr>
        <w:t>Analytica Chimica Acta,</w:t>
      </w:r>
      <w:r w:rsidRPr="00F155E2">
        <w:rPr>
          <w:rFonts w:ascii="Times New Roman" w:hAnsi="Times New Roman"/>
          <w:sz w:val="20"/>
          <w:szCs w:val="20"/>
        </w:rPr>
        <w:t xml:space="preserve"> 1001: 59-69. </w:t>
      </w:r>
    </w:p>
    <w:p w14:paraId="0353860F"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Chisvert, A., Cardenas, S. and Lucena, R. (2019). Dispersive micro-solid phase extraction. </w:t>
      </w:r>
      <w:r w:rsidRPr="00F155E2">
        <w:rPr>
          <w:rFonts w:ascii="Times New Roman" w:hAnsi="Times New Roman"/>
          <w:i/>
          <w:iCs/>
          <w:sz w:val="20"/>
          <w:szCs w:val="20"/>
        </w:rPr>
        <w:t>Trends in Analytical Chemistry</w:t>
      </w:r>
      <w:r w:rsidRPr="00F155E2">
        <w:rPr>
          <w:rFonts w:ascii="Times New Roman" w:hAnsi="Times New Roman"/>
          <w:sz w:val="20"/>
          <w:szCs w:val="20"/>
        </w:rPr>
        <w:t>, 112: 226-233.</w:t>
      </w:r>
    </w:p>
    <w:p w14:paraId="364AA413" w14:textId="2C0FDCC8" w:rsidR="00F155E2" w:rsidRPr="00F155E2" w:rsidRDefault="00F155E2" w:rsidP="00F155E2">
      <w:pPr>
        <w:pStyle w:val="ListParagraph"/>
        <w:numPr>
          <w:ilvl w:val="0"/>
          <w:numId w:val="6"/>
        </w:numPr>
        <w:spacing w:after="0"/>
        <w:contextualSpacing w:val="0"/>
        <w:jc w:val="both"/>
        <w:rPr>
          <w:rFonts w:ascii="Times New Roman" w:hAnsi="Times New Roman"/>
          <w:sz w:val="20"/>
          <w:szCs w:val="20"/>
          <w:lang w:eastAsia="en-GB"/>
        </w:rPr>
      </w:pPr>
      <w:r w:rsidRPr="00F155E2">
        <w:rPr>
          <w:rFonts w:ascii="Times New Roman" w:hAnsi="Times New Roman"/>
          <w:sz w:val="20"/>
          <w:szCs w:val="20"/>
        </w:rPr>
        <w:t xml:space="preserve">Mohd Hassan, F, W., Muggundha, R., Kamaruzaman, S., Sanagi, M, M., Yoshida, N., Hirota, Y. and Nishiyama, N. (2018). </w:t>
      </w:r>
      <w:r w:rsidRPr="00F155E2">
        <w:rPr>
          <w:rFonts w:ascii="Tahoma" w:hAnsi="Tahoma" w:cs="Tahoma"/>
          <w:sz w:val="20"/>
          <w:szCs w:val="20"/>
        </w:rPr>
        <w:t>﻿</w:t>
      </w:r>
      <w:r w:rsidRPr="00F155E2">
        <w:rPr>
          <w:rFonts w:ascii="Times New Roman" w:hAnsi="Times New Roman"/>
          <w:sz w:val="20"/>
          <w:szCs w:val="20"/>
        </w:rPr>
        <w:t xml:space="preserve">Dispersive liquid–liquid microextraction combined with dispersive solid-phase extraction for gas chromatography with mass spectrometry determination of polycyclic aromatic hydrocarbons in aqueous matrices. </w:t>
      </w:r>
      <w:r w:rsidRPr="00F155E2">
        <w:rPr>
          <w:rFonts w:ascii="Times New Roman" w:hAnsi="Times New Roman"/>
          <w:i/>
          <w:iCs/>
          <w:sz w:val="20"/>
          <w:szCs w:val="20"/>
        </w:rPr>
        <w:t>Journal of Separation Science</w:t>
      </w:r>
      <w:r w:rsidRPr="00F155E2">
        <w:rPr>
          <w:rFonts w:ascii="Times New Roman" w:hAnsi="Times New Roman"/>
          <w:sz w:val="20"/>
          <w:szCs w:val="20"/>
        </w:rPr>
        <w:t xml:space="preserve">, </w:t>
      </w:r>
      <w:r>
        <w:rPr>
          <w:rFonts w:ascii="Times New Roman" w:hAnsi="Times New Roman"/>
          <w:sz w:val="20"/>
          <w:szCs w:val="20"/>
        </w:rPr>
        <w:t>41(19): 3751</w:t>
      </w:r>
      <w:r w:rsidR="004E75AB">
        <w:rPr>
          <w:rFonts w:ascii="Times New Roman" w:hAnsi="Times New Roman"/>
          <w:sz w:val="20"/>
          <w:szCs w:val="20"/>
        </w:rPr>
        <w:t>-3763.</w:t>
      </w:r>
    </w:p>
    <w:p w14:paraId="68853057"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Basheer, C., Han, G. C., Toh, M. H. and Hian, K. L. (2007). Application of porous membrane-protected micro-solid-phase extraction combined with HPLC for the analysis of acidic drugs in wastewater. </w:t>
      </w:r>
      <w:r w:rsidRPr="00F155E2">
        <w:rPr>
          <w:rFonts w:ascii="Times New Roman" w:hAnsi="Times New Roman"/>
          <w:i/>
          <w:iCs/>
          <w:sz w:val="20"/>
          <w:szCs w:val="20"/>
        </w:rPr>
        <w:t>Analytical Chemistry</w:t>
      </w:r>
      <w:r w:rsidRPr="00F155E2">
        <w:rPr>
          <w:rFonts w:ascii="Times New Roman" w:hAnsi="Times New Roman"/>
          <w:sz w:val="20"/>
          <w:szCs w:val="20"/>
        </w:rPr>
        <w:t>, 79(17): 6845-6850.</w:t>
      </w:r>
    </w:p>
    <w:p w14:paraId="589C565E"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Roberts, J. A. (2009). Pharmacokinetic issues for antibiotics in the critically Ill patient. </w:t>
      </w:r>
      <w:r w:rsidRPr="00F155E2">
        <w:rPr>
          <w:rFonts w:ascii="Times New Roman" w:hAnsi="Times New Roman"/>
          <w:i/>
          <w:iCs/>
          <w:sz w:val="20"/>
          <w:szCs w:val="20"/>
        </w:rPr>
        <w:t>Critical Care Medicine</w:t>
      </w:r>
      <w:r w:rsidRPr="00F155E2">
        <w:rPr>
          <w:rFonts w:ascii="Times New Roman" w:hAnsi="Times New Roman"/>
          <w:sz w:val="20"/>
          <w:szCs w:val="20"/>
        </w:rPr>
        <w:t>, 37(3): 840-851.</w:t>
      </w:r>
    </w:p>
    <w:p w14:paraId="374827A9" w14:textId="5FC506C1"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lastRenderedPageBreak/>
        <w:t xml:space="preserve">Borner, K., Borner, E. and Lode, H. (1992). Determination of sparfloxacin in serum and urine by high-performance liquid chromato-graphy.  </w:t>
      </w:r>
      <w:r w:rsidRPr="00F155E2">
        <w:rPr>
          <w:rFonts w:ascii="Times New Roman" w:hAnsi="Times New Roman"/>
          <w:i/>
          <w:iCs/>
          <w:sz w:val="20"/>
          <w:szCs w:val="20"/>
        </w:rPr>
        <w:t>Journal of Chromatography B: Biomedical Sciences and Applications</w:t>
      </w:r>
      <w:r w:rsidRPr="00F155E2">
        <w:rPr>
          <w:rFonts w:ascii="Times New Roman" w:hAnsi="Times New Roman"/>
          <w:sz w:val="20"/>
          <w:szCs w:val="20"/>
        </w:rPr>
        <w:t>, 579(2): 285-289.</w:t>
      </w:r>
    </w:p>
    <w:p w14:paraId="66265B01"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Srinivas, N., Narasu, L., Shankar, B. P. and Mullangi, R. (2008). Development and validation of a HPLC method for simultaneous quantitation of gatifloxacin, sparfloxacin and moxifloxacin using levofloxacin as internal standard in human plasma: Application to a clinical pharmacokinetic study. </w:t>
      </w:r>
      <w:r w:rsidRPr="00F155E2">
        <w:rPr>
          <w:rFonts w:ascii="Times New Roman" w:hAnsi="Times New Roman"/>
          <w:i/>
          <w:iCs/>
          <w:sz w:val="20"/>
          <w:szCs w:val="20"/>
        </w:rPr>
        <w:t>Biomedical Chromatography</w:t>
      </w:r>
      <w:r w:rsidRPr="00F155E2">
        <w:rPr>
          <w:rFonts w:ascii="Times New Roman" w:hAnsi="Times New Roman"/>
          <w:sz w:val="20"/>
          <w:szCs w:val="20"/>
        </w:rPr>
        <w:t>, 22(11): 1288-1295.</w:t>
      </w:r>
    </w:p>
    <w:p w14:paraId="687E22AE" w14:textId="77777777" w:rsidR="00F155E2" w:rsidRPr="00F155E2" w:rsidRDefault="00F155E2" w:rsidP="00F155E2">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Samanidou, V. F., Christodoulou, E. A. and Papadoyannis, I. N. (2005), Determination of fluoroquinolones in edible animal tissue samples by high performance liquid chromatography after solid phase extraction. </w:t>
      </w:r>
      <w:r w:rsidRPr="00F155E2">
        <w:rPr>
          <w:rFonts w:ascii="Times New Roman" w:hAnsi="Times New Roman"/>
          <w:i/>
          <w:iCs/>
          <w:sz w:val="20"/>
          <w:szCs w:val="20"/>
        </w:rPr>
        <w:t>Journal of Separation Science</w:t>
      </w:r>
      <w:r w:rsidRPr="00F155E2">
        <w:rPr>
          <w:rFonts w:ascii="Times New Roman" w:hAnsi="Times New Roman"/>
          <w:sz w:val="20"/>
          <w:szCs w:val="20"/>
        </w:rPr>
        <w:t xml:space="preserve">, 28(6): 555-565. </w:t>
      </w:r>
    </w:p>
    <w:p w14:paraId="719706D8" w14:textId="1DA74CEA" w:rsidR="00F155E2" w:rsidRPr="00F155E2" w:rsidRDefault="00F155E2" w:rsidP="00EB2EED">
      <w:pPr>
        <w:pStyle w:val="ListParagraph"/>
        <w:numPr>
          <w:ilvl w:val="0"/>
          <w:numId w:val="6"/>
        </w:numPr>
        <w:spacing w:after="0"/>
        <w:contextualSpacing w:val="0"/>
        <w:jc w:val="both"/>
        <w:rPr>
          <w:rFonts w:ascii="Times New Roman" w:hAnsi="Times New Roman"/>
          <w:sz w:val="20"/>
          <w:szCs w:val="20"/>
        </w:rPr>
      </w:pPr>
      <w:r w:rsidRPr="00F155E2">
        <w:rPr>
          <w:rFonts w:ascii="Times New Roman" w:hAnsi="Times New Roman"/>
          <w:sz w:val="20"/>
          <w:szCs w:val="20"/>
        </w:rPr>
        <w:t xml:space="preserve">Garcia, M. A., Solans, C., Calvo, A., Royo, M., Hernandez, E.,  Rey, R. and Bregante, M. A. (2002). Analysis of ofloxacin in plasma samples by high-performance  liquid chromatography.   </w:t>
      </w:r>
      <w:r w:rsidRPr="00F155E2">
        <w:rPr>
          <w:rFonts w:ascii="Times New Roman" w:hAnsi="Times New Roman"/>
          <w:i/>
          <w:iCs/>
          <w:sz w:val="20"/>
          <w:szCs w:val="20"/>
        </w:rPr>
        <w:t>Chromatographia</w:t>
      </w:r>
      <w:r w:rsidRPr="00F155E2">
        <w:rPr>
          <w:rFonts w:ascii="Times New Roman" w:hAnsi="Times New Roman"/>
          <w:sz w:val="20"/>
          <w:szCs w:val="20"/>
        </w:rPr>
        <w:t>, 55(7-8): 431-434.</w:t>
      </w:r>
    </w:p>
    <w:p w14:paraId="5FF4CF21" w14:textId="6C5472AB" w:rsidR="003A1F80" w:rsidRPr="006E79D9" w:rsidRDefault="003A1F80" w:rsidP="00EB2EED">
      <w:pPr>
        <w:spacing w:after="0"/>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C43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C43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20F04"/>
    <w:multiLevelType w:val="hybridMultilevel"/>
    <w:tmpl w:val="73AAD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4E75AB"/>
    <w:rsid w:val="005644C8"/>
    <w:rsid w:val="005F401D"/>
    <w:rsid w:val="006E79D9"/>
    <w:rsid w:val="007D0E7F"/>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9022C"/>
    <w:rsid w:val="00C437AB"/>
    <w:rsid w:val="00C71438"/>
    <w:rsid w:val="00C72F3E"/>
    <w:rsid w:val="00C73A4A"/>
    <w:rsid w:val="00CE6DF3"/>
    <w:rsid w:val="00D04BC8"/>
    <w:rsid w:val="00D0718B"/>
    <w:rsid w:val="00D40B1F"/>
    <w:rsid w:val="00D414B9"/>
    <w:rsid w:val="00E67FF6"/>
    <w:rsid w:val="00EA6DE5"/>
    <w:rsid w:val="00EB2EED"/>
    <w:rsid w:val="00F155E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styleId="Title">
    <w:name w:val="Title"/>
    <w:basedOn w:val="Normal"/>
    <w:next w:val="Normal"/>
    <w:link w:val="TitleChar"/>
    <w:uiPriority w:val="10"/>
    <w:qFormat/>
    <w:rsid w:val="00EB2EED"/>
    <w:pPr>
      <w:spacing w:after="0" w:line="240" w:lineRule="auto"/>
      <w:contextualSpacing/>
      <w:jc w:val="center"/>
    </w:pPr>
    <w:rPr>
      <w:rFonts w:ascii="Times New Roman" w:eastAsia="Times New Roman" w:hAnsi="Times New Roman" w:cs="Times New Roman"/>
      <w:caps/>
      <w:sz w:val="28"/>
      <w:szCs w:val="52"/>
      <w:lang w:val="x-none" w:eastAsia="x-none" w:bidi="en-US"/>
    </w:rPr>
  </w:style>
  <w:style w:type="character" w:customStyle="1" w:styleId="TitleChar">
    <w:name w:val="Title Char"/>
    <w:basedOn w:val="DefaultParagraphFont"/>
    <w:link w:val="Title"/>
    <w:uiPriority w:val="10"/>
    <w:rsid w:val="00EB2EED"/>
    <w:rPr>
      <w:rFonts w:ascii="Times New Roman" w:eastAsia="Times New Roman" w:hAnsi="Times New Roman" w:cs="Times New Roman"/>
      <w:caps/>
      <w:sz w:val="28"/>
      <w:szCs w:val="52"/>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Abstract &amp; References Vol 24 No 6 (2020)</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3</cp:revision>
  <cp:lastPrinted>2020-04-01T04:48:00Z</cp:lastPrinted>
  <dcterms:created xsi:type="dcterms:W3CDTF">2020-11-04T02:59:00Z</dcterms:created>
  <dcterms:modified xsi:type="dcterms:W3CDTF">2020-11-27T12:21:00Z</dcterms:modified>
</cp:coreProperties>
</file>