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6CD2B074"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DD66FA">
        <w:rPr>
          <w:rFonts w:ascii="Times New Roman" w:hAnsi="Times New Roman" w:cs="Times New Roman"/>
          <w:b/>
          <w:i/>
          <w:sz w:val="24"/>
          <w:szCs w:val="24"/>
        </w:rPr>
        <w:t>1002</w:t>
      </w:r>
      <w:r w:rsidR="003A1F80" w:rsidRPr="006E79D9">
        <w:rPr>
          <w:rFonts w:ascii="Times New Roman" w:hAnsi="Times New Roman" w:cs="Times New Roman"/>
          <w:b/>
          <w:i/>
          <w:sz w:val="24"/>
          <w:szCs w:val="24"/>
        </w:rPr>
        <w:t xml:space="preserve"> - </w:t>
      </w:r>
      <w:r w:rsidR="00DD66FA">
        <w:rPr>
          <w:rFonts w:ascii="Times New Roman" w:hAnsi="Times New Roman" w:cs="Times New Roman"/>
          <w:b/>
          <w:i/>
          <w:sz w:val="24"/>
          <w:szCs w:val="24"/>
        </w:rPr>
        <w:t>1012</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171154E" w14:textId="77777777" w:rsidR="00DD66FA" w:rsidRPr="007B350E" w:rsidRDefault="00DD66FA" w:rsidP="00DD66FA">
      <w:pPr>
        <w:spacing w:after="0"/>
        <w:jc w:val="center"/>
        <w:rPr>
          <w:rFonts w:ascii="Times New Roman" w:hAnsi="Times New Roman"/>
          <w:i/>
          <w:iCs/>
          <w:sz w:val="28"/>
          <w:lang w:val="en-GB"/>
        </w:rPr>
      </w:pPr>
      <w:r w:rsidRPr="007B350E">
        <w:rPr>
          <w:rFonts w:ascii="Times New Roman" w:hAnsi="Times New Roman"/>
          <w:sz w:val="28"/>
          <w:lang w:val="en-GB"/>
        </w:rPr>
        <w:t xml:space="preserve">EFFECT OF AUXIN AND METHYL JASMONATE ON </w:t>
      </w:r>
      <w:r w:rsidRPr="007B350E">
        <w:rPr>
          <w:rFonts w:ascii="Times New Roman" w:hAnsi="Times New Roman"/>
          <w:sz w:val="28"/>
          <w:szCs w:val="28"/>
          <w:lang w:val="en-GB"/>
        </w:rPr>
        <w:t xml:space="preserve">TOTAL PHENOLIC CONTENT AND TOTAL FLAVONOID CONTENT </w:t>
      </w:r>
      <w:r w:rsidRPr="007B350E">
        <w:rPr>
          <w:rFonts w:ascii="Times New Roman" w:hAnsi="Times New Roman"/>
          <w:sz w:val="28"/>
          <w:lang w:val="en-GB"/>
        </w:rPr>
        <w:t xml:space="preserve">IN ADVENTITIOUS ROOTS OF </w:t>
      </w:r>
      <w:r w:rsidRPr="007B350E">
        <w:rPr>
          <w:rFonts w:ascii="Times New Roman" w:hAnsi="Times New Roman"/>
          <w:i/>
          <w:iCs/>
          <w:sz w:val="28"/>
          <w:lang w:val="en-GB"/>
        </w:rPr>
        <w:t>Justicia gendarussa</w:t>
      </w:r>
    </w:p>
    <w:p w14:paraId="2A4B24CF" w14:textId="77777777" w:rsidR="00DD66FA" w:rsidRPr="007B350E" w:rsidRDefault="00DD66FA" w:rsidP="00DD66FA">
      <w:pPr>
        <w:spacing w:after="0"/>
        <w:jc w:val="center"/>
      </w:pPr>
    </w:p>
    <w:p w14:paraId="1FCFDA04" w14:textId="77777777" w:rsidR="00DD66FA" w:rsidRPr="00FD6D27" w:rsidRDefault="00DD66FA" w:rsidP="00DD66FA">
      <w:pPr>
        <w:pStyle w:val="HTMLPreformatted"/>
        <w:spacing w:line="276" w:lineRule="auto"/>
        <w:jc w:val="center"/>
        <w:rPr>
          <w:rFonts w:ascii="Times New Roman" w:hAnsi="Times New Roman" w:cs="Times New Roman"/>
          <w:sz w:val="24"/>
          <w:szCs w:val="24"/>
          <w:lang w:val="en-GB"/>
        </w:rPr>
      </w:pPr>
      <w:r w:rsidRPr="007B350E">
        <w:rPr>
          <w:rFonts w:ascii="Times New Roman" w:hAnsi="Times New Roman" w:cs="Times New Roman"/>
          <w:sz w:val="24"/>
          <w:lang w:val="en-GB"/>
        </w:rPr>
        <w:t>(</w:t>
      </w:r>
      <w:r w:rsidRPr="007B350E">
        <w:rPr>
          <w:rFonts w:ascii="Times New Roman" w:hAnsi="Times New Roman" w:cs="Times New Roman"/>
          <w:sz w:val="24"/>
          <w:szCs w:val="24"/>
          <w:lang w:val="en-GB"/>
        </w:rPr>
        <w:t xml:space="preserve">Kesan Auksin </w:t>
      </w:r>
      <w:r>
        <w:rPr>
          <w:rFonts w:ascii="Times New Roman" w:hAnsi="Times New Roman" w:cs="Times New Roman"/>
          <w:sz w:val="24"/>
          <w:szCs w:val="24"/>
          <w:lang w:val="en-GB"/>
        </w:rPr>
        <w:t>d</w:t>
      </w:r>
      <w:r w:rsidRPr="007B350E">
        <w:rPr>
          <w:rFonts w:ascii="Times New Roman" w:hAnsi="Times New Roman" w:cs="Times New Roman"/>
          <w:sz w:val="24"/>
          <w:szCs w:val="24"/>
          <w:lang w:val="en-GB"/>
        </w:rPr>
        <w:t xml:space="preserve">an Metil Jasmonat </w:t>
      </w:r>
      <w:r>
        <w:rPr>
          <w:rFonts w:ascii="Times New Roman" w:hAnsi="Times New Roman" w:cs="Times New Roman"/>
          <w:sz w:val="24"/>
          <w:szCs w:val="24"/>
          <w:lang w:val="en-GB"/>
        </w:rPr>
        <w:t>k</w:t>
      </w:r>
      <w:r w:rsidRPr="007B350E">
        <w:rPr>
          <w:rFonts w:ascii="Times New Roman" w:hAnsi="Times New Roman" w:cs="Times New Roman"/>
          <w:sz w:val="24"/>
          <w:szCs w:val="24"/>
          <w:lang w:val="en-GB"/>
        </w:rPr>
        <w:t xml:space="preserve">e </w:t>
      </w:r>
      <w:r>
        <w:rPr>
          <w:rFonts w:ascii="Times New Roman" w:hAnsi="Times New Roman" w:cs="Times New Roman"/>
          <w:sz w:val="24"/>
          <w:szCs w:val="24"/>
          <w:lang w:val="en-GB"/>
        </w:rPr>
        <w:t>a</w:t>
      </w:r>
      <w:r w:rsidRPr="007B350E">
        <w:rPr>
          <w:rFonts w:ascii="Times New Roman" w:hAnsi="Times New Roman" w:cs="Times New Roman"/>
          <w:sz w:val="24"/>
          <w:szCs w:val="24"/>
          <w:lang w:val="en-GB"/>
        </w:rPr>
        <w:t>tas Jumlah Kandungan Fenolik</w:t>
      </w:r>
      <w:r>
        <w:rPr>
          <w:rFonts w:ascii="Times New Roman" w:hAnsi="Times New Roman" w:cs="Times New Roman"/>
          <w:sz w:val="24"/>
          <w:szCs w:val="24"/>
          <w:lang w:val="en-GB"/>
        </w:rPr>
        <w:t xml:space="preserve"> d</w:t>
      </w:r>
      <w:r w:rsidRPr="007B350E">
        <w:rPr>
          <w:rFonts w:ascii="Times New Roman" w:hAnsi="Times New Roman" w:cs="Times New Roman"/>
          <w:sz w:val="24"/>
          <w:szCs w:val="24"/>
          <w:lang w:val="en-GB"/>
        </w:rPr>
        <w:t xml:space="preserve">an Flavonoid </w:t>
      </w:r>
      <w:r>
        <w:rPr>
          <w:rFonts w:ascii="Times New Roman" w:hAnsi="Times New Roman" w:cs="Times New Roman"/>
          <w:sz w:val="24"/>
          <w:szCs w:val="24"/>
          <w:lang w:val="en-GB"/>
        </w:rPr>
        <w:t>d</w:t>
      </w:r>
      <w:r w:rsidRPr="007B350E">
        <w:rPr>
          <w:rFonts w:ascii="Times New Roman" w:hAnsi="Times New Roman" w:cs="Times New Roman"/>
          <w:sz w:val="24"/>
          <w:szCs w:val="24"/>
          <w:lang w:val="en-GB"/>
        </w:rPr>
        <w:t xml:space="preserve">alam Akar Adventitius </w:t>
      </w:r>
      <w:r w:rsidRPr="007B350E">
        <w:rPr>
          <w:rFonts w:ascii="Times New Roman" w:hAnsi="Times New Roman" w:cs="Times New Roman"/>
          <w:i/>
          <w:iCs/>
          <w:sz w:val="24"/>
          <w:szCs w:val="24"/>
          <w:lang w:val="en-GB"/>
        </w:rPr>
        <w:t>Justicia gendarussa</w:t>
      </w:r>
      <w:r w:rsidRPr="007B350E">
        <w:rPr>
          <w:rFonts w:ascii="Times New Roman" w:hAnsi="Times New Roman" w:cs="Times New Roman"/>
          <w:sz w:val="24"/>
          <w:lang w:val="en-GB"/>
        </w:rPr>
        <w:t>)</w:t>
      </w:r>
    </w:p>
    <w:p w14:paraId="03EB8381" w14:textId="77777777" w:rsidR="00DD66FA" w:rsidRPr="00A74A24" w:rsidRDefault="00DD66FA" w:rsidP="00DD66FA">
      <w:pPr>
        <w:spacing w:after="0"/>
        <w:jc w:val="center"/>
        <w:rPr>
          <w:rFonts w:ascii="Times New Roman" w:hAnsi="Times New Roman"/>
          <w:sz w:val="20"/>
          <w:szCs w:val="20"/>
        </w:rPr>
      </w:pPr>
    </w:p>
    <w:p w14:paraId="7D209A3E" w14:textId="77777777" w:rsidR="00DD66FA" w:rsidRPr="00FD6D27" w:rsidRDefault="00DD66FA" w:rsidP="00DD66FA">
      <w:pPr>
        <w:spacing w:after="0"/>
        <w:jc w:val="center"/>
        <w:rPr>
          <w:rFonts w:ascii="Times New Roman" w:hAnsi="Times New Roman"/>
          <w:sz w:val="20"/>
          <w:szCs w:val="20"/>
          <w:vertAlign w:val="superscript"/>
          <w:lang w:val="en-GB"/>
        </w:rPr>
      </w:pPr>
      <w:r w:rsidRPr="00FD6D27">
        <w:rPr>
          <w:rFonts w:ascii="Times New Roman" w:hAnsi="Times New Roman"/>
          <w:sz w:val="20"/>
          <w:szCs w:val="20"/>
          <w:lang w:val="en-GB"/>
        </w:rPr>
        <w:t>Noor Khaleeda Arsad and Azman Abd Samad*</w:t>
      </w:r>
    </w:p>
    <w:p w14:paraId="66CA2712" w14:textId="77777777" w:rsidR="00DD66FA" w:rsidRPr="00DD66FA" w:rsidRDefault="00DD66FA" w:rsidP="00DD66FA">
      <w:pPr>
        <w:spacing w:after="0"/>
        <w:jc w:val="center"/>
        <w:rPr>
          <w:rFonts w:ascii="Times New Roman" w:hAnsi="Times New Roman"/>
          <w:sz w:val="20"/>
          <w:szCs w:val="20"/>
        </w:rPr>
      </w:pPr>
    </w:p>
    <w:p w14:paraId="7449C2C4" w14:textId="77777777" w:rsidR="00DD66FA" w:rsidRPr="00DD66FA" w:rsidRDefault="00DD66FA" w:rsidP="00DD66FA">
      <w:pPr>
        <w:spacing w:after="0"/>
        <w:jc w:val="center"/>
        <w:rPr>
          <w:rFonts w:ascii="Times New Roman" w:hAnsi="Times New Roman"/>
          <w:i/>
          <w:sz w:val="20"/>
          <w:szCs w:val="20"/>
          <w:lang w:val="en-GB"/>
        </w:rPr>
      </w:pPr>
      <w:r w:rsidRPr="00DD66FA">
        <w:rPr>
          <w:rFonts w:ascii="Times New Roman" w:hAnsi="Times New Roman"/>
          <w:i/>
          <w:sz w:val="20"/>
          <w:szCs w:val="20"/>
          <w:lang w:val="en-GB"/>
        </w:rPr>
        <w:t>Department of Biosciences, Faculty of Science</w:t>
      </w:r>
    </w:p>
    <w:p w14:paraId="4CC1C241" w14:textId="77777777" w:rsidR="00DD66FA" w:rsidRPr="00DD66FA" w:rsidRDefault="00DD66FA" w:rsidP="00DD66FA">
      <w:pPr>
        <w:spacing w:after="0"/>
        <w:jc w:val="center"/>
        <w:rPr>
          <w:rFonts w:ascii="Times New Roman" w:hAnsi="Times New Roman"/>
          <w:i/>
          <w:sz w:val="20"/>
          <w:szCs w:val="20"/>
          <w:lang w:val="en-GB"/>
        </w:rPr>
      </w:pPr>
      <w:r w:rsidRPr="00DD66FA">
        <w:rPr>
          <w:rFonts w:ascii="Times New Roman" w:hAnsi="Times New Roman"/>
          <w:i/>
          <w:sz w:val="20"/>
          <w:szCs w:val="20"/>
          <w:lang w:val="en-GB"/>
        </w:rPr>
        <w:t>Universiti Teknologi Malaysia, 81310 Johor Bahru, Johor, Malaysia</w:t>
      </w:r>
    </w:p>
    <w:p w14:paraId="40460491" w14:textId="77777777" w:rsidR="00DD66FA" w:rsidRPr="00DD66FA" w:rsidRDefault="00DD66FA" w:rsidP="00DD66FA">
      <w:pPr>
        <w:spacing w:after="0"/>
        <w:jc w:val="center"/>
        <w:rPr>
          <w:sz w:val="20"/>
          <w:szCs w:val="20"/>
        </w:rPr>
      </w:pPr>
    </w:p>
    <w:p w14:paraId="5929F70E" w14:textId="77777777" w:rsidR="00DD66FA" w:rsidRPr="00DD66FA" w:rsidRDefault="00DD66FA" w:rsidP="00DD66FA">
      <w:pPr>
        <w:spacing w:after="0"/>
        <w:jc w:val="center"/>
        <w:rPr>
          <w:rFonts w:ascii="Times New Roman" w:hAnsi="Times New Roman"/>
          <w:i/>
          <w:sz w:val="20"/>
          <w:szCs w:val="20"/>
          <w:lang w:val="en-GB"/>
        </w:rPr>
      </w:pPr>
      <w:r w:rsidRPr="00DD66FA">
        <w:rPr>
          <w:rFonts w:ascii="Times New Roman" w:hAnsi="Times New Roman"/>
          <w:i/>
          <w:sz w:val="20"/>
          <w:szCs w:val="20"/>
          <w:lang w:val="en-GB"/>
        </w:rPr>
        <w:t>*Corresponding author:  azmansamad@utm.my</w:t>
      </w:r>
    </w:p>
    <w:p w14:paraId="39F7BFC2" w14:textId="77777777" w:rsidR="00DD66FA" w:rsidRPr="00DD66FA" w:rsidRDefault="00DD66FA" w:rsidP="00DD66FA">
      <w:pPr>
        <w:spacing w:after="0"/>
        <w:jc w:val="center"/>
        <w:rPr>
          <w:rFonts w:ascii="Times New Roman" w:hAnsi="Times New Roman"/>
          <w:noProof/>
          <w:sz w:val="20"/>
          <w:szCs w:val="20"/>
        </w:rPr>
      </w:pPr>
    </w:p>
    <w:p w14:paraId="70844FFD" w14:textId="77777777" w:rsidR="00DD66FA" w:rsidRPr="00DD66FA" w:rsidRDefault="00DD66FA" w:rsidP="00DD66FA">
      <w:pPr>
        <w:spacing w:after="0"/>
        <w:jc w:val="center"/>
        <w:rPr>
          <w:rFonts w:ascii="Times New Roman" w:hAnsi="Times New Roman"/>
          <w:noProof/>
          <w:sz w:val="20"/>
          <w:szCs w:val="20"/>
        </w:rPr>
      </w:pPr>
    </w:p>
    <w:p w14:paraId="1EFD86F0" w14:textId="77777777" w:rsidR="00DD66FA" w:rsidRPr="00DD66FA" w:rsidRDefault="00DD66FA" w:rsidP="00DD66FA">
      <w:pPr>
        <w:spacing w:after="0"/>
        <w:jc w:val="center"/>
        <w:rPr>
          <w:rFonts w:ascii="Times New Roman" w:hAnsi="Times New Roman"/>
          <w:noProof/>
          <w:sz w:val="20"/>
          <w:szCs w:val="20"/>
        </w:rPr>
      </w:pPr>
      <w:r w:rsidRPr="00DD66FA">
        <w:rPr>
          <w:rFonts w:ascii="Times New Roman" w:hAnsi="Times New Roman"/>
          <w:noProof/>
          <w:sz w:val="20"/>
          <w:szCs w:val="20"/>
        </w:rPr>
        <w:t>Received: 18 July 2019; Accepted: 20 July 2020; Published: xx December 2020</w:t>
      </w:r>
    </w:p>
    <w:p w14:paraId="7F2E598F" w14:textId="77777777" w:rsidR="00DD66FA" w:rsidRPr="00DD66FA" w:rsidRDefault="00DD66FA" w:rsidP="00DD66FA">
      <w:pPr>
        <w:spacing w:after="0"/>
        <w:jc w:val="center"/>
        <w:rPr>
          <w:rFonts w:ascii="Times New Roman" w:hAnsi="Times New Roman"/>
          <w:noProof/>
          <w:sz w:val="20"/>
          <w:szCs w:val="20"/>
        </w:rPr>
      </w:pPr>
    </w:p>
    <w:p w14:paraId="302EC1E1" w14:textId="77777777" w:rsidR="00DD66FA" w:rsidRPr="00DD66FA" w:rsidRDefault="00DD66FA" w:rsidP="00DD66FA">
      <w:pPr>
        <w:spacing w:after="0"/>
        <w:jc w:val="center"/>
        <w:rPr>
          <w:rFonts w:ascii="Times New Roman" w:hAnsi="Times New Roman"/>
          <w:noProof/>
          <w:sz w:val="20"/>
          <w:szCs w:val="20"/>
        </w:rPr>
      </w:pPr>
    </w:p>
    <w:p w14:paraId="0CD0A331" w14:textId="77777777" w:rsidR="00DD66FA" w:rsidRPr="00DD66FA" w:rsidRDefault="00DD66FA" w:rsidP="00DD66FA">
      <w:pPr>
        <w:spacing w:after="0"/>
        <w:jc w:val="center"/>
        <w:rPr>
          <w:rFonts w:ascii="Times New Roman" w:hAnsi="Times New Roman"/>
          <w:b/>
          <w:noProof/>
          <w:sz w:val="20"/>
          <w:szCs w:val="20"/>
        </w:rPr>
      </w:pPr>
      <w:r w:rsidRPr="00DD66FA">
        <w:rPr>
          <w:rFonts w:ascii="Times New Roman" w:hAnsi="Times New Roman"/>
          <w:b/>
          <w:noProof/>
          <w:sz w:val="20"/>
          <w:szCs w:val="20"/>
        </w:rPr>
        <w:t>Abstract</w:t>
      </w:r>
    </w:p>
    <w:p w14:paraId="3B114918" w14:textId="77777777" w:rsidR="00DD66FA" w:rsidRPr="00DD66FA" w:rsidRDefault="00DD66FA" w:rsidP="00DD66FA">
      <w:pPr>
        <w:spacing w:after="0"/>
        <w:jc w:val="both"/>
        <w:rPr>
          <w:rFonts w:ascii="Times New Roman" w:eastAsia="Calibri" w:hAnsi="Times New Roman"/>
          <w:sz w:val="20"/>
          <w:szCs w:val="20"/>
          <w:lang w:val="en-GB"/>
        </w:rPr>
      </w:pPr>
      <w:r w:rsidRPr="00DD66FA">
        <w:rPr>
          <w:rFonts w:ascii="Times New Roman" w:hAnsi="Times New Roman"/>
          <w:i/>
          <w:iCs/>
          <w:sz w:val="20"/>
          <w:szCs w:val="20"/>
          <w:lang w:val="en-GB"/>
        </w:rPr>
        <w:t xml:space="preserve">Justicia gendarussa </w:t>
      </w:r>
      <w:r w:rsidRPr="00DD66FA">
        <w:rPr>
          <w:rFonts w:ascii="Times New Roman" w:hAnsi="Times New Roman"/>
          <w:sz w:val="20"/>
          <w:szCs w:val="20"/>
          <w:lang w:val="en-GB"/>
        </w:rPr>
        <w:t xml:space="preserve">or known as </w:t>
      </w:r>
      <w:r w:rsidRPr="00DD66FA">
        <w:rPr>
          <w:rFonts w:ascii="Times New Roman" w:hAnsi="Times New Roman"/>
          <w:i/>
          <w:iCs/>
          <w:sz w:val="20"/>
          <w:szCs w:val="20"/>
          <w:lang w:val="en-GB"/>
        </w:rPr>
        <w:t>gandarusa</w:t>
      </w:r>
      <w:r w:rsidRPr="00DD66FA">
        <w:rPr>
          <w:rFonts w:ascii="Times New Roman" w:hAnsi="Times New Roman"/>
          <w:iCs/>
          <w:sz w:val="20"/>
          <w:szCs w:val="20"/>
          <w:lang w:val="en-GB"/>
        </w:rPr>
        <w:t>,</w:t>
      </w:r>
      <w:r w:rsidRPr="00DD66FA">
        <w:rPr>
          <w:rFonts w:ascii="Times New Roman" w:hAnsi="Times New Roman"/>
          <w:sz w:val="20"/>
          <w:szCs w:val="20"/>
          <w:lang w:val="en-GB"/>
        </w:rPr>
        <w:t xml:space="preserve"> a member of the Acanthaceae family, is recognised for its medicinal properties. To date, the optimisation of total phenolic and total flavonoid contents in adventitious root biomass of </w:t>
      </w:r>
      <w:r w:rsidRPr="00DD66FA">
        <w:rPr>
          <w:rFonts w:ascii="Times New Roman" w:hAnsi="Times New Roman"/>
          <w:i/>
          <w:sz w:val="20"/>
          <w:szCs w:val="20"/>
          <w:lang w:val="en-GB"/>
        </w:rPr>
        <w:t>J. gendarussa</w:t>
      </w:r>
      <w:r w:rsidRPr="00DD66FA">
        <w:rPr>
          <w:rFonts w:ascii="Times New Roman" w:hAnsi="Times New Roman"/>
          <w:sz w:val="20"/>
          <w:szCs w:val="20"/>
          <w:lang w:val="en-GB"/>
        </w:rPr>
        <w:t xml:space="preserve"> has not been reported. Therefore, in this study, the effects of auxins and methyl jasmonate (MeJa) on adventitious root biomass, total phenolic content (TPC), and total flavonoid content (TFC) of </w:t>
      </w:r>
      <w:r w:rsidRPr="00DD66FA">
        <w:rPr>
          <w:rFonts w:ascii="Times New Roman" w:hAnsi="Times New Roman"/>
          <w:i/>
          <w:iCs/>
          <w:sz w:val="20"/>
          <w:szCs w:val="20"/>
          <w:lang w:val="en-GB"/>
        </w:rPr>
        <w:t>J. gendarussa</w:t>
      </w:r>
      <w:r w:rsidRPr="00DD66FA">
        <w:rPr>
          <w:rFonts w:ascii="Times New Roman" w:hAnsi="Times New Roman"/>
          <w:iCs/>
          <w:sz w:val="20"/>
          <w:szCs w:val="20"/>
          <w:lang w:val="en-GB"/>
        </w:rPr>
        <w:t xml:space="preserve"> were investigated</w:t>
      </w:r>
      <w:r w:rsidRPr="00DD66FA">
        <w:rPr>
          <w:rFonts w:ascii="Times New Roman" w:hAnsi="Times New Roman"/>
          <w:sz w:val="20"/>
          <w:szCs w:val="20"/>
          <w:lang w:val="en-GB"/>
        </w:rPr>
        <w:t>. Adventitious root induction from leaf explant was studied when treated with different concentrations of indole butyric acid (IBA), indole acetic acid (IAA), and naphthalene acetic acid (NAA). The total phenolic content (TPC) and total flavonoid content (TFC) were recorded after 7 weeks of cultures. Results demonstrated that the maximum root biomass was obtained when treated with 2 mg/L IAA (1591.40 ± 14.14 mg).  Analysis of TPC and TFC revealed that the combination of 2 mg/L IAA + 0.5 mg/L NAA had an optimum value of 0.30 ± 0.02 mg gallic acid equivalent/g dry roots and 0.24 ± 0.01 mg of (+) catechin equivalent/g dry roots, respectively. However, the addition of MeJa had reduced the root biomass, TPC, and TFC. In conclusion, a combination of IAA and NAA had a positive effect on root biomass, TPC, and TFC values.</w:t>
      </w:r>
    </w:p>
    <w:p w14:paraId="212E03B3" w14:textId="77777777" w:rsidR="00DD66FA" w:rsidRPr="00DD66FA" w:rsidRDefault="00DD66FA" w:rsidP="00DD66FA">
      <w:pPr>
        <w:spacing w:after="0"/>
        <w:jc w:val="both"/>
        <w:rPr>
          <w:sz w:val="20"/>
          <w:szCs w:val="20"/>
        </w:rPr>
      </w:pPr>
    </w:p>
    <w:p w14:paraId="7D50A5AB" w14:textId="77777777" w:rsidR="00DD66FA" w:rsidRPr="00DD66FA" w:rsidRDefault="00DD66FA" w:rsidP="00DD66FA">
      <w:pPr>
        <w:spacing w:after="0"/>
        <w:jc w:val="both"/>
        <w:rPr>
          <w:rFonts w:ascii="Times New Roman" w:hAnsi="Times New Roman"/>
          <w:sz w:val="20"/>
          <w:szCs w:val="20"/>
          <w:lang w:val="en-GB"/>
        </w:rPr>
      </w:pPr>
      <w:r w:rsidRPr="00DD66FA">
        <w:rPr>
          <w:rFonts w:ascii="Times New Roman" w:hAnsi="Times New Roman"/>
          <w:b/>
          <w:sz w:val="20"/>
          <w:szCs w:val="20"/>
          <w:lang w:val="en-GB"/>
        </w:rPr>
        <w:t>Keywords</w:t>
      </w:r>
      <w:r w:rsidRPr="00DD66FA">
        <w:rPr>
          <w:rFonts w:ascii="Times New Roman" w:hAnsi="Times New Roman"/>
          <w:sz w:val="20"/>
          <w:szCs w:val="20"/>
          <w:lang w:val="en-GB"/>
        </w:rPr>
        <w:t xml:space="preserve">:  adventitious root, </w:t>
      </w:r>
      <w:r w:rsidRPr="00DD66FA">
        <w:rPr>
          <w:rFonts w:ascii="Times New Roman" w:hAnsi="Times New Roman"/>
          <w:i/>
          <w:iCs/>
          <w:sz w:val="20"/>
          <w:szCs w:val="20"/>
          <w:lang w:val="en-GB"/>
        </w:rPr>
        <w:t>Justicia gendarussa</w:t>
      </w:r>
      <w:r w:rsidRPr="00DD66FA">
        <w:rPr>
          <w:rFonts w:ascii="Times New Roman" w:hAnsi="Times New Roman"/>
          <w:sz w:val="20"/>
          <w:szCs w:val="20"/>
          <w:lang w:val="en-GB"/>
        </w:rPr>
        <w:t xml:space="preserve">, methyl jasmonate, flavonoid, phenolic </w:t>
      </w:r>
    </w:p>
    <w:p w14:paraId="19F08171" w14:textId="77777777" w:rsidR="00DD66FA" w:rsidRPr="00DD66FA" w:rsidRDefault="00DD66FA" w:rsidP="00DD66FA">
      <w:pPr>
        <w:spacing w:after="0"/>
        <w:jc w:val="center"/>
        <w:rPr>
          <w:sz w:val="20"/>
          <w:szCs w:val="20"/>
        </w:rPr>
      </w:pPr>
    </w:p>
    <w:p w14:paraId="3AA28A51" w14:textId="77777777" w:rsidR="00DD66FA" w:rsidRPr="00DD66FA" w:rsidRDefault="00DD66FA" w:rsidP="00DD66FA">
      <w:pPr>
        <w:spacing w:after="0"/>
        <w:jc w:val="center"/>
        <w:outlineLvl w:val="0"/>
        <w:rPr>
          <w:rFonts w:ascii="Times New Roman" w:hAnsi="Times New Roman"/>
          <w:b/>
          <w:sz w:val="20"/>
          <w:szCs w:val="20"/>
          <w:lang w:val="ms-MY"/>
        </w:rPr>
      </w:pPr>
      <w:r w:rsidRPr="00DD66FA">
        <w:rPr>
          <w:rFonts w:ascii="Times New Roman" w:hAnsi="Times New Roman"/>
          <w:b/>
          <w:sz w:val="20"/>
          <w:szCs w:val="20"/>
          <w:lang w:val="ms-MY"/>
        </w:rPr>
        <w:t>Abstrak</w:t>
      </w:r>
    </w:p>
    <w:p w14:paraId="08A11D18" w14:textId="77777777" w:rsidR="00DD66FA" w:rsidRPr="00DD66FA" w:rsidRDefault="00DD66FA" w:rsidP="00DD66FA">
      <w:pPr>
        <w:spacing w:after="0"/>
        <w:jc w:val="both"/>
        <w:rPr>
          <w:rFonts w:ascii="Times New Roman" w:hAnsi="Times New Roman"/>
          <w:sz w:val="20"/>
          <w:szCs w:val="20"/>
          <w:shd w:val="clear" w:color="auto" w:fill="FFFFFF"/>
          <w:lang w:val="ms-MY"/>
        </w:rPr>
      </w:pPr>
      <w:r w:rsidRPr="00DD66FA">
        <w:rPr>
          <w:rFonts w:ascii="Times New Roman" w:hAnsi="Times New Roman"/>
          <w:i/>
          <w:iCs/>
          <w:sz w:val="20"/>
          <w:szCs w:val="20"/>
          <w:shd w:val="clear" w:color="auto" w:fill="FFFFFF"/>
          <w:lang w:val="ms-MY"/>
        </w:rPr>
        <w:t>Justicia gendarussa</w:t>
      </w:r>
      <w:r w:rsidRPr="00DD66FA">
        <w:rPr>
          <w:rFonts w:ascii="Times New Roman" w:hAnsi="Times New Roman"/>
          <w:sz w:val="20"/>
          <w:szCs w:val="20"/>
          <w:shd w:val="clear" w:color="auto" w:fill="FFFFFF"/>
          <w:lang w:val="ms-MY"/>
        </w:rPr>
        <w:t xml:space="preserve"> atau juga dikenali sebagai gandarusa, adalah ahli keluarga Acanthaceae yang terkenal dengan ciri-ciri perubatan. Sehingga kini, pengoptimuman jumlah kandungan fenolik dan kandungan flavonoid di dalam </w:t>
      </w:r>
      <w:r w:rsidRPr="00DD66FA">
        <w:rPr>
          <w:rFonts w:ascii="Times New Roman" w:hAnsi="Times New Roman"/>
          <w:sz w:val="20"/>
          <w:szCs w:val="20"/>
          <w:shd w:val="clear" w:color="auto" w:fill="FFFFFF"/>
          <w:lang w:val="ms-MY"/>
        </w:rPr>
        <w:lastRenderedPageBreak/>
        <w:t xml:space="preserve">akar adventitius masih belum dilaporkan. Oleh sebab itu, kajian ini dijalankan untuk menentukan kesan auksin dan metil jasmonat (MeJa) terhadap biojisim akar, jumlah kandungan fenolik (TPC), dan jumlah kandungan flavonoid (TFC) dalam akar adventitius </w:t>
      </w:r>
      <w:r w:rsidRPr="00DD66FA">
        <w:rPr>
          <w:rFonts w:ascii="Times New Roman" w:hAnsi="Times New Roman"/>
          <w:i/>
          <w:iCs/>
          <w:sz w:val="20"/>
          <w:szCs w:val="20"/>
          <w:shd w:val="clear" w:color="auto" w:fill="FFFFFF"/>
          <w:lang w:val="ms-MY"/>
        </w:rPr>
        <w:t>J. gendarussa</w:t>
      </w:r>
      <w:r w:rsidRPr="00DD66FA">
        <w:rPr>
          <w:rFonts w:ascii="Times New Roman" w:hAnsi="Times New Roman"/>
          <w:sz w:val="20"/>
          <w:szCs w:val="20"/>
          <w:shd w:val="clear" w:color="auto" w:fill="FFFFFF"/>
          <w:lang w:val="ms-MY"/>
        </w:rPr>
        <w:t>. Pengaruhan akar adventitius daripada eksplan daun yang dirawat telah dikaji dengan pelbagai kepekatan asid indol butirik (IBA), asid indol asetik (IAA), dan asid naftalena asetik (NAA). Analisa kandungan TPC dan TFC telah direkodkan selepas 7 minggu rawatan. Keputusan menunjukkan bahawa biojisim akar yang maksimum diperolehi pada rawatan 2 mg/L IAA (1591.40 ± 14.14) mg. Analisa TPC dan TFC pula menunjukkan bahawa gabungan rawatan 2 mg/L IAA + 0.5 mg/L NAA mencapai nilai optimum TPC (0.30 ± 0.02</w:t>
      </w:r>
      <w:r w:rsidRPr="00DD66FA">
        <w:rPr>
          <w:rFonts w:ascii="Times New Roman" w:hAnsi="Times New Roman"/>
          <w:sz w:val="20"/>
          <w:szCs w:val="20"/>
          <w:lang w:val="ms-MY"/>
        </w:rPr>
        <w:t xml:space="preserve"> mg asid galik yang setara per gram akar kering</w:t>
      </w:r>
      <w:r w:rsidRPr="00DD66FA">
        <w:rPr>
          <w:rFonts w:ascii="Times New Roman" w:hAnsi="Times New Roman"/>
          <w:sz w:val="20"/>
          <w:szCs w:val="20"/>
          <w:shd w:val="clear" w:color="auto" w:fill="FFFFFF"/>
          <w:lang w:val="ms-MY"/>
        </w:rPr>
        <w:t>) dan TFC (0.24 ± 0.01</w:t>
      </w:r>
      <w:r w:rsidRPr="00DD66FA">
        <w:rPr>
          <w:rFonts w:ascii="Times New Roman" w:hAnsi="Times New Roman"/>
          <w:sz w:val="20"/>
          <w:szCs w:val="20"/>
          <w:lang w:val="ms-MY"/>
        </w:rPr>
        <w:t xml:space="preserve"> mg (+) katekin yang setara per gram akar kering</w:t>
      </w:r>
      <w:r w:rsidRPr="00DD66FA">
        <w:rPr>
          <w:rFonts w:ascii="Times New Roman" w:hAnsi="Times New Roman"/>
          <w:sz w:val="20"/>
          <w:szCs w:val="20"/>
          <w:shd w:val="clear" w:color="auto" w:fill="FFFFFF"/>
          <w:lang w:val="ms-MY"/>
        </w:rPr>
        <w:t>). Walau bagaimanapun, penambahan MeJa telah mengurangkan biojisim akar, TPC dan TFC. Kesimpulannya, kombinasi IAA dan NAA memberikan kesan positif kepada penambahan biojisim akar, nilai TPC dan TFC.</w:t>
      </w:r>
    </w:p>
    <w:p w14:paraId="27E5E921" w14:textId="77777777" w:rsidR="00DD66FA" w:rsidRPr="00DD66FA" w:rsidRDefault="00DD66FA" w:rsidP="00DD66FA">
      <w:pPr>
        <w:spacing w:after="0"/>
        <w:jc w:val="both"/>
        <w:rPr>
          <w:sz w:val="20"/>
          <w:szCs w:val="20"/>
        </w:rPr>
      </w:pPr>
    </w:p>
    <w:p w14:paraId="5FF4CF21" w14:textId="770544BF" w:rsidR="003A1F80" w:rsidRDefault="00DD66FA" w:rsidP="00DD66FA">
      <w:pPr>
        <w:spacing w:after="0"/>
        <w:jc w:val="both"/>
        <w:rPr>
          <w:rFonts w:ascii="Times New Roman" w:hAnsi="Times New Roman"/>
          <w:sz w:val="20"/>
          <w:szCs w:val="20"/>
          <w:lang w:val="ms-MY"/>
        </w:rPr>
      </w:pPr>
      <w:r w:rsidRPr="00DD66FA">
        <w:rPr>
          <w:rFonts w:ascii="Times New Roman" w:hAnsi="Times New Roman"/>
          <w:b/>
          <w:sz w:val="20"/>
          <w:szCs w:val="20"/>
          <w:lang w:val="ms-MY"/>
        </w:rPr>
        <w:t>Kata kunci:  a</w:t>
      </w:r>
      <w:r w:rsidRPr="00DD66FA">
        <w:rPr>
          <w:rFonts w:ascii="Times New Roman" w:hAnsi="Times New Roman"/>
          <w:sz w:val="20"/>
          <w:szCs w:val="20"/>
          <w:lang w:val="ms-MY"/>
        </w:rPr>
        <w:t xml:space="preserve">kar adventitius, </w:t>
      </w:r>
      <w:r w:rsidRPr="00DD66FA">
        <w:rPr>
          <w:rFonts w:ascii="Times New Roman" w:hAnsi="Times New Roman"/>
          <w:i/>
          <w:iCs/>
          <w:sz w:val="20"/>
          <w:szCs w:val="20"/>
          <w:lang w:val="ms-MY"/>
        </w:rPr>
        <w:t>Justicia gendarussa,</w:t>
      </w:r>
      <w:r w:rsidRPr="00DD66FA">
        <w:rPr>
          <w:rFonts w:ascii="Times New Roman" w:hAnsi="Times New Roman"/>
          <w:sz w:val="20"/>
          <w:szCs w:val="20"/>
          <w:lang w:val="ms-MY"/>
        </w:rPr>
        <w:t xml:space="preserve"> metil jasmonat, flavonoid, fenolik</w:t>
      </w:r>
    </w:p>
    <w:p w14:paraId="202B3F83" w14:textId="36303C43" w:rsidR="00DD66FA" w:rsidRDefault="00DD66FA" w:rsidP="00DD66FA">
      <w:pPr>
        <w:spacing w:after="0"/>
        <w:jc w:val="both"/>
        <w:rPr>
          <w:rFonts w:ascii="Times New Roman" w:hAnsi="Times New Roman"/>
          <w:sz w:val="20"/>
          <w:szCs w:val="20"/>
          <w:lang w:val="ms-MY"/>
        </w:rPr>
      </w:pPr>
    </w:p>
    <w:p w14:paraId="0D0B7F45" w14:textId="77777777" w:rsidR="00DD66FA" w:rsidRPr="00510BA6" w:rsidRDefault="00DD66FA" w:rsidP="00DD66FA">
      <w:pPr>
        <w:spacing w:after="0"/>
        <w:jc w:val="center"/>
        <w:rPr>
          <w:rFonts w:ascii="Times New Roman" w:hAnsi="Times New Roman"/>
          <w:b/>
          <w:noProof/>
          <w:sz w:val="20"/>
          <w:szCs w:val="20"/>
        </w:rPr>
      </w:pPr>
      <w:r w:rsidRPr="00510BA6">
        <w:rPr>
          <w:rFonts w:ascii="Times New Roman" w:hAnsi="Times New Roman"/>
          <w:b/>
          <w:noProof/>
          <w:sz w:val="20"/>
          <w:szCs w:val="20"/>
        </w:rPr>
        <w:t>References</w:t>
      </w:r>
    </w:p>
    <w:p w14:paraId="0D1E44D9"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eastAsiaTheme="minorHAnsi" w:hAnsi="Times New Roman"/>
          <w:noProof/>
          <w:sz w:val="20"/>
          <w:szCs w:val="20"/>
          <w:lang w:val="en-GB"/>
        </w:rPr>
      </w:pPr>
      <w:r w:rsidRPr="003A6C74">
        <w:rPr>
          <w:rFonts w:ascii="Times New Roman" w:hAnsi="Times New Roman"/>
          <w:noProof/>
          <w:sz w:val="20"/>
          <w:szCs w:val="20"/>
          <w:lang w:val="en-GB"/>
        </w:rPr>
        <w:t xml:space="preserve">Uddin, R., Sinha, S., Hossain, A., Kaisar, A., Hossain, K. and Rashid, M. A. (2011). Chemical and biological investigations of </w:t>
      </w:r>
      <w:r w:rsidRPr="003A6C74">
        <w:rPr>
          <w:rFonts w:ascii="Times New Roman" w:hAnsi="Times New Roman"/>
          <w:i/>
          <w:iCs/>
          <w:noProof/>
          <w:sz w:val="20"/>
          <w:szCs w:val="20"/>
          <w:lang w:val="en-GB"/>
        </w:rPr>
        <w:t>Justicia gendarussa</w:t>
      </w:r>
      <w:r w:rsidRPr="003A6C74">
        <w:rPr>
          <w:rFonts w:ascii="Times New Roman" w:hAnsi="Times New Roman"/>
          <w:noProof/>
          <w:sz w:val="20"/>
          <w:szCs w:val="20"/>
          <w:lang w:val="en-GB"/>
        </w:rPr>
        <w:t xml:space="preserve"> (Burm. F). </w:t>
      </w:r>
      <w:r w:rsidRPr="003A6C74">
        <w:rPr>
          <w:rFonts w:ascii="Times New Roman" w:hAnsi="Times New Roman"/>
          <w:i/>
          <w:iCs/>
          <w:noProof/>
          <w:sz w:val="20"/>
          <w:szCs w:val="20"/>
          <w:lang w:val="en-GB"/>
        </w:rPr>
        <w:t>Dhaka University Journal of Pharmaceutical Sciences</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10</w:t>
      </w:r>
      <w:r w:rsidRPr="003A6C74">
        <w:rPr>
          <w:rFonts w:ascii="Times New Roman" w:hAnsi="Times New Roman"/>
          <w:noProof/>
          <w:sz w:val="20"/>
          <w:szCs w:val="20"/>
          <w:lang w:val="en-GB"/>
        </w:rPr>
        <w:t>(1): 53-57.</w:t>
      </w:r>
    </w:p>
    <w:p w14:paraId="5D43F6F2"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eastAsiaTheme="minorHAnsi" w:hAnsi="Times New Roman"/>
          <w:noProof/>
          <w:sz w:val="20"/>
          <w:szCs w:val="20"/>
          <w:lang w:val="en-GB"/>
        </w:rPr>
      </w:pPr>
      <w:r w:rsidRPr="003A6C74">
        <w:rPr>
          <w:rFonts w:ascii="Times New Roman" w:hAnsi="Times New Roman"/>
          <w:noProof/>
          <w:sz w:val="20"/>
          <w:szCs w:val="20"/>
          <w:lang w:val="en-GB"/>
        </w:rPr>
        <w:t xml:space="preserve">Sugumaran, P., Kowsalya, N., Karthic, R. and Seshadri, S. (2013). Biomass production and antibacterial activity of </w:t>
      </w:r>
      <w:r w:rsidRPr="003A6C74">
        <w:rPr>
          <w:rFonts w:ascii="Times New Roman" w:hAnsi="Times New Roman"/>
          <w:i/>
          <w:iCs/>
          <w:noProof/>
          <w:sz w:val="20"/>
          <w:szCs w:val="20"/>
          <w:lang w:val="en-GB"/>
        </w:rPr>
        <w:t>Justicia Gendarussa </w:t>
      </w:r>
      <w:r w:rsidRPr="003A6C74">
        <w:rPr>
          <w:rFonts w:ascii="Times New Roman" w:hAnsi="Times New Roman"/>
          <w:noProof/>
          <w:sz w:val="20"/>
          <w:szCs w:val="20"/>
          <w:lang w:val="en-GB"/>
        </w:rPr>
        <w:t xml:space="preserve">: A valuable medicinal plant. </w:t>
      </w:r>
      <w:r w:rsidRPr="003A6C74">
        <w:rPr>
          <w:rFonts w:ascii="Times New Roman" w:hAnsi="Times New Roman"/>
          <w:i/>
          <w:iCs/>
          <w:noProof/>
          <w:sz w:val="20"/>
          <w:szCs w:val="20"/>
          <w:lang w:val="en-GB"/>
        </w:rPr>
        <w:t>Journal of Tropical Life Science</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3</w:t>
      </w:r>
      <w:r w:rsidRPr="003A6C74">
        <w:rPr>
          <w:rFonts w:ascii="Times New Roman" w:hAnsi="Times New Roman"/>
          <w:noProof/>
          <w:sz w:val="20"/>
          <w:szCs w:val="20"/>
          <w:lang w:val="en-GB"/>
        </w:rPr>
        <w:t>(1): 8-13.</w:t>
      </w:r>
    </w:p>
    <w:p w14:paraId="13659203"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Murthy, H. N., Hahn, E. J. and Paek, K. Y. (2008). Adventitious roots and secondary metabolism. </w:t>
      </w:r>
      <w:r w:rsidRPr="003A6C74">
        <w:rPr>
          <w:rFonts w:ascii="Times New Roman" w:hAnsi="Times New Roman"/>
          <w:i/>
          <w:iCs/>
          <w:noProof/>
          <w:sz w:val="20"/>
          <w:szCs w:val="20"/>
          <w:lang w:val="en-GB"/>
        </w:rPr>
        <w:t>Chinese Journal of Biotechnology</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24</w:t>
      </w:r>
      <w:r w:rsidRPr="003A6C74">
        <w:rPr>
          <w:rFonts w:ascii="Times New Roman" w:hAnsi="Times New Roman"/>
          <w:noProof/>
          <w:sz w:val="20"/>
          <w:szCs w:val="20"/>
          <w:lang w:val="en-GB"/>
        </w:rPr>
        <w:t>(5): 711-716.</w:t>
      </w:r>
      <w:r w:rsidRPr="003A6C74">
        <w:rPr>
          <w:rFonts w:ascii="Times New Roman" w:hAnsi="Times New Roman"/>
          <w:i/>
          <w:iCs/>
          <w:noProof/>
          <w:sz w:val="20"/>
          <w:szCs w:val="20"/>
          <w:lang w:val="en-GB"/>
        </w:rPr>
        <w:t xml:space="preserve"> </w:t>
      </w:r>
    </w:p>
    <w:p w14:paraId="3A9F2660"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Tesser, C., Remko, O. and Fett-neto, A. G. (2019). The role of auxin transporters and receptors in adventitious rooting of </w:t>
      </w:r>
      <w:r w:rsidRPr="003A6C74">
        <w:rPr>
          <w:rFonts w:ascii="Times New Roman" w:hAnsi="Times New Roman"/>
          <w:i/>
          <w:iCs/>
          <w:noProof/>
          <w:sz w:val="20"/>
          <w:szCs w:val="20"/>
          <w:lang w:val="en-GB"/>
        </w:rPr>
        <w:t>Arabidopsis thaliana</w:t>
      </w:r>
      <w:r w:rsidRPr="003A6C74">
        <w:rPr>
          <w:rFonts w:ascii="Times New Roman" w:hAnsi="Times New Roman"/>
          <w:noProof/>
          <w:sz w:val="20"/>
          <w:szCs w:val="20"/>
          <w:lang w:val="en-GB"/>
        </w:rPr>
        <w:t xml:space="preserve"> pre-etiolated flooded seedlings. </w:t>
      </w:r>
      <w:r w:rsidRPr="003A6C74">
        <w:rPr>
          <w:rFonts w:ascii="Times New Roman" w:hAnsi="Times New Roman"/>
          <w:i/>
          <w:iCs/>
          <w:noProof/>
          <w:sz w:val="20"/>
          <w:szCs w:val="20"/>
          <w:lang w:val="en-GB"/>
        </w:rPr>
        <w:t>Plant Science</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290:</w:t>
      </w:r>
      <w:r w:rsidRPr="003A6C74">
        <w:rPr>
          <w:rFonts w:ascii="Times New Roman" w:hAnsi="Times New Roman"/>
          <w:noProof/>
          <w:sz w:val="20"/>
          <w:szCs w:val="20"/>
          <w:lang w:val="en-GB"/>
        </w:rPr>
        <w:t xml:space="preserve">110294. </w:t>
      </w:r>
    </w:p>
    <w:p w14:paraId="06900DF1"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eastAsiaTheme="minorHAnsi" w:hAnsi="Times New Roman"/>
          <w:noProof/>
          <w:sz w:val="20"/>
          <w:szCs w:val="20"/>
          <w:lang w:val="en-GB"/>
        </w:rPr>
      </w:pPr>
      <w:r w:rsidRPr="003A6C74">
        <w:rPr>
          <w:rFonts w:ascii="Times New Roman" w:hAnsi="Times New Roman"/>
          <w:sz w:val="20"/>
          <w:szCs w:val="20"/>
          <w:lang w:val="en-GB"/>
        </w:rPr>
        <w:t xml:space="preserve">Ratnasooriya, W. D., Deraniyagala, S. A. and Dehigaspitiya, D. C. (2007). Antinociceptive activity and toxicological study of aqueous leaf extract of </w:t>
      </w:r>
      <w:r w:rsidRPr="003A6C74">
        <w:rPr>
          <w:rFonts w:ascii="Times New Roman" w:hAnsi="Times New Roman"/>
          <w:i/>
          <w:iCs/>
          <w:sz w:val="20"/>
          <w:szCs w:val="20"/>
          <w:lang w:val="en-GB"/>
        </w:rPr>
        <w:t xml:space="preserve">Justicia gendarussa </w:t>
      </w:r>
      <w:r w:rsidRPr="003A6C74">
        <w:rPr>
          <w:rFonts w:ascii="Times New Roman" w:hAnsi="Times New Roman"/>
          <w:sz w:val="20"/>
          <w:szCs w:val="20"/>
          <w:lang w:val="en-GB"/>
        </w:rPr>
        <w:t xml:space="preserve">Burm. F. in rats. </w:t>
      </w:r>
      <w:r w:rsidRPr="003A6C74">
        <w:rPr>
          <w:rFonts w:ascii="Times New Roman" w:hAnsi="Times New Roman"/>
          <w:i/>
          <w:iCs/>
          <w:sz w:val="20"/>
          <w:szCs w:val="20"/>
          <w:lang w:val="en-GB"/>
        </w:rPr>
        <w:t>Pharmacognosy Magazine</w:t>
      </w:r>
      <w:r w:rsidRPr="003A6C74">
        <w:rPr>
          <w:rFonts w:ascii="Times New Roman" w:hAnsi="Times New Roman"/>
          <w:sz w:val="20"/>
          <w:szCs w:val="20"/>
          <w:lang w:val="en-GB"/>
        </w:rPr>
        <w:t>, 3(11): 145-155.</w:t>
      </w:r>
    </w:p>
    <w:p w14:paraId="5F737A97"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eastAsiaTheme="minorHAnsi" w:hAnsi="Times New Roman"/>
          <w:noProof/>
          <w:sz w:val="20"/>
          <w:szCs w:val="20"/>
          <w:lang w:val="en-GB"/>
        </w:rPr>
      </w:pPr>
      <w:r w:rsidRPr="003A6C74">
        <w:rPr>
          <w:rFonts w:ascii="Times New Roman" w:hAnsi="Times New Roman"/>
          <w:sz w:val="20"/>
          <w:szCs w:val="20"/>
          <w:lang w:val="en-GB"/>
        </w:rPr>
        <w:t xml:space="preserve">Ayob, Z., Bohari, S. P. M., </w:t>
      </w:r>
      <w:r w:rsidRPr="003A6C74">
        <w:rPr>
          <w:rFonts w:ascii="Times New Roman" w:hAnsi="Times New Roman"/>
          <w:bCs/>
          <w:sz w:val="20"/>
          <w:szCs w:val="20"/>
          <w:lang w:val="en-GB"/>
        </w:rPr>
        <w:t>Abd Samad, A.</w:t>
      </w:r>
      <w:r w:rsidRPr="003A6C74">
        <w:rPr>
          <w:rFonts w:ascii="Times New Roman" w:hAnsi="Times New Roman"/>
          <w:sz w:val="20"/>
          <w:szCs w:val="20"/>
          <w:lang w:val="en-GB"/>
        </w:rPr>
        <w:t xml:space="preserve"> and Jamil, S. (2014) Cytotoxic activities against breast cancer cells of local </w:t>
      </w:r>
      <w:r w:rsidRPr="003A6C74">
        <w:rPr>
          <w:rFonts w:ascii="Times New Roman" w:hAnsi="Times New Roman"/>
          <w:i/>
          <w:iCs/>
          <w:sz w:val="20"/>
          <w:szCs w:val="20"/>
          <w:lang w:val="en-GB"/>
        </w:rPr>
        <w:t>Justicia gendarussa</w:t>
      </w:r>
      <w:r w:rsidRPr="003A6C74">
        <w:rPr>
          <w:rFonts w:ascii="Times New Roman" w:hAnsi="Times New Roman"/>
          <w:sz w:val="20"/>
          <w:szCs w:val="20"/>
          <w:lang w:val="en-GB"/>
        </w:rPr>
        <w:t xml:space="preserve"> crude extracts. </w:t>
      </w:r>
      <w:r w:rsidRPr="00520688">
        <w:rPr>
          <w:rStyle w:val="Emphasis"/>
          <w:rFonts w:ascii="Times New Roman" w:hAnsi="Times New Roman"/>
          <w:sz w:val="20"/>
          <w:szCs w:val="20"/>
          <w:shd w:val="clear" w:color="auto" w:fill="FFFFFF"/>
          <w:lang w:val="en-GB"/>
        </w:rPr>
        <w:t>Evidence</w:t>
      </w:r>
      <w:r w:rsidRPr="00520688">
        <w:rPr>
          <w:rFonts w:ascii="Times New Roman" w:hAnsi="Times New Roman"/>
          <w:b/>
          <w:bCs/>
          <w:sz w:val="20"/>
          <w:szCs w:val="20"/>
          <w:shd w:val="clear" w:color="auto" w:fill="FFFFFF"/>
          <w:lang w:val="en-GB"/>
        </w:rPr>
        <w:t>-</w:t>
      </w:r>
      <w:r w:rsidRPr="00520688">
        <w:rPr>
          <w:rStyle w:val="Emphasis"/>
          <w:rFonts w:ascii="Times New Roman" w:hAnsi="Times New Roman"/>
          <w:sz w:val="20"/>
          <w:szCs w:val="20"/>
          <w:shd w:val="clear" w:color="auto" w:fill="FFFFFF"/>
          <w:lang w:val="en-GB"/>
        </w:rPr>
        <w:t>Based</w:t>
      </w:r>
      <w:r w:rsidRPr="003A6C74">
        <w:rPr>
          <w:rFonts w:ascii="Times New Roman" w:hAnsi="Times New Roman"/>
          <w:sz w:val="20"/>
          <w:szCs w:val="20"/>
          <w:shd w:val="clear" w:color="auto" w:fill="FFFFFF"/>
          <w:lang w:val="en-GB"/>
        </w:rPr>
        <w:t xml:space="preserve"> Complementary and Alternative Medicine, </w:t>
      </w:r>
      <w:r w:rsidRPr="003A6C74">
        <w:rPr>
          <w:rFonts w:ascii="Times New Roman" w:hAnsi="Times New Roman"/>
          <w:sz w:val="20"/>
          <w:szCs w:val="20"/>
          <w:lang w:val="en-GB"/>
        </w:rPr>
        <w:t xml:space="preserve">2014: 732980 </w:t>
      </w:r>
    </w:p>
    <w:p w14:paraId="6C32DADB"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sz w:val="20"/>
          <w:szCs w:val="20"/>
          <w:lang w:val="en-GB"/>
        </w:rPr>
        <w:t xml:space="preserve">Murashige, T. and Skoog, F. (1962). A revised medium for rapid growth and bio assays with tobacco tissue cultures. </w:t>
      </w:r>
      <w:r w:rsidRPr="003A6C74">
        <w:rPr>
          <w:rFonts w:ascii="Times New Roman" w:hAnsi="Times New Roman"/>
          <w:i/>
          <w:iCs/>
          <w:sz w:val="20"/>
          <w:szCs w:val="20"/>
          <w:lang w:val="en-GB"/>
        </w:rPr>
        <w:t>Physiologia Plantarum</w:t>
      </w:r>
      <w:r w:rsidRPr="003A6C74">
        <w:rPr>
          <w:rFonts w:ascii="Times New Roman" w:hAnsi="Times New Roman"/>
          <w:sz w:val="20"/>
          <w:szCs w:val="20"/>
          <w:lang w:val="en-GB"/>
        </w:rPr>
        <w:t>, 15(3): 473-497.</w:t>
      </w:r>
    </w:p>
    <w:p w14:paraId="7602E1E4"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sz w:val="20"/>
          <w:szCs w:val="20"/>
          <w:lang w:val="en-GB"/>
        </w:rPr>
        <w:t xml:space="preserve">Lee, E. J., Park, S.Y. and Paek, K.Y. (2015). Enhancement strategies of bioactive compound production in adventitious root cultures of </w:t>
      </w:r>
      <w:r w:rsidRPr="003A6C74">
        <w:rPr>
          <w:rFonts w:ascii="Times New Roman" w:hAnsi="Times New Roman"/>
          <w:i/>
          <w:iCs/>
          <w:sz w:val="20"/>
          <w:szCs w:val="20"/>
          <w:lang w:val="en-GB"/>
        </w:rPr>
        <w:t>Eleutherococcus koreanum Nakai</w:t>
      </w:r>
      <w:r w:rsidRPr="003A6C74">
        <w:rPr>
          <w:rFonts w:ascii="Times New Roman" w:hAnsi="Times New Roman"/>
          <w:sz w:val="20"/>
          <w:szCs w:val="20"/>
          <w:lang w:val="en-GB"/>
        </w:rPr>
        <w:t xml:space="preserve"> subjected to methyl jasmonate and salicylic acid elicitation through airlift bioreactors. </w:t>
      </w:r>
      <w:r w:rsidRPr="003A6C74">
        <w:rPr>
          <w:rFonts w:ascii="Times New Roman" w:hAnsi="Times New Roman"/>
          <w:i/>
          <w:sz w:val="20"/>
          <w:szCs w:val="20"/>
          <w:lang w:val="en-GB"/>
        </w:rPr>
        <w:t>Plant Cell, Tissue Organ Culture</w:t>
      </w:r>
      <w:r w:rsidRPr="003A6C74">
        <w:rPr>
          <w:rFonts w:ascii="Times New Roman" w:hAnsi="Times New Roman"/>
          <w:sz w:val="20"/>
          <w:szCs w:val="20"/>
          <w:lang w:val="en-GB"/>
        </w:rPr>
        <w:t>, 120: 1-10.</w:t>
      </w:r>
    </w:p>
    <w:p w14:paraId="67A0DC0A"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Dewir, Y. H. and Paek, K. Y. (2006). Optimization of culturing conditions for the production of biomass and phenolics from adventitious roots of </w:t>
      </w:r>
      <w:r w:rsidRPr="003A6C74">
        <w:rPr>
          <w:rFonts w:ascii="Times New Roman" w:hAnsi="Times New Roman"/>
          <w:i/>
          <w:iCs/>
          <w:noProof/>
          <w:sz w:val="20"/>
          <w:szCs w:val="20"/>
          <w:lang w:val="en-GB"/>
        </w:rPr>
        <w:t>Echinacea angustifolia</w:t>
      </w:r>
      <w:r w:rsidRPr="003A6C74">
        <w:rPr>
          <w:rFonts w:ascii="Times New Roman" w:hAnsi="Times New Roman"/>
          <w:noProof/>
          <w:sz w:val="20"/>
          <w:szCs w:val="20"/>
          <w:lang w:val="en-GB"/>
        </w:rPr>
        <w:t xml:space="preserve">. </w:t>
      </w:r>
      <w:r w:rsidRPr="003A6C74">
        <w:rPr>
          <w:rFonts w:ascii="Times New Roman" w:hAnsi="Times New Roman"/>
          <w:i/>
          <w:iCs/>
          <w:noProof/>
          <w:sz w:val="20"/>
          <w:szCs w:val="20"/>
          <w:lang w:val="en-GB"/>
        </w:rPr>
        <w:t>Journal of Plant Biology</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49</w:t>
      </w:r>
      <w:r w:rsidRPr="003A6C74">
        <w:rPr>
          <w:rFonts w:ascii="Times New Roman" w:hAnsi="Times New Roman"/>
          <w:noProof/>
          <w:sz w:val="20"/>
          <w:szCs w:val="20"/>
          <w:lang w:val="en-GB"/>
        </w:rPr>
        <w:t>(3): 193-199.</w:t>
      </w:r>
    </w:p>
    <w:p w14:paraId="21266159"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Wei, K., Ruan, L., Wang, L. and Cheng, H. (2019). Auxin-induced adventitious root formation in nodal cuttings of </w:t>
      </w:r>
      <w:r w:rsidRPr="003A6C74">
        <w:rPr>
          <w:rFonts w:ascii="Times New Roman" w:hAnsi="Times New Roman"/>
          <w:i/>
          <w:iCs/>
          <w:noProof/>
          <w:sz w:val="20"/>
          <w:szCs w:val="20"/>
          <w:lang w:val="en-GB"/>
        </w:rPr>
        <w:t>Camellia sinensis</w:t>
      </w:r>
      <w:r w:rsidRPr="003A6C74">
        <w:rPr>
          <w:rFonts w:ascii="Times New Roman" w:hAnsi="Times New Roman"/>
          <w:noProof/>
          <w:sz w:val="20"/>
          <w:szCs w:val="20"/>
          <w:lang w:val="en-GB"/>
        </w:rPr>
        <w:t xml:space="preserve">. </w:t>
      </w:r>
      <w:r w:rsidRPr="003A6C74">
        <w:rPr>
          <w:rFonts w:ascii="Times New Roman" w:hAnsi="Times New Roman"/>
          <w:i/>
          <w:iCs/>
          <w:noProof/>
          <w:sz w:val="20"/>
          <w:szCs w:val="20"/>
          <w:lang w:val="en-GB"/>
        </w:rPr>
        <w:t>International Journal of Molecular Sciences</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20</w:t>
      </w:r>
      <w:r w:rsidRPr="003A6C74">
        <w:rPr>
          <w:rFonts w:ascii="Times New Roman" w:hAnsi="Times New Roman"/>
          <w:noProof/>
          <w:sz w:val="20"/>
          <w:szCs w:val="20"/>
          <w:lang w:val="en-GB"/>
        </w:rPr>
        <w:t>(4817): 1-10.</w:t>
      </w:r>
    </w:p>
    <w:p w14:paraId="58715485"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Guan, L., Tayengwa, R., Cheng, Z. M., Peer, W. A. and Murphy, A. S. (2019). Auxin regulates adventitious root formation in tomato cuttings. </w:t>
      </w:r>
      <w:r w:rsidRPr="003A6C74">
        <w:rPr>
          <w:rFonts w:ascii="Times New Roman" w:hAnsi="Times New Roman"/>
          <w:i/>
          <w:iCs/>
          <w:noProof/>
          <w:sz w:val="20"/>
          <w:szCs w:val="20"/>
          <w:lang w:val="en-GB"/>
        </w:rPr>
        <w:t>BMC Plant Biology</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9</w:t>
      </w:r>
      <w:r w:rsidRPr="003A6C74">
        <w:rPr>
          <w:rFonts w:ascii="Times New Roman" w:hAnsi="Times New Roman"/>
          <w:noProof/>
          <w:sz w:val="20"/>
          <w:szCs w:val="20"/>
          <w:lang w:val="en-GB"/>
        </w:rPr>
        <w:t>(1): 1-16.</w:t>
      </w:r>
    </w:p>
    <w:p w14:paraId="0EC44D35"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Ayob, Z., Abd Samad, A. and Bohari, S. P. M. (2013). Cytotoxicity activities in local </w:t>
      </w:r>
      <w:r w:rsidRPr="003A6C74">
        <w:rPr>
          <w:rFonts w:ascii="Times New Roman" w:hAnsi="Times New Roman"/>
          <w:i/>
          <w:iCs/>
          <w:noProof/>
          <w:sz w:val="20"/>
          <w:szCs w:val="20"/>
          <w:lang w:val="en-GB"/>
        </w:rPr>
        <w:t>Justicia gendarussa</w:t>
      </w:r>
      <w:r w:rsidRPr="003A6C74">
        <w:rPr>
          <w:rFonts w:ascii="Times New Roman" w:hAnsi="Times New Roman"/>
          <w:noProof/>
          <w:sz w:val="20"/>
          <w:szCs w:val="20"/>
          <w:lang w:val="en-GB"/>
        </w:rPr>
        <w:t xml:space="preserve"> crude extracts against human cancer cell lines. </w:t>
      </w:r>
      <w:r w:rsidRPr="003A6C74">
        <w:rPr>
          <w:rFonts w:ascii="Times New Roman" w:hAnsi="Times New Roman"/>
          <w:i/>
          <w:iCs/>
          <w:noProof/>
          <w:sz w:val="20"/>
          <w:szCs w:val="20"/>
          <w:lang w:val="en-GB"/>
        </w:rPr>
        <w:t>Jurnal Teknologi</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2</w:t>
      </w:r>
      <w:r w:rsidRPr="003A6C74">
        <w:rPr>
          <w:rFonts w:ascii="Times New Roman" w:hAnsi="Times New Roman"/>
          <w:noProof/>
          <w:sz w:val="20"/>
          <w:szCs w:val="20"/>
          <w:lang w:val="en-GB"/>
        </w:rPr>
        <w:t>: 45-52.</w:t>
      </w:r>
    </w:p>
    <w:p w14:paraId="1BD2AA65" w14:textId="77777777" w:rsidR="00DD66FA" w:rsidRPr="003A6C74"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t xml:space="preserve">Fazal, H., Abbasi, B. H. and Ahmad, N. (2014). Optimization of adventitious root culture for production of biomass and secondary metabolites in </w:t>
      </w:r>
      <w:r w:rsidRPr="003A6C74">
        <w:rPr>
          <w:rFonts w:ascii="Times New Roman" w:hAnsi="Times New Roman"/>
          <w:i/>
          <w:iCs/>
          <w:noProof/>
          <w:sz w:val="20"/>
          <w:szCs w:val="20"/>
          <w:lang w:val="en-GB"/>
        </w:rPr>
        <w:t>Prunella vulgaris L</w:t>
      </w:r>
      <w:r w:rsidRPr="003A6C74">
        <w:rPr>
          <w:rFonts w:ascii="Times New Roman" w:hAnsi="Times New Roman"/>
          <w:noProof/>
          <w:sz w:val="20"/>
          <w:szCs w:val="20"/>
          <w:lang w:val="en-GB"/>
        </w:rPr>
        <w:t xml:space="preserve">. </w:t>
      </w:r>
      <w:r w:rsidRPr="003A6C74">
        <w:rPr>
          <w:rFonts w:ascii="Times New Roman" w:hAnsi="Times New Roman"/>
          <w:i/>
          <w:iCs/>
          <w:noProof/>
          <w:sz w:val="20"/>
          <w:szCs w:val="20"/>
          <w:lang w:val="en-GB"/>
        </w:rPr>
        <w:t>Applied Biochemistry and Biotechnology</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174(6)</w:t>
      </w:r>
      <w:r w:rsidRPr="003A6C74">
        <w:rPr>
          <w:rFonts w:ascii="Times New Roman" w:hAnsi="Times New Roman"/>
          <w:noProof/>
          <w:sz w:val="20"/>
          <w:szCs w:val="20"/>
          <w:lang w:val="en-GB"/>
        </w:rPr>
        <w:t>: 2086-2095.</w:t>
      </w:r>
    </w:p>
    <w:p w14:paraId="7384AE9A" w14:textId="22E20203" w:rsidR="00DD66FA" w:rsidRPr="00DD66FA" w:rsidRDefault="00DD66FA" w:rsidP="00DD66FA">
      <w:pPr>
        <w:pStyle w:val="ListParagraph"/>
        <w:widowControl w:val="0"/>
        <w:numPr>
          <w:ilvl w:val="0"/>
          <w:numId w:val="6"/>
        </w:numPr>
        <w:autoSpaceDE w:val="0"/>
        <w:autoSpaceDN w:val="0"/>
        <w:adjustRightInd w:val="0"/>
        <w:spacing w:after="0"/>
        <w:contextualSpacing w:val="0"/>
        <w:jc w:val="both"/>
        <w:rPr>
          <w:rFonts w:ascii="Times New Roman" w:hAnsi="Times New Roman"/>
          <w:noProof/>
          <w:sz w:val="20"/>
          <w:szCs w:val="20"/>
          <w:lang w:val="en-GB"/>
        </w:rPr>
      </w:pPr>
      <w:r w:rsidRPr="003A6C74">
        <w:rPr>
          <w:rFonts w:ascii="Times New Roman" w:hAnsi="Times New Roman"/>
          <w:noProof/>
          <w:sz w:val="20"/>
          <w:szCs w:val="20"/>
          <w:lang w:val="en-GB"/>
        </w:rPr>
        <w:lastRenderedPageBreak/>
        <w:t xml:space="preserve">Kim, Y., Hahn, E., Murthy, H. N. and Paek, K. (2004). Adventitious root growth and ginsenoside accumulation in </w:t>
      </w:r>
      <w:r w:rsidRPr="003A6C74">
        <w:rPr>
          <w:rFonts w:ascii="Times New Roman" w:hAnsi="Times New Roman"/>
          <w:i/>
          <w:iCs/>
          <w:noProof/>
          <w:sz w:val="20"/>
          <w:szCs w:val="20"/>
          <w:lang w:val="en-GB"/>
        </w:rPr>
        <w:t>Panax ginseng</w:t>
      </w:r>
      <w:r w:rsidRPr="003A6C74">
        <w:rPr>
          <w:rFonts w:ascii="Times New Roman" w:hAnsi="Times New Roman"/>
          <w:noProof/>
          <w:sz w:val="20"/>
          <w:szCs w:val="20"/>
          <w:lang w:val="en-GB"/>
        </w:rPr>
        <w:t xml:space="preserve"> cultures as affected by methyl jasmonate. </w:t>
      </w:r>
      <w:r w:rsidRPr="003A6C74">
        <w:rPr>
          <w:rFonts w:ascii="Times New Roman" w:hAnsi="Times New Roman"/>
          <w:i/>
          <w:iCs/>
          <w:noProof/>
          <w:sz w:val="20"/>
          <w:szCs w:val="20"/>
          <w:lang w:val="en-GB"/>
        </w:rPr>
        <w:t>Biotechnology Letters</w:t>
      </w:r>
      <w:r w:rsidRPr="003A6C74">
        <w:rPr>
          <w:rFonts w:ascii="Times New Roman" w:hAnsi="Times New Roman"/>
          <w:noProof/>
          <w:sz w:val="20"/>
          <w:szCs w:val="20"/>
          <w:lang w:val="en-GB"/>
        </w:rPr>
        <w:t xml:space="preserve">, </w:t>
      </w:r>
      <w:r w:rsidRPr="003A6C74">
        <w:rPr>
          <w:rFonts w:ascii="Times New Roman" w:hAnsi="Times New Roman"/>
          <w:iCs/>
          <w:noProof/>
          <w:sz w:val="20"/>
          <w:szCs w:val="20"/>
          <w:lang w:val="en-GB"/>
        </w:rPr>
        <w:t>26(21)</w:t>
      </w:r>
      <w:r w:rsidRPr="003A6C74">
        <w:rPr>
          <w:rFonts w:ascii="Times New Roman" w:hAnsi="Times New Roman"/>
          <w:noProof/>
          <w:sz w:val="20"/>
          <w:szCs w:val="20"/>
          <w:lang w:val="en-GB"/>
        </w:rPr>
        <w:t>: 1619-1622.</w:t>
      </w:r>
    </w:p>
    <w:sectPr w:rsidR="00DD66FA" w:rsidRPr="00DD66FA"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DD6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DD6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5605850"/>
    <w:multiLevelType w:val="hybridMultilevel"/>
    <w:tmpl w:val="A24E3C9A"/>
    <w:lvl w:ilvl="0" w:tplc="D7162372">
      <w:start w:val="1"/>
      <w:numFmt w:val="decimal"/>
      <w:lvlText w:val="%1."/>
      <w:lvlJc w:val="left"/>
      <w:pPr>
        <w:ind w:left="360" w:hanging="360"/>
      </w:pPr>
    </w:lvl>
    <w:lvl w:ilvl="1" w:tplc="571E8158" w:tentative="1">
      <w:start w:val="1"/>
      <w:numFmt w:val="lowerLetter"/>
      <w:lvlText w:val="%2."/>
      <w:lvlJc w:val="left"/>
      <w:pPr>
        <w:ind w:left="1080" w:hanging="360"/>
      </w:pPr>
    </w:lvl>
    <w:lvl w:ilvl="2" w:tplc="78BC2BD2" w:tentative="1">
      <w:start w:val="1"/>
      <w:numFmt w:val="lowerRoman"/>
      <w:lvlText w:val="%3."/>
      <w:lvlJc w:val="right"/>
      <w:pPr>
        <w:ind w:left="1800" w:hanging="180"/>
      </w:pPr>
    </w:lvl>
    <w:lvl w:ilvl="3" w:tplc="6B40DFBA" w:tentative="1">
      <w:start w:val="1"/>
      <w:numFmt w:val="decimal"/>
      <w:lvlText w:val="%4."/>
      <w:lvlJc w:val="left"/>
      <w:pPr>
        <w:ind w:left="2520" w:hanging="360"/>
      </w:pPr>
    </w:lvl>
    <w:lvl w:ilvl="4" w:tplc="74F65F18" w:tentative="1">
      <w:start w:val="1"/>
      <w:numFmt w:val="lowerLetter"/>
      <w:lvlText w:val="%5."/>
      <w:lvlJc w:val="left"/>
      <w:pPr>
        <w:ind w:left="3240" w:hanging="360"/>
      </w:pPr>
    </w:lvl>
    <w:lvl w:ilvl="5" w:tplc="8E5A828E" w:tentative="1">
      <w:start w:val="1"/>
      <w:numFmt w:val="lowerRoman"/>
      <w:lvlText w:val="%6."/>
      <w:lvlJc w:val="right"/>
      <w:pPr>
        <w:ind w:left="3960" w:hanging="180"/>
      </w:pPr>
    </w:lvl>
    <w:lvl w:ilvl="6" w:tplc="EB9A2884" w:tentative="1">
      <w:start w:val="1"/>
      <w:numFmt w:val="decimal"/>
      <w:lvlText w:val="%7."/>
      <w:lvlJc w:val="left"/>
      <w:pPr>
        <w:ind w:left="4680" w:hanging="360"/>
      </w:pPr>
    </w:lvl>
    <w:lvl w:ilvl="7" w:tplc="B67EA3E0" w:tentative="1">
      <w:start w:val="1"/>
      <w:numFmt w:val="lowerLetter"/>
      <w:lvlText w:val="%8."/>
      <w:lvlJc w:val="left"/>
      <w:pPr>
        <w:ind w:left="5400" w:hanging="360"/>
      </w:pPr>
    </w:lvl>
    <w:lvl w:ilvl="8" w:tplc="35822AC6" w:tentative="1">
      <w:start w:val="1"/>
      <w:numFmt w:val="lowerRoman"/>
      <w:lvlText w:val="%9."/>
      <w:lvlJc w:val="right"/>
      <w:pPr>
        <w:ind w:left="612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DD66FA"/>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HTMLPreformatted">
    <w:name w:val="HTML Preformatted"/>
    <w:basedOn w:val="Normal"/>
    <w:link w:val="HTMLPreformattedChar"/>
    <w:uiPriority w:val="99"/>
    <w:unhideWhenUsed/>
    <w:rsid w:val="00DD6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en-MY"/>
    </w:rPr>
  </w:style>
  <w:style w:type="character" w:customStyle="1" w:styleId="HTMLPreformattedChar">
    <w:name w:val="HTML Preformatted Char"/>
    <w:basedOn w:val="DefaultParagraphFont"/>
    <w:link w:val="HTMLPreformatted"/>
    <w:uiPriority w:val="99"/>
    <w:rsid w:val="00DD66FA"/>
    <w:rPr>
      <w:rFonts w:ascii="Courier New" w:eastAsia="Times New Roman" w:hAnsi="Courier New" w:cs="Courier New"/>
      <w:sz w:val="20"/>
      <w:szCs w:val="20"/>
      <w:lang w:val="en-MY" w:eastAsia="en-MY"/>
    </w:rPr>
  </w:style>
  <w:style w:type="character" w:styleId="Emphasis">
    <w:name w:val="Emphasis"/>
    <w:uiPriority w:val="20"/>
    <w:qFormat/>
    <w:rsid w:val="00DD66FA"/>
    <w:rPr>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2020-11-17T16:55:00Z</dcterms:created>
  <dcterms:modified xsi:type="dcterms:W3CDTF">2020-11-17T16:55:00Z</dcterms:modified>
</cp:coreProperties>
</file>