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3AE59" w14:textId="77777777" w:rsidR="00053DCB" w:rsidRDefault="00053DCB" w:rsidP="00053DCB">
      <w:pPr>
        <w:spacing w:after="0" w:line="286" w:lineRule="auto"/>
        <w:jc w:val="center"/>
        <w:rPr>
          <w:rFonts w:ascii="Times New Roman" w:eastAsia="Calibri" w:hAnsi="Times New Roman"/>
          <w:sz w:val="28"/>
          <w:szCs w:val="28"/>
        </w:rPr>
      </w:pPr>
      <w:r w:rsidRPr="00F656B3">
        <w:rPr>
          <w:rFonts w:ascii="Times New Roman" w:eastAsia="Calibri" w:hAnsi="Times New Roman"/>
          <w:sz w:val="28"/>
          <w:szCs w:val="28"/>
        </w:rPr>
        <w:t xml:space="preserve">CHARACTERIZATION OF INCLUSION COMPLEX OF </w:t>
      </w:r>
    </w:p>
    <w:p w14:paraId="56F546AA" w14:textId="43046772" w:rsidR="00053DCB" w:rsidRPr="00F656B3" w:rsidRDefault="00053DCB" w:rsidP="00053DCB">
      <w:pPr>
        <w:spacing w:after="0" w:line="286" w:lineRule="auto"/>
        <w:jc w:val="center"/>
        <w:rPr>
          <w:rFonts w:ascii="Times New Roman" w:eastAsia="Calibri" w:hAnsi="Times New Roman"/>
          <w:sz w:val="28"/>
          <w:szCs w:val="28"/>
        </w:rPr>
      </w:pPr>
      <w:r w:rsidRPr="00F656B3">
        <w:rPr>
          <w:rFonts w:ascii="Times New Roman" w:eastAsia="Calibri" w:hAnsi="Times New Roman"/>
          <w:sz w:val="28"/>
          <w:szCs w:val="28"/>
        </w:rPr>
        <w:t xml:space="preserve">β-CYCLODEXTRIN/ISONIAZID USING SPECTROSCOPIC METHOD </w:t>
      </w:r>
    </w:p>
    <w:p w14:paraId="1AA4C904" w14:textId="77777777" w:rsidR="00053DCB" w:rsidRPr="00053DCB" w:rsidRDefault="00053DCB" w:rsidP="00053DCB">
      <w:pPr>
        <w:spacing w:after="0" w:line="286" w:lineRule="auto"/>
        <w:jc w:val="center"/>
        <w:rPr>
          <w:rFonts w:ascii="Times New Roman" w:eastAsia="Calibri" w:hAnsi="Times New Roman"/>
          <w:sz w:val="24"/>
          <w:szCs w:val="24"/>
        </w:rPr>
      </w:pPr>
    </w:p>
    <w:p w14:paraId="7780762D" w14:textId="1B015576" w:rsidR="00053DCB" w:rsidRPr="00053DCB" w:rsidRDefault="00053DCB" w:rsidP="00053DCB">
      <w:pPr>
        <w:pStyle w:val="HTMLPreformatted"/>
        <w:spacing w:before="0" w:beforeAutospacing="0" w:after="0" w:line="286" w:lineRule="auto"/>
        <w:jc w:val="center"/>
        <w:rPr>
          <w:rFonts w:ascii="Times New Roman" w:hAnsi="Times New Roman"/>
          <w:lang w:val="ms-MY"/>
        </w:rPr>
      </w:pPr>
      <w:r w:rsidRPr="00F656B3">
        <w:rPr>
          <w:rFonts w:ascii="Times New Roman" w:hAnsi="Times New Roman"/>
        </w:rPr>
        <w:t>(</w:t>
      </w:r>
      <w:r w:rsidRPr="00F656B3">
        <w:rPr>
          <w:rFonts w:ascii="Times New Roman" w:hAnsi="Times New Roman"/>
          <w:lang w:val="ms-MY"/>
        </w:rPr>
        <w:t xml:space="preserve">Pencirian Kompleks Kemasukan </w:t>
      </w:r>
      <w:r w:rsidRPr="00F656B3">
        <w:rPr>
          <w:rFonts w:ascii="Times New Roman" w:eastAsia="Calibri" w:hAnsi="Times New Roman"/>
          <w:sz w:val="28"/>
          <w:szCs w:val="28"/>
          <w:lang w:val="ms-MY"/>
        </w:rPr>
        <w:t>β</w:t>
      </w:r>
      <w:r w:rsidRPr="00F656B3">
        <w:rPr>
          <w:rFonts w:ascii="Times New Roman" w:hAnsi="Times New Roman"/>
          <w:lang w:val="ms-MY"/>
        </w:rPr>
        <w:t>-Siklodektrin/Isoniazid Menggunakan Kaedah Spektroskopi</w:t>
      </w:r>
      <w:r w:rsidRPr="00F656B3">
        <w:rPr>
          <w:rFonts w:ascii="Times New Roman" w:hAnsi="Times New Roman"/>
        </w:rPr>
        <w:t>)</w:t>
      </w:r>
      <w:r w:rsidRPr="00F656B3">
        <w:rPr>
          <w:rFonts w:ascii="Times New Roman" w:hAnsi="Times New Roman"/>
          <w:i/>
          <w:sz w:val="18"/>
        </w:rPr>
        <w:t xml:space="preserve"> </w:t>
      </w:r>
    </w:p>
    <w:p w14:paraId="16428FAA" w14:textId="77777777" w:rsidR="00053DCB" w:rsidRPr="00053DCB" w:rsidRDefault="00053DCB" w:rsidP="00053DCB">
      <w:pPr>
        <w:spacing w:after="0" w:line="286" w:lineRule="auto"/>
        <w:jc w:val="center"/>
        <w:outlineLvl w:val="0"/>
        <w:rPr>
          <w:rFonts w:ascii="Times New Roman" w:hAnsi="Times New Roman"/>
          <w:b/>
          <w:sz w:val="20"/>
          <w:szCs w:val="20"/>
        </w:rPr>
      </w:pPr>
    </w:p>
    <w:p w14:paraId="128E3537" w14:textId="77777777" w:rsidR="00053DCB" w:rsidRPr="00053DCB" w:rsidRDefault="00053DCB" w:rsidP="00053DCB">
      <w:pPr>
        <w:spacing w:after="0" w:line="286" w:lineRule="auto"/>
        <w:jc w:val="center"/>
        <w:outlineLvl w:val="0"/>
        <w:rPr>
          <w:rFonts w:ascii="Times New Roman" w:hAnsi="Times New Roman"/>
          <w:bCs/>
          <w:sz w:val="20"/>
          <w:szCs w:val="20"/>
          <w:lang w:val="ms-MY"/>
        </w:rPr>
      </w:pPr>
      <w:r w:rsidRPr="00053DCB">
        <w:rPr>
          <w:rFonts w:ascii="Times New Roman" w:hAnsi="Times New Roman"/>
          <w:bCs/>
          <w:sz w:val="20"/>
          <w:szCs w:val="20"/>
          <w:lang w:val="ms-MY"/>
        </w:rPr>
        <w:t>Nurul Yani Rahim*  and Nurul Ain Elmira Elleas</w:t>
      </w:r>
    </w:p>
    <w:p w14:paraId="749C4B41" w14:textId="77777777" w:rsidR="00053DCB" w:rsidRPr="00053DCB" w:rsidRDefault="00053DCB" w:rsidP="00053DCB">
      <w:pPr>
        <w:spacing w:after="0" w:line="286" w:lineRule="auto"/>
        <w:jc w:val="center"/>
        <w:outlineLvl w:val="0"/>
        <w:rPr>
          <w:rFonts w:ascii="Times New Roman" w:hAnsi="Times New Roman"/>
          <w:bCs/>
          <w:sz w:val="18"/>
          <w:szCs w:val="18"/>
        </w:rPr>
      </w:pPr>
    </w:p>
    <w:p w14:paraId="2AFFF95F" w14:textId="685888A4" w:rsidR="00053DCB" w:rsidRPr="00053DCB" w:rsidRDefault="00053DCB" w:rsidP="00053DCB">
      <w:pPr>
        <w:spacing w:after="0" w:line="286" w:lineRule="auto"/>
        <w:jc w:val="center"/>
        <w:outlineLvl w:val="0"/>
        <w:rPr>
          <w:rFonts w:ascii="Times New Roman" w:hAnsi="Times New Roman"/>
          <w:bCs/>
          <w:i/>
          <w:iCs/>
          <w:sz w:val="18"/>
          <w:szCs w:val="18"/>
          <w:lang w:val="ms-MY"/>
        </w:rPr>
      </w:pPr>
      <w:r w:rsidRPr="00053DCB">
        <w:rPr>
          <w:rFonts w:ascii="Times New Roman" w:hAnsi="Times New Roman"/>
          <w:bCs/>
          <w:i/>
          <w:iCs/>
          <w:sz w:val="18"/>
          <w:szCs w:val="18"/>
          <w:lang w:val="ms-MY"/>
        </w:rPr>
        <w:t>School of Chemical Sciences</w:t>
      </w:r>
      <w:r w:rsidR="00996EE7">
        <w:rPr>
          <w:rFonts w:ascii="Times New Roman" w:hAnsi="Times New Roman"/>
          <w:bCs/>
          <w:i/>
          <w:iCs/>
          <w:sz w:val="18"/>
          <w:szCs w:val="18"/>
          <w:lang w:val="ms-MY"/>
        </w:rPr>
        <w:t>,</w:t>
      </w:r>
    </w:p>
    <w:p w14:paraId="390E759F" w14:textId="77777777" w:rsidR="00053DCB" w:rsidRPr="00053DCB" w:rsidRDefault="00053DCB" w:rsidP="00053DCB">
      <w:pPr>
        <w:spacing w:after="0" w:line="286" w:lineRule="auto"/>
        <w:jc w:val="center"/>
        <w:outlineLvl w:val="0"/>
        <w:rPr>
          <w:rFonts w:ascii="Times New Roman" w:hAnsi="Times New Roman"/>
          <w:bCs/>
          <w:i/>
          <w:iCs/>
          <w:sz w:val="18"/>
          <w:szCs w:val="18"/>
          <w:lang w:val="ms-MY"/>
        </w:rPr>
      </w:pPr>
      <w:r w:rsidRPr="00053DCB">
        <w:rPr>
          <w:rFonts w:ascii="Times New Roman" w:hAnsi="Times New Roman"/>
          <w:bCs/>
          <w:i/>
          <w:iCs/>
          <w:sz w:val="18"/>
          <w:szCs w:val="18"/>
          <w:lang w:val="ms-MY"/>
        </w:rPr>
        <w:t>Universiti Sains Malaysia, 11800 Gelugor, Pulau Pinang, Malaysia</w:t>
      </w:r>
    </w:p>
    <w:p w14:paraId="7AC332DE" w14:textId="77777777" w:rsidR="00053DCB" w:rsidRPr="00053DCB" w:rsidRDefault="00053DCB" w:rsidP="00053DCB">
      <w:pPr>
        <w:spacing w:after="0" w:line="286" w:lineRule="auto"/>
        <w:jc w:val="center"/>
        <w:outlineLvl w:val="0"/>
        <w:rPr>
          <w:rFonts w:ascii="Times New Roman" w:hAnsi="Times New Roman"/>
          <w:bCs/>
          <w:i/>
          <w:iCs/>
          <w:sz w:val="18"/>
          <w:szCs w:val="18"/>
          <w:lang w:val="ms-MY"/>
        </w:rPr>
      </w:pPr>
    </w:p>
    <w:p w14:paraId="2D83743F" w14:textId="5E35DAF9" w:rsidR="00053DCB" w:rsidRPr="00053DCB" w:rsidRDefault="00053DCB" w:rsidP="00053DCB">
      <w:pPr>
        <w:spacing w:after="0" w:line="286" w:lineRule="auto"/>
        <w:jc w:val="center"/>
        <w:outlineLvl w:val="0"/>
        <w:rPr>
          <w:rFonts w:ascii="Times New Roman" w:hAnsi="Times New Roman"/>
          <w:bCs/>
          <w:i/>
          <w:iCs/>
          <w:sz w:val="18"/>
          <w:szCs w:val="18"/>
          <w:lang w:val="ms-MY"/>
        </w:rPr>
      </w:pPr>
      <w:r w:rsidRPr="00053DCB">
        <w:rPr>
          <w:rFonts w:ascii="Times New Roman" w:hAnsi="Times New Roman"/>
          <w:bCs/>
          <w:i/>
          <w:iCs/>
          <w:sz w:val="18"/>
          <w:szCs w:val="18"/>
          <w:lang w:val="ms-MY"/>
        </w:rPr>
        <w:t xml:space="preserve">*Corresponding author: </w:t>
      </w:r>
      <w:r w:rsidR="00D20E6C">
        <w:rPr>
          <w:rFonts w:ascii="Times New Roman" w:hAnsi="Times New Roman"/>
          <w:bCs/>
          <w:i/>
          <w:iCs/>
          <w:sz w:val="18"/>
          <w:szCs w:val="18"/>
          <w:lang w:val="ms-MY"/>
        </w:rPr>
        <w:t xml:space="preserve"> </w:t>
      </w:r>
      <w:r w:rsidRPr="00053DCB">
        <w:rPr>
          <w:rFonts w:ascii="Times New Roman" w:hAnsi="Times New Roman"/>
          <w:bCs/>
          <w:i/>
          <w:iCs/>
          <w:sz w:val="18"/>
          <w:szCs w:val="18"/>
          <w:lang w:val="ms-MY"/>
        </w:rPr>
        <w:t>nurulyanirahim@usm.my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05A8D278"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053DCB">
        <w:rPr>
          <w:rFonts w:ascii="Times New Roman" w:hAnsi="Times New Roman"/>
          <w:noProof/>
          <w:sz w:val="18"/>
          <w:szCs w:val="18"/>
          <w:lang w:bidi="ar-SA"/>
        </w:rPr>
        <w:t>21 August 2020</w:t>
      </w:r>
      <w:r w:rsidRPr="00510BA6">
        <w:rPr>
          <w:rFonts w:ascii="Times New Roman" w:hAnsi="Times New Roman"/>
          <w:noProof/>
          <w:sz w:val="18"/>
          <w:szCs w:val="18"/>
          <w:lang w:bidi="ar-SA"/>
        </w:rPr>
        <w:t xml:space="preserve">; Accepted: </w:t>
      </w:r>
      <w:r w:rsidR="00053DCB">
        <w:rPr>
          <w:rFonts w:ascii="Times New Roman" w:hAnsi="Times New Roman"/>
          <w:noProof/>
          <w:sz w:val="18"/>
          <w:szCs w:val="18"/>
          <w:lang w:bidi="ar-SA"/>
        </w:rPr>
        <w:t>29 September 2020</w:t>
      </w:r>
      <w:r w:rsidR="00510BA6" w:rsidRPr="00510BA6">
        <w:rPr>
          <w:rFonts w:ascii="Times New Roman" w:hAnsi="Times New Roman"/>
          <w:noProof/>
          <w:sz w:val="18"/>
          <w:szCs w:val="18"/>
          <w:lang w:bidi="ar-SA"/>
        </w:rPr>
        <w:t xml:space="preserve">; Published: </w:t>
      </w:r>
      <w:r w:rsidR="00053DCB">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C0259D5" w14:textId="77777777" w:rsidR="00D20E6C" w:rsidRPr="00F656B3" w:rsidRDefault="00D20E6C" w:rsidP="00D20E6C">
      <w:pPr>
        <w:spacing w:after="0"/>
        <w:jc w:val="both"/>
        <w:rPr>
          <w:rFonts w:ascii="Times New Roman" w:eastAsia="Calibri" w:hAnsi="Times New Roman"/>
          <w:sz w:val="18"/>
          <w:szCs w:val="18"/>
        </w:rPr>
      </w:pPr>
      <w:r w:rsidRPr="00F656B3">
        <w:rPr>
          <w:rFonts w:ascii="Times New Roman" w:eastAsia="Calibri" w:hAnsi="Times New Roman"/>
          <w:sz w:val="18"/>
          <w:szCs w:val="18"/>
        </w:rPr>
        <w:t>The inclusion behavior of isoniazid with β-cyclodextrin (β-CD) in the liquid and solid state were investigated. The absorption spectral of UV-Vis was used to determine the inclusion behavior in the liquid state. Fourier Transform Infrared (FTIR) spectrometer, Thermogravimetric Analysis (TGA), and Nuclear Magnetic Resonance (NMR) were used to investigate the inclusion behavior in the solid state. The kneading between isoniazid and β-CD was performed to produce the inclusion complex. The formation constant (K) of the inclusion complex (β-CD/isoniazid) was calculated using Benesi-Hildebrand. The results of ˡH NMR and NOESY indicated that β-CD formed hydrophobic interaction with isoniazid. The values of formation constant for the complex of β-CD/isoniazid at pH 4 and 9 were 17.15 and 9.86, respectively.  Meanwhile, the value of formation constant for the complex at the natural condition was 25000. The stoichiometry ratio obtained for the complex of β-CD/isoniazid in acidic and basic conditions are 1:1. Meanwhile, 1:2 ratio of β-CD and isoniazid was found at natural condition.</w:t>
      </w:r>
    </w:p>
    <w:p w14:paraId="213CF342" w14:textId="77777777" w:rsidR="00D20E6C" w:rsidRPr="00F656B3" w:rsidRDefault="00D20E6C" w:rsidP="00D20E6C">
      <w:pPr>
        <w:spacing w:after="0"/>
        <w:jc w:val="both"/>
        <w:outlineLvl w:val="0"/>
        <w:rPr>
          <w:rFonts w:ascii="Times New Roman" w:hAnsi="Times New Roman"/>
          <w:sz w:val="18"/>
          <w:szCs w:val="18"/>
        </w:rPr>
      </w:pPr>
    </w:p>
    <w:p w14:paraId="3A4CEB44" w14:textId="0B335C10" w:rsidR="00D20E6C" w:rsidRPr="00F656B3" w:rsidRDefault="00D20E6C" w:rsidP="00D20E6C">
      <w:pPr>
        <w:spacing w:after="0"/>
        <w:jc w:val="both"/>
        <w:rPr>
          <w:sz w:val="18"/>
          <w:szCs w:val="18"/>
          <w:lang w:eastAsia="en-MY"/>
        </w:rPr>
      </w:pPr>
      <w:r w:rsidRPr="00F656B3">
        <w:rPr>
          <w:rFonts w:ascii="Times New Roman" w:hAnsi="Times New Roman"/>
          <w:b/>
          <w:sz w:val="18"/>
          <w:szCs w:val="18"/>
        </w:rPr>
        <w:t>Keywords</w:t>
      </w:r>
      <w:r w:rsidRPr="00F656B3">
        <w:rPr>
          <w:rFonts w:ascii="Times New Roman" w:hAnsi="Times New Roman"/>
          <w:b/>
          <w:bCs/>
          <w:sz w:val="18"/>
          <w:szCs w:val="18"/>
        </w:rPr>
        <w:t>:</w:t>
      </w:r>
      <w:r w:rsidRPr="00F656B3">
        <w:rPr>
          <w:rFonts w:ascii="Times New Roman" w:hAnsi="Times New Roman"/>
        </w:rPr>
        <w:t xml:space="preserve"> </w:t>
      </w:r>
      <w:r>
        <w:rPr>
          <w:rFonts w:ascii="Times New Roman" w:hAnsi="Times New Roman"/>
        </w:rPr>
        <w:t xml:space="preserve"> </w:t>
      </w:r>
      <w:r w:rsidRPr="00F656B3">
        <w:rPr>
          <w:rFonts w:ascii="Times New Roman" w:eastAsia="Calibri" w:hAnsi="Times New Roman"/>
          <w:sz w:val="18"/>
          <w:szCs w:val="18"/>
        </w:rPr>
        <w:t>β-cyclodextrin, tuberculosis drug, isoniazid, formation constant, inclusion complex</w:t>
      </w:r>
    </w:p>
    <w:p w14:paraId="33EA63B3" w14:textId="77777777" w:rsidR="00D20E6C" w:rsidRPr="00F656B3" w:rsidRDefault="00D20E6C" w:rsidP="00D20E6C">
      <w:pPr>
        <w:spacing w:after="0"/>
        <w:jc w:val="center"/>
        <w:outlineLvl w:val="0"/>
        <w:rPr>
          <w:rFonts w:ascii="Times New Roman" w:hAnsi="Times New Roman"/>
          <w:b/>
          <w:sz w:val="18"/>
          <w:szCs w:val="18"/>
        </w:rPr>
      </w:pPr>
    </w:p>
    <w:p w14:paraId="41FF9541" w14:textId="77777777" w:rsidR="00D20E6C" w:rsidRPr="00F656B3" w:rsidRDefault="00D20E6C" w:rsidP="00D20E6C">
      <w:pPr>
        <w:spacing w:after="0"/>
        <w:jc w:val="center"/>
        <w:outlineLvl w:val="0"/>
        <w:rPr>
          <w:rFonts w:ascii="Times New Roman" w:hAnsi="Times New Roman"/>
          <w:b/>
          <w:sz w:val="18"/>
          <w:szCs w:val="18"/>
          <w:lang w:val="ms-MY"/>
        </w:rPr>
      </w:pPr>
      <w:r w:rsidRPr="00F656B3">
        <w:rPr>
          <w:rFonts w:ascii="Times New Roman" w:hAnsi="Times New Roman"/>
          <w:b/>
          <w:sz w:val="18"/>
          <w:szCs w:val="18"/>
          <w:lang w:val="ms-MY"/>
        </w:rPr>
        <w:t>Abstrak</w:t>
      </w:r>
    </w:p>
    <w:p w14:paraId="050DC68B" w14:textId="77777777" w:rsidR="00D20E6C" w:rsidRPr="00F656B3" w:rsidRDefault="00D20E6C" w:rsidP="00D20E6C">
      <w:pPr>
        <w:spacing w:after="0"/>
        <w:jc w:val="both"/>
        <w:rPr>
          <w:rFonts w:ascii="Times New Roman" w:eastAsia="Calibri" w:hAnsi="Times New Roman"/>
          <w:sz w:val="18"/>
          <w:szCs w:val="18"/>
          <w:lang w:val="ms-MY"/>
        </w:rPr>
      </w:pPr>
      <w:r w:rsidRPr="00F656B3">
        <w:rPr>
          <w:rFonts w:ascii="Times New Roman" w:eastAsia="Calibri" w:hAnsi="Times New Roman"/>
          <w:sz w:val="18"/>
          <w:szCs w:val="18"/>
          <w:lang w:val="ms-MY"/>
        </w:rPr>
        <w:t>Sifat kemasukan di antara isoniazid dengan β-siklodektrin (β-CD) dalam keadaan cecair dan pepejal telah disiasat. Spektr</w:t>
      </w:r>
      <w:r>
        <w:rPr>
          <w:rFonts w:ascii="Times New Roman" w:eastAsia="Calibri" w:hAnsi="Times New Roman"/>
          <w:sz w:val="18"/>
          <w:szCs w:val="18"/>
          <w:lang w:val="ms-MY"/>
        </w:rPr>
        <w:t>um</w:t>
      </w:r>
      <w:r w:rsidRPr="00F656B3">
        <w:rPr>
          <w:rFonts w:ascii="Times New Roman" w:eastAsia="Calibri" w:hAnsi="Times New Roman"/>
          <w:sz w:val="18"/>
          <w:szCs w:val="18"/>
          <w:lang w:val="ms-MY"/>
        </w:rPr>
        <w:t xml:space="preserve"> penyerapapan UV-Vis telah digunakan untuk mengenal pasti sifat kemasukan dalam keadaan cecair. Spektrometer Inframerah Transformasi Fourier (FTIR), Analisis Termogravimetrik (TGA) dan Resonan Magnetik Nuklear (NMR) telah digunakan untuk menyiasat sikap kemasukan dalam keadaan pepejal. Pengulian antara isoniazid dan β-CD telah dilakukan untuk menghasilkan kompleks kemasukan. Pemalar pembentukan (K) komplek kemasukan (β-CD/isoniazid) telah kira menggunakan Benesi-Hildebrand. Keputusan ˡH NMR dan NOESY menunjukkan β-CD membentuk interaksi hidrofobik dengan isoniazid. Nilai pemalar pembentukan bagi kompleks β-CD/isoniazid pada pH 4 dan 9 adalah masing-masing 17.15 dan 9.86. Sementara itu, pada keadaan semula jadi nilai pemalar pembentukan kompleks ialah 25000. Nisbah stoikiometri yang diperolehi untuk kompleks β-CD/isoniazid dalam keadaan asid dan bes ialah 1:1. Sementara itu, 1:2 adalah nisbah untuk β-CD dan isoniazid pada keadaan semula jadi.</w:t>
      </w:r>
    </w:p>
    <w:p w14:paraId="7C86737F" w14:textId="77777777" w:rsidR="00D20E6C" w:rsidRPr="00F656B3" w:rsidRDefault="00D20E6C" w:rsidP="00D20E6C">
      <w:pPr>
        <w:spacing w:after="0"/>
        <w:jc w:val="both"/>
        <w:outlineLvl w:val="0"/>
        <w:rPr>
          <w:rFonts w:ascii="Times New Roman" w:hAnsi="Times New Roman"/>
          <w:sz w:val="18"/>
          <w:szCs w:val="18"/>
          <w:lang w:val="ms-MY"/>
        </w:rPr>
      </w:pPr>
    </w:p>
    <w:p w14:paraId="545ECD12" w14:textId="4C5F9AA4" w:rsidR="006768E9" w:rsidRPr="00510BA6" w:rsidRDefault="00D20E6C" w:rsidP="00D20E6C">
      <w:pPr>
        <w:spacing w:after="0"/>
        <w:jc w:val="both"/>
        <w:rPr>
          <w:rFonts w:ascii="Times New Roman" w:hAnsi="Times New Roman"/>
          <w:noProof/>
          <w:sz w:val="20"/>
          <w:szCs w:val="20"/>
          <w:lang w:bidi="ar-SA"/>
        </w:rPr>
      </w:pPr>
      <w:r w:rsidRPr="00F656B3">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F656B3">
        <w:rPr>
          <w:rFonts w:ascii="Times New Roman" w:eastAsia="SimSun" w:hAnsi="Times New Roman"/>
          <w:sz w:val="18"/>
          <w:szCs w:val="18"/>
          <w:lang w:val="ms-MY"/>
        </w:rPr>
        <w:t>β-siklodektrins, ubat</w:t>
      </w:r>
      <w:r w:rsidRPr="00F656B3">
        <w:rPr>
          <w:sz w:val="18"/>
          <w:szCs w:val="18"/>
          <w:lang w:val="ms-MY"/>
        </w:rPr>
        <w:t xml:space="preserve"> </w:t>
      </w:r>
      <w:r w:rsidRPr="00F656B3">
        <w:rPr>
          <w:rFonts w:ascii="Times New Roman" w:eastAsia="SimSun" w:hAnsi="Times New Roman"/>
          <w:sz w:val="18"/>
          <w:szCs w:val="18"/>
          <w:lang w:val="ms-MY"/>
        </w:rPr>
        <w:t>anti tuberculosis, isoniazid, pemalar pembentukan, kompleks kemasukan</w:t>
      </w: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2C434B0F" w14:textId="77777777" w:rsidR="00475D0A" w:rsidRDefault="00475D0A" w:rsidP="00510BA6">
      <w:pPr>
        <w:spacing w:after="0"/>
        <w:jc w:val="center"/>
        <w:rPr>
          <w:rFonts w:ascii="Times New Roman" w:hAnsi="Times New Roman"/>
          <w:b/>
          <w:noProof/>
          <w:sz w:val="20"/>
          <w:szCs w:val="20"/>
          <w:lang w:bidi="ar-SA"/>
        </w:rPr>
        <w:sectPr w:rsidR="00475D0A"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5A50BD7A" w14:textId="51CC78CE" w:rsidR="006267B4" w:rsidRDefault="006267B4" w:rsidP="00510BA6">
      <w:pPr>
        <w:spacing w:after="0"/>
        <w:jc w:val="center"/>
        <w:rPr>
          <w:rFonts w:ascii="Times New Roman" w:hAnsi="Times New Roman"/>
          <w:b/>
          <w:noProof/>
          <w:sz w:val="20"/>
          <w:szCs w:val="20"/>
          <w:lang w:bidi="ar-SA"/>
        </w:rPr>
        <w:sectPr w:rsidR="006267B4" w:rsidSect="00475D0A">
          <w:type w:val="oddPage"/>
          <w:pgSz w:w="12240" w:h="15840" w:code="1"/>
          <w:pgMar w:top="1800" w:right="1469" w:bottom="1699" w:left="1440" w:header="706" w:footer="706" w:gutter="0"/>
          <w:pgNumType w:start="0"/>
          <w:cols w:space="708"/>
          <w:docGrid w:linePitch="360"/>
        </w:sectPr>
      </w:pPr>
    </w:p>
    <w:p w14:paraId="6FC0EFD8" w14:textId="36E7165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49E2416" w14:textId="77777777" w:rsidR="00D20E6C" w:rsidRPr="00D20E6C" w:rsidRDefault="00D20E6C" w:rsidP="00D20E6C">
      <w:pPr>
        <w:adjustRightInd w:val="0"/>
        <w:spacing w:after="0"/>
        <w:jc w:val="both"/>
        <w:rPr>
          <w:rFonts w:ascii="Times New Roman" w:eastAsia="SimSun" w:hAnsi="Times New Roman"/>
          <w:sz w:val="20"/>
          <w:szCs w:val="20"/>
        </w:rPr>
      </w:pPr>
      <w:r w:rsidRPr="00D20E6C">
        <w:rPr>
          <w:rFonts w:ascii="Times New Roman" w:eastAsia="SimSun" w:hAnsi="Times New Roman"/>
          <w:sz w:val="20"/>
          <w:szCs w:val="20"/>
        </w:rPr>
        <w:t xml:space="preserve">Host guest systems have performed in supramolecular chemistry to introduce the broad idea of intermolecular interactions. </w:t>
      </w:r>
      <w:r w:rsidRPr="00D20E6C">
        <w:rPr>
          <w:rFonts w:ascii="Times New Roman" w:hAnsi="Times New Roman"/>
          <w:sz w:val="20"/>
          <w:szCs w:val="20"/>
        </w:rPr>
        <w:t xml:space="preserve">The interaction between host and guest relies on non-covalent bonding. The common types of non-covalent interactions are hydrogen bonding, dipole-dipole, van der Waals and </w:t>
      </w:r>
      <w:r w:rsidRPr="00D20E6C">
        <w:rPr>
          <w:rFonts w:ascii="Times New Roman" w:hAnsi="Times New Roman"/>
          <w:sz w:val="20"/>
          <w:szCs w:val="20"/>
        </w:rPr>
        <w:sym w:font="Symbol" w:char="F070"/>
      </w:r>
      <w:r w:rsidRPr="00D20E6C">
        <w:rPr>
          <w:rFonts w:ascii="Times New Roman" w:hAnsi="Times New Roman"/>
          <w:sz w:val="20"/>
          <w:szCs w:val="20"/>
        </w:rPr>
        <w:t>-</w:t>
      </w:r>
      <w:r w:rsidRPr="00D20E6C">
        <w:rPr>
          <w:rFonts w:ascii="Times New Roman" w:hAnsi="Times New Roman"/>
          <w:sz w:val="20"/>
          <w:szCs w:val="20"/>
        </w:rPr>
        <w:sym w:font="Symbol" w:char="F070"/>
      </w:r>
      <w:r w:rsidRPr="00D20E6C">
        <w:rPr>
          <w:rFonts w:ascii="Times New Roman" w:hAnsi="Times New Roman"/>
          <w:sz w:val="20"/>
          <w:szCs w:val="20"/>
        </w:rPr>
        <w:t xml:space="preserve"> interaction. An </w:t>
      </w:r>
      <w:r w:rsidRPr="00D20E6C">
        <w:rPr>
          <w:rFonts w:ascii="Times New Roman" w:eastAsia="SimSun" w:hAnsi="Times New Roman"/>
          <w:sz w:val="20"/>
          <w:szCs w:val="20"/>
        </w:rPr>
        <w:t>inclusion complex is a type of host-guest system in which one compound (the host) contains a cavity or spaces where another molecular entity (the guest) is located</w:t>
      </w:r>
      <w:r w:rsidRPr="00D20E6C">
        <w:rPr>
          <w:rFonts w:ascii="Times New Roman" w:eastAsia="Calibri" w:hAnsi="Times New Roman"/>
          <w:sz w:val="20"/>
          <w:szCs w:val="20"/>
        </w:rPr>
        <w:t xml:space="preserve">. Therefore, the understanding of non-covalent interactions is important in the inclusion complex formation. Towards this goal, </w:t>
      </w:r>
      <w:r w:rsidRPr="00D20E6C">
        <w:rPr>
          <w:rFonts w:ascii="Times New Roman" w:eastAsia="SimSun" w:hAnsi="Times New Roman"/>
          <w:sz w:val="20"/>
          <w:szCs w:val="20"/>
        </w:rPr>
        <w:t xml:space="preserve">the application of simple hosts such as cyclodextrin, crown ether and calix [n] arena is gaining attention [1-3]. </w:t>
      </w:r>
    </w:p>
    <w:p w14:paraId="51DB491E" w14:textId="77777777" w:rsidR="00D20E6C" w:rsidRPr="00D20E6C" w:rsidRDefault="00D20E6C" w:rsidP="00D20E6C">
      <w:pPr>
        <w:adjustRightInd w:val="0"/>
        <w:spacing w:after="0"/>
        <w:jc w:val="both"/>
        <w:rPr>
          <w:rFonts w:ascii="Times New Roman" w:eastAsia="SimSun" w:hAnsi="Times New Roman"/>
          <w:sz w:val="20"/>
          <w:szCs w:val="20"/>
        </w:rPr>
      </w:pPr>
    </w:p>
    <w:p w14:paraId="6490D7AB" w14:textId="4D8AF074" w:rsidR="00D20E6C" w:rsidRDefault="00D20E6C" w:rsidP="00D20E6C">
      <w:pPr>
        <w:adjustRightInd w:val="0"/>
        <w:spacing w:after="0"/>
        <w:jc w:val="both"/>
        <w:rPr>
          <w:rFonts w:ascii="Times New Roman" w:hAnsi="Times New Roman"/>
          <w:sz w:val="20"/>
          <w:szCs w:val="20"/>
        </w:rPr>
      </w:pPr>
      <w:r w:rsidRPr="00D20E6C">
        <w:rPr>
          <w:rFonts w:ascii="Times New Roman" w:eastAsia="SimSun" w:hAnsi="Times New Roman"/>
          <w:sz w:val="20"/>
          <w:szCs w:val="20"/>
        </w:rPr>
        <w:t xml:space="preserve">Tuberculosis (TB) is a global pandemic disease caused by </w:t>
      </w:r>
      <w:r w:rsidRPr="00D20E6C">
        <w:rPr>
          <w:rFonts w:ascii="Times New Roman" w:eastAsia="SimSun" w:hAnsi="Times New Roman"/>
          <w:i/>
          <w:iCs/>
          <w:sz w:val="20"/>
          <w:szCs w:val="20"/>
        </w:rPr>
        <w:t>Mycobacterium tuberculosis</w:t>
      </w:r>
      <w:r w:rsidRPr="00D20E6C">
        <w:rPr>
          <w:rFonts w:ascii="Times New Roman" w:eastAsia="SimSun" w:hAnsi="Times New Roman"/>
          <w:sz w:val="20"/>
          <w:szCs w:val="20"/>
        </w:rPr>
        <w:t xml:space="preserve"> (MTB) that has been a scourge for humanity over thousands of years [4]. According to the World Health Organization (WHO), a quarter of the global population infected by TB with had reported with 9 million cases in 2010, and the number of new cases of infected people is increasing yearly [5]. </w:t>
      </w:r>
      <w:r w:rsidRPr="00D20E6C">
        <w:rPr>
          <w:rFonts w:ascii="Times New Roman" w:hAnsi="Times New Roman"/>
          <w:sz w:val="20"/>
          <w:szCs w:val="20"/>
        </w:rPr>
        <w:t>Therefore, the continuous phase for TB treatment is essential to kill the persistent or slow-growing strains of MTB [6]. Thus, the development of new drugs and strategies for eradication of TB disease and tackle the dormant MTB needs to be a concern.</w:t>
      </w:r>
    </w:p>
    <w:p w14:paraId="6637623D" w14:textId="77777777" w:rsidR="006267B4" w:rsidRPr="00D20E6C" w:rsidRDefault="006267B4" w:rsidP="00D20E6C">
      <w:pPr>
        <w:adjustRightInd w:val="0"/>
        <w:spacing w:after="0"/>
        <w:jc w:val="both"/>
        <w:rPr>
          <w:rFonts w:ascii="Times New Roman" w:hAnsi="Times New Roman"/>
          <w:sz w:val="20"/>
          <w:szCs w:val="20"/>
        </w:rPr>
      </w:pPr>
    </w:p>
    <w:p w14:paraId="23AE97CF" w14:textId="43C25180" w:rsidR="00D20E6C" w:rsidRDefault="00D20E6C" w:rsidP="00D20E6C">
      <w:pPr>
        <w:spacing w:after="0"/>
        <w:jc w:val="both"/>
        <w:rPr>
          <w:rFonts w:ascii="Times New Roman" w:hAnsi="Times New Roman"/>
          <w:sz w:val="20"/>
          <w:szCs w:val="20"/>
          <w:lang w:val="en-MY" w:eastAsia="en-MY"/>
        </w:rPr>
      </w:pPr>
      <w:r w:rsidRPr="00D20E6C">
        <w:rPr>
          <w:rFonts w:ascii="Times New Roman" w:hAnsi="Times New Roman"/>
          <w:sz w:val="20"/>
          <w:szCs w:val="20"/>
          <w:lang w:val="en-MY" w:eastAsia="en-MY"/>
        </w:rPr>
        <w:t xml:space="preserve">Isoniazid is one of first-line drugs to treat TB initiated in 1951 [6] to stop the growth of bacteria. Isoniazid penetrated and activated the encoding catalase-peroxidase gene. The peroxidase catalase activity induced the interaction of isoniazid with toxic reactive species [7] such as oxides, hydroxyl radicals, and organic moisture to rupture the cell wall components causing the cellular integrity completely lost and lead to the death of bacterial [8]. </w:t>
      </w:r>
    </w:p>
    <w:p w14:paraId="10BD69A7" w14:textId="77777777" w:rsidR="006267B4" w:rsidRPr="00D20E6C" w:rsidRDefault="006267B4" w:rsidP="00D20E6C">
      <w:pPr>
        <w:spacing w:after="0"/>
        <w:jc w:val="both"/>
        <w:rPr>
          <w:rFonts w:ascii="Times New Roman" w:hAnsi="Times New Roman"/>
          <w:sz w:val="20"/>
          <w:szCs w:val="20"/>
          <w:lang w:val="en-MY" w:eastAsia="en-MY"/>
        </w:rPr>
      </w:pPr>
    </w:p>
    <w:p w14:paraId="7C02AE1F" w14:textId="0B6AD7D8" w:rsidR="00D20E6C" w:rsidRPr="00D20E6C" w:rsidRDefault="00D20E6C" w:rsidP="00D20E6C">
      <w:pPr>
        <w:spacing w:after="0"/>
        <w:jc w:val="both"/>
        <w:rPr>
          <w:rFonts w:ascii="Times New Roman" w:hAnsi="Times New Roman"/>
          <w:sz w:val="20"/>
          <w:szCs w:val="20"/>
          <w:lang w:val="en-MY" w:eastAsia="en-MY"/>
        </w:rPr>
      </w:pPr>
      <w:r w:rsidRPr="00D20E6C">
        <w:rPr>
          <w:rFonts w:ascii="Times New Roman" w:eastAsia="SimSun" w:hAnsi="Times New Roman"/>
          <w:sz w:val="20"/>
          <w:szCs w:val="20"/>
        </w:rPr>
        <w:t xml:space="preserve">The supramolecular cyclodextrins (CDs) are well known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non-toxic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cyclic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oligosaccharides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consist of </w:t>
      </w:r>
      <w:r w:rsidRPr="00D20E6C">
        <w:rPr>
          <w:rFonts w:ascii="Times New Roman" w:hAnsi="Times New Roman"/>
          <w:sz w:val="20"/>
          <w:szCs w:val="20"/>
        </w:rPr>
        <w:t>(α-1, 4)-linked α-</w:t>
      </w:r>
      <w:r w:rsidRPr="00D20E6C">
        <w:rPr>
          <w:rFonts w:ascii="Times New Roman" w:hAnsi="Times New Roman"/>
          <w:sz w:val="20"/>
          <w:szCs w:val="20"/>
          <w:vertAlign w:val="subscript"/>
        </w:rPr>
        <w:t>L</w:t>
      </w:r>
      <w:r w:rsidRPr="00D20E6C">
        <w:rPr>
          <w:rFonts w:ascii="Times New Roman" w:hAnsi="Times New Roman"/>
          <w:sz w:val="20"/>
          <w:szCs w:val="20"/>
        </w:rPr>
        <w:t>-glucopyranose units with a hollow hydrophobic central cavity and a hydrophilic outer surface.</w:t>
      </w:r>
      <w:r w:rsidRPr="00D20E6C">
        <w:rPr>
          <w:rFonts w:ascii="Times New Roman" w:eastAsia="SimSun" w:hAnsi="Times New Roman"/>
          <w:sz w:val="20"/>
          <w:szCs w:val="20"/>
        </w:rPr>
        <w:t xml:space="preserve"> This characteristic served as fundamental for various applications of CD in </w:t>
      </w:r>
      <w:r w:rsidRPr="00D20E6C">
        <w:rPr>
          <w:rFonts w:ascii="Times New Roman" w:hAnsi="Times New Roman"/>
          <w:sz w:val="20"/>
          <w:szCs w:val="20"/>
        </w:rPr>
        <w:t xml:space="preserve">pharmaceuticals, </w:t>
      </w:r>
      <w:r w:rsidRPr="00D20E6C">
        <w:rPr>
          <w:rFonts w:ascii="Times New Roman" w:hAnsi="Times New Roman"/>
          <w:sz w:val="20"/>
          <w:szCs w:val="20"/>
        </w:rPr>
        <w:t xml:space="preserve">foodstuffs, host-guest chemistry, textile processing, models for studying enzyme activity, molecular encapsulation, and chemical stabilization [9]. </w:t>
      </w:r>
      <w:r w:rsidRPr="00D20E6C">
        <w:rPr>
          <w:rFonts w:ascii="Times New Roman" w:eastAsia="SimSun" w:hAnsi="Times New Roman"/>
          <w:sz w:val="20"/>
          <w:szCs w:val="20"/>
        </w:rPr>
        <w:t xml:space="preserve">There are </w:t>
      </w:r>
      <w:r w:rsidRPr="00D20E6C">
        <w:rPr>
          <w:rFonts w:ascii="Times New Roman" w:hAnsi="Times New Roman"/>
          <w:sz w:val="20"/>
          <w:szCs w:val="20"/>
        </w:rPr>
        <w:t xml:space="preserve">α-, β- and γ- denoted </w:t>
      </w:r>
      <w:r w:rsidRPr="00D20E6C">
        <w:rPr>
          <w:rFonts w:ascii="Times New Roman" w:eastAsia="SimSun" w:hAnsi="Times New Roman"/>
          <w:sz w:val="20"/>
          <w:szCs w:val="20"/>
        </w:rPr>
        <w:t xml:space="preserve">for six to eight </w:t>
      </w:r>
      <w:r w:rsidRPr="00D20E6C">
        <w:rPr>
          <w:rFonts w:ascii="Times New Roman" w:hAnsi="Times New Roman"/>
          <w:sz w:val="20"/>
          <w:szCs w:val="20"/>
        </w:rPr>
        <w:t>α-</w:t>
      </w:r>
      <w:r w:rsidRPr="00D20E6C">
        <w:rPr>
          <w:rStyle w:val="html-small-caps"/>
          <w:rFonts w:ascii="Times New Roman" w:hAnsi="Times New Roman"/>
          <w:sz w:val="20"/>
          <w:szCs w:val="20"/>
          <w:vertAlign w:val="subscript"/>
        </w:rPr>
        <w:t>L</w:t>
      </w:r>
      <w:r w:rsidRPr="00D20E6C">
        <w:rPr>
          <w:rFonts w:ascii="Times New Roman" w:hAnsi="Times New Roman"/>
          <w:sz w:val="20"/>
          <w:szCs w:val="20"/>
        </w:rPr>
        <w:t xml:space="preserve">-glucopyranose </w:t>
      </w:r>
      <w:r w:rsidRPr="00D20E6C">
        <w:rPr>
          <w:rFonts w:ascii="Times New Roman" w:eastAsia="SimSun" w:hAnsi="Times New Roman"/>
          <w:sz w:val="20"/>
          <w:szCs w:val="20"/>
        </w:rPr>
        <w:t xml:space="preserve">unit in </w:t>
      </w:r>
      <w:r w:rsidRPr="00D20E6C">
        <w:rPr>
          <w:rFonts w:ascii="Times New Roman" w:hAnsi="Times New Roman"/>
          <w:sz w:val="20"/>
          <w:szCs w:val="20"/>
        </w:rPr>
        <w:t>cyclodextrins.</w:t>
      </w:r>
      <w:r w:rsidRPr="00D20E6C">
        <w:rPr>
          <w:rFonts w:ascii="Times New Roman" w:eastAsia="SimSun" w:hAnsi="Times New Roman"/>
          <w:sz w:val="20"/>
          <w:szCs w:val="20"/>
        </w:rPr>
        <w:t xml:space="preserve"> Among these types of cyclodextrins, β-cyclodextrin (β-CD) is widely used </w:t>
      </w:r>
      <w:r w:rsidRPr="00D20E6C">
        <w:rPr>
          <w:rFonts w:ascii="Times New Roman" w:hAnsi="Times New Roman"/>
          <w:sz w:val="20"/>
          <w:szCs w:val="20"/>
        </w:rPr>
        <w:t xml:space="preserve">due to its structural orientation that favorable for inclusion complex formation. The </w:t>
      </w:r>
      <w:r w:rsidRPr="00D20E6C">
        <w:rPr>
          <w:rFonts w:ascii="Times New Roman" w:eastAsia="SimSun" w:hAnsi="Times New Roman"/>
          <w:sz w:val="20"/>
          <w:szCs w:val="20"/>
        </w:rPr>
        <w:t>toxicological profile of β-CD consists of physicochemical features that adapted for therapeutic demands [10, 11]. Previously, Razak et al. had demonstrated the experimental and theoretical study of isoniazid and β-CD complex [12, 13]. The host-guest inclusion complex of isoniazid with β-CD derivatives was explored well experimentally and theoretical [14].</w:t>
      </w:r>
    </w:p>
    <w:p w14:paraId="0DDED7DF" w14:textId="75C09EAA" w:rsidR="00D20E6C" w:rsidRDefault="00D20E6C" w:rsidP="00D20E6C">
      <w:pPr>
        <w:spacing w:after="0"/>
        <w:jc w:val="both"/>
        <w:rPr>
          <w:rFonts w:ascii="Times New Roman" w:eastAsia="Calibri" w:hAnsi="Times New Roman"/>
          <w:sz w:val="20"/>
          <w:szCs w:val="20"/>
        </w:rPr>
      </w:pPr>
      <w:r w:rsidRPr="00D20E6C">
        <w:rPr>
          <w:rFonts w:ascii="Times New Roman" w:eastAsia="Calibri" w:hAnsi="Times New Roman"/>
          <w:sz w:val="20"/>
          <w:szCs w:val="20"/>
        </w:rPr>
        <w:t xml:space="preserve">In this context, the current study aimed to investigate the inclusion complex of isoniazid with </w:t>
      </w:r>
      <w:r w:rsidRPr="00D20E6C">
        <w:rPr>
          <w:rFonts w:ascii="Times New Roman" w:eastAsia="SimSun" w:hAnsi="Times New Roman"/>
          <w:sz w:val="20"/>
          <w:szCs w:val="20"/>
        </w:rPr>
        <w:t xml:space="preserve">β-CD. The inclusion complex was analyzed by FTIR, TGA, UV-Vis and NMR. To the best of our knowledge, in this study, there are liquid and solid-state studies about the complexation of isoniazid and β-CD. </w:t>
      </w:r>
      <w:r w:rsidRPr="00D20E6C">
        <w:rPr>
          <w:rFonts w:ascii="Times New Roman" w:eastAsia="Calibri" w:hAnsi="Times New Roman"/>
          <w:sz w:val="20"/>
          <w:szCs w:val="20"/>
        </w:rPr>
        <w:t xml:space="preserve">This integrated experimental method shows the host-guest mechanism between β-CD and isoniazid will benefit to the future formulation development of the drug delivery system. </w:t>
      </w:r>
    </w:p>
    <w:p w14:paraId="7993DE29" w14:textId="77777777" w:rsidR="006267B4" w:rsidRPr="00D20E6C" w:rsidRDefault="006267B4" w:rsidP="00D20E6C">
      <w:pPr>
        <w:spacing w:after="0"/>
        <w:jc w:val="both"/>
        <w:rPr>
          <w:rFonts w:ascii="Times New Roman" w:eastAsia="Calibri" w:hAnsi="Times New Roman"/>
          <w:sz w:val="20"/>
          <w:szCs w:val="20"/>
        </w:rPr>
      </w:pPr>
    </w:p>
    <w:p w14:paraId="1B832E12" w14:textId="77777777" w:rsidR="006267B4" w:rsidRPr="00D20E6C" w:rsidRDefault="006267B4" w:rsidP="006267B4">
      <w:pPr>
        <w:spacing w:after="0"/>
        <w:jc w:val="center"/>
        <w:outlineLvl w:val="0"/>
        <w:rPr>
          <w:rFonts w:ascii="Times New Roman" w:hAnsi="Times New Roman"/>
          <w:b/>
          <w:sz w:val="20"/>
          <w:szCs w:val="20"/>
        </w:rPr>
      </w:pPr>
      <w:r w:rsidRPr="00D20E6C">
        <w:rPr>
          <w:rFonts w:ascii="Times New Roman" w:hAnsi="Times New Roman"/>
          <w:b/>
          <w:sz w:val="20"/>
          <w:szCs w:val="20"/>
        </w:rPr>
        <w:t>Materials and Methods</w:t>
      </w:r>
    </w:p>
    <w:p w14:paraId="128B369E" w14:textId="77777777" w:rsidR="006267B4" w:rsidRPr="00D20E6C" w:rsidRDefault="006267B4" w:rsidP="006267B4">
      <w:pPr>
        <w:spacing w:after="0"/>
        <w:jc w:val="both"/>
        <w:outlineLvl w:val="0"/>
        <w:rPr>
          <w:rFonts w:ascii="Times New Roman" w:hAnsi="Times New Roman"/>
          <w:b/>
          <w:sz w:val="20"/>
          <w:szCs w:val="20"/>
        </w:rPr>
      </w:pPr>
      <w:r w:rsidRPr="00D20E6C">
        <w:rPr>
          <w:rFonts w:ascii="Times New Roman" w:hAnsi="Times New Roman"/>
          <w:b/>
          <w:sz w:val="20"/>
          <w:szCs w:val="20"/>
        </w:rPr>
        <w:t>Materials</w:t>
      </w:r>
    </w:p>
    <w:p w14:paraId="01BB0938" w14:textId="77777777" w:rsidR="006267B4" w:rsidRPr="00D20E6C" w:rsidRDefault="006267B4" w:rsidP="006267B4">
      <w:pPr>
        <w:spacing w:after="0"/>
        <w:jc w:val="both"/>
        <w:rPr>
          <w:rFonts w:ascii="Times New Roman" w:hAnsi="Times New Roman"/>
          <w:sz w:val="20"/>
          <w:szCs w:val="20"/>
        </w:rPr>
      </w:pPr>
      <w:r w:rsidRPr="00D20E6C">
        <w:rPr>
          <w:rFonts w:ascii="Times New Roman" w:hAnsi="Times New Roman"/>
          <w:sz w:val="20"/>
          <w:szCs w:val="20"/>
        </w:rPr>
        <w:t xml:space="preserve">β-CD </w:t>
      </w:r>
      <w:r w:rsidRPr="00D20E6C">
        <w:rPr>
          <w:rFonts w:ascii="Times New Roman" w:eastAsia="SimSun" w:hAnsi="Times New Roman"/>
          <w:sz w:val="20"/>
          <w:szCs w:val="20"/>
        </w:rPr>
        <w:t>(&gt;97%) was purchased from Sigma Aldrich Company and used without further purification.</w:t>
      </w:r>
      <w:r w:rsidRPr="00D20E6C">
        <w:rPr>
          <w:rFonts w:ascii="Times New Roman" w:hAnsi="Times New Roman"/>
          <w:sz w:val="20"/>
          <w:szCs w:val="20"/>
        </w:rPr>
        <w:t xml:space="preserve"> Isoniazid (</w:t>
      </w:r>
      <w:r w:rsidRPr="00D20E6C">
        <w:rPr>
          <w:rFonts w:ascii="Times New Roman" w:eastAsia="SimSun" w:hAnsi="Times New Roman"/>
          <w:sz w:val="20"/>
          <w:szCs w:val="20"/>
        </w:rPr>
        <w:t>99%</w:t>
      </w:r>
      <w:r w:rsidRPr="00D20E6C">
        <w:rPr>
          <w:rFonts w:ascii="Times New Roman" w:hAnsi="Times New Roman"/>
          <w:sz w:val="20"/>
          <w:szCs w:val="20"/>
        </w:rPr>
        <w:t>) was obtained from Across Organic and used without further purification. Methanol (</w:t>
      </w:r>
      <w:r w:rsidRPr="00D20E6C">
        <w:rPr>
          <w:rFonts w:ascii="Times New Roman" w:eastAsia="SimSun" w:hAnsi="Times New Roman"/>
          <w:sz w:val="20"/>
          <w:szCs w:val="20"/>
        </w:rPr>
        <w:t>LC grade</w:t>
      </w:r>
      <w:r w:rsidRPr="00D20E6C">
        <w:rPr>
          <w:rFonts w:ascii="Times New Roman" w:hAnsi="Times New Roman"/>
          <w:sz w:val="20"/>
          <w:szCs w:val="20"/>
        </w:rPr>
        <w:t>), ethanol (</w:t>
      </w:r>
      <w:r w:rsidRPr="00D20E6C">
        <w:rPr>
          <w:rFonts w:ascii="Times New Roman" w:eastAsia="SimSun" w:hAnsi="Times New Roman"/>
          <w:sz w:val="20"/>
          <w:szCs w:val="20"/>
        </w:rPr>
        <w:t>95%</w:t>
      </w:r>
      <w:r w:rsidRPr="00D20E6C">
        <w:rPr>
          <w:rFonts w:ascii="Times New Roman" w:hAnsi="Times New Roman"/>
          <w:sz w:val="20"/>
          <w:szCs w:val="20"/>
        </w:rPr>
        <w:t>) and hydrochloric acid (37%) were purchased from QRec. Sodium hydroxide (99%) and dimethyl sulfoxide (</w:t>
      </w:r>
      <w:r w:rsidRPr="00D20E6C">
        <w:rPr>
          <w:rFonts w:ascii="Times New Roman" w:eastAsia="SimSun" w:hAnsi="Times New Roman"/>
          <w:sz w:val="20"/>
          <w:szCs w:val="20"/>
        </w:rPr>
        <w:t xml:space="preserve">99.8%) were obtained from R&amp;M Chemical and MagniSolv, respectively. </w:t>
      </w:r>
      <w:r w:rsidRPr="00D20E6C">
        <w:rPr>
          <w:rFonts w:ascii="Times New Roman" w:hAnsi="Times New Roman"/>
          <w:sz w:val="20"/>
          <w:szCs w:val="20"/>
        </w:rPr>
        <w:t>Ultra-pure water was used to dilute the solutions.</w:t>
      </w:r>
    </w:p>
    <w:p w14:paraId="7F5D5732" w14:textId="77777777" w:rsidR="006267B4" w:rsidRPr="00D20E6C" w:rsidRDefault="006267B4" w:rsidP="006267B4">
      <w:pPr>
        <w:spacing w:after="0"/>
        <w:jc w:val="both"/>
        <w:outlineLvl w:val="0"/>
        <w:rPr>
          <w:rFonts w:ascii="Times New Roman" w:hAnsi="Times New Roman"/>
          <w:bCs/>
          <w:sz w:val="20"/>
          <w:szCs w:val="20"/>
        </w:rPr>
      </w:pPr>
    </w:p>
    <w:p w14:paraId="3AE71FAA" w14:textId="77777777" w:rsidR="006267B4" w:rsidRPr="00D20E6C" w:rsidRDefault="006267B4" w:rsidP="006267B4">
      <w:pPr>
        <w:spacing w:after="0"/>
        <w:jc w:val="both"/>
        <w:rPr>
          <w:rFonts w:ascii="Times New Roman" w:eastAsia="Calibri" w:hAnsi="Times New Roman"/>
          <w:b/>
          <w:bCs/>
          <w:sz w:val="20"/>
          <w:szCs w:val="20"/>
          <w:lang w:eastAsia="en-MY"/>
        </w:rPr>
      </w:pPr>
      <w:r w:rsidRPr="00D20E6C">
        <w:rPr>
          <w:rFonts w:ascii="Times New Roman" w:eastAsia="Calibri" w:hAnsi="Times New Roman"/>
          <w:b/>
          <w:bCs/>
          <w:sz w:val="20"/>
          <w:szCs w:val="20"/>
        </w:rPr>
        <w:t>Preparation β-CD/isoniazid complex</w:t>
      </w:r>
    </w:p>
    <w:p w14:paraId="4FB688F6" w14:textId="77777777" w:rsidR="006267B4" w:rsidRPr="00D20E6C" w:rsidRDefault="006267B4" w:rsidP="006267B4">
      <w:pPr>
        <w:spacing w:after="0"/>
        <w:jc w:val="both"/>
        <w:rPr>
          <w:rFonts w:ascii="Times New Roman" w:eastAsia="Calibri" w:hAnsi="Times New Roman"/>
          <w:sz w:val="20"/>
          <w:szCs w:val="20"/>
        </w:rPr>
      </w:pPr>
      <w:r w:rsidRPr="00D20E6C">
        <w:rPr>
          <w:rFonts w:ascii="Times New Roman" w:eastAsia="Calibri" w:hAnsi="Times New Roman"/>
          <w:sz w:val="20"/>
          <w:szCs w:val="20"/>
        </w:rPr>
        <w:t xml:space="preserve">Kneading method was used to prepare the β-CD/isoniazid complex by grinding β-CD and isoniazid with molar ratio of 1:1 [15-18]. A few drops of ethanol were added to form homogeneous paste. The mixture was ground for 30 minutes. The sample was then kept in a desiccator. </w:t>
      </w:r>
    </w:p>
    <w:p w14:paraId="28B114CB" w14:textId="175D40A3" w:rsidR="006267B4" w:rsidRDefault="006267B4" w:rsidP="006267B4">
      <w:pPr>
        <w:spacing w:after="0"/>
        <w:jc w:val="both"/>
        <w:rPr>
          <w:rFonts w:ascii="Times New Roman" w:eastAsia="Calibri" w:hAnsi="Times New Roman"/>
          <w:sz w:val="20"/>
          <w:szCs w:val="20"/>
        </w:rPr>
      </w:pPr>
    </w:p>
    <w:p w14:paraId="6F857A3D" w14:textId="77777777" w:rsidR="0003493E" w:rsidRPr="00D20E6C" w:rsidRDefault="0003493E" w:rsidP="006267B4">
      <w:pPr>
        <w:spacing w:after="0"/>
        <w:jc w:val="both"/>
        <w:rPr>
          <w:rFonts w:ascii="Times New Roman" w:eastAsia="Calibri" w:hAnsi="Times New Roman"/>
          <w:sz w:val="20"/>
          <w:szCs w:val="20"/>
        </w:rPr>
      </w:pPr>
    </w:p>
    <w:p w14:paraId="2C7777E7" w14:textId="77777777" w:rsidR="006267B4" w:rsidRPr="00D20E6C" w:rsidRDefault="006267B4" w:rsidP="006267B4">
      <w:pPr>
        <w:spacing w:after="0"/>
        <w:jc w:val="both"/>
        <w:outlineLvl w:val="0"/>
        <w:rPr>
          <w:rFonts w:ascii="Times New Roman" w:hAnsi="Times New Roman"/>
          <w:b/>
          <w:sz w:val="20"/>
          <w:szCs w:val="20"/>
        </w:rPr>
      </w:pPr>
      <w:r w:rsidRPr="00D20E6C">
        <w:rPr>
          <w:rFonts w:ascii="Times New Roman" w:hAnsi="Times New Roman"/>
          <w:b/>
          <w:sz w:val="20"/>
          <w:szCs w:val="20"/>
        </w:rPr>
        <w:lastRenderedPageBreak/>
        <w:t>Characterization of complex in solid state</w:t>
      </w:r>
    </w:p>
    <w:p w14:paraId="7E3FAFAE" w14:textId="77777777" w:rsidR="006267B4" w:rsidRPr="00D20E6C" w:rsidRDefault="006267B4" w:rsidP="006267B4">
      <w:pPr>
        <w:spacing w:after="0"/>
        <w:jc w:val="both"/>
        <w:rPr>
          <w:rFonts w:ascii="Times New Roman" w:eastAsia="Calibri" w:hAnsi="Times New Roman"/>
          <w:sz w:val="20"/>
          <w:szCs w:val="20"/>
        </w:rPr>
      </w:pPr>
      <w:r w:rsidRPr="00D20E6C">
        <w:rPr>
          <w:rFonts w:ascii="Times New Roman" w:eastAsia="Calibri" w:hAnsi="Times New Roman"/>
          <w:sz w:val="20"/>
          <w:szCs w:val="20"/>
        </w:rPr>
        <w:t>The structural information for inclusion complexes was studied using FTIR. The absorption spectra were obtained using FTIR Perkin-Elmer 2000 system in the range from 400 to 4000 cm</w:t>
      </w:r>
      <w:r w:rsidRPr="00D20E6C">
        <w:rPr>
          <w:rFonts w:ascii="Times New Roman" w:eastAsia="Calibri" w:hAnsi="Times New Roman"/>
          <w:sz w:val="20"/>
          <w:szCs w:val="20"/>
          <w:vertAlign w:val="superscript"/>
        </w:rPr>
        <w:t>-1</w:t>
      </w:r>
      <w:r w:rsidRPr="00D20E6C">
        <w:rPr>
          <w:rFonts w:ascii="Times New Roman" w:eastAsia="Calibri" w:hAnsi="Times New Roman"/>
          <w:sz w:val="20"/>
          <w:szCs w:val="20"/>
        </w:rPr>
        <w:t>. The thermal stability was studied through the Thermogravimetric Analysis (TGA) using Perkin Elmer Thermal Analysis. The analysis was done at ambient temperature from 30 to 900 °C in N</w:t>
      </w:r>
      <w:r w:rsidRPr="00D20E6C">
        <w:rPr>
          <w:rFonts w:ascii="Times New Roman" w:eastAsia="Calibri" w:hAnsi="Times New Roman"/>
          <w:sz w:val="20"/>
          <w:szCs w:val="20"/>
          <w:vertAlign w:val="subscript"/>
        </w:rPr>
        <w:t xml:space="preserve">2 </w:t>
      </w:r>
      <w:r w:rsidRPr="00D20E6C">
        <w:rPr>
          <w:rFonts w:ascii="Times New Roman" w:eastAsia="Calibri" w:hAnsi="Times New Roman"/>
          <w:sz w:val="20"/>
          <w:szCs w:val="20"/>
        </w:rPr>
        <w:t xml:space="preserve">atmosphere to determine the weight loss profile and decomposition temperature of β-CD, isoniazid, and β-CD/isoniazid complex. The Bruker Advance spectrometer 500 MHz was used to determine </w:t>
      </w:r>
      <w:r w:rsidRPr="00D20E6C">
        <w:rPr>
          <w:rFonts w:ascii="Times New Roman" w:eastAsia="Calibri" w:hAnsi="Times New Roman"/>
          <w:sz w:val="20"/>
          <w:szCs w:val="20"/>
          <w:vertAlign w:val="superscript"/>
        </w:rPr>
        <w:t>1</w:t>
      </w:r>
      <w:r w:rsidRPr="00D20E6C">
        <w:rPr>
          <w:rFonts w:ascii="Times New Roman" w:eastAsia="Calibri" w:hAnsi="Times New Roman"/>
          <w:sz w:val="20"/>
          <w:szCs w:val="20"/>
        </w:rPr>
        <w:t>H NMR and NOESY of the β-CD, isoniazid, and β-CD/isoniazid complex using DMSO-d</w:t>
      </w:r>
      <w:r w:rsidRPr="00D20E6C">
        <w:rPr>
          <w:rFonts w:ascii="Times New Roman" w:eastAsia="Calibri" w:hAnsi="Times New Roman"/>
          <w:sz w:val="20"/>
          <w:szCs w:val="20"/>
          <w:vertAlign w:val="subscript"/>
        </w:rPr>
        <w:t>6</w:t>
      </w:r>
      <w:r w:rsidRPr="00D20E6C">
        <w:rPr>
          <w:rFonts w:ascii="Times New Roman" w:eastAsia="Calibri" w:hAnsi="Times New Roman"/>
          <w:sz w:val="20"/>
          <w:szCs w:val="20"/>
        </w:rPr>
        <w:t xml:space="preserve"> as a solvent. The measurements of absorption spectra in the range of 200-400 nm were carried out using Shimadzu UV2600 spectrometer. </w:t>
      </w:r>
    </w:p>
    <w:p w14:paraId="6C43B373" w14:textId="77777777" w:rsidR="006267B4" w:rsidRPr="00D20E6C" w:rsidRDefault="006267B4" w:rsidP="006267B4">
      <w:pPr>
        <w:spacing w:after="0"/>
        <w:jc w:val="both"/>
        <w:rPr>
          <w:rFonts w:ascii="Times New Roman" w:eastAsia="Calibri" w:hAnsi="Times New Roman"/>
          <w:sz w:val="20"/>
          <w:szCs w:val="20"/>
        </w:rPr>
      </w:pPr>
    </w:p>
    <w:p w14:paraId="7C482BC0" w14:textId="77777777" w:rsidR="006267B4" w:rsidRPr="00D20E6C" w:rsidRDefault="006267B4" w:rsidP="006267B4">
      <w:pPr>
        <w:spacing w:after="0"/>
        <w:jc w:val="both"/>
        <w:rPr>
          <w:rFonts w:ascii="Times New Roman" w:hAnsi="Times New Roman"/>
          <w:b/>
          <w:bCs/>
          <w:sz w:val="20"/>
          <w:szCs w:val="20"/>
        </w:rPr>
      </w:pPr>
      <w:r w:rsidRPr="00D20E6C">
        <w:rPr>
          <w:rFonts w:ascii="Times New Roman" w:hAnsi="Times New Roman"/>
          <w:b/>
          <w:bCs/>
          <w:sz w:val="20"/>
          <w:szCs w:val="20"/>
        </w:rPr>
        <w:t>Characterization of complex in liquid state: Determination of formation constant and stoichiometry ratio</w:t>
      </w:r>
    </w:p>
    <w:p w14:paraId="77C35105" w14:textId="3299A004" w:rsidR="006267B4" w:rsidRDefault="006267B4" w:rsidP="006267B4">
      <w:pPr>
        <w:spacing w:after="0"/>
        <w:jc w:val="both"/>
        <w:rPr>
          <w:rFonts w:ascii="Times New Roman" w:eastAsia="Calibri" w:hAnsi="Times New Roman"/>
          <w:sz w:val="20"/>
          <w:szCs w:val="20"/>
        </w:rPr>
      </w:pPr>
      <w:r w:rsidRPr="00D20E6C">
        <w:rPr>
          <w:rFonts w:ascii="Times New Roman" w:eastAsia="Calibri" w:hAnsi="Times New Roman"/>
          <w:sz w:val="20"/>
          <w:szCs w:val="20"/>
        </w:rPr>
        <w:t>Firstly, the stock solutions of isoniazid (0.01mM) and β-CD (0.002 M) were prepared. Then, 2.0 mL of isoniazid (0.01 mM) and 3.2 mL of β-CD (0.002 M) solutions were pipetted into 10.0 mL of volumetric flask to produce the solution of β-CD/isoniazid.</w:t>
      </w:r>
      <w:bookmarkStart w:id="0" w:name="_Hlk48654844"/>
      <w:r w:rsidRPr="00D20E6C">
        <w:rPr>
          <w:rFonts w:ascii="Times New Roman" w:eastAsia="Calibri" w:hAnsi="Times New Roman"/>
          <w:sz w:val="20"/>
          <w:szCs w:val="20"/>
        </w:rPr>
        <w:t xml:space="preserve"> Ultra-pure water was added to the calibration mark. The absorption spectra for β-CD (0.002M), isoniazid (0.01mM) and β-CD/isoniazid were recorded using UV-Vis. The series of β-CD/isoniazid solution without pH adjustment (natural) and with pH adjustment (pH 4 and pH 9) were prepared. The natural condition was checked to be at pH 6.8 which closed to the neutral pH. Each series consist fixed concentration of isoniazid (0.01mM) and varied concentration of β-CD (0.002, 0.004, 0.005, 0.006 and 0.007 M). From the spectra, the plot of Benesi-Hildebrand was generated using </w:t>
      </w:r>
      <w:r>
        <w:rPr>
          <w:rFonts w:ascii="Times New Roman" w:eastAsia="Calibri" w:hAnsi="Times New Roman"/>
          <w:sz w:val="20"/>
          <w:szCs w:val="20"/>
        </w:rPr>
        <w:t>E</w:t>
      </w:r>
      <w:r w:rsidRPr="00D20E6C">
        <w:rPr>
          <w:rFonts w:ascii="Times New Roman" w:eastAsia="Calibri" w:hAnsi="Times New Roman"/>
          <w:sz w:val="20"/>
          <w:szCs w:val="20"/>
        </w:rPr>
        <w:t xml:space="preserve">q (1). The slope </w:t>
      </w:r>
      <w:r>
        <w:rPr>
          <w:rFonts w:ascii="Times New Roman" w:eastAsia="Calibri" w:hAnsi="Times New Roman"/>
          <w:sz w:val="20"/>
          <w:szCs w:val="20"/>
        </w:rPr>
        <w:t>E</w:t>
      </w:r>
      <w:r w:rsidRPr="00D20E6C">
        <w:rPr>
          <w:rFonts w:ascii="Times New Roman" w:eastAsia="Calibri" w:hAnsi="Times New Roman"/>
          <w:sz w:val="20"/>
          <w:szCs w:val="20"/>
        </w:rPr>
        <w:t>q (2) and coefficient of determination (r</w:t>
      </w:r>
      <w:r w:rsidRPr="00D20E6C">
        <w:rPr>
          <w:rFonts w:ascii="Times New Roman" w:eastAsia="Calibri" w:hAnsi="Times New Roman"/>
          <w:sz w:val="20"/>
          <w:szCs w:val="20"/>
          <w:vertAlign w:val="superscript"/>
        </w:rPr>
        <w:t>2</w:t>
      </w:r>
      <w:r w:rsidRPr="00D20E6C">
        <w:rPr>
          <w:rFonts w:ascii="Times New Roman" w:eastAsia="Calibri" w:hAnsi="Times New Roman"/>
          <w:sz w:val="20"/>
          <w:szCs w:val="20"/>
        </w:rPr>
        <w:t xml:space="preserve"> near to 1) obtained from the plot was applied to determine the formation constant (K) and stoichiometry ratio of complex.</w:t>
      </w:r>
    </w:p>
    <w:p w14:paraId="4A9C856E" w14:textId="77777777" w:rsidR="006267B4" w:rsidRPr="00D20E6C" w:rsidRDefault="006267B4" w:rsidP="006267B4">
      <w:pPr>
        <w:spacing w:after="0"/>
        <w:jc w:val="both"/>
        <w:rPr>
          <w:rFonts w:ascii="Times New Roman" w:eastAsia="Calibri" w:hAnsi="Times New Roman"/>
          <w:sz w:val="20"/>
          <w:szCs w:val="20"/>
        </w:rPr>
      </w:pPr>
    </w:p>
    <w:bookmarkEnd w:id="0"/>
    <w:p w14:paraId="21DBB4F6" w14:textId="77777777" w:rsidR="006267B4" w:rsidRDefault="006267B4" w:rsidP="006267B4">
      <w:pPr>
        <w:spacing w:after="0"/>
        <w:rPr>
          <w:rFonts w:ascii="Times New Roman" w:eastAsia="Calibri" w:hAnsi="Times New Roman"/>
          <w:sz w:val="20"/>
          <w:szCs w:val="20"/>
        </w:rPr>
      </w:pPr>
      <w:r>
        <w:rPr>
          <w:rFonts w:ascii="Times New Roman" w:eastAsia="Calibri" w:hAnsi="Times New Roman"/>
          <w:sz w:val="20"/>
          <w:szCs w:val="20"/>
          <w:lang w:eastAsia="en-MY"/>
        </w:rPr>
        <w:t xml:space="preserve">  </w:t>
      </w:r>
      <m:oMath>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den>
        </m:f>
        <m:r>
          <w:rPr>
            <w:rFonts w:ascii="Cambria Math" w:eastAsia="Calibri" w:hAnsi="Cambria Math"/>
            <w:sz w:val="20"/>
            <w:szCs w:val="20"/>
            <w:lang w:eastAsia="en-MY"/>
          </w:rPr>
          <m:t>=</m:t>
        </m:r>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r>
              <w:rPr>
                <w:rFonts w:ascii="Cambria Math" w:eastAsia="Calibri" w:hAnsi="Cambria Math"/>
                <w:sz w:val="20"/>
                <w:szCs w:val="20"/>
                <w:lang w:eastAsia="en-MY"/>
              </w:rPr>
              <m:t>)</m:t>
            </m:r>
          </m:den>
        </m:f>
        <m:r>
          <w:rPr>
            <w:rFonts w:ascii="Cambria Math" w:eastAsia="Calibri" w:hAnsi="Cambria Math"/>
            <w:sz w:val="20"/>
            <w:szCs w:val="20"/>
            <w:lang w:eastAsia="en-MY"/>
          </w:rPr>
          <m:t>+</m:t>
        </m:r>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K(A'-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r>
              <w:rPr>
                <w:rFonts w:ascii="Cambria Math" w:eastAsia="Calibri" w:hAnsi="Cambria Math"/>
                <w:sz w:val="20"/>
                <w:szCs w:val="20"/>
                <w:lang w:eastAsia="en-MY"/>
              </w:rPr>
              <m:t>)[β-CD]</m:t>
            </m:r>
          </m:den>
        </m:f>
      </m:oMath>
      <w:r w:rsidRPr="00D20E6C">
        <w:rPr>
          <w:rFonts w:ascii="Times New Roman" w:eastAsia="DengXian" w:hAnsi="Times New Roman"/>
          <w:sz w:val="20"/>
          <w:szCs w:val="20"/>
        </w:rPr>
        <w:t xml:space="preserve">      </w:t>
      </w:r>
      <w:r w:rsidRPr="00D20E6C">
        <w:rPr>
          <w:rFonts w:ascii="Times New Roman" w:eastAsia="DengXian" w:hAnsi="Times New Roman"/>
          <w:sz w:val="20"/>
          <w:szCs w:val="20"/>
        </w:rPr>
        <w:tab/>
      </w:r>
      <w:r>
        <w:rPr>
          <w:rFonts w:ascii="Times New Roman" w:eastAsia="Calibri" w:hAnsi="Times New Roman"/>
          <w:sz w:val="20"/>
          <w:szCs w:val="20"/>
        </w:rPr>
        <w:t xml:space="preserve">            (1)</w:t>
      </w:r>
    </w:p>
    <w:p w14:paraId="008DC0BA" w14:textId="77777777" w:rsidR="006267B4" w:rsidRDefault="006267B4" w:rsidP="006267B4">
      <w:pPr>
        <w:spacing w:after="0"/>
        <w:rPr>
          <w:rFonts w:ascii="Times New Roman" w:eastAsia="Calibri" w:hAnsi="Times New Roman"/>
          <w:sz w:val="20"/>
          <w:szCs w:val="20"/>
        </w:rPr>
      </w:pPr>
    </w:p>
    <w:p w14:paraId="1AE49D1C" w14:textId="77777777" w:rsidR="006267B4" w:rsidRDefault="006267B4" w:rsidP="006267B4">
      <w:pPr>
        <w:spacing w:after="0"/>
        <w:rPr>
          <w:rFonts w:ascii="Times New Roman" w:eastAsia="DengXian" w:hAnsi="Times New Roman"/>
          <w:sz w:val="20"/>
          <w:szCs w:val="20"/>
        </w:rPr>
      </w:pPr>
      <m:oMath>
        <m:r>
          <w:rPr>
            <w:rFonts w:ascii="Cambria Math" w:eastAsia="Calibri" w:hAnsi="Cambria Math"/>
            <w:sz w:val="20"/>
            <w:szCs w:val="20"/>
            <w:lang w:eastAsia="en-MY"/>
          </w:rPr>
          <m:t xml:space="preserve">   K=</m:t>
        </m:r>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Slope (A-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r>
              <w:rPr>
                <w:rFonts w:ascii="Cambria Math" w:eastAsia="Calibri" w:hAnsi="Cambria Math"/>
                <w:sz w:val="20"/>
                <w:szCs w:val="20"/>
                <w:lang w:eastAsia="en-MY"/>
              </w:rPr>
              <m:t>)</m:t>
            </m:r>
          </m:den>
        </m:f>
      </m:oMath>
      <w:r w:rsidRPr="00D20E6C">
        <w:rPr>
          <w:rFonts w:ascii="Times New Roman" w:eastAsia="DengXian" w:hAnsi="Times New Roman"/>
          <w:sz w:val="20"/>
          <w:szCs w:val="20"/>
        </w:rPr>
        <w:t xml:space="preserve">             </w:t>
      </w:r>
      <w:r>
        <w:rPr>
          <w:rFonts w:ascii="Times New Roman" w:eastAsia="DengXian" w:hAnsi="Times New Roman"/>
          <w:sz w:val="20"/>
          <w:szCs w:val="20"/>
        </w:rPr>
        <w:t xml:space="preserve">                                           (2)</w:t>
      </w:r>
    </w:p>
    <w:p w14:paraId="7EA5DA52" w14:textId="77777777" w:rsidR="006267B4" w:rsidRDefault="006267B4" w:rsidP="006267B4">
      <w:pPr>
        <w:spacing w:after="0"/>
        <w:rPr>
          <w:rFonts w:ascii="Times New Roman" w:eastAsia="DengXian" w:hAnsi="Times New Roman"/>
          <w:sz w:val="20"/>
          <w:szCs w:val="20"/>
        </w:rPr>
      </w:pPr>
    </w:p>
    <w:p w14:paraId="4FEA44E0" w14:textId="0756142C" w:rsidR="006267B4" w:rsidRDefault="006267B4" w:rsidP="00475D0A">
      <w:pPr>
        <w:spacing w:after="0"/>
        <w:jc w:val="both"/>
        <w:rPr>
          <w:rFonts w:ascii="Times New Roman" w:eastAsia="Calibri" w:hAnsi="Times New Roman"/>
          <w:sz w:val="20"/>
          <w:szCs w:val="20"/>
        </w:rPr>
      </w:pPr>
      <w:r w:rsidRPr="00D20E6C">
        <w:rPr>
          <w:rFonts w:ascii="Times New Roman" w:eastAsia="Calibri" w:hAnsi="Times New Roman"/>
          <w:sz w:val="20"/>
          <w:szCs w:val="20"/>
        </w:rPr>
        <w:t>where A</w:t>
      </w:r>
      <w:r w:rsidRPr="00D20E6C">
        <w:rPr>
          <w:rFonts w:ascii="Times New Roman" w:eastAsia="Calibri" w:hAnsi="Times New Roman"/>
          <w:sz w:val="20"/>
          <w:szCs w:val="20"/>
          <w:vertAlign w:val="subscript"/>
        </w:rPr>
        <w:t xml:space="preserve">0 </w:t>
      </w:r>
      <w:r w:rsidRPr="00D20E6C">
        <w:rPr>
          <w:rFonts w:ascii="Times New Roman" w:eastAsia="Calibri" w:hAnsi="Times New Roman"/>
          <w:sz w:val="20"/>
          <w:szCs w:val="20"/>
        </w:rPr>
        <w:t>and A attributed to the absorbance of the isoniazid and β-CD, respectively. A</w:t>
      </w:r>
      <w:r w:rsidRPr="00D20E6C">
        <w:rPr>
          <w:rFonts w:ascii="Times New Roman" w:eastAsia="Calibri" w:hAnsi="Times New Roman"/>
          <w:sz w:val="20"/>
          <w:szCs w:val="20"/>
          <w:vertAlign w:val="superscript"/>
        </w:rPr>
        <w:t>’</w:t>
      </w:r>
      <w:r w:rsidRPr="00D20E6C">
        <w:rPr>
          <w:rFonts w:ascii="Times New Roman" w:eastAsia="Calibri" w:hAnsi="Times New Roman"/>
          <w:sz w:val="20"/>
          <w:szCs w:val="20"/>
        </w:rPr>
        <w:t xml:space="preserve"> is referring to the absorbance of β-CD at maximum concentration.</w:t>
      </w:r>
    </w:p>
    <w:p w14:paraId="107E7F7A" w14:textId="77777777" w:rsidR="006267B4" w:rsidRPr="00510BA6" w:rsidRDefault="006267B4" w:rsidP="006267B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FED143B" w14:textId="77777777" w:rsidR="006267B4" w:rsidRPr="00996EE7" w:rsidRDefault="006267B4" w:rsidP="006267B4">
      <w:pPr>
        <w:spacing w:after="0"/>
        <w:jc w:val="both"/>
        <w:outlineLvl w:val="0"/>
        <w:rPr>
          <w:rFonts w:ascii="Times New Roman" w:hAnsi="Times New Roman"/>
          <w:b/>
          <w:sz w:val="20"/>
          <w:szCs w:val="20"/>
        </w:rPr>
      </w:pPr>
      <w:r w:rsidRPr="00996EE7">
        <w:rPr>
          <w:rFonts w:ascii="Times New Roman" w:hAnsi="Times New Roman"/>
          <w:b/>
          <w:sz w:val="20"/>
          <w:szCs w:val="20"/>
        </w:rPr>
        <w:t>Characterization of inclusion complex in solid state: FT-IR</w:t>
      </w:r>
    </w:p>
    <w:p w14:paraId="252DFC05" w14:textId="77777777" w:rsidR="006267B4" w:rsidRPr="00996EE7" w:rsidRDefault="006267B4" w:rsidP="006267B4">
      <w:pPr>
        <w:adjustRightInd w:val="0"/>
        <w:spacing w:after="0"/>
        <w:jc w:val="both"/>
        <w:rPr>
          <w:rFonts w:ascii="Times New Roman" w:hAnsi="Times New Roman"/>
          <w:sz w:val="20"/>
          <w:szCs w:val="20"/>
        </w:rPr>
      </w:pPr>
      <w:r w:rsidRPr="00996EE7">
        <w:rPr>
          <w:rFonts w:ascii="Times New Roman" w:hAnsi="Times New Roman"/>
          <w:sz w:val="20"/>
          <w:szCs w:val="20"/>
        </w:rPr>
        <w:t>FT-IR spectroscopy was successfully provided some significant evidence about the structure of the solid state, which used to study the host-guest interaction [9]. The FT-IR spectra for β-CD, isoniazid, and complex of β-CD/isoniazid were shown in Figure 1. The FT-IR spectrum of β-CD (Figure 1(a)) was characterized by absorption bands at 3450 cm</w:t>
      </w:r>
      <w:r w:rsidRPr="00996EE7">
        <w:rPr>
          <w:rFonts w:ascii="Times New Roman" w:hAnsi="Times New Roman"/>
          <w:sz w:val="20"/>
          <w:szCs w:val="20"/>
          <w:vertAlign w:val="superscript"/>
        </w:rPr>
        <w:t>-1</w:t>
      </w:r>
      <w:r w:rsidRPr="00996EE7">
        <w:rPr>
          <w:rFonts w:ascii="Times New Roman" w:hAnsi="Times New Roman"/>
          <w:sz w:val="20"/>
          <w:szCs w:val="20"/>
        </w:rPr>
        <w:t xml:space="preserve"> (stretching vibration of -OH), </w:t>
      </w:r>
      <w:r>
        <w:rPr>
          <w:rFonts w:ascii="Times New Roman" w:hAnsi="Times New Roman"/>
          <w:sz w:val="20"/>
          <w:szCs w:val="20"/>
        </w:rPr>
        <w:t xml:space="preserve"> </w:t>
      </w:r>
      <w:r w:rsidRPr="00996EE7">
        <w:rPr>
          <w:rFonts w:ascii="Times New Roman" w:hAnsi="Times New Roman"/>
          <w:sz w:val="20"/>
          <w:szCs w:val="20"/>
        </w:rPr>
        <w:t>2936 cm</w:t>
      </w:r>
      <w:r w:rsidRPr="00996EE7">
        <w:rPr>
          <w:rFonts w:ascii="Times New Roman" w:hAnsi="Times New Roman"/>
          <w:sz w:val="20"/>
          <w:szCs w:val="20"/>
          <w:vertAlign w:val="superscript"/>
        </w:rPr>
        <w:t>-1</w:t>
      </w:r>
      <w:r w:rsidRPr="00996EE7">
        <w:rPr>
          <w:rFonts w:ascii="Times New Roman" w:hAnsi="Times New Roman"/>
          <w:sz w:val="20"/>
          <w:szCs w:val="20"/>
        </w:rPr>
        <w:t xml:space="preserve"> (stretching vibration of -C-H) </w:t>
      </w:r>
      <w:r>
        <w:rPr>
          <w:rFonts w:ascii="Times New Roman" w:hAnsi="Times New Roman"/>
          <w:sz w:val="20"/>
          <w:szCs w:val="20"/>
        </w:rPr>
        <w:t xml:space="preserve"> </w:t>
      </w:r>
      <w:r w:rsidRPr="00996EE7">
        <w:rPr>
          <w:rFonts w:ascii="Times New Roman" w:hAnsi="Times New Roman"/>
          <w:sz w:val="20"/>
          <w:szCs w:val="20"/>
        </w:rPr>
        <w:t xml:space="preserve">and </w:t>
      </w:r>
      <w:r>
        <w:rPr>
          <w:rFonts w:ascii="Times New Roman" w:hAnsi="Times New Roman"/>
          <w:sz w:val="20"/>
          <w:szCs w:val="20"/>
        </w:rPr>
        <w:t xml:space="preserve"> </w:t>
      </w:r>
      <w:r w:rsidRPr="00996EE7">
        <w:rPr>
          <w:rFonts w:ascii="Times New Roman" w:hAnsi="Times New Roman"/>
          <w:sz w:val="20"/>
          <w:szCs w:val="20"/>
        </w:rPr>
        <w:t>1483 cm</w:t>
      </w:r>
      <w:r w:rsidRPr="00996EE7">
        <w:rPr>
          <w:rFonts w:ascii="Times New Roman" w:hAnsi="Times New Roman"/>
          <w:sz w:val="20"/>
          <w:szCs w:val="20"/>
          <w:vertAlign w:val="superscript"/>
        </w:rPr>
        <w:t>-1</w:t>
      </w:r>
      <w:r w:rsidRPr="00996EE7">
        <w:rPr>
          <w:rFonts w:ascii="Times New Roman" w:hAnsi="Times New Roman"/>
          <w:sz w:val="20"/>
          <w:szCs w:val="20"/>
        </w:rPr>
        <w:t xml:space="preserve"> (stretching vibration of -OH deformation). </w:t>
      </w:r>
      <w:r>
        <w:rPr>
          <w:rFonts w:ascii="Times New Roman" w:hAnsi="Times New Roman"/>
          <w:sz w:val="20"/>
          <w:szCs w:val="20"/>
        </w:rPr>
        <w:t xml:space="preserve"> </w:t>
      </w:r>
      <w:r w:rsidRPr="00996EE7">
        <w:rPr>
          <w:rFonts w:ascii="Times New Roman" w:hAnsi="Times New Roman"/>
          <w:sz w:val="20"/>
          <w:szCs w:val="20"/>
        </w:rPr>
        <w:t xml:space="preserve">The isoniazid </w:t>
      </w:r>
      <w:r>
        <w:rPr>
          <w:rFonts w:ascii="Times New Roman" w:hAnsi="Times New Roman"/>
          <w:sz w:val="20"/>
          <w:szCs w:val="20"/>
        </w:rPr>
        <w:t xml:space="preserve"> </w:t>
      </w:r>
      <w:r w:rsidRPr="00996EE7">
        <w:rPr>
          <w:rFonts w:ascii="Times New Roman" w:hAnsi="Times New Roman"/>
          <w:sz w:val="20"/>
          <w:szCs w:val="20"/>
        </w:rPr>
        <w:t xml:space="preserve">was </w:t>
      </w:r>
      <w:r>
        <w:rPr>
          <w:rFonts w:ascii="Times New Roman" w:hAnsi="Times New Roman"/>
          <w:sz w:val="20"/>
          <w:szCs w:val="20"/>
        </w:rPr>
        <w:t xml:space="preserve"> </w:t>
      </w:r>
      <w:r w:rsidRPr="00996EE7">
        <w:rPr>
          <w:rFonts w:ascii="Times New Roman" w:hAnsi="Times New Roman"/>
          <w:sz w:val="20"/>
          <w:szCs w:val="20"/>
        </w:rPr>
        <w:t>characterized by the FT-IR (Figure 1(b)) with the absorption bands at 1326 cm</w:t>
      </w:r>
      <w:r w:rsidRPr="00996EE7">
        <w:rPr>
          <w:rFonts w:ascii="Times New Roman" w:hAnsi="Times New Roman"/>
          <w:sz w:val="20"/>
          <w:szCs w:val="20"/>
          <w:vertAlign w:val="superscript"/>
        </w:rPr>
        <w:t>-1</w:t>
      </w:r>
      <w:r w:rsidRPr="00996EE7">
        <w:rPr>
          <w:rFonts w:ascii="Times New Roman" w:hAnsi="Times New Roman"/>
          <w:sz w:val="20"/>
          <w:szCs w:val="20"/>
        </w:rPr>
        <w:t xml:space="preserve"> and 3296 cm</w:t>
      </w:r>
      <w:r w:rsidRPr="00996EE7">
        <w:rPr>
          <w:rFonts w:ascii="Times New Roman" w:hAnsi="Times New Roman"/>
          <w:sz w:val="20"/>
          <w:szCs w:val="20"/>
          <w:vertAlign w:val="superscript"/>
        </w:rPr>
        <w:t>-1</w:t>
      </w:r>
      <w:r w:rsidRPr="00996EE7">
        <w:rPr>
          <w:rFonts w:ascii="Times New Roman" w:hAnsi="Times New Roman"/>
          <w:sz w:val="20"/>
          <w:szCs w:val="20"/>
        </w:rPr>
        <w:t>, which corresponds to N-H stretching vibration, 1030 cm</w:t>
      </w:r>
      <w:r w:rsidRPr="00996EE7">
        <w:rPr>
          <w:rFonts w:ascii="Times New Roman" w:hAnsi="Times New Roman"/>
          <w:sz w:val="20"/>
          <w:szCs w:val="20"/>
          <w:vertAlign w:val="superscript"/>
        </w:rPr>
        <w:t>-1</w:t>
      </w:r>
      <w:r w:rsidRPr="00996EE7">
        <w:rPr>
          <w:rFonts w:ascii="Times New Roman" w:hAnsi="Times New Roman"/>
          <w:sz w:val="20"/>
          <w:szCs w:val="20"/>
        </w:rPr>
        <w:t xml:space="preserve"> (C-N stretching vibration), 1617 cm</w:t>
      </w:r>
      <w:r w:rsidRPr="00996EE7">
        <w:rPr>
          <w:rFonts w:ascii="Times New Roman" w:hAnsi="Times New Roman"/>
          <w:sz w:val="20"/>
          <w:szCs w:val="20"/>
          <w:vertAlign w:val="superscript"/>
        </w:rPr>
        <w:t>-1</w:t>
      </w:r>
      <w:r w:rsidRPr="00996EE7">
        <w:rPr>
          <w:rFonts w:ascii="Times New Roman" w:hAnsi="Times New Roman"/>
          <w:sz w:val="20"/>
          <w:szCs w:val="20"/>
        </w:rPr>
        <w:t xml:space="preserve"> (aromatic C=C stretching vibration), and 1738 cm</w:t>
      </w:r>
      <w:r w:rsidRPr="00996EE7">
        <w:rPr>
          <w:rFonts w:ascii="Times New Roman" w:hAnsi="Times New Roman"/>
          <w:sz w:val="20"/>
          <w:szCs w:val="20"/>
          <w:vertAlign w:val="superscript"/>
        </w:rPr>
        <w:t>-1</w:t>
      </w:r>
      <w:r w:rsidRPr="00996EE7">
        <w:rPr>
          <w:rFonts w:ascii="Times New Roman" w:hAnsi="Times New Roman"/>
          <w:sz w:val="20"/>
          <w:szCs w:val="20"/>
        </w:rPr>
        <w:t xml:space="preserve"> (C=O stretching vibration). </w:t>
      </w:r>
      <w:r w:rsidRPr="00996EE7">
        <w:rPr>
          <w:rFonts w:ascii="Times New Roman" w:eastAsia="Batang" w:hAnsi="Times New Roman"/>
          <w:sz w:val="20"/>
          <w:szCs w:val="20"/>
          <w:lang w:val="en-MY" w:eastAsia="en-MY"/>
        </w:rPr>
        <w:t xml:space="preserve">Upon complexation, the absorption band of the </w:t>
      </w:r>
      <w:r w:rsidRPr="00996EE7">
        <w:rPr>
          <w:rFonts w:ascii="Times New Roman" w:hAnsi="Times New Roman"/>
          <w:sz w:val="20"/>
          <w:szCs w:val="20"/>
        </w:rPr>
        <w:t xml:space="preserve">β-CD/isoniazid </w:t>
      </w:r>
      <w:r w:rsidRPr="00996EE7">
        <w:rPr>
          <w:rFonts w:ascii="Times New Roman" w:eastAsia="Batang" w:hAnsi="Times New Roman"/>
          <w:sz w:val="20"/>
          <w:szCs w:val="20"/>
          <w:lang w:val="en-MY" w:eastAsia="en-MY"/>
        </w:rPr>
        <w:t xml:space="preserve">complex was dominated by the absorption vibrations of </w:t>
      </w:r>
      <w:r w:rsidRPr="00996EE7">
        <w:rPr>
          <w:rFonts w:ascii="Times New Roman" w:eastAsia="TimesNewRoman" w:hAnsi="Times New Roman"/>
          <w:sz w:val="20"/>
          <w:szCs w:val="20"/>
          <w:lang w:val="en-MY" w:eastAsia="en-MY"/>
        </w:rPr>
        <w:t>β</w:t>
      </w:r>
      <w:r w:rsidRPr="00996EE7">
        <w:rPr>
          <w:rFonts w:ascii="Times New Roman" w:eastAsia="Batang" w:hAnsi="Times New Roman"/>
          <w:sz w:val="20"/>
          <w:szCs w:val="20"/>
          <w:lang w:val="en-MY" w:eastAsia="en-MY"/>
        </w:rPr>
        <w:t xml:space="preserve">-CD due to presence of seven repeated D-glucopyranose unit in the </w:t>
      </w:r>
      <w:r w:rsidRPr="00996EE7">
        <w:rPr>
          <w:rFonts w:ascii="Times New Roman" w:eastAsia="TimesNewRoman" w:hAnsi="Times New Roman"/>
          <w:sz w:val="20"/>
          <w:szCs w:val="20"/>
          <w:lang w:val="en-MY" w:eastAsia="en-MY"/>
        </w:rPr>
        <w:t>β</w:t>
      </w:r>
      <w:r w:rsidRPr="00996EE7">
        <w:rPr>
          <w:rFonts w:ascii="Times New Roman" w:eastAsia="Batang" w:hAnsi="Times New Roman"/>
          <w:sz w:val="20"/>
          <w:szCs w:val="20"/>
          <w:lang w:val="en-MY" w:eastAsia="en-MY"/>
        </w:rPr>
        <w:t xml:space="preserve">-CD structure [12]. Hence, the recorded FT-IR spectrum of complex in </w:t>
      </w:r>
      <w:r w:rsidRPr="00996EE7">
        <w:rPr>
          <w:rFonts w:ascii="Times New Roman" w:hAnsi="Times New Roman"/>
          <w:sz w:val="20"/>
          <w:szCs w:val="20"/>
        </w:rPr>
        <w:t xml:space="preserve">Figure 1(c) </w:t>
      </w:r>
      <w:r w:rsidRPr="00996EE7">
        <w:rPr>
          <w:rFonts w:ascii="Times New Roman" w:eastAsia="Batang" w:hAnsi="Times New Roman"/>
          <w:sz w:val="20"/>
          <w:szCs w:val="20"/>
          <w:lang w:val="en-MY" w:eastAsia="en-MY"/>
        </w:rPr>
        <w:t xml:space="preserve">was quite similar to the FT-IR spectrum of </w:t>
      </w:r>
      <w:r w:rsidRPr="00996EE7">
        <w:rPr>
          <w:rFonts w:ascii="Times New Roman" w:eastAsia="TimesNewRoman" w:hAnsi="Times New Roman"/>
          <w:sz w:val="20"/>
          <w:szCs w:val="20"/>
          <w:lang w:val="en-MY" w:eastAsia="en-MY"/>
        </w:rPr>
        <w:t>β</w:t>
      </w:r>
      <w:r w:rsidRPr="00996EE7">
        <w:rPr>
          <w:rFonts w:ascii="Times New Roman" w:eastAsia="Batang" w:hAnsi="Times New Roman"/>
          <w:sz w:val="20"/>
          <w:szCs w:val="20"/>
          <w:lang w:val="en-MY" w:eastAsia="en-MY"/>
        </w:rPr>
        <w:t>-CD</w:t>
      </w:r>
      <w:r w:rsidRPr="00996EE7">
        <w:rPr>
          <w:rFonts w:ascii="Times New Roman" w:hAnsi="Times New Roman"/>
          <w:sz w:val="20"/>
          <w:szCs w:val="20"/>
        </w:rPr>
        <w:t xml:space="preserve">. </w:t>
      </w:r>
      <w:r w:rsidRPr="00996EE7">
        <w:rPr>
          <w:rFonts w:ascii="Times New Roman" w:eastAsia="Batang" w:hAnsi="Times New Roman"/>
          <w:sz w:val="20"/>
          <w:szCs w:val="20"/>
          <w:lang w:val="en-MY" w:eastAsia="en-MY"/>
        </w:rPr>
        <w:t xml:space="preserve">This is due to the similar chemical bonding characteristics owned by the complex with the host molecule. Therefore, the spectrum of </w:t>
      </w:r>
      <w:r w:rsidRPr="00996EE7">
        <w:rPr>
          <w:rFonts w:ascii="Times New Roman" w:hAnsi="Times New Roman"/>
          <w:sz w:val="20"/>
          <w:szCs w:val="20"/>
        </w:rPr>
        <w:t xml:space="preserve">β-CD/isoniazid </w:t>
      </w:r>
      <w:r w:rsidRPr="00996EE7">
        <w:rPr>
          <w:rFonts w:ascii="Times New Roman" w:eastAsia="Batang" w:hAnsi="Times New Roman"/>
          <w:sz w:val="20"/>
          <w:szCs w:val="20"/>
          <w:lang w:val="en-MY" w:eastAsia="en-MY"/>
        </w:rPr>
        <w:t>complex resulted in strong absorption vibration</w:t>
      </w:r>
      <w:r w:rsidRPr="00996EE7">
        <w:rPr>
          <w:rFonts w:ascii="Times New Roman" w:eastAsia="TimesNewRoman" w:hAnsi="Times New Roman"/>
          <w:sz w:val="20"/>
          <w:szCs w:val="20"/>
          <w:lang w:val="en-MY" w:eastAsia="en-MY"/>
        </w:rPr>
        <w:t xml:space="preserve"> of</w:t>
      </w:r>
      <w:r w:rsidRPr="00996EE7">
        <w:rPr>
          <w:rFonts w:ascii="Times New Roman" w:eastAsia="Batang" w:hAnsi="Times New Roman"/>
          <w:sz w:val="20"/>
          <w:szCs w:val="20"/>
          <w:lang w:val="en-MY" w:eastAsia="en-MY"/>
        </w:rPr>
        <w:t xml:space="preserve"> polar functional groups such as </w:t>
      </w:r>
      <w:r w:rsidRPr="00996EE7">
        <w:rPr>
          <w:rFonts w:ascii="Times New Roman" w:hAnsi="Times New Roman"/>
          <w:sz w:val="20"/>
          <w:szCs w:val="20"/>
        </w:rPr>
        <w:t>C=O stretching vibration</w:t>
      </w:r>
      <w:r w:rsidRPr="00996EE7">
        <w:rPr>
          <w:rFonts w:ascii="Times New Roman" w:eastAsia="Batang" w:hAnsi="Times New Roman"/>
          <w:sz w:val="20"/>
          <w:szCs w:val="20"/>
          <w:lang w:val="en-MY" w:eastAsia="en-MY"/>
        </w:rPr>
        <w:t xml:space="preserve"> at </w:t>
      </w:r>
      <w:r w:rsidRPr="00996EE7">
        <w:rPr>
          <w:rFonts w:ascii="Times New Roman" w:hAnsi="Times New Roman"/>
          <w:sz w:val="20"/>
          <w:szCs w:val="20"/>
        </w:rPr>
        <w:t>1738 cm</w:t>
      </w:r>
      <w:r w:rsidRPr="00996EE7">
        <w:rPr>
          <w:rFonts w:ascii="Times New Roman" w:hAnsi="Times New Roman"/>
          <w:sz w:val="20"/>
          <w:szCs w:val="20"/>
          <w:vertAlign w:val="superscript"/>
        </w:rPr>
        <w:t>-1</w:t>
      </w:r>
      <w:r w:rsidRPr="00996EE7">
        <w:rPr>
          <w:rFonts w:ascii="Times New Roman" w:hAnsi="Times New Roman"/>
          <w:sz w:val="20"/>
          <w:szCs w:val="20"/>
        </w:rPr>
        <w:t xml:space="preserve"> </w:t>
      </w:r>
      <w:r w:rsidRPr="00996EE7">
        <w:rPr>
          <w:rFonts w:ascii="Times New Roman" w:eastAsia="Batang" w:hAnsi="Times New Roman"/>
          <w:sz w:val="20"/>
          <w:szCs w:val="20"/>
          <w:lang w:val="en-MY" w:eastAsia="en-MY"/>
        </w:rPr>
        <w:t>and -</w:t>
      </w:r>
      <w:r w:rsidRPr="00996EE7">
        <w:rPr>
          <w:rFonts w:ascii="Times New Roman" w:hAnsi="Times New Roman"/>
          <w:sz w:val="20"/>
          <w:szCs w:val="20"/>
        </w:rPr>
        <w:t>OH stretching vibration</w:t>
      </w:r>
      <w:r w:rsidRPr="00996EE7">
        <w:rPr>
          <w:rFonts w:ascii="Times New Roman" w:eastAsia="Batang" w:hAnsi="Times New Roman"/>
          <w:sz w:val="20"/>
          <w:szCs w:val="20"/>
          <w:lang w:val="en-MY" w:eastAsia="en-MY"/>
        </w:rPr>
        <w:t xml:space="preserve"> at </w:t>
      </w:r>
      <w:r w:rsidRPr="00996EE7">
        <w:rPr>
          <w:rFonts w:ascii="Times New Roman" w:hAnsi="Times New Roman"/>
          <w:sz w:val="20"/>
          <w:szCs w:val="20"/>
        </w:rPr>
        <w:t>3450 cm</w:t>
      </w:r>
      <w:r w:rsidRPr="00996EE7">
        <w:rPr>
          <w:rFonts w:ascii="Times New Roman" w:hAnsi="Times New Roman"/>
          <w:sz w:val="20"/>
          <w:szCs w:val="20"/>
          <w:vertAlign w:val="superscript"/>
        </w:rPr>
        <w:t>-1</w:t>
      </w:r>
      <w:r w:rsidRPr="00996EE7">
        <w:rPr>
          <w:rFonts w:ascii="Times New Roman" w:eastAsia="Batang" w:hAnsi="Times New Roman"/>
          <w:sz w:val="20"/>
          <w:szCs w:val="20"/>
          <w:lang w:val="en-MY" w:eastAsia="en-MY"/>
        </w:rPr>
        <w:t xml:space="preserve">. </w:t>
      </w:r>
      <w:r w:rsidRPr="00996EE7">
        <w:rPr>
          <w:rFonts w:ascii="Times New Roman" w:hAnsi="Times New Roman"/>
          <w:sz w:val="20"/>
          <w:szCs w:val="20"/>
        </w:rPr>
        <w:t>The broad -OH band found in the complex is a regular phenomenon reported for β-CD inclusion complex [19].</w:t>
      </w:r>
      <w:r w:rsidRPr="00996EE7">
        <w:rPr>
          <w:rFonts w:ascii="Times New Roman" w:eastAsia="Batang" w:hAnsi="Times New Roman"/>
          <w:sz w:val="20"/>
          <w:szCs w:val="20"/>
          <w:lang w:val="en-MY" w:eastAsia="en-MY"/>
        </w:rPr>
        <w:t xml:space="preserve"> </w:t>
      </w:r>
      <w:r w:rsidRPr="00996EE7">
        <w:rPr>
          <w:rFonts w:ascii="Times New Roman" w:hAnsi="Times New Roman"/>
          <w:sz w:val="20"/>
          <w:szCs w:val="20"/>
        </w:rPr>
        <w:t>There also absorption at 2936 cm</w:t>
      </w:r>
      <w:r w:rsidRPr="00996EE7">
        <w:rPr>
          <w:rFonts w:ascii="Times New Roman" w:hAnsi="Times New Roman"/>
          <w:sz w:val="20"/>
          <w:szCs w:val="20"/>
          <w:vertAlign w:val="superscript"/>
        </w:rPr>
        <w:t>-1</w:t>
      </w:r>
      <w:r w:rsidRPr="00996EE7">
        <w:rPr>
          <w:rFonts w:ascii="Times New Roman" w:hAnsi="Times New Roman"/>
          <w:sz w:val="20"/>
          <w:szCs w:val="20"/>
        </w:rPr>
        <w:t xml:space="preserve"> </w:t>
      </w:r>
      <w:r>
        <w:rPr>
          <w:rFonts w:ascii="Times New Roman" w:hAnsi="Times New Roman"/>
          <w:sz w:val="20"/>
          <w:szCs w:val="20"/>
        </w:rPr>
        <w:t xml:space="preserve"> </w:t>
      </w:r>
      <w:r w:rsidRPr="00996EE7">
        <w:rPr>
          <w:rFonts w:ascii="Times New Roman" w:hAnsi="Times New Roman"/>
          <w:sz w:val="20"/>
          <w:szCs w:val="20"/>
        </w:rPr>
        <w:t xml:space="preserve">showing </w:t>
      </w:r>
      <w:r>
        <w:rPr>
          <w:rFonts w:ascii="Times New Roman" w:hAnsi="Times New Roman"/>
          <w:sz w:val="20"/>
          <w:szCs w:val="20"/>
        </w:rPr>
        <w:t xml:space="preserve"> </w:t>
      </w:r>
      <w:r w:rsidRPr="00996EE7">
        <w:rPr>
          <w:rFonts w:ascii="Times New Roman" w:hAnsi="Times New Roman"/>
          <w:sz w:val="20"/>
          <w:szCs w:val="20"/>
        </w:rPr>
        <w:t xml:space="preserve">the </w:t>
      </w:r>
      <w:r>
        <w:rPr>
          <w:rFonts w:ascii="Times New Roman" w:hAnsi="Times New Roman"/>
          <w:sz w:val="20"/>
          <w:szCs w:val="20"/>
        </w:rPr>
        <w:t xml:space="preserve"> </w:t>
      </w:r>
      <w:r w:rsidRPr="00996EE7">
        <w:rPr>
          <w:rFonts w:ascii="Times New Roman" w:hAnsi="Times New Roman"/>
          <w:sz w:val="20"/>
          <w:szCs w:val="20"/>
        </w:rPr>
        <w:t>stretching vibration of -C-H presented in β-CD/isoniazid. Meanwhile, the absorption at 1326 cm</w:t>
      </w:r>
      <w:r w:rsidRPr="00996EE7">
        <w:rPr>
          <w:rFonts w:ascii="Times New Roman" w:hAnsi="Times New Roman"/>
          <w:sz w:val="20"/>
          <w:szCs w:val="20"/>
          <w:vertAlign w:val="superscript"/>
        </w:rPr>
        <w:t>-1</w:t>
      </w:r>
      <w:r w:rsidRPr="00996EE7">
        <w:rPr>
          <w:rFonts w:ascii="Times New Roman" w:hAnsi="Times New Roman"/>
          <w:sz w:val="20"/>
          <w:szCs w:val="20"/>
        </w:rPr>
        <w:t xml:space="preserve"> (N-H stretching vibration) and 1030 cm</w:t>
      </w:r>
      <w:r w:rsidRPr="00996EE7">
        <w:rPr>
          <w:rFonts w:ascii="Times New Roman" w:hAnsi="Times New Roman"/>
          <w:sz w:val="20"/>
          <w:szCs w:val="20"/>
          <w:vertAlign w:val="superscript"/>
        </w:rPr>
        <w:t>-1</w:t>
      </w:r>
      <w:r w:rsidRPr="00996EE7">
        <w:rPr>
          <w:rFonts w:ascii="Times New Roman" w:hAnsi="Times New Roman"/>
          <w:sz w:val="20"/>
          <w:szCs w:val="20"/>
        </w:rPr>
        <w:t xml:space="preserve"> (C-N stretching vibration) in β-CD/isoniazid complex are represented the functional group from isoniazid.</w:t>
      </w:r>
    </w:p>
    <w:p w14:paraId="16FA08FF" w14:textId="77777777" w:rsidR="006267B4" w:rsidRDefault="006267B4" w:rsidP="006267B4">
      <w:pPr>
        <w:spacing w:after="0"/>
        <w:rPr>
          <w:rFonts w:ascii="Times New Roman" w:eastAsia="Calibri" w:hAnsi="Times New Roman"/>
          <w:sz w:val="20"/>
          <w:szCs w:val="20"/>
        </w:rPr>
      </w:pPr>
    </w:p>
    <w:p w14:paraId="66D55E47" w14:textId="77777777" w:rsidR="006267B4" w:rsidRPr="00996EE7" w:rsidRDefault="006267B4" w:rsidP="006267B4">
      <w:pPr>
        <w:spacing w:after="0"/>
        <w:jc w:val="both"/>
        <w:outlineLvl w:val="0"/>
        <w:rPr>
          <w:rFonts w:ascii="Times New Roman" w:hAnsi="Times New Roman"/>
          <w:b/>
          <w:bCs/>
          <w:sz w:val="20"/>
          <w:szCs w:val="20"/>
        </w:rPr>
      </w:pPr>
      <w:r w:rsidRPr="00996EE7">
        <w:rPr>
          <w:rFonts w:ascii="Times New Roman" w:hAnsi="Times New Roman"/>
          <w:b/>
          <w:bCs/>
          <w:sz w:val="20"/>
          <w:szCs w:val="20"/>
        </w:rPr>
        <w:t>Thermal analysis</w:t>
      </w:r>
    </w:p>
    <w:p w14:paraId="228EBA30" w14:textId="77777777" w:rsidR="006267B4" w:rsidRPr="00996EE7" w:rsidRDefault="006267B4" w:rsidP="006267B4">
      <w:pPr>
        <w:spacing w:after="0"/>
        <w:jc w:val="both"/>
        <w:rPr>
          <w:rFonts w:ascii="Times New Roman" w:hAnsi="Times New Roman"/>
          <w:sz w:val="20"/>
          <w:szCs w:val="20"/>
        </w:rPr>
      </w:pPr>
      <w:r w:rsidRPr="00996EE7">
        <w:rPr>
          <w:rFonts w:ascii="Times New Roman" w:hAnsi="Times New Roman"/>
          <w:sz w:val="20"/>
          <w:szCs w:val="20"/>
        </w:rPr>
        <w:t xml:space="preserve">The thermal stability of isoniazid, β-CD, and β-CD/isoniazid complex were investigated using TGA analysis at temperature range of 30 °C - 900 °C, as shown in Figure 2. The TGA curve of pure isoniazid </w:t>
      </w:r>
      <w:r w:rsidRPr="00996EE7">
        <w:rPr>
          <w:rFonts w:ascii="Times New Roman" w:hAnsi="Times New Roman"/>
          <w:sz w:val="20"/>
          <w:szCs w:val="20"/>
        </w:rPr>
        <w:lastRenderedPageBreak/>
        <w:t xml:space="preserve">exhibited a single weight loss at 207 °C region. On the other hand, pure β-CD showed weight losses in two regions. The first weight loss at 67 °C was due to the dehydration of water, and another weight loss at 311 °C due to the decomposition of macrocycles. The TGA </w:t>
      </w:r>
      <w:r>
        <w:rPr>
          <w:rFonts w:ascii="Times New Roman" w:hAnsi="Times New Roman"/>
          <w:sz w:val="20"/>
          <w:szCs w:val="20"/>
        </w:rPr>
        <w:t xml:space="preserve"> </w:t>
      </w:r>
      <w:r w:rsidRPr="00996EE7">
        <w:rPr>
          <w:rFonts w:ascii="Times New Roman" w:hAnsi="Times New Roman"/>
          <w:sz w:val="20"/>
          <w:szCs w:val="20"/>
        </w:rPr>
        <w:t xml:space="preserve">curve </w:t>
      </w:r>
      <w:r>
        <w:rPr>
          <w:rFonts w:ascii="Times New Roman" w:hAnsi="Times New Roman"/>
          <w:sz w:val="20"/>
          <w:szCs w:val="20"/>
        </w:rPr>
        <w:t xml:space="preserve"> </w:t>
      </w:r>
      <w:r w:rsidRPr="00996EE7">
        <w:rPr>
          <w:rFonts w:ascii="Times New Roman" w:hAnsi="Times New Roman"/>
          <w:sz w:val="20"/>
          <w:szCs w:val="20"/>
        </w:rPr>
        <w:t xml:space="preserve">of </w:t>
      </w:r>
      <w:r>
        <w:rPr>
          <w:rFonts w:ascii="Times New Roman" w:hAnsi="Times New Roman"/>
          <w:sz w:val="20"/>
          <w:szCs w:val="20"/>
        </w:rPr>
        <w:t xml:space="preserve"> </w:t>
      </w:r>
      <w:r w:rsidRPr="00996EE7">
        <w:rPr>
          <w:rFonts w:ascii="Times New Roman" w:hAnsi="Times New Roman"/>
          <w:sz w:val="20"/>
          <w:szCs w:val="20"/>
        </w:rPr>
        <w:t xml:space="preserve">the β-CD/isoniazid </w:t>
      </w:r>
      <w:r>
        <w:rPr>
          <w:rFonts w:ascii="Times New Roman" w:hAnsi="Times New Roman"/>
          <w:sz w:val="20"/>
          <w:szCs w:val="20"/>
        </w:rPr>
        <w:t xml:space="preserve"> </w:t>
      </w:r>
      <w:r w:rsidRPr="00996EE7">
        <w:rPr>
          <w:rFonts w:ascii="Times New Roman" w:hAnsi="Times New Roman"/>
          <w:sz w:val="20"/>
          <w:szCs w:val="20"/>
        </w:rPr>
        <w:t xml:space="preserve">complex exhibited </w:t>
      </w:r>
      <w:r>
        <w:rPr>
          <w:rFonts w:ascii="Times New Roman" w:hAnsi="Times New Roman"/>
          <w:sz w:val="20"/>
          <w:szCs w:val="20"/>
        </w:rPr>
        <w:t xml:space="preserve"> </w:t>
      </w:r>
      <w:r w:rsidRPr="00996EE7">
        <w:rPr>
          <w:rFonts w:ascii="Times New Roman" w:hAnsi="Times New Roman"/>
          <w:sz w:val="20"/>
          <w:szCs w:val="20"/>
        </w:rPr>
        <w:t xml:space="preserve">a </w:t>
      </w:r>
      <w:r>
        <w:rPr>
          <w:rFonts w:ascii="Times New Roman" w:hAnsi="Times New Roman"/>
          <w:sz w:val="20"/>
          <w:szCs w:val="20"/>
        </w:rPr>
        <w:t xml:space="preserve"> </w:t>
      </w:r>
      <w:r w:rsidRPr="00996EE7">
        <w:rPr>
          <w:rFonts w:ascii="Times New Roman" w:hAnsi="Times New Roman"/>
          <w:sz w:val="20"/>
          <w:szCs w:val="20"/>
        </w:rPr>
        <w:t xml:space="preserve">weight </w:t>
      </w:r>
      <w:r>
        <w:rPr>
          <w:rFonts w:ascii="Times New Roman" w:hAnsi="Times New Roman"/>
          <w:sz w:val="20"/>
          <w:szCs w:val="20"/>
        </w:rPr>
        <w:t xml:space="preserve"> </w:t>
      </w:r>
      <w:r w:rsidRPr="00996EE7">
        <w:rPr>
          <w:rFonts w:ascii="Times New Roman" w:hAnsi="Times New Roman"/>
          <w:sz w:val="20"/>
          <w:szCs w:val="20"/>
        </w:rPr>
        <w:t xml:space="preserve">loss </w:t>
      </w:r>
      <w:r>
        <w:rPr>
          <w:rFonts w:ascii="Times New Roman" w:hAnsi="Times New Roman"/>
          <w:sz w:val="20"/>
          <w:szCs w:val="20"/>
        </w:rPr>
        <w:t xml:space="preserve"> </w:t>
      </w:r>
      <w:r w:rsidRPr="00996EE7">
        <w:rPr>
          <w:rFonts w:ascii="Times New Roman" w:hAnsi="Times New Roman"/>
          <w:sz w:val="20"/>
          <w:szCs w:val="20"/>
        </w:rPr>
        <w:t>at 265 °C. The TGA result showed the β-CD/isoniazid inclusion complex exhibited higher thermal stability compared to the pure isoniazid. These results confirmed the interaction between isoniazid and β-CD.</w:t>
      </w:r>
    </w:p>
    <w:p w14:paraId="2F4A2229" w14:textId="77777777" w:rsidR="006267B4" w:rsidRDefault="006267B4" w:rsidP="006267B4">
      <w:pPr>
        <w:spacing w:after="0"/>
        <w:rPr>
          <w:rFonts w:ascii="Times New Roman" w:eastAsia="Calibri" w:hAnsi="Times New Roman"/>
          <w:sz w:val="20"/>
          <w:szCs w:val="20"/>
        </w:rPr>
      </w:pPr>
    </w:p>
    <w:p w14:paraId="3893C96C" w14:textId="77777777" w:rsidR="006267B4" w:rsidRPr="00996EE7" w:rsidRDefault="006267B4" w:rsidP="006267B4">
      <w:pPr>
        <w:spacing w:after="0"/>
        <w:jc w:val="both"/>
        <w:rPr>
          <w:rFonts w:ascii="Times New Roman" w:hAnsi="Times New Roman"/>
          <w:b/>
          <w:bCs/>
          <w:sz w:val="20"/>
          <w:szCs w:val="20"/>
          <w:lang w:eastAsia="en-MY"/>
        </w:rPr>
      </w:pPr>
      <w:r w:rsidRPr="00996EE7">
        <w:rPr>
          <w:rFonts w:ascii="Times New Roman" w:eastAsia="Calibri" w:hAnsi="Times New Roman"/>
          <w:b/>
          <w:bCs/>
          <w:sz w:val="20"/>
          <w:szCs w:val="20"/>
        </w:rPr>
        <w:t xml:space="preserve">ˡ H </w:t>
      </w:r>
      <w:r w:rsidRPr="00996EE7">
        <w:rPr>
          <w:rFonts w:ascii="Times New Roman" w:hAnsi="Times New Roman"/>
          <w:b/>
          <w:bCs/>
          <w:sz w:val="20"/>
          <w:szCs w:val="20"/>
        </w:rPr>
        <w:t xml:space="preserve">NMR </w:t>
      </w:r>
    </w:p>
    <w:p w14:paraId="18A2F859" w14:textId="77777777" w:rsidR="006267B4" w:rsidRPr="00996EE7" w:rsidRDefault="006267B4" w:rsidP="006267B4">
      <w:pPr>
        <w:spacing w:after="0"/>
        <w:jc w:val="both"/>
        <w:rPr>
          <w:rFonts w:ascii="Times New Roman" w:eastAsia="Calibri" w:hAnsi="Times New Roman"/>
          <w:sz w:val="20"/>
          <w:szCs w:val="20"/>
        </w:rPr>
      </w:pPr>
      <w:r w:rsidRPr="00996EE7">
        <w:rPr>
          <w:rFonts w:ascii="Times New Roman" w:hAnsi="Times New Roman"/>
          <w:sz w:val="20"/>
          <w:szCs w:val="20"/>
        </w:rPr>
        <w:t xml:space="preserve">The convincing evidence for the formation of host-guest interaction in inclusion complex was confirmed using </w:t>
      </w:r>
      <w:r w:rsidRPr="00996EE7">
        <w:rPr>
          <w:rFonts w:ascii="Times New Roman" w:hAnsi="Times New Roman"/>
          <w:sz w:val="20"/>
          <w:szCs w:val="20"/>
          <w:vertAlign w:val="superscript"/>
        </w:rPr>
        <w:t>1</w:t>
      </w:r>
      <w:r w:rsidRPr="00996EE7">
        <w:rPr>
          <w:rFonts w:ascii="Times New Roman" w:hAnsi="Times New Roman"/>
          <w:sz w:val="20"/>
          <w:szCs w:val="20"/>
        </w:rPr>
        <w:t>H NMR spectroscopy by observing the chemical shift (δ) variations [20]. The spectra and values of chemical shifts for isoniazid, β-CD, and complex of β-CD/isoniazid are shown in Figure 3 and Table 1, respectively. The changes in chemical shift for the protons of β-CD and isoniazid in their inclusion complexes were defined as induced shift (Δδ). The induced shift was gained using eq (3):</w:t>
      </w:r>
    </w:p>
    <w:p w14:paraId="3F1E2614" w14:textId="77777777" w:rsidR="006267B4" w:rsidRPr="00996EE7" w:rsidRDefault="006267B4" w:rsidP="006267B4">
      <w:pPr>
        <w:spacing w:after="0"/>
        <w:jc w:val="both"/>
        <w:rPr>
          <w:rFonts w:ascii="Times New Roman" w:hAnsi="Times New Roman"/>
          <w:sz w:val="20"/>
          <w:szCs w:val="20"/>
          <w:lang w:eastAsia="en-MY"/>
        </w:rPr>
      </w:pPr>
    </w:p>
    <w:p w14:paraId="02A7AC81" w14:textId="4135136C" w:rsidR="006267B4" w:rsidRDefault="007D12E6" w:rsidP="007D12E6">
      <w:pPr>
        <w:spacing w:after="0"/>
        <w:jc w:val="both"/>
        <w:rPr>
          <w:rFonts w:ascii="Times New Roman" w:eastAsia="Calibri" w:hAnsi="Times New Roman"/>
          <w:sz w:val="20"/>
          <w:szCs w:val="20"/>
        </w:rPr>
      </w:pPr>
      <w:r>
        <w:rPr>
          <w:rFonts w:ascii="Times New Roman" w:eastAsia="Calibri" w:hAnsi="Times New Roman"/>
          <w:sz w:val="20"/>
          <w:szCs w:val="20"/>
        </w:rPr>
        <w:t xml:space="preserve">       </w:t>
      </w:r>
      <w:r w:rsidR="006267B4" w:rsidRPr="00996EE7">
        <w:rPr>
          <w:rFonts w:ascii="Times New Roman" w:eastAsia="Calibri" w:hAnsi="Times New Roman"/>
          <w:sz w:val="20"/>
          <w:szCs w:val="20"/>
        </w:rPr>
        <w:t>Δδ=δ (complex)-δ (free)</w:t>
      </w:r>
      <w:r w:rsidR="006267B4" w:rsidRPr="00996EE7">
        <w:rPr>
          <w:rFonts w:ascii="Times New Roman" w:eastAsia="Calibri" w:hAnsi="Times New Roman"/>
          <w:sz w:val="20"/>
          <w:szCs w:val="20"/>
        </w:rPr>
        <w:tab/>
      </w:r>
      <w:r w:rsidR="006267B4" w:rsidRPr="00996EE7">
        <w:rPr>
          <w:rFonts w:ascii="Times New Roman" w:eastAsia="Calibri" w:hAnsi="Times New Roman"/>
          <w:sz w:val="20"/>
          <w:szCs w:val="20"/>
        </w:rPr>
        <w:tab/>
      </w:r>
      <w:r>
        <w:rPr>
          <w:rFonts w:ascii="Times New Roman" w:eastAsia="Calibri" w:hAnsi="Times New Roman"/>
          <w:sz w:val="20"/>
          <w:szCs w:val="20"/>
        </w:rPr>
        <w:t xml:space="preserve">            </w:t>
      </w:r>
      <w:r w:rsidR="006267B4" w:rsidRPr="00996EE7">
        <w:rPr>
          <w:rFonts w:ascii="Times New Roman" w:eastAsia="Calibri" w:hAnsi="Times New Roman"/>
          <w:sz w:val="20"/>
          <w:szCs w:val="20"/>
        </w:rPr>
        <w:t>(3)</w:t>
      </w:r>
    </w:p>
    <w:p w14:paraId="3083624B" w14:textId="77777777" w:rsidR="007D12E6" w:rsidRPr="00996EE7" w:rsidRDefault="007D12E6" w:rsidP="007D12E6">
      <w:pPr>
        <w:spacing w:after="0"/>
        <w:jc w:val="both"/>
        <w:rPr>
          <w:rFonts w:ascii="Times New Roman" w:eastAsia="Calibri" w:hAnsi="Times New Roman"/>
          <w:sz w:val="20"/>
          <w:szCs w:val="20"/>
        </w:rPr>
      </w:pPr>
    </w:p>
    <w:p w14:paraId="3A468FF8" w14:textId="2C36E7D5" w:rsidR="007D12E6" w:rsidRDefault="007D12E6" w:rsidP="007D12E6">
      <w:pPr>
        <w:spacing w:after="0"/>
        <w:jc w:val="both"/>
        <w:rPr>
          <w:rFonts w:ascii="Times New Roman" w:hAnsi="Times New Roman"/>
          <w:sz w:val="20"/>
          <w:szCs w:val="20"/>
        </w:rPr>
      </w:pPr>
      <w:r w:rsidRPr="00996EE7">
        <w:rPr>
          <w:rFonts w:ascii="Times New Roman" w:hAnsi="Times New Roman"/>
          <w:sz w:val="20"/>
          <w:szCs w:val="20"/>
        </w:rPr>
        <w:t xml:space="preserve">The positive and negative signs in Table 1 were denoted as upfield and downfield, respectively. The </w:t>
      </w:r>
      <w:r w:rsidRPr="00996EE7">
        <w:rPr>
          <w:rFonts w:ascii="Times New Roman" w:hAnsi="Times New Roman"/>
          <w:sz w:val="20"/>
          <w:szCs w:val="20"/>
          <w:vertAlign w:val="superscript"/>
        </w:rPr>
        <w:t>1</w:t>
      </w:r>
      <w:r w:rsidRPr="00996EE7">
        <w:rPr>
          <w:rFonts w:ascii="Times New Roman" w:hAnsi="Times New Roman"/>
          <w:sz w:val="20"/>
          <w:szCs w:val="20"/>
        </w:rPr>
        <w:t xml:space="preserve">H NMR spectrum for β-CD (Figure 3(a)) consists six varieties of protons (H1-H6), as illustrated in Figure 4 (a). The upfield and downfield shifts were obtained for H1, H2, and H4 protons and H3, H5, and H6 protons, respectively. Besides, the </w:t>
      </w:r>
      <w:r w:rsidRPr="00996EE7">
        <w:rPr>
          <w:rFonts w:ascii="Times New Roman" w:hAnsi="Times New Roman"/>
          <w:sz w:val="20"/>
          <w:szCs w:val="20"/>
          <w:vertAlign w:val="superscript"/>
        </w:rPr>
        <w:t>1</w:t>
      </w:r>
      <w:r w:rsidRPr="00996EE7">
        <w:rPr>
          <w:rFonts w:ascii="Times New Roman" w:hAnsi="Times New Roman"/>
          <w:sz w:val="20"/>
          <w:szCs w:val="20"/>
        </w:rPr>
        <w:t xml:space="preserve">H NMR spectrum of isoniazid (Figure 3(b)) contains four varieties of protons (Ha-Hd), as illustrated in Figure 4 (b). Normally, upon complexation, the Δδ values of protons H3 and H5 of β-CD are slightly higher compared to other protons. However, the </w:t>
      </w:r>
      <w:r w:rsidRPr="00996EE7">
        <w:rPr>
          <w:rFonts w:ascii="Times New Roman" w:hAnsi="Times New Roman"/>
          <w:sz w:val="20"/>
          <w:szCs w:val="20"/>
          <w:vertAlign w:val="superscript"/>
        </w:rPr>
        <w:t>1</w:t>
      </w:r>
      <w:r w:rsidRPr="00996EE7">
        <w:rPr>
          <w:rFonts w:ascii="Times New Roman" w:hAnsi="Times New Roman"/>
          <w:sz w:val="20"/>
          <w:szCs w:val="20"/>
        </w:rPr>
        <w:t>H NMR spectrum of β-CD/isoniazid (Figure 3(c)) showed the appreciable Δδ values only for H4 and H5 protons, as listed in Table 1. The changes of chemical shift (Δδ) for H5 indicating the consequences of isoniazid penetration into the hydrophobic cavity of β-CD, due to the magnetic anisotropy effects. It can be seen the Δδ values of protons Ha and Hb of isoniazid were the highest compared to the other protons upon the formation of the inclusion complex. These large chemical shift changes suggesting that Ha and Hb protons of isoniazid are located inside cavity of β-CD. However, a small Δδ value of Hc proton suggesting that isoniazid also interacted with H4 proton of β-CD, which is located outside the cavity.</w:t>
      </w:r>
    </w:p>
    <w:p w14:paraId="5168A8CD" w14:textId="77777777" w:rsidR="007D12E6" w:rsidRPr="00996EE7" w:rsidRDefault="007D12E6" w:rsidP="007D12E6">
      <w:pPr>
        <w:spacing w:after="0"/>
        <w:jc w:val="both"/>
        <w:rPr>
          <w:rFonts w:ascii="Times New Roman" w:hAnsi="Times New Roman"/>
          <w:sz w:val="20"/>
          <w:szCs w:val="20"/>
        </w:rPr>
      </w:pPr>
    </w:p>
    <w:p w14:paraId="6F4908B7" w14:textId="77777777" w:rsidR="006267B4" w:rsidRDefault="006267B4" w:rsidP="006267B4">
      <w:pPr>
        <w:spacing w:after="0"/>
        <w:rPr>
          <w:rFonts w:ascii="Times New Roman" w:eastAsia="Calibri" w:hAnsi="Times New Roman"/>
          <w:sz w:val="20"/>
          <w:szCs w:val="20"/>
        </w:rPr>
      </w:pPr>
    </w:p>
    <w:p w14:paraId="1FCE2DDE" w14:textId="400DDFA1" w:rsidR="007D12E6" w:rsidRDefault="007D12E6" w:rsidP="006267B4">
      <w:pPr>
        <w:spacing w:after="0"/>
        <w:rPr>
          <w:rFonts w:ascii="Times New Roman" w:eastAsia="Calibri" w:hAnsi="Times New Roman"/>
          <w:sz w:val="20"/>
          <w:szCs w:val="20"/>
        </w:rPr>
        <w:sectPr w:rsidR="007D12E6" w:rsidSect="006267B4">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p>
    <w:p w14:paraId="097CD4F7" w14:textId="77777777" w:rsidR="00475D0A" w:rsidRPr="007D12E6" w:rsidRDefault="00475D0A" w:rsidP="007D12E6">
      <w:pPr>
        <w:spacing w:after="0"/>
        <w:jc w:val="both"/>
        <w:rPr>
          <w:rFonts w:ascii="Times New Roman" w:eastAsia="Calibri" w:hAnsi="Times New Roman"/>
          <w:sz w:val="20"/>
          <w:szCs w:val="20"/>
        </w:rPr>
      </w:pPr>
    </w:p>
    <w:p w14:paraId="5A38FE89" w14:textId="77777777" w:rsidR="007D12E6" w:rsidRDefault="00996EE7" w:rsidP="007D12E6">
      <w:pPr>
        <w:spacing w:after="120"/>
        <w:jc w:val="center"/>
        <w:outlineLvl w:val="0"/>
        <w:rPr>
          <w:rFonts w:ascii="Times New Roman" w:hAnsi="Times New Roman"/>
          <w:sz w:val="20"/>
          <w:szCs w:val="20"/>
        </w:rPr>
      </w:pPr>
      <w:r w:rsidRPr="00996EE7">
        <w:rPr>
          <w:rFonts w:ascii="Times New Roman" w:hAnsi="Times New Roman"/>
          <w:noProof/>
          <w:sz w:val="20"/>
          <w:szCs w:val="20"/>
        </w:rPr>
        <w:drawing>
          <wp:inline distT="0" distB="0" distL="0" distR="0" wp14:anchorId="30CA2311" wp14:editId="2CA33838">
            <wp:extent cx="3858768" cy="2843784"/>
            <wp:effectExtent l="19050" t="19050" r="2794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8768" cy="2843784"/>
                    </a:xfrm>
                    <a:prstGeom prst="rect">
                      <a:avLst/>
                    </a:prstGeom>
                    <a:noFill/>
                    <a:ln w="6350">
                      <a:solidFill>
                        <a:schemeClr val="tx1"/>
                      </a:solidFill>
                    </a:ln>
                  </pic:spPr>
                </pic:pic>
              </a:graphicData>
            </a:graphic>
          </wp:inline>
        </w:drawing>
      </w:r>
    </w:p>
    <w:p w14:paraId="1B70B3F8" w14:textId="745247DF" w:rsidR="00996EE7" w:rsidRPr="00996EE7" w:rsidRDefault="00996EE7" w:rsidP="007D12E6">
      <w:pPr>
        <w:spacing w:after="120"/>
        <w:jc w:val="center"/>
        <w:outlineLvl w:val="0"/>
        <w:rPr>
          <w:rFonts w:ascii="Times New Roman" w:hAnsi="Times New Roman"/>
          <w:sz w:val="20"/>
          <w:szCs w:val="20"/>
        </w:rPr>
      </w:pPr>
      <w:r w:rsidRPr="00996EE7">
        <w:rPr>
          <w:rFonts w:ascii="Times New Roman" w:hAnsi="Times New Roman"/>
          <w:sz w:val="20"/>
          <w:szCs w:val="20"/>
        </w:rPr>
        <w:t xml:space="preserve">Figure 1. </w:t>
      </w:r>
      <w:r w:rsidR="007D12E6">
        <w:rPr>
          <w:rFonts w:ascii="Times New Roman" w:hAnsi="Times New Roman"/>
          <w:sz w:val="20"/>
          <w:szCs w:val="20"/>
        </w:rPr>
        <w:t xml:space="preserve"> </w:t>
      </w:r>
      <w:r w:rsidRPr="00996EE7">
        <w:rPr>
          <w:rFonts w:ascii="Times New Roman" w:hAnsi="Times New Roman"/>
          <w:sz w:val="20"/>
          <w:szCs w:val="20"/>
        </w:rPr>
        <w:t>FTIR spectra of (a) β-CD, (b) Isoniazid and (c) β-CD/isoniazid</w:t>
      </w:r>
    </w:p>
    <w:p w14:paraId="352285CA" w14:textId="77777777" w:rsidR="00996EE7" w:rsidRPr="00996EE7" w:rsidRDefault="00996EE7" w:rsidP="00996EE7">
      <w:pPr>
        <w:spacing w:after="0"/>
        <w:jc w:val="both"/>
        <w:rPr>
          <w:rFonts w:ascii="Times New Roman" w:hAnsi="Times New Roman"/>
          <w:sz w:val="20"/>
          <w:szCs w:val="20"/>
        </w:rPr>
      </w:pPr>
    </w:p>
    <w:p w14:paraId="08736C8E" w14:textId="77777777" w:rsidR="00996EE7" w:rsidRPr="00996EE7" w:rsidRDefault="00996EE7" w:rsidP="00EA5AEB">
      <w:pPr>
        <w:spacing w:after="120"/>
        <w:jc w:val="center"/>
        <w:rPr>
          <w:rFonts w:ascii="Times New Roman" w:hAnsi="Times New Roman"/>
          <w:sz w:val="20"/>
          <w:szCs w:val="20"/>
        </w:rPr>
      </w:pPr>
      <w:r w:rsidRPr="00996EE7">
        <w:rPr>
          <w:rFonts w:ascii="Times New Roman" w:hAnsi="Times New Roman"/>
          <w:noProof/>
          <w:sz w:val="20"/>
          <w:szCs w:val="20"/>
        </w:rPr>
        <w:drawing>
          <wp:inline distT="0" distB="0" distL="0" distR="0" wp14:anchorId="5CEEFB4F" wp14:editId="572BF424">
            <wp:extent cx="3695700" cy="2721610"/>
            <wp:effectExtent l="19050" t="19050" r="19050" b="215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5700" cy="2721610"/>
                    </a:xfrm>
                    <a:prstGeom prst="rect">
                      <a:avLst/>
                    </a:prstGeom>
                    <a:noFill/>
                    <a:ln w="6350">
                      <a:solidFill>
                        <a:schemeClr val="tx1"/>
                      </a:solidFill>
                    </a:ln>
                  </pic:spPr>
                </pic:pic>
              </a:graphicData>
            </a:graphic>
          </wp:inline>
        </w:drawing>
      </w:r>
    </w:p>
    <w:p w14:paraId="4F1832B7" w14:textId="4E0B53E8" w:rsidR="00996EE7" w:rsidRPr="00996EE7" w:rsidRDefault="00996EE7" w:rsidP="00EA5AEB">
      <w:pPr>
        <w:spacing w:after="0"/>
        <w:jc w:val="center"/>
        <w:rPr>
          <w:rFonts w:ascii="Times New Roman" w:eastAsia="Calibri" w:hAnsi="Times New Roman"/>
          <w:sz w:val="20"/>
          <w:szCs w:val="20"/>
        </w:rPr>
      </w:pPr>
      <w:r w:rsidRPr="00996EE7">
        <w:rPr>
          <w:rFonts w:ascii="Times New Roman" w:eastAsia="Calibri" w:hAnsi="Times New Roman"/>
          <w:sz w:val="20"/>
          <w:szCs w:val="20"/>
        </w:rPr>
        <w:t xml:space="preserve">Figure 2. </w:t>
      </w:r>
      <w:r w:rsidR="00EA5AEB">
        <w:rPr>
          <w:rFonts w:ascii="Times New Roman" w:eastAsia="Calibri" w:hAnsi="Times New Roman"/>
          <w:sz w:val="20"/>
          <w:szCs w:val="20"/>
        </w:rPr>
        <w:t xml:space="preserve"> </w:t>
      </w:r>
      <w:r w:rsidRPr="00996EE7">
        <w:rPr>
          <w:rFonts w:ascii="Times New Roman" w:eastAsia="Calibri" w:hAnsi="Times New Roman"/>
          <w:sz w:val="20"/>
          <w:szCs w:val="20"/>
        </w:rPr>
        <w:t>TGA for β-CD/isoniazid</w:t>
      </w:r>
    </w:p>
    <w:p w14:paraId="28919F26" w14:textId="2BB92A18" w:rsidR="007D12E6" w:rsidRPr="007D12E6" w:rsidRDefault="007D12E6" w:rsidP="007D12E6">
      <w:pPr>
        <w:spacing w:after="0"/>
        <w:jc w:val="center"/>
        <w:rPr>
          <w:rFonts w:ascii="Times New Roman" w:eastAsia="Calibri" w:hAnsi="Times New Roman"/>
          <w:sz w:val="20"/>
          <w:szCs w:val="20"/>
        </w:rPr>
      </w:pPr>
    </w:p>
    <w:p w14:paraId="429B2438" w14:textId="77777777" w:rsidR="00996EE7" w:rsidRPr="00996EE7" w:rsidRDefault="00996EE7" w:rsidP="007D12E6">
      <w:pPr>
        <w:spacing w:after="0"/>
        <w:jc w:val="center"/>
        <w:rPr>
          <w:rFonts w:ascii="Times New Roman" w:hAnsi="Times New Roman"/>
          <w:sz w:val="20"/>
          <w:szCs w:val="20"/>
        </w:rPr>
      </w:pPr>
    </w:p>
    <w:p w14:paraId="54C952C8" w14:textId="77777777" w:rsidR="00996EE7" w:rsidRPr="00996EE7" w:rsidRDefault="00996EE7" w:rsidP="00EA5AEB">
      <w:pPr>
        <w:spacing w:after="120"/>
        <w:jc w:val="center"/>
        <w:rPr>
          <w:rFonts w:ascii="Times New Roman" w:eastAsia="Calibri" w:hAnsi="Times New Roman"/>
          <w:sz w:val="20"/>
          <w:szCs w:val="20"/>
        </w:rPr>
      </w:pPr>
      <w:r w:rsidRPr="00996EE7">
        <w:rPr>
          <w:rFonts w:ascii="Times New Roman" w:hAnsi="Times New Roman"/>
          <w:noProof/>
          <w:sz w:val="20"/>
          <w:szCs w:val="20"/>
        </w:rPr>
        <w:drawing>
          <wp:inline distT="0" distB="0" distL="0" distR="0" wp14:anchorId="4C41FF3D" wp14:editId="1AE9B229">
            <wp:extent cx="5400000" cy="3941412"/>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00" cy="3941412"/>
                    </a:xfrm>
                    <a:prstGeom prst="rect">
                      <a:avLst/>
                    </a:prstGeom>
                    <a:noFill/>
                    <a:ln>
                      <a:noFill/>
                    </a:ln>
                  </pic:spPr>
                </pic:pic>
              </a:graphicData>
            </a:graphic>
          </wp:inline>
        </w:drawing>
      </w:r>
    </w:p>
    <w:p w14:paraId="2BF7DD31" w14:textId="0511B0FF" w:rsidR="00EA5AEB" w:rsidRPr="00996EE7" w:rsidRDefault="00996EE7" w:rsidP="003267E6">
      <w:pPr>
        <w:spacing w:after="0"/>
        <w:jc w:val="center"/>
        <w:rPr>
          <w:rFonts w:ascii="Times New Roman" w:hAnsi="Times New Roman"/>
          <w:sz w:val="20"/>
          <w:szCs w:val="20"/>
        </w:rPr>
      </w:pPr>
      <w:r w:rsidRPr="00996EE7">
        <w:rPr>
          <w:rFonts w:ascii="Times New Roman" w:hAnsi="Times New Roman"/>
          <w:sz w:val="20"/>
          <w:szCs w:val="20"/>
        </w:rPr>
        <w:t>Figure 3.</w:t>
      </w:r>
      <w:r w:rsidR="00EA5AEB">
        <w:rPr>
          <w:rFonts w:ascii="Times New Roman" w:hAnsi="Times New Roman"/>
          <w:sz w:val="20"/>
          <w:szCs w:val="20"/>
        </w:rPr>
        <w:t xml:space="preserve"> </w:t>
      </w:r>
      <w:r w:rsidRPr="00996EE7">
        <w:rPr>
          <w:rFonts w:ascii="Times New Roman" w:hAnsi="Times New Roman"/>
          <w:sz w:val="20"/>
          <w:szCs w:val="20"/>
        </w:rPr>
        <w:t xml:space="preserve"> </w:t>
      </w:r>
      <w:r w:rsidRPr="00996EE7">
        <w:rPr>
          <w:rFonts w:ascii="Times New Roman" w:hAnsi="Times New Roman"/>
          <w:sz w:val="20"/>
          <w:szCs w:val="20"/>
          <w:vertAlign w:val="superscript"/>
        </w:rPr>
        <w:t>1</w:t>
      </w:r>
      <w:r w:rsidRPr="00996EE7">
        <w:rPr>
          <w:rFonts w:ascii="Times New Roman" w:hAnsi="Times New Roman"/>
          <w:sz w:val="20"/>
          <w:szCs w:val="20"/>
        </w:rPr>
        <w:t>H NMR spectra of (a) β-CD, (b) isoniazid, (c) β-CD/isoniazid</w:t>
      </w:r>
    </w:p>
    <w:p w14:paraId="51701024" w14:textId="5EED5A92" w:rsidR="00996EE7" w:rsidRPr="00996EE7" w:rsidRDefault="00996EE7" w:rsidP="00EA5AEB">
      <w:pPr>
        <w:spacing w:after="120"/>
        <w:jc w:val="center"/>
        <w:rPr>
          <w:rFonts w:ascii="Times New Roman" w:eastAsia="SimSun" w:hAnsi="Times New Roman"/>
          <w:sz w:val="20"/>
          <w:szCs w:val="20"/>
          <w:lang w:eastAsia="en-MY"/>
        </w:rPr>
      </w:pPr>
      <w:r w:rsidRPr="00996EE7">
        <w:rPr>
          <w:rFonts w:ascii="Times New Roman" w:hAnsi="Times New Roman"/>
          <w:sz w:val="20"/>
          <w:szCs w:val="20"/>
        </w:rPr>
        <w:lastRenderedPageBreak/>
        <w:t xml:space="preserve">Table 1. </w:t>
      </w:r>
      <w:r w:rsidR="00EA5AEB">
        <w:rPr>
          <w:rFonts w:ascii="Times New Roman" w:hAnsi="Times New Roman"/>
          <w:sz w:val="20"/>
          <w:szCs w:val="20"/>
        </w:rPr>
        <w:t xml:space="preserve"> </w:t>
      </w:r>
      <w:r w:rsidRPr="00996EE7">
        <w:rPr>
          <w:rFonts w:ascii="Times New Roman" w:eastAsia="SimSun" w:hAnsi="Times New Roman"/>
          <w:sz w:val="20"/>
          <w:szCs w:val="20"/>
        </w:rPr>
        <w:t>Chemical shift corresponding to β-CD and isoniazid</w:t>
      </w:r>
    </w:p>
    <w:tbl>
      <w:tblPr>
        <w:tblStyle w:val="TableGrid"/>
        <w:tblW w:w="6868"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71"/>
        <w:gridCol w:w="1649"/>
        <w:gridCol w:w="1049"/>
        <w:gridCol w:w="1873"/>
        <w:gridCol w:w="1426"/>
      </w:tblGrid>
      <w:tr w:rsidR="00996EE7" w:rsidRPr="00996EE7" w14:paraId="703C9CB3" w14:textId="77777777" w:rsidTr="007D12E6">
        <w:trPr>
          <w:trHeight w:val="340"/>
          <w:jc w:val="center"/>
        </w:trPr>
        <w:tc>
          <w:tcPr>
            <w:tcW w:w="871" w:type="dxa"/>
            <w:tcBorders>
              <w:top w:val="single" w:sz="4" w:space="0" w:color="auto"/>
              <w:left w:val="nil"/>
              <w:bottom w:val="single" w:sz="4" w:space="0" w:color="auto"/>
              <w:right w:val="nil"/>
            </w:tcBorders>
            <w:vAlign w:val="center"/>
          </w:tcPr>
          <w:p w14:paraId="53280B05" w14:textId="77777777" w:rsidR="00996EE7" w:rsidRPr="00996EE7" w:rsidRDefault="00996EE7" w:rsidP="00EA5AEB">
            <w:pPr>
              <w:pStyle w:val="NormalWeb"/>
              <w:spacing w:before="0" w:beforeAutospacing="0" w:after="0" w:afterAutospacing="0" w:line="276" w:lineRule="auto"/>
              <w:jc w:val="left"/>
              <w:rPr>
                <w:b/>
                <w:bCs/>
                <w:sz w:val="20"/>
                <w:szCs w:val="20"/>
              </w:rPr>
            </w:pPr>
            <w:r w:rsidRPr="00996EE7">
              <w:rPr>
                <w:b/>
                <w:bCs/>
                <w:sz w:val="20"/>
                <w:szCs w:val="20"/>
              </w:rPr>
              <w:t>Proton</w:t>
            </w:r>
          </w:p>
        </w:tc>
        <w:tc>
          <w:tcPr>
            <w:tcW w:w="1649" w:type="dxa"/>
            <w:tcBorders>
              <w:top w:val="single" w:sz="4" w:space="0" w:color="auto"/>
              <w:left w:val="nil"/>
              <w:bottom w:val="single" w:sz="4" w:space="0" w:color="auto"/>
              <w:right w:val="nil"/>
            </w:tcBorders>
            <w:vAlign w:val="center"/>
          </w:tcPr>
          <w:p w14:paraId="423BA5C5"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β-Cyclodextrin</w:t>
            </w:r>
          </w:p>
          <w:p w14:paraId="05534013"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w:t>
            </w:r>
          </w:p>
        </w:tc>
        <w:tc>
          <w:tcPr>
            <w:tcW w:w="1049" w:type="dxa"/>
            <w:tcBorders>
              <w:top w:val="single" w:sz="4" w:space="0" w:color="auto"/>
              <w:left w:val="nil"/>
              <w:bottom w:val="single" w:sz="4" w:space="0" w:color="auto"/>
              <w:right w:val="nil"/>
            </w:tcBorders>
            <w:vAlign w:val="center"/>
          </w:tcPr>
          <w:p w14:paraId="65CDD3A5"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Isoniazid</w:t>
            </w:r>
          </w:p>
          <w:p w14:paraId="243D4A5E"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w:t>
            </w:r>
          </w:p>
        </w:tc>
        <w:tc>
          <w:tcPr>
            <w:tcW w:w="1873" w:type="dxa"/>
            <w:tcBorders>
              <w:top w:val="single" w:sz="4" w:space="0" w:color="auto"/>
              <w:left w:val="nil"/>
              <w:bottom w:val="single" w:sz="4" w:space="0" w:color="auto"/>
              <w:right w:val="nil"/>
            </w:tcBorders>
            <w:vAlign w:val="center"/>
          </w:tcPr>
          <w:p w14:paraId="5E5AC16D"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Inclusion Complex</w:t>
            </w:r>
          </w:p>
          <w:p w14:paraId="5ABB6529"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w:t>
            </w:r>
          </w:p>
        </w:tc>
        <w:tc>
          <w:tcPr>
            <w:tcW w:w="1426" w:type="dxa"/>
            <w:tcBorders>
              <w:top w:val="single" w:sz="4" w:space="0" w:color="auto"/>
              <w:left w:val="nil"/>
              <w:bottom w:val="single" w:sz="4" w:space="0" w:color="auto"/>
              <w:right w:val="nil"/>
            </w:tcBorders>
            <w:vAlign w:val="center"/>
          </w:tcPr>
          <w:p w14:paraId="6224CBAE"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Induced Shift</w:t>
            </w:r>
          </w:p>
          <w:p w14:paraId="38A6C0BB"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Δδ</w:t>
            </w:r>
          </w:p>
        </w:tc>
      </w:tr>
      <w:tr w:rsidR="00996EE7" w:rsidRPr="00996EE7" w14:paraId="7DBB93C4" w14:textId="77777777" w:rsidTr="007D12E6">
        <w:trPr>
          <w:trHeight w:val="340"/>
          <w:jc w:val="center"/>
        </w:trPr>
        <w:tc>
          <w:tcPr>
            <w:tcW w:w="871" w:type="dxa"/>
            <w:tcBorders>
              <w:top w:val="single" w:sz="4" w:space="0" w:color="auto"/>
              <w:left w:val="nil"/>
              <w:bottom w:val="nil"/>
              <w:right w:val="nil"/>
            </w:tcBorders>
            <w:vAlign w:val="center"/>
          </w:tcPr>
          <w:p w14:paraId="605465E7"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H1</w:t>
            </w:r>
          </w:p>
        </w:tc>
        <w:tc>
          <w:tcPr>
            <w:tcW w:w="1649" w:type="dxa"/>
            <w:tcBorders>
              <w:top w:val="single" w:sz="4" w:space="0" w:color="auto"/>
              <w:left w:val="nil"/>
              <w:bottom w:val="nil"/>
              <w:right w:val="nil"/>
            </w:tcBorders>
            <w:vAlign w:val="center"/>
          </w:tcPr>
          <w:p w14:paraId="20D637E5"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4.8231</w:t>
            </w:r>
          </w:p>
        </w:tc>
        <w:tc>
          <w:tcPr>
            <w:tcW w:w="1049" w:type="dxa"/>
            <w:tcBorders>
              <w:top w:val="single" w:sz="4" w:space="0" w:color="auto"/>
              <w:left w:val="nil"/>
              <w:bottom w:val="nil"/>
              <w:right w:val="nil"/>
            </w:tcBorders>
            <w:vAlign w:val="center"/>
          </w:tcPr>
          <w:p w14:paraId="552B1206"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single" w:sz="4" w:space="0" w:color="auto"/>
              <w:left w:val="nil"/>
              <w:bottom w:val="nil"/>
              <w:right w:val="nil"/>
            </w:tcBorders>
            <w:vAlign w:val="center"/>
          </w:tcPr>
          <w:p w14:paraId="705F551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4.8234</w:t>
            </w:r>
          </w:p>
        </w:tc>
        <w:tc>
          <w:tcPr>
            <w:tcW w:w="1426" w:type="dxa"/>
            <w:tcBorders>
              <w:top w:val="single" w:sz="4" w:space="0" w:color="auto"/>
              <w:left w:val="nil"/>
              <w:bottom w:val="nil"/>
              <w:right w:val="nil"/>
            </w:tcBorders>
            <w:vAlign w:val="center"/>
          </w:tcPr>
          <w:p w14:paraId="1450E05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+0.0003</w:t>
            </w:r>
          </w:p>
        </w:tc>
      </w:tr>
      <w:tr w:rsidR="00996EE7" w:rsidRPr="00996EE7" w14:paraId="704992B1" w14:textId="77777777" w:rsidTr="008B602E">
        <w:trPr>
          <w:trHeight w:val="340"/>
          <w:jc w:val="center"/>
        </w:trPr>
        <w:tc>
          <w:tcPr>
            <w:tcW w:w="871" w:type="dxa"/>
            <w:tcBorders>
              <w:top w:val="nil"/>
              <w:left w:val="nil"/>
              <w:bottom w:val="nil"/>
              <w:right w:val="nil"/>
            </w:tcBorders>
            <w:vAlign w:val="center"/>
          </w:tcPr>
          <w:p w14:paraId="2020B373"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H2</w:t>
            </w:r>
          </w:p>
        </w:tc>
        <w:tc>
          <w:tcPr>
            <w:tcW w:w="1649" w:type="dxa"/>
            <w:tcBorders>
              <w:top w:val="nil"/>
              <w:left w:val="nil"/>
              <w:bottom w:val="nil"/>
              <w:right w:val="nil"/>
            </w:tcBorders>
            <w:vAlign w:val="center"/>
          </w:tcPr>
          <w:p w14:paraId="21911653"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3.3585</w:t>
            </w:r>
          </w:p>
        </w:tc>
        <w:tc>
          <w:tcPr>
            <w:tcW w:w="1049" w:type="dxa"/>
            <w:tcBorders>
              <w:top w:val="nil"/>
              <w:left w:val="nil"/>
              <w:bottom w:val="nil"/>
              <w:right w:val="nil"/>
            </w:tcBorders>
            <w:vAlign w:val="center"/>
          </w:tcPr>
          <w:p w14:paraId="561235EF"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13ABEC1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3.3600</w:t>
            </w:r>
          </w:p>
        </w:tc>
        <w:tc>
          <w:tcPr>
            <w:tcW w:w="1426" w:type="dxa"/>
            <w:tcBorders>
              <w:top w:val="nil"/>
              <w:left w:val="nil"/>
              <w:bottom w:val="nil"/>
              <w:right w:val="nil"/>
            </w:tcBorders>
            <w:vAlign w:val="center"/>
          </w:tcPr>
          <w:p w14:paraId="458DE9A7"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+0.0015</w:t>
            </w:r>
          </w:p>
        </w:tc>
      </w:tr>
      <w:tr w:rsidR="00996EE7" w:rsidRPr="00996EE7" w14:paraId="7F8A7BDC" w14:textId="77777777" w:rsidTr="008B602E">
        <w:trPr>
          <w:trHeight w:val="340"/>
          <w:jc w:val="center"/>
        </w:trPr>
        <w:tc>
          <w:tcPr>
            <w:tcW w:w="871" w:type="dxa"/>
            <w:tcBorders>
              <w:top w:val="nil"/>
              <w:left w:val="nil"/>
              <w:bottom w:val="nil"/>
              <w:right w:val="nil"/>
            </w:tcBorders>
            <w:vAlign w:val="center"/>
          </w:tcPr>
          <w:p w14:paraId="518D8723"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H3</w:t>
            </w:r>
          </w:p>
        </w:tc>
        <w:tc>
          <w:tcPr>
            <w:tcW w:w="1649" w:type="dxa"/>
            <w:tcBorders>
              <w:top w:val="nil"/>
              <w:left w:val="nil"/>
              <w:bottom w:val="nil"/>
              <w:right w:val="nil"/>
            </w:tcBorders>
            <w:vAlign w:val="center"/>
          </w:tcPr>
          <w:p w14:paraId="3D8626D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3.6229</w:t>
            </w:r>
          </w:p>
        </w:tc>
        <w:tc>
          <w:tcPr>
            <w:tcW w:w="1049" w:type="dxa"/>
            <w:tcBorders>
              <w:top w:val="nil"/>
              <w:left w:val="nil"/>
              <w:bottom w:val="nil"/>
              <w:right w:val="nil"/>
            </w:tcBorders>
            <w:vAlign w:val="center"/>
          </w:tcPr>
          <w:p w14:paraId="5E8D4A91"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6D72808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3.6220</w:t>
            </w:r>
          </w:p>
        </w:tc>
        <w:tc>
          <w:tcPr>
            <w:tcW w:w="1426" w:type="dxa"/>
            <w:tcBorders>
              <w:top w:val="nil"/>
              <w:left w:val="nil"/>
              <w:bottom w:val="nil"/>
              <w:right w:val="nil"/>
            </w:tcBorders>
            <w:vAlign w:val="center"/>
          </w:tcPr>
          <w:p w14:paraId="5CBAA64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-0.0009</w:t>
            </w:r>
          </w:p>
        </w:tc>
      </w:tr>
      <w:tr w:rsidR="00996EE7" w:rsidRPr="00996EE7" w14:paraId="465F5F2E" w14:textId="77777777" w:rsidTr="008B602E">
        <w:trPr>
          <w:trHeight w:val="340"/>
          <w:jc w:val="center"/>
        </w:trPr>
        <w:tc>
          <w:tcPr>
            <w:tcW w:w="871" w:type="dxa"/>
            <w:tcBorders>
              <w:top w:val="nil"/>
              <w:left w:val="nil"/>
              <w:bottom w:val="nil"/>
              <w:right w:val="nil"/>
            </w:tcBorders>
            <w:vAlign w:val="center"/>
          </w:tcPr>
          <w:p w14:paraId="7EBEA758"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H4</w:t>
            </w:r>
          </w:p>
        </w:tc>
        <w:tc>
          <w:tcPr>
            <w:tcW w:w="1649" w:type="dxa"/>
            <w:tcBorders>
              <w:top w:val="nil"/>
              <w:left w:val="nil"/>
              <w:bottom w:val="nil"/>
              <w:right w:val="nil"/>
            </w:tcBorders>
            <w:vAlign w:val="center"/>
          </w:tcPr>
          <w:p w14:paraId="7326E80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3.3036</w:t>
            </w:r>
          </w:p>
        </w:tc>
        <w:tc>
          <w:tcPr>
            <w:tcW w:w="1049" w:type="dxa"/>
            <w:tcBorders>
              <w:top w:val="nil"/>
              <w:left w:val="nil"/>
              <w:bottom w:val="nil"/>
              <w:right w:val="nil"/>
            </w:tcBorders>
            <w:vAlign w:val="center"/>
          </w:tcPr>
          <w:p w14:paraId="36A1627D"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684C238F"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3.3210</w:t>
            </w:r>
          </w:p>
        </w:tc>
        <w:tc>
          <w:tcPr>
            <w:tcW w:w="1426" w:type="dxa"/>
            <w:tcBorders>
              <w:top w:val="nil"/>
              <w:left w:val="nil"/>
              <w:bottom w:val="nil"/>
              <w:right w:val="nil"/>
            </w:tcBorders>
            <w:vAlign w:val="center"/>
          </w:tcPr>
          <w:p w14:paraId="4BFD1019"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+0.0174</w:t>
            </w:r>
          </w:p>
        </w:tc>
      </w:tr>
      <w:tr w:rsidR="00996EE7" w:rsidRPr="00996EE7" w14:paraId="7F0346FE" w14:textId="77777777" w:rsidTr="008B602E">
        <w:trPr>
          <w:trHeight w:val="340"/>
          <w:jc w:val="center"/>
        </w:trPr>
        <w:tc>
          <w:tcPr>
            <w:tcW w:w="871" w:type="dxa"/>
            <w:tcBorders>
              <w:top w:val="nil"/>
              <w:left w:val="nil"/>
              <w:bottom w:val="nil"/>
              <w:right w:val="nil"/>
            </w:tcBorders>
            <w:vAlign w:val="center"/>
          </w:tcPr>
          <w:p w14:paraId="53D34838"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H5</w:t>
            </w:r>
          </w:p>
        </w:tc>
        <w:tc>
          <w:tcPr>
            <w:tcW w:w="1649" w:type="dxa"/>
            <w:tcBorders>
              <w:top w:val="nil"/>
              <w:left w:val="nil"/>
              <w:bottom w:val="nil"/>
              <w:right w:val="nil"/>
            </w:tcBorders>
            <w:vAlign w:val="center"/>
          </w:tcPr>
          <w:p w14:paraId="6B866462"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3.6038</w:t>
            </w:r>
          </w:p>
        </w:tc>
        <w:tc>
          <w:tcPr>
            <w:tcW w:w="1049" w:type="dxa"/>
            <w:tcBorders>
              <w:top w:val="nil"/>
              <w:left w:val="nil"/>
              <w:bottom w:val="nil"/>
              <w:right w:val="nil"/>
            </w:tcBorders>
            <w:vAlign w:val="center"/>
          </w:tcPr>
          <w:p w14:paraId="1DC5EDD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4D428D8D"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3.5591</w:t>
            </w:r>
          </w:p>
        </w:tc>
        <w:tc>
          <w:tcPr>
            <w:tcW w:w="1426" w:type="dxa"/>
            <w:tcBorders>
              <w:top w:val="nil"/>
              <w:left w:val="nil"/>
              <w:bottom w:val="nil"/>
              <w:right w:val="nil"/>
            </w:tcBorders>
            <w:vAlign w:val="center"/>
          </w:tcPr>
          <w:p w14:paraId="0D3D2D66" w14:textId="77777777" w:rsidR="00996EE7" w:rsidRPr="00EA5AEB" w:rsidRDefault="00996EE7" w:rsidP="007D12E6">
            <w:pPr>
              <w:pStyle w:val="NormalWeb"/>
              <w:spacing w:before="60" w:beforeAutospacing="0" w:after="0" w:afterAutospacing="0" w:line="276" w:lineRule="auto"/>
              <w:jc w:val="center"/>
              <w:rPr>
                <w:sz w:val="20"/>
                <w:szCs w:val="20"/>
              </w:rPr>
            </w:pPr>
            <w:r w:rsidRPr="00EA5AEB">
              <w:rPr>
                <w:sz w:val="20"/>
                <w:szCs w:val="20"/>
              </w:rPr>
              <w:t>-0.0447</w:t>
            </w:r>
          </w:p>
        </w:tc>
      </w:tr>
      <w:tr w:rsidR="00996EE7" w:rsidRPr="00996EE7" w14:paraId="2F201858" w14:textId="77777777" w:rsidTr="008B602E">
        <w:trPr>
          <w:trHeight w:val="340"/>
          <w:jc w:val="center"/>
        </w:trPr>
        <w:tc>
          <w:tcPr>
            <w:tcW w:w="871" w:type="dxa"/>
            <w:tcBorders>
              <w:top w:val="nil"/>
              <w:left w:val="nil"/>
              <w:bottom w:val="nil"/>
              <w:right w:val="nil"/>
            </w:tcBorders>
            <w:vAlign w:val="center"/>
          </w:tcPr>
          <w:p w14:paraId="3BC76D2B"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H6</w:t>
            </w:r>
          </w:p>
        </w:tc>
        <w:tc>
          <w:tcPr>
            <w:tcW w:w="1649" w:type="dxa"/>
            <w:tcBorders>
              <w:top w:val="nil"/>
              <w:left w:val="nil"/>
              <w:bottom w:val="nil"/>
              <w:right w:val="nil"/>
            </w:tcBorders>
            <w:vAlign w:val="center"/>
          </w:tcPr>
          <w:p w14:paraId="6CB3DDDD"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3.6413</w:t>
            </w:r>
          </w:p>
        </w:tc>
        <w:tc>
          <w:tcPr>
            <w:tcW w:w="1049" w:type="dxa"/>
            <w:tcBorders>
              <w:top w:val="nil"/>
              <w:left w:val="nil"/>
              <w:bottom w:val="nil"/>
              <w:right w:val="nil"/>
            </w:tcBorders>
            <w:vAlign w:val="center"/>
          </w:tcPr>
          <w:p w14:paraId="4B535FE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5893A54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3.6404</w:t>
            </w:r>
          </w:p>
        </w:tc>
        <w:tc>
          <w:tcPr>
            <w:tcW w:w="1426" w:type="dxa"/>
            <w:tcBorders>
              <w:top w:val="nil"/>
              <w:left w:val="nil"/>
              <w:bottom w:val="nil"/>
              <w:right w:val="nil"/>
            </w:tcBorders>
            <w:vAlign w:val="center"/>
          </w:tcPr>
          <w:p w14:paraId="33390FC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-0.0009</w:t>
            </w:r>
          </w:p>
        </w:tc>
      </w:tr>
      <w:tr w:rsidR="00996EE7" w:rsidRPr="00996EE7" w14:paraId="6EB7847E" w14:textId="77777777" w:rsidTr="008B602E">
        <w:trPr>
          <w:trHeight w:val="340"/>
          <w:jc w:val="center"/>
        </w:trPr>
        <w:tc>
          <w:tcPr>
            <w:tcW w:w="871" w:type="dxa"/>
            <w:tcBorders>
              <w:top w:val="nil"/>
              <w:left w:val="nil"/>
              <w:bottom w:val="nil"/>
              <w:right w:val="nil"/>
            </w:tcBorders>
            <w:vAlign w:val="center"/>
          </w:tcPr>
          <w:p w14:paraId="7D52BEE2"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Ha</w:t>
            </w:r>
          </w:p>
        </w:tc>
        <w:tc>
          <w:tcPr>
            <w:tcW w:w="1649" w:type="dxa"/>
            <w:tcBorders>
              <w:top w:val="nil"/>
              <w:left w:val="nil"/>
              <w:bottom w:val="nil"/>
              <w:right w:val="nil"/>
            </w:tcBorders>
            <w:vAlign w:val="center"/>
          </w:tcPr>
          <w:p w14:paraId="6A71D8E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049" w:type="dxa"/>
            <w:tcBorders>
              <w:top w:val="nil"/>
              <w:left w:val="nil"/>
              <w:bottom w:val="nil"/>
              <w:right w:val="nil"/>
            </w:tcBorders>
            <w:vAlign w:val="center"/>
          </w:tcPr>
          <w:p w14:paraId="2C9B69B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10.1189</w:t>
            </w:r>
          </w:p>
        </w:tc>
        <w:tc>
          <w:tcPr>
            <w:tcW w:w="1873" w:type="dxa"/>
            <w:tcBorders>
              <w:top w:val="nil"/>
              <w:left w:val="nil"/>
              <w:bottom w:val="nil"/>
              <w:right w:val="nil"/>
            </w:tcBorders>
            <w:vAlign w:val="center"/>
          </w:tcPr>
          <w:p w14:paraId="6134649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10.0926</w:t>
            </w:r>
          </w:p>
        </w:tc>
        <w:tc>
          <w:tcPr>
            <w:tcW w:w="1426" w:type="dxa"/>
            <w:tcBorders>
              <w:top w:val="nil"/>
              <w:left w:val="nil"/>
              <w:bottom w:val="nil"/>
              <w:right w:val="nil"/>
            </w:tcBorders>
            <w:vAlign w:val="center"/>
          </w:tcPr>
          <w:p w14:paraId="32046C32" w14:textId="77777777" w:rsidR="00996EE7" w:rsidRPr="00EA5AEB" w:rsidRDefault="00996EE7" w:rsidP="007D12E6">
            <w:pPr>
              <w:pStyle w:val="NormalWeb"/>
              <w:spacing w:before="60" w:beforeAutospacing="0" w:after="0" w:afterAutospacing="0" w:line="276" w:lineRule="auto"/>
              <w:jc w:val="center"/>
              <w:rPr>
                <w:sz w:val="20"/>
                <w:szCs w:val="20"/>
              </w:rPr>
            </w:pPr>
            <w:r w:rsidRPr="00EA5AEB">
              <w:rPr>
                <w:sz w:val="20"/>
                <w:szCs w:val="20"/>
              </w:rPr>
              <w:t>-0.0263</w:t>
            </w:r>
          </w:p>
        </w:tc>
      </w:tr>
      <w:tr w:rsidR="00996EE7" w:rsidRPr="00996EE7" w14:paraId="555FC3BD" w14:textId="77777777" w:rsidTr="008B602E">
        <w:trPr>
          <w:trHeight w:val="340"/>
          <w:jc w:val="center"/>
        </w:trPr>
        <w:tc>
          <w:tcPr>
            <w:tcW w:w="871" w:type="dxa"/>
            <w:tcBorders>
              <w:top w:val="nil"/>
              <w:left w:val="nil"/>
              <w:bottom w:val="nil"/>
              <w:right w:val="nil"/>
            </w:tcBorders>
            <w:vAlign w:val="center"/>
          </w:tcPr>
          <w:p w14:paraId="1162B6CF"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Hb</w:t>
            </w:r>
          </w:p>
        </w:tc>
        <w:tc>
          <w:tcPr>
            <w:tcW w:w="1649" w:type="dxa"/>
            <w:tcBorders>
              <w:top w:val="nil"/>
              <w:left w:val="nil"/>
              <w:bottom w:val="nil"/>
              <w:right w:val="nil"/>
            </w:tcBorders>
            <w:vAlign w:val="center"/>
          </w:tcPr>
          <w:p w14:paraId="130BDF5F"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049" w:type="dxa"/>
            <w:tcBorders>
              <w:top w:val="nil"/>
              <w:left w:val="nil"/>
              <w:bottom w:val="nil"/>
              <w:right w:val="nil"/>
            </w:tcBorders>
            <w:vAlign w:val="center"/>
          </w:tcPr>
          <w:p w14:paraId="4984ED84"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8.6835</w:t>
            </w:r>
          </w:p>
        </w:tc>
        <w:tc>
          <w:tcPr>
            <w:tcW w:w="1873" w:type="dxa"/>
            <w:tcBorders>
              <w:top w:val="nil"/>
              <w:left w:val="nil"/>
              <w:bottom w:val="nil"/>
              <w:right w:val="nil"/>
            </w:tcBorders>
            <w:vAlign w:val="center"/>
          </w:tcPr>
          <w:p w14:paraId="0B98CF07"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8.6936</w:t>
            </w:r>
          </w:p>
        </w:tc>
        <w:tc>
          <w:tcPr>
            <w:tcW w:w="1426" w:type="dxa"/>
            <w:tcBorders>
              <w:top w:val="nil"/>
              <w:left w:val="nil"/>
              <w:bottom w:val="nil"/>
              <w:right w:val="nil"/>
            </w:tcBorders>
            <w:vAlign w:val="center"/>
          </w:tcPr>
          <w:p w14:paraId="004AEC81"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+0.0106</w:t>
            </w:r>
          </w:p>
        </w:tc>
      </w:tr>
      <w:tr w:rsidR="00996EE7" w:rsidRPr="00996EE7" w14:paraId="46E26A5A" w14:textId="77777777" w:rsidTr="008B602E">
        <w:trPr>
          <w:trHeight w:val="340"/>
          <w:jc w:val="center"/>
        </w:trPr>
        <w:tc>
          <w:tcPr>
            <w:tcW w:w="871" w:type="dxa"/>
            <w:tcBorders>
              <w:top w:val="nil"/>
              <w:left w:val="nil"/>
              <w:bottom w:val="nil"/>
              <w:right w:val="nil"/>
            </w:tcBorders>
            <w:vAlign w:val="center"/>
          </w:tcPr>
          <w:p w14:paraId="55E51050"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Hc</w:t>
            </w:r>
          </w:p>
        </w:tc>
        <w:tc>
          <w:tcPr>
            <w:tcW w:w="1649" w:type="dxa"/>
            <w:tcBorders>
              <w:top w:val="nil"/>
              <w:left w:val="nil"/>
              <w:bottom w:val="nil"/>
              <w:right w:val="nil"/>
            </w:tcBorders>
            <w:vAlign w:val="center"/>
          </w:tcPr>
          <w:p w14:paraId="4FAFAF71"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049" w:type="dxa"/>
            <w:tcBorders>
              <w:top w:val="nil"/>
              <w:left w:val="nil"/>
              <w:bottom w:val="nil"/>
              <w:right w:val="nil"/>
            </w:tcBorders>
            <w:vAlign w:val="center"/>
          </w:tcPr>
          <w:p w14:paraId="21EA6ED9"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7.7079</w:t>
            </w:r>
          </w:p>
        </w:tc>
        <w:tc>
          <w:tcPr>
            <w:tcW w:w="1873" w:type="dxa"/>
            <w:tcBorders>
              <w:top w:val="nil"/>
              <w:left w:val="nil"/>
              <w:bottom w:val="nil"/>
              <w:right w:val="nil"/>
            </w:tcBorders>
            <w:vAlign w:val="center"/>
          </w:tcPr>
          <w:p w14:paraId="39AB4AC8"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7.7148</w:t>
            </w:r>
          </w:p>
        </w:tc>
        <w:tc>
          <w:tcPr>
            <w:tcW w:w="1426" w:type="dxa"/>
            <w:tcBorders>
              <w:top w:val="nil"/>
              <w:left w:val="nil"/>
              <w:bottom w:val="nil"/>
              <w:right w:val="nil"/>
            </w:tcBorders>
            <w:vAlign w:val="center"/>
          </w:tcPr>
          <w:p w14:paraId="7B60AD39"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+0.0069</w:t>
            </w:r>
          </w:p>
        </w:tc>
      </w:tr>
      <w:tr w:rsidR="00996EE7" w:rsidRPr="00996EE7" w14:paraId="3E87EA31" w14:textId="77777777" w:rsidTr="008B602E">
        <w:trPr>
          <w:trHeight w:val="340"/>
          <w:jc w:val="center"/>
        </w:trPr>
        <w:tc>
          <w:tcPr>
            <w:tcW w:w="871" w:type="dxa"/>
            <w:tcBorders>
              <w:top w:val="nil"/>
              <w:left w:val="nil"/>
              <w:bottom w:val="single" w:sz="4" w:space="0" w:color="auto"/>
              <w:right w:val="nil"/>
            </w:tcBorders>
            <w:vAlign w:val="center"/>
          </w:tcPr>
          <w:p w14:paraId="7716E844" w14:textId="77777777" w:rsidR="00996EE7" w:rsidRPr="00996EE7" w:rsidRDefault="00996EE7" w:rsidP="007D12E6">
            <w:pPr>
              <w:pStyle w:val="NormalWeb"/>
              <w:spacing w:before="60" w:beforeAutospacing="0" w:after="60" w:afterAutospacing="0" w:line="276" w:lineRule="auto"/>
              <w:jc w:val="left"/>
              <w:rPr>
                <w:sz w:val="20"/>
                <w:szCs w:val="20"/>
              </w:rPr>
            </w:pPr>
            <w:r w:rsidRPr="00996EE7">
              <w:rPr>
                <w:sz w:val="20"/>
                <w:szCs w:val="20"/>
              </w:rPr>
              <w:t>Hd</w:t>
            </w:r>
          </w:p>
        </w:tc>
        <w:tc>
          <w:tcPr>
            <w:tcW w:w="1649" w:type="dxa"/>
            <w:tcBorders>
              <w:top w:val="nil"/>
              <w:left w:val="nil"/>
              <w:bottom w:val="single" w:sz="4" w:space="0" w:color="auto"/>
              <w:right w:val="nil"/>
            </w:tcBorders>
            <w:vAlign w:val="center"/>
          </w:tcPr>
          <w:p w14:paraId="44D97648"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w:t>
            </w:r>
          </w:p>
        </w:tc>
        <w:tc>
          <w:tcPr>
            <w:tcW w:w="1049" w:type="dxa"/>
            <w:tcBorders>
              <w:top w:val="nil"/>
              <w:left w:val="nil"/>
              <w:bottom w:val="single" w:sz="4" w:space="0" w:color="auto"/>
              <w:right w:val="nil"/>
            </w:tcBorders>
            <w:vAlign w:val="center"/>
          </w:tcPr>
          <w:p w14:paraId="659B927A"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3.6381</w:t>
            </w:r>
          </w:p>
        </w:tc>
        <w:tc>
          <w:tcPr>
            <w:tcW w:w="1873" w:type="dxa"/>
            <w:tcBorders>
              <w:top w:val="nil"/>
              <w:left w:val="nil"/>
              <w:bottom w:val="single" w:sz="4" w:space="0" w:color="auto"/>
              <w:right w:val="nil"/>
            </w:tcBorders>
            <w:vAlign w:val="center"/>
          </w:tcPr>
          <w:p w14:paraId="1C4F48DC"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w:t>
            </w:r>
          </w:p>
        </w:tc>
        <w:tc>
          <w:tcPr>
            <w:tcW w:w="1426" w:type="dxa"/>
            <w:tcBorders>
              <w:top w:val="nil"/>
              <w:left w:val="nil"/>
              <w:bottom w:val="single" w:sz="4" w:space="0" w:color="auto"/>
              <w:right w:val="nil"/>
            </w:tcBorders>
            <w:vAlign w:val="center"/>
          </w:tcPr>
          <w:p w14:paraId="28AAE109"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w:t>
            </w:r>
          </w:p>
        </w:tc>
      </w:tr>
    </w:tbl>
    <w:p w14:paraId="7F301E0F" w14:textId="56EB456B" w:rsidR="00996EE7" w:rsidRPr="00475D0A" w:rsidRDefault="00996EE7" w:rsidP="00EA5AEB">
      <w:pPr>
        <w:spacing w:before="60" w:after="0"/>
        <w:jc w:val="both"/>
        <w:rPr>
          <w:rFonts w:ascii="Times New Roman" w:eastAsia="Calibri" w:hAnsi="Times New Roman"/>
          <w:sz w:val="18"/>
          <w:szCs w:val="18"/>
        </w:rPr>
      </w:pPr>
      <w:r w:rsidRPr="00996EE7">
        <w:rPr>
          <w:rFonts w:ascii="Times New Roman" w:eastAsia="Calibri" w:hAnsi="Times New Roman"/>
          <w:sz w:val="20"/>
          <w:szCs w:val="20"/>
        </w:rPr>
        <w:t xml:space="preserve">                      </w:t>
      </w:r>
      <w:r w:rsidR="00EA5AEB">
        <w:rPr>
          <w:rFonts w:ascii="Times New Roman" w:eastAsia="Calibri" w:hAnsi="Times New Roman"/>
          <w:sz w:val="20"/>
          <w:szCs w:val="20"/>
        </w:rPr>
        <w:t xml:space="preserve">   </w:t>
      </w:r>
      <w:r w:rsidRPr="00475D0A">
        <w:rPr>
          <w:rFonts w:ascii="Times New Roman" w:eastAsia="Calibri" w:hAnsi="Times New Roman"/>
          <w:sz w:val="18"/>
          <w:szCs w:val="18"/>
        </w:rPr>
        <w:t>*The bold values are referred to the highest induced shift for that proton</w:t>
      </w:r>
    </w:p>
    <w:p w14:paraId="73FE117E" w14:textId="577D4B19" w:rsidR="00996EE7" w:rsidRDefault="00996EE7" w:rsidP="00996EE7">
      <w:pPr>
        <w:spacing w:after="0"/>
        <w:jc w:val="both"/>
        <w:rPr>
          <w:rFonts w:ascii="Times New Roman" w:eastAsia="Calibri" w:hAnsi="Times New Roman"/>
          <w:sz w:val="20"/>
          <w:szCs w:val="20"/>
        </w:rPr>
      </w:pPr>
    </w:p>
    <w:p w14:paraId="7CB6EB2D" w14:textId="77777777" w:rsidR="007D12E6" w:rsidRPr="00996EE7" w:rsidRDefault="007D12E6" w:rsidP="00996EE7">
      <w:pPr>
        <w:spacing w:after="0"/>
        <w:jc w:val="both"/>
        <w:rPr>
          <w:rFonts w:ascii="Times New Roman" w:eastAsia="Calibri" w:hAnsi="Times New Roman"/>
          <w:sz w:val="20"/>
          <w:szCs w:val="20"/>
        </w:rPr>
      </w:pPr>
    </w:p>
    <w:p w14:paraId="74F20C47" w14:textId="77777777" w:rsidR="00996EE7" w:rsidRPr="00996EE7" w:rsidRDefault="00996EE7" w:rsidP="00EA5AEB">
      <w:pPr>
        <w:spacing w:after="120"/>
        <w:jc w:val="center"/>
        <w:outlineLvl w:val="0"/>
        <w:rPr>
          <w:rFonts w:ascii="Times New Roman" w:hAnsi="Times New Roman"/>
          <w:sz w:val="20"/>
          <w:szCs w:val="20"/>
        </w:rPr>
      </w:pPr>
      <w:r w:rsidRPr="00996EE7">
        <w:rPr>
          <w:rFonts w:ascii="Times New Roman" w:hAnsi="Times New Roman"/>
          <w:noProof/>
          <w:sz w:val="20"/>
          <w:szCs w:val="20"/>
        </w:rPr>
        <w:drawing>
          <wp:inline distT="0" distB="0" distL="0" distR="0" wp14:anchorId="1264910F" wp14:editId="371DAED6">
            <wp:extent cx="3118757" cy="1691272"/>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7413" cy="1706812"/>
                    </a:xfrm>
                    <a:prstGeom prst="rect">
                      <a:avLst/>
                    </a:prstGeom>
                    <a:noFill/>
                    <a:ln>
                      <a:noFill/>
                    </a:ln>
                  </pic:spPr>
                </pic:pic>
              </a:graphicData>
            </a:graphic>
          </wp:inline>
        </w:drawing>
      </w:r>
    </w:p>
    <w:p w14:paraId="04CDE33A" w14:textId="17DFCE98" w:rsidR="00996EE7" w:rsidRPr="00996EE7" w:rsidRDefault="00996EE7" w:rsidP="00EA5AEB">
      <w:pPr>
        <w:spacing w:after="0"/>
        <w:jc w:val="center"/>
        <w:rPr>
          <w:rFonts w:ascii="Times New Roman" w:hAnsi="Times New Roman"/>
          <w:sz w:val="20"/>
          <w:szCs w:val="20"/>
          <w:lang w:eastAsia="en-MY"/>
        </w:rPr>
      </w:pPr>
      <w:r w:rsidRPr="00996EE7">
        <w:rPr>
          <w:rFonts w:ascii="Times New Roman" w:hAnsi="Times New Roman"/>
          <w:sz w:val="20"/>
          <w:szCs w:val="20"/>
        </w:rPr>
        <w:t xml:space="preserve">Figure 4. </w:t>
      </w:r>
      <w:r w:rsidR="00EA5AEB">
        <w:rPr>
          <w:rFonts w:ascii="Times New Roman" w:hAnsi="Times New Roman"/>
          <w:sz w:val="20"/>
          <w:szCs w:val="20"/>
        </w:rPr>
        <w:t xml:space="preserve"> </w:t>
      </w:r>
      <w:r w:rsidRPr="00996EE7">
        <w:rPr>
          <w:rFonts w:ascii="Times New Roman" w:hAnsi="Times New Roman"/>
          <w:sz w:val="20"/>
          <w:szCs w:val="20"/>
        </w:rPr>
        <w:t>Structure of (a) β-CD and (b) isoniazid</w:t>
      </w:r>
    </w:p>
    <w:p w14:paraId="6992DD0B" w14:textId="00054B74" w:rsidR="00996EE7" w:rsidRDefault="00996EE7" w:rsidP="00996EE7">
      <w:pPr>
        <w:spacing w:after="0"/>
        <w:jc w:val="both"/>
        <w:outlineLvl w:val="0"/>
        <w:rPr>
          <w:rFonts w:ascii="Times New Roman" w:hAnsi="Times New Roman"/>
          <w:sz w:val="20"/>
          <w:szCs w:val="20"/>
        </w:rPr>
      </w:pPr>
    </w:p>
    <w:p w14:paraId="3AB6512B" w14:textId="77777777" w:rsidR="00475D0A" w:rsidRDefault="00475D0A" w:rsidP="00996EE7">
      <w:pPr>
        <w:spacing w:after="0"/>
        <w:jc w:val="both"/>
        <w:rPr>
          <w:rFonts w:ascii="Times New Roman" w:hAnsi="Times New Roman"/>
          <w:sz w:val="20"/>
          <w:szCs w:val="20"/>
        </w:rPr>
      </w:pPr>
    </w:p>
    <w:p w14:paraId="01CE1894" w14:textId="7F54B2E9" w:rsidR="00475D0A" w:rsidRDefault="00475D0A" w:rsidP="00996EE7">
      <w:pPr>
        <w:spacing w:after="0"/>
        <w:jc w:val="both"/>
        <w:rPr>
          <w:rFonts w:ascii="Times New Roman" w:hAnsi="Times New Roman"/>
          <w:b/>
          <w:bCs/>
          <w:sz w:val="20"/>
          <w:szCs w:val="20"/>
        </w:rPr>
        <w:sectPr w:rsidR="00475D0A" w:rsidSect="006267B4">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0"/>
          <w:cols w:space="708"/>
          <w:docGrid w:linePitch="360"/>
        </w:sectPr>
      </w:pPr>
    </w:p>
    <w:p w14:paraId="4236D8F2" w14:textId="798F1964" w:rsidR="00996EE7" w:rsidRPr="00996EE7" w:rsidRDefault="00996EE7" w:rsidP="00996EE7">
      <w:pPr>
        <w:spacing w:after="0"/>
        <w:jc w:val="both"/>
        <w:rPr>
          <w:rFonts w:ascii="Times New Roman" w:hAnsi="Times New Roman"/>
          <w:b/>
          <w:bCs/>
          <w:sz w:val="20"/>
          <w:szCs w:val="20"/>
          <w:lang w:eastAsia="en-MY"/>
        </w:rPr>
      </w:pPr>
      <w:r w:rsidRPr="00996EE7">
        <w:rPr>
          <w:rFonts w:ascii="Times New Roman" w:hAnsi="Times New Roman"/>
          <w:b/>
          <w:bCs/>
          <w:sz w:val="20"/>
          <w:szCs w:val="20"/>
        </w:rPr>
        <w:t>NOESY NMR</w:t>
      </w:r>
    </w:p>
    <w:p w14:paraId="4D2D8F9C" w14:textId="12BFE907" w:rsidR="00996EE7" w:rsidRDefault="00996EE7" w:rsidP="00996EE7">
      <w:pPr>
        <w:spacing w:after="0"/>
        <w:jc w:val="both"/>
        <w:rPr>
          <w:rFonts w:ascii="Times New Roman" w:hAnsi="Times New Roman"/>
          <w:sz w:val="20"/>
          <w:szCs w:val="20"/>
        </w:rPr>
      </w:pPr>
      <w:r w:rsidRPr="00996EE7">
        <w:rPr>
          <w:rFonts w:ascii="Times New Roman" w:hAnsi="Times New Roman"/>
          <w:sz w:val="20"/>
          <w:szCs w:val="20"/>
        </w:rPr>
        <w:t xml:space="preserve">The possible orientation of the isoniazid in the cavity of β-CD was obtained from </w:t>
      </w:r>
      <w:r w:rsidRPr="00996EE7">
        <w:rPr>
          <w:rFonts w:ascii="Times New Roman" w:hAnsi="Times New Roman"/>
          <w:sz w:val="20"/>
          <w:szCs w:val="20"/>
          <w:vertAlign w:val="superscript"/>
        </w:rPr>
        <w:t>1</w:t>
      </w:r>
      <w:r w:rsidRPr="00996EE7">
        <w:rPr>
          <w:rFonts w:ascii="Times New Roman" w:hAnsi="Times New Roman"/>
          <w:sz w:val="20"/>
          <w:szCs w:val="20"/>
        </w:rPr>
        <w:t xml:space="preserve">H NMR analysis. However, that obtained orientation was not definitive. The previous result was strongly supported by applying the NOESY NMR experiment to examine the configuration of isoniazid in the β-CD cavity by providing the geometry for the inclusion compound. The </w:t>
      </w:r>
      <w:r w:rsidRPr="00996EE7">
        <w:rPr>
          <w:rFonts w:ascii="Times New Roman" w:eastAsia="Calibri" w:hAnsi="Times New Roman"/>
          <w:sz w:val="20"/>
          <w:szCs w:val="20"/>
        </w:rPr>
        <w:t xml:space="preserve">NOESY </w:t>
      </w:r>
      <w:r w:rsidRPr="00996EE7">
        <w:rPr>
          <w:rFonts w:ascii="Times New Roman" w:hAnsi="Times New Roman"/>
          <w:sz w:val="20"/>
          <w:szCs w:val="20"/>
        </w:rPr>
        <w:t xml:space="preserve">NMR spectra provided some significant spatial connection information between the host and guest molecules by observing intermolecular dipolar complex interactions. Figure 5 showed the contour plot of the </w:t>
      </w:r>
      <w:r w:rsidRPr="00996EE7">
        <w:rPr>
          <w:rFonts w:ascii="Times New Roman" w:hAnsi="Times New Roman"/>
          <w:sz w:val="20"/>
          <w:szCs w:val="20"/>
        </w:rPr>
        <w:t xml:space="preserve">NOESY spectrum at a section (9-10 ppm and 3-4 ppm) for the β-CD/isoniazid complex. From the figure, the cross peak was found between Ha and H3, H5 protons of isoniazid, and β-CD, respectively. By combining the information from </w:t>
      </w:r>
      <w:r w:rsidRPr="00996EE7">
        <w:rPr>
          <w:rFonts w:ascii="Times New Roman" w:hAnsi="Times New Roman"/>
          <w:sz w:val="20"/>
          <w:szCs w:val="20"/>
          <w:vertAlign w:val="superscript"/>
        </w:rPr>
        <w:t>1</w:t>
      </w:r>
      <w:r w:rsidRPr="00996EE7">
        <w:rPr>
          <w:rFonts w:ascii="Times New Roman" w:hAnsi="Times New Roman"/>
          <w:sz w:val="20"/>
          <w:szCs w:val="20"/>
        </w:rPr>
        <w:t>H NMR, a conclusion can be drawn that hydrazide moiety of isoniazid was penetrated the cavity of β-CD and forming the inclusion complex through hydrophobic interaction.</w:t>
      </w:r>
    </w:p>
    <w:p w14:paraId="675B6278" w14:textId="37DD86E3" w:rsidR="003267E6" w:rsidRDefault="003267E6" w:rsidP="00996EE7">
      <w:pPr>
        <w:spacing w:after="0"/>
        <w:jc w:val="both"/>
        <w:rPr>
          <w:rFonts w:ascii="Times New Roman" w:hAnsi="Times New Roman"/>
          <w:sz w:val="20"/>
          <w:szCs w:val="20"/>
        </w:rPr>
      </w:pPr>
    </w:p>
    <w:p w14:paraId="488C7E84" w14:textId="50DE75CE" w:rsidR="003267E6" w:rsidRDefault="003267E6" w:rsidP="00996EE7">
      <w:pPr>
        <w:spacing w:after="0"/>
        <w:jc w:val="both"/>
        <w:rPr>
          <w:rFonts w:ascii="Times New Roman" w:hAnsi="Times New Roman"/>
          <w:sz w:val="20"/>
          <w:szCs w:val="20"/>
        </w:rPr>
      </w:pPr>
    </w:p>
    <w:p w14:paraId="015A303D" w14:textId="77777777" w:rsidR="003267E6" w:rsidRPr="00996EE7" w:rsidRDefault="003267E6" w:rsidP="00996EE7">
      <w:pPr>
        <w:spacing w:after="0"/>
        <w:jc w:val="both"/>
        <w:rPr>
          <w:rFonts w:ascii="Times New Roman" w:hAnsi="Times New Roman"/>
          <w:sz w:val="20"/>
          <w:szCs w:val="20"/>
        </w:rPr>
      </w:pPr>
    </w:p>
    <w:p w14:paraId="5F0C5AE5" w14:textId="77777777" w:rsidR="007D12E6" w:rsidRPr="00996EE7" w:rsidRDefault="007D12E6" w:rsidP="007D12E6">
      <w:pPr>
        <w:spacing w:after="0"/>
        <w:jc w:val="both"/>
        <w:rPr>
          <w:rFonts w:ascii="Times New Roman" w:hAnsi="Times New Roman"/>
          <w:b/>
          <w:bCs/>
          <w:sz w:val="20"/>
          <w:szCs w:val="20"/>
          <w:lang w:eastAsia="en-MY"/>
        </w:rPr>
      </w:pPr>
      <w:r w:rsidRPr="00996EE7">
        <w:rPr>
          <w:rFonts w:ascii="Times New Roman" w:hAnsi="Times New Roman"/>
          <w:b/>
          <w:bCs/>
          <w:sz w:val="20"/>
          <w:szCs w:val="20"/>
          <w:lang w:eastAsia="en-MY"/>
        </w:rPr>
        <w:lastRenderedPageBreak/>
        <w:t xml:space="preserve">Interaction between Isoniazid and </w:t>
      </w:r>
      <w:r w:rsidRPr="00996EE7">
        <w:rPr>
          <w:rFonts w:ascii="Times New Roman" w:hAnsi="Times New Roman"/>
          <w:b/>
          <w:bCs/>
          <w:sz w:val="20"/>
          <w:szCs w:val="20"/>
        </w:rPr>
        <w:t>β-CD in aqueous medium</w:t>
      </w:r>
      <w:r w:rsidRPr="00996EE7">
        <w:rPr>
          <w:rFonts w:ascii="Times New Roman" w:hAnsi="Times New Roman"/>
          <w:b/>
          <w:bCs/>
          <w:sz w:val="20"/>
          <w:szCs w:val="20"/>
          <w:lang w:eastAsia="en-MY"/>
        </w:rPr>
        <w:t>: UV-Vis</w:t>
      </w:r>
    </w:p>
    <w:p w14:paraId="7807ECEA" w14:textId="77777777" w:rsidR="007D12E6" w:rsidRPr="00996EE7" w:rsidRDefault="007D12E6" w:rsidP="007D12E6">
      <w:pPr>
        <w:spacing w:after="0"/>
        <w:jc w:val="both"/>
        <w:rPr>
          <w:rFonts w:ascii="Times New Roman" w:hAnsi="Times New Roman"/>
          <w:sz w:val="20"/>
          <w:szCs w:val="20"/>
        </w:rPr>
      </w:pPr>
      <w:r w:rsidRPr="00996EE7">
        <w:rPr>
          <w:rFonts w:ascii="Times New Roman" w:hAnsi="Times New Roman"/>
          <w:sz w:val="20"/>
          <w:szCs w:val="20"/>
        </w:rPr>
        <w:t>The extent of interaction between the β-CD and isoniazid was measured by UV-Vis absorbance through the determination of its stoichiometric ratios and the formation constants in an aqueous medium. Figure 6 showed the absorbances of isoniazid (0.01mM), β-CD (0.003M), and the inclusion complex of β-CD/isoniazid. The absorption band of isoniazid obtained a maximum peak at 262 nm, meanwhile, β-CD showed no absorbance due to</w:t>
      </w:r>
      <w:r w:rsidRPr="00996EE7">
        <w:rPr>
          <w:rFonts w:ascii="Times New Roman" w:eastAsia="Calibri" w:hAnsi="Times New Roman"/>
          <w:sz w:val="20"/>
          <w:szCs w:val="20"/>
        </w:rPr>
        <w:t xml:space="preserve"> the absence of any π-electrons or non-bonding electrons [21].</w:t>
      </w:r>
      <w:r w:rsidRPr="00996EE7">
        <w:rPr>
          <w:rFonts w:ascii="Times New Roman" w:hAnsi="Times New Roman"/>
          <w:sz w:val="20"/>
          <w:szCs w:val="20"/>
        </w:rPr>
        <w:t xml:space="preserve"> Upon the addition of isoniazid with β-CD, the absorption band of β-CD/isoniazid exhibited slightly blue-shifted to a shorter wavelength at 261 nm. The absorbance of β-CD/isoniazid complex also underwent the hyperchromic effect, increasing the value of absorbance. The effect was due to the presence of hydrogen bonding and hydrophobic interaction [22] between the β-CD and isoniazid.  Figure 7 showed the absorbance intensity increased by increasing the β-CD concentrations in the acidic, basic, and natural condition (neutral pH). The spectra band at maximum peak indicated an increase of intensity due to the increases of molar absorptivity of isoniazid. This finding proved that the solubility of isoniazid was enhanced with the β-CD addition. The result revealed that the drug solubility is increased with the function of β-CD concentrations. It should be mentioned that the pH changes do not significantly affect the solubility of isoniazid. According to the literature, isoniazid has at least two acid values (pKa</w:t>
      </w:r>
      <w:r w:rsidRPr="00996EE7">
        <w:rPr>
          <w:rFonts w:ascii="Times New Roman" w:hAnsi="Times New Roman"/>
          <w:sz w:val="20"/>
          <w:szCs w:val="20"/>
          <w:vertAlign w:val="subscript"/>
        </w:rPr>
        <w:t>1</w:t>
      </w:r>
      <w:r w:rsidRPr="00996EE7">
        <w:rPr>
          <w:rFonts w:ascii="Times New Roman" w:hAnsi="Times New Roman"/>
          <w:sz w:val="20"/>
          <w:szCs w:val="20"/>
        </w:rPr>
        <w:t>= 3.53, pKa</w:t>
      </w:r>
      <w:r w:rsidRPr="00996EE7">
        <w:rPr>
          <w:rFonts w:ascii="Times New Roman" w:hAnsi="Times New Roman"/>
          <w:sz w:val="20"/>
          <w:szCs w:val="20"/>
          <w:vertAlign w:val="subscript"/>
        </w:rPr>
        <w:t>2</w:t>
      </w:r>
      <w:r w:rsidRPr="00996EE7">
        <w:rPr>
          <w:rFonts w:ascii="Times New Roman" w:hAnsi="Times New Roman"/>
          <w:sz w:val="20"/>
          <w:szCs w:val="20"/>
        </w:rPr>
        <w:t xml:space="preserve"> = 11.40) [23]. In this regard, the </w:t>
      </w:r>
      <w:r w:rsidRPr="00996EE7">
        <w:rPr>
          <w:rFonts w:ascii="Times New Roman" w:hAnsi="Times New Roman"/>
          <w:sz w:val="20"/>
          <w:szCs w:val="20"/>
        </w:rPr>
        <w:t>molecule can be in three possible forms: acidic cation, neutral unionized species and basic anion depending on the pH values. In the range of pH-values from 5 to 9, isoniazid has an uncharged molecular form and able to enter the cavity of β-CD and forming the inclusion complex.</w:t>
      </w:r>
    </w:p>
    <w:p w14:paraId="6318B229" w14:textId="77777777" w:rsidR="007D12E6" w:rsidRPr="00996EE7" w:rsidRDefault="007D12E6" w:rsidP="007D12E6">
      <w:pPr>
        <w:spacing w:after="0"/>
        <w:jc w:val="both"/>
        <w:rPr>
          <w:rFonts w:ascii="Times New Roman" w:hAnsi="Times New Roman"/>
          <w:sz w:val="20"/>
          <w:szCs w:val="20"/>
        </w:rPr>
      </w:pPr>
    </w:p>
    <w:p w14:paraId="4577B120" w14:textId="77777777" w:rsidR="007D12E6" w:rsidRPr="00996EE7" w:rsidRDefault="007D12E6" w:rsidP="007D12E6">
      <w:pPr>
        <w:spacing w:after="0"/>
        <w:jc w:val="both"/>
        <w:rPr>
          <w:rFonts w:ascii="Times New Roman" w:hAnsi="Times New Roman"/>
          <w:sz w:val="20"/>
          <w:szCs w:val="20"/>
        </w:rPr>
      </w:pPr>
      <w:r w:rsidRPr="00996EE7">
        <w:rPr>
          <w:rFonts w:ascii="Times New Roman" w:hAnsi="Times New Roman"/>
          <w:sz w:val="20"/>
          <w:szCs w:val="20"/>
        </w:rPr>
        <w:t xml:space="preserve">Benesi-Hildebrand method is commonly conducted to analyze stoichiometry and equilibrium constants of nonbonded interactions [24]. </w:t>
      </w:r>
      <w:r w:rsidRPr="00996EE7">
        <w:rPr>
          <w:rFonts w:ascii="Times New Roman" w:eastAsia="SimSun" w:hAnsi="Times New Roman"/>
          <w:sz w:val="20"/>
          <w:szCs w:val="20"/>
        </w:rPr>
        <w:t xml:space="preserve">Figure 8 showed the reciprocal plots to determine the stoichiometry ratio and formation constant of the inclusion complex in the </w:t>
      </w:r>
      <w:r w:rsidRPr="00996EE7">
        <w:rPr>
          <w:rFonts w:ascii="Times New Roman" w:hAnsi="Times New Roman"/>
          <w:sz w:val="20"/>
          <w:szCs w:val="20"/>
        </w:rPr>
        <w:t>natural, acidic and basic conditions.</w:t>
      </w:r>
      <w:r w:rsidRPr="00996EE7">
        <w:rPr>
          <w:rFonts w:ascii="Times New Roman" w:hAnsi="Times New Roman"/>
          <w:b/>
          <w:bCs/>
          <w:sz w:val="20"/>
          <w:szCs w:val="20"/>
        </w:rPr>
        <w:t xml:space="preserve"> </w:t>
      </w:r>
      <w:r w:rsidRPr="00996EE7">
        <w:rPr>
          <w:rFonts w:ascii="Times New Roman" w:hAnsi="Times New Roman"/>
          <w:sz w:val="20"/>
          <w:szCs w:val="20"/>
        </w:rPr>
        <w:t>Referring to the R</w:t>
      </w:r>
      <w:r w:rsidRPr="00996EE7">
        <w:rPr>
          <w:rFonts w:ascii="Times New Roman" w:hAnsi="Times New Roman"/>
          <w:sz w:val="20"/>
          <w:szCs w:val="20"/>
          <w:vertAlign w:val="superscript"/>
        </w:rPr>
        <w:t>2</w:t>
      </w:r>
      <w:r w:rsidRPr="00996EE7">
        <w:rPr>
          <w:rFonts w:ascii="Times New Roman" w:hAnsi="Times New Roman"/>
          <w:sz w:val="20"/>
          <w:szCs w:val="20"/>
        </w:rPr>
        <w:t xml:space="preserve"> (close to 1) values from the reciprocal plots in Figure 8, the stoichiometry ratios for the inclusion complex formation at the natural condition was 1:2, whereas 1:1 at acidic and basic conditions were obtained. The formation constant of complex at the natural, acidic, and basic conditions are shown in Table 2. The complex of β-CD/isoniazid in the different conditions exhibited different binding intensity, thus resulting in different values of formation constant. The highest formation constant in the natural condition might be due to strong interactivity between the 1:2 ratio of β-CD and isoniazid. However, in the acidic and basic conditions, the formation constant showed insignificant values. It revealed that the pH values influenced the binding strength between β-CD and isoniazid. This is because the selectivity of inclusion is associated with certain species of isoniazid.</w:t>
      </w:r>
    </w:p>
    <w:p w14:paraId="1DE77A41" w14:textId="77C6ED82" w:rsidR="007D12E6" w:rsidRDefault="007D12E6" w:rsidP="00996EE7">
      <w:pPr>
        <w:spacing w:after="0"/>
        <w:jc w:val="both"/>
        <w:rPr>
          <w:rFonts w:ascii="Times New Roman" w:hAnsi="Times New Roman"/>
          <w:sz w:val="20"/>
          <w:szCs w:val="20"/>
        </w:rPr>
        <w:sectPr w:rsidR="007D12E6" w:rsidSect="007D12E6">
          <w:headerReference w:type="even" r:id="rId28"/>
          <w:headerReference w:type="default" r:id="rId29"/>
          <w:footerReference w:type="even" r:id="rId30"/>
          <w:headerReference w:type="first" r:id="rId31"/>
          <w:type w:val="continuous"/>
          <w:pgSz w:w="12240" w:h="15840" w:code="1"/>
          <w:pgMar w:top="1800" w:right="1469" w:bottom="1699" w:left="1440" w:header="706" w:footer="706" w:gutter="0"/>
          <w:pgNumType w:start="0"/>
          <w:cols w:num="2" w:space="403"/>
          <w:docGrid w:linePitch="360"/>
        </w:sectPr>
      </w:pPr>
    </w:p>
    <w:p w14:paraId="4E240862" w14:textId="77777777" w:rsidR="007D12E6" w:rsidRPr="00996EE7" w:rsidRDefault="007D12E6" w:rsidP="00996EE7">
      <w:pPr>
        <w:spacing w:after="0"/>
        <w:jc w:val="both"/>
        <w:rPr>
          <w:rFonts w:ascii="Times New Roman" w:hAnsi="Times New Roman"/>
          <w:sz w:val="20"/>
          <w:szCs w:val="20"/>
        </w:rPr>
      </w:pPr>
    </w:p>
    <w:p w14:paraId="439FB360" w14:textId="5AC0822E" w:rsidR="00996EE7" w:rsidRPr="00996EE7" w:rsidRDefault="007D12E6" w:rsidP="00EA5AEB">
      <w:pPr>
        <w:spacing w:after="120"/>
        <w:jc w:val="center"/>
        <w:outlineLvl w:val="0"/>
        <w:rPr>
          <w:rFonts w:ascii="Times New Roman" w:hAnsi="Times New Roman"/>
          <w:sz w:val="20"/>
          <w:szCs w:val="20"/>
        </w:rPr>
      </w:pPr>
      <w:r w:rsidRPr="00996EE7">
        <w:rPr>
          <w:rFonts w:ascii="Times New Roman" w:hAnsi="Times New Roman"/>
          <w:noProof/>
          <w:sz w:val="20"/>
          <w:szCs w:val="20"/>
        </w:rPr>
        <w:drawing>
          <wp:inline distT="0" distB="0" distL="0" distR="0" wp14:anchorId="264F0A3C" wp14:editId="6E40330C">
            <wp:extent cx="3154680" cy="2148840"/>
            <wp:effectExtent l="19050" t="19050" r="26670" b="228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54680" cy="2148840"/>
                    </a:xfrm>
                    <a:prstGeom prst="rect">
                      <a:avLst/>
                    </a:prstGeom>
                    <a:noFill/>
                    <a:ln w="6350">
                      <a:solidFill>
                        <a:schemeClr val="tx1"/>
                      </a:solidFill>
                    </a:ln>
                  </pic:spPr>
                </pic:pic>
              </a:graphicData>
            </a:graphic>
          </wp:inline>
        </w:drawing>
      </w:r>
    </w:p>
    <w:p w14:paraId="60B13FBE" w14:textId="3872D8B2" w:rsidR="00996EE7" w:rsidRPr="00996EE7" w:rsidRDefault="00996EE7" w:rsidP="00EA5AEB">
      <w:pPr>
        <w:spacing w:after="0"/>
        <w:jc w:val="center"/>
        <w:rPr>
          <w:rFonts w:ascii="Times New Roman" w:hAnsi="Times New Roman"/>
          <w:sz w:val="20"/>
          <w:szCs w:val="20"/>
          <w:lang w:eastAsia="en-MY"/>
        </w:rPr>
      </w:pPr>
      <w:r w:rsidRPr="00996EE7">
        <w:rPr>
          <w:rFonts w:ascii="Times New Roman" w:hAnsi="Times New Roman"/>
          <w:sz w:val="20"/>
          <w:szCs w:val="20"/>
        </w:rPr>
        <w:t xml:space="preserve">Figure 5. </w:t>
      </w:r>
      <w:r w:rsidR="00EA5AEB">
        <w:rPr>
          <w:rFonts w:ascii="Times New Roman" w:hAnsi="Times New Roman"/>
          <w:sz w:val="20"/>
          <w:szCs w:val="20"/>
        </w:rPr>
        <w:t xml:space="preserve"> </w:t>
      </w:r>
      <w:r w:rsidRPr="00996EE7">
        <w:rPr>
          <w:rFonts w:ascii="Times New Roman" w:hAnsi="Times New Roman"/>
          <w:sz w:val="20"/>
          <w:szCs w:val="20"/>
        </w:rPr>
        <w:t>NOESY NMR of β-CD/isoniazid</w:t>
      </w:r>
    </w:p>
    <w:p w14:paraId="6A4ADB9E" w14:textId="12A7AD99" w:rsidR="00EA5AEB" w:rsidRDefault="00EA5AEB" w:rsidP="00F90A5E">
      <w:pPr>
        <w:tabs>
          <w:tab w:val="left" w:pos="900"/>
        </w:tabs>
        <w:spacing w:after="0"/>
        <w:jc w:val="both"/>
        <w:rPr>
          <w:rFonts w:ascii="Times New Roman" w:hAnsi="Times New Roman"/>
          <w:b/>
          <w:bCs/>
          <w:sz w:val="20"/>
          <w:szCs w:val="20"/>
          <w:lang w:eastAsia="en-MY"/>
        </w:rPr>
      </w:pPr>
    </w:p>
    <w:p w14:paraId="45BB8080" w14:textId="77777777" w:rsidR="00CD7562" w:rsidRPr="00F90A5E" w:rsidRDefault="00CD7562" w:rsidP="00F90A5E">
      <w:pPr>
        <w:tabs>
          <w:tab w:val="left" w:pos="900"/>
        </w:tabs>
        <w:spacing w:after="0"/>
        <w:jc w:val="both"/>
        <w:rPr>
          <w:rFonts w:ascii="Times New Roman" w:hAnsi="Times New Roman"/>
          <w:b/>
          <w:bCs/>
          <w:sz w:val="20"/>
          <w:szCs w:val="20"/>
          <w:lang w:eastAsia="en-MY"/>
        </w:rPr>
      </w:pPr>
    </w:p>
    <w:p w14:paraId="79311B24" w14:textId="77777777" w:rsidR="00996EE7" w:rsidRPr="00996EE7" w:rsidRDefault="00996EE7" w:rsidP="00EA5AEB">
      <w:pPr>
        <w:spacing w:after="120"/>
        <w:jc w:val="center"/>
        <w:rPr>
          <w:rFonts w:ascii="Times New Roman" w:hAnsi="Times New Roman"/>
          <w:sz w:val="20"/>
          <w:szCs w:val="20"/>
          <w:lang w:eastAsia="en-MY"/>
        </w:rPr>
      </w:pPr>
      <w:r w:rsidRPr="00996EE7">
        <w:rPr>
          <w:rFonts w:ascii="Times New Roman" w:hAnsi="Times New Roman"/>
          <w:noProof/>
          <w:sz w:val="20"/>
          <w:szCs w:val="20"/>
        </w:rPr>
        <w:drawing>
          <wp:inline distT="0" distB="0" distL="0" distR="0" wp14:anchorId="0B5BDB95" wp14:editId="5E03A49D">
            <wp:extent cx="3209782" cy="2389414"/>
            <wp:effectExtent l="19050" t="19050" r="101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55129" cy="2423171"/>
                    </a:xfrm>
                    <a:prstGeom prst="rect">
                      <a:avLst/>
                    </a:prstGeom>
                    <a:noFill/>
                    <a:ln w="6350">
                      <a:solidFill>
                        <a:schemeClr val="tx1"/>
                      </a:solidFill>
                    </a:ln>
                  </pic:spPr>
                </pic:pic>
              </a:graphicData>
            </a:graphic>
          </wp:inline>
        </w:drawing>
      </w:r>
    </w:p>
    <w:p w14:paraId="74FA993B" w14:textId="1457EAC8" w:rsidR="00EA5AEB" w:rsidRDefault="00996EE7" w:rsidP="007D12E6">
      <w:pPr>
        <w:spacing w:after="0"/>
        <w:jc w:val="center"/>
        <w:rPr>
          <w:rFonts w:ascii="Times New Roman" w:eastAsia="SimSun" w:hAnsi="Times New Roman"/>
          <w:sz w:val="20"/>
          <w:szCs w:val="20"/>
        </w:rPr>
      </w:pPr>
      <w:r w:rsidRPr="00996EE7">
        <w:rPr>
          <w:rFonts w:ascii="Times New Roman" w:hAnsi="Times New Roman"/>
          <w:sz w:val="20"/>
          <w:szCs w:val="20"/>
        </w:rPr>
        <w:t xml:space="preserve">Figure 6. </w:t>
      </w:r>
      <w:r w:rsidR="00EA5AEB">
        <w:rPr>
          <w:rFonts w:ascii="Times New Roman" w:hAnsi="Times New Roman"/>
          <w:sz w:val="20"/>
          <w:szCs w:val="20"/>
        </w:rPr>
        <w:t xml:space="preserve"> </w:t>
      </w:r>
      <w:r w:rsidRPr="00996EE7">
        <w:rPr>
          <w:rFonts w:ascii="Times New Roman" w:hAnsi="Times New Roman"/>
          <w:sz w:val="20"/>
          <w:szCs w:val="20"/>
        </w:rPr>
        <w:t xml:space="preserve">Absorption spectra of (a) </w:t>
      </w:r>
      <w:r w:rsidRPr="00996EE7">
        <w:rPr>
          <w:rFonts w:ascii="Times New Roman" w:eastAsia="SimSun" w:hAnsi="Times New Roman"/>
          <w:sz w:val="20"/>
          <w:szCs w:val="20"/>
        </w:rPr>
        <w:t>β-CD/isoniazid complex,</w:t>
      </w:r>
      <w:r w:rsidRPr="00996EE7">
        <w:rPr>
          <w:rFonts w:ascii="Times New Roman" w:hAnsi="Times New Roman"/>
          <w:sz w:val="20"/>
          <w:szCs w:val="20"/>
        </w:rPr>
        <w:t xml:space="preserve"> (b)</w:t>
      </w:r>
      <w:r w:rsidRPr="00996EE7">
        <w:rPr>
          <w:rFonts w:ascii="Times New Roman" w:eastAsia="SimSun" w:hAnsi="Times New Roman"/>
          <w:sz w:val="20"/>
          <w:szCs w:val="20"/>
        </w:rPr>
        <w:t xml:space="preserve"> </w:t>
      </w:r>
      <w:r w:rsidRPr="00996EE7">
        <w:rPr>
          <w:rFonts w:ascii="Times New Roman" w:hAnsi="Times New Roman"/>
          <w:sz w:val="20"/>
          <w:szCs w:val="20"/>
        </w:rPr>
        <w:t>isoniazid</w:t>
      </w:r>
      <w:r w:rsidRPr="00996EE7">
        <w:rPr>
          <w:rFonts w:ascii="Times New Roman" w:eastAsia="SimSun" w:hAnsi="Times New Roman"/>
          <w:sz w:val="20"/>
          <w:szCs w:val="20"/>
        </w:rPr>
        <w:t xml:space="preserve"> and (c) β-CD</w:t>
      </w:r>
    </w:p>
    <w:p w14:paraId="0BD6AD16" w14:textId="45BAE1D5" w:rsidR="00F90A5E" w:rsidRDefault="00F90A5E" w:rsidP="007D12E6">
      <w:pPr>
        <w:spacing w:after="0"/>
        <w:jc w:val="center"/>
        <w:rPr>
          <w:rFonts w:ascii="Times New Roman" w:eastAsia="SimSun" w:hAnsi="Times New Roman"/>
          <w:sz w:val="20"/>
          <w:szCs w:val="20"/>
        </w:rPr>
      </w:pPr>
    </w:p>
    <w:p w14:paraId="2D76951A" w14:textId="77777777" w:rsidR="00F90A5E" w:rsidRDefault="00F90A5E" w:rsidP="007D12E6">
      <w:pPr>
        <w:spacing w:after="0"/>
        <w:jc w:val="center"/>
        <w:rPr>
          <w:rFonts w:ascii="Times New Roman" w:eastAsia="SimSun" w:hAnsi="Times New Roman"/>
          <w:sz w:val="20"/>
          <w:szCs w:val="20"/>
        </w:rPr>
      </w:pPr>
    </w:p>
    <w:p w14:paraId="7F1CB8F5" w14:textId="380D5404" w:rsidR="00996EE7" w:rsidRPr="00996EE7" w:rsidRDefault="00996EE7" w:rsidP="00EA5AEB">
      <w:pPr>
        <w:spacing w:after="0"/>
        <w:jc w:val="both"/>
        <w:outlineLvl w:val="0"/>
        <w:rPr>
          <w:rFonts w:ascii="Times New Roman" w:hAnsi="Times New Roman"/>
          <w:sz w:val="20"/>
          <w:szCs w:val="20"/>
        </w:rPr>
      </w:pPr>
      <w:r w:rsidRPr="00996EE7">
        <w:rPr>
          <w:rFonts w:ascii="Times New Roman" w:hAnsi="Times New Roman"/>
          <w:noProof/>
          <w:sz w:val="20"/>
          <w:szCs w:val="20"/>
        </w:rPr>
        <w:drawing>
          <wp:anchor distT="0" distB="0" distL="114300" distR="114300" simplePos="0" relativeHeight="251659776" behindDoc="0" locked="0" layoutInCell="1" allowOverlap="1" wp14:anchorId="4CCF11CC" wp14:editId="3EEA9521">
            <wp:simplePos x="0" y="0"/>
            <wp:positionH relativeFrom="column">
              <wp:posOffset>0</wp:posOffset>
            </wp:positionH>
            <wp:positionV relativeFrom="paragraph">
              <wp:posOffset>773</wp:posOffset>
            </wp:positionV>
            <wp:extent cx="5731510" cy="2191385"/>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09368" w14:textId="63876192" w:rsidR="00996EE7" w:rsidRDefault="00996EE7" w:rsidP="00996EE7">
      <w:pPr>
        <w:spacing w:after="0"/>
        <w:ind w:left="851" w:hanging="851"/>
        <w:jc w:val="both"/>
        <w:rPr>
          <w:rFonts w:ascii="Times New Roman" w:eastAsia="SimSun" w:hAnsi="Times New Roman"/>
          <w:sz w:val="20"/>
          <w:szCs w:val="20"/>
        </w:rPr>
      </w:pPr>
      <w:r w:rsidRPr="00996EE7">
        <w:rPr>
          <w:rFonts w:ascii="Times New Roman" w:hAnsi="Times New Roman"/>
          <w:sz w:val="20"/>
          <w:szCs w:val="20"/>
        </w:rPr>
        <w:t xml:space="preserve">Figure 7. </w:t>
      </w:r>
      <w:r w:rsidR="00EA5AEB">
        <w:rPr>
          <w:rFonts w:ascii="Times New Roman" w:hAnsi="Times New Roman"/>
          <w:sz w:val="20"/>
          <w:szCs w:val="20"/>
        </w:rPr>
        <w:t xml:space="preserve">  </w:t>
      </w:r>
      <w:r w:rsidRPr="00996EE7">
        <w:rPr>
          <w:rFonts w:ascii="Times New Roman" w:eastAsia="SimSun" w:hAnsi="Times New Roman"/>
          <w:sz w:val="20"/>
          <w:szCs w:val="20"/>
        </w:rPr>
        <w:t>Absorption spectra of isoniazid with increasing concentration of β-CD for (a) pH 4, (b) pH 9 and (c) natural condition</w:t>
      </w:r>
    </w:p>
    <w:p w14:paraId="5BB712B3" w14:textId="1955561D" w:rsidR="00EA5AEB" w:rsidRDefault="00EA5AEB" w:rsidP="00996EE7">
      <w:pPr>
        <w:spacing w:after="0"/>
        <w:ind w:left="851" w:hanging="851"/>
        <w:jc w:val="both"/>
        <w:rPr>
          <w:rFonts w:ascii="Times New Roman" w:eastAsia="SimSun" w:hAnsi="Times New Roman"/>
          <w:sz w:val="20"/>
          <w:szCs w:val="20"/>
        </w:rPr>
      </w:pPr>
    </w:p>
    <w:p w14:paraId="79D55E63" w14:textId="77777777" w:rsidR="00EA5AEB" w:rsidRPr="00996EE7" w:rsidRDefault="00EA5AEB" w:rsidP="00996EE7">
      <w:pPr>
        <w:spacing w:after="0"/>
        <w:ind w:left="851" w:hanging="851"/>
        <w:jc w:val="both"/>
        <w:rPr>
          <w:rFonts w:ascii="Times New Roman" w:eastAsia="SimSun" w:hAnsi="Times New Roman"/>
          <w:sz w:val="20"/>
          <w:szCs w:val="20"/>
        </w:rPr>
      </w:pPr>
    </w:p>
    <w:p w14:paraId="5064283C" w14:textId="09930397" w:rsidR="00996EE7" w:rsidRPr="00EA5AEB" w:rsidRDefault="00996EE7" w:rsidP="00EA5AEB">
      <w:pPr>
        <w:spacing w:after="120"/>
        <w:jc w:val="both"/>
        <w:rPr>
          <w:rFonts w:ascii="Times New Roman" w:hAnsi="Times New Roman"/>
          <w:sz w:val="20"/>
          <w:szCs w:val="20"/>
          <w:lang w:eastAsia="en-MY"/>
        </w:rPr>
      </w:pPr>
      <w:r w:rsidRPr="00996EE7">
        <w:rPr>
          <w:rFonts w:ascii="Times New Roman" w:hAnsi="Times New Roman"/>
          <w:noProof/>
          <w:sz w:val="20"/>
          <w:szCs w:val="20"/>
        </w:rPr>
        <w:lastRenderedPageBreak/>
        <w:drawing>
          <wp:inline distT="0" distB="0" distL="0" distR="0" wp14:anchorId="4867DA8B" wp14:editId="5337F23E">
            <wp:extent cx="5506455" cy="360000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06455" cy="3600000"/>
                    </a:xfrm>
                    <a:prstGeom prst="rect">
                      <a:avLst/>
                    </a:prstGeom>
                    <a:noFill/>
                    <a:ln>
                      <a:noFill/>
                    </a:ln>
                  </pic:spPr>
                </pic:pic>
              </a:graphicData>
            </a:graphic>
          </wp:inline>
        </w:drawing>
      </w:r>
    </w:p>
    <w:p w14:paraId="2D6864E2" w14:textId="08A96B2A" w:rsidR="00996EE7" w:rsidRPr="00996EE7" w:rsidRDefault="00996EE7" w:rsidP="00996EE7">
      <w:pPr>
        <w:spacing w:after="0"/>
        <w:ind w:left="851" w:hanging="851"/>
        <w:jc w:val="both"/>
        <w:rPr>
          <w:rFonts w:ascii="Times New Roman" w:hAnsi="Times New Roman"/>
          <w:sz w:val="20"/>
          <w:szCs w:val="20"/>
        </w:rPr>
      </w:pPr>
      <w:r w:rsidRPr="00996EE7">
        <w:rPr>
          <w:rFonts w:ascii="Times New Roman" w:eastAsia="SimSun" w:hAnsi="Times New Roman"/>
          <w:sz w:val="20"/>
          <w:szCs w:val="20"/>
        </w:rPr>
        <w:t xml:space="preserve">Figure 8. </w:t>
      </w:r>
      <w:r w:rsidR="00EA5AEB">
        <w:rPr>
          <w:rFonts w:ascii="Times New Roman" w:eastAsia="SimSun" w:hAnsi="Times New Roman"/>
          <w:sz w:val="20"/>
          <w:szCs w:val="20"/>
        </w:rPr>
        <w:tab/>
      </w:r>
      <w:r w:rsidRPr="00996EE7">
        <w:rPr>
          <w:rFonts w:ascii="Times New Roman" w:eastAsia="SimSun" w:hAnsi="Times New Roman"/>
          <w:sz w:val="20"/>
          <w:szCs w:val="20"/>
        </w:rPr>
        <w:t xml:space="preserve">The reciprocal plots of (a)  </w:t>
      </w:r>
      <m:oMath>
        <m:f>
          <m:fPr>
            <m:ctrlPr>
              <w:rPr>
                <w:rFonts w:ascii="Cambria Math" w:eastAsia="SimSun" w:hAnsi="Cambria Math"/>
                <w:i/>
                <w:sz w:val="20"/>
                <w:szCs w:val="20"/>
              </w:rPr>
            </m:ctrlPr>
          </m:fPr>
          <m:num>
            <m:r>
              <w:rPr>
                <w:rFonts w:ascii="Cambria Math" w:eastAsia="SimSun" w:hAnsi="Cambria Math"/>
                <w:sz w:val="20"/>
                <w:szCs w:val="20"/>
              </w:rPr>
              <m:t>1</m:t>
            </m:r>
          </m:num>
          <m:den>
            <m:r>
              <w:rPr>
                <w:rFonts w:ascii="Cambria Math" w:eastAsia="SimSun" w:hAnsi="Cambria Math"/>
                <w:sz w:val="20"/>
                <w:szCs w:val="20"/>
              </w:rPr>
              <m:t>A</m:t>
            </m:r>
          </m:den>
        </m:f>
      </m:oMath>
      <w:r w:rsidRPr="00996EE7">
        <w:rPr>
          <w:rFonts w:ascii="Times New Roman" w:hAnsi="Times New Roman"/>
          <w:sz w:val="20"/>
          <w:szCs w:val="20"/>
        </w:rPr>
        <w:t xml:space="preserve"> against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[β-CD]</m:t>
            </m:r>
          </m:den>
        </m:f>
      </m:oMath>
      <w:r w:rsidRPr="00996EE7">
        <w:rPr>
          <w:rFonts w:ascii="Times New Roman" w:hAnsi="Times New Roman"/>
          <w:sz w:val="20"/>
          <w:szCs w:val="20"/>
        </w:rPr>
        <w:t xml:space="preserve">  and (b) </w:t>
      </w:r>
      <m:oMath>
        <m:f>
          <m:fPr>
            <m:ctrlPr>
              <w:rPr>
                <w:rFonts w:ascii="Cambria Math" w:eastAsia="SimSun" w:hAnsi="Cambria Math"/>
                <w:i/>
                <w:sz w:val="20"/>
                <w:szCs w:val="20"/>
              </w:rPr>
            </m:ctrlPr>
          </m:fPr>
          <m:num>
            <m:r>
              <w:rPr>
                <w:rFonts w:ascii="Cambria Math" w:eastAsia="SimSun" w:hAnsi="Cambria Math"/>
                <w:sz w:val="20"/>
                <w:szCs w:val="20"/>
              </w:rPr>
              <m:t>1</m:t>
            </m:r>
          </m:num>
          <m:den>
            <m:r>
              <w:rPr>
                <w:rFonts w:ascii="Cambria Math" w:eastAsia="SimSun" w:hAnsi="Cambria Math"/>
                <w:sz w:val="20"/>
                <w:szCs w:val="20"/>
              </w:rPr>
              <m:t>A</m:t>
            </m:r>
          </m:den>
        </m:f>
      </m:oMath>
      <w:r w:rsidRPr="00996EE7">
        <w:rPr>
          <w:rFonts w:ascii="Times New Roman" w:eastAsia="SimSun" w:hAnsi="Times New Roman"/>
          <w:sz w:val="20"/>
          <w:szCs w:val="20"/>
        </w:rPr>
        <w:t xml:space="preserve">  </w:t>
      </w:r>
      <w:r w:rsidRPr="00996EE7">
        <w:rPr>
          <w:rFonts w:ascii="Times New Roman" w:hAnsi="Times New Roman"/>
          <w:sz w:val="20"/>
          <w:szCs w:val="20"/>
        </w:rPr>
        <w:t xml:space="preserve">against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[β-CD</m:t>
            </m:r>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den>
        </m:f>
      </m:oMath>
      <w:r w:rsidRPr="00996EE7">
        <w:rPr>
          <w:rFonts w:ascii="Times New Roman" w:hAnsi="Times New Roman"/>
          <w:sz w:val="20"/>
          <w:szCs w:val="20"/>
        </w:rPr>
        <w:t xml:space="preserve"> at i) natural condition, ii) pH 4 and iii) pH 9 </w:t>
      </w:r>
    </w:p>
    <w:p w14:paraId="18F2F8D6" w14:textId="3942CF6D" w:rsidR="00996EE7" w:rsidRDefault="00996EE7" w:rsidP="00996EE7">
      <w:pPr>
        <w:spacing w:after="0"/>
        <w:jc w:val="both"/>
        <w:rPr>
          <w:rFonts w:ascii="Times New Roman" w:hAnsi="Times New Roman"/>
          <w:sz w:val="20"/>
          <w:szCs w:val="20"/>
          <w:lang w:eastAsia="en-MY"/>
        </w:rPr>
      </w:pPr>
    </w:p>
    <w:p w14:paraId="531C5F4A" w14:textId="77777777" w:rsidR="00F90A5E" w:rsidRPr="00996EE7" w:rsidRDefault="00F90A5E" w:rsidP="00996EE7">
      <w:pPr>
        <w:spacing w:after="0"/>
        <w:jc w:val="both"/>
        <w:rPr>
          <w:rFonts w:ascii="Times New Roman" w:hAnsi="Times New Roman"/>
          <w:sz w:val="20"/>
          <w:szCs w:val="20"/>
          <w:lang w:eastAsia="en-MY"/>
        </w:rPr>
      </w:pPr>
    </w:p>
    <w:p w14:paraId="3C40EF34" w14:textId="6680D770" w:rsidR="00996EE7" w:rsidRPr="00996EE7" w:rsidRDefault="00996EE7" w:rsidP="00EA5AEB">
      <w:pPr>
        <w:spacing w:after="120"/>
        <w:jc w:val="center"/>
        <w:rPr>
          <w:rFonts w:ascii="Times New Roman" w:hAnsi="Times New Roman"/>
          <w:sz w:val="20"/>
          <w:szCs w:val="20"/>
          <w:lang w:eastAsia="en-MY"/>
        </w:rPr>
      </w:pPr>
      <w:r w:rsidRPr="00996EE7">
        <w:rPr>
          <w:rFonts w:ascii="Times New Roman" w:eastAsia="SimSun" w:hAnsi="Times New Roman"/>
          <w:sz w:val="20"/>
          <w:szCs w:val="20"/>
        </w:rPr>
        <w:t xml:space="preserve">Table 2. </w:t>
      </w:r>
      <w:r w:rsidR="00EA5AEB">
        <w:rPr>
          <w:rFonts w:ascii="Times New Roman" w:eastAsia="SimSun" w:hAnsi="Times New Roman"/>
          <w:sz w:val="20"/>
          <w:szCs w:val="20"/>
        </w:rPr>
        <w:t xml:space="preserve"> </w:t>
      </w:r>
      <w:r w:rsidRPr="00996EE7">
        <w:rPr>
          <w:rFonts w:ascii="Times New Roman" w:eastAsia="SimSun" w:hAnsi="Times New Roman"/>
          <w:sz w:val="20"/>
          <w:szCs w:val="20"/>
        </w:rPr>
        <w:t>Formation constant (K) values for β-CD/isoniazid at various condition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0"/>
        <w:gridCol w:w="3150"/>
      </w:tblGrid>
      <w:tr w:rsidR="00996EE7" w:rsidRPr="00996EE7" w14:paraId="3CF87E5C" w14:textId="77777777" w:rsidTr="00EA5AEB">
        <w:trPr>
          <w:trHeight w:val="91"/>
          <w:jc w:val="center"/>
        </w:trPr>
        <w:tc>
          <w:tcPr>
            <w:tcW w:w="1950" w:type="dxa"/>
            <w:tcBorders>
              <w:top w:val="single" w:sz="4" w:space="0" w:color="auto"/>
              <w:left w:val="nil"/>
              <w:bottom w:val="single" w:sz="4" w:space="0" w:color="auto"/>
              <w:right w:val="nil"/>
            </w:tcBorders>
          </w:tcPr>
          <w:p w14:paraId="22255FFB" w14:textId="77777777" w:rsidR="00996EE7" w:rsidRPr="00996EE7" w:rsidRDefault="00996EE7" w:rsidP="00EA5AEB">
            <w:pPr>
              <w:widowControl/>
              <w:spacing w:before="60" w:after="60"/>
              <w:jc w:val="left"/>
              <w:rPr>
                <w:b/>
                <w:bCs/>
                <w:sz w:val="20"/>
                <w:szCs w:val="20"/>
                <w:lang w:val="en-MY" w:eastAsia="en-MY"/>
              </w:rPr>
            </w:pPr>
            <w:r w:rsidRPr="00996EE7">
              <w:rPr>
                <w:b/>
                <w:bCs/>
                <w:sz w:val="20"/>
                <w:szCs w:val="20"/>
                <w:lang w:val="en-MY"/>
              </w:rPr>
              <w:t>pH</w:t>
            </w:r>
          </w:p>
        </w:tc>
        <w:tc>
          <w:tcPr>
            <w:tcW w:w="3150" w:type="dxa"/>
            <w:tcBorders>
              <w:top w:val="single" w:sz="4" w:space="0" w:color="auto"/>
              <w:left w:val="nil"/>
              <w:bottom w:val="single" w:sz="4" w:space="0" w:color="auto"/>
              <w:right w:val="nil"/>
            </w:tcBorders>
          </w:tcPr>
          <w:p w14:paraId="0EDFDB9B" w14:textId="77777777" w:rsidR="00996EE7" w:rsidRPr="00996EE7" w:rsidRDefault="00996EE7" w:rsidP="00EA5AEB">
            <w:pPr>
              <w:widowControl/>
              <w:spacing w:before="60" w:after="60"/>
              <w:jc w:val="center"/>
              <w:rPr>
                <w:b/>
                <w:bCs/>
                <w:sz w:val="20"/>
                <w:szCs w:val="20"/>
                <w:lang w:val="en-MY"/>
              </w:rPr>
            </w:pPr>
            <w:r w:rsidRPr="00996EE7">
              <w:rPr>
                <w:b/>
                <w:bCs/>
                <w:sz w:val="20"/>
                <w:szCs w:val="20"/>
                <w:lang w:val="en-MY"/>
              </w:rPr>
              <w:t>Formation Constant, K</w:t>
            </w:r>
          </w:p>
        </w:tc>
      </w:tr>
      <w:tr w:rsidR="00996EE7" w:rsidRPr="00996EE7" w14:paraId="337247C9" w14:textId="77777777" w:rsidTr="00EA5AEB">
        <w:trPr>
          <w:trHeight w:val="60"/>
          <w:jc w:val="center"/>
        </w:trPr>
        <w:tc>
          <w:tcPr>
            <w:tcW w:w="1950" w:type="dxa"/>
            <w:tcBorders>
              <w:top w:val="single" w:sz="4" w:space="0" w:color="auto"/>
              <w:left w:val="nil"/>
              <w:bottom w:val="nil"/>
              <w:right w:val="nil"/>
            </w:tcBorders>
          </w:tcPr>
          <w:p w14:paraId="241459FA" w14:textId="77777777" w:rsidR="00996EE7" w:rsidRPr="00996EE7" w:rsidRDefault="00996EE7" w:rsidP="00EA5AEB">
            <w:pPr>
              <w:spacing w:before="60" w:after="0"/>
              <w:jc w:val="left"/>
              <w:rPr>
                <w:sz w:val="20"/>
                <w:szCs w:val="20"/>
                <w:lang w:val="en-MY"/>
              </w:rPr>
            </w:pPr>
            <w:r w:rsidRPr="00996EE7">
              <w:rPr>
                <w:sz w:val="20"/>
                <w:szCs w:val="20"/>
                <w:lang w:val="en-MY"/>
              </w:rPr>
              <w:t>Natural condition</w:t>
            </w:r>
          </w:p>
        </w:tc>
        <w:tc>
          <w:tcPr>
            <w:tcW w:w="3150" w:type="dxa"/>
            <w:tcBorders>
              <w:top w:val="single" w:sz="4" w:space="0" w:color="auto"/>
              <w:left w:val="nil"/>
              <w:bottom w:val="nil"/>
              <w:right w:val="nil"/>
            </w:tcBorders>
          </w:tcPr>
          <w:p w14:paraId="3BCC9B65" w14:textId="77777777" w:rsidR="00996EE7" w:rsidRPr="00996EE7" w:rsidRDefault="00996EE7" w:rsidP="00EA5AEB">
            <w:pPr>
              <w:spacing w:before="60" w:after="0"/>
              <w:jc w:val="center"/>
              <w:rPr>
                <w:sz w:val="20"/>
                <w:szCs w:val="20"/>
                <w:lang w:val="en-MY"/>
              </w:rPr>
            </w:pPr>
            <w:r w:rsidRPr="00996EE7">
              <w:rPr>
                <w:sz w:val="20"/>
                <w:szCs w:val="20"/>
                <w:lang w:val="en-MY"/>
              </w:rPr>
              <w:t>25000</w:t>
            </w:r>
          </w:p>
        </w:tc>
      </w:tr>
      <w:tr w:rsidR="00996EE7" w:rsidRPr="00996EE7" w14:paraId="1E9B4B1F" w14:textId="77777777" w:rsidTr="008B602E">
        <w:trPr>
          <w:trHeight w:val="70"/>
          <w:jc w:val="center"/>
        </w:trPr>
        <w:tc>
          <w:tcPr>
            <w:tcW w:w="1950" w:type="dxa"/>
            <w:tcBorders>
              <w:top w:val="nil"/>
              <w:left w:val="nil"/>
              <w:bottom w:val="nil"/>
              <w:right w:val="nil"/>
            </w:tcBorders>
          </w:tcPr>
          <w:p w14:paraId="4238B88B" w14:textId="77777777" w:rsidR="00996EE7" w:rsidRPr="00996EE7" w:rsidRDefault="00996EE7" w:rsidP="00EA5AEB">
            <w:pPr>
              <w:widowControl/>
              <w:spacing w:before="60" w:after="0"/>
              <w:jc w:val="left"/>
              <w:rPr>
                <w:sz w:val="20"/>
                <w:szCs w:val="20"/>
                <w:lang w:val="en-MY"/>
              </w:rPr>
            </w:pPr>
            <w:r w:rsidRPr="00996EE7">
              <w:rPr>
                <w:sz w:val="20"/>
                <w:szCs w:val="20"/>
                <w:lang w:val="en-MY"/>
              </w:rPr>
              <w:t>4</w:t>
            </w:r>
          </w:p>
        </w:tc>
        <w:tc>
          <w:tcPr>
            <w:tcW w:w="3150" w:type="dxa"/>
            <w:tcBorders>
              <w:top w:val="nil"/>
              <w:left w:val="nil"/>
              <w:bottom w:val="nil"/>
              <w:right w:val="nil"/>
            </w:tcBorders>
          </w:tcPr>
          <w:p w14:paraId="150C9420" w14:textId="77777777" w:rsidR="00996EE7" w:rsidRPr="00996EE7" w:rsidRDefault="00996EE7" w:rsidP="00EA5AEB">
            <w:pPr>
              <w:widowControl/>
              <w:spacing w:before="60" w:after="0"/>
              <w:jc w:val="center"/>
              <w:rPr>
                <w:sz w:val="20"/>
                <w:szCs w:val="20"/>
                <w:lang w:val="en-MY"/>
              </w:rPr>
            </w:pPr>
            <w:r w:rsidRPr="00996EE7">
              <w:rPr>
                <w:sz w:val="20"/>
                <w:szCs w:val="20"/>
                <w:lang w:val="en-MY"/>
              </w:rPr>
              <w:t>17.15</w:t>
            </w:r>
          </w:p>
        </w:tc>
      </w:tr>
      <w:tr w:rsidR="00996EE7" w:rsidRPr="00996EE7" w14:paraId="22F560CE" w14:textId="77777777" w:rsidTr="008B602E">
        <w:trPr>
          <w:trHeight w:val="70"/>
          <w:jc w:val="center"/>
        </w:trPr>
        <w:tc>
          <w:tcPr>
            <w:tcW w:w="1950" w:type="dxa"/>
            <w:tcBorders>
              <w:top w:val="nil"/>
              <w:left w:val="nil"/>
              <w:bottom w:val="single" w:sz="4" w:space="0" w:color="auto"/>
              <w:right w:val="nil"/>
            </w:tcBorders>
          </w:tcPr>
          <w:p w14:paraId="469DA047" w14:textId="77777777" w:rsidR="00996EE7" w:rsidRPr="00996EE7" w:rsidRDefault="00996EE7" w:rsidP="006267B4">
            <w:pPr>
              <w:widowControl/>
              <w:spacing w:before="60" w:after="60"/>
              <w:jc w:val="left"/>
              <w:rPr>
                <w:sz w:val="20"/>
                <w:szCs w:val="20"/>
                <w:lang w:val="en-MY"/>
              </w:rPr>
            </w:pPr>
            <w:r w:rsidRPr="00996EE7">
              <w:rPr>
                <w:sz w:val="20"/>
                <w:szCs w:val="20"/>
                <w:lang w:val="en-MY"/>
              </w:rPr>
              <w:t>9</w:t>
            </w:r>
          </w:p>
        </w:tc>
        <w:tc>
          <w:tcPr>
            <w:tcW w:w="3150" w:type="dxa"/>
            <w:tcBorders>
              <w:top w:val="nil"/>
              <w:left w:val="nil"/>
              <w:bottom w:val="single" w:sz="4" w:space="0" w:color="auto"/>
              <w:right w:val="nil"/>
            </w:tcBorders>
          </w:tcPr>
          <w:p w14:paraId="281AB097" w14:textId="77777777" w:rsidR="00996EE7" w:rsidRPr="00996EE7" w:rsidRDefault="00996EE7" w:rsidP="006267B4">
            <w:pPr>
              <w:widowControl/>
              <w:spacing w:before="60" w:after="60"/>
              <w:jc w:val="center"/>
              <w:rPr>
                <w:sz w:val="20"/>
                <w:szCs w:val="20"/>
                <w:lang w:val="en-MY"/>
              </w:rPr>
            </w:pPr>
            <w:r w:rsidRPr="00996EE7">
              <w:rPr>
                <w:sz w:val="20"/>
                <w:szCs w:val="20"/>
                <w:lang w:val="en-MY"/>
              </w:rPr>
              <w:t>9.86</w:t>
            </w:r>
          </w:p>
        </w:tc>
      </w:tr>
    </w:tbl>
    <w:p w14:paraId="3A8F9168" w14:textId="77777777" w:rsidR="00996EE7" w:rsidRPr="00996EE7" w:rsidRDefault="00996EE7" w:rsidP="006267B4">
      <w:pPr>
        <w:jc w:val="center"/>
        <w:outlineLvl w:val="0"/>
        <w:rPr>
          <w:rFonts w:ascii="Times New Roman" w:hAnsi="Times New Roman"/>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5CD2768" w14:textId="77777777" w:rsidR="00F90A5E" w:rsidRDefault="00F90A5E" w:rsidP="00510BA6">
      <w:pPr>
        <w:spacing w:after="0"/>
        <w:jc w:val="center"/>
        <w:rPr>
          <w:rFonts w:ascii="Times New Roman" w:hAnsi="Times New Roman"/>
          <w:b/>
          <w:noProof/>
          <w:sz w:val="20"/>
          <w:szCs w:val="20"/>
          <w:lang w:bidi="ar-SA"/>
        </w:rPr>
        <w:sectPr w:rsidR="00F90A5E" w:rsidSect="006267B4">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space="708"/>
          <w:docGrid w:linePitch="360"/>
        </w:sectPr>
      </w:pPr>
    </w:p>
    <w:p w14:paraId="183D362C" w14:textId="028079C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3BD86890" w14:textId="77777777" w:rsidR="006267B4" w:rsidRPr="006267B4" w:rsidRDefault="006267B4" w:rsidP="006267B4">
      <w:pPr>
        <w:spacing w:after="0"/>
        <w:jc w:val="both"/>
        <w:rPr>
          <w:rFonts w:ascii="Times New Roman" w:eastAsia="Calibri" w:hAnsi="Times New Roman"/>
          <w:sz w:val="20"/>
          <w:szCs w:val="20"/>
        </w:rPr>
      </w:pPr>
      <w:r w:rsidRPr="006267B4">
        <w:rPr>
          <w:rFonts w:ascii="Times New Roman" w:eastAsia="Calibri" w:hAnsi="Times New Roman"/>
          <w:sz w:val="20"/>
          <w:szCs w:val="20"/>
        </w:rPr>
        <w:t xml:space="preserve">In the present study, we have confirmed that the isoniazid is successfully complexed with β-CD using the kneading method. The inclusion complex was verified using FT-IR, TGA, and NMR. The present result exhibited that the isoniazid was partially entrapped into the β-CD cavity. The β-CD/isoniazid complex performed with 1:1 host-guest interaction at the acidic and basic conditions with a detectable formation constant of 17.15 and 9.86, respectively. However, the </w:t>
      </w:r>
      <w:r w:rsidRPr="006267B4">
        <w:rPr>
          <w:rFonts w:ascii="Times New Roman" w:eastAsia="Calibri" w:hAnsi="Times New Roman"/>
          <w:sz w:val="20"/>
          <w:szCs w:val="20"/>
        </w:rPr>
        <w:t xml:space="preserve">β-CD/isoniazid complex performed 1:2 host-guest interaction at the natural condition with a detectable formation constant of 25000 calculated from the Benesi-Hildebrand equation. </w:t>
      </w:r>
      <w:r w:rsidRPr="006267B4">
        <w:rPr>
          <w:rFonts w:ascii="Times New Roman" w:hAnsi="Times New Roman"/>
          <w:sz w:val="20"/>
          <w:szCs w:val="20"/>
        </w:rPr>
        <w:t>Currently, we are investigating the possibility of this complex for future applications.</w:t>
      </w:r>
    </w:p>
    <w:p w14:paraId="7830382C" w14:textId="77777777" w:rsidR="006267B4" w:rsidRPr="006267B4" w:rsidRDefault="006267B4" w:rsidP="006267B4">
      <w:pPr>
        <w:spacing w:after="0"/>
        <w:rPr>
          <w:sz w:val="20"/>
          <w:szCs w:val="20"/>
          <w:lang w:eastAsia="en-MY"/>
        </w:rPr>
      </w:pPr>
    </w:p>
    <w:p w14:paraId="6CE7E458" w14:textId="77777777" w:rsidR="006267B4" w:rsidRPr="006267B4" w:rsidRDefault="006267B4" w:rsidP="006267B4">
      <w:pPr>
        <w:spacing w:after="0"/>
        <w:jc w:val="center"/>
        <w:outlineLvl w:val="0"/>
        <w:rPr>
          <w:rFonts w:ascii="Times New Roman" w:hAnsi="Times New Roman"/>
          <w:b/>
          <w:sz w:val="20"/>
          <w:szCs w:val="20"/>
        </w:rPr>
      </w:pPr>
      <w:r w:rsidRPr="006267B4">
        <w:rPr>
          <w:rFonts w:ascii="Times New Roman" w:hAnsi="Times New Roman"/>
          <w:b/>
          <w:sz w:val="20"/>
          <w:szCs w:val="20"/>
        </w:rPr>
        <w:t>Acknowledgement</w:t>
      </w:r>
    </w:p>
    <w:p w14:paraId="5D215AFF" w14:textId="13BE509F" w:rsidR="006768E9" w:rsidRDefault="006267B4" w:rsidP="006267B4">
      <w:pPr>
        <w:shd w:val="clear" w:color="auto" w:fill="FFFFFF"/>
        <w:spacing w:after="0"/>
        <w:jc w:val="both"/>
        <w:rPr>
          <w:rFonts w:ascii="Times New Roman" w:hAnsi="Times New Roman"/>
          <w:sz w:val="20"/>
          <w:szCs w:val="20"/>
        </w:rPr>
      </w:pPr>
      <w:r w:rsidRPr="006267B4">
        <w:rPr>
          <w:rFonts w:ascii="Times New Roman" w:hAnsi="Times New Roman"/>
          <w:sz w:val="20"/>
          <w:szCs w:val="20"/>
        </w:rPr>
        <w:t xml:space="preserve">The work was supported by Ministry of Higher Education for FRGS Grant (203.PKIMIA.6711641) and Universiti Sains Malaysia for the Short-Term Grant </w:t>
      </w:r>
      <w:r w:rsidRPr="006267B4">
        <w:rPr>
          <w:rFonts w:ascii="Times New Roman" w:hAnsi="Times New Roman"/>
          <w:sz w:val="20"/>
          <w:szCs w:val="20"/>
        </w:rPr>
        <w:lastRenderedPageBreak/>
        <w:t>(304/PKimia/6315106). Authors would like to thank Nur Hidayah Sazali (Universiti Sains Malaysia) for assisting analyze TGA samples.</w:t>
      </w:r>
    </w:p>
    <w:p w14:paraId="07279B23" w14:textId="77777777" w:rsidR="00F90A5E" w:rsidRDefault="00F90A5E" w:rsidP="006267B4">
      <w:pPr>
        <w:shd w:val="clear" w:color="auto" w:fill="FFFFFF"/>
        <w:spacing w:after="0"/>
        <w:jc w:val="both"/>
        <w:rPr>
          <w:rFonts w:ascii="Times New Roman" w:hAnsi="Times New Roman"/>
          <w:sz w:val="20"/>
          <w:szCs w:val="20"/>
        </w:rPr>
      </w:pPr>
    </w:p>
    <w:p w14:paraId="1D312B6F" w14:textId="77777777" w:rsidR="00F90A5E" w:rsidRPr="00510BA6" w:rsidRDefault="00F90A5E" w:rsidP="00F90A5E">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25C140D"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rPr>
        <w:t xml:space="preserve">Teixeira, M. G., de Assis, J. V., Soares, C. G., Venâncio, M. F., Lopes, J. F., Nascimento Jr, C. S., </w:t>
      </w:r>
      <w:r w:rsidRPr="006267B4">
        <w:rPr>
          <w:rFonts w:ascii="Times New Roman" w:hAnsi="Times New Roman"/>
          <w:sz w:val="20"/>
          <w:szCs w:val="20"/>
          <w:lang w:val="en-MY" w:eastAsia="en-MY"/>
        </w:rPr>
        <w:t xml:space="preserve">Anconi, C.P., Carvalho, G.S., Lourenço, C.S., de Almeida, M.V. and </w:t>
      </w:r>
      <w:r w:rsidRPr="006267B4">
        <w:rPr>
          <w:rFonts w:ascii="Times New Roman" w:hAnsi="Times New Roman"/>
          <w:sz w:val="20"/>
          <w:szCs w:val="20"/>
        </w:rPr>
        <w:t xml:space="preserve">Fernandes, S. A. (2014). Theoretical and experimental study of inclusion complexes formed by isoniazid and modified β-cyclodextrins: </w:t>
      </w:r>
      <w:r w:rsidRPr="006267B4">
        <w:rPr>
          <w:rFonts w:ascii="Times New Roman" w:hAnsi="Times New Roman"/>
          <w:sz w:val="20"/>
          <w:szCs w:val="20"/>
          <w:vertAlign w:val="superscript"/>
        </w:rPr>
        <w:t>1</w:t>
      </w:r>
      <w:r w:rsidRPr="006267B4">
        <w:rPr>
          <w:rFonts w:ascii="Times New Roman" w:hAnsi="Times New Roman"/>
          <w:sz w:val="20"/>
          <w:szCs w:val="20"/>
        </w:rPr>
        <w:t xml:space="preserve">H NMR structural determination and antibacterial activity evaluation. </w:t>
      </w:r>
      <w:r w:rsidRPr="006267B4">
        <w:rPr>
          <w:rFonts w:ascii="Times New Roman" w:hAnsi="Times New Roman"/>
          <w:i/>
          <w:iCs/>
          <w:sz w:val="20"/>
          <w:szCs w:val="20"/>
        </w:rPr>
        <w:t>The Journal of Physical Chemistry B</w:t>
      </w:r>
      <w:r w:rsidRPr="006267B4">
        <w:rPr>
          <w:rFonts w:ascii="Times New Roman" w:hAnsi="Times New Roman"/>
          <w:sz w:val="20"/>
          <w:szCs w:val="20"/>
        </w:rPr>
        <w:t>, 118(1): 81-93.</w:t>
      </w:r>
    </w:p>
    <w:p w14:paraId="2179D83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de Assis, J. V., Teixeira, M. G., Soares, C. G., Lopes, J. F., Carvalho, G. S., Lourenço, M. C., De Almeida, M.V., de Almeida, W. B. and Fernandes, S. A. (2012). Experimental and theoretical NMR determination of isoniazid and sodium p-sulfonatocalix[n]arenes inclusion complexes. </w:t>
      </w:r>
      <w:r w:rsidRPr="006267B4">
        <w:rPr>
          <w:rFonts w:ascii="Times New Roman" w:hAnsi="Times New Roman"/>
          <w:i/>
          <w:iCs/>
          <w:sz w:val="20"/>
          <w:szCs w:val="20"/>
          <w:lang w:val="en-MY" w:eastAsia="en-MY"/>
        </w:rPr>
        <w:t>European Journal of Pharmaceutical Sciences</w:t>
      </w:r>
      <w:r w:rsidRPr="006267B4">
        <w:rPr>
          <w:rFonts w:ascii="Times New Roman" w:hAnsi="Times New Roman"/>
          <w:sz w:val="20"/>
          <w:szCs w:val="20"/>
          <w:lang w:val="en-MY" w:eastAsia="en-MY"/>
        </w:rPr>
        <w:t>, 47(3): 539-548.</w:t>
      </w:r>
    </w:p>
    <w:p w14:paraId="5A68973D"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Braegelman, A. S. and Webber, M. J. (2019). Integrating stimuli-responsive properties in host-guest supramolecular drug delivery systems. </w:t>
      </w:r>
      <w:r w:rsidRPr="006267B4">
        <w:rPr>
          <w:rFonts w:ascii="Times New Roman" w:hAnsi="Times New Roman"/>
          <w:i/>
          <w:iCs/>
          <w:sz w:val="20"/>
          <w:szCs w:val="20"/>
          <w:lang w:val="en-MY" w:eastAsia="en-MY"/>
        </w:rPr>
        <w:t>Theranostics</w:t>
      </w:r>
      <w:r w:rsidRPr="006267B4">
        <w:rPr>
          <w:rFonts w:ascii="Times New Roman" w:hAnsi="Times New Roman"/>
          <w:sz w:val="20"/>
          <w:szCs w:val="20"/>
          <w:lang w:val="en-MY" w:eastAsia="en-MY"/>
        </w:rPr>
        <w:t>, 9(11): 3017.</w:t>
      </w:r>
    </w:p>
    <w:p w14:paraId="797EE72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Eldehna, W. M., Fares, M., Abdel-aziz, M. M. and Abdel-aziz, H. A. (2015). Design, synthesis and antitubercular activity of certain nicotinic acid hydrazides. </w:t>
      </w:r>
      <w:r w:rsidRPr="006267B4">
        <w:rPr>
          <w:rFonts w:ascii="Times New Roman" w:hAnsi="Times New Roman"/>
          <w:i/>
          <w:iCs/>
          <w:noProof/>
          <w:sz w:val="20"/>
          <w:szCs w:val="20"/>
        </w:rPr>
        <w:t xml:space="preserve">Molecules, </w:t>
      </w:r>
      <w:r w:rsidRPr="006267B4">
        <w:rPr>
          <w:rFonts w:ascii="Times New Roman" w:hAnsi="Times New Roman"/>
          <w:noProof/>
          <w:sz w:val="20"/>
          <w:szCs w:val="20"/>
        </w:rPr>
        <w:t>20(5): 8801-8806.</w:t>
      </w:r>
    </w:p>
    <w:p w14:paraId="1476EE3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Tom, L., Nirmal, C. R., Dusthackeer, A., Magizhaveni, B. and Kurup, M. R. P. (2020). Formulation and      evaluation of β-cyclodextrin-mediated inclusion complexes of isoniazid scaffolds: molecular docking and </w:t>
      </w:r>
      <w:r w:rsidRPr="006267B4">
        <w:rPr>
          <w:rFonts w:ascii="Times New Roman" w:hAnsi="Times New Roman"/>
          <w:i/>
          <w:iCs/>
          <w:sz w:val="20"/>
          <w:szCs w:val="20"/>
          <w:lang w:val="en-MY" w:eastAsia="en-MY"/>
        </w:rPr>
        <w:t>in vitro</w:t>
      </w:r>
      <w:r w:rsidRPr="006267B4">
        <w:rPr>
          <w:rFonts w:ascii="Times New Roman" w:hAnsi="Times New Roman"/>
          <w:sz w:val="20"/>
          <w:szCs w:val="20"/>
          <w:lang w:val="en-MY" w:eastAsia="en-MY"/>
        </w:rPr>
        <w:t xml:space="preserve"> assessment of antitubercular properties. </w:t>
      </w:r>
      <w:r w:rsidRPr="006267B4">
        <w:rPr>
          <w:rFonts w:ascii="Times New Roman" w:hAnsi="Times New Roman"/>
          <w:i/>
          <w:iCs/>
          <w:sz w:val="20"/>
          <w:szCs w:val="20"/>
          <w:lang w:val="en-MY" w:eastAsia="en-MY"/>
        </w:rPr>
        <w:t>New Journal of Chemistry</w:t>
      </w:r>
      <w:r w:rsidRPr="006267B4">
        <w:rPr>
          <w:rFonts w:ascii="Times New Roman" w:hAnsi="Times New Roman"/>
          <w:sz w:val="20"/>
          <w:szCs w:val="20"/>
          <w:lang w:val="en-MY" w:eastAsia="en-MY"/>
        </w:rPr>
        <w:t>, 44(11): 4467-4477.</w:t>
      </w:r>
    </w:p>
    <w:p w14:paraId="319E1B49"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Gegia, M., Winters, N., Benedetti, A., Soolingen, D. Van and Menzies, D. (2016). Treatment of isoniazid-resistant tuberculosis with first-line drugs : A systematic review and meta-analysis. </w:t>
      </w:r>
      <w:r w:rsidRPr="006267B4">
        <w:rPr>
          <w:rFonts w:ascii="Times New Roman" w:hAnsi="Times New Roman"/>
          <w:i/>
          <w:iCs/>
          <w:noProof/>
          <w:sz w:val="20"/>
          <w:szCs w:val="20"/>
        </w:rPr>
        <w:t>The Lancet Infectious Diseases</w:t>
      </w:r>
      <w:r w:rsidRPr="006267B4">
        <w:rPr>
          <w:rFonts w:ascii="Times New Roman" w:hAnsi="Times New Roman"/>
          <w:noProof/>
          <w:sz w:val="20"/>
          <w:szCs w:val="20"/>
        </w:rPr>
        <w:t>, 3099(16): 1-12.</w:t>
      </w:r>
    </w:p>
    <w:p w14:paraId="19898ECC"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Stagg, H. R., Lipman, M. C., Mchugh, T. D. and Jenkins, H. E. (2017). Isoniazid-resistant tuberculosis: A cause for concern? </w:t>
      </w:r>
      <w:r w:rsidRPr="006267B4">
        <w:rPr>
          <w:rFonts w:ascii="Times New Roman" w:hAnsi="Times New Roman"/>
          <w:i/>
          <w:iCs/>
          <w:noProof/>
          <w:sz w:val="20"/>
          <w:szCs w:val="20"/>
        </w:rPr>
        <w:t xml:space="preserve">The </w:t>
      </w:r>
      <w:r w:rsidRPr="006267B4">
        <w:rPr>
          <w:rFonts w:ascii="Times New Roman" w:hAnsi="Times New Roman"/>
          <w:i/>
          <w:iCs/>
          <w:noProof/>
          <w:sz w:val="20"/>
          <w:szCs w:val="20"/>
        </w:rPr>
        <w:t>International Journal of Tuberculosis and Lung Disease</w:t>
      </w:r>
      <w:r w:rsidRPr="006267B4">
        <w:rPr>
          <w:rFonts w:ascii="Times New Roman" w:hAnsi="Times New Roman"/>
          <w:noProof/>
          <w:sz w:val="20"/>
          <w:szCs w:val="20"/>
        </w:rPr>
        <w:t>, 21(10): 129-139.</w:t>
      </w:r>
    </w:p>
    <w:p w14:paraId="4D37E254"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Sup, Y. (2015). Challenges in the development of drugs for the treatment of tuberculosis. </w:t>
      </w:r>
      <w:r w:rsidRPr="006267B4">
        <w:rPr>
          <w:rFonts w:ascii="Times New Roman" w:hAnsi="Times New Roman"/>
          <w:i/>
          <w:iCs/>
          <w:noProof/>
          <w:sz w:val="20"/>
          <w:szCs w:val="20"/>
        </w:rPr>
        <w:t>Brazilian Journal of Infectious Diseases</w:t>
      </w:r>
      <w:r w:rsidRPr="006267B4">
        <w:rPr>
          <w:rFonts w:ascii="Times New Roman" w:hAnsi="Times New Roman"/>
          <w:noProof/>
          <w:sz w:val="20"/>
          <w:szCs w:val="20"/>
        </w:rPr>
        <w:t>, 17(1): 74-81.</w:t>
      </w:r>
    </w:p>
    <w:p w14:paraId="73F28F86"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Prabu, S., Samad, N. A., Ahmad, N. A., Jumbri, K., Raoov, M., Rahim, N. Y. and Mohamad, S. (2020). Studies on the supramolecular complex of a guanosine with beta-cyclodextrin and evaluation of its anti-proliferative activity. </w:t>
      </w:r>
      <w:r w:rsidRPr="006267B4">
        <w:rPr>
          <w:rFonts w:ascii="Times New Roman" w:hAnsi="Times New Roman"/>
          <w:i/>
          <w:iCs/>
          <w:sz w:val="20"/>
          <w:szCs w:val="20"/>
          <w:lang w:val="en-MY" w:eastAsia="en-MY"/>
        </w:rPr>
        <w:t>Carbohydrate Research</w:t>
      </w:r>
      <w:r w:rsidRPr="006267B4">
        <w:rPr>
          <w:rFonts w:ascii="Times New Roman" w:hAnsi="Times New Roman"/>
          <w:sz w:val="20"/>
          <w:szCs w:val="20"/>
          <w:lang w:val="en-MY" w:eastAsia="en-MY"/>
        </w:rPr>
        <w:t>, 2020: 108138.</w:t>
      </w:r>
    </w:p>
    <w:p w14:paraId="3B78EDCF"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Vyas, A., Saraf, S. and Saraf, S. (2008). Cyclodextrin based novel drug delivery systems. </w:t>
      </w:r>
      <w:r w:rsidRPr="006267B4">
        <w:rPr>
          <w:rFonts w:ascii="Times New Roman" w:hAnsi="Times New Roman"/>
          <w:i/>
          <w:iCs/>
          <w:sz w:val="20"/>
          <w:szCs w:val="20"/>
          <w:lang w:val="en-MY" w:eastAsia="en-MY"/>
        </w:rPr>
        <w:t>Journal of Inclusion Phenomena and Macrocyclic Chemistry</w:t>
      </w:r>
      <w:r w:rsidRPr="006267B4">
        <w:rPr>
          <w:rFonts w:ascii="Times New Roman" w:hAnsi="Times New Roman"/>
          <w:sz w:val="20"/>
          <w:szCs w:val="20"/>
          <w:lang w:val="en-MY" w:eastAsia="en-MY"/>
        </w:rPr>
        <w:t>, 62(1-2): 23-42.</w:t>
      </w:r>
    </w:p>
    <w:p w14:paraId="2947E7D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Saokham, P., Muankaew, C., Jansook, P. and Loftsson, T. (2018). Solubility of cyclodextrins and drug/cyclodextrin complexes. </w:t>
      </w:r>
      <w:r w:rsidRPr="006267B4">
        <w:rPr>
          <w:rFonts w:ascii="Times New Roman" w:hAnsi="Times New Roman"/>
          <w:i/>
          <w:iCs/>
          <w:noProof/>
          <w:sz w:val="20"/>
          <w:szCs w:val="20"/>
        </w:rPr>
        <w:t>Molecules</w:t>
      </w:r>
      <w:r w:rsidRPr="006267B4">
        <w:rPr>
          <w:rFonts w:ascii="Times New Roman" w:hAnsi="Times New Roman"/>
          <w:noProof/>
          <w:sz w:val="20"/>
          <w:szCs w:val="20"/>
        </w:rPr>
        <w:t>, 23(5): 1-15.</w:t>
      </w:r>
    </w:p>
    <w:p w14:paraId="4696853D"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Razak, S. A., Fariq, S., Syed, F., Abdullah, J. M. and Adnan, R. (2014). Characterization, phase solubility studies and molecular modeling of isoniazid and its β-cyclodextrin complexes. </w:t>
      </w:r>
      <w:r w:rsidRPr="006267B4">
        <w:rPr>
          <w:rFonts w:ascii="Times New Roman" w:hAnsi="Times New Roman"/>
          <w:i/>
          <w:iCs/>
          <w:sz w:val="20"/>
          <w:szCs w:val="20"/>
          <w:lang w:val="en-MY" w:eastAsia="en-MY"/>
        </w:rPr>
        <w:t>Journal of Chemical and Pharmaceutical Research</w:t>
      </w:r>
      <w:r w:rsidRPr="006267B4">
        <w:rPr>
          <w:rFonts w:ascii="Times New Roman" w:hAnsi="Times New Roman"/>
          <w:sz w:val="20"/>
          <w:szCs w:val="20"/>
          <w:lang w:val="en-MY" w:eastAsia="en-MY"/>
        </w:rPr>
        <w:t>, 6(11): 291-299.</w:t>
      </w:r>
    </w:p>
    <w:p w14:paraId="1782565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Razak, S. A., Yacob, S. F. F. S., Abdullah, J. M. and Adnan, R. (2015). Isoniazid and β-cyclodextrin complexes: A stability study in aqueous solution. </w:t>
      </w:r>
      <w:r w:rsidRPr="006267B4">
        <w:rPr>
          <w:rFonts w:ascii="Times New Roman" w:hAnsi="Times New Roman"/>
          <w:i/>
          <w:iCs/>
          <w:sz w:val="20"/>
          <w:szCs w:val="20"/>
          <w:lang w:val="en-MY" w:eastAsia="en-MY"/>
        </w:rPr>
        <w:t>Journal of Chemical Pharmaceutical Research</w:t>
      </w:r>
      <w:r w:rsidRPr="006267B4">
        <w:rPr>
          <w:rFonts w:ascii="Times New Roman" w:hAnsi="Times New Roman"/>
          <w:sz w:val="20"/>
          <w:szCs w:val="20"/>
          <w:lang w:val="en-MY" w:eastAsia="en-MY"/>
        </w:rPr>
        <w:t>, 7(7): 346-355.</w:t>
      </w:r>
    </w:p>
    <w:p w14:paraId="7E3737FF"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Teixeira, M. G., de Assis, J. V., Soares, C. G., Venâncio, M. F., Lopes, J. F., Nascimento Jr, C. S. and Fernandes, S. A. (2014). Theoretical and experimental study of inclusion complexes formed by isoniazid and modified β-cyclodextrins: 1H NMR structural determination and antibacterial activity evaluation. </w:t>
      </w:r>
      <w:r w:rsidRPr="006267B4">
        <w:rPr>
          <w:rFonts w:ascii="Times New Roman" w:hAnsi="Times New Roman"/>
          <w:i/>
          <w:iCs/>
          <w:sz w:val="20"/>
          <w:szCs w:val="20"/>
          <w:lang w:val="en-MY" w:eastAsia="en-MY"/>
        </w:rPr>
        <w:t>The Journal of Physical Chemistry B</w:t>
      </w:r>
      <w:r w:rsidRPr="006267B4">
        <w:rPr>
          <w:rFonts w:ascii="Times New Roman" w:hAnsi="Times New Roman"/>
          <w:sz w:val="20"/>
          <w:szCs w:val="20"/>
          <w:lang w:val="en-MY" w:eastAsia="en-MY"/>
        </w:rPr>
        <w:t>, 118(1): 81-93.</w:t>
      </w:r>
    </w:p>
    <w:p w14:paraId="276C1D29" w14:textId="15774A1C" w:rsidR="00F90A5E" w:rsidRPr="00F90A5E"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Tay, K. S. and Mohamad, S. (2016). β-Cyclodextrin functionalized ionic liquid as chiral stationary phase of high-performance liquid chromatography for enantioseparation of β-blockers. </w:t>
      </w:r>
      <w:r w:rsidRPr="006267B4">
        <w:rPr>
          <w:rFonts w:ascii="Times New Roman" w:hAnsi="Times New Roman"/>
          <w:i/>
          <w:iCs/>
          <w:sz w:val="20"/>
          <w:szCs w:val="20"/>
          <w:lang w:val="en-MY" w:eastAsia="en-MY"/>
        </w:rPr>
        <w:t>Journal of Inclusion Phenomena and Macrocyclic Chemistry</w:t>
      </w:r>
      <w:r w:rsidRPr="006267B4">
        <w:rPr>
          <w:rFonts w:ascii="Times New Roman" w:hAnsi="Times New Roman"/>
          <w:sz w:val="20"/>
          <w:szCs w:val="20"/>
          <w:lang w:val="en-MY" w:eastAsia="en-MY"/>
        </w:rPr>
        <w:t>, 85(3-4): 303-315.</w:t>
      </w:r>
    </w:p>
    <w:p w14:paraId="1C62D716" w14:textId="1C2CDB0F" w:rsidR="00F90A5E" w:rsidRDefault="00F90A5E" w:rsidP="00F90A5E">
      <w:pPr>
        <w:spacing w:after="0"/>
        <w:jc w:val="both"/>
        <w:rPr>
          <w:rFonts w:ascii="Times New Roman" w:hAnsi="Times New Roman"/>
          <w:sz w:val="20"/>
          <w:szCs w:val="20"/>
        </w:rPr>
      </w:pPr>
    </w:p>
    <w:p w14:paraId="7FDC8E96" w14:textId="77777777" w:rsidR="00F90A5E" w:rsidRPr="00F90A5E" w:rsidRDefault="00F90A5E" w:rsidP="00F90A5E">
      <w:pPr>
        <w:spacing w:after="0"/>
        <w:jc w:val="both"/>
        <w:rPr>
          <w:rFonts w:ascii="Times New Roman" w:hAnsi="Times New Roman"/>
          <w:sz w:val="20"/>
          <w:szCs w:val="20"/>
        </w:rPr>
      </w:pPr>
    </w:p>
    <w:p w14:paraId="79A77A8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lastRenderedPageBreak/>
        <w:t xml:space="preserve">Rahim, N. Y., Tay, K. S. and Mohamad, S. (2016). Chromatographic and spectroscopic studies on β -cyclodextrin functionalized ionic liquid as chiral stationary phase: Enantioseparation of flavonoids. </w:t>
      </w:r>
      <w:r w:rsidRPr="006267B4">
        <w:rPr>
          <w:rFonts w:ascii="Times New Roman" w:hAnsi="Times New Roman"/>
          <w:i/>
          <w:iCs/>
          <w:sz w:val="20"/>
          <w:szCs w:val="20"/>
          <w:lang w:val="en-MY" w:eastAsia="en-MY"/>
        </w:rPr>
        <w:t>Chromatographia</w:t>
      </w:r>
      <w:r w:rsidRPr="006267B4">
        <w:rPr>
          <w:rFonts w:ascii="Times New Roman" w:hAnsi="Times New Roman"/>
          <w:sz w:val="20"/>
          <w:szCs w:val="20"/>
          <w:lang w:val="en-MY" w:eastAsia="en-MY"/>
        </w:rPr>
        <w:t>, 79(21-22): 1445-1455.</w:t>
      </w:r>
    </w:p>
    <w:p w14:paraId="29151FB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Tay, K. S. and Mohamad, S. (2018). Chromatographic and spectroscopic studies on β-cyclodextrin functionalized ionic liquid as chiral stationary phase: Enantioseparation of NSAIDs. </w:t>
      </w:r>
      <w:r w:rsidRPr="006267B4">
        <w:rPr>
          <w:rFonts w:ascii="Times New Roman" w:hAnsi="Times New Roman"/>
          <w:i/>
          <w:iCs/>
          <w:sz w:val="20"/>
          <w:szCs w:val="20"/>
          <w:lang w:val="en-MY" w:eastAsia="en-MY"/>
        </w:rPr>
        <w:t>Adsorption Science &amp; Technology</w:t>
      </w:r>
      <w:r w:rsidRPr="006267B4">
        <w:rPr>
          <w:rFonts w:ascii="Times New Roman" w:hAnsi="Times New Roman"/>
          <w:sz w:val="20"/>
          <w:szCs w:val="20"/>
          <w:lang w:val="en-MY" w:eastAsia="en-MY"/>
        </w:rPr>
        <w:t>, 36(1-2): 130-148.</w:t>
      </w:r>
    </w:p>
    <w:p w14:paraId="2A6F1EE1"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Samad, F. H. and Rohisham, A. M. (2019). </w:t>
      </w:r>
      <w:r w:rsidRPr="006267B4">
        <w:rPr>
          <w:rFonts w:ascii="Times New Roman" w:hAnsi="Times New Roman"/>
          <w:bCs/>
          <w:sz w:val="20"/>
          <w:szCs w:val="20"/>
        </w:rPr>
        <w:t xml:space="preserve">Spectroscopic studies of inclusion complex glipizide and β-cyclodextrin. </w:t>
      </w:r>
      <w:r w:rsidRPr="006267B4">
        <w:rPr>
          <w:rFonts w:ascii="Times New Roman" w:hAnsi="Times New Roman"/>
          <w:i/>
          <w:iCs/>
          <w:sz w:val="20"/>
          <w:szCs w:val="20"/>
        </w:rPr>
        <w:t xml:space="preserve">Malaysian Journal of Analytical Sciences, </w:t>
      </w:r>
      <w:r w:rsidRPr="006267B4">
        <w:rPr>
          <w:rFonts w:ascii="Times New Roman" w:hAnsi="Times New Roman"/>
          <w:sz w:val="20"/>
          <w:szCs w:val="20"/>
        </w:rPr>
        <w:t>23(5): 789-798.</w:t>
      </w:r>
    </w:p>
    <w:p w14:paraId="04005E55"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Almeida, M. V. De, Fernandes, S. A. and Almeida, W. B. De. (2013). Theoretical and experimental study of inclusion complexes formed by isoniazid and modified β-cyclodextrins: </w:t>
      </w:r>
      <m:oMath>
        <m:sPre>
          <m:sPrePr>
            <m:ctrlPr>
              <w:rPr>
                <w:rFonts w:ascii="Cambria Math" w:hAnsi="Cambria Math"/>
                <w:i/>
                <w:noProof/>
                <w:sz w:val="20"/>
                <w:szCs w:val="20"/>
              </w:rPr>
            </m:ctrlPr>
          </m:sPrePr>
          <m:sub>
            <m:r>
              <m:rPr>
                <m:sty m:val="p"/>
              </m:rPr>
              <w:rPr>
                <w:rFonts w:ascii="Cambria Math" w:hAnsi="Cambria Math"/>
                <w:noProof/>
                <w:sz w:val="20"/>
                <w:szCs w:val="20"/>
              </w:rPr>
              <m:t xml:space="preserve"> </m:t>
            </m:r>
          </m:sub>
          <m:sup>
            <m:r>
              <m:rPr>
                <m:sty m:val="p"/>
              </m:rPr>
              <w:rPr>
                <w:rFonts w:ascii="Cambria Math" w:hAnsi="Cambria Math"/>
                <w:noProof/>
                <w:sz w:val="20"/>
                <w:szCs w:val="20"/>
              </w:rPr>
              <m:t>1</m:t>
            </m:r>
          </m:sup>
          <m:e>
            <m:r>
              <m:rPr>
                <m:sty m:val="p"/>
              </m:rPr>
              <w:rPr>
                <w:rFonts w:ascii="Cambria Math" w:hAnsi="Cambria Math"/>
                <w:noProof/>
                <w:sz w:val="20"/>
                <w:szCs w:val="20"/>
              </w:rPr>
              <m:t>H</m:t>
            </m:r>
          </m:e>
        </m:sPre>
      </m:oMath>
      <w:r w:rsidRPr="006267B4">
        <w:rPr>
          <w:rFonts w:ascii="Times New Roman" w:hAnsi="Times New Roman"/>
          <w:noProof/>
          <w:sz w:val="20"/>
          <w:szCs w:val="20"/>
        </w:rPr>
        <w:t xml:space="preserve"> NMR structural determination and antibacterial activity evaluation theoretical and experimental study of inclusion complexes formed by isoniazid. </w:t>
      </w:r>
      <w:r w:rsidRPr="006267B4">
        <w:rPr>
          <w:rFonts w:ascii="Times New Roman" w:hAnsi="Times New Roman"/>
          <w:i/>
          <w:iCs/>
          <w:noProof/>
          <w:sz w:val="20"/>
          <w:szCs w:val="20"/>
        </w:rPr>
        <w:t>The Journal of Physical Chemistry B</w:t>
      </w:r>
      <w:r w:rsidRPr="006267B4">
        <w:rPr>
          <w:rFonts w:ascii="Times New Roman" w:hAnsi="Times New Roman"/>
          <w:noProof/>
          <w:sz w:val="20"/>
          <w:szCs w:val="20"/>
        </w:rPr>
        <w:t>, 421(12): 1-33.</w:t>
      </w:r>
    </w:p>
    <w:p w14:paraId="1D2F8606"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Yang, L. J., Yang, B., Chen, W., Huang, R., Yan, S. J. and Lin, J. (2010). Host−guest system of nimbin and β-cyclodextrin or its derivatives: Preparation, </w:t>
      </w:r>
      <w:r w:rsidRPr="006267B4">
        <w:rPr>
          <w:rFonts w:ascii="Times New Roman" w:hAnsi="Times New Roman"/>
          <w:sz w:val="20"/>
          <w:szCs w:val="20"/>
          <w:lang w:val="en-MY" w:eastAsia="en-MY"/>
        </w:rPr>
        <w:t xml:space="preserve">characterization, inclusion mode, and solubilization. </w:t>
      </w:r>
      <w:r w:rsidRPr="006267B4">
        <w:rPr>
          <w:rFonts w:ascii="Times New Roman" w:hAnsi="Times New Roman"/>
          <w:i/>
          <w:iCs/>
          <w:sz w:val="20"/>
          <w:szCs w:val="20"/>
          <w:lang w:val="en-MY" w:eastAsia="en-MY"/>
        </w:rPr>
        <w:t>Journal of Agricultural and Food Chemistry</w:t>
      </w:r>
      <w:r w:rsidRPr="006267B4">
        <w:rPr>
          <w:rFonts w:ascii="Times New Roman" w:hAnsi="Times New Roman"/>
          <w:sz w:val="20"/>
          <w:szCs w:val="20"/>
          <w:lang w:val="en-MY" w:eastAsia="en-MY"/>
        </w:rPr>
        <w:t>, 58(15): 8545-8552.</w:t>
      </w:r>
    </w:p>
    <w:p w14:paraId="43354EEC"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Wang, X., Luo, Z. and Xiao, Z. (2014). Preparation, characterization, and thermal stability of β-cyclodextrin/soybean lecithin inclusion complex. </w:t>
      </w:r>
      <w:r w:rsidRPr="006267B4">
        <w:rPr>
          <w:rFonts w:ascii="Times New Roman" w:hAnsi="Times New Roman"/>
          <w:i/>
          <w:iCs/>
          <w:sz w:val="20"/>
          <w:szCs w:val="20"/>
          <w:lang w:val="en-MY" w:eastAsia="en-MY"/>
        </w:rPr>
        <w:t>Carbohydrate Polymers</w:t>
      </w:r>
      <w:r w:rsidRPr="006267B4">
        <w:rPr>
          <w:rFonts w:ascii="Times New Roman" w:hAnsi="Times New Roman"/>
          <w:sz w:val="20"/>
          <w:szCs w:val="20"/>
          <w:lang w:val="en-MY" w:eastAsia="en-MY"/>
        </w:rPr>
        <w:t>, 101: 1027-1032.</w:t>
      </w:r>
    </w:p>
    <w:p w14:paraId="6F219D2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Singh, R., Bharti, N., Madan, J. and Hiremath, S. N. (2010). Characterization of cyclodextrin inclusion complexes—a review. </w:t>
      </w:r>
      <w:r w:rsidRPr="006267B4">
        <w:rPr>
          <w:rFonts w:ascii="Times New Roman" w:hAnsi="Times New Roman"/>
          <w:i/>
          <w:iCs/>
          <w:sz w:val="20"/>
          <w:szCs w:val="20"/>
          <w:lang w:val="en-MY" w:eastAsia="en-MY"/>
        </w:rPr>
        <w:t>Journal of Pharmaceutical Science and Technology</w:t>
      </w:r>
      <w:r w:rsidRPr="006267B4">
        <w:rPr>
          <w:rFonts w:ascii="Times New Roman" w:hAnsi="Times New Roman"/>
          <w:sz w:val="20"/>
          <w:szCs w:val="20"/>
          <w:lang w:val="en-MY" w:eastAsia="en-MY"/>
        </w:rPr>
        <w:t>, 2(3): 171-183.</w:t>
      </w:r>
    </w:p>
    <w:p w14:paraId="7796F72C"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Blokhina, S. V., Ol’khovich, M. V., Sharapova, A. V., Volkova, T. V. and Perlovich, G. L. (2015). Solution thermodynamics of pyrazinamide, isoniazid, and p-aminobenzoic acid in buffers and octanol. </w:t>
      </w:r>
      <w:r w:rsidRPr="006267B4">
        <w:rPr>
          <w:rFonts w:ascii="Times New Roman" w:hAnsi="Times New Roman"/>
          <w:i/>
          <w:iCs/>
          <w:sz w:val="20"/>
          <w:szCs w:val="20"/>
          <w:lang w:val="en-MY" w:eastAsia="en-MY"/>
        </w:rPr>
        <w:t>The Journal of Chemical Thermodynamics</w:t>
      </w:r>
      <w:r w:rsidRPr="006267B4">
        <w:rPr>
          <w:rFonts w:ascii="Times New Roman" w:hAnsi="Times New Roman"/>
          <w:sz w:val="20"/>
          <w:szCs w:val="20"/>
          <w:lang w:val="en-MY" w:eastAsia="en-MY"/>
        </w:rPr>
        <w:t>, 91: 396-403.</w:t>
      </w:r>
    </w:p>
    <w:p w14:paraId="759545B2"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Çelik, S. E., Özyürek, M., Tufan, A. N., Güçlü, K. and Apak, R. (2011). Spectroscopic study and antioxidant properties of the inclusion complexes of rosmarinic acid with natural and derivative cyclodextrins. </w:t>
      </w:r>
      <w:r w:rsidRPr="006267B4">
        <w:rPr>
          <w:rFonts w:ascii="Times New Roman" w:hAnsi="Times New Roman"/>
          <w:i/>
          <w:iCs/>
          <w:sz w:val="20"/>
          <w:szCs w:val="20"/>
          <w:lang w:val="en-MY" w:eastAsia="en-MY"/>
        </w:rPr>
        <w:t>Spectrochimica Acta Part A: Molecular and Biomolecular Spectroscopy</w:t>
      </w:r>
      <w:r w:rsidRPr="006267B4">
        <w:rPr>
          <w:rFonts w:ascii="Times New Roman" w:hAnsi="Times New Roman"/>
          <w:sz w:val="20"/>
          <w:szCs w:val="20"/>
          <w:lang w:val="en-MY" w:eastAsia="en-MY"/>
        </w:rPr>
        <w:t>, 78(5): 1615-1624.</w:t>
      </w:r>
    </w:p>
    <w:p w14:paraId="52157B8A" w14:textId="77777777" w:rsidR="00F90A5E" w:rsidRPr="00510BA6" w:rsidRDefault="00F90A5E" w:rsidP="006267B4">
      <w:pPr>
        <w:shd w:val="clear" w:color="auto" w:fill="FFFFFF"/>
        <w:spacing w:after="0"/>
        <w:jc w:val="both"/>
        <w:rPr>
          <w:rFonts w:ascii="Times New Roman" w:hAnsi="Times New Roman"/>
          <w:sz w:val="20"/>
          <w:szCs w:val="20"/>
        </w:rPr>
      </w:pPr>
    </w:p>
    <w:p w14:paraId="4EAD97C3" w14:textId="77777777" w:rsidR="00F90A5E" w:rsidRDefault="00F90A5E" w:rsidP="00510BA6">
      <w:pPr>
        <w:spacing w:after="0"/>
        <w:jc w:val="center"/>
        <w:rPr>
          <w:rFonts w:ascii="Times New Roman" w:hAnsi="Times New Roman"/>
          <w:noProof/>
          <w:sz w:val="20"/>
          <w:szCs w:val="20"/>
          <w:lang w:bidi="ar-SA"/>
        </w:rPr>
      </w:pPr>
    </w:p>
    <w:p w14:paraId="55B87DA4" w14:textId="022E8B95" w:rsidR="00F90A5E" w:rsidRDefault="00F90A5E" w:rsidP="00510BA6">
      <w:pPr>
        <w:spacing w:after="0"/>
        <w:jc w:val="center"/>
        <w:rPr>
          <w:rFonts w:ascii="Times New Roman" w:hAnsi="Times New Roman"/>
          <w:noProof/>
          <w:sz w:val="20"/>
          <w:szCs w:val="20"/>
          <w:lang w:bidi="ar-SA"/>
        </w:rPr>
        <w:sectPr w:rsidR="00F90A5E" w:rsidSect="00F90A5E">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0"/>
          <w:cols w:num="2" w:space="403"/>
          <w:docGrid w:linePitch="360"/>
        </w:sectPr>
      </w:pPr>
    </w:p>
    <w:p w14:paraId="63ACC625" w14:textId="7A6D7F45" w:rsidR="006768E9" w:rsidRPr="00510BA6" w:rsidRDefault="006768E9" w:rsidP="00510BA6">
      <w:pPr>
        <w:spacing w:after="0"/>
        <w:jc w:val="center"/>
        <w:rPr>
          <w:rFonts w:ascii="Times New Roman" w:hAnsi="Times New Roman"/>
          <w:noProof/>
          <w:sz w:val="20"/>
          <w:szCs w:val="20"/>
          <w:lang w:bidi="ar-SA"/>
        </w:rPr>
      </w:pPr>
    </w:p>
    <w:sectPr w:rsidR="006768E9" w:rsidRPr="00510BA6" w:rsidSect="006267B4">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B723" w14:textId="17D35028"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7E0E" w14:textId="3CE61A0E" w:rsidR="002A6CF2" w:rsidRPr="004B43FF" w:rsidRDefault="002A6CF2">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3565A" w14:textId="184725D6" w:rsidR="00475D0A" w:rsidRDefault="00475D0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AE66" w14:textId="3D2E0B77" w:rsidR="00475D0A" w:rsidRPr="004B43FF" w:rsidRDefault="002A6CF2">
    <w:pPr>
      <w:pStyle w:val="Footer"/>
      <w:rPr>
        <w:rFonts w:ascii="Times New Roman" w:hAnsi="Times New Roman"/>
        <w:lang w:val="en-US"/>
      </w:rPr>
    </w:pPr>
    <w:r>
      <w:rPr>
        <w:rFonts w:ascii="Times New Roman" w:hAnsi="Times New Roman"/>
        <w:noProof/>
        <w:lang w:val="en-US"/>
      </w:rPr>
      <w:t>3</w:t>
    </w:r>
    <w:r w:rsidR="00475D0A" w:rsidRPr="0069547D">
      <w:rPr>
        <w:rFonts w:ascii="Times New Roman" w:hAnsi="Times New Roman"/>
        <w:noProof/>
        <w:lang w:val="en-US"/>
      </w:rPr>
      <w:ptab w:relativeTo="margin" w:alignment="center" w:leader="none"/>
    </w:r>
    <w:r w:rsidR="00475D0A"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FC7B4" w14:textId="3855CD4C"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107" w14:textId="59D46E2B" w:rsidR="002A6CF2" w:rsidRPr="004B43FF" w:rsidRDefault="002A6CF2">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4E23" w14:textId="6CBED551"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237CD" w14:textId="4296F923"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77E3" w14:textId="727F3366" w:rsidR="002A6CF2" w:rsidRPr="004B43FF" w:rsidRDefault="002A6CF2">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2EF65C6"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4B376" w14:textId="0155A225" w:rsidR="00261DFC" w:rsidRDefault="00261DFC" w:rsidP="00261DF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67A4BAEB" w14:textId="26BF2B6F" w:rsidR="00261DFC" w:rsidRDefault="00261D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744A0" w14:textId="0EF20669" w:rsidR="00261DFC" w:rsidRDefault="00261D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020B" w14:textId="0D2A31A4" w:rsidR="00261DFC" w:rsidRDefault="00261D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04B0" w14:textId="45D2A3F6" w:rsidR="00261DFC" w:rsidRDefault="00261DFC" w:rsidP="00261DF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76819E4D" w14:textId="141F4F24" w:rsidR="00261DFC" w:rsidRDefault="00261D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F4101" w14:textId="77777777" w:rsidR="00261DFC" w:rsidRDefault="00261DFC" w:rsidP="00261DFC">
    <w:pPr>
      <w:spacing w:after="0" w:line="286" w:lineRule="auto"/>
      <w:ind w:left="2790" w:hanging="2790"/>
      <w:rPr>
        <w:rFonts w:ascii="Times New Roman" w:eastAsia="Calibri" w:hAnsi="Times New Roman"/>
        <w:sz w:val="20"/>
        <w:szCs w:val="20"/>
      </w:rPr>
    </w:pPr>
    <w:r w:rsidRPr="00996EE7">
      <w:rPr>
        <w:rFonts w:ascii="Times New Roman" w:hAnsi="Times New Roman"/>
        <w:sz w:val="20"/>
        <w:szCs w:val="20"/>
      </w:rPr>
      <w:t xml:space="preserve">Nurul Yani &amp; Nurul Ain Elmera: </w:t>
    </w:r>
    <w:r>
      <w:rPr>
        <w:rFonts w:ascii="Times New Roman" w:hAnsi="Times New Roman"/>
        <w:sz w:val="20"/>
        <w:szCs w:val="20"/>
      </w:rPr>
      <w:tab/>
    </w:r>
    <w:r w:rsidRPr="00996EE7">
      <w:rPr>
        <w:rFonts w:ascii="Times New Roman" w:eastAsia="Calibri" w:hAnsi="Times New Roman"/>
        <w:sz w:val="20"/>
        <w:szCs w:val="20"/>
      </w:rPr>
      <w:t xml:space="preserve">CHARACTERIZATION OF INCLUSION COMPLEX OF </w:t>
    </w:r>
  </w:p>
  <w:p w14:paraId="4D6D72CB" w14:textId="77777777" w:rsidR="00261DFC" w:rsidRPr="00996EE7" w:rsidRDefault="00261DFC" w:rsidP="00261DFC">
    <w:pPr>
      <w:spacing w:after="0" w:line="286" w:lineRule="auto"/>
      <w:ind w:left="2790"/>
      <w:jc w:val="both"/>
      <w:rPr>
        <w:rFonts w:ascii="Times New Roman" w:eastAsia="Calibri" w:hAnsi="Times New Roman"/>
        <w:sz w:val="20"/>
        <w:szCs w:val="20"/>
      </w:rPr>
    </w:pPr>
    <w:r w:rsidRPr="00996EE7">
      <w:rPr>
        <w:rFonts w:ascii="Times New Roman" w:eastAsia="Calibri" w:hAnsi="Times New Roman"/>
        <w:sz w:val="20"/>
        <w:szCs w:val="20"/>
      </w:rPr>
      <w:t>β-CYCLODEXTRIN/ISONIAZID USING SPECTROSCOPIC METHOD</w:t>
    </w:r>
    <w:r w:rsidRPr="00F656B3">
      <w:rPr>
        <w:rFonts w:ascii="Times New Roman" w:eastAsia="Calibri" w:hAnsi="Times New Roman"/>
        <w:sz w:val="28"/>
        <w:szCs w:val="28"/>
      </w:rPr>
      <w:t xml:space="preserve"> </w:t>
    </w:r>
  </w:p>
  <w:p w14:paraId="4D299C3C" w14:textId="102BCB42" w:rsidR="00261DFC" w:rsidRDefault="00261D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79157" w14:textId="75ECAFC0" w:rsidR="00261DFC" w:rsidRDefault="00261DF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8F95F" w14:textId="50B385A8" w:rsidR="00261DFC" w:rsidRDefault="00261DFC" w:rsidP="00261DF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A27896B" w14:textId="49578DCE" w:rsidR="00261DFC" w:rsidRDefault="00261D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AEC2" w14:textId="77777777" w:rsidR="00261DFC" w:rsidRDefault="00261DFC" w:rsidP="00261DFC">
    <w:pPr>
      <w:spacing w:after="0" w:line="286" w:lineRule="auto"/>
      <w:ind w:left="2790" w:hanging="2790"/>
      <w:rPr>
        <w:rFonts w:ascii="Times New Roman" w:eastAsia="Calibri" w:hAnsi="Times New Roman"/>
        <w:sz w:val="20"/>
        <w:szCs w:val="20"/>
      </w:rPr>
    </w:pPr>
    <w:r w:rsidRPr="00996EE7">
      <w:rPr>
        <w:rFonts w:ascii="Times New Roman" w:hAnsi="Times New Roman"/>
        <w:sz w:val="20"/>
        <w:szCs w:val="20"/>
      </w:rPr>
      <w:t xml:space="preserve">Nurul Yani &amp; Nurul Ain Elmera: </w:t>
    </w:r>
    <w:r>
      <w:rPr>
        <w:rFonts w:ascii="Times New Roman" w:hAnsi="Times New Roman"/>
        <w:sz w:val="20"/>
        <w:szCs w:val="20"/>
      </w:rPr>
      <w:tab/>
    </w:r>
    <w:r w:rsidRPr="00996EE7">
      <w:rPr>
        <w:rFonts w:ascii="Times New Roman" w:eastAsia="Calibri" w:hAnsi="Times New Roman"/>
        <w:sz w:val="20"/>
        <w:szCs w:val="20"/>
      </w:rPr>
      <w:t xml:space="preserve">CHARACTERIZATION OF INCLUSION COMPLEX OF </w:t>
    </w:r>
  </w:p>
  <w:p w14:paraId="0C124097" w14:textId="77777777" w:rsidR="00261DFC" w:rsidRPr="00996EE7" w:rsidRDefault="00261DFC" w:rsidP="00261DFC">
    <w:pPr>
      <w:spacing w:after="0" w:line="286" w:lineRule="auto"/>
      <w:ind w:left="2790"/>
      <w:jc w:val="both"/>
      <w:rPr>
        <w:rFonts w:ascii="Times New Roman" w:eastAsia="Calibri" w:hAnsi="Times New Roman"/>
        <w:sz w:val="20"/>
        <w:szCs w:val="20"/>
      </w:rPr>
    </w:pPr>
    <w:r w:rsidRPr="00996EE7">
      <w:rPr>
        <w:rFonts w:ascii="Times New Roman" w:eastAsia="Calibri" w:hAnsi="Times New Roman"/>
        <w:sz w:val="20"/>
        <w:szCs w:val="20"/>
      </w:rPr>
      <w:t>β-CYCLODEXTRIN/ISONIAZID USING SPECTROSCOPIC METHOD</w:t>
    </w:r>
    <w:r w:rsidRPr="00F656B3">
      <w:rPr>
        <w:rFonts w:ascii="Times New Roman" w:eastAsia="Calibri" w:hAnsi="Times New Roman"/>
        <w:sz w:val="28"/>
        <w:szCs w:val="28"/>
      </w:rPr>
      <w:t xml:space="preserve"> </w:t>
    </w:r>
  </w:p>
  <w:p w14:paraId="38D7C0B7" w14:textId="3EE7E4A3" w:rsidR="00261DFC" w:rsidRDefault="00261DF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D3A5" w14:textId="7B2158C6" w:rsidR="00261DFC" w:rsidRDefault="00261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3C851" w14:textId="25202BFB" w:rsidR="00996EE7" w:rsidRDefault="00996EE7" w:rsidP="00996EE7">
    <w:pPr>
      <w:spacing w:after="0" w:line="286" w:lineRule="auto"/>
      <w:ind w:left="2790" w:hanging="2790"/>
      <w:rPr>
        <w:rFonts w:ascii="Times New Roman" w:eastAsia="Calibri" w:hAnsi="Times New Roman"/>
        <w:sz w:val="20"/>
        <w:szCs w:val="20"/>
      </w:rPr>
    </w:pPr>
    <w:r w:rsidRPr="00996EE7">
      <w:rPr>
        <w:rFonts w:ascii="Times New Roman" w:hAnsi="Times New Roman"/>
        <w:sz w:val="20"/>
        <w:szCs w:val="20"/>
      </w:rPr>
      <w:t xml:space="preserve">Nurul Yani &amp; Nurul Ain Elmera: </w:t>
    </w:r>
    <w:r>
      <w:rPr>
        <w:rFonts w:ascii="Times New Roman" w:hAnsi="Times New Roman"/>
        <w:sz w:val="20"/>
        <w:szCs w:val="20"/>
      </w:rPr>
      <w:tab/>
    </w:r>
    <w:r w:rsidRPr="00996EE7">
      <w:rPr>
        <w:rFonts w:ascii="Times New Roman" w:eastAsia="Calibri" w:hAnsi="Times New Roman"/>
        <w:sz w:val="20"/>
        <w:szCs w:val="20"/>
      </w:rPr>
      <w:t xml:space="preserve">CHARACTERIZATION OF INCLUSION COMPLEX OF </w:t>
    </w:r>
  </w:p>
  <w:p w14:paraId="76F1DA85" w14:textId="26619DE9" w:rsidR="00996EE7" w:rsidRPr="00996EE7" w:rsidRDefault="00996EE7" w:rsidP="00996EE7">
    <w:pPr>
      <w:spacing w:after="0" w:line="286" w:lineRule="auto"/>
      <w:ind w:left="2790"/>
      <w:jc w:val="both"/>
      <w:rPr>
        <w:rFonts w:ascii="Times New Roman" w:eastAsia="Calibri" w:hAnsi="Times New Roman"/>
        <w:sz w:val="20"/>
        <w:szCs w:val="20"/>
      </w:rPr>
    </w:pPr>
    <w:r w:rsidRPr="00996EE7">
      <w:rPr>
        <w:rFonts w:ascii="Times New Roman" w:eastAsia="Calibri" w:hAnsi="Times New Roman"/>
        <w:sz w:val="20"/>
        <w:szCs w:val="20"/>
      </w:rPr>
      <w:t>β-CYCLODEXTRIN/ISONIAZID USING SPECTROSCOPIC METHOD</w:t>
    </w:r>
    <w:r w:rsidRPr="00F656B3">
      <w:rPr>
        <w:rFonts w:ascii="Times New Roman" w:eastAsia="Calibri" w:hAnsi="Times New Roman"/>
        <w:sz w:val="28"/>
        <w:szCs w:val="28"/>
      </w:rPr>
      <w:t xml:space="preserve"> </w:t>
    </w:r>
  </w:p>
  <w:p w14:paraId="652E6EB3" w14:textId="37590B17"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71E33" w14:textId="19F04E0F" w:rsidR="00261DFC" w:rsidRDefault="00261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472B" w14:textId="74CF2AFD" w:rsidR="00261DFC" w:rsidRDefault="00261DFC" w:rsidP="00261DF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C705CB1" w14:textId="72EE6E4B" w:rsidR="00261DFC" w:rsidRDefault="00261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0182C" w14:textId="77777777" w:rsidR="00261DFC" w:rsidRDefault="00261DFC" w:rsidP="00261DFC">
    <w:pPr>
      <w:spacing w:after="0" w:line="286" w:lineRule="auto"/>
      <w:ind w:left="2790" w:hanging="2790"/>
      <w:rPr>
        <w:rFonts w:ascii="Times New Roman" w:eastAsia="Calibri" w:hAnsi="Times New Roman"/>
        <w:sz w:val="20"/>
        <w:szCs w:val="20"/>
      </w:rPr>
    </w:pPr>
    <w:r w:rsidRPr="00996EE7">
      <w:rPr>
        <w:rFonts w:ascii="Times New Roman" w:hAnsi="Times New Roman"/>
        <w:sz w:val="20"/>
        <w:szCs w:val="20"/>
      </w:rPr>
      <w:t xml:space="preserve">Nurul Yani &amp; Nurul Ain Elmera: </w:t>
    </w:r>
    <w:r>
      <w:rPr>
        <w:rFonts w:ascii="Times New Roman" w:hAnsi="Times New Roman"/>
        <w:sz w:val="20"/>
        <w:szCs w:val="20"/>
      </w:rPr>
      <w:tab/>
    </w:r>
    <w:r w:rsidRPr="00996EE7">
      <w:rPr>
        <w:rFonts w:ascii="Times New Roman" w:eastAsia="Calibri" w:hAnsi="Times New Roman"/>
        <w:sz w:val="20"/>
        <w:szCs w:val="20"/>
      </w:rPr>
      <w:t xml:space="preserve">CHARACTERIZATION OF INCLUSION COMPLEX OF </w:t>
    </w:r>
  </w:p>
  <w:p w14:paraId="575C10CC" w14:textId="77777777" w:rsidR="00261DFC" w:rsidRPr="00996EE7" w:rsidRDefault="00261DFC" w:rsidP="00261DFC">
    <w:pPr>
      <w:spacing w:after="0" w:line="286" w:lineRule="auto"/>
      <w:ind w:left="2790"/>
      <w:jc w:val="both"/>
      <w:rPr>
        <w:rFonts w:ascii="Times New Roman" w:eastAsia="Calibri" w:hAnsi="Times New Roman"/>
        <w:sz w:val="20"/>
        <w:szCs w:val="20"/>
      </w:rPr>
    </w:pPr>
    <w:r w:rsidRPr="00996EE7">
      <w:rPr>
        <w:rFonts w:ascii="Times New Roman" w:eastAsia="Calibri" w:hAnsi="Times New Roman"/>
        <w:sz w:val="20"/>
        <w:szCs w:val="20"/>
      </w:rPr>
      <w:t>β-CYCLODEXTRIN/ISONIAZID USING SPECTROSCOPIC METHOD</w:t>
    </w:r>
    <w:r w:rsidRPr="00F656B3">
      <w:rPr>
        <w:rFonts w:ascii="Times New Roman" w:eastAsia="Calibri" w:hAnsi="Times New Roman"/>
        <w:sz w:val="28"/>
        <w:szCs w:val="28"/>
      </w:rPr>
      <w:t xml:space="preserve"> </w:t>
    </w:r>
  </w:p>
  <w:p w14:paraId="3435D1D9" w14:textId="400A1840" w:rsidR="00261DFC" w:rsidRDefault="00261D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331" w14:textId="5E4407DC" w:rsidR="00261DFC" w:rsidRDefault="00261D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1B1A" w14:textId="0769A391" w:rsidR="00261DFC" w:rsidRDefault="00261DFC" w:rsidP="00261DFC">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1448A5D" w14:textId="69C7B2DB" w:rsidR="00261DFC" w:rsidRDefault="00261D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4086" w14:textId="77777777" w:rsidR="00261DFC" w:rsidRDefault="00261DFC" w:rsidP="00261DFC">
    <w:pPr>
      <w:spacing w:after="0" w:line="286" w:lineRule="auto"/>
      <w:ind w:left="2790" w:hanging="2790"/>
      <w:rPr>
        <w:rFonts w:ascii="Times New Roman" w:eastAsia="Calibri" w:hAnsi="Times New Roman"/>
        <w:sz w:val="20"/>
        <w:szCs w:val="20"/>
      </w:rPr>
    </w:pPr>
    <w:r w:rsidRPr="00996EE7">
      <w:rPr>
        <w:rFonts w:ascii="Times New Roman" w:hAnsi="Times New Roman"/>
        <w:sz w:val="20"/>
        <w:szCs w:val="20"/>
      </w:rPr>
      <w:t xml:space="preserve">Nurul Yani &amp; Nurul Ain Elmera: </w:t>
    </w:r>
    <w:r>
      <w:rPr>
        <w:rFonts w:ascii="Times New Roman" w:hAnsi="Times New Roman"/>
        <w:sz w:val="20"/>
        <w:szCs w:val="20"/>
      </w:rPr>
      <w:tab/>
    </w:r>
    <w:r w:rsidRPr="00996EE7">
      <w:rPr>
        <w:rFonts w:ascii="Times New Roman" w:eastAsia="Calibri" w:hAnsi="Times New Roman"/>
        <w:sz w:val="20"/>
        <w:szCs w:val="20"/>
      </w:rPr>
      <w:t xml:space="preserve">CHARACTERIZATION OF INCLUSION COMPLEX OF </w:t>
    </w:r>
  </w:p>
  <w:p w14:paraId="6BA1030F" w14:textId="77777777" w:rsidR="00261DFC" w:rsidRPr="00996EE7" w:rsidRDefault="00261DFC" w:rsidP="00261DFC">
    <w:pPr>
      <w:spacing w:after="0" w:line="286" w:lineRule="auto"/>
      <w:ind w:left="2790"/>
      <w:jc w:val="both"/>
      <w:rPr>
        <w:rFonts w:ascii="Times New Roman" w:eastAsia="Calibri" w:hAnsi="Times New Roman"/>
        <w:sz w:val="20"/>
        <w:szCs w:val="20"/>
      </w:rPr>
    </w:pPr>
    <w:r w:rsidRPr="00996EE7">
      <w:rPr>
        <w:rFonts w:ascii="Times New Roman" w:eastAsia="Calibri" w:hAnsi="Times New Roman"/>
        <w:sz w:val="20"/>
        <w:szCs w:val="20"/>
      </w:rPr>
      <w:t>β-CYCLODEXTRIN/ISONIAZID USING SPECTROSCOPIC METHOD</w:t>
    </w:r>
    <w:r w:rsidRPr="00F656B3">
      <w:rPr>
        <w:rFonts w:ascii="Times New Roman" w:eastAsia="Calibri" w:hAnsi="Times New Roman"/>
        <w:sz w:val="28"/>
        <w:szCs w:val="28"/>
      </w:rPr>
      <w:t xml:space="preserve"> </w:t>
    </w:r>
  </w:p>
  <w:p w14:paraId="4C9F1C7F" w14:textId="2D255B3E" w:rsidR="00261DFC" w:rsidRDefault="00261D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24CC" w14:textId="5E512365" w:rsidR="00261DFC" w:rsidRDefault="00261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C526A"/>
    <w:multiLevelType w:val="hybridMultilevel"/>
    <w:tmpl w:val="F548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94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493E"/>
    <w:rsid w:val="00053DCB"/>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61DFC"/>
    <w:rsid w:val="002752F0"/>
    <w:rsid w:val="002867F0"/>
    <w:rsid w:val="0029079C"/>
    <w:rsid w:val="002A6CF2"/>
    <w:rsid w:val="002B188F"/>
    <w:rsid w:val="002B3BD8"/>
    <w:rsid w:val="002F3F91"/>
    <w:rsid w:val="00304767"/>
    <w:rsid w:val="00304B34"/>
    <w:rsid w:val="00312C0E"/>
    <w:rsid w:val="003267E6"/>
    <w:rsid w:val="00345738"/>
    <w:rsid w:val="00361BAF"/>
    <w:rsid w:val="00367D1F"/>
    <w:rsid w:val="00373A9B"/>
    <w:rsid w:val="0038323C"/>
    <w:rsid w:val="00383F26"/>
    <w:rsid w:val="0039005B"/>
    <w:rsid w:val="003B0AC0"/>
    <w:rsid w:val="003D585B"/>
    <w:rsid w:val="003E7DA6"/>
    <w:rsid w:val="003F12FF"/>
    <w:rsid w:val="00420074"/>
    <w:rsid w:val="00475D0A"/>
    <w:rsid w:val="004760D4"/>
    <w:rsid w:val="00494C46"/>
    <w:rsid w:val="004A12DD"/>
    <w:rsid w:val="004B43FF"/>
    <w:rsid w:val="00502641"/>
    <w:rsid w:val="00510BA6"/>
    <w:rsid w:val="00534441"/>
    <w:rsid w:val="00545363"/>
    <w:rsid w:val="00567D9E"/>
    <w:rsid w:val="00583C85"/>
    <w:rsid w:val="00584156"/>
    <w:rsid w:val="005C6768"/>
    <w:rsid w:val="00624C7C"/>
    <w:rsid w:val="006267B4"/>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D12E6"/>
    <w:rsid w:val="007E25BD"/>
    <w:rsid w:val="007F4ECC"/>
    <w:rsid w:val="00801E18"/>
    <w:rsid w:val="00802C35"/>
    <w:rsid w:val="0082181A"/>
    <w:rsid w:val="0086622B"/>
    <w:rsid w:val="00873E61"/>
    <w:rsid w:val="008B02C7"/>
    <w:rsid w:val="008B470E"/>
    <w:rsid w:val="008C14D6"/>
    <w:rsid w:val="008E1211"/>
    <w:rsid w:val="008E5BBF"/>
    <w:rsid w:val="008E6968"/>
    <w:rsid w:val="008F2DC2"/>
    <w:rsid w:val="009110FB"/>
    <w:rsid w:val="00917637"/>
    <w:rsid w:val="00992776"/>
    <w:rsid w:val="00996EE7"/>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022D"/>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D7562"/>
    <w:rsid w:val="00CF05FF"/>
    <w:rsid w:val="00D20E6C"/>
    <w:rsid w:val="00D33D1A"/>
    <w:rsid w:val="00D340BB"/>
    <w:rsid w:val="00D505D5"/>
    <w:rsid w:val="00D63C28"/>
    <w:rsid w:val="00D75B35"/>
    <w:rsid w:val="00D76E09"/>
    <w:rsid w:val="00D9736F"/>
    <w:rsid w:val="00D97773"/>
    <w:rsid w:val="00D9792A"/>
    <w:rsid w:val="00DD377F"/>
    <w:rsid w:val="00DE1F47"/>
    <w:rsid w:val="00E229C4"/>
    <w:rsid w:val="00E25547"/>
    <w:rsid w:val="00E2773B"/>
    <w:rsid w:val="00E3287E"/>
    <w:rsid w:val="00E66197"/>
    <w:rsid w:val="00EA5AEB"/>
    <w:rsid w:val="00EB5BA5"/>
    <w:rsid w:val="00EF4195"/>
    <w:rsid w:val="00F202C3"/>
    <w:rsid w:val="00F23D94"/>
    <w:rsid w:val="00F31093"/>
    <w:rsid w:val="00F412AF"/>
    <w:rsid w:val="00F43667"/>
    <w:rsid w:val="00F447A7"/>
    <w:rsid w:val="00F467A2"/>
    <w:rsid w:val="00F567E6"/>
    <w:rsid w:val="00F90A5E"/>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7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qFormat/>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053DCB"/>
    <w:pPr>
      <w:spacing w:before="100" w:beforeAutospacing="1" w:after="160" w:line="256" w:lineRule="auto"/>
    </w:pPr>
    <w:rPr>
      <w:rFonts w:ascii="SimSun" w:eastAsia="SimSun" w:hAnsi="SimSun"/>
      <w:sz w:val="24"/>
      <w:szCs w:val="24"/>
      <w:lang w:val="en-MY" w:eastAsia="en-MY" w:bidi="ar-SA"/>
    </w:rPr>
  </w:style>
  <w:style w:type="character" w:customStyle="1" w:styleId="HTMLPreformattedChar">
    <w:name w:val="HTML Preformatted Char"/>
    <w:basedOn w:val="DefaultParagraphFont"/>
    <w:link w:val="HTMLPreformatted"/>
    <w:uiPriority w:val="99"/>
    <w:rsid w:val="00053DCB"/>
    <w:rPr>
      <w:rFonts w:ascii="SimSun" w:eastAsia="SimSun" w:hAnsi="SimSun"/>
      <w:sz w:val="24"/>
      <w:szCs w:val="24"/>
    </w:rPr>
  </w:style>
  <w:style w:type="paragraph" w:styleId="NormalWeb">
    <w:name w:val="Normal (Web)"/>
    <w:basedOn w:val="Normal"/>
    <w:uiPriority w:val="99"/>
    <w:semiHidden/>
    <w:unhideWhenUsed/>
    <w:rsid w:val="00053DCB"/>
    <w:pPr>
      <w:spacing w:before="100" w:beforeAutospacing="1" w:after="100" w:afterAutospacing="1" w:line="256" w:lineRule="auto"/>
    </w:pPr>
    <w:rPr>
      <w:rFonts w:ascii="Times New Roman" w:eastAsia="SimSun" w:hAnsi="Times New Roman"/>
      <w:sz w:val="24"/>
      <w:szCs w:val="24"/>
      <w:lang w:val="en-MY" w:eastAsia="en-MY" w:bidi="ar-SA"/>
    </w:rPr>
  </w:style>
  <w:style w:type="character" w:styleId="Hyperlink">
    <w:name w:val="Hyperlink"/>
    <w:basedOn w:val="DefaultParagraphFont"/>
    <w:uiPriority w:val="99"/>
    <w:unhideWhenUsed/>
    <w:qFormat/>
    <w:rsid w:val="00053DCB"/>
    <w:rPr>
      <w:color w:val="0000FF" w:themeColor="hyperlink"/>
      <w:u w:val="single"/>
    </w:rPr>
  </w:style>
  <w:style w:type="table" w:styleId="TableGrid">
    <w:name w:val="Table Grid"/>
    <w:basedOn w:val="TableNormal"/>
    <w:uiPriority w:val="99"/>
    <w:rsid w:val="00053DCB"/>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53DCB"/>
    <w:rPr>
      <w:rFonts w:asciiTheme="minorHAnsi" w:eastAsiaTheme="minorEastAsia" w:hAnsiTheme="minorHAnsi" w:cstheme="minorBidi"/>
      <w:color w:val="000000" w:themeColor="text1" w:themeShade="BF"/>
      <w:kern w:val="2"/>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053DCB"/>
    <w:rPr>
      <w:color w:val="605E5C"/>
      <w:shd w:val="clear" w:color="auto" w:fill="E1DFDD"/>
    </w:rPr>
  </w:style>
  <w:style w:type="paragraph" w:customStyle="1" w:styleId="Default">
    <w:name w:val="Default"/>
    <w:rsid w:val="00053DCB"/>
    <w:pPr>
      <w:autoSpaceDE w:val="0"/>
      <w:autoSpaceDN w:val="0"/>
      <w:adjustRightInd w:val="0"/>
    </w:pPr>
    <w:rPr>
      <w:rFonts w:ascii="Cambria Math" w:eastAsia="Batang" w:hAnsi="Cambria Math" w:cs="Cambria Math"/>
      <w:color w:val="000000"/>
      <w:sz w:val="24"/>
      <w:szCs w:val="24"/>
      <w:lang w:eastAsia="en-US"/>
    </w:rPr>
  </w:style>
  <w:style w:type="character" w:styleId="PlaceholderText">
    <w:name w:val="Placeholder Text"/>
    <w:basedOn w:val="DefaultParagraphFont"/>
    <w:uiPriority w:val="99"/>
    <w:semiHidden/>
    <w:rsid w:val="00053DCB"/>
    <w:rPr>
      <w:color w:val="808080"/>
    </w:rPr>
  </w:style>
  <w:style w:type="character" w:customStyle="1" w:styleId="15">
    <w:name w:val="15"/>
    <w:basedOn w:val="DefaultParagraphFont"/>
    <w:rsid w:val="00053DCB"/>
    <w:rPr>
      <w:rFonts w:ascii="Times New Roman" w:hAnsi="Times New Roman" w:cs="Times New Roman" w:hint="default"/>
      <w:color w:val="0563C1"/>
      <w:u w:val="single"/>
    </w:rPr>
  </w:style>
  <w:style w:type="character" w:customStyle="1" w:styleId="fontstyle01">
    <w:name w:val="fontstyle01"/>
    <w:basedOn w:val="DefaultParagraphFont"/>
    <w:rsid w:val="00053DCB"/>
    <w:rPr>
      <w:rFonts w:ascii="Calibri" w:hAnsi="Calibri" w:cs="Calibri" w:hint="default"/>
      <w:b w:val="0"/>
      <w:bCs w:val="0"/>
      <w:i w:val="0"/>
      <w:iCs w:val="0"/>
      <w:color w:val="000000"/>
      <w:sz w:val="18"/>
      <w:szCs w:val="18"/>
    </w:rPr>
  </w:style>
  <w:style w:type="character" w:customStyle="1" w:styleId="html-small-caps">
    <w:name w:val="html-small-caps"/>
    <w:basedOn w:val="DefaultParagraphFont"/>
    <w:rsid w:val="0005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image" Target="media/image4.jpeg"/><Relationship Id="rId34" Type="http://schemas.openxmlformats.org/officeDocument/2006/relationships/image" Target="media/image8.jpeg"/><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6.jpeg"/><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header" Target="header12.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image" Target="media/image9.jpeg"/><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image" Target="media/image7.jpeg"/><Relationship Id="rId38" Type="http://schemas.openxmlformats.org/officeDocument/2006/relationships/footer" Target="footer8.xml"/><Relationship Id="rId46"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4</cp:revision>
  <cp:lastPrinted>2020-10-27T13:48:00Z</cp:lastPrinted>
  <dcterms:created xsi:type="dcterms:W3CDTF">2020-10-27T13:46:00Z</dcterms:created>
  <dcterms:modified xsi:type="dcterms:W3CDTF">2020-10-27T13:50:00Z</dcterms:modified>
</cp:coreProperties>
</file>