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7EF72D" w14:textId="77777777" w:rsidR="00F15A10" w:rsidRPr="003D1148" w:rsidRDefault="00F15A10" w:rsidP="00F15A10">
      <w:pPr>
        <w:spacing w:after="0"/>
        <w:jc w:val="center"/>
        <w:rPr>
          <w:rFonts w:ascii="Times New Roman" w:hAnsi="Times New Roman"/>
          <w:bCs/>
          <w:sz w:val="28"/>
          <w:szCs w:val="28"/>
        </w:rPr>
      </w:pPr>
      <w:bookmarkStart w:id="0" w:name="_Hlk51339628"/>
      <w:r w:rsidRPr="003D1148">
        <w:rPr>
          <w:rFonts w:ascii="Times New Roman" w:hAnsi="Times New Roman"/>
          <w:bCs/>
          <w:sz w:val="28"/>
          <w:szCs w:val="28"/>
        </w:rPr>
        <w:t>VALIDATION AND DETERMINATION OF ASCORBIC ACID IN MULTIVITAMIN TABLETS BY DIFFERENTIAL PULSE ANODIC STRIPPING VOLTAMMETRIC TECHNIQUE AT A BARE GLASSY CARBON ELECTRODE</w:t>
      </w:r>
    </w:p>
    <w:bookmarkEnd w:id="0"/>
    <w:p w14:paraId="27DD3ECF" w14:textId="77777777" w:rsidR="00F15A10" w:rsidRPr="00F15A10" w:rsidRDefault="00F15A10" w:rsidP="00F15A10">
      <w:pPr>
        <w:spacing w:after="0"/>
        <w:jc w:val="center"/>
        <w:rPr>
          <w:rFonts w:ascii="Times New Roman" w:hAnsi="Times New Roman"/>
          <w:b/>
          <w:sz w:val="24"/>
          <w:szCs w:val="24"/>
        </w:rPr>
      </w:pPr>
    </w:p>
    <w:p w14:paraId="5F04CB4D" w14:textId="3087F37E" w:rsidR="00F15A10" w:rsidRPr="00F15A10" w:rsidRDefault="00F15A10" w:rsidP="00F15A10">
      <w:pPr>
        <w:spacing w:after="0"/>
        <w:jc w:val="center"/>
        <w:rPr>
          <w:rFonts w:ascii="Times New Roman" w:hAnsi="Times New Roman"/>
          <w:bCs/>
          <w:sz w:val="24"/>
          <w:szCs w:val="24"/>
          <w:lang w:val="ms-MY"/>
        </w:rPr>
      </w:pPr>
      <w:r w:rsidRPr="00F15A10">
        <w:rPr>
          <w:rFonts w:ascii="Times New Roman" w:hAnsi="Times New Roman"/>
          <w:b/>
          <w:sz w:val="24"/>
          <w:szCs w:val="24"/>
        </w:rPr>
        <w:t>(</w:t>
      </w:r>
      <w:r w:rsidRPr="00F15A10">
        <w:rPr>
          <w:rFonts w:ascii="Times New Roman" w:hAnsi="Times New Roman"/>
          <w:bCs/>
          <w:sz w:val="24"/>
          <w:szCs w:val="24"/>
          <w:lang w:val="ms-MY"/>
        </w:rPr>
        <w:t>Validasi dan Penentuan Asid Askorbik dalam Tablet Multivitamin Menggunakan Teknik Voltammetrik Perlucutan Anodik</w:t>
      </w:r>
      <w:r>
        <w:rPr>
          <w:rFonts w:ascii="Times New Roman" w:hAnsi="Times New Roman"/>
          <w:bCs/>
          <w:sz w:val="24"/>
          <w:szCs w:val="24"/>
          <w:lang w:val="ms-MY"/>
        </w:rPr>
        <w:t xml:space="preserve"> </w:t>
      </w:r>
      <w:r w:rsidRPr="00F15A10">
        <w:rPr>
          <w:rFonts w:ascii="Times New Roman" w:hAnsi="Times New Roman"/>
          <w:bCs/>
          <w:sz w:val="24"/>
          <w:szCs w:val="24"/>
          <w:lang w:val="ms-MY"/>
        </w:rPr>
        <w:t>Denyutan Pembezaan pada Elektrod Karbon Berkaca</w:t>
      </w:r>
      <w:r w:rsidRPr="00F15A10">
        <w:rPr>
          <w:rFonts w:ascii="Times New Roman" w:hAnsi="Times New Roman"/>
          <w:b/>
          <w:sz w:val="24"/>
          <w:szCs w:val="24"/>
        </w:rPr>
        <w:t>)</w:t>
      </w:r>
    </w:p>
    <w:p w14:paraId="2B9B9464" w14:textId="77777777" w:rsidR="00F15A10" w:rsidRPr="00F15A10" w:rsidRDefault="00F15A10" w:rsidP="00F15A10">
      <w:pPr>
        <w:spacing w:after="0"/>
        <w:jc w:val="center"/>
        <w:rPr>
          <w:rFonts w:ascii="Times New Roman" w:hAnsi="Times New Roman"/>
          <w:b/>
          <w:sz w:val="20"/>
          <w:szCs w:val="20"/>
        </w:rPr>
      </w:pPr>
    </w:p>
    <w:p w14:paraId="0A988BC9" w14:textId="77777777" w:rsidR="00F15A10" w:rsidRPr="003D1148" w:rsidRDefault="00F15A10" w:rsidP="00F15A10">
      <w:pPr>
        <w:spacing w:after="0"/>
        <w:jc w:val="center"/>
        <w:rPr>
          <w:rFonts w:ascii="Times New Roman" w:hAnsi="Times New Roman"/>
          <w:bCs/>
          <w:sz w:val="20"/>
          <w:szCs w:val="20"/>
          <w:lang w:val="ms-MY"/>
        </w:rPr>
      </w:pPr>
      <w:r w:rsidRPr="003D1148">
        <w:rPr>
          <w:rFonts w:ascii="Times New Roman" w:hAnsi="Times New Roman"/>
          <w:bCs/>
          <w:sz w:val="20"/>
          <w:szCs w:val="20"/>
          <w:lang w:val="ms-MY"/>
        </w:rPr>
        <w:t>Nur Syamimi Zainudin</w:t>
      </w:r>
      <w:r w:rsidRPr="00F15A10">
        <w:rPr>
          <w:rFonts w:ascii="Times New Roman" w:hAnsi="Times New Roman"/>
          <w:bCs/>
          <w:sz w:val="20"/>
          <w:szCs w:val="20"/>
          <w:lang w:val="ms-MY"/>
        </w:rPr>
        <w:t>*</w:t>
      </w:r>
      <w:r w:rsidRPr="003D1148">
        <w:rPr>
          <w:rFonts w:ascii="Times New Roman" w:hAnsi="Times New Roman"/>
          <w:bCs/>
          <w:sz w:val="20"/>
          <w:szCs w:val="20"/>
          <w:lang w:val="ms-MY"/>
        </w:rPr>
        <w:t>, Siti Norbaitina Shaari, Megat Ahmad Kamal Megat Hanafiah</w:t>
      </w:r>
    </w:p>
    <w:p w14:paraId="19374E20" w14:textId="77777777" w:rsidR="00F15A10" w:rsidRPr="00F15A10" w:rsidRDefault="00F15A10" w:rsidP="00F15A10">
      <w:pPr>
        <w:spacing w:after="0"/>
        <w:jc w:val="center"/>
        <w:rPr>
          <w:rFonts w:ascii="Times New Roman" w:hAnsi="Times New Roman"/>
          <w:bCs/>
          <w:sz w:val="18"/>
          <w:szCs w:val="18"/>
        </w:rPr>
      </w:pPr>
    </w:p>
    <w:p w14:paraId="79BCECA0" w14:textId="77777777" w:rsidR="00F15A10" w:rsidRPr="00F15A10" w:rsidRDefault="00F15A10" w:rsidP="00F15A10">
      <w:pPr>
        <w:spacing w:after="0"/>
        <w:jc w:val="center"/>
        <w:rPr>
          <w:rFonts w:ascii="Times New Roman" w:hAnsi="Times New Roman"/>
          <w:bCs/>
          <w:i/>
          <w:iCs/>
          <w:sz w:val="18"/>
          <w:szCs w:val="18"/>
        </w:rPr>
      </w:pPr>
      <w:r w:rsidRPr="00F15A10">
        <w:rPr>
          <w:rFonts w:ascii="Times New Roman" w:hAnsi="Times New Roman"/>
          <w:bCs/>
          <w:i/>
          <w:iCs/>
          <w:sz w:val="18"/>
          <w:szCs w:val="18"/>
        </w:rPr>
        <w:t>Faculty of Applied Sciences,</w:t>
      </w:r>
    </w:p>
    <w:p w14:paraId="172FF1F5" w14:textId="3E7954E2" w:rsidR="00F15A10" w:rsidRPr="00F15A10" w:rsidRDefault="00F15A10" w:rsidP="00F15A10">
      <w:pPr>
        <w:spacing w:after="0"/>
        <w:jc w:val="center"/>
        <w:rPr>
          <w:rFonts w:ascii="Times New Roman" w:hAnsi="Times New Roman"/>
          <w:bCs/>
          <w:i/>
          <w:iCs/>
          <w:sz w:val="18"/>
          <w:szCs w:val="18"/>
        </w:rPr>
      </w:pPr>
      <w:r w:rsidRPr="00F15A10">
        <w:rPr>
          <w:rFonts w:ascii="Times New Roman" w:hAnsi="Times New Roman"/>
          <w:bCs/>
          <w:i/>
          <w:iCs/>
          <w:sz w:val="18"/>
          <w:szCs w:val="18"/>
        </w:rPr>
        <w:t>Universiti Teknologi MARA Pahang</w:t>
      </w:r>
      <w:r w:rsidR="007463BF">
        <w:rPr>
          <w:rFonts w:ascii="Times New Roman" w:hAnsi="Times New Roman"/>
          <w:bCs/>
          <w:i/>
          <w:iCs/>
          <w:sz w:val="18"/>
          <w:szCs w:val="18"/>
        </w:rPr>
        <w:t xml:space="preserve"> Jengka Campus</w:t>
      </w:r>
      <w:r w:rsidRPr="00F15A10">
        <w:rPr>
          <w:rFonts w:ascii="Times New Roman" w:hAnsi="Times New Roman"/>
          <w:bCs/>
          <w:i/>
          <w:iCs/>
          <w:sz w:val="18"/>
          <w:szCs w:val="18"/>
        </w:rPr>
        <w:t>,</w:t>
      </w:r>
      <w:r>
        <w:rPr>
          <w:rFonts w:ascii="Times New Roman" w:hAnsi="Times New Roman"/>
          <w:bCs/>
          <w:i/>
          <w:iCs/>
          <w:sz w:val="18"/>
          <w:szCs w:val="18"/>
        </w:rPr>
        <w:t xml:space="preserve"> </w:t>
      </w:r>
      <w:r w:rsidRPr="00F15A10">
        <w:rPr>
          <w:rFonts w:ascii="Times New Roman" w:hAnsi="Times New Roman"/>
          <w:bCs/>
          <w:i/>
          <w:iCs/>
          <w:sz w:val="18"/>
          <w:szCs w:val="18"/>
        </w:rPr>
        <w:t>26400 Bandar Tun Abdul Razak Jengka, Pahang, Malaysia</w:t>
      </w:r>
    </w:p>
    <w:p w14:paraId="256214C7" w14:textId="77777777" w:rsidR="00F15A10" w:rsidRPr="00F15A10" w:rsidRDefault="00F15A10" w:rsidP="00F15A10">
      <w:pPr>
        <w:spacing w:after="0"/>
        <w:jc w:val="center"/>
        <w:rPr>
          <w:rFonts w:ascii="Times New Roman" w:hAnsi="Times New Roman"/>
          <w:bCs/>
          <w:i/>
          <w:iCs/>
          <w:sz w:val="18"/>
          <w:szCs w:val="18"/>
        </w:rPr>
      </w:pPr>
    </w:p>
    <w:p w14:paraId="3EC3E8CA" w14:textId="7067D457" w:rsidR="00F15A10" w:rsidRPr="00F15A10" w:rsidRDefault="00F15A10" w:rsidP="00F15A10">
      <w:pPr>
        <w:spacing w:after="0"/>
        <w:jc w:val="center"/>
        <w:rPr>
          <w:rFonts w:ascii="Times New Roman" w:hAnsi="Times New Roman"/>
          <w:bCs/>
          <w:i/>
          <w:iCs/>
          <w:sz w:val="18"/>
          <w:szCs w:val="18"/>
        </w:rPr>
      </w:pPr>
      <w:r w:rsidRPr="00F15A10">
        <w:rPr>
          <w:rFonts w:ascii="Times New Roman" w:hAnsi="Times New Roman"/>
          <w:bCs/>
          <w:i/>
          <w:iCs/>
          <w:sz w:val="18"/>
          <w:szCs w:val="18"/>
        </w:rPr>
        <w:t xml:space="preserve">*Corresponding author: </w:t>
      </w:r>
      <w:r>
        <w:rPr>
          <w:rFonts w:ascii="Times New Roman" w:hAnsi="Times New Roman"/>
          <w:bCs/>
          <w:i/>
          <w:iCs/>
          <w:sz w:val="18"/>
          <w:szCs w:val="18"/>
        </w:rPr>
        <w:t xml:space="preserve"> </w:t>
      </w:r>
      <w:r w:rsidRPr="00F15A10">
        <w:rPr>
          <w:rFonts w:ascii="Times New Roman" w:hAnsi="Times New Roman"/>
          <w:bCs/>
          <w:i/>
          <w:iCs/>
          <w:sz w:val="18"/>
          <w:szCs w:val="18"/>
        </w:rPr>
        <w:t>nursyamimizainudin@uitm.edu.my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65443BA8"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497942">
        <w:rPr>
          <w:rFonts w:ascii="Times New Roman" w:hAnsi="Times New Roman"/>
          <w:noProof/>
          <w:sz w:val="18"/>
          <w:szCs w:val="18"/>
          <w:lang w:bidi="ar-SA"/>
        </w:rPr>
        <w:t>8 August 2020</w:t>
      </w:r>
      <w:r w:rsidRPr="00510BA6">
        <w:rPr>
          <w:rFonts w:ascii="Times New Roman" w:hAnsi="Times New Roman"/>
          <w:noProof/>
          <w:sz w:val="18"/>
          <w:szCs w:val="18"/>
          <w:lang w:bidi="ar-SA"/>
        </w:rPr>
        <w:t xml:space="preserve">; Accepted: </w:t>
      </w:r>
      <w:r w:rsidR="00497942">
        <w:rPr>
          <w:rFonts w:ascii="Times New Roman" w:hAnsi="Times New Roman"/>
          <w:noProof/>
          <w:sz w:val="18"/>
          <w:szCs w:val="18"/>
          <w:lang w:bidi="ar-SA"/>
        </w:rPr>
        <w:t>29 September 2020</w:t>
      </w:r>
      <w:r w:rsidR="00510BA6" w:rsidRPr="00510BA6">
        <w:rPr>
          <w:rFonts w:ascii="Times New Roman" w:hAnsi="Times New Roman"/>
          <w:noProof/>
          <w:sz w:val="18"/>
          <w:szCs w:val="18"/>
          <w:lang w:bidi="ar-SA"/>
        </w:rPr>
        <w:t xml:space="preserve">; Published: </w:t>
      </w:r>
      <w:r w:rsidR="00497942">
        <w:rPr>
          <w:rFonts w:ascii="Times New Roman" w:hAnsi="Times New Roman"/>
          <w:noProof/>
          <w:sz w:val="18"/>
          <w:szCs w:val="18"/>
          <w:lang w:bidi="ar-SA"/>
        </w:rPr>
        <w:t xml:space="preserve"> xx December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06C8F255" w14:textId="77777777" w:rsidR="00F15A10" w:rsidRPr="003D1148" w:rsidRDefault="00F15A10" w:rsidP="00F15A10">
      <w:pPr>
        <w:spacing w:after="0"/>
        <w:ind w:right="-43"/>
        <w:jc w:val="both"/>
        <w:rPr>
          <w:rFonts w:ascii="Times New Roman" w:hAnsi="Times New Roman"/>
          <w:sz w:val="18"/>
          <w:szCs w:val="18"/>
        </w:rPr>
      </w:pPr>
      <w:r w:rsidRPr="003D1148">
        <w:rPr>
          <w:rFonts w:ascii="Times New Roman" w:hAnsi="Times New Roman"/>
          <w:sz w:val="18"/>
          <w:szCs w:val="18"/>
        </w:rPr>
        <w:t xml:space="preserve">Growth of multivitamin tablet production increases curiosity among the researchers whether ascorbic acid (AA) content is in accordance with the standards or not. </w:t>
      </w:r>
      <w:bookmarkStart w:id="1" w:name="_Hlk41767329"/>
      <w:r w:rsidRPr="003D1148">
        <w:rPr>
          <w:rFonts w:ascii="Times New Roman" w:hAnsi="Times New Roman"/>
          <w:sz w:val="18"/>
          <w:szCs w:val="18"/>
        </w:rPr>
        <w:t>The differential pulse anodic stripping voltammetry (DPASV)</w:t>
      </w:r>
      <w:bookmarkEnd w:id="1"/>
      <w:r w:rsidRPr="003D1148">
        <w:rPr>
          <w:rFonts w:ascii="Times New Roman" w:hAnsi="Times New Roman"/>
          <w:sz w:val="18"/>
          <w:szCs w:val="18"/>
        </w:rPr>
        <w:t xml:space="preserve"> technique using bare glassy carbon electrode and phosphate buffer at pH 4.2 has been proposed to analyse the ascorbic acid content. The experimental voltammetric parameters were optimized to obtain a maximum response with analytical validation of the technique. The optimum instrumental conditions for electroanalytical determination of AA by the proposed DPASV technique were </w:t>
      </w:r>
      <w:bookmarkStart w:id="2" w:name="_Hlk41767692"/>
      <w:r w:rsidRPr="003D1148">
        <w:rPr>
          <w:rFonts w:ascii="Times New Roman" w:hAnsi="Times New Roman"/>
          <w:sz w:val="18"/>
          <w:szCs w:val="18"/>
        </w:rPr>
        <w:t>initial potential = 0 V, final potential = 0.7 V, accumulation time = 60 s, scan rate = 0.125 V/s, accumulation potential = 0 V and pulse amplitude = 0.150 V.</w:t>
      </w:r>
      <w:bookmarkEnd w:id="2"/>
      <w:r w:rsidRPr="003D1148">
        <w:rPr>
          <w:rFonts w:ascii="Times New Roman" w:hAnsi="Times New Roman"/>
          <w:sz w:val="18"/>
          <w:szCs w:val="18"/>
        </w:rPr>
        <w:t xml:space="preserve"> </w:t>
      </w:r>
      <w:bookmarkStart w:id="3" w:name="_Hlk41767894"/>
      <w:r w:rsidRPr="003D1148">
        <w:rPr>
          <w:rFonts w:ascii="Times New Roman" w:hAnsi="Times New Roman"/>
          <w:sz w:val="18"/>
          <w:szCs w:val="18"/>
        </w:rPr>
        <w:t>The curve was linear from 5 mg L</w:t>
      </w:r>
      <w:r w:rsidRPr="003D1148">
        <w:rPr>
          <w:rFonts w:ascii="Times New Roman" w:hAnsi="Times New Roman"/>
          <w:sz w:val="18"/>
          <w:szCs w:val="18"/>
          <w:vertAlign w:val="superscript"/>
        </w:rPr>
        <w:t>-1</w:t>
      </w:r>
      <w:r w:rsidRPr="003D1148">
        <w:rPr>
          <w:rFonts w:ascii="Times New Roman" w:hAnsi="Times New Roman"/>
          <w:sz w:val="18"/>
          <w:szCs w:val="18"/>
        </w:rPr>
        <w:t xml:space="preserve"> to 300 mg L</w:t>
      </w:r>
      <w:r w:rsidRPr="003D1148">
        <w:rPr>
          <w:rFonts w:ascii="Times New Roman" w:hAnsi="Times New Roman"/>
          <w:sz w:val="18"/>
          <w:szCs w:val="18"/>
          <w:vertAlign w:val="superscript"/>
        </w:rPr>
        <w:t>-1</w:t>
      </w:r>
      <w:r w:rsidRPr="003D1148">
        <w:rPr>
          <w:rFonts w:ascii="Times New Roman" w:hAnsi="Times New Roman"/>
          <w:sz w:val="18"/>
          <w:szCs w:val="18"/>
        </w:rPr>
        <w:t xml:space="preserve"> (R</w:t>
      </w:r>
      <w:r w:rsidRPr="003D1148">
        <w:rPr>
          <w:rFonts w:ascii="Times New Roman" w:hAnsi="Times New Roman"/>
          <w:sz w:val="18"/>
          <w:szCs w:val="18"/>
          <w:vertAlign w:val="superscript"/>
        </w:rPr>
        <w:t>2</w:t>
      </w:r>
      <w:r>
        <w:rPr>
          <w:rFonts w:ascii="Times New Roman" w:hAnsi="Times New Roman"/>
          <w:sz w:val="18"/>
          <w:szCs w:val="18"/>
          <w:vertAlign w:val="superscript"/>
        </w:rPr>
        <w:t xml:space="preserve"> </w:t>
      </w:r>
      <w:r w:rsidRPr="003D1148">
        <w:rPr>
          <w:rFonts w:ascii="Times New Roman" w:hAnsi="Times New Roman"/>
          <w:sz w:val="18"/>
          <w:szCs w:val="18"/>
        </w:rPr>
        <w:t>=</w:t>
      </w:r>
      <w:r>
        <w:rPr>
          <w:rFonts w:ascii="Times New Roman" w:hAnsi="Times New Roman"/>
          <w:sz w:val="18"/>
          <w:szCs w:val="18"/>
        </w:rPr>
        <w:t xml:space="preserve"> </w:t>
      </w:r>
      <w:r w:rsidRPr="003D1148">
        <w:rPr>
          <w:rFonts w:ascii="Times New Roman" w:hAnsi="Times New Roman"/>
          <w:sz w:val="18"/>
          <w:szCs w:val="18"/>
        </w:rPr>
        <w:t>0.9999) with detection limit of 0.25 mg L</w:t>
      </w:r>
      <w:r w:rsidRPr="003D1148">
        <w:rPr>
          <w:rFonts w:ascii="Times New Roman" w:hAnsi="Times New Roman"/>
          <w:sz w:val="18"/>
          <w:szCs w:val="18"/>
          <w:vertAlign w:val="superscript"/>
        </w:rPr>
        <w:t>-1</w:t>
      </w:r>
      <w:r w:rsidRPr="003D1148">
        <w:rPr>
          <w:rFonts w:ascii="Times New Roman" w:hAnsi="Times New Roman"/>
          <w:sz w:val="18"/>
          <w:szCs w:val="18"/>
        </w:rPr>
        <w:t xml:space="preserve">. The precisions in terms of relative standard deviation (RSD) were 1.3%, 0.5% and 0.06%. The recoveries for AA content in the two multivitamin tablets were 98% and 102%, respectively. It can be concluded that the proposed technique is precise, accurate, rugged, low cost, fast and has the potential to be an alternative method for routine analysis of AA in other pharmaceutical products in future. </w:t>
      </w:r>
    </w:p>
    <w:bookmarkEnd w:id="3"/>
    <w:p w14:paraId="66055721" w14:textId="77777777" w:rsidR="00F15A10" w:rsidRPr="003D1148" w:rsidRDefault="00F15A10" w:rsidP="00F15A10">
      <w:pPr>
        <w:spacing w:after="0"/>
        <w:ind w:right="-43"/>
        <w:jc w:val="both"/>
        <w:rPr>
          <w:rFonts w:ascii="Times New Roman" w:hAnsi="Times New Roman"/>
          <w:sz w:val="18"/>
          <w:szCs w:val="18"/>
        </w:rPr>
      </w:pPr>
    </w:p>
    <w:p w14:paraId="75EC8C4A" w14:textId="67D89C19" w:rsidR="00F15A10" w:rsidRDefault="00F15A10" w:rsidP="00F15A10">
      <w:pPr>
        <w:spacing w:after="0"/>
        <w:ind w:right="-43"/>
        <w:jc w:val="both"/>
        <w:rPr>
          <w:rFonts w:ascii="Times New Roman" w:hAnsi="Times New Roman"/>
          <w:sz w:val="18"/>
          <w:szCs w:val="18"/>
        </w:rPr>
      </w:pPr>
      <w:r w:rsidRPr="003D1148">
        <w:rPr>
          <w:rFonts w:ascii="Times New Roman" w:hAnsi="Times New Roman"/>
          <w:b/>
          <w:sz w:val="18"/>
          <w:szCs w:val="18"/>
        </w:rPr>
        <w:t xml:space="preserve">Keywords: </w:t>
      </w:r>
      <w:r>
        <w:rPr>
          <w:rFonts w:ascii="Times New Roman" w:hAnsi="Times New Roman"/>
          <w:b/>
          <w:sz w:val="18"/>
          <w:szCs w:val="18"/>
        </w:rPr>
        <w:t xml:space="preserve"> </w:t>
      </w:r>
      <w:r w:rsidRPr="003D1148">
        <w:rPr>
          <w:rFonts w:ascii="Times New Roman" w:hAnsi="Times New Roman"/>
          <w:sz w:val="18"/>
          <w:szCs w:val="18"/>
        </w:rPr>
        <w:t xml:space="preserve">ascorbic acid, glassy carbon electrode, </w:t>
      </w:r>
      <w:r w:rsidR="007463BF" w:rsidRPr="003D1148">
        <w:rPr>
          <w:rFonts w:ascii="Times New Roman" w:hAnsi="Times New Roman"/>
          <w:sz w:val="18"/>
          <w:szCs w:val="18"/>
        </w:rPr>
        <w:t>multivitamin</w:t>
      </w:r>
      <w:r w:rsidR="007463BF">
        <w:rPr>
          <w:rFonts w:ascii="Times New Roman" w:hAnsi="Times New Roman"/>
          <w:sz w:val="18"/>
          <w:szCs w:val="18"/>
        </w:rPr>
        <w:t>,</w:t>
      </w:r>
      <w:r w:rsidR="007463BF" w:rsidRPr="003D1148">
        <w:rPr>
          <w:rFonts w:ascii="Times New Roman" w:hAnsi="Times New Roman"/>
          <w:sz w:val="18"/>
          <w:szCs w:val="18"/>
        </w:rPr>
        <w:t xml:space="preserve"> </w:t>
      </w:r>
      <w:r w:rsidRPr="003D1148">
        <w:rPr>
          <w:rFonts w:ascii="Times New Roman" w:hAnsi="Times New Roman"/>
          <w:sz w:val="18"/>
          <w:szCs w:val="18"/>
        </w:rPr>
        <w:t>voltammetry</w:t>
      </w:r>
    </w:p>
    <w:p w14:paraId="0ECEE407" w14:textId="77777777" w:rsidR="00F15A10" w:rsidRDefault="00F15A10" w:rsidP="00F15A10">
      <w:pPr>
        <w:spacing w:after="0"/>
        <w:ind w:right="-43"/>
        <w:jc w:val="center"/>
        <w:rPr>
          <w:rFonts w:ascii="Times New Roman" w:hAnsi="Times New Roman"/>
          <w:sz w:val="18"/>
          <w:szCs w:val="18"/>
        </w:rPr>
      </w:pPr>
    </w:p>
    <w:p w14:paraId="320E9ECF" w14:textId="77777777" w:rsidR="00F15A10" w:rsidRPr="003D1148" w:rsidRDefault="00F15A10" w:rsidP="00F15A10">
      <w:pPr>
        <w:spacing w:after="0"/>
        <w:ind w:right="-43"/>
        <w:jc w:val="center"/>
        <w:rPr>
          <w:rFonts w:ascii="Times New Roman" w:hAnsi="Times New Roman"/>
          <w:b/>
          <w:bCs/>
          <w:sz w:val="18"/>
          <w:szCs w:val="18"/>
          <w:lang w:val="ms-MY"/>
        </w:rPr>
      </w:pPr>
      <w:r w:rsidRPr="003D1148">
        <w:rPr>
          <w:rFonts w:ascii="Times New Roman" w:hAnsi="Times New Roman"/>
          <w:b/>
          <w:bCs/>
          <w:sz w:val="18"/>
          <w:szCs w:val="18"/>
          <w:lang w:val="ms-MY"/>
        </w:rPr>
        <w:t>Abstrak</w:t>
      </w:r>
    </w:p>
    <w:p w14:paraId="75EF42DD" w14:textId="77777777" w:rsidR="00F15A10" w:rsidRDefault="00F15A10" w:rsidP="00F15A10">
      <w:pPr>
        <w:spacing w:after="0"/>
        <w:ind w:right="-43"/>
        <w:jc w:val="both"/>
        <w:rPr>
          <w:rFonts w:ascii="Times New Roman" w:hAnsi="Times New Roman"/>
          <w:sz w:val="18"/>
          <w:szCs w:val="18"/>
          <w:lang w:val="ms-MY"/>
        </w:rPr>
      </w:pPr>
      <w:r w:rsidRPr="003D1148">
        <w:rPr>
          <w:rFonts w:ascii="Times New Roman" w:hAnsi="Times New Roman"/>
          <w:sz w:val="18"/>
          <w:szCs w:val="18"/>
          <w:lang w:val="ms-MY"/>
        </w:rPr>
        <w:t>Pertambahan penghasilan multivitamin dalam bentuk tablet telah meningkatkan rasa ingin tahu para penyelidik samada kandungan asid askorbik (AA) memenuhi piawaian atau tidak. Teknik perlucutan anodik denyutan pembezaan</w:t>
      </w:r>
      <w:r w:rsidRPr="003D1148">
        <w:rPr>
          <w:rFonts w:ascii="Times New Roman" w:hAnsi="Times New Roman"/>
          <w:i/>
          <w:iCs/>
          <w:sz w:val="18"/>
          <w:szCs w:val="18"/>
          <w:lang w:val="ms-MY"/>
        </w:rPr>
        <w:t xml:space="preserve"> </w:t>
      </w:r>
      <w:r w:rsidRPr="003D1148">
        <w:rPr>
          <w:rFonts w:ascii="Times New Roman" w:hAnsi="Times New Roman"/>
          <w:sz w:val="18"/>
          <w:szCs w:val="18"/>
          <w:lang w:val="ms-MY"/>
        </w:rPr>
        <w:t>yang menggunakan elektrod karbon berkaca tanpa pengubahsuaian dan larutan penimbal fosfat (pH 4.2) telah dicadangkan untuk menganalisa kandungan asid askorbik. Parameter-parameter e</w:t>
      </w:r>
      <w:r>
        <w:rPr>
          <w:rFonts w:ascii="Times New Roman" w:hAnsi="Times New Roman"/>
          <w:sz w:val="18"/>
          <w:szCs w:val="18"/>
          <w:lang w:val="ms-MY"/>
        </w:rPr>
        <w:t>ksperimen</w:t>
      </w:r>
      <w:r w:rsidRPr="003D1148">
        <w:rPr>
          <w:rFonts w:ascii="Times New Roman" w:hAnsi="Times New Roman"/>
          <w:sz w:val="18"/>
          <w:szCs w:val="18"/>
          <w:lang w:val="ms-MY"/>
        </w:rPr>
        <w:t xml:space="preserve"> voltammetrik dioptimakan untuk mendapatkan tindakbalas maksima diikuti dengan validasi atau pengesahan teknik voltammetrik. Keadaan instrumentasi optima untuk penentuan AA dengan menggunakan teknik DPASV yang dicadangkan adalah keupayaan awal = 0 V, keupayaan akhir = 0.70 V, masa penjerapan = 60 s, kadar imbasan = 0.125 V/s, keupayaan penjerapan = 0 V dan amplitud denyut = 0.15 V. Keluk penentukuran adalah lurus daripada 5 mg L</w:t>
      </w:r>
      <w:r w:rsidRPr="003D1148">
        <w:rPr>
          <w:rFonts w:ascii="Times New Roman" w:hAnsi="Times New Roman"/>
          <w:sz w:val="18"/>
          <w:szCs w:val="18"/>
          <w:vertAlign w:val="superscript"/>
          <w:lang w:val="ms-MY"/>
        </w:rPr>
        <w:t>-1</w:t>
      </w:r>
      <w:r w:rsidRPr="003D1148">
        <w:rPr>
          <w:rFonts w:ascii="Times New Roman" w:hAnsi="Times New Roman"/>
          <w:sz w:val="18"/>
          <w:szCs w:val="18"/>
          <w:lang w:val="ms-MY"/>
        </w:rPr>
        <w:t xml:space="preserve"> to 300 mg L</w:t>
      </w:r>
      <w:r w:rsidRPr="003D1148">
        <w:rPr>
          <w:rFonts w:ascii="Times New Roman" w:hAnsi="Times New Roman"/>
          <w:sz w:val="18"/>
          <w:szCs w:val="18"/>
          <w:vertAlign w:val="superscript"/>
          <w:lang w:val="ms-MY"/>
        </w:rPr>
        <w:t>-1</w:t>
      </w:r>
      <w:r w:rsidRPr="003D1148">
        <w:rPr>
          <w:rFonts w:ascii="Times New Roman" w:hAnsi="Times New Roman"/>
          <w:sz w:val="18"/>
          <w:szCs w:val="18"/>
          <w:lang w:val="ms-MY"/>
        </w:rPr>
        <w:t xml:space="preserve"> (R</w:t>
      </w:r>
      <w:r w:rsidRPr="003D1148">
        <w:rPr>
          <w:rFonts w:ascii="Times New Roman" w:hAnsi="Times New Roman"/>
          <w:sz w:val="18"/>
          <w:szCs w:val="18"/>
          <w:vertAlign w:val="superscript"/>
          <w:lang w:val="ms-MY"/>
        </w:rPr>
        <w:t>2</w:t>
      </w:r>
      <w:r>
        <w:rPr>
          <w:rFonts w:ascii="Times New Roman" w:hAnsi="Times New Roman"/>
          <w:sz w:val="18"/>
          <w:szCs w:val="18"/>
          <w:vertAlign w:val="superscript"/>
          <w:lang w:val="ms-MY"/>
        </w:rPr>
        <w:t xml:space="preserve"> </w:t>
      </w:r>
      <w:r w:rsidRPr="003D1148">
        <w:rPr>
          <w:rFonts w:ascii="Times New Roman" w:hAnsi="Times New Roman"/>
          <w:sz w:val="18"/>
          <w:szCs w:val="18"/>
          <w:lang w:val="ms-MY"/>
        </w:rPr>
        <w:t>=</w:t>
      </w:r>
      <w:r>
        <w:rPr>
          <w:rFonts w:ascii="Times New Roman" w:hAnsi="Times New Roman"/>
          <w:sz w:val="18"/>
          <w:szCs w:val="18"/>
          <w:lang w:val="ms-MY"/>
        </w:rPr>
        <w:t xml:space="preserve"> </w:t>
      </w:r>
      <w:r w:rsidRPr="003D1148">
        <w:rPr>
          <w:rFonts w:ascii="Times New Roman" w:hAnsi="Times New Roman"/>
          <w:sz w:val="18"/>
          <w:szCs w:val="18"/>
          <w:lang w:val="ms-MY"/>
        </w:rPr>
        <w:t>0.9999) dengan had pengesanan 0.25 mg L</w:t>
      </w:r>
      <w:r w:rsidRPr="003D1148">
        <w:rPr>
          <w:rFonts w:ascii="Times New Roman" w:hAnsi="Times New Roman"/>
          <w:sz w:val="18"/>
          <w:szCs w:val="18"/>
          <w:vertAlign w:val="superscript"/>
          <w:lang w:val="ms-MY"/>
        </w:rPr>
        <w:t>-1</w:t>
      </w:r>
      <w:r w:rsidRPr="003D1148">
        <w:rPr>
          <w:rFonts w:ascii="Times New Roman" w:hAnsi="Times New Roman"/>
          <w:sz w:val="18"/>
          <w:szCs w:val="18"/>
          <w:lang w:val="ms-MY"/>
        </w:rPr>
        <w:t xml:space="preserve">. Kejituan dalam bentuk sisihan piawai relatif adalah 1.3%, 0.5% and 0.06%. Perolehan semula peratusan kandungan AA di dalam dua tablet multivitamin adalah 98% dan 102%. Kesimpulannya, teknik </w:t>
      </w:r>
      <w:r w:rsidRPr="003D1148">
        <w:rPr>
          <w:rFonts w:ascii="Times New Roman" w:hAnsi="Times New Roman"/>
          <w:sz w:val="18"/>
          <w:szCs w:val="18"/>
          <w:lang w:val="ms-MY"/>
        </w:rPr>
        <w:lastRenderedPageBreak/>
        <w:t xml:space="preserve">yang dicadangkan adalah jitu, tepat, tahan lasak, melibatkan kos yang rendah, cepat dan berpotensi untuk menjadi satu kaedah alternatif untuk menganalisa AA dalam produk pharmaseutikal yang lain pada masa akan datang. </w:t>
      </w:r>
    </w:p>
    <w:p w14:paraId="76E5060D" w14:textId="77777777" w:rsidR="00F15A10" w:rsidRDefault="00F15A10" w:rsidP="00F15A10">
      <w:pPr>
        <w:spacing w:after="0"/>
        <w:ind w:right="-43"/>
        <w:jc w:val="both"/>
        <w:rPr>
          <w:rFonts w:ascii="Times New Roman" w:hAnsi="Times New Roman"/>
          <w:sz w:val="18"/>
          <w:szCs w:val="18"/>
          <w:lang w:val="ms-MY"/>
        </w:rPr>
      </w:pPr>
    </w:p>
    <w:p w14:paraId="4B2624F9" w14:textId="75B47899" w:rsidR="00F15A10" w:rsidRDefault="00F15A10" w:rsidP="00F15A10">
      <w:pPr>
        <w:spacing w:after="0"/>
        <w:ind w:right="-43"/>
        <w:jc w:val="both"/>
        <w:rPr>
          <w:rFonts w:ascii="Times New Roman" w:hAnsi="Times New Roman"/>
          <w:sz w:val="18"/>
          <w:szCs w:val="18"/>
          <w:lang w:val="ms-MY"/>
        </w:rPr>
      </w:pPr>
      <w:r w:rsidRPr="003D1148">
        <w:rPr>
          <w:rFonts w:ascii="Times New Roman" w:hAnsi="Times New Roman"/>
          <w:b/>
          <w:bCs/>
          <w:sz w:val="18"/>
          <w:szCs w:val="18"/>
          <w:lang w:val="ms-MY"/>
        </w:rPr>
        <w:t>Kata kunci:</w:t>
      </w:r>
      <w:r w:rsidRPr="003D1148">
        <w:rPr>
          <w:rFonts w:ascii="Times New Roman" w:hAnsi="Times New Roman"/>
          <w:i/>
          <w:iCs/>
          <w:sz w:val="18"/>
          <w:szCs w:val="18"/>
          <w:lang w:val="ms-MY"/>
        </w:rPr>
        <w:t xml:space="preserve"> </w:t>
      </w:r>
      <w:r>
        <w:rPr>
          <w:rFonts w:ascii="Times New Roman" w:hAnsi="Times New Roman"/>
          <w:i/>
          <w:iCs/>
          <w:sz w:val="18"/>
          <w:szCs w:val="18"/>
          <w:lang w:val="ms-MY"/>
        </w:rPr>
        <w:t xml:space="preserve"> </w:t>
      </w:r>
      <w:r w:rsidRPr="003D1148">
        <w:rPr>
          <w:rFonts w:ascii="Times New Roman" w:hAnsi="Times New Roman"/>
          <w:sz w:val="18"/>
          <w:szCs w:val="18"/>
          <w:lang w:val="ms-MY"/>
        </w:rPr>
        <w:t>asid askorbik, ele</w:t>
      </w:r>
      <w:r w:rsidR="007463BF">
        <w:rPr>
          <w:rFonts w:ascii="Times New Roman" w:hAnsi="Times New Roman"/>
          <w:sz w:val="18"/>
          <w:szCs w:val="18"/>
          <w:lang w:val="ms-MY"/>
        </w:rPr>
        <w:t>k</w:t>
      </w:r>
      <w:r w:rsidRPr="003D1148">
        <w:rPr>
          <w:rFonts w:ascii="Times New Roman" w:hAnsi="Times New Roman"/>
          <w:sz w:val="18"/>
          <w:szCs w:val="18"/>
          <w:lang w:val="ms-MY"/>
        </w:rPr>
        <w:t>trod karbon berkaca, multivitamin</w:t>
      </w:r>
      <w:r w:rsidR="007463BF" w:rsidRPr="003D1148">
        <w:rPr>
          <w:rFonts w:ascii="Times New Roman" w:hAnsi="Times New Roman"/>
          <w:sz w:val="18"/>
          <w:szCs w:val="18"/>
          <w:lang w:val="ms-MY"/>
        </w:rPr>
        <w:t>, voltammetri</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61F4B4FD" w14:textId="77777777" w:rsidR="00F067FE" w:rsidRDefault="00F067FE" w:rsidP="00510BA6">
      <w:pPr>
        <w:spacing w:after="0"/>
        <w:jc w:val="center"/>
        <w:rPr>
          <w:rFonts w:ascii="Times New Roman" w:hAnsi="Times New Roman"/>
          <w:b/>
          <w:noProof/>
          <w:sz w:val="20"/>
          <w:szCs w:val="20"/>
          <w:lang w:bidi="ar-SA"/>
        </w:rPr>
        <w:sectPr w:rsidR="00F067FE"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0F94FE84"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52C4BE8D" w14:textId="77777777" w:rsidR="00F15A10" w:rsidRDefault="00F15A10" w:rsidP="00F15A10">
      <w:pPr>
        <w:pBdr>
          <w:top w:val="nil"/>
          <w:left w:val="nil"/>
          <w:bottom w:val="nil"/>
          <w:right w:val="nil"/>
          <w:between w:val="nil"/>
        </w:pBdr>
        <w:spacing w:after="0"/>
        <w:jc w:val="both"/>
        <w:rPr>
          <w:rFonts w:ascii="Times New Roman" w:hAnsi="Times New Roman"/>
          <w:sz w:val="20"/>
          <w:szCs w:val="20"/>
        </w:rPr>
      </w:pPr>
      <w:r w:rsidRPr="003D1148">
        <w:rPr>
          <w:rFonts w:ascii="Times New Roman" w:hAnsi="Times New Roman"/>
          <w:sz w:val="20"/>
          <w:szCs w:val="20"/>
        </w:rPr>
        <w:t>Vitamins are one of the major nutrients that play very important roles in the body. The vitamins involved in the processes of normal metabolism, cell regulation and they are necessary for growth and development. There are thirteen vitamins that are recognized contributing in human nutrition [1]. These vitamins can be divided into fat-soluble vitamins and water-soluble vitamins. Vitamin A, D, E and K are fat-soluble vitamins. Meanwhile, ascorbic acid (AA) and B-complex are water-soluble vitamins [2]. The water-soluble vitamins dissolve easily in water and are readily excreted from the body via urine [3].</w:t>
      </w:r>
    </w:p>
    <w:p w14:paraId="60CF0F5F" w14:textId="77777777" w:rsidR="00F15A10" w:rsidRDefault="00F15A10" w:rsidP="00F15A10">
      <w:pPr>
        <w:pBdr>
          <w:top w:val="nil"/>
          <w:left w:val="nil"/>
          <w:bottom w:val="nil"/>
          <w:right w:val="nil"/>
          <w:between w:val="nil"/>
        </w:pBdr>
        <w:spacing w:after="0"/>
        <w:jc w:val="both"/>
        <w:rPr>
          <w:rFonts w:ascii="Times New Roman" w:hAnsi="Times New Roman"/>
          <w:sz w:val="20"/>
          <w:szCs w:val="20"/>
        </w:rPr>
      </w:pPr>
    </w:p>
    <w:p w14:paraId="028D9BCA" w14:textId="77777777" w:rsidR="00F15A10" w:rsidRPr="003D1148" w:rsidRDefault="00F15A10" w:rsidP="00F15A10">
      <w:pPr>
        <w:pBdr>
          <w:top w:val="nil"/>
          <w:left w:val="nil"/>
          <w:bottom w:val="nil"/>
          <w:right w:val="nil"/>
          <w:between w:val="nil"/>
        </w:pBdr>
        <w:spacing w:after="0"/>
        <w:jc w:val="both"/>
        <w:rPr>
          <w:rFonts w:ascii="Times New Roman" w:hAnsi="Times New Roman"/>
          <w:sz w:val="20"/>
          <w:szCs w:val="20"/>
        </w:rPr>
      </w:pPr>
      <w:r w:rsidRPr="003D1148">
        <w:rPr>
          <w:rFonts w:ascii="Times New Roman" w:hAnsi="Times New Roman"/>
          <w:sz w:val="20"/>
          <w:szCs w:val="20"/>
        </w:rPr>
        <w:t>The AA in food was discovered in the twentieth century in 1907 by Holst and Frolich as a solution for scurvy. During that year, the disease had been reported to be ‘ship beriberi’. In order to avoid this disease, an experiment was done on guinea pigs by feeding them with fresh apples, fresh potatoes, fresh cabbage or fresh lemon juices which is high in the AA. The guinea pigs were also fed</w:t>
      </w:r>
      <w:r w:rsidRPr="003D1148">
        <w:rPr>
          <w:rFonts w:ascii="Times New Roman" w:hAnsi="Times New Roman"/>
          <w:b/>
          <w:sz w:val="20"/>
          <w:szCs w:val="20"/>
        </w:rPr>
        <w:t xml:space="preserve"> </w:t>
      </w:r>
      <w:r w:rsidRPr="003D1148">
        <w:rPr>
          <w:rFonts w:ascii="Times New Roman" w:hAnsi="Times New Roman"/>
          <w:sz w:val="20"/>
          <w:szCs w:val="20"/>
        </w:rPr>
        <w:t>with a simple diet like oat, barley and wheat. The results indicated that deficiency of AA caused the scurvy [4]. The AA is also known as vitamin C, L-ascorbic and 2,3-didehydro-L-threohexono-1,4-lactone as well as 3-keto-L-gulofuranolactone. It has a chemical formula of C</w:t>
      </w:r>
      <w:r w:rsidRPr="003D1148">
        <w:rPr>
          <w:rFonts w:ascii="Times New Roman" w:hAnsi="Times New Roman"/>
          <w:sz w:val="20"/>
          <w:szCs w:val="20"/>
          <w:vertAlign w:val="subscript"/>
        </w:rPr>
        <w:t>6</w:t>
      </w:r>
      <w:r w:rsidRPr="003D1148">
        <w:rPr>
          <w:rFonts w:ascii="Times New Roman" w:hAnsi="Times New Roman"/>
          <w:sz w:val="20"/>
          <w:szCs w:val="20"/>
        </w:rPr>
        <w:t>H</w:t>
      </w:r>
      <w:r w:rsidRPr="003D1148">
        <w:rPr>
          <w:rFonts w:ascii="Times New Roman" w:hAnsi="Times New Roman"/>
          <w:sz w:val="20"/>
          <w:szCs w:val="20"/>
          <w:vertAlign w:val="subscript"/>
        </w:rPr>
        <w:t>8</w:t>
      </w:r>
      <w:r w:rsidRPr="003D1148">
        <w:rPr>
          <w:rFonts w:ascii="Times New Roman" w:hAnsi="Times New Roman"/>
          <w:sz w:val="20"/>
          <w:szCs w:val="20"/>
        </w:rPr>
        <w:t>O</w:t>
      </w:r>
      <w:r w:rsidRPr="003D1148">
        <w:rPr>
          <w:rFonts w:ascii="Times New Roman" w:hAnsi="Times New Roman"/>
          <w:sz w:val="20"/>
          <w:szCs w:val="20"/>
          <w:vertAlign w:val="subscript"/>
        </w:rPr>
        <w:t>6</w:t>
      </w:r>
      <w:r w:rsidRPr="003D1148">
        <w:rPr>
          <w:rFonts w:ascii="Times New Roman" w:hAnsi="Times New Roman"/>
          <w:sz w:val="20"/>
          <w:szCs w:val="20"/>
        </w:rPr>
        <w:t xml:space="preserve"> and molecular weight of 176 gmol</w:t>
      </w:r>
      <w:r w:rsidRPr="003D1148">
        <w:rPr>
          <w:rFonts w:ascii="Times New Roman" w:hAnsi="Times New Roman"/>
          <w:sz w:val="20"/>
          <w:szCs w:val="20"/>
          <w:vertAlign w:val="superscript"/>
        </w:rPr>
        <w:t>-1</w:t>
      </w:r>
      <w:r w:rsidRPr="003D1148">
        <w:rPr>
          <w:rFonts w:ascii="Times New Roman" w:hAnsi="Times New Roman"/>
          <w:sz w:val="20"/>
          <w:szCs w:val="20"/>
        </w:rPr>
        <w:t xml:space="preserve"> while its chemical structural is shown in Figure 1. The AA is important for collagen production, a protein which gives structure to bones, cartilages, muscles and blood vessels [5] as well as an antioxidant and free radical scavenger [6]. The AA also helps in iron absorption and maintains capillaries, bones and teeth [7]. The main natural sources of AA are various fruits and vegetables especially kiwi, mangoes, papayas, lettuce, tomatoes, peppers, strawberries, cantaloupe and broccolis [8].</w:t>
      </w:r>
    </w:p>
    <w:p w14:paraId="7B6DD43F" w14:textId="77777777" w:rsidR="00F067FE" w:rsidRDefault="00F067FE" w:rsidP="00F15A10">
      <w:pPr>
        <w:spacing w:after="0"/>
        <w:jc w:val="both"/>
        <w:rPr>
          <w:rFonts w:ascii="Times New Roman" w:hAnsi="Times New Roman"/>
          <w:sz w:val="20"/>
          <w:szCs w:val="20"/>
        </w:rPr>
      </w:pPr>
    </w:p>
    <w:p w14:paraId="63D913FB"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 xml:space="preserve">It is known that humans cannot synthesize AA. Therefore, AA must be obtained by body through diet [9]. Pharmaceutical products such as multivitamins have </w:t>
      </w:r>
      <w:r w:rsidRPr="003D1148">
        <w:rPr>
          <w:rFonts w:ascii="Times New Roman" w:hAnsi="Times New Roman"/>
          <w:sz w:val="20"/>
          <w:szCs w:val="20"/>
        </w:rPr>
        <w:t>become one of the sources of AA to meet requirement of daily dietary intake instead of fresh fruits and vegetables [10]. Unfortunately, the AA content in pharmaceutical products tends to be lost during processing, storing and packaging since it is highly sensitive to light, heat, temperature and oxygen [11]. Hence, it is very important to have a simple, very sensitive, precise, accurate, rugged, low cost and fast method for analysing AA even at a very low-level content.</w:t>
      </w:r>
    </w:p>
    <w:p w14:paraId="19E05F6E" w14:textId="348A8BBA" w:rsidR="00F067FE" w:rsidRDefault="00F067FE" w:rsidP="00F067FE">
      <w:pPr>
        <w:spacing w:after="0"/>
        <w:jc w:val="both"/>
        <w:rPr>
          <w:rFonts w:ascii="Times New Roman" w:hAnsi="Times New Roman"/>
          <w:sz w:val="20"/>
          <w:szCs w:val="20"/>
        </w:rPr>
      </w:pPr>
    </w:p>
    <w:p w14:paraId="421F224E" w14:textId="4AD597B3" w:rsidR="00F067FE" w:rsidRDefault="00F067FE" w:rsidP="00F067FE">
      <w:pPr>
        <w:spacing w:after="0"/>
        <w:jc w:val="both"/>
        <w:rPr>
          <w:rFonts w:ascii="Times New Roman" w:hAnsi="Times New Roman"/>
          <w:sz w:val="20"/>
          <w:szCs w:val="20"/>
        </w:rPr>
      </w:pPr>
      <w:r w:rsidRPr="003D1148">
        <w:rPr>
          <w:rFonts w:ascii="Times New Roman" w:hAnsi="Times New Roman"/>
          <w:noProof/>
          <w:sz w:val="20"/>
          <w:szCs w:val="20"/>
        </w:rPr>
        <w:drawing>
          <wp:inline distT="0" distB="0" distL="0" distR="0" wp14:anchorId="143730D1" wp14:editId="24586CF0">
            <wp:extent cx="2504661" cy="1255616"/>
            <wp:effectExtent l="0" t="0" r="0" b="1905"/>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511843" cy="1259217"/>
                    </a:xfrm>
                    <a:prstGeom prst="rect">
                      <a:avLst/>
                    </a:prstGeom>
                    <a:ln/>
                  </pic:spPr>
                </pic:pic>
              </a:graphicData>
            </a:graphic>
          </wp:inline>
        </w:drawing>
      </w:r>
    </w:p>
    <w:p w14:paraId="7F298816" w14:textId="4EC714F6" w:rsidR="00F067FE" w:rsidRDefault="00F067FE" w:rsidP="00F067FE">
      <w:pPr>
        <w:spacing w:after="0"/>
        <w:jc w:val="center"/>
        <w:rPr>
          <w:rFonts w:ascii="Times New Roman" w:hAnsi="Times New Roman"/>
          <w:sz w:val="20"/>
          <w:szCs w:val="20"/>
        </w:rPr>
      </w:pPr>
      <w:r w:rsidRPr="003D1148">
        <w:rPr>
          <w:rFonts w:ascii="Times New Roman" w:hAnsi="Times New Roman"/>
          <w:bCs/>
          <w:sz w:val="20"/>
          <w:szCs w:val="20"/>
        </w:rPr>
        <w:t>Figure 1.</w:t>
      </w:r>
      <w:r>
        <w:rPr>
          <w:rFonts w:ascii="Times New Roman" w:hAnsi="Times New Roman"/>
          <w:sz w:val="20"/>
          <w:szCs w:val="20"/>
        </w:rPr>
        <w:t xml:space="preserve">  </w:t>
      </w:r>
      <w:r w:rsidRPr="003D1148">
        <w:rPr>
          <w:rFonts w:ascii="Times New Roman" w:hAnsi="Times New Roman"/>
          <w:sz w:val="20"/>
          <w:szCs w:val="20"/>
        </w:rPr>
        <w:t>Chemical structure of ascorbic acid</w:t>
      </w:r>
    </w:p>
    <w:p w14:paraId="1C8C3B80" w14:textId="77777777" w:rsidR="00F067FE" w:rsidRDefault="00F067FE" w:rsidP="00F067FE">
      <w:pPr>
        <w:spacing w:after="0"/>
        <w:jc w:val="both"/>
        <w:rPr>
          <w:rFonts w:ascii="Times New Roman" w:hAnsi="Times New Roman"/>
          <w:sz w:val="20"/>
          <w:szCs w:val="20"/>
        </w:rPr>
      </w:pPr>
    </w:p>
    <w:p w14:paraId="277A5CA2" w14:textId="77777777" w:rsidR="00F067FE" w:rsidRDefault="00F067FE" w:rsidP="00F067FE">
      <w:pPr>
        <w:spacing w:after="0"/>
        <w:jc w:val="both"/>
        <w:rPr>
          <w:rFonts w:ascii="Times New Roman" w:hAnsi="Times New Roman"/>
          <w:sz w:val="20"/>
          <w:szCs w:val="20"/>
        </w:rPr>
      </w:pPr>
    </w:p>
    <w:p w14:paraId="4FB9C372" w14:textId="4AD34E94"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Various analytical techniques have been applied for the AA determination. There are titrimetric method with an oxidant solution such as dichlorophenol (DCPIP) [12], potassium iodide or bromate [13], chromatographic method, particularly high performance liquid chromatography (HPLC) [11, 14</w:t>
      </w:r>
      <w:r>
        <w:rPr>
          <w:rFonts w:ascii="Times New Roman" w:hAnsi="Times New Roman"/>
          <w:sz w:val="20"/>
          <w:szCs w:val="20"/>
        </w:rPr>
        <w:t xml:space="preserve">, </w:t>
      </w:r>
      <w:r w:rsidRPr="003D1148">
        <w:rPr>
          <w:rFonts w:ascii="Times New Roman" w:hAnsi="Times New Roman"/>
          <w:sz w:val="20"/>
          <w:szCs w:val="20"/>
        </w:rPr>
        <w:t>15]</w:t>
      </w:r>
      <w:r w:rsidRPr="003D1148">
        <w:rPr>
          <w:rFonts w:ascii="Times New Roman" w:hAnsi="Times New Roman"/>
          <w:b/>
          <w:sz w:val="20"/>
          <w:szCs w:val="20"/>
        </w:rPr>
        <w:t>,</w:t>
      </w:r>
      <w:r w:rsidRPr="003D1148">
        <w:rPr>
          <w:rFonts w:ascii="Times New Roman" w:hAnsi="Times New Roman"/>
          <w:sz w:val="20"/>
          <w:szCs w:val="20"/>
        </w:rPr>
        <w:t xml:space="preserve"> spectrometric method [3, 16</w:t>
      </w:r>
      <w:r>
        <w:rPr>
          <w:rFonts w:ascii="Times New Roman" w:hAnsi="Times New Roman"/>
          <w:sz w:val="20"/>
          <w:szCs w:val="20"/>
        </w:rPr>
        <w:t xml:space="preserve">, </w:t>
      </w:r>
      <w:r w:rsidRPr="003D1148">
        <w:rPr>
          <w:rFonts w:ascii="Times New Roman" w:hAnsi="Times New Roman"/>
          <w:sz w:val="20"/>
          <w:szCs w:val="20"/>
        </w:rPr>
        <w:t>17], capillary electrophoresis method [18</w:t>
      </w:r>
      <w:r>
        <w:rPr>
          <w:rFonts w:ascii="Times New Roman" w:hAnsi="Times New Roman"/>
          <w:sz w:val="20"/>
          <w:szCs w:val="20"/>
        </w:rPr>
        <w:t xml:space="preserve">, </w:t>
      </w:r>
      <w:r w:rsidRPr="003D1148">
        <w:rPr>
          <w:rFonts w:ascii="Times New Roman" w:hAnsi="Times New Roman"/>
          <w:sz w:val="20"/>
          <w:szCs w:val="20"/>
        </w:rPr>
        <w:t>19] and fluorimetry [20]. However, HPLC methods use expensive equipment, require a long time of sample pre–treatment, use toxic organic solvent as mobile phase and various harmful reagents [21]. In titrimetric method, the difficulties are encountered with titrants and interferences often occur with coloured samples which lead to lack of specificity [6]. Meanwhile, in direct spectrophotometry, there is a matrix effect in ultraviolet (UV) region since many organic compounds in samples may exhibit UV absorbance during measurement.</w:t>
      </w:r>
    </w:p>
    <w:p w14:paraId="248BC701" w14:textId="77777777" w:rsidR="00F067FE" w:rsidRDefault="00F067FE" w:rsidP="00F067FE">
      <w:pPr>
        <w:spacing w:after="0"/>
        <w:jc w:val="both"/>
        <w:rPr>
          <w:rFonts w:ascii="Times New Roman" w:hAnsi="Times New Roman"/>
          <w:sz w:val="20"/>
          <w:szCs w:val="20"/>
        </w:rPr>
      </w:pPr>
    </w:p>
    <w:p w14:paraId="215E3BFE"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lastRenderedPageBreak/>
        <w:t xml:space="preserve">Voltammetry techniques seem to have high potential for an alternative analytical method as they are very powerful and versatile tool due to their simplicity, fastness, low waste emission, low cost of chemicals and instrumentation. They have comparable sensitivity to more expensive techniques and abundance direct individual or simultaneously analysis of analyte without any or minimal sample pre-treatment or extraction [22]. These techniques are less sensitive toward the matrix effects than the other analytical techniques. Electroanalytical techniques have been applied for qualitative and quantitative analysis of a wide range of drug compounds [23]. </w:t>
      </w:r>
    </w:p>
    <w:p w14:paraId="373055D1" w14:textId="77777777" w:rsidR="00F067FE" w:rsidRDefault="00F067FE" w:rsidP="00F067FE">
      <w:pPr>
        <w:spacing w:after="0"/>
        <w:jc w:val="both"/>
        <w:rPr>
          <w:rFonts w:ascii="Times New Roman" w:hAnsi="Times New Roman"/>
          <w:sz w:val="20"/>
          <w:szCs w:val="20"/>
        </w:rPr>
      </w:pPr>
    </w:p>
    <w:p w14:paraId="545904E5"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Square-wave voltammetric technique has been used to determine AA based on its oxidation at a zeolite modified carbon paste electrode as a working electrode [24]. Cyclic and differential pulse voltammetric techniques were also used for electrochemical behaviour investigation and determination of AA at a modified carbon paste electrode with 2,7-bis (ferrocenylethynyl) fluoren-9-one [25]. Carbon nanotube paste electrode modified with 2,2-[1,2-ethanediylbis (nitriloethylidine)]-bis-hydroquinone has been used for electrochemical behaviour investigation and determination of AA using cyclic and differential pulse voltammetric techniques [26]. A multi-walled carbon nanotubes-tetradecyltrimethylammonium bromide film coated graphite electrode was used to investigate the electro-oxidation of AA by applying cyclic, differential pulse voltammetric and square-wave voltammetric techniques [27]. Simultaneous determination of AA and dopamine was carried out by differential pulse voltammetric technique at a boron doped diamond electrode [28] and gold nanoparticles film electrode [29]. The simultaneous determination of AA and acetaminophen has been conducted by differential pulse voltammetric technique at a boron doped diamond electrode using sodium sulphate as the supporting electrolyte [30].</w:t>
      </w:r>
    </w:p>
    <w:p w14:paraId="761DBA74" w14:textId="77777777" w:rsidR="00F067FE" w:rsidRDefault="00F067FE" w:rsidP="00F067FE">
      <w:pPr>
        <w:spacing w:after="0"/>
        <w:jc w:val="both"/>
        <w:rPr>
          <w:rFonts w:ascii="Times New Roman" w:hAnsi="Times New Roman"/>
          <w:sz w:val="20"/>
          <w:szCs w:val="20"/>
        </w:rPr>
      </w:pPr>
    </w:p>
    <w:p w14:paraId="6D86D83E"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 xml:space="preserve">The purpose of this study is to develop and validate a differential pulse anodic stripping voltammetric (DPASV) technique using bare glassy carbon electrode as a working electrode and phosphate buffer solution (pH 4.2) as a supporting electrolyte for quantitative </w:t>
      </w:r>
      <w:r w:rsidRPr="003D1148">
        <w:rPr>
          <w:rFonts w:ascii="Times New Roman" w:hAnsi="Times New Roman"/>
          <w:sz w:val="20"/>
          <w:szCs w:val="20"/>
        </w:rPr>
        <w:t>analysis of AA in multivitamin tablets without prior sample preparation.</w:t>
      </w:r>
    </w:p>
    <w:p w14:paraId="6922B623" w14:textId="77777777" w:rsidR="00F067FE" w:rsidRPr="003D1148" w:rsidRDefault="00F067FE" w:rsidP="00F067FE">
      <w:pPr>
        <w:spacing w:after="0"/>
        <w:jc w:val="center"/>
        <w:rPr>
          <w:rFonts w:ascii="Times New Roman" w:hAnsi="Times New Roman"/>
          <w:sz w:val="20"/>
          <w:szCs w:val="20"/>
        </w:rPr>
      </w:pPr>
    </w:p>
    <w:p w14:paraId="73B2410A" w14:textId="77777777" w:rsidR="00F067FE" w:rsidRPr="003D1148" w:rsidRDefault="00F067FE" w:rsidP="00F067FE">
      <w:pPr>
        <w:spacing w:after="0"/>
        <w:jc w:val="center"/>
        <w:rPr>
          <w:rFonts w:ascii="Times New Roman" w:hAnsi="Times New Roman"/>
          <w:b/>
          <w:sz w:val="20"/>
          <w:szCs w:val="20"/>
        </w:rPr>
      </w:pPr>
      <w:r w:rsidRPr="003D1148">
        <w:rPr>
          <w:rFonts w:ascii="Times New Roman" w:hAnsi="Times New Roman"/>
          <w:b/>
          <w:sz w:val="20"/>
          <w:szCs w:val="20"/>
        </w:rPr>
        <w:t>Materials and Methods</w:t>
      </w:r>
    </w:p>
    <w:p w14:paraId="18762528" w14:textId="77777777" w:rsidR="00F067FE" w:rsidRPr="003E3D07" w:rsidRDefault="00F067FE" w:rsidP="00F067FE">
      <w:pPr>
        <w:spacing w:after="0"/>
        <w:jc w:val="both"/>
        <w:rPr>
          <w:rFonts w:ascii="Times New Roman" w:hAnsi="Times New Roman"/>
          <w:b/>
          <w:iCs/>
          <w:sz w:val="20"/>
          <w:szCs w:val="20"/>
        </w:rPr>
      </w:pPr>
      <w:r w:rsidRPr="003D1148">
        <w:rPr>
          <w:rFonts w:ascii="Times New Roman" w:hAnsi="Times New Roman"/>
          <w:b/>
          <w:iCs/>
          <w:sz w:val="20"/>
          <w:szCs w:val="20"/>
        </w:rPr>
        <w:t>Materials</w:t>
      </w:r>
    </w:p>
    <w:p w14:paraId="077C2136" w14:textId="2687A01E"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All chemicals used in this study were analytical grade reagent and all solutions were prepared in deionized water. The AA standard (MW = 176 g mol</w:t>
      </w:r>
      <w:r w:rsidRPr="003D1148">
        <w:rPr>
          <w:rFonts w:ascii="Times New Roman" w:hAnsi="Times New Roman"/>
          <w:sz w:val="20"/>
          <w:szCs w:val="20"/>
          <w:vertAlign w:val="superscript"/>
        </w:rPr>
        <w:t>-1</w:t>
      </w:r>
      <w:r w:rsidRPr="003D1148">
        <w:rPr>
          <w:rFonts w:ascii="Times New Roman" w:hAnsi="Times New Roman"/>
          <w:sz w:val="20"/>
          <w:szCs w:val="20"/>
        </w:rPr>
        <w:t>) was obtained from Sigma Aldrich, UK. For the preparation of 1000 mg L</w:t>
      </w:r>
      <w:r w:rsidRPr="003D1148">
        <w:rPr>
          <w:rFonts w:ascii="Times New Roman" w:hAnsi="Times New Roman"/>
          <w:sz w:val="20"/>
          <w:szCs w:val="20"/>
          <w:vertAlign w:val="superscript"/>
        </w:rPr>
        <w:t xml:space="preserve">-1 </w:t>
      </w:r>
      <w:r w:rsidRPr="003D1148">
        <w:rPr>
          <w:rFonts w:ascii="Times New Roman" w:hAnsi="Times New Roman"/>
          <w:sz w:val="20"/>
          <w:szCs w:val="20"/>
        </w:rPr>
        <w:t>AA stock solution, 100 mg of the AA was dissolved in 100 mL volumetric flask. The standard working solution series were prepared by the appropriate dilution of the stock solution. All solutions were protected from light and used within 24 h</w:t>
      </w:r>
      <w:r>
        <w:rPr>
          <w:rFonts w:ascii="Times New Roman" w:hAnsi="Times New Roman"/>
          <w:sz w:val="20"/>
          <w:szCs w:val="20"/>
        </w:rPr>
        <w:t>ours</w:t>
      </w:r>
      <w:r w:rsidRPr="003D1148">
        <w:rPr>
          <w:rFonts w:ascii="Times New Roman" w:hAnsi="Times New Roman"/>
          <w:sz w:val="20"/>
          <w:szCs w:val="20"/>
        </w:rPr>
        <w:t xml:space="preserve"> to avoid decomposition. Phosphate buffer solution (PBS) was prepared by adding and dissolving 2.70 mL of ortho phosphoric acid, 27.218 g of potassium dihydrogen phosphate, 71.630 g disodium hydrogen phosphate in the 1000 mL of volumetric flask. Sodium hydroxide with the concentration of 0.1 M was used to adjust the pH of the PBS solution to the pH 4.2.</w:t>
      </w:r>
    </w:p>
    <w:p w14:paraId="4012D881" w14:textId="77777777" w:rsidR="00F067FE" w:rsidRDefault="00F067FE" w:rsidP="00F067FE">
      <w:pPr>
        <w:spacing w:after="0"/>
        <w:jc w:val="both"/>
        <w:rPr>
          <w:rFonts w:ascii="Times New Roman" w:hAnsi="Times New Roman"/>
          <w:sz w:val="20"/>
          <w:szCs w:val="20"/>
        </w:rPr>
      </w:pPr>
    </w:p>
    <w:p w14:paraId="2E089612" w14:textId="77777777" w:rsidR="00F067FE" w:rsidRDefault="00F067FE" w:rsidP="00F067FE">
      <w:pPr>
        <w:spacing w:after="0"/>
        <w:jc w:val="both"/>
        <w:rPr>
          <w:rFonts w:ascii="Times New Roman" w:hAnsi="Times New Roman"/>
          <w:sz w:val="20"/>
          <w:szCs w:val="20"/>
        </w:rPr>
      </w:pPr>
      <w:r w:rsidRPr="003D1148">
        <w:rPr>
          <w:rFonts w:ascii="Times New Roman" w:hAnsi="Times New Roman"/>
          <w:b/>
          <w:iCs/>
          <w:sz w:val="20"/>
          <w:szCs w:val="20"/>
        </w:rPr>
        <w:t>Instrumentation</w:t>
      </w:r>
    </w:p>
    <w:p w14:paraId="1A71F5C7"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The voltammetric experiments were carried out using Autolab (Metrohm, Switzerland) that consisted of a glassy carbon electrode (GCE) as the working electrode (WE), a platinum wire as the auxiliary electrode (AE) and an Ag/AgCl (3M KCl) as the reference electrode (RE). The GCE was polished with polishing alumina on an alumina pad and then rinsed with deionized water. The Autolab was connected to a computer, installed with NOVA 1.1 for data processing. The pH meter (Hanna Instruments, UK) was employed for all pH measurements.</w:t>
      </w:r>
    </w:p>
    <w:p w14:paraId="20EE807A" w14:textId="77777777" w:rsidR="00F067FE" w:rsidRDefault="00F067FE" w:rsidP="00F067FE">
      <w:pPr>
        <w:spacing w:after="0"/>
        <w:jc w:val="both"/>
        <w:rPr>
          <w:rFonts w:ascii="Times New Roman" w:hAnsi="Times New Roman"/>
          <w:sz w:val="20"/>
          <w:szCs w:val="20"/>
        </w:rPr>
      </w:pPr>
    </w:p>
    <w:p w14:paraId="78C39019" w14:textId="77777777" w:rsidR="00F067FE" w:rsidRDefault="00F067FE" w:rsidP="00F067FE">
      <w:pPr>
        <w:spacing w:after="0"/>
        <w:jc w:val="both"/>
        <w:rPr>
          <w:rFonts w:ascii="Times New Roman" w:hAnsi="Times New Roman"/>
          <w:sz w:val="20"/>
          <w:szCs w:val="20"/>
        </w:rPr>
      </w:pPr>
      <w:r w:rsidRPr="003D1148">
        <w:rPr>
          <w:rFonts w:ascii="Times New Roman" w:hAnsi="Times New Roman"/>
          <w:b/>
          <w:sz w:val="20"/>
          <w:szCs w:val="20"/>
        </w:rPr>
        <w:t>Voltammetric measurement</w:t>
      </w:r>
      <w:r>
        <w:rPr>
          <w:rFonts w:ascii="Times New Roman" w:hAnsi="Times New Roman"/>
          <w:sz w:val="20"/>
          <w:szCs w:val="20"/>
        </w:rPr>
        <w:t xml:space="preserve">: </w:t>
      </w:r>
      <w:r w:rsidRPr="003D1148">
        <w:rPr>
          <w:rFonts w:ascii="Times New Roman" w:hAnsi="Times New Roman"/>
          <w:b/>
          <w:iCs/>
          <w:sz w:val="20"/>
          <w:szCs w:val="20"/>
        </w:rPr>
        <w:t>Differential pulse anodic stripping voltammetry (DPASV)</w:t>
      </w:r>
    </w:p>
    <w:p w14:paraId="017C0FBD"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 xml:space="preserve">AA standard </w:t>
      </w:r>
      <w:r>
        <w:rPr>
          <w:rFonts w:ascii="Times New Roman" w:hAnsi="Times New Roman"/>
          <w:sz w:val="20"/>
          <w:szCs w:val="20"/>
        </w:rPr>
        <w:t xml:space="preserve"> </w:t>
      </w:r>
      <w:r w:rsidRPr="003D1148">
        <w:rPr>
          <w:rFonts w:ascii="Times New Roman" w:hAnsi="Times New Roman"/>
          <w:sz w:val="20"/>
          <w:szCs w:val="20"/>
        </w:rPr>
        <w:t xml:space="preserve">working </w:t>
      </w:r>
      <w:r>
        <w:rPr>
          <w:rFonts w:ascii="Times New Roman" w:hAnsi="Times New Roman"/>
          <w:sz w:val="20"/>
          <w:szCs w:val="20"/>
        </w:rPr>
        <w:t xml:space="preserve"> </w:t>
      </w:r>
      <w:r w:rsidRPr="003D1148">
        <w:rPr>
          <w:rFonts w:ascii="Times New Roman" w:hAnsi="Times New Roman"/>
          <w:sz w:val="20"/>
          <w:szCs w:val="20"/>
        </w:rPr>
        <w:t xml:space="preserve">solution </w:t>
      </w:r>
      <w:r>
        <w:rPr>
          <w:rFonts w:ascii="Times New Roman" w:hAnsi="Times New Roman"/>
          <w:sz w:val="20"/>
          <w:szCs w:val="20"/>
        </w:rPr>
        <w:t xml:space="preserve"> </w:t>
      </w:r>
      <w:r w:rsidRPr="003D1148">
        <w:rPr>
          <w:rFonts w:ascii="Times New Roman" w:hAnsi="Times New Roman"/>
          <w:sz w:val="20"/>
          <w:szCs w:val="20"/>
        </w:rPr>
        <w:t>was</w:t>
      </w:r>
      <w:r>
        <w:rPr>
          <w:rFonts w:ascii="Times New Roman" w:hAnsi="Times New Roman"/>
          <w:sz w:val="20"/>
          <w:szCs w:val="20"/>
        </w:rPr>
        <w:t xml:space="preserve"> </w:t>
      </w:r>
      <w:r w:rsidRPr="003D1148">
        <w:rPr>
          <w:rFonts w:ascii="Times New Roman" w:hAnsi="Times New Roman"/>
          <w:sz w:val="20"/>
          <w:szCs w:val="20"/>
        </w:rPr>
        <w:t xml:space="preserve"> spiked</w:t>
      </w:r>
      <w:r>
        <w:rPr>
          <w:rFonts w:ascii="Times New Roman" w:hAnsi="Times New Roman"/>
          <w:sz w:val="20"/>
          <w:szCs w:val="20"/>
        </w:rPr>
        <w:t xml:space="preserve"> </w:t>
      </w:r>
      <w:r w:rsidRPr="003D1148">
        <w:rPr>
          <w:rFonts w:ascii="Times New Roman" w:hAnsi="Times New Roman"/>
          <w:sz w:val="20"/>
          <w:szCs w:val="20"/>
        </w:rPr>
        <w:t xml:space="preserve"> into </w:t>
      </w:r>
      <w:r>
        <w:rPr>
          <w:rFonts w:ascii="Times New Roman" w:hAnsi="Times New Roman"/>
          <w:sz w:val="20"/>
          <w:szCs w:val="20"/>
        </w:rPr>
        <w:t xml:space="preserve"> </w:t>
      </w:r>
      <w:r w:rsidRPr="003D1148">
        <w:rPr>
          <w:rFonts w:ascii="Times New Roman" w:hAnsi="Times New Roman"/>
          <w:sz w:val="20"/>
          <w:szCs w:val="20"/>
        </w:rPr>
        <w:t xml:space="preserve">the </w:t>
      </w:r>
      <w:r>
        <w:rPr>
          <w:rFonts w:ascii="Times New Roman" w:hAnsi="Times New Roman"/>
          <w:sz w:val="20"/>
          <w:szCs w:val="20"/>
        </w:rPr>
        <w:t xml:space="preserve"> </w:t>
      </w:r>
      <w:r w:rsidRPr="003D1148">
        <w:rPr>
          <w:rFonts w:ascii="Times New Roman" w:hAnsi="Times New Roman"/>
          <w:sz w:val="20"/>
          <w:szCs w:val="20"/>
        </w:rPr>
        <w:t>PBS solution at pH 4.2 to give the final concentration of 10 mg L</w:t>
      </w:r>
      <w:r w:rsidRPr="003D1148">
        <w:rPr>
          <w:rFonts w:ascii="Times New Roman" w:hAnsi="Times New Roman"/>
          <w:sz w:val="20"/>
          <w:szCs w:val="20"/>
          <w:vertAlign w:val="superscript"/>
        </w:rPr>
        <w:t>-1</w:t>
      </w:r>
      <w:r w:rsidRPr="003D1148">
        <w:rPr>
          <w:rFonts w:ascii="Times New Roman" w:hAnsi="Times New Roman"/>
          <w:sz w:val="20"/>
          <w:szCs w:val="20"/>
        </w:rPr>
        <w:t>. The initial operational instrumental parameters applied were initial potential (</w:t>
      </w:r>
      <w:r w:rsidRPr="003D1148">
        <w:rPr>
          <w:rFonts w:ascii="Times New Roman" w:hAnsi="Times New Roman"/>
          <w:i/>
          <w:sz w:val="20"/>
          <w:szCs w:val="20"/>
        </w:rPr>
        <w:t>E</w:t>
      </w:r>
      <w:r w:rsidRPr="003D1148">
        <w:rPr>
          <w:rFonts w:ascii="Times New Roman" w:hAnsi="Times New Roman"/>
          <w:i/>
          <w:sz w:val="20"/>
          <w:szCs w:val="20"/>
          <w:vertAlign w:val="subscript"/>
        </w:rPr>
        <w:t>i</w:t>
      </w:r>
      <w:r w:rsidRPr="003D1148">
        <w:rPr>
          <w:rFonts w:ascii="Times New Roman" w:hAnsi="Times New Roman"/>
          <w:sz w:val="20"/>
          <w:szCs w:val="20"/>
        </w:rPr>
        <w:t>) = 0 V, final potential (</w:t>
      </w:r>
      <w:r w:rsidRPr="003D1148">
        <w:rPr>
          <w:rFonts w:ascii="Times New Roman" w:hAnsi="Times New Roman"/>
          <w:i/>
          <w:sz w:val="20"/>
          <w:szCs w:val="20"/>
        </w:rPr>
        <w:t>E</w:t>
      </w:r>
      <w:r w:rsidRPr="003D1148">
        <w:rPr>
          <w:rFonts w:ascii="Times New Roman" w:hAnsi="Times New Roman"/>
          <w:i/>
          <w:sz w:val="20"/>
          <w:szCs w:val="20"/>
          <w:vertAlign w:val="subscript"/>
        </w:rPr>
        <w:t>f</w:t>
      </w:r>
      <w:r w:rsidRPr="003D1148">
        <w:rPr>
          <w:rFonts w:ascii="Times New Roman" w:hAnsi="Times New Roman"/>
          <w:sz w:val="20"/>
          <w:szCs w:val="20"/>
        </w:rPr>
        <w:t>) = 0.7 V, accumulation time (</w:t>
      </w:r>
      <w:r w:rsidRPr="003D1148">
        <w:rPr>
          <w:rFonts w:ascii="Times New Roman" w:hAnsi="Times New Roman"/>
          <w:i/>
          <w:sz w:val="20"/>
          <w:szCs w:val="20"/>
        </w:rPr>
        <w:t>t</w:t>
      </w:r>
      <w:r w:rsidRPr="003D1148">
        <w:rPr>
          <w:rFonts w:ascii="Times New Roman" w:hAnsi="Times New Roman"/>
          <w:i/>
          <w:sz w:val="20"/>
          <w:szCs w:val="20"/>
          <w:vertAlign w:val="subscript"/>
        </w:rPr>
        <w:t>acc</w:t>
      </w:r>
      <w:r w:rsidRPr="003D1148">
        <w:rPr>
          <w:rFonts w:ascii="Times New Roman" w:hAnsi="Times New Roman"/>
          <w:sz w:val="20"/>
          <w:szCs w:val="20"/>
        </w:rPr>
        <w:t>) = 10 s, scan rate (</w:t>
      </w:r>
      <w:r w:rsidRPr="003D1148">
        <w:rPr>
          <w:rFonts w:ascii="Times New Roman" w:hAnsi="Times New Roman"/>
          <w:i/>
          <w:sz w:val="20"/>
          <w:szCs w:val="20"/>
        </w:rPr>
        <w:t>v</w:t>
      </w:r>
      <w:r w:rsidRPr="003D1148">
        <w:rPr>
          <w:rFonts w:ascii="Times New Roman" w:hAnsi="Times New Roman"/>
          <w:sz w:val="20"/>
          <w:szCs w:val="20"/>
        </w:rPr>
        <w:t>) = 0.05 V/s, accumulation potential (</w:t>
      </w:r>
      <w:r w:rsidRPr="003D1148">
        <w:rPr>
          <w:rFonts w:ascii="Times New Roman" w:hAnsi="Times New Roman"/>
          <w:i/>
          <w:sz w:val="20"/>
          <w:szCs w:val="20"/>
        </w:rPr>
        <w:t>E</w:t>
      </w:r>
      <w:r w:rsidRPr="003D1148">
        <w:rPr>
          <w:rFonts w:ascii="Times New Roman" w:hAnsi="Times New Roman"/>
          <w:i/>
          <w:sz w:val="20"/>
          <w:szCs w:val="20"/>
          <w:vertAlign w:val="subscript"/>
        </w:rPr>
        <w:t>acc</w:t>
      </w:r>
      <w:r w:rsidRPr="003D1148">
        <w:rPr>
          <w:rFonts w:ascii="Times New Roman" w:hAnsi="Times New Roman"/>
          <w:sz w:val="20"/>
          <w:szCs w:val="20"/>
        </w:rPr>
        <w:t xml:space="preserve">) = 0 V and pulse amplitude = 0.075 V. These instrumental parameters for voltammetric measurements were </w:t>
      </w:r>
      <w:r w:rsidRPr="003D1148">
        <w:rPr>
          <w:rFonts w:ascii="Times New Roman" w:hAnsi="Times New Roman"/>
          <w:sz w:val="20"/>
          <w:szCs w:val="20"/>
        </w:rPr>
        <w:lastRenderedPageBreak/>
        <w:t>optimized to increase the response of the proposed DPASV technique.</w:t>
      </w:r>
    </w:p>
    <w:p w14:paraId="0F74747E" w14:textId="77777777" w:rsidR="00F067FE" w:rsidRDefault="00F067FE" w:rsidP="00F067FE">
      <w:pPr>
        <w:spacing w:after="0"/>
        <w:jc w:val="both"/>
        <w:rPr>
          <w:rFonts w:ascii="Times New Roman" w:hAnsi="Times New Roman"/>
          <w:sz w:val="20"/>
          <w:szCs w:val="20"/>
        </w:rPr>
      </w:pPr>
    </w:p>
    <w:p w14:paraId="01A5CD69"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An appropriate linear range with acceptable correlation coefficient (R</w:t>
      </w:r>
      <w:r w:rsidRPr="003D1148">
        <w:rPr>
          <w:rFonts w:ascii="Times New Roman" w:hAnsi="Times New Roman"/>
          <w:sz w:val="20"/>
          <w:szCs w:val="20"/>
          <w:vertAlign w:val="superscript"/>
        </w:rPr>
        <w:t>2</w:t>
      </w:r>
      <w:r w:rsidRPr="003D1148">
        <w:rPr>
          <w:rFonts w:ascii="Times New Roman" w:hAnsi="Times New Roman"/>
          <w:sz w:val="20"/>
          <w:szCs w:val="20"/>
        </w:rPr>
        <w:t xml:space="preserve">), limit of detection (LOD), limit of quantification (LOQ), precision, accuracy, ruggedness and recovery of AA standard in the pharmaceutical samples were analysed in order to verify the suitability of the proposed DPASV technique for AA analysis as proposed by Miranda </w:t>
      </w:r>
      <w:r w:rsidRPr="003E3D07">
        <w:rPr>
          <w:rFonts w:ascii="Times New Roman" w:hAnsi="Times New Roman"/>
          <w:iCs/>
          <w:sz w:val="20"/>
          <w:szCs w:val="20"/>
        </w:rPr>
        <w:t>et al.</w:t>
      </w:r>
      <w:r w:rsidRPr="003D1148">
        <w:rPr>
          <w:rFonts w:ascii="Times New Roman" w:hAnsi="Times New Roman"/>
          <w:sz w:val="20"/>
          <w:szCs w:val="20"/>
        </w:rPr>
        <w:t xml:space="preserve"> [31]. The LOD was determined by additional lower concentration of the AA standard solution until obtaining a response that was significantly different from PBS solution at pH 4.2. The LOQ were calculated by the equations; LOD = 3 SD/m and the value of the LOQ was 3.333 times the value of the obtained LOD. The AA standard solution at the concentration of 5, 50 and 150 mg L</w:t>
      </w:r>
      <w:r w:rsidRPr="003D1148">
        <w:rPr>
          <w:rFonts w:ascii="Times New Roman" w:hAnsi="Times New Roman"/>
          <w:sz w:val="20"/>
          <w:szCs w:val="20"/>
          <w:vertAlign w:val="superscript"/>
        </w:rPr>
        <w:t xml:space="preserve">-1 </w:t>
      </w:r>
      <w:r w:rsidRPr="003D1148">
        <w:rPr>
          <w:rFonts w:ascii="Times New Roman" w:hAnsi="Times New Roman"/>
          <w:sz w:val="20"/>
          <w:szCs w:val="20"/>
        </w:rPr>
        <w:t xml:space="preserve">was applied for intra-day and inter-day precision, ruggedness and robustness with five replicates (n=5). The ruggedness of the proposed DPASV technique was investigated using the same instrument (Autolab) but had been conducted by two different analysts under the same optimum parameters. Statistical </w:t>
      </w:r>
      <w:r w:rsidRPr="003D1148">
        <w:rPr>
          <w:rFonts w:ascii="Times New Roman" w:hAnsi="Times New Roman"/>
          <w:i/>
          <w:sz w:val="20"/>
          <w:szCs w:val="20"/>
        </w:rPr>
        <w:t>F</w:t>
      </w:r>
      <w:r w:rsidRPr="003D1148">
        <w:rPr>
          <w:rFonts w:ascii="Times New Roman" w:hAnsi="Times New Roman"/>
          <w:sz w:val="20"/>
          <w:szCs w:val="20"/>
        </w:rPr>
        <w:t>-test was carried out for the ruggedness and robustness.</w:t>
      </w:r>
    </w:p>
    <w:p w14:paraId="50C5E6A2" w14:textId="77777777" w:rsidR="00F067FE" w:rsidRDefault="00F067FE" w:rsidP="00F067FE">
      <w:pPr>
        <w:spacing w:after="0"/>
        <w:jc w:val="both"/>
        <w:rPr>
          <w:rFonts w:ascii="Times New Roman" w:hAnsi="Times New Roman"/>
          <w:sz w:val="20"/>
          <w:szCs w:val="20"/>
        </w:rPr>
      </w:pPr>
    </w:p>
    <w:p w14:paraId="532DC0DC" w14:textId="77777777" w:rsidR="00F067FE" w:rsidRDefault="00F067FE" w:rsidP="00F067FE">
      <w:pPr>
        <w:spacing w:after="0"/>
        <w:jc w:val="both"/>
        <w:rPr>
          <w:rFonts w:ascii="Times New Roman" w:hAnsi="Times New Roman"/>
          <w:sz w:val="20"/>
          <w:szCs w:val="20"/>
        </w:rPr>
      </w:pPr>
      <w:r w:rsidRPr="003D1148">
        <w:rPr>
          <w:rFonts w:ascii="Times New Roman" w:hAnsi="Times New Roman"/>
          <w:b/>
          <w:iCs/>
          <w:sz w:val="20"/>
          <w:szCs w:val="20"/>
        </w:rPr>
        <w:t>Collection and preservation of multivitamin tablets</w:t>
      </w:r>
    </w:p>
    <w:p w14:paraId="1D4CAA1D"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 xml:space="preserve">Two different brands of multivitamin tablets with different labelled content of AA were obtained from a pharmacy in Jengka, Pahang. The multivitamin tablets of each brand were ground to a fine powder and dissolved in 200 mL of deionized water. Then, the samples were transferred to a covered scotch bottle to avoid degradation. </w:t>
      </w:r>
    </w:p>
    <w:p w14:paraId="2126ED7C" w14:textId="77777777" w:rsidR="00F067FE" w:rsidRDefault="00F067FE" w:rsidP="00F067FE">
      <w:pPr>
        <w:spacing w:after="0"/>
        <w:jc w:val="both"/>
        <w:rPr>
          <w:rFonts w:ascii="Times New Roman" w:hAnsi="Times New Roman"/>
          <w:sz w:val="20"/>
          <w:szCs w:val="20"/>
        </w:rPr>
      </w:pPr>
    </w:p>
    <w:p w14:paraId="6D716471" w14:textId="77777777" w:rsidR="00F067FE" w:rsidRDefault="00F067FE" w:rsidP="00F067FE">
      <w:pPr>
        <w:spacing w:after="0"/>
        <w:jc w:val="both"/>
        <w:rPr>
          <w:rFonts w:ascii="Times New Roman" w:hAnsi="Times New Roman"/>
          <w:sz w:val="20"/>
          <w:szCs w:val="20"/>
        </w:rPr>
      </w:pPr>
      <w:r w:rsidRPr="003D1148">
        <w:rPr>
          <w:rFonts w:ascii="Times New Roman" w:hAnsi="Times New Roman"/>
          <w:b/>
          <w:iCs/>
          <w:sz w:val="20"/>
          <w:szCs w:val="20"/>
        </w:rPr>
        <w:t>Recovery studies of AA standard in multivitamin tablets</w:t>
      </w:r>
    </w:p>
    <w:p w14:paraId="32273E4F" w14:textId="77B6463A"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The recovery of AA standard solution in the multivitamin tablet was determined by spiking 0.5 mL of the sample into the measuring cell containing PBS solution at pH 4.2. This study was carried out with three replicates (n</w:t>
      </w:r>
      <w:r>
        <w:rPr>
          <w:rFonts w:ascii="Times New Roman" w:hAnsi="Times New Roman"/>
          <w:sz w:val="20"/>
          <w:szCs w:val="20"/>
        </w:rPr>
        <w:t xml:space="preserve"> </w:t>
      </w:r>
      <w:r w:rsidRPr="003D1148">
        <w:rPr>
          <w:rFonts w:ascii="Times New Roman" w:hAnsi="Times New Roman"/>
          <w:sz w:val="20"/>
          <w:szCs w:val="20"/>
        </w:rPr>
        <w:t>=</w:t>
      </w:r>
      <w:r>
        <w:rPr>
          <w:rFonts w:ascii="Times New Roman" w:hAnsi="Times New Roman"/>
          <w:sz w:val="20"/>
          <w:szCs w:val="20"/>
        </w:rPr>
        <w:t xml:space="preserve"> </w:t>
      </w:r>
      <w:r w:rsidRPr="003D1148">
        <w:rPr>
          <w:rFonts w:ascii="Times New Roman" w:hAnsi="Times New Roman"/>
          <w:sz w:val="20"/>
          <w:szCs w:val="20"/>
        </w:rPr>
        <w:t>3). Recovered concentrations of the spiked AA standard solution in the samples were calculated using the regression equation from a calibration curve from the following formul</w:t>
      </w:r>
      <w:r>
        <w:rPr>
          <w:rFonts w:ascii="Times New Roman" w:hAnsi="Times New Roman"/>
          <w:sz w:val="20"/>
          <w:szCs w:val="20"/>
        </w:rPr>
        <w:t>a in equation 1</w:t>
      </w:r>
      <w:r w:rsidRPr="003D1148">
        <w:rPr>
          <w:rFonts w:ascii="Times New Roman" w:hAnsi="Times New Roman"/>
          <w:sz w:val="20"/>
          <w:szCs w:val="20"/>
        </w:rPr>
        <w:t xml:space="preserve"> [32]; </w:t>
      </w:r>
    </w:p>
    <w:p w14:paraId="26B10BF1" w14:textId="77777777" w:rsidR="005E2661" w:rsidRPr="003D1148" w:rsidRDefault="005E2661" w:rsidP="00F067FE">
      <w:pPr>
        <w:spacing w:after="0"/>
        <w:jc w:val="both"/>
        <w:rPr>
          <w:rFonts w:ascii="Times New Roman" w:hAnsi="Times New Roman"/>
          <w:sz w:val="20"/>
          <w:szCs w:val="20"/>
        </w:rPr>
      </w:pPr>
    </w:p>
    <w:p w14:paraId="37A9EAFF" w14:textId="1E30166E" w:rsidR="00F067FE" w:rsidRPr="005E2661" w:rsidRDefault="005E2661" w:rsidP="00F15A10">
      <w:pPr>
        <w:spacing w:after="0"/>
        <w:jc w:val="both"/>
        <w:rPr>
          <w:rFonts w:ascii="Times New Roman" w:hAnsi="Times New Roman"/>
          <w:sz w:val="20"/>
          <w:szCs w:val="20"/>
        </w:rPr>
      </w:pPr>
      <w:r w:rsidRPr="005E2661">
        <w:rPr>
          <w:rFonts w:ascii="Times New Roman" w:hAnsi="Times New Roman"/>
          <w:sz w:val="20"/>
          <w:szCs w:val="20"/>
        </w:rPr>
        <w:t xml:space="preserve">       </w:t>
      </w:r>
      <w:r>
        <w:rPr>
          <w:rFonts w:ascii="Times New Roman" w:hAnsi="Times New Roman"/>
          <w:sz w:val="20"/>
          <w:szCs w:val="20"/>
        </w:rPr>
        <w:t xml:space="preserve">                 </w:t>
      </w:r>
      <w:r w:rsidRPr="005E2661">
        <w:rPr>
          <w:rFonts w:ascii="Times New Roman" w:hAnsi="Times New Roman"/>
          <w:sz w:val="20"/>
          <w:szCs w:val="20"/>
        </w:rPr>
        <w:t>C</w:t>
      </w:r>
      <w:r w:rsidRPr="005E2661">
        <w:rPr>
          <w:rFonts w:ascii="Times New Roman" w:hAnsi="Times New Roman"/>
          <w:sz w:val="20"/>
          <w:szCs w:val="20"/>
          <w:vertAlign w:val="subscript"/>
        </w:rPr>
        <w:t xml:space="preserve">means solution   </w:t>
      </w:r>
      <w:r w:rsidRPr="005E2661">
        <w:rPr>
          <w:rFonts w:ascii="Times New Roman" w:hAnsi="Times New Roman"/>
          <w:sz w:val="20"/>
          <w:szCs w:val="20"/>
        </w:rPr>
        <w:t>x  V</w:t>
      </w:r>
      <w:r w:rsidRPr="005E2661">
        <w:rPr>
          <w:rFonts w:ascii="Times New Roman" w:hAnsi="Times New Roman"/>
          <w:sz w:val="20"/>
          <w:szCs w:val="20"/>
          <w:vertAlign w:val="subscript"/>
        </w:rPr>
        <w:t>total</w:t>
      </w:r>
    </w:p>
    <w:p w14:paraId="7C0BD0CD" w14:textId="52F03CCC" w:rsidR="005E2661" w:rsidRPr="003D1148" w:rsidRDefault="005E2661" w:rsidP="005E2661">
      <w:pPr>
        <w:spacing w:after="0"/>
        <w:jc w:val="both"/>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6685492A" wp14:editId="16E748EC">
                <wp:simplePos x="0" y="0"/>
                <wp:positionH relativeFrom="column">
                  <wp:posOffset>720878</wp:posOffset>
                </wp:positionH>
                <wp:positionV relativeFrom="paragraph">
                  <wp:posOffset>70687</wp:posOffset>
                </wp:positionV>
                <wp:extent cx="1153683" cy="8546"/>
                <wp:effectExtent l="0" t="0" r="27940" b="29845"/>
                <wp:wrapNone/>
                <wp:docPr id="8" name="Straight Connector 8"/>
                <wp:cNvGraphicFramePr/>
                <a:graphic xmlns:a="http://schemas.openxmlformats.org/drawingml/2006/main">
                  <a:graphicData uri="http://schemas.microsoft.com/office/word/2010/wordprocessingShape">
                    <wps:wsp>
                      <wps:cNvCnPr/>
                      <wps:spPr>
                        <a:xfrm flipV="1">
                          <a:off x="0" y="0"/>
                          <a:ext cx="1153683" cy="85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309BE1" id="Straight Connector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6.75pt,5.55pt" to="147.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" strokecolor="black [3040]"/>
            </w:pict>
          </mc:Fallback>
        </mc:AlternateContent>
      </w:r>
      <w:r>
        <w:rPr>
          <w:rFonts w:ascii="Times New Roman" w:hAnsi="Times New Roman"/>
          <w:sz w:val="20"/>
          <w:szCs w:val="20"/>
        </w:rPr>
        <w:t xml:space="preserve">       </w:t>
      </w:r>
      <w:r w:rsidRPr="003D1148">
        <w:rPr>
          <w:rFonts w:ascii="Times New Roman" w:hAnsi="Times New Roman"/>
          <w:sz w:val="20"/>
          <w:szCs w:val="20"/>
        </w:rPr>
        <w:t>C</w:t>
      </w:r>
      <w:r w:rsidRPr="003D1148">
        <w:rPr>
          <w:rFonts w:ascii="Times New Roman" w:hAnsi="Times New Roman"/>
          <w:sz w:val="20"/>
          <w:szCs w:val="20"/>
          <w:vertAlign w:val="subscript"/>
        </w:rPr>
        <w:t>sample</w:t>
      </w:r>
      <w:r w:rsidRPr="003D1148">
        <w:rPr>
          <w:rFonts w:ascii="Times New Roman" w:hAnsi="Times New Roman"/>
          <w:sz w:val="20"/>
          <w:szCs w:val="20"/>
        </w:rPr>
        <w:t xml:space="preserve"> =  </w:t>
      </w:r>
      <w:r>
        <w:rPr>
          <w:rFonts w:ascii="Times New Roman" w:hAnsi="Times New Roman"/>
          <w:sz w:val="20"/>
          <w:szCs w:val="20"/>
        </w:rPr>
        <w:tab/>
        <w:t xml:space="preserve">                                                       (1)</w:t>
      </w:r>
    </w:p>
    <w:p w14:paraId="6C56417B" w14:textId="69F07FF3" w:rsidR="005E2661" w:rsidRPr="003D1148" w:rsidRDefault="005E2661" w:rsidP="005E2661">
      <w:pPr>
        <w:spacing w:after="0"/>
        <w:jc w:val="both"/>
        <w:rPr>
          <w:rFonts w:ascii="Times New Roman" w:hAnsi="Times New Roman"/>
          <w:sz w:val="20"/>
          <w:szCs w:val="20"/>
        </w:rPr>
      </w:pPr>
      <w:r w:rsidRPr="003D1148">
        <w:rPr>
          <w:rFonts w:ascii="Times New Roman" w:hAnsi="Times New Roman"/>
          <w:sz w:val="20"/>
          <w:szCs w:val="20"/>
        </w:rPr>
        <w:t xml:space="preserve">                           </w:t>
      </w:r>
      <w:r>
        <w:rPr>
          <w:rFonts w:ascii="Times New Roman" w:hAnsi="Times New Roman"/>
          <w:sz w:val="20"/>
          <w:szCs w:val="20"/>
        </w:rPr>
        <w:tab/>
        <w:t xml:space="preserve">    </w:t>
      </w:r>
      <w:r w:rsidRPr="003D1148">
        <w:rPr>
          <w:rFonts w:ascii="Times New Roman" w:hAnsi="Times New Roman"/>
          <w:sz w:val="20"/>
          <w:szCs w:val="20"/>
        </w:rPr>
        <w:t>V</w:t>
      </w:r>
      <w:r w:rsidRPr="003D1148">
        <w:rPr>
          <w:rFonts w:ascii="Times New Roman" w:hAnsi="Times New Roman"/>
          <w:sz w:val="20"/>
          <w:szCs w:val="20"/>
          <w:vertAlign w:val="subscript"/>
        </w:rPr>
        <w:t xml:space="preserve">sample </w:t>
      </w:r>
    </w:p>
    <w:p w14:paraId="2FFECD6A" w14:textId="77777777" w:rsidR="005E2661" w:rsidRDefault="005E2661" w:rsidP="00F15A10">
      <w:pPr>
        <w:spacing w:after="0"/>
        <w:jc w:val="both"/>
        <w:rPr>
          <w:rFonts w:ascii="Times New Roman" w:hAnsi="Times New Roman"/>
          <w:sz w:val="20"/>
          <w:szCs w:val="20"/>
        </w:rPr>
      </w:pPr>
    </w:p>
    <w:p w14:paraId="09DC08EE" w14:textId="77777777" w:rsidR="005E2661" w:rsidRPr="003D1148" w:rsidRDefault="005E2661" w:rsidP="005E2661">
      <w:pPr>
        <w:spacing w:after="0"/>
        <w:jc w:val="both"/>
        <w:rPr>
          <w:rFonts w:ascii="Times New Roman" w:hAnsi="Times New Roman"/>
          <w:sz w:val="20"/>
          <w:szCs w:val="20"/>
        </w:rPr>
      </w:pPr>
      <w:r>
        <w:rPr>
          <w:rFonts w:ascii="Times New Roman" w:hAnsi="Times New Roman"/>
          <w:sz w:val="20"/>
          <w:szCs w:val="20"/>
        </w:rPr>
        <w:t>w</w:t>
      </w:r>
      <w:r w:rsidRPr="003D1148">
        <w:rPr>
          <w:rFonts w:ascii="Times New Roman" w:hAnsi="Times New Roman"/>
          <w:sz w:val="20"/>
          <w:szCs w:val="20"/>
        </w:rPr>
        <w:t>here, C</w:t>
      </w:r>
      <w:r w:rsidRPr="003D1148">
        <w:rPr>
          <w:rFonts w:ascii="Times New Roman" w:hAnsi="Times New Roman"/>
          <w:sz w:val="20"/>
          <w:szCs w:val="20"/>
          <w:vertAlign w:val="subscript"/>
        </w:rPr>
        <w:t xml:space="preserve">means solution </w:t>
      </w:r>
      <w:r w:rsidRPr="003D1148">
        <w:rPr>
          <w:rFonts w:ascii="Times New Roman" w:hAnsi="Times New Roman"/>
          <w:sz w:val="20"/>
          <w:szCs w:val="20"/>
        </w:rPr>
        <w:t>is concentration in the measuring solution (mg L</w:t>
      </w:r>
      <w:r w:rsidRPr="003D1148">
        <w:rPr>
          <w:rFonts w:ascii="Times New Roman" w:hAnsi="Times New Roman"/>
          <w:sz w:val="20"/>
          <w:szCs w:val="20"/>
          <w:vertAlign w:val="superscript"/>
        </w:rPr>
        <w:t>-1</w:t>
      </w:r>
      <w:r w:rsidRPr="003D1148">
        <w:rPr>
          <w:rFonts w:ascii="Times New Roman" w:hAnsi="Times New Roman"/>
          <w:sz w:val="20"/>
          <w:szCs w:val="20"/>
        </w:rPr>
        <w:t>), V</w:t>
      </w:r>
      <w:r w:rsidRPr="003D1148">
        <w:rPr>
          <w:rFonts w:ascii="Times New Roman" w:hAnsi="Times New Roman"/>
          <w:sz w:val="20"/>
          <w:szCs w:val="20"/>
          <w:vertAlign w:val="subscript"/>
        </w:rPr>
        <w:t>total</w:t>
      </w:r>
      <w:r w:rsidRPr="003D1148">
        <w:rPr>
          <w:rFonts w:ascii="Times New Roman" w:hAnsi="Times New Roman"/>
          <w:sz w:val="20"/>
          <w:szCs w:val="20"/>
        </w:rPr>
        <w:t xml:space="preserve"> is total volume of the measuring solution (L), V</w:t>
      </w:r>
      <w:r w:rsidRPr="003D1148">
        <w:rPr>
          <w:rFonts w:ascii="Times New Roman" w:hAnsi="Times New Roman"/>
          <w:sz w:val="20"/>
          <w:szCs w:val="20"/>
          <w:vertAlign w:val="subscript"/>
        </w:rPr>
        <w:t>sample</w:t>
      </w:r>
      <w:r w:rsidRPr="003D1148">
        <w:rPr>
          <w:rFonts w:ascii="Times New Roman" w:hAnsi="Times New Roman"/>
          <w:sz w:val="20"/>
          <w:szCs w:val="20"/>
        </w:rPr>
        <w:t xml:space="preserve"> is volume of sample in the measuring cell (L) and C</w:t>
      </w:r>
      <w:r w:rsidRPr="003D1148">
        <w:rPr>
          <w:rFonts w:ascii="Times New Roman" w:hAnsi="Times New Roman"/>
          <w:sz w:val="20"/>
          <w:szCs w:val="20"/>
          <w:vertAlign w:val="subscript"/>
        </w:rPr>
        <w:t>sample</w:t>
      </w:r>
      <w:r w:rsidRPr="003D1148">
        <w:rPr>
          <w:rFonts w:ascii="Times New Roman" w:hAnsi="Times New Roman"/>
          <w:sz w:val="20"/>
          <w:szCs w:val="20"/>
        </w:rPr>
        <w:t xml:space="preserve"> is concentration in the sample (mg L</w:t>
      </w:r>
      <w:r w:rsidRPr="003D1148">
        <w:rPr>
          <w:rFonts w:ascii="Times New Roman" w:hAnsi="Times New Roman"/>
          <w:sz w:val="20"/>
          <w:szCs w:val="20"/>
          <w:vertAlign w:val="superscript"/>
        </w:rPr>
        <w:t>-1</w:t>
      </w:r>
      <w:r w:rsidRPr="003D1148">
        <w:rPr>
          <w:rFonts w:ascii="Times New Roman" w:hAnsi="Times New Roman"/>
          <w:sz w:val="20"/>
          <w:szCs w:val="20"/>
        </w:rPr>
        <w:t>).</w:t>
      </w:r>
    </w:p>
    <w:p w14:paraId="4FD0AA27" w14:textId="77777777" w:rsidR="005E2661" w:rsidRDefault="005E2661" w:rsidP="00F15A10">
      <w:pPr>
        <w:spacing w:after="0"/>
        <w:jc w:val="both"/>
        <w:rPr>
          <w:rFonts w:ascii="Times New Roman" w:hAnsi="Times New Roman"/>
          <w:sz w:val="20"/>
          <w:szCs w:val="20"/>
        </w:rPr>
      </w:pPr>
    </w:p>
    <w:p w14:paraId="5E9F25D5" w14:textId="77777777" w:rsidR="005E2661" w:rsidRPr="00510BA6" w:rsidRDefault="005E2661" w:rsidP="005E2661">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1A7B56F7" w14:textId="77777777" w:rsidR="005E2661" w:rsidRPr="00F15A10" w:rsidRDefault="005E2661" w:rsidP="005E2661">
      <w:pPr>
        <w:tabs>
          <w:tab w:val="left" w:pos="4050"/>
        </w:tabs>
        <w:spacing w:after="0"/>
        <w:jc w:val="both"/>
        <w:rPr>
          <w:rFonts w:ascii="Times New Roman" w:hAnsi="Times New Roman"/>
          <w:b/>
          <w:sz w:val="20"/>
          <w:szCs w:val="20"/>
        </w:rPr>
      </w:pPr>
      <w:r w:rsidRPr="00F15A10">
        <w:rPr>
          <w:rFonts w:ascii="Times New Roman" w:hAnsi="Times New Roman"/>
          <w:b/>
          <w:sz w:val="20"/>
          <w:szCs w:val="20"/>
        </w:rPr>
        <w:t>DPSAV of AA</w:t>
      </w:r>
    </w:p>
    <w:p w14:paraId="08C3FB81"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t>DPSAV</w:t>
      </w:r>
      <w:r w:rsidRPr="00F15A10">
        <w:rPr>
          <w:rFonts w:ascii="Times New Roman" w:hAnsi="Times New Roman"/>
          <w:b/>
          <w:sz w:val="20"/>
          <w:szCs w:val="20"/>
        </w:rPr>
        <w:t xml:space="preserve"> </w:t>
      </w:r>
      <w:r w:rsidRPr="00F15A10">
        <w:rPr>
          <w:rFonts w:ascii="Times New Roman" w:hAnsi="Times New Roman"/>
          <w:sz w:val="20"/>
          <w:szCs w:val="20"/>
        </w:rPr>
        <w:t>offers a well-defined and sharp peak even at lower concentration of AA [5]. It is very important to optimize all the parameters that may influence the measurements in order to obtain the optimum response [33]. The effects of scan rate (</w:t>
      </w:r>
      <w:r w:rsidRPr="00F15A10">
        <w:rPr>
          <w:rFonts w:ascii="Times New Roman" w:hAnsi="Times New Roman"/>
          <w:i/>
          <w:sz w:val="20"/>
          <w:szCs w:val="20"/>
        </w:rPr>
        <w:t>v</w:t>
      </w:r>
      <w:r w:rsidRPr="00F15A10">
        <w:rPr>
          <w:rFonts w:ascii="Times New Roman" w:hAnsi="Times New Roman"/>
          <w:sz w:val="20"/>
          <w:szCs w:val="20"/>
        </w:rPr>
        <w:t>), accumulation time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accumulation potential (</w:t>
      </w:r>
      <w:r w:rsidRPr="00F15A10">
        <w:rPr>
          <w:rFonts w:ascii="Times New Roman" w:hAnsi="Times New Roman"/>
          <w:i/>
          <w:sz w:val="20"/>
          <w:szCs w:val="20"/>
        </w:rPr>
        <w:t>E</w:t>
      </w:r>
      <w:r w:rsidRPr="00F15A10">
        <w:rPr>
          <w:rFonts w:ascii="Times New Roman" w:hAnsi="Times New Roman"/>
          <w:i/>
          <w:sz w:val="20"/>
          <w:szCs w:val="20"/>
          <w:vertAlign w:val="subscript"/>
        </w:rPr>
        <w:t>acc</w:t>
      </w:r>
      <w:r w:rsidRPr="00F15A10">
        <w:rPr>
          <w:rFonts w:ascii="Times New Roman" w:hAnsi="Times New Roman"/>
          <w:sz w:val="20"/>
          <w:szCs w:val="20"/>
        </w:rPr>
        <w:t>) and pulse amplitude on the I</w:t>
      </w:r>
      <w:r w:rsidRPr="00F15A10">
        <w:rPr>
          <w:rFonts w:ascii="Times New Roman" w:hAnsi="Times New Roman"/>
          <w:sz w:val="20"/>
          <w:szCs w:val="20"/>
          <w:vertAlign w:val="subscript"/>
        </w:rPr>
        <w:t>p</w:t>
      </w:r>
      <w:r w:rsidRPr="00F15A10">
        <w:rPr>
          <w:rFonts w:ascii="Times New Roman" w:hAnsi="Times New Roman"/>
          <w:sz w:val="20"/>
          <w:szCs w:val="20"/>
        </w:rPr>
        <w:t xml:space="preserve"> of 10 mg L</w:t>
      </w:r>
      <w:r w:rsidRPr="00F15A10">
        <w:rPr>
          <w:rFonts w:ascii="Times New Roman" w:hAnsi="Times New Roman"/>
          <w:sz w:val="20"/>
          <w:szCs w:val="20"/>
          <w:vertAlign w:val="superscript"/>
        </w:rPr>
        <w:t xml:space="preserve">-1 </w:t>
      </w:r>
      <w:r w:rsidRPr="00F15A10">
        <w:rPr>
          <w:rFonts w:ascii="Times New Roman" w:hAnsi="Times New Roman"/>
          <w:sz w:val="20"/>
          <w:szCs w:val="20"/>
        </w:rPr>
        <w:t>AA standard were studied in the PBS solution at pH 4.2.</w:t>
      </w:r>
    </w:p>
    <w:p w14:paraId="61943910" w14:textId="77777777" w:rsidR="005E2661" w:rsidRPr="00F15A10" w:rsidRDefault="005E2661" w:rsidP="005E2661">
      <w:pPr>
        <w:spacing w:after="0"/>
        <w:jc w:val="both"/>
        <w:rPr>
          <w:rFonts w:ascii="Times New Roman" w:hAnsi="Times New Roman"/>
          <w:sz w:val="20"/>
          <w:szCs w:val="20"/>
        </w:rPr>
      </w:pPr>
    </w:p>
    <w:p w14:paraId="0E5DF34E"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b/>
          <w:iCs/>
          <w:sz w:val="20"/>
          <w:szCs w:val="20"/>
        </w:rPr>
        <w:t>The effect of accumulation time (t</w:t>
      </w:r>
      <w:r w:rsidRPr="00F15A10">
        <w:rPr>
          <w:rFonts w:ascii="Times New Roman" w:hAnsi="Times New Roman"/>
          <w:b/>
          <w:iCs/>
          <w:sz w:val="20"/>
          <w:szCs w:val="20"/>
          <w:vertAlign w:val="subscript"/>
        </w:rPr>
        <w:t>acc</w:t>
      </w:r>
      <w:r w:rsidRPr="00F15A10">
        <w:rPr>
          <w:rFonts w:ascii="Times New Roman" w:hAnsi="Times New Roman"/>
          <w:b/>
          <w:iCs/>
          <w:sz w:val="20"/>
          <w:szCs w:val="20"/>
        </w:rPr>
        <w:t>)</w:t>
      </w:r>
    </w:p>
    <w:p w14:paraId="454BBEAB" w14:textId="1E803AD1"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t>An accumulation time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is a period of time given for AA to accumulate or adsorb onto a glassy carbon electrode before being analysed further. The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is strongly affected the peak response and contributed to the high peak in electroanalytical measurements [34].  The influence of </w:t>
      </w:r>
      <w:r w:rsidRPr="00F15A10">
        <w:rPr>
          <w:rFonts w:ascii="Times New Roman" w:hAnsi="Times New Roman"/>
          <w:i/>
          <w:sz w:val="20"/>
          <w:szCs w:val="20"/>
        </w:rPr>
        <w:t>t</w:t>
      </w:r>
      <w:r w:rsidRPr="00F15A10">
        <w:rPr>
          <w:rFonts w:ascii="Times New Roman" w:hAnsi="Times New Roman"/>
          <w:i/>
          <w:sz w:val="20"/>
          <w:szCs w:val="20"/>
          <w:vertAlign w:val="subscript"/>
        </w:rPr>
        <w:t xml:space="preserve">acc </w:t>
      </w:r>
      <w:r w:rsidRPr="00F15A10">
        <w:rPr>
          <w:rFonts w:ascii="Times New Roman" w:hAnsi="Times New Roman"/>
          <w:sz w:val="20"/>
          <w:szCs w:val="20"/>
        </w:rPr>
        <w:t>on the peak response of AA in PBS solution at pH 4.2 has been studied over the range between 10 to 80 s. The I</w:t>
      </w:r>
      <w:r w:rsidRPr="00F15A10">
        <w:rPr>
          <w:rFonts w:ascii="Times New Roman" w:hAnsi="Times New Roman"/>
          <w:sz w:val="20"/>
          <w:szCs w:val="20"/>
          <w:vertAlign w:val="subscript"/>
        </w:rPr>
        <w:t>p</w:t>
      </w:r>
      <w:r w:rsidRPr="00F15A10">
        <w:rPr>
          <w:rFonts w:ascii="Times New Roman" w:hAnsi="Times New Roman"/>
          <w:sz w:val="20"/>
          <w:szCs w:val="20"/>
        </w:rPr>
        <w:t xml:space="preserve"> has increased starting from 10 s to 60 s. The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of 60 s was considered as the optimum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as the highest I</w:t>
      </w:r>
      <w:r w:rsidRPr="00F15A10">
        <w:rPr>
          <w:rFonts w:ascii="Times New Roman" w:hAnsi="Times New Roman"/>
          <w:sz w:val="20"/>
          <w:szCs w:val="20"/>
          <w:vertAlign w:val="subscript"/>
        </w:rPr>
        <w:t>p</w:t>
      </w:r>
      <w:r w:rsidRPr="00F15A10">
        <w:rPr>
          <w:rFonts w:ascii="Times New Roman" w:hAnsi="Times New Roman"/>
          <w:sz w:val="20"/>
          <w:szCs w:val="20"/>
        </w:rPr>
        <w:t xml:space="preserve"> has been obtained, which was 426 nA, as shown in Figure 2.</w:t>
      </w:r>
    </w:p>
    <w:p w14:paraId="436CD736" w14:textId="77777777" w:rsidR="005E2661" w:rsidRDefault="005E2661" w:rsidP="00F15A10">
      <w:pPr>
        <w:spacing w:after="0"/>
        <w:jc w:val="both"/>
        <w:rPr>
          <w:rFonts w:ascii="Times New Roman" w:hAnsi="Times New Roman"/>
          <w:sz w:val="20"/>
          <w:szCs w:val="20"/>
        </w:rPr>
      </w:pPr>
    </w:p>
    <w:p w14:paraId="520F8D2E"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t>The increase of the I</w:t>
      </w:r>
      <w:r w:rsidRPr="00F15A10">
        <w:rPr>
          <w:rFonts w:ascii="Times New Roman" w:hAnsi="Times New Roman"/>
          <w:sz w:val="20"/>
          <w:szCs w:val="20"/>
          <w:vertAlign w:val="subscript"/>
        </w:rPr>
        <w:t>p</w:t>
      </w:r>
      <w:r w:rsidRPr="00F15A10">
        <w:rPr>
          <w:rFonts w:ascii="Times New Roman" w:hAnsi="Times New Roman"/>
          <w:sz w:val="20"/>
          <w:szCs w:val="20"/>
        </w:rPr>
        <w:t xml:space="preserve"> of AA with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was contributed by the accumulation of AA at the electrode surface in large amount since longer time has been given for the accumulation to occur [35]. Besides, the higher response of measurement can be achieved with longer of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After the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of 60 s, the I</w:t>
      </w:r>
      <w:r w:rsidRPr="00F15A10">
        <w:rPr>
          <w:rFonts w:ascii="Times New Roman" w:hAnsi="Times New Roman"/>
          <w:sz w:val="20"/>
          <w:szCs w:val="20"/>
          <w:vertAlign w:val="subscript"/>
        </w:rPr>
        <w:t xml:space="preserve">p </w:t>
      </w:r>
      <w:r w:rsidRPr="00F15A10">
        <w:rPr>
          <w:rFonts w:ascii="Times New Roman" w:hAnsi="Times New Roman"/>
          <w:sz w:val="20"/>
          <w:szCs w:val="20"/>
        </w:rPr>
        <w:t>has decreased probably due to saturation of the accumulated AA at the working electrode surface [36].</w:t>
      </w:r>
    </w:p>
    <w:p w14:paraId="5CDEE6D6" w14:textId="77777777" w:rsidR="005E2661" w:rsidRPr="00F15A10" w:rsidRDefault="005E2661" w:rsidP="005E2661">
      <w:pPr>
        <w:spacing w:after="0"/>
        <w:jc w:val="both"/>
        <w:rPr>
          <w:rFonts w:ascii="Times New Roman" w:hAnsi="Times New Roman"/>
          <w:sz w:val="20"/>
          <w:szCs w:val="20"/>
        </w:rPr>
      </w:pPr>
    </w:p>
    <w:p w14:paraId="7F5D0506"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b/>
          <w:iCs/>
          <w:sz w:val="20"/>
          <w:szCs w:val="20"/>
        </w:rPr>
        <w:t>The effect of scan rate (v)</w:t>
      </w:r>
    </w:p>
    <w:p w14:paraId="7AD617AD" w14:textId="478EAF67" w:rsidR="002C4E39" w:rsidRDefault="005E2661" w:rsidP="005E2661">
      <w:pPr>
        <w:spacing w:after="0"/>
        <w:jc w:val="both"/>
        <w:rPr>
          <w:rFonts w:ascii="Times New Roman" w:hAnsi="Times New Roman"/>
          <w:sz w:val="20"/>
          <w:szCs w:val="20"/>
        </w:rPr>
        <w:sectPr w:rsidR="002C4E39" w:rsidSect="00F067FE">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0"/>
          <w:cols w:num="2" w:space="403"/>
          <w:docGrid w:linePitch="360"/>
        </w:sectPr>
      </w:pPr>
      <w:r w:rsidRPr="00F15A10">
        <w:rPr>
          <w:rFonts w:ascii="Times New Roman" w:hAnsi="Times New Roman"/>
          <w:sz w:val="20"/>
          <w:szCs w:val="20"/>
        </w:rPr>
        <w:t>The relationships between I</w:t>
      </w:r>
      <w:r w:rsidRPr="00F15A10">
        <w:rPr>
          <w:rFonts w:ascii="Times New Roman" w:hAnsi="Times New Roman"/>
          <w:sz w:val="20"/>
          <w:szCs w:val="20"/>
          <w:vertAlign w:val="subscript"/>
        </w:rPr>
        <w:t>p</w:t>
      </w:r>
      <w:r w:rsidRPr="00F15A10">
        <w:rPr>
          <w:rFonts w:ascii="Times New Roman" w:hAnsi="Times New Roman"/>
          <w:sz w:val="20"/>
          <w:szCs w:val="20"/>
        </w:rPr>
        <w:t xml:space="preserve"> of AA and various </w:t>
      </w:r>
      <w:r w:rsidRPr="00F15A10">
        <w:rPr>
          <w:rFonts w:ascii="Times New Roman" w:hAnsi="Times New Roman"/>
          <w:i/>
          <w:sz w:val="20"/>
          <w:szCs w:val="20"/>
        </w:rPr>
        <w:t>v</w:t>
      </w:r>
      <w:r w:rsidRPr="00F15A10">
        <w:rPr>
          <w:rFonts w:ascii="Times New Roman" w:hAnsi="Times New Roman"/>
          <w:sz w:val="20"/>
          <w:szCs w:val="20"/>
        </w:rPr>
        <w:t xml:space="preserve"> such as </w:t>
      </w:r>
      <w:r w:rsidR="002C4E39">
        <w:rPr>
          <w:rFonts w:ascii="Times New Roman" w:hAnsi="Times New Roman"/>
          <w:sz w:val="20"/>
          <w:szCs w:val="20"/>
        </w:rPr>
        <w:t xml:space="preserve"> </w:t>
      </w:r>
      <w:r w:rsidRPr="00F15A10">
        <w:rPr>
          <w:rFonts w:ascii="Times New Roman" w:hAnsi="Times New Roman"/>
          <w:sz w:val="20"/>
          <w:szCs w:val="20"/>
        </w:rPr>
        <w:t xml:space="preserve">25, </w:t>
      </w:r>
      <w:r w:rsidR="002C4E39">
        <w:rPr>
          <w:rFonts w:ascii="Times New Roman" w:hAnsi="Times New Roman"/>
          <w:sz w:val="20"/>
          <w:szCs w:val="20"/>
        </w:rPr>
        <w:t xml:space="preserve"> </w:t>
      </w:r>
      <w:r w:rsidRPr="00F15A10">
        <w:rPr>
          <w:rFonts w:ascii="Times New Roman" w:hAnsi="Times New Roman"/>
          <w:sz w:val="20"/>
          <w:szCs w:val="20"/>
        </w:rPr>
        <w:t xml:space="preserve">50, </w:t>
      </w:r>
      <w:r w:rsidR="002C4E39">
        <w:rPr>
          <w:rFonts w:ascii="Times New Roman" w:hAnsi="Times New Roman"/>
          <w:sz w:val="20"/>
          <w:szCs w:val="20"/>
        </w:rPr>
        <w:t xml:space="preserve"> </w:t>
      </w:r>
      <w:r w:rsidRPr="00F15A10">
        <w:rPr>
          <w:rFonts w:ascii="Times New Roman" w:hAnsi="Times New Roman"/>
          <w:sz w:val="20"/>
          <w:szCs w:val="20"/>
        </w:rPr>
        <w:t xml:space="preserve">75, 100, 125 and 150 mV/s </w:t>
      </w:r>
      <w:r w:rsidR="002C4E39">
        <w:rPr>
          <w:rFonts w:ascii="Times New Roman" w:hAnsi="Times New Roman"/>
          <w:sz w:val="20"/>
          <w:szCs w:val="20"/>
        </w:rPr>
        <w:t xml:space="preserve"> </w:t>
      </w:r>
      <w:r w:rsidRPr="00F15A10">
        <w:rPr>
          <w:rFonts w:ascii="Times New Roman" w:hAnsi="Times New Roman"/>
          <w:sz w:val="20"/>
          <w:szCs w:val="20"/>
        </w:rPr>
        <w:t xml:space="preserve">were </w:t>
      </w:r>
      <w:r w:rsidR="002C4E39">
        <w:rPr>
          <w:rFonts w:ascii="Times New Roman" w:hAnsi="Times New Roman"/>
          <w:sz w:val="20"/>
          <w:szCs w:val="20"/>
        </w:rPr>
        <w:t xml:space="preserve"> </w:t>
      </w:r>
      <w:r w:rsidRPr="00F15A10">
        <w:rPr>
          <w:rFonts w:ascii="Times New Roman" w:hAnsi="Times New Roman"/>
          <w:sz w:val="20"/>
          <w:szCs w:val="20"/>
        </w:rPr>
        <w:t xml:space="preserve">observed </w:t>
      </w:r>
    </w:p>
    <w:p w14:paraId="2E96B908" w14:textId="09D2E634"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lastRenderedPageBreak/>
        <w:t>using the initial parameters. The maximum current obtained was 469 nA at E</w:t>
      </w:r>
      <w:r w:rsidRPr="00F15A10">
        <w:rPr>
          <w:rFonts w:ascii="Times New Roman" w:hAnsi="Times New Roman"/>
          <w:sz w:val="20"/>
          <w:szCs w:val="20"/>
          <w:vertAlign w:val="subscript"/>
        </w:rPr>
        <w:t>p</w:t>
      </w:r>
      <w:r w:rsidRPr="00F15A10">
        <w:rPr>
          <w:rFonts w:ascii="Times New Roman" w:hAnsi="Times New Roman"/>
          <w:sz w:val="20"/>
          <w:szCs w:val="20"/>
        </w:rPr>
        <w:t xml:space="preserve"> of 0.39978 V with </w:t>
      </w:r>
      <w:r w:rsidRPr="00F15A10">
        <w:rPr>
          <w:rFonts w:ascii="Times New Roman" w:hAnsi="Times New Roman"/>
          <w:i/>
          <w:sz w:val="20"/>
          <w:szCs w:val="20"/>
        </w:rPr>
        <w:t>v</w:t>
      </w:r>
      <w:r w:rsidRPr="00F15A10">
        <w:rPr>
          <w:rFonts w:ascii="Times New Roman" w:hAnsi="Times New Roman"/>
          <w:sz w:val="20"/>
          <w:szCs w:val="20"/>
        </w:rPr>
        <w:t xml:space="preserve"> of 0.125 V/s in PBS solution at pH 4.2</w:t>
      </w:r>
    </w:p>
    <w:p w14:paraId="67453980" w14:textId="77777777" w:rsidR="005E2661" w:rsidRPr="00F15A10" w:rsidRDefault="005E2661" w:rsidP="005E2661">
      <w:pPr>
        <w:spacing w:after="0"/>
        <w:jc w:val="both"/>
        <w:rPr>
          <w:rFonts w:ascii="Times New Roman" w:hAnsi="Times New Roman"/>
          <w:sz w:val="20"/>
          <w:szCs w:val="20"/>
        </w:rPr>
      </w:pPr>
    </w:p>
    <w:p w14:paraId="65BBDC48"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b/>
          <w:iCs/>
          <w:sz w:val="20"/>
          <w:szCs w:val="20"/>
        </w:rPr>
        <w:t>The effect of accumulation potential (E</w:t>
      </w:r>
      <w:r w:rsidRPr="00F15A10">
        <w:rPr>
          <w:rFonts w:ascii="Times New Roman" w:hAnsi="Times New Roman"/>
          <w:b/>
          <w:iCs/>
          <w:sz w:val="20"/>
          <w:szCs w:val="20"/>
          <w:vertAlign w:val="subscript"/>
        </w:rPr>
        <w:t>acc</w:t>
      </w:r>
      <w:r w:rsidRPr="00F15A10">
        <w:rPr>
          <w:rFonts w:ascii="Times New Roman" w:hAnsi="Times New Roman"/>
          <w:b/>
          <w:iCs/>
          <w:sz w:val="20"/>
          <w:szCs w:val="20"/>
        </w:rPr>
        <w:t>)</w:t>
      </w:r>
    </w:p>
    <w:p w14:paraId="72FEAEDD"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t>Accumulation potential (</w:t>
      </w:r>
      <w:r w:rsidRPr="00F15A10">
        <w:rPr>
          <w:rFonts w:ascii="Times New Roman" w:hAnsi="Times New Roman"/>
          <w:i/>
          <w:sz w:val="20"/>
          <w:szCs w:val="20"/>
        </w:rPr>
        <w:t>E</w:t>
      </w:r>
      <w:r w:rsidRPr="00F15A10">
        <w:rPr>
          <w:rFonts w:ascii="Times New Roman" w:hAnsi="Times New Roman"/>
          <w:i/>
          <w:sz w:val="20"/>
          <w:szCs w:val="20"/>
          <w:vertAlign w:val="subscript"/>
        </w:rPr>
        <w:t>acc</w:t>
      </w:r>
      <w:r w:rsidRPr="00F15A10">
        <w:rPr>
          <w:rFonts w:ascii="Times New Roman" w:hAnsi="Times New Roman"/>
          <w:sz w:val="20"/>
          <w:szCs w:val="20"/>
        </w:rPr>
        <w:t xml:space="preserve">) was the potential for AA to be accumulated at the surface of a mercury electrode, whereas an optimum </w:t>
      </w:r>
      <w:r w:rsidRPr="00F15A10">
        <w:rPr>
          <w:rFonts w:ascii="Times New Roman" w:hAnsi="Times New Roman"/>
          <w:i/>
          <w:sz w:val="20"/>
          <w:szCs w:val="20"/>
        </w:rPr>
        <w:t>E</w:t>
      </w:r>
      <w:r w:rsidRPr="00F15A10">
        <w:rPr>
          <w:rFonts w:ascii="Times New Roman" w:hAnsi="Times New Roman"/>
          <w:i/>
          <w:sz w:val="20"/>
          <w:szCs w:val="20"/>
          <w:vertAlign w:val="subscript"/>
        </w:rPr>
        <w:t>acc</w:t>
      </w:r>
      <w:r w:rsidRPr="00F15A10">
        <w:rPr>
          <w:rFonts w:ascii="Times New Roman" w:hAnsi="Times New Roman"/>
          <w:sz w:val="20"/>
          <w:szCs w:val="20"/>
        </w:rPr>
        <w:t xml:space="preserve"> was the most appropriate potential for the accumulation process to take place [34]. Figure 3 shows the maximum response was observed at </w:t>
      </w:r>
      <w:r w:rsidRPr="00F15A10">
        <w:rPr>
          <w:rFonts w:ascii="Times New Roman" w:hAnsi="Times New Roman"/>
          <w:i/>
          <w:sz w:val="20"/>
          <w:szCs w:val="20"/>
        </w:rPr>
        <w:t>E</w:t>
      </w:r>
      <w:r w:rsidRPr="00F15A10">
        <w:rPr>
          <w:rFonts w:ascii="Times New Roman" w:hAnsi="Times New Roman"/>
          <w:i/>
          <w:sz w:val="20"/>
          <w:szCs w:val="20"/>
          <w:vertAlign w:val="subscript"/>
        </w:rPr>
        <w:t>acc</w:t>
      </w:r>
      <w:r w:rsidRPr="00F15A10">
        <w:rPr>
          <w:rFonts w:ascii="Times New Roman" w:hAnsi="Times New Roman"/>
          <w:sz w:val="20"/>
          <w:szCs w:val="20"/>
        </w:rPr>
        <w:t xml:space="preserve"> of 0 mV with I</w:t>
      </w:r>
      <w:r w:rsidRPr="00F15A10">
        <w:rPr>
          <w:rFonts w:ascii="Times New Roman" w:hAnsi="Times New Roman"/>
          <w:sz w:val="20"/>
          <w:szCs w:val="20"/>
          <w:vertAlign w:val="subscript"/>
        </w:rPr>
        <w:t>p</w:t>
      </w:r>
      <w:r w:rsidRPr="00F15A10">
        <w:rPr>
          <w:rFonts w:ascii="Times New Roman" w:hAnsi="Times New Roman"/>
          <w:sz w:val="20"/>
          <w:szCs w:val="20"/>
        </w:rPr>
        <w:t xml:space="preserve"> 469 nA and E</w:t>
      </w:r>
      <w:r w:rsidRPr="00F15A10">
        <w:rPr>
          <w:rFonts w:ascii="Times New Roman" w:hAnsi="Times New Roman"/>
          <w:sz w:val="20"/>
          <w:szCs w:val="20"/>
          <w:vertAlign w:val="subscript"/>
        </w:rPr>
        <w:t>p</w:t>
      </w:r>
      <w:r w:rsidRPr="00F15A10">
        <w:rPr>
          <w:rFonts w:ascii="Times New Roman" w:hAnsi="Times New Roman"/>
          <w:sz w:val="20"/>
          <w:szCs w:val="20"/>
        </w:rPr>
        <w:t xml:space="preserve"> of 0.39978 V. It indicated that the accumulation of AA at the electrode surface effectively occurred at 0 mV. </w:t>
      </w:r>
    </w:p>
    <w:p w14:paraId="3E5D0A4E" w14:textId="77777777" w:rsidR="005E2661" w:rsidRDefault="005E2661" w:rsidP="00F15A10">
      <w:pPr>
        <w:spacing w:after="0"/>
        <w:jc w:val="both"/>
        <w:rPr>
          <w:rFonts w:ascii="Times New Roman" w:hAnsi="Times New Roman"/>
          <w:sz w:val="20"/>
          <w:szCs w:val="20"/>
        </w:rPr>
      </w:pPr>
    </w:p>
    <w:p w14:paraId="3B0E699B" w14:textId="77777777" w:rsidR="005E2661" w:rsidRPr="00F15A10" w:rsidRDefault="005E2661" w:rsidP="005E2661">
      <w:pPr>
        <w:spacing w:after="0"/>
        <w:jc w:val="both"/>
        <w:rPr>
          <w:rFonts w:ascii="Times New Roman" w:hAnsi="Times New Roman"/>
          <w:b/>
          <w:iCs/>
          <w:sz w:val="20"/>
          <w:szCs w:val="20"/>
        </w:rPr>
      </w:pPr>
      <w:r w:rsidRPr="00F15A10">
        <w:rPr>
          <w:rFonts w:ascii="Times New Roman" w:hAnsi="Times New Roman"/>
          <w:b/>
          <w:iCs/>
          <w:sz w:val="20"/>
          <w:szCs w:val="20"/>
        </w:rPr>
        <w:t>The effect of pulse amplitude</w:t>
      </w:r>
    </w:p>
    <w:p w14:paraId="32F64211"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t xml:space="preserve">According to De Lima </w:t>
      </w:r>
      <w:r w:rsidRPr="00F15A10">
        <w:rPr>
          <w:rFonts w:ascii="Times New Roman" w:hAnsi="Times New Roman"/>
          <w:iCs/>
          <w:sz w:val="20"/>
          <w:szCs w:val="20"/>
        </w:rPr>
        <w:t>et al.</w:t>
      </w:r>
      <w:r w:rsidRPr="00F15A10">
        <w:rPr>
          <w:rFonts w:ascii="Times New Roman" w:hAnsi="Times New Roman"/>
          <w:sz w:val="20"/>
          <w:szCs w:val="20"/>
        </w:rPr>
        <w:t xml:space="preserve"> [37], pulse amplitude is one of the factors that affects the sensitivity of voltammetric measurements. The I</w:t>
      </w:r>
      <w:r w:rsidRPr="00F15A10">
        <w:rPr>
          <w:rFonts w:ascii="Times New Roman" w:hAnsi="Times New Roman"/>
          <w:sz w:val="20"/>
          <w:szCs w:val="20"/>
          <w:vertAlign w:val="subscript"/>
        </w:rPr>
        <w:t>p</w:t>
      </w:r>
      <w:r w:rsidRPr="00F15A10">
        <w:rPr>
          <w:rFonts w:ascii="Times New Roman" w:hAnsi="Times New Roman"/>
          <w:sz w:val="20"/>
          <w:szCs w:val="20"/>
        </w:rPr>
        <w:t xml:space="preserve"> and E</w:t>
      </w:r>
      <w:r w:rsidRPr="00F15A10">
        <w:rPr>
          <w:rFonts w:ascii="Times New Roman" w:hAnsi="Times New Roman"/>
          <w:sz w:val="20"/>
          <w:szCs w:val="20"/>
          <w:vertAlign w:val="subscript"/>
        </w:rPr>
        <w:t>p</w:t>
      </w:r>
      <w:r w:rsidRPr="00F15A10">
        <w:rPr>
          <w:rFonts w:ascii="Times New Roman" w:hAnsi="Times New Roman"/>
          <w:sz w:val="20"/>
          <w:szCs w:val="20"/>
        </w:rPr>
        <w:t xml:space="preserve"> have sharply increased </w:t>
      </w:r>
      <w:r w:rsidRPr="00F15A10">
        <w:rPr>
          <w:rFonts w:ascii="Times New Roman" w:hAnsi="Times New Roman"/>
          <w:sz w:val="20"/>
          <w:szCs w:val="20"/>
        </w:rPr>
        <w:t>from 0.075 V to 0.15 V and slowly decreased after 0.15 V, as shown in Figure 4. The pulse amplitude of 0.15 V was noted as optimum condition for analysis due the highest I</w:t>
      </w:r>
      <w:r w:rsidRPr="00F15A10">
        <w:rPr>
          <w:rFonts w:ascii="Times New Roman" w:hAnsi="Times New Roman"/>
          <w:sz w:val="20"/>
          <w:szCs w:val="20"/>
          <w:vertAlign w:val="subscript"/>
        </w:rPr>
        <w:t>p</w:t>
      </w:r>
      <w:r w:rsidRPr="00F15A10">
        <w:rPr>
          <w:rFonts w:ascii="Times New Roman" w:hAnsi="Times New Roman"/>
          <w:sz w:val="20"/>
          <w:szCs w:val="20"/>
        </w:rPr>
        <w:t xml:space="preserve"> observed which was 857 nA and E</w:t>
      </w:r>
      <w:r w:rsidRPr="00F15A10">
        <w:rPr>
          <w:rFonts w:ascii="Times New Roman" w:hAnsi="Times New Roman"/>
          <w:sz w:val="20"/>
          <w:szCs w:val="20"/>
          <w:vertAlign w:val="subscript"/>
        </w:rPr>
        <w:t>p</w:t>
      </w:r>
      <w:r w:rsidRPr="00F15A10">
        <w:rPr>
          <w:rFonts w:ascii="Times New Roman" w:hAnsi="Times New Roman"/>
          <w:sz w:val="20"/>
          <w:szCs w:val="20"/>
        </w:rPr>
        <w:t xml:space="preserve"> of 0.3598 V in PBS solution at pH 4.2.</w:t>
      </w:r>
    </w:p>
    <w:p w14:paraId="456DB2B3" w14:textId="77777777" w:rsidR="005E2661" w:rsidRDefault="005E2661" w:rsidP="00F15A10">
      <w:pPr>
        <w:spacing w:after="0"/>
        <w:jc w:val="both"/>
        <w:rPr>
          <w:rFonts w:ascii="Times New Roman" w:hAnsi="Times New Roman"/>
          <w:sz w:val="20"/>
          <w:szCs w:val="20"/>
        </w:rPr>
      </w:pPr>
    </w:p>
    <w:p w14:paraId="02A3DF0E" w14:textId="77777777" w:rsidR="005E2661" w:rsidRPr="00F15A10" w:rsidRDefault="005E2661" w:rsidP="005E2661">
      <w:pPr>
        <w:spacing w:after="0"/>
        <w:jc w:val="both"/>
        <w:rPr>
          <w:rFonts w:ascii="Times New Roman" w:hAnsi="Times New Roman"/>
          <w:b/>
          <w:sz w:val="20"/>
          <w:szCs w:val="20"/>
        </w:rPr>
      </w:pPr>
      <w:r w:rsidRPr="00F15A10">
        <w:rPr>
          <w:rFonts w:ascii="Times New Roman" w:hAnsi="Times New Roman"/>
          <w:b/>
          <w:sz w:val="20"/>
          <w:szCs w:val="20"/>
        </w:rPr>
        <w:t xml:space="preserve">Validation of the developed method: </w:t>
      </w:r>
      <w:r w:rsidRPr="00F15A10">
        <w:rPr>
          <w:rFonts w:ascii="Times New Roman" w:hAnsi="Times New Roman"/>
          <w:b/>
          <w:iCs/>
          <w:sz w:val="20"/>
          <w:szCs w:val="20"/>
        </w:rPr>
        <w:t>Linearity, limit of detection (LOD) and limit of quantification (LOQ)</w:t>
      </w:r>
    </w:p>
    <w:p w14:paraId="63B0CF56" w14:textId="60F1D9BA"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t>The capability of the proposed DPASV technique as an analytical method for determination of AA was studied by evaluating the obtained I</w:t>
      </w:r>
      <w:r w:rsidRPr="00F15A10">
        <w:rPr>
          <w:rFonts w:ascii="Times New Roman" w:hAnsi="Times New Roman"/>
          <w:sz w:val="20"/>
          <w:szCs w:val="20"/>
          <w:vertAlign w:val="subscript"/>
        </w:rPr>
        <w:t>p</w:t>
      </w:r>
      <w:r w:rsidRPr="00F15A10">
        <w:rPr>
          <w:rFonts w:ascii="Times New Roman" w:hAnsi="Times New Roman"/>
          <w:sz w:val="20"/>
          <w:szCs w:val="20"/>
        </w:rPr>
        <w:t xml:space="preserve"> as the function of concentration under the optimized operational and instrumental parameters. The constructed calibration graph from 5 to 300 mg L</w:t>
      </w:r>
      <w:r w:rsidRPr="00F15A10">
        <w:rPr>
          <w:rFonts w:ascii="Times New Roman" w:hAnsi="Times New Roman"/>
          <w:sz w:val="20"/>
          <w:szCs w:val="20"/>
          <w:vertAlign w:val="superscript"/>
        </w:rPr>
        <w:t xml:space="preserve">-1 </w:t>
      </w:r>
      <w:r w:rsidRPr="00F15A10">
        <w:rPr>
          <w:rFonts w:ascii="Times New Roman" w:hAnsi="Times New Roman"/>
          <w:sz w:val="20"/>
          <w:szCs w:val="20"/>
        </w:rPr>
        <w:t>was represented by the linear equation of I</w:t>
      </w:r>
      <w:r w:rsidRPr="00F15A10">
        <w:rPr>
          <w:rFonts w:ascii="Times New Roman" w:hAnsi="Times New Roman"/>
          <w:sz w:val="20"/>
          <w:szCs w:val="20"/>
          <w:vertAlign w:val="subscript"/>
        </w:rPr>
        <w:t>p</w:t>
      </w:r>
      <w:r w:rsidRPr="00F15A10">
        <w:rPr>
          <w:rFonts w:ascii="Times New Roman" w:hAnsi="Times New Roman"/>
          <w:sz w:val="20"/>
          <w:szCs w:val="20"/>
        </w:rPr>
        <w:t xml:space="preserve"> (nA)  = 109.79x – 224.01 with 0.9999 of correlation coefficient (R</w:t>
      </w:r>
      <w:r w:rsidRPr="00F15A10">
        <w:rPr>
          <w:rFonts w:ascii="Times New Roman" w:hAnsi="Times New Roman"/>
          <w:sz w:val="20"/>
          <w:szCs w:val="20"/>
          <w:vertAlign w:val="superscript"/>
        </w:rPr>
        <w:t>2</w:t>
      </w:r>
      <w:r w:rsidRPr="00F15A10">
        <w:rPr>
          <w:rFonts w:ascii="Times New Roman" w:hAnsi="Times New Roman"/>
          <w:sz w:val="20"/>
          <w:szCs w:val="20"/>
        </w:rPr>
        <w:t xml:space="preserve">), as shown in Figure 5.The observed </w:t>
      </w:r>
      <w:r>
        <w:rPr>
          <w:rFonts w:ascii="Times New Roman" w:hAnsi="Times New Roman"/>
          <w:sz w:val="20"/>
          <w:szCs w:val="20"/>
        </w:rPr>
        <w:t xml:space="preserve"> </w:t>
      </w:r>
      <w:r w:rsidRPr="00F15A10">
        <w:rPr>
          <w:rFonts w:ascii="Times New Roman" w:hAnsi="Times New Roman"/>
          <w:sz w:val="20"/>
          <w:szCs w:val="20"/>
        </w:rPr>
        <w:t xml:space="preserve">LOD </w:t>
      </w:r>
      <w:r>
        <w:rPr>
          <w:rFonts w:ascii="Times New Roman" w:hAnsi="Times New Roman"/>
          <w:sz w:val="20"/>
          <w:szCs w:val="20"/>
        </w:rPr>
        <w:t xml:space="preserve"> </w:t>
      </w:r>
      <w:r w:rsidRPr="00F15A10">
        <w:rPr>
          <w:rFonts w:ascii="Times New Roman" w:hAnsi="Times New Roman"/>
          <w:sz w:val="20"/>
          <w:szCs w:val="20"/>
        </w:rPr>
        <w:t xml:space="preserve">for </w:t>
      </w:r>
      <w:r>
        <w:rPr>
          <w:rFonts w:ascii="Times New Roman" w:hAnsi="Times New Roman"/>
          <w:sz w:val="20"/>
          <w:szCs w:val="20"/>
        </w:rPr>
        <w:t xml:space="preserve"> </w:t>
      </w:r>
      <w:r w:rsidRPr="00F15A10">
        <w:rPr>
          <w:rFonts w:ascii="Times New Roman" w:hAnsi="Times New Roman"/>
          <w:sz w:val="20"/>
          <w:szCs w:val="20"/>
        </w:rPr>
        <w:t xml:space="preserve">the </w:t>
      </w:r>
      <w:r>
        <w:rPr>
          <w:rFonts w:ascii="Times New Roman" w:hAnsi="Times New Roman"/>
          <w:sz w:val="20"/>
          <w:szCs w:val="20"/>
        </w:rPr>
        <w:t xml:space="preserve"> </w:t>
      </w:r>
      <w:r w:rsidRPr="00F15A10">
        <w:rPr>
          <w:rFonts w:ascii="Times New Roman" w:hAnsi="Times New Roman"/>
          <w:sz w:val="20"/>
          <w:szCs w:val="20"/>
        </w:rPr>
        <w:t xml:space="preserve">standard </w:t>
      </w:r>
      <w:r>
        <w:rPr>
          <w:rFonts w:ascii="Times New Roman" w:hAnsi="Times New Roman"/>
          <w:sz w:val="20"/>
          <w:szCs w:val="20"/>
        </w:rPr>
        <w:t xml:space="preserve"> </w:t>
      </w:r>
      <w:r w:rsidRPr="00F15A10">
        <w:rPr>
          <w:rFonts w:ascii="Times New Roman" w:hAnsi="Times New Roman"/>
          <w:sz w:val="20"/>
          <w:szCs w:val="20"/>
        </w:rPr>
        <w:t xml:space="preserve">solution </w:t>
      </w:r>
      <w:r>
        <w:rPr>
          <w:rFonts w:ascii="Times New Roman" w:hAnsi="Times New Roman"/>
          <w:sz w:val="20"/>
          <w:szCs w:val="20"/>
        </w:rPr>
        <w:t xml:space="preserve"> </w:t>
      </w:r>
      <w:r w:rsidRPr="00F15A10">
        <w:rPr>
          <w:rFonts w:ascii="Times New Roman" w:hAnsi="Times New Roman"/>
          <w:sz w:val="20"/>
          <w:szCs w:val="20"/>
        </w:rPr>
        <w:t xml:space="preserve">was </w:t>
      </w:r>
      <w:r>
        <w:rPr>
          <w:rFonts w:ascii="Times New Roman" w:hAnsi="Times New Roman"/>
          <w:sz w:val="20"/>
          <w:szCs w:val="20"/>
        </w:rPr>
        <w:t xml:space="preserve"> </w:t>
      </w:r>
      <w:r w:rsidRPr="00F15A10">
        <w:rPr>
          <w:rFonts w:ascii="Times New Roman" w:hAnsi="Times New Roman"/>
          <w:sz w:val="20"/>
          <w:szCs w:val="20"/>
        </w:rPr>
        <w:t>0.25 mg L</w:t>
      </w:r>
      <w:r w:rsidRPr="00F15A10">
        <w:rPr>
          <w:rFonts w:ascii="Times New Roman" w:hAnsi="Times New Roman"/>
          <w:sz w:val="20"/>
          <w:szCs w:val="20"/>
          <w:vertAlign w:val="superscript"/>
        </w:rPr>
        <w:t>-1</w:t>
      </w:r>
      <w:r w:rsidRPr="00F15A10">
        <w:rPr>
          <w:rFonts w:ascii="Times New Roman" w:hAnsi="Times New Roman"/>
          <w:sz w:val="20"/>
          <w:szCs w:val="20"/>
        </w:rPr>
        <w:t xml:space="preserve"> and the LOQ was </w:t>
      </w:r>
      <w:r w:rsidRPr="00F15A10">
        <w:rPr>
          <w:rFonts w:ascii="Times New Roman" w:hAnsi="Times New Roman"/>
          <w:iCs/>
          <w:sz w:val="20"/>
          <w:szCs w:val="20"/>
        </w:rPr>
        <w:t xml:space="preserve">found </w:t>
      </w:r>
      <w:r w:rsidRPr="00F15A10">
        <w:rPr>
          <w:rFonts w:ascii="Times New Roman" w:hAnsi="Times New Roman"/>
          <w:sz w:val="20"/>
          <w:szCs w:val="20"/>
        </w:rPr>
        <w:t>to be 0.83 mg L</w:t>
      </w:r>
      <w:r w:rsidRPr="00F15A10">
        <w:rPr>
          <w:rFonts w:ascii="Times New Roman" w:hAnsi="Times New Roman"/>
          <w:sz w:val="20"/>
          <w:szCs w:val="20"/>
          <w:vertAlign w:val="superscript"/>
        </w:rPr>
        <w:t>-1</w:t>
      </w:r>
      <w:r w:rsidRPr="00F15A10">
        <w:rPr>
          <w:rFonts w:ascii="Times New Roman" w:hAnsi="Times New Roman"/>
          <w:sz w:val="20"/>
          <w:szCs w:val="20"/>
        </w:rPr>
        <w:t>.</w:t>
      </w:r>
    </w:p>
    <w:p w14:paraId="6737F864" w14:textId="2C514917" w:rsidR="005E2661" w:rsidRDefault="005E2661" w:rsidP="00F15A10">
      <w:pPr>
        <w:spacing w:after="0"/>
        <w:jc w:val="both"/>
        <w:rPr>
          <w:rFonts w:ascii="Times New Roman" w:hAnsi="Times New Roman"/>
          <w:sz w:val="20"/>
          <w:szCs w:val="20"/>
        </w:rPr>
        <w:sectPr w:rsidR="005E2661" w:rsidSect="002C4E39">
          <w:headerReference w:type="even" r:id="rId19"/>
          <w:headerReference w:type="default" r:id="rId20"/>
          <w:footerReference w:type="even" r:id="rId21"/>
          <w:headerReference w:type="first" r:id="rId22"/>
          <w:type w:val="evenPage"/>
          <w:pgSz w:w="12240" w:h="15840" w:code="1"/>
          <w:pgMar w:top="1800" w:right="1469" w:bottom="1699" w:left="1440" w:header="706" w:footer="706" w:gutter="0"/>
          <w:pgNumType w:start="0"/>
          <w:cols w:num="2" w:space="403"/>
          <w:docGrid w:linePitch="360"/>
        </w:sectPr>
      </w:pPr>
    </w:p>
    <w:p w14:paraId="5AAA4084" w14:textId="0057EDEB" w:rsidR="00F63E01" w:rsidRDefault="00F63E01" w:rsidP="00F15A10">
      <w:pPr>
        <w:spacing w:after="0"/>
        <w:jc w:val="both"/>
        <w:rPr>
          <w:rFonts w:ascii="Times New Roman" w:hAnsi="Times New Roman"/>
          <w:sz w:val="20"/>
          <w:szCs w:val="20"/>
        </w:rPr>
      </w:pPr>
    </w:p>
    <w:p w14:paraId="484EEE31" w14:textId="1714B2E2" w:rsidR="005E2661" w:rsidRDefault="005E2661" w:rsidP="00F15A10">
      <w:pPr>
        <w:spacing w:after="0"/>
        <w:jc w:val="both"/>
        <w:rPr>
          <w:rFonts w:ascii="Times New Roman" w:hAnsi="Times New Roman"/>
          <w:sz w:val="20"/>
          <w:szCs w:val="20"/>
        </w:rPr>
      </w:pPr>
    </w:p>
    <w:p w14:paraId="101F4B3E" w14:textId="77777777" w:rsidR="005E2661" w:rsidRPr="00F15A10" w:rsidRDefault="005E2661" w:rsidP="00F15A10">
      <w:pPr>
        <w:spacing w:after="0"/>
        <w:jc w:val="both"/>
        <w:rPr>
          <w:rFonts w:ascii="Times New Roman" w:hAnsi="Times New Roman"/>
          <w:sz w:val="20"/>
          <w:szCs w:val="20"/>
        </w:rPr>
      </w:pPr>
    </w:p>
    <w:p w14:paraId="026B5AC9" w14:textId="5079F712" w:rsidR="00F15A10" w:rsidRPr="00F15A10" w:rsidRDefault="00F15A10" w:rsidP="00F63E01">
      <w:pPr>
        <w:spacing w:after="120"/>
        <w:jc w:val="center"/>
        <w:rPr>
          <w:rFonts w:ascii="Times New Roman" w:hAnsi="Times New Roman"/>
          <w:sz w:val="20"/>
          <w:szCs w:val="20"/>
        </w:rPr>
      </w:pPr>
      <w:r w:rsidRPr="00F15A10">
        <w:rPr>
          <w:rFonts w:ascii="Times New Roman" w:hAnsi="Times New Roman"/>
          <w:noProof/>
          <w:sz w:val="20"/>
          <w:szCs w:val="20"/>
        </w:rPr>
        <w:drawing>
          <wp:inline distT="0" distB="0" distL="0" distR="0" wp14:anchorId="0AD11307" wp14:editId="11D3AF6A">
            <wp:extent cx="3616036" cy="2119630"/>
            <wp:effectExtent l="0" t="0" r="3810" b="13970"/>
            <wp:docPr id="3" name="Chart 3">
              <a:extLst xmlns:a="http://schemas.openxmlformats.org/drawingml/2006/main">
                <a:ext uri="{FF2B5EF4-FFF2-40B4-BE49-F238E27FC236}">
                  <a16:creationId xmlns:a16="http://schemas.microsoft.com/office/drawing/2014/main" id="{3DBD01C5-E258-48EB-8D00-157F3C801A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B867D3A" w14:textId="77777777" w:rsidR="00F15A10" w:rsidRPr="00F15A10" w:rsidRDefault="00F15A10" w:rsidP="00F63E01">
      <w:pPr>
        <w:spacing w:after="0"/>
        <w:jc w:val="center"/>
        <w:rPr>
          <w:rFonts w:ascii="Times New Roman" w:hAnsi="Times New Roman"/>
          <w:sz w:val="20"/>
          <w:szCs w:val="20"/>
        </w:rPr>
      </w:pPr>
      <w:bookmarkStart w:id="4" w:name="_Hlk51591180"/>
      <w:r w:rsidRPr="00F15A10">
        <w:rPr>
          <w:rFonts w:ascii="Times New Roman" w:hAnsi="Times New Roman"/>
          <w:bCs/>
          <w:sz w:val="20"/>
          <w:szCs w:val="20"/>
        </w:rPr>
        <w:t>Figure 2.</w:t>
      </w:r>
      <w:r w:rsidRPr="00F15A10">
        <w:rPr>
          <w:rFonts w:ascii="Times New Roman" w:hAnsi="Times New Roman"/>
          <w:sz w:val="20"/>
          <w:szCs w:val="20"/>
        </w:rPr>
        <w:t xml:space="preserve">   Plot of I</w:t>
      </w:r>
      <w:r w:rsidRPr="00F15A10">
        <w:rPr>
          <w:rFonts w:ascii="Times New Roman" w:hAnsi="Times New Roman"/>
          <w:sz w:val="20"/>
          <w:szCs w:val="20"/>
          <w:vertAlign w:val="subscript"/>
        </w:rPr>
        <w:t xml:space="preserve">p </w:t>
      </w:r>
      <w:r w:rsidRPr="00F15A10">
        <w:rPr>
          <w:rFonts w:ascii="Times New Roman" w:hAnsi="Times New Roman"/>
          <w:sz w:val="20"/>
          <w:szCs w:val="20"/>
        </w:rPr>
        <w:t>against accumulation time (t</w:t>
      </w:r>
      <w:r w:rsidRPr="00F15A10">
        <w:rPr>
          <w:rFonts w:ascii="Times New Roman" w:hAnsi="Times New Roman"/>
          <w:sz w:val="20"/>
          <w:szCs w:val="20"/>
          <w:vertAlign w:val="subscript"/>
        </w:rPr>
        <w:t>acc</w:t>
      </w:r>
      <w:r w:rsidRPr="00F15A10">
        <w:rPr>
          <w:rFonts w:ascii="Times New Roman" w:hAnsi="Times New Roman"/>
          <w:sz w:val="20"/>
          <w:szCs w:val="20"/>
        </w:rPr>
        <w:t>) of AA in phosphate buffer solution pH 4.2</w:t>
      </w:r>
    </w:p>
    <w:bookmarkEnd w:id="4"/>
    <w:p w14:paraId="217EFA5C" w14:textId="22B5B543" w:rsidR="00F15A10" w:rsidRDefault="00F15A10" w:rsidP="00F15A10">
      <w:pPr>
        <w:spacing w:after="0"/>
        <w:jc w:val="both"/>
        <w:rPr>
          <w:rFonts w:ascii="Times New Roman" w:hAnsi="Times New Roman"/>
          <w:sz w:val="20"/>
          <w:szCs w:val="20"/>
        </w:rPr>
      </w:pPr>
    </w:p>
    <w:p w14:paraId="2FF78124" w14:textId="77777777" w:rsidR="00F63E01" w:rsidRPr="00F15A10" w:rsidRDefault="00F63E01" w:rsidP="00F15A10">
      <w:pPr>
        <w:spacing w:after="0"/>
        <w:jc w:val="both"/>
        <w:rPr>
          <w:rFonts w:ascii="Times New Roman" w:hAnsi="Times New Roman"/>
          <w:sz w:val="20"/>
          <w:szCs w:val="20"/>
        </w:rPr>
      </w:pPr>
    </w:p>
    <w:p w14:paraId="5C9E7B89" w14:textId="4D4C8E32" w:rsidR="00F15A10" w:rsidRDefault="00F15A10" w:rsidP="00F15A10">
      <w:pPr>
        <w:spacing w:after="0"/>
        <w:jc w:val="both"/>
        <w:rPr>
          <w:rFonts w:ascii="Times New Roman" w:hAnsi="Times New Roman"/>
          <w:sz w:val="20"/>
          <w:szCs w:val="20"/>
        </w:rPr>
      </w:pPr>
    </w:p>
    <w:p w14:paraId="0CF7EAB6" w14:textId="1DF3F3BA" w:rsidR="003679BB" w:rsidRDefault="003679BB" w:rsidP="00F15A10">
      <w:pPr>
        <w:spacing w:after="0"/>
        <w:jc w:val="both"/>
        <w:rPr>
          <w:rFonts w:ascii="Times New Roman" w:hAnsi="Times New Roman"/>
          <w:sz w:val="20"/>
          <w:szCs w:val="20"/>
        </w:rPr>
      </w:pPr>
    </w:p>
    <w:p w14:paraId="32D9F579" w14:textId="6EAAE0B2" w:rsidR="003679BB" w:rsidRDefault="003679BB" w:rsidP="00F15A10">
      <w:pPr>
        <w:spacing w:after="0"/>
        <w:jc w:val="both"/>
        <w:rPr>
          <w:rFonts w:ascii="Times New Roman" w:hAnsi="Times New Roman"/>
          <w:sz w:val="20"/>
          <w:szCs w:val="20"/>
        </w:rPr>
      </w:pPr>
    </w:p>
    <w:p w14:paraId="2C7B0048" w14:textId="05C68820" w:rsidR="003679BB" w:rsidRDefault="003679BB" w:rsidP="00F15A10">
      <w:pPr>
        <w:spacing w:after="0"/>
        <w:jc w:val="both"/>
        <w:rPr>
          <w:rFonts w:ascii="Times New Roman" w:hAnsi="Times New Roman"/>
          <w:sz w:val="20"/>
          <w:szCs w:val="20"/>
        </w:rPr>
      </w:pPr>
    </w:p>
    <w:p w14:paraId="2C60EF6B" w14:textId="1DCDB3C4" w:rsidR="003679BB" w:rsidRDefault="003679BB" w:rsidP="00F15A10">
      <w:pPr>
        <w:spacing w:after="0"/>
        <w:jc w:val="both"/>
        <w:rPr>
          <w:rFonts w:ascii="Times New Roman" w:hAnsi="Times New Roman"/>
          <w:sz w:val="20"/>
          <w:szCs w:val="20"/>
        </w:rPr>
      </w:pPr>
    </w:p>
    <w:p w14:paraId="77761C26" w14:textId="0922D59E" w:rsidR="003679BB" w:rsidRDefault="003679BB" w:rsidP="00F15A10">
      <w:pPr>
        <w:spacing w:after="0"/>
        <w:jc w:val="both"/>
        <w:rPr>
          <w:rFonts w:ascii="Times New Roman" w:hAnsi="Times New Roman"/>
          <w:sz w:val="20"/>
          <w:szCs w:val="20"/>
        </w:rPr>
      </w:pPr>
    </w:p>
    <w:p w14:paraId="1869D2F6" w14:textId="2ECEE290" w:rsidR="003679BB" w:rsidRDefault="003679BB" w:rsidP="00F15A10">
      <w:pPr>
        <w:spacing w:after="0"/>
        <w:jc w:val="both"/>
        <w:rPr>
          <w:rFonts w:ascii="Times New Roman" w:hAnsi="Times New Roman"/>
          <w:sz w:val="20"/>
          <w:szCs w:val="20"/>
        </w:rPr>
      </w:pPr>
    </w:p>
    <w:p w14:paraId="51D674D2" w14:textId="2B4C7335" w:rsidR="003679BB" w:rsidRDefault="003679BB" w:rsidP="00F15A10">
      <w:pPr>
        <w:spacing w:after="0"/>
        <w:jc w:val="both"/>
        <w:rPr>
          <w:rFonts w:ascii="Times New Roman" w:hAnsi="Times New Roman"/>
          <w:sz w:val="20"/>
          <w:szCs w:val="20"/>
        </w:rPr>
      </w:pPr>
    </w:p>
    <w:p w14:paraId="2EEC86B5" w14:textId="42F8880C" w:rsidR="003679BB" w:rsidRDefault="003679BB" w:rsidP="00F15A10">
      <w:pPr>
        <w:spacing w:after="0"/>
        <w:jc w:val="both"/>
        <w:rPr>
          <w:rFonts w:ascii="Times New Roman" w:hAnsi="Times New Roman"/>
          <w:sz w:val="20"/>
          <w:szCs w:val="20"/>
        </w:rPr>
      </w:pPr>
    </w:p>
    <w:p w14:paraId="53881A56" w14:textId="27673740" w:rsidR="003679BB" w:rsidRDefault="003679BB" w:rsidP="00F15A10">
      <w:pPr>
        <w:spacing w:after="0"/>
        <w:jc w:val="both"/>
        <w:rPr>
          <w:rFonts w:ascii="Times New Roman" w:hAnsi="Times New Roman"/>
          <w:sz w:val="20"/>
          <w:szCs w:val="20"/>
        </w:rPr>
      </w:pPr>
    </w:p>
    <w:p w14:paraId="3DBF5C34" w14:textId="77777777" w:rsidR="003679BB" w:rsidRPr="00F15A10" w:rsidRDefault="003679BB" w:rsidP="00F15A10">
      <w:pPr>
        <w:spacing w:after="0"/>
        <w:jc w:val="both"/>
        <w:rPr>
          <w:rFonts w:ascii="Times New Roman" w:hAnsi="Times New Roman"/>
          <w:sz w:val="20"/>
          <w:szCs w:val="20"/>
        </w:rPr>
      </w:pPr>
    </w:p>
    <w:p w14:paraId="6BE49FF1" w14:textId="5996B3F7" w:rsidR="00F15A10" w:rsidRPr="00F15A10" w:rsidRDefault="00F15A10" w:rsidP="00F63E01">
      <w:pPr>
        <w:spacing w:after="120"/>
        <w:jc w:val="center"/>
        <w:rPr>
          <w:rFonts w:ascii="Times New Roman" w:hAnsi="Times New Roman"/>
          <w:sz w:val="20"/>
          <w:szCs w:val="20"/>
        </w:rPr>
      </w:pPr>
      <w:r w:rsidRPr="00F15A10">
        <w:rPr>
          <w:rFonts w:ascii="Times New Roman" w:hAnsi="Times New Roman"/>
          <w:noProof/>
          <w:sz w:val="20"/>
          <w:szCs w:val="20"/>
        </w:rPr>
        <w:drawing>
          <wp:inline distT="0" distB="0" distL="0" distR="0" wp14:anchorId="00FD2E02" wp14:editId="6D5BA169">
            <wp:extent cx="3864610" cy="2223655"/>
            <wp:effectExtent l="0" t="0" r="2540" b="5715"/>
            <wp:docPr id="4" name="Chart 4">
              <a:extLst xmlns:a="http://schemas.openxmlformats.org/drawingml/2006/main">
                <a:ext uri="{FF2B5EF4-FFF2-40B4-BE49-F238E27FC236}">
                  <a16:creationId xmlns:a16="http://schemas.microsoft.com/office/drawing/2014/main" id="{7E023909-CAC2-4085-AED9-B0C255C14A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D8CA46" w14:textId="449AB199" w:rsidR="00F15A10" w:rsidRPr="00F15A10" w:rsidRDefault="00F15A10" w:rsidP="00F63E01">
      <w:pPr>
        <w:spacing w:after="0"/>
        <w:jc w:val="center"/>
        <w:rPr>
          <w:rFonts w:ascii="Times New Roman" w:hAnsi="Times New Roman"/>
          <w:sz w:val="20"/>
          <w:szCs w:val="20"/>
        </w:rPr>
      </w:pPr>
      <w:bookmarkStart w:id="5" w:name="_Hlk51591611"/>
      <w:r w:rsidRPr="00F15A10">
        <w:rPr>
          <w:rFonts w:ascii="Times New Roman" w:hAnsi="Times New Roman"/>
          <w:bCs/>
          <w:sz w:val="20"/>
          <w:szCs w:val="20"/>
        </w:rPr>
        <w:t>Figure 3.</w:t>
      </w:r>
      <w:r w:rsidRPr="00F15A10">
        <w:rPr>
          <w:rFonts w:ascii="Times New Roman" w:hAnsi="Times New Roman"/>
          <w:sz w:val="20"/>
          <w:szCs w:val="20"/>
        </w:rPr>
        <w:t xml:space="preserve">  Plot of I</w:t>
      </w:r>
      <w:r w:rsidRPr="00F15A10">
        <w:rPr>
          <w:rFonts w:ascii="Times New Roman" w:hAnsi="Times New Roman"/>
          <w:sz w:val="20"/>
          <w:szCs w:val="20"/>
          <w:vertAlign w:val="subscript"/>
        </w:rPr>
        <w:t xml:space="preserve">p </w:t>
      </w:r>
      <w:r w:rsidRPr="00F15A10">
        <w:rPr>
          <w:rFonts w:ascii="Times New Roman" w:hAnsi="Times New Roman"/>
          <w:sz w:val="20"/>
          <w:szCs w:val="20"/>
        </w:rPr>
        <w:t>against accumulation potential (E</w:t>
      </w:r>
      <w:r w:rsidRPr="00F15A10">
        <w:rPr>
          <w:rFonts w:ascii="Times New Roman" w:hAnsi="Times New Roman"/>
          <w:sz w:val="20"/>
          <w:szCs w:val="20"/>
          <w:vertAlign w:val="subscript"/>
        </w:rPr>
        <w:t>acc</w:t>
      </w:r>
      <w:r w:rsidRPr="00F15A10">
        <w:rPr>
          <w:rFonts w:ascii="Times New Roman" w:hAnsi="Times New Roman"/>
          <w:sz w:val="20"/>
          <w:szCs w:val="20"/>
        </w:rPr>
        <w:t>) of AA in phosphate buffer solution pH 4.2</w:t>
      </w:r>
    </w:p>
    <w:bookmarkEnd w:id="5"/>
    <w:p w14:paraId="5F4160D7" w14:textId="4B87838E" w:rsidR="00F15A10" w:rsidRDefault="00F15A10" w:rsidP="00F15A10">
      <w:pPr>
        <w:spacing w:after="0"/>
        <w:jc w:val="both"/>
        <w:rPr>
          <w:rFonts w:ascii="Times New Roman" w:hAnsi="Times New Roman"/>
          <w:sz w:val="20"/>
          <w:szCs w:val="20"/>
        </w:rPr>
      </w:pPr>
    </w:p>
    <w:p w14:paraId="28CEBE32" w14:textId="77777777" w:rsidR="00F63E01" w:rsidRPr="00F15A10" w:rsidRDefault="00F63E01" w:rsidP="00F15A10">
      <w:pPr>
        <w:spacing w:after="0"/>
        <w:jc w:val="both"/>
        <w:rPr>
          <w:rFonts w:ascii="Times New Roman" w:hAnsi="Times New Roman"/>
          <w:sz w:val="20"/>
          <w:szCs w:val="20"/>
        </w:rPr>
      </w:pPr>
    </w:p>
    <w:p w14:paraId="5E3E498D" w14:textId="7304093D" w:rsidR="00F15A10" w:rsidRPr="00F15A10" w:rsidRDefault="00F15A10" w:rsidP="00F15A10">
      <w:pPr>
        <w:spacing w:after="120"/>
        <w:jc w:val="center"/>
        <w:rPr>
          <w:rFonts w:ascii="Times New Roman" w:hAnsi="Times New Roman"/>
          <w:sz w:val="20"/>
          <w:szCs w:val="20"/>
        </w:rPr>
      </w:pPr>
      <w:r w:rsidRPr="00F15A10">
        <w:rPr>
          <w:rFonts w:ascii="Times New Roman" w:hAnsi="Times New Roman"/>
          <w:noProof/>
          <w:sz w:val="20"/>
          <w:szCs w:val="20"/>
        </w:rPr>
        <w:drawing>
          <wp:inline distT="0" distB="0" distL="0" distR="0" wp14:anchorId="604D7D68" wp14:editId="17D0F19D">
            <wp:extent cx="3969327" cy="2431415"/>
            <wp:effectExtent l="0" t="0" r="12700" b="6985"/>
            <wp:docPr id="5" name="Chart 5">
              <a:extLst xmlns:a="http://schemas.openxmlformats.org/drawingml/2006/main">
                <a:ext uri="{FF2B5EF4-FFF2-40B4-BE49-F238E27FC236}">
                  <a16:creationId xmlns:a16="http://schemas.microsoft.com/office/drawing/2014/main" id="{3A971CE0-6524-42E8-9BEC-7144648F6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69897AB" w14:textId="71C037E7" w:rsidR="00F15A10" w:rsidRPr="00F15A10" w:rsidRDefault="00F15A10" w:rsidP="00F15A10">
      <w:pPr>
        <w:spacing w:after="0"/>
        <w:jc w:val="center"/>
        <w:rPr>
          <w:rFonts w:ascii="Times New Roman" w:hAnsi="Times New Roman"/>
          <w:sz w:val="20"/>
          <w:szCs w:val="20"/>
        </w:rPr>
      </w:pPr>
      <w:r w:rsidRPr="00F15A10">
        <w:rPr>
          <w:rFonts w:ascii="Times New Roman" w:hAnsi="Times New Roman"/>
          <w:bCs/>
          <w:sz w:val="20"/>
          <w:szCs w:val="20"/>
        </w:rPr>
        <w:t>Figure 4.</w:t>
      </w:r>
      <w:r w:rsidRPr="00F15A10">
        <w:rPr>
          <w:rFonts w:ascii="Times New Roman" w:hAnsi="Times New Roman"/>
          <w:sz w:val="20"/>
          <w:szCs w:val="20"/>
        </w:rPr>
        <w:t xml:space="preserve">  Plot of I</w:t>
      </w:r>
      <w:r w:rsidRPr="00F15A10">
        <w:rPr>
          <w:rFonts w:ascii="Times New Roman" w:hAnsi="Times New Roman"/>
          <w:sz w:val="20"/>
          <w:szCs w:val="20"/>
          <w:vertAlign w:val="subscript"/>
        </w:rPr>
        <w:t xml:space="preserve">p </w:t>
      </w:r>
      <w:r w:rsidRPr="00F15A10">
        <w:rPr>
          <w:rFonts w:ascii="Times New Roman" w:hAnsi="Times New Roman"/>
          <w:sz w:val="20"/>
          <w:szCs w:val="20"/>
        </w:rPr>
        <w:t>against pulse amplitude in phosphate buffer solution pH 4.2</w:t>
      </w:r>
    </w:p>
    <w:p w14:paraId="76FF2EBE" w14:textId="762D8ACE" w:rsidR="00F15A10" w:rsidRDefault="00F15A10" w:rsidP="00F15A10">
      <w:pPr>
        <w:spacing w:after="0"/>
        <w:jc w:val="both"/>
        <w:rPr>
          <w:rFonts w:ascii="Times New Roman" w:hAnsi="Times New Roman"/>
          <w:sz w:val="20"/>
          <w:szCs w:val="20"/>
        </w:rPr>
      </w:pPr>
    </w:p>
    <w:p w14:paraId="4C3304A2" w14:textId="77777777" w:rsidR="00F15A10" w:rsidRPr="00F15A10" w:rsidRDefault="00F15A10" w:rsidP="00F15A10">
      <w:pPr>
        <w:spacing w:after="0"/>
        <w:jc w:val="both"/>
        <w:rPr>
          <w:rFonts w:ascii="Times New Roman" w:hAnsi="Times New Roman"/>
          <w:sz w:val="20"/>
          <w:szCs w:val="20"/>
        </w:rPr>
      </w:pPr>
    </w:p>
    <w:p w14:paraId="20444CFF" w14:textId="77777777" w:rsidR="00F15A10" w:rsidRPr="00F15A10" w:rsidRDefault="00F15A10" w:rsidP="00F15A10">
      <w:pPr>
        <w:spacing w:after="0"/>
        <w:jc w:val="both"/>
        <w:rPr>
          <w:rFonts w:ascii="Times New Roman" w:hAnsi="Times New Roman"/>
          <w:b/>
          <w:sz w:val="20"/>
          <w:szCs w:val="20"/>
        </w:rPr>
      </w:pPr>
    </w:p>
    <w:p w14:paraId="774A9758" w14:textId="71411B71" w:rsidR="00F15A10" w:rsidRDefault="00F15A10" w:rsidP="00F15A10">
      <w:pPr>
        <w:spacing w:after="0"/>
        <w:jc w:val="both"/>
        <w:rPr>
          <w:rFonts w:ascii="Times New Roman" w:hAnsi="Times New Roman"/>
          <w:sz w:val="20"/>
          <w:szCs w:val="20"/>
        </w:rPr>
      </w:pPr>
    </w:p>
    <w:p w14:paraId="69C6B51C" w14:textId="071EE524" w:rsidR="003679BB" w:rsidRDefault="003679BB" w:rsidP="00F15A10">
      <w:pPr>
        <w:spacing w:after="0"/>
        <w:jc w:val="both"/>
        <w:rPr>
          <w:rFonts w:ascii="Times New Roman" w:hAnsi="Times New Roman"/>
          <w:sz w:val="20"/>
          <w:szCs w:val="20"/>
        </w:rPr>
      </w:pPr>
    </w:p>
    <w:p w14:paraId="4749541E" w14:textId="632CEC05" w:rsidR="003679BB" w:rsidRDefault="003679BB" w:rsidP="00F15A10">
      <w:pPr>
        <w:spacing w:after="0"/>
        <w:jc w:val="both"/>
        <w:rPr>
          <w:rFonts w:ascii="Times New Roman" w:hAnsi="Times New Roman"/>
          <w:sz w:val="20"/>
          <w:szCs w:val="20"/>
        </w:rPr>
      </w:pPr>
    </w:p>
    <w:p w14:paraId="4D6775F3" w14:textId="1524C7F7" w:rsidR="003679BB" w:rsidRDefault="003679BB" w:rsidP="00F15A10">
      <w:pPr>
        <w:spacing w:after="0"/>
        <w:jc w:val="both"/>
        <w:rPr>
          <w:rFonts w:ascii="Times New Roman" w:hAnsi="Times New Roman"/>
          <w:sz w:val="20"/>
          <w:szCs w:val="20"/>
        </w:rPr>
      </w:pPr>
    </w:p>
    <w:p w14:paraId="3F181CA8" w14:textId="1B102F47" w:rsidR="003679BB" w:rsidRDefault="003679BB" w:rsidP="00F15A10">
      <w:pPr>
        <w:spacing w:after="0"/>
        <w:jc w:val="both"/>
        <w:rPr>
          <w:rFonts w:ascii="Times New Roman" w:hAnsi="Times New Roman"/>
          <w:sz w:val="20"/>
          <w:szCs w:val="20"/>
        </w:rPr>
      </w:pPr>
    </w:p>
    <w:p w14:paraId="56F26CE4" w14:textId="2D484637" w:rsidR="003679BB" w:rsidRDefault="003679BB" w:rsidP="00F15A10">
      <w:pPr>
        <w:spacing w:after="0"/>
        <w:jc w:val="both"/>
        <w:rPr>
          <w:rFonts w:ascii="Times New Roman" w:hAnsi="Times New Roman"/>
          <w:sz w:val="20"/>
          <w:szCs w:val="20"/>
        </w:rPr>
      </w:pPr>
    </w:p>
    <w:p w14:paraId="48BA6839" w14:textId="323D2E0C" w:rsidR="003679BB" w:rsidRDefault="003679BB" w:rsidP="00F15A10">
      <w:pPr>
        <w:spacing w:after="0"/>
        <w:jc w:val="both"/>
        <w:rPr>
          <w:rFonts w:ascii="Times New Roman" w:hAnsi="Times New Roman"/>
          <w:sz w:val="20"/>
          <w:szCs w:val="20"/>
        </w:rPr>
      </w:pPr>
    </w:p>
    <w:p w14:paraId="701C45F1" w14:textId="07B4289D" w:rsidR="003679BB" w:rsidRDefault="003679BB" w:rsidP="00F15A10">
      <w:pPr>
        <w:spacing w:after="0"/>
        <w:jc w:val="both"/>
        <w:rPr>
          <w:rFonts w:ascii="Times New Roman" w:hAnsi="Times New Roman"/>
          <w:sz w:val="20"/>
          <w:szCs w:val="20"/>
        </w:rPr>
      </w:pPr>
    </w:p>
    <w:p w14:paraId="2586BE77" w14:textId="77777777" w:rsidR="003679BB" w:rsidRPr="00F15A10" w:rsidRDefault="003679BB" w:rsidP="00F15A10">
      <w:pPr>
        <w:spacing w:after="0"/>
        <w:jc w:val="both"/>
        <w:rPr>
          <w:rFonts w:ascii="Times New Roman" w:hAnsi="Times New Roman"/>
          <w:sz w:val="20"/>
          <w:szCs w:val="20"/>
        </w:rPr>
      </w:pPr>
    </w:p>
    <w:p w14:paraId="3841657F" w14:textId="5C45A82C" w:rsidR="00F15A10" w:rsidRPr="00F15A10" w:rsidRDefault="00F15A10" w:rsidP="00F15A10">
      <w:pPr>
        <w:spacing w:after="120"/>
        <w:jc w:val="center"/>
        <w:rPr>
          <w:rFonts w:ascii="Times New Roman" w:hAnsi="Times New Roman"/>
          <w:sz w:val="20"/>
          <w:szCs w:val="20"/>
        </w:rPr>
      </w:pPr>
      <w:r w:rsidRPr="00F15A10">
        <w:rPr>
          <w:rFonts w:ascii="Times New Roman" w:hAnsi="Times New Roman"/>
          <w:noProof/>
          <w:sz w:val="20"/>
          <w:szCs w:val="20"/>
        </w:rPr>
        <w:drawing>
          <wp:inline distT="0" distB="0" distL="0" distR="0" wp14:anchorId="45D1C257" wp14:editId="1B196730">
            <wp:extent cx="4211955" cy="2352782"/>
            <wp:effectExtent l="0" t="0" r="17145" b="9525"/>
            <wp:docPr id="7" name="Chart 7">
              <a:extLst xmlns:a="http://schemas.openxmlformats.org/drawingml/2006/main">
                <a:ext uri="{FF2B5EF4-FFF2-40B4-BE49-F238E27FC236}">
                  <a16:creationId xmlns:a16="http://schemas.microsoft.com/office/drawing/2014/main" id="{223FF34C-B0B1-4299-B71A-51AF9C5FA0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FDF90CE" w14:textId="064FEC8B" w:rsidR="00F15A10" w:rsidRPr="00F15A10" w:rsidRDefault="00F15A10" w:rsidP="00F15A10">
      <w:pPr>
        <w:spacing w:after="0"/>
        <w:ind w:left="851" w:hanging="851"/>
        <w:jc w:val="both"/>
        <w:rPr>
          <w:rFonts w:ascii="Times New Roman" w:hAnsi="Times New Roman"/>
          <w:sz w:val="20"/>
          <w:szCs w:val="20"/>
        </w:rPr>
      </w:pPr>
      <w:bookmarkStart w:id="6" w:name="_Hlk51586002"/>
      <w:r w:rsidRPr="00F15A10">
        <w:rPr>
          <w:rFonts w:ascii="Times New Roman" w:hAnsi="Times New Roman"/>
          <w:bCs/>
          <w:sz w:val="20"/>
          <w:szCs w:val="20"/>
        </w:rPr>
        <w:t>Figure 5.</w:t>
      </w:r>
      <w:r w:rsidRPr="00F15A10">
        <w:rPr>
          <w:rFonts w:ascii="Times New Roman" w:hAnsi="Times New Roman"/>
          <w:sz w:val="20"/>
          <w:szCs w:val="20"/>
        </w:rPr>
        <w:t xml:space="preserve">  Linear curve of I</w:t>
      </w:r>
      <w:r w:rsidRPr="00F15A10">
        <w:rPr>
          <w:rFonts w:ascii="Times New Roman" w:hAnsi="Times New Roman"/>
          <w:sz w:val="20"/>
          <w:szCs w:val="20"/>
          <w:vertAlign w:val="subscript"/>
        </w:rPr>
        <w:t xml:space="preserve">p </w:t>
      </w:r>
      <w:r w:rsidRPr="00F15A10">
        <w:rPr>
          <w:rFonts w:ascii="Times New Roman" w:hAnsi="Times New Roman"/>
          <w:sz w:val="20"/>
          <w:szCs w:val="20"/>
        </w:rPr>
        <w:t xml:space="preserve">against concentration of ascorbic acid in phosphate buffer solution pH 4.2. </w:t>
      </w:r>
      <w:bookmarkEnd w:id="6"/>
      <w:r w:rsidRPr="00F15A10">
        <w:rPr>
          <w:rFonts w:ascii="Times New Roman" w:hAnsi="Times New Roman"/>
          <w:sz w:val="20"/>
          <w:szCs w:val="20"/>
        </w:rPr>
        <w:t>Instrument parameters were E</w:t>
      </w:r>
      <w:r w:rsidRPr="00F15A10">
        <w:rPr>
          <w:rFonts w:ascii="Times New Roman" w:hAnsi="Times New Roman"/>
          <w:sz w:val="20"/>
          <w:szCs w:val="20"/>
          <w:vertAlign w:val="subscript"/>
        </w:rPr>
        <w:t>i</w:t>
      </w:r>
      <w:r w:rsidRPr="00F15A10">
        <w:rPr>
          <w:rFonts w:ascii="Times New Roman" w:hAnsi="Times New Roman"/>
          <w:sz w:val="20"/>
          <w:szCs w:val="20"/>
        </w:rPr>
        <w:t xml:space="preserve"> = +0 V, E</w:t>
      </w:r>
      <w:r w:rsidRPr="00F15A10">
        <w:rPr>
          <w:rFonts w:ascii="Times New Roman" w:hAnsi="Times New Roman"/>
          <w:sz w:val="20"/>
          <w:szCs w:val="20"/>
          <w:vertAlign w:val="subscript"/>
        </w:rPr>
        <w:t>f</w:t>
      </w:r>
      <w:r w:rsidRPr="00F15A10">
        <w:rPr>
          <w:rFonts w:ascii="Times New Roman" w:hAnsi="Times New Roman"/>
          <w:sz w:val="20"/>
          <w:szCs w:val="20"/>
        </w:rPr>
        <w:t xml:space="preserve"> = 0.7 V, t</w:t>
      </w:r>
      <w:r w:rsidRPr="00F15A10">
        <w:rPr>
          <w:rFonts w:ascii="Times New Roman" w:hAnsi="Times New Roman"/>
          <w:sz w:val="20"/>
          <w:szCs w:val="20"/>
          <w:vertAlign w:val="subscript"/>
        </w:rPr>
        <w:t>acc</w:t>
      </w:r>
      <w:r w:rsidRPr="00F15A10">
        <w:rPr>
          <w:rFonts w:ascii="Times New Roman" w:hAnsi="Times New Roman"/>
          <w:sz w:val="20"/>
          <w:szCs w:val="20"/>
        </w:rPr>
        <w:t xml:space="preserve"> = 60 s, </w:t>
      </w:r>
      <w:r w:rsidRPr="00F15A10">
        <w:rPr>
          <w:rFonts w:ascii="Times New Roman" w:hAnsi="Times New Roman"/>
          <w:i/>
          <w:sz w:val="20"/>
          <w:szCs w:val="20"/>
        </w:rPr>
        <w:t xml:space="preserve">v </w:t>
      </w:r>
      <w:r w:rsidRPr="00F15A10">
        <w:rPr>
          <w:rFonts w:ascii="Times New Roman" w:hAnsi="Times New Roman"/>
          <w:sz w:val="20"/>
          <w:szCs w:val="20"/>
        </w:rPr>
        <w:t>= 0.125 V/s, E</w:t>
      </w:r>
      <w:r w:rsidRPr="00F15A10">
        <w:rPr>
          <w:rFonts w:ascii="Times New Roman" w:hAnsi="Times New Roman"/>
          <w:sz w:val="20"/>
          <w:szCs w:val="20"/>
          <w:vertAlign w:val="subscript"/>
        </w:rPr>
        <w:t>acc</w:t>
      </w:r>
      <w:r w:rsidRPr="00F15A10">
        <w:rPr>
          <w:rFonts w:ascii="Times New Roman" w:hAnsi="Times New Roman"/>
          <w:sz w:val="20"/>
          <w:szCs w:val="20"/>
        </w:rPr>
        <w:t xml:space="preserve"> = 0 V and pulse amplitude = 0.15 V</w:t>
      </w:r>
    </w:p>
    <w:p w14:paraId="7EC2F63D" w14:textId="43323716" w:rsidR="00F15A10" w:rsidRDefault="00F15A10" w:rsidP="00F15A10">
      <w:pPr>
        <w:spacing w:after="0"/>
        <w:jc w:val="both"/>
        <w:rPr>
          <w:rFonts w:ascii="Times New Roman" w:hAnsi="Times New Roman"/>
          <w:b/>
          <w:iCs/>
          <w:sz w:val="20"/>
          <w:szCs w:val="20"/>
        </w:rPr>
      </w:pPr>
    </w:p>
    <w:p w14:paraId="78780F5F" w14:textId="77777777" w:rsidR="00275F55" w:rsidRPr="00F15A10" w:rsidRDefault="00275F55" w:rsidP="00F15A10">
      <w:pPr>
        <w:spacing w:after="0"/>
        <w:jc w:val="both"/>
        <w:rPr>
          <w:rFonts w:ascii="Times New Roman" w:hAnsi="Times New Roman"/>
          <w:b/>
          <w:iCs/>
          <w:sz w:val="20"/>
          <w:szCs w:val="20"/>
        </w:rPr>
      </w:pPr>
    </w:p>
    <w:p w14:paraId="5B5D35CF" w14:textId="77777777" w:rsidR="00A837BA" w:rsidRDefault="00A837BA" w:rsidP="00F15A10">
      <w:pPr>
        <w:spacing w:after="0"/>
        <w:jc w:val="both"/>
        <w:rPr>
          <w:rFonts w:ascii="Times New Roman" w:hAnsi="Times New Roman"/>
          <w:b/>
          <w:iCs/>
          <w:sz w:val="20"/>
          <w:szCs w:val="20"/>
        </w:rPr>
        <w:sectPr w:rsidR="00A837BA" w:rsidSect="00F067FE">
          <w:headerReference w:type="even" r:id="rId27"/>
          <w:headerReference w:type="default" r:id="rId28"/>
          <w:footerReference w:type="even" r:id="rId29"/>
          <w:footerReference w:type="default" r:id="rId30"/>
          <w:headerReference w:type="first" r:id="rId31"/>
          <w:type w:val="continuous"/>
          <w:pgSz w:w="12240" w:h="15840" w:code="1"/>
          <w:pgMar w:top="1800" w:right="1469" w:bottom="1699" w:left="1440" w:header="706" w:footer="706" w:gutter="0"/>
          <w:pgNumType w:start="0"/>
          <w:cols w:space="708"/>
          <w:docGrid w:linePitch="360"/>
        </w:sectPr>
      </w:pPr>
    </w:p>
    <w:p w14:paraId="186D8656" w14:textId="1C6EA283" w:rsidR="00F15A10" w:rsidRPr="00F15A10" w:rsidRDefault="00F15A10" w:rsidP="00F15A10">
      <w:pPr>
        <w:spacing w:after="0"/>
        <w:jc w:val="both"/>
        <w:rPr>
          <w:rFonts w:ascii="Times New Roman" w:hAnsi="Times New Roman"/>
          <w:b/>
          <w:iCs/>
          <w:sz w:val="20"/>
          <w:szCs w:val="20"/>
        </w:rPr>
      </w:pPr>
      <w:r w:rsidRPr="00F15A10">
        <w:rPr>
          <w:rFonts w:ascii="Times New Roman" w:hAnsi="Times New Roman"/>
          <w:b/>
          <w:iCs/>
          <w:sz w:val="20"/>
          <w:szCs w:val="20"/>
        </w:rPr>
        <w:t>Precision</w:t>
      </w:r>
    </w:p>
    <w:p w14:paraId="3CC7549A" w14:textId="77777777" w:rsidR="00F15A10" w:rsidRPr="00F15A10" w:rsidRDefault="00F15A10" w:rsidP="00F15A10">
      <w:pPr>
        <w:spacing w:after="0"/>
        <w:jc w:val="both"/>
        <w:rPr>
          <w:rFonts w:ascii="Times New Roman" w:hAnsi="Times New Roman"/>
          <w:sz w:val="20"/>
          <w:szCs w:val="20"/>
        </w:rPr>
      </w:pPr>
      <w:r w:rsidRPr="00F15A10">
        <w:rPr>
          <w:rFonts w:ascii="Times New Roman" w:hAnsi="Times New Roman"/>
          <w:sz w:val="20"/>
          <w:szCs w:val="20"/>
        </w:rPr>
        <w:t>The precision of the proposed DPASV technique for AA analysis was determined in three replicates (n=3) at the concentrations of 5 mg L</w:t>
      </w:r>
      <w:r w:rsidRPr="00F15A10">
        <w:rPr>
          <w:rFonts w:ascii="Times New Roman" w:hAnsi="Times New Roman"/>
          <w:sz w:val="20"/>
          <w:szCs w:val="20"/>
          <w:vertAlign w:val="superscript"/>
        </w:rPr>
        <w:t>-1</w:t>
      </w:r>
      <w:r w:rsidRPr="00F15A10">
        <w:rPr>
          <w:rFonts w:ascii="Times New Roman" w:hAnsi="Times New Roman"/>
          <w:sz w:val="20"/>
          <w:szCs w:val="20"/>
        </w:rPr>
        <w:t>, 50 mg L</w:t>
      </w:r>
      <w:r w:rsidRPr="00F15A10">
        <w:rPr>
          <w:rFonts w:ascii="Times New Roman" w:hAnsi="Times New Roman"/>
          <w:sz w:val="20"/>
          <w:szCs w:val="20"/>
          <w:vertAlign w:val="superscript"/>
        </w:rPr>
        <w:t>-1</w:t>
      </w:r>
      <w:r w:rsidRPr="00F15A10">
        <w:rPr>
          <w:rFonts w:ascii="Times New Roman" w:hAnsi="Times New Roman"/>
          <w:sz w:val="20"/>
          <w:szCs w:val="20"/>
        </w:rPr>
        <w:t xml:space="preserve"> and 150 mg L</w:t>
      </w:r>
      <w:r w:rsidRPr="00F15A10">
        <w:rPr>
          <w:rFonts w:ascii="Times New Roman" w:hAnsi="Times New Roman"/>
          <w:sz w:val="20"/>
          <w:szCs w:val="20"/>
          <w:vertAlign w:val="superscript"/>
        </w:rPr>
        <w:t>-1</w:t>
      </w:r>
      <w:r w:rsidRPr="00F15A10">
        <w:rPr>
          <w:rFonts w:ascii="Times New Roman" w:hAnsi="Times New Roman"/>
          <w:sz w:val="20"/>
          <w:szCs w:val="20"/>
        </w:rPr>
        <w:t>. The RSD values obtained were 1.3%, 0.5% and 0.06% for respective concentrations. The RSD values found to be less 5% indicating that the measurements were precise and confidence [38].</w:t>
      </w:r>
    </w:p>
    <w:p w14:paraId="46057D19" w14:textId="77777777" w:rsidR="00F15A10" w:rsidRPr="00F15A10" w:rsidRDefault="00F15A10" w:rsidP="00F15A10">
      <w:pPr>
        <w:spacing w:after="0"/>
        <w:jc w:val="both"/>
        <w:rPr>
          <w:rFonts w:ascii="Times New Roman" w:hAnsi="Times New Roman"/>
          <w:b/>
          <w:i/>
          <w:sz w:val="20"/>
          <w:szCs w:val="20"/>
        </w:rPr>
      </w:pPr>
    </w:p>
    <w:p w14:paraId="5B9D0A29" w14:textId="77777777" w:rsidR="00F15A10" w:rsidRPr="00F15A10" w:rsidRDefault="00F15A10" w:rsidP="00F15A10">
      <w:pPr>
        <w:spacing w:after="0"/>
        <w:jc w:val="both"/>
        <w:rPr>
          <w:rFonts w:ascii="Times New Roman" w:hAnsi="Times New Roman"/>
          <w:iCs/>
          <w:sz w:val="20"/>
          <w:szCs w:val="20"/>
        </w:rPr>
      </w:pPr>
      <w:r w:rsidRPr="00F15A10">
        <w:rPr>
          <w:rFonts w:ascii="Times New Roman" w:hAnsi="Times New Roman"/>
          <w:b/>
          <w:iCs/>
          <w:sz w:val="20"/>
          <w:szCs w:val="20"/>
        </w:rPr>
        <w:t>Accuracy</w:t>
      </w:r>
    </w:p>
    <w:p w14:paraId="329BBE2E" w14:textId="77777777" w:rsidR="00F15A10" w:rsidRPr="00F15A10" w:rsidRDefault="00F15A10" w:rsidP="00F15A10">
      <w:pPr>
        <w:spacing w:after="0"/>
        <w:jc w:val="both"/>
        <w:rPr>
          <w:rFonts w:ascii="Times New Roman" w:hAnsi="Times New Roman"/>
          <w:i/>
          <w:sz w:val="20"/>
          <w:szCs w:val="20"/>
        </w:rPr>
      </w:pPr>
      <w:r w:rsidRPr="00F15A10">
        <w:rPr>
          <w:rFonts w:ascii="Times New Roman" w:hAnsi="Times New Roman"/>
          <w:sz w:val="20"/>
          <w:szCs w:val="20"/>
        </w:rPr>
        <w:t>The accuracy of the developed technique was tested by spiking three known different concentrations of AA which were 5 mg L</w:t>
      </w:r>
      <w:r w:rsidRPr="00F15A10">
        <w:rPr>
          <w:rFonts w:ascii="Times New Roman" w:hAnsi="Times New Roman"/>
          <w:sz w:val="20"/>
          <w:szCs w:val="20"/>
          <w:vertAlign w:val="superscript"/>
        </w:rPr>
        <w:t>-1</w:t>
      </w:r>
      <w:r w:rsidRPr="00F15A10">
        <w:rPr>
          <w:rFonts w:ascii="Times New Roman" w:hAnsi="Times New Roman"/>
          <w:sz w:val="20"/>
          <w:szCs w:val="20"/>
        </w:rPr>
        <w:t>, 50 mg L</w:t>
      </w:r>
      <w:r w:rsidRPr="00F15A10">
        <w:rPr>
          <w:rFonts w:ascii="Times New Roman" w:hAnsi="Times New Roman"/>
          <w:sz w:val="20"/>
          <w:szCs w:val="20"/>
          <w:vertAlign w:val="superscript"/>
        </w:rPr>
        <w:t>-1</w:t>
      </w:r>
      <w:r w:rsidRPr="00F15A10">
        <w:rPr>
          <w:rFonts w:ascii="Times New Roman" w:hAnsi="Times New Roman"/>
          <w:sz w:val="20"/>
          <w:szCs w:val="20"/>
        </w:rPr>
        <w:t xml:space="preserve"> and 150 mg L</w:t>
      </w:r>
      <w:r w:rsidRPr="00F15A10">
        <w:rPr>
          <w:rFonts w:ascii="Times New Roman" w:hAnsi="Times New Roman"/>
          <w:sz w:val="20"/>
          <w:szCs w:val="20"/>
          <w:vertAlign w:val="superscript"/>
        </w:rPr>
        <w:t xml:space="preserve">-1 </w:t>
      </w:r>
      <w:r w:rsidRPr="00F15A10">
        <w:rPr>
          <w:rFonts w:ascii="Times New Roman" w:hAnsi="Times New Roman"/>
          <w:sz w:val="20"/>
          <w:szCs w:val="20"/>
        </w:rPr>
        <w:t>into a voltammetric cell containing PBS solution at pH 4.2. These spiked AA standard solutions were measured in three replicates (n=3) and the discovered amounts of the spiked solutions in the cell were calculated using the equation of I</w:t>
      </w:r>
      <w:r w:rsidRPr="00F15A10">
        <w:rPr>
          <w:rFonts w:ascii="Times New Roman" w:hAnsi="Times New Roman"/>
          <w:sz w:val="20"/>
          <w:szCs w:val="20"/>
          <w:vertAlign w:val="subscript"/>
        </w:rPr>
        <w:t>p</w:t>
      </w:r>
      <w:r w:rsidRPr="00F15A10">
        <w:rPr>
          <w:rFonts w:ascii="Times New Roman" w:hAnsi="Times New Roman"/>
          <w:sz w:val="20"/>
          <w:szCs w:val="20"/>
        </w:rPr>
        <w:t xml:space="preserve"> (nA) = 109.79x – 224.01, where x is the found concentrations of AA in the voltammetric cell. The satisfactory recoveries of 93.08 %, 98.66 % and 99.00 % were respectively achieved for the spiked concentrations of 5 mg L</w:t>
      </w:r>
      <w:r w:rsidRPr="00F15A10">
        <w:rPr>
          <w:rFonts w:ascii="Times New Roman" w:hAnsi="Times New Roman"/>
          <w:sz w:val="20"/>
          <w:szCs w:val="20"/>
          <w:vertAlign w:val="superscript"/>
        </w:rPr>
        <w:t>-1</w:t>
      </w:r>
      <w:r w:rsidRPr="00F15A10">
        <w:rPr>
          <w:rFonts w:ascii="Times New Roman" w:hAnsi="Times New Roman"/>
          <w:sz w:val="20"/>
          <w:szCs w:val="20"/>
        </w:rPr>
        <w:t>, 50 mg L</w:t>
      </w:r>
      <w:r w:rsidRPr="00F15A10">
        <w:rPr>
          <w:rFonts w:ascii="Times New Roman" w:hAnsi="Times New Roman"/>
          <w:sz w:val="20"/>
          <w:szCs w:val="20"/>
          <w:vertAlign w:val="superscript"/>
        </w:rPr>
        <w:t>-1</w:t>
      </w:r>
      <w:r w:rsidRPr="00F15A10">
        <w:rPr>
          <w:rFonts w:ascii="Times New Roman" w:hAnsi="Times New Roman"/>
          <w:sz w:val="20"/>
          <w:szCs w:val="20"/>
        </w:rPr>
        <w:t xml:space="preserve"> and 150 mg L</w:t>
      </w:r>
      <w:r w:rsidRPr="00F15A10">
        <w:rPr>
          <w:rFonts w:ascii="Times New Roman" w:hAnsi="Times New Roman"/>
          <w:sz w:val="20"/>
          <w:szCs w:val="20"/>
          <w:vertAlign w:val="superscript"/>
        </w:rPr>
        <w:t>-1</w:t>
      </w:r>
      <w:r w:rsidRPr="00F15A10">
        <w:rPr>
          <w:rFonts w:ascii="Times New Roman" w:hAnsi="Times New Roman"/>
          <w:sz w:val="20"/>
          <w:szCs w:val="20"/>
        </w:rPr>
        <w:t xml:space="preserve">. </w:t>
      </w:r>
    </w:p>
    <w:p w14:paraId="1BDBCB25" w14:textId="77777777" w:rsidR="00F15A10" w:rsidRPr="00A837BA" w:rsidRDefault="00F15A10" w:rsidP="00A837BA">
      <w:pPr>
        <w:pBdr>
          <w:top w:val="nil"/>
          <w:left w:val="nil"/>
          <w:bottom w:val="nil"/>
          <w:right w:val="nil"/>
          <w:between w:val="nil"/>
        </w:pBdr>
        <w:spacing w:after="0"/>
        <w:jc w:val="both"/>
        <w:rPr>
          <w:rFonts w:ascii="Times New Roman" w:hAnsi="Times New Roman"/>
          <w:bCs/>
          <w:iCs/>
          <w:sz w:val="20"/>
          <w:szCs w:val="20"/>
        </w:rPr>
      </w:pPr>
    </w:p>
    <w:p w14:paraId="5A0D1B83" w14:textId="77777777" w:rsidR="00F15A10" w:rsidRPr="00F15A10" w:rsidRDefault="00F15A10" w:rsidP="00F15A10">
      <w:pPr>
        <w:pBdr>
          <w:top w:val="nil"/>
          <w:left w:val="nil"/>
          <w:bottom w:val="nil"/>
          <w:right w:val="nil"/>
          <w:between w:val="nil"/>
        </w:pBdr>
        <w:spacing w:after="0"/>
        <w:jc w:val="both"/>
        <w:rPr>
          <w:rFonts w:ascii="Times New Roman" w:hAnsi="Times New Roman"/>
          <w:b/>
          <w:iCs/>
          <w:sz w:val="20"/>
          <w:szCs w:val="20"/>
        </w:rPr>
      </w:pPr>
      <w:r w:rsidRPr="00F15A10">
        <w:rPr>
          <w:rFonts w:ascii="Times New Roman" w:hAnsi="Times New Roman"/>
          <w:b/>
          <w:iCs/>
          <w:sz w:val="20"/>
          <w:szCs w:val="20"/>
        </w:rPr>
        <w:t>Ruggedness</w:t>
      </w:r>
    </w:p>
    <w:p w14:paraId="43E55EF6" w14:textId="77777777" w:rsidR="00F15A10" w:rsidRPr="00F15A10" w:rsidRDefault="00F15A10" w:rsidP="00F15A10">
      <w:pPr>
        <w:pBdr>
          <w:top w:val="nil"/>
          <w:left w:val="nil"/>
          <w:bottom w:val="nil"/>
          <w:right w:val="nil"/>
          <w:between w:val="nil"/>
        </w:pBdr>
        <w:spacing w:after="0"/>
        <w:jc w:val="both"/>
        <w:rPr>
          <w:rFonts w:ascii="Times New Roman" w:hAnsi="Times New Roman"/>
          <w:sz w:val="20"/>
          <w:szCs w:val="20"/>
        </w:rPr>
      </w:pPr>
      <w:r w:rsidRPr="00F15A10">
        <w:rPr>
          <w:rFonts w:ascii="Times New Roman" w:hAnsi="Times New Roman"/>
          <w:sz w:val="20"/>
          <w:szCs w:val="20"/>
        </w:rPr>
        <w:t>The RSD values ranged from 0.07 % to 2.93 % for the first and second analyst, respectively for the measurements of 5 mg L</w:t>
      </w:r>
      <w:r w:rsidRPr="00F15A10">
        <w:rPr>
          <w:rFonts w:ascii="Times New Roman" w:hAnsi="Times New Roman"/>
          <w:sz w:val="20"/>
          <w:szCs w:val="20"/>
          <w:vertAlign w:val="superscript"/>
        </w:rPr>
        <w:t>-1</w:t>
      </w:r>
      <w:r w:rsidRPr="00F15A10">
        <w:rPr>
          <w:rFonts w:ascii="Times New Roman" w:hAnsi="Times New Roman"/>
          <w:sz w:val="20"/>
          <w:szCs w:val="20"/>
        </w:rPr>
        <w:t>, 50 mg L</w:t>
      </w:r>
      <w:r w:rsidRPr="00F15A10">
        <w:rPr>
          <w:rFonts w:ascii="Times New Roman" w:hAnsi="Times New Roman"/>
          <w:sz w:val="20"/>
          <w:szCs w:val="20"/>
          <w:vertAlign w:val="superscript"/>
        </w:rPr>
        <w:t>-1</w:t>
      </w:r>
      <w:r w:rsidRPr="00F15A10">
        <w:rPr>
          <w:rFonts w:ascii="Times New Roman" w:hAnsi="Times New Roman"/>
          <w:sz w:val="20"/>
          <w:szCs w:val="20"/>
        </w:rPr>
        <w:t xml:space="preserve"> and 150 mg L</w:t>
      </w:r>
      <w:r w:rsidRPr="00F15A10">
        <w:rPr>
          <w:rFonts w:ascii="Times New Roman" w:hAnsi="Times New Roman"/>
          <w:sz w:val="20"/>
          <w:szCs w:val="20"/>
          <w:vertAlign w:val="superscript"/>
        </w:rPr>
        <w:t xml:space="preserve">-1 </w:t>
      </w:r>
      <w:r w:rsidRPr="00F15A10">
        <w:rPr>
          <w:rFonts w:ascii="Times New Roman" w:hAnsi="Times New Roman"/>
          <w:sz w:val="20"/>
          <w:szCs w:val="20"/>
        </w:rPr>
        <w:t xml:space="preserve">AA using the same instrument [39]. From the two-tailed </w:t>
      </w:r>
      <w:r w:rsidRPr="00F15A10">
        <w:rPr>
          <w:rFonts w:ascii="Times New Roman" w:hAnsi="Times New Roman"/>
          <w:i/>
          <w:sz w:val="20"/>
          <w:szCs w:val="20"/>
        </w:rPr>
        <w:t>F</w:t>
      </w:r>
      <w:r w:rsidRPr="00F15A10">
        <w:rPr>
          <w:rFonts w:ascii="Times New Roman" w:hAnsi="Times New Roman"/>
          <w:sz w:val="20"/>
          <w:szCs w:val="20"/>
        </w:rPr>
        <w:t xml:space="preserve"> test, there were no significant differences between the obtained variances for AA when the measurements were performed by two different analysts with the same instrument at the 5 % significance level. Hence, the results indicated that the developed technique was considered rugged. </w:t>
      </w:r>
    </w:p>
    <w:p w14:paraId="5178CC32" w14:textId="77777777" w:rsidR="00F15A10" w:rsidRPr="00F15A10" w:rsidRDefault="00F15A10" w:rsidP="00F15A10">
      <w:pPr>
        <w:pBdr>
          <w:top w:val="nil"/>
          <w:left w:val="nil"/>
          <w:bottom w:val="nil"/>
          <w:right w:val="nil"/>
          <w:between w:val="nil"/>
        </w:pBdr>
        <w:spacing w:after="0"/>
        <w:jc w:val="both"/>
        <w:rPr>
          <w:rFonts w:ascii="Times New Roman" w:hAnsi="Times New Roman"/>
          <w:sz w:val="20"/>
          <w:szCs w:val="20"/>
        </w:rPr>
      </w:pPr>
    </w:p>
    <w:p w14:paraId="223E8949" w14:textId="77777777" w:rsidR="00F15A10" w:rsidRPr="00F15A10" w:rsidRDefault="00F15A10" w:rsidP="00F15A10">
      <w:pPr>
        <w:pBdr>
          <w:top w:val="nil"/>
          <w:left w:val="nil"/>
          <w:bottom w:val="nil"/>
          <w:right w:val="nil"/>
          <w:between w:val="nil"/>
        </w:pBdr>
        <w:spacing w:after="0"/>
        <w:jc w:val="both"/>
        <w:rPr>
          <w:rFonts w:ascii="Times New Roman" w:hAnsi="Times New Roman"/>
          <w:sz w:val="20"/>
          <w:szCs w:val="20"/>
        </w:rPr>
      </w:pPr>
      <w:r w:rsidRPr="00F15A10">
        <w:rPr>
          <w:rFonts w:ascii="Times New Roman" w:hAnsi="Times New Roman"/>
          <w:b/>
          <w:sz w:val="20"/>
          <w:szCs w:val="20"/>
        </w:rPr>
        <w:t>Determination of AA in multivitamin tablets</w:t>
      </w:r>
    </w:p>
    <w:p w14:paraId="5425774E" w14:textId="77777777" w:rsidR="00F15A10" w:rsidRPr="00F15A10" w:rsidRDefault="00F15A10" w:rsidP="00F15A10">
      <w:pPr>
        <w:pBdr>
          <w:top w:val="nil"/>
          <w:left w:val="nil"/>
          <w:bottom w:val="nil"/>
          <w:right w:val="nil"/>
          <w:between w:val="nil"/>
        </w:pBdr>
        <w:spacing w:after="0"/>
        <w:jc w:val="both"/>
        <w:rPr>
          <w:rFonts w:ascii="Times New Roman" w:hAnsi="Times New Roman"/>
          <w:sz w:val="20"/>
          <w:szCs w:val="20"/>
        </w:rPr>
      </w:pPr>
      <w:r w:rsidRPr="00F15A10">
        <w:rPr>
          <w:rFonts w:ascii="Times New Roman" w:hAnsi="Times New Roman"/>
          <w:sz w:val="20"/>
          <w:szCs w:val="20"/>
        </w:rPr>
        <w:t>To evaluate the application to a real sample analysis, the developed DPASV technique was used to analyse AA in multivitamin tablets. The multivitamin tablets were analysed by the developed technique under optimum parameters without any sample pre-treatment. Table 1 shows the content of AA in the multivitamin samples.</w:t>
      </w:r>
    </w:p>
    <w:p w14:paraId="707EE2EC" w14:textId="77777777" w:rsidR="00A837BA" w:rsidRDefault="00A837BA" w:rsidP="00F15A10">
      <w:pPr>
        <w:pBdr>
          <w:top w:val="nil"/>
          <w:left w:val="nil"/>
          <w:bottom w:val="nil"/>
          <w:right w:val="nil"/>
          <w:between w:val="nil"/>
        </w:pBdr>
        <w:spacing w:after="0"/>
        <w:jc w:val="both"/>
        <w:rPr>
          <w:rFonts w:ascii="Times New Roman" w:hAnsi="Times New Roman"/>
          <w:sz w:val="20"/>
          <w:szCs w:val="20"/>
        </w:rPr>
      </w:pPr>
    </w:p>
    <w:p w14:paraId="4ED47DB5" w14:textId="77777777" w:rsidR="00A837BA" w:rsidRPr="00F15A10" w:rsidRDefault="00A837BA" w:rsidP="00A837BA">
      <w:pPr>
        <w:pBdr>
          <w:top w:val="nil"/>
          <w:left w:val="nil"/>
          <w:bottom w:val="nil"/>
          <w:right w:val="nil"/>
          <w:between w:val="nil"/>
        </w:pBdr>
        <w:spacing w:after="0"/>
        <w:jc w:val="both"/>
        <w:rPr>
          <w:rFonts w:ascii="Times New Roman" w:hAnsi="Times New Roman"/>
          <w:sz w:val="20"/>
          <w:szCs w:val="20"/>
        </w:rPr>
      </w:pPr>
      <w:r w:rsidRPr="00F15A10">
        <w:rPr>
          <w:rFonts w:ascii="Times New Roman" w:hAnsi="Times New Roman"/>
          <w:sz w:val="20"/>
          <w:szCs w:val="20"/>
        </w:rPr>
        <w:t>Assay results for the determination of the AA in the multivitamin tablets are shown in Table 2 by comparing the actual AA content with the labelled AA content in terms of mg/tablet [32]. The samples were analysed under the optimum instrumental parameters. The recoveries achieved for AA content in Sample A and B were 98 % and 102 %, respectively. These satisfactory recoveries indicated that the matrix did not affect the measurement of the AA in the multivitamin tablets by the proposed DPASV technique.</w:t>
      </w:r>
    </w:p>
    <w:p w14:paraId="74BFACEC" w14:textId="77777777" w:rsidR="002C4E39" w:rsidRDefault="002C4E39" w:rsidP="00F15A10">
      <w:pPr>
        <w:pBdr>
          <w:top w:val="nil"/>
          <w:left w:val="nil"/>
          <w:bottom w:val="nil"/>
          <w:right w:val="nil"/>
          <w:between w:val="nil"/>
        </w:pBdr>
        <w:spacing w:after="0"/>
        <w:jc w:val="both"/>
        <w:rPr>
          <w:rFonts w:ascii="Times New Roman" w:hAnsi="Times New Roman"/>
          <w:sz w:val="20"/>
          <w:szCs w:val="20"/>
        </w:rPr>
        <w:sectPr w:rsidR="002C4E39" w:rsidSect="00A837BA">
          <w:type w:val="continuous"/>
          <w:pgSz w:w="12240" w:h="15840" w:code="1"/>
          <w:pgMar w:top="1800" w:right="1469" w:bottom="1699" w:left="1440" w:header="706" w:footer="706" w:gutter="0"/>
          <w:pgNumType w:start="0"/>
          <w:cols w:num="2" w:space="403"/>
          <w:docGrid w:linePitch="360"/>
        </w:sectPr>
      </w:pPr>
    </w:p>
    <w:p w14:paraId="152E4862" w14:textId="350AA744" w:rsidR="00A837BA" w:rsidRDefault="00A837BA" w:rsidP="00F15A10">
      <w:pPr>
        <w:pBdr>
          <w:top w:val="nil"/>
          <w:left w:val="nil"/>
          <w:bottom w:val="nil"/>
          <w:right w:val="nil"/>
          <w:between w:val="nil"/>
        </w:pBdr>
        <w:spacing w:after="0"/>
        <w:jc w:val="both"/>
        <w:rPr>
          <w:rFonts w:ascii="Times New Roman" w:hAnsi="Times New Roman"/>
          <w:sz w:val="20"/>
          <w:szCs w:val="20"/>
        </w:rPr>
        <w:sectPr w:rsidR="00A837BA" w:rsidSect="002C4E39">
          <w:headerReference w:type="even" r:id="rId32"/>
          <w:headerReference w:type="default" r:id="rId33"/>
          <w:footerReference w:type="default" r:id="rId34"/>
          <w:headerReference w:type="first" r:id="rId35"/>
          <w:type w:val="oddPage"/>
          <w:pgSz w:w="12240" w:h="15840" w:code="1"/>
          <w:pgMar w:top="1800" w:right="1469" w:bottom="1699" w:left="1440" w:header="706" w:footer="706" w:gutter="0"/>
          <w:pgNumType w:start="0"/>
          <w:cols w:num="2" w:space="403"/>
          <w:docGrid w:linePitch="360"/>
        </w:sectPr>
      </w:pPr>
    </w:p>
    <w:p w14:paraId="2AAE065D" w14:textId="77777777" w:rsidR="00A837BA" w:rsidRPr="00F15A10" w:rsidRDefault="00A837BA" w:rsidP="00F15A10">
      <w:pPr>
        <w:pBdr>
          <w:top w:val="nil"/>
          <w:left w:val="nil"/>
          <w:bottom w:val="nil"/>
          <w:right w:val="nil"/>
          <w:between w:val="nil"/>
        </w:pBdr>
        <w:spacing w:after="0"/>
        <w:jc w:val="both"/>
        <w:rPr>
          <w:rFonts w:ascii="Times New Roman" w:hAnsi="Times New Roman"/>
          <w:sz w:val="20"/>
          <w:szCs w:val="20"/>
        </w:rPr>
      </w:pPr>
    </w:p>
    <w:p w14:paraId="290C5750" w14:textId="4FF67015" w:rsidR="00F15A10" w:rsidRPr="00F15A10" w:rsidRDefault="00F15A10" w:rsidP="007463BF">
      <w:pPr>
        <w:spacing w:after="120"/>
        <w:jc w:val="center"/>
        <w:rPr>
          <w:rFonts w:ascii="Times New Roman" w:hAnsi="Times New Roman"/>
          <w:sz w:val="20"/>
          <w:szCs w:val="20"/>
        </w:rPr>
      </w:pPr>
      <w:r w:rsidRPr="00F15A10">
        <w:rPr>
          <w:rFonts w:ascii="Times New Roman" w:hAnsi="Times New Roman"/>
          <w:bCs/>
          <w:sz w:val="20"/>
          <w:szCs w:val="20"/>
        </w:rPr>
        <w:t>Table 1</w:t>
      </w:r>
      <w:r w:rsidRPr="00F15A10">
        <w:rPr>
          <w:rFonts w:ascii="Times New Roman" w:hAnsi="Times New Roman"/>
          <w:b/>
          <w:sz w:val="20"/>
          <w:szCs w:val="20"/>
        </w:rPr>
        <w:t xml:space="preserve">. </w:t>
      </w:r>
      <w:r w:rsidR="00275F55">
        <w:rPr>
          <w:rFonts w:ascii="Times New Roman" w:hAnsi="Times New Roman"/>
          <w:b/>
          <w:sz w:val="20"/>
          <w:szCs w:val="20"/>
        </w:rPr>
        <w:t xml:space="preserve"> </w:t>
      </w:r>
      <w:r w:rsidRPr="00F15A10">
        <w:rPr>
          <w:rFonts w:ascii="Times New Roman" w:hAnsi="Times New Roman"/>
          <w:sz w:val="20"/>
          <w:szCs w:val="20"/>
        </w:rPr>
        <w:t>Ascorbic acid content in the multivitamin tablet were analysed by the proposed DPASV technique in phosphate buffer solution at pH 4.2 (n = 3)</w:t>
      </w:r>
    </w:p>
    <w:tbl>
      <w:tblPr>
        <w:tblStyle w:val="LightShading"/>
        <w:tblW w:w="7452" w:type="dxa"/>
        <w:jc w:val="center"/>
        <w:shd w:val="clear" w:color="auto" w:fill="FFFFFF" w:themeFill="background1"/>
        <w:tblLayout w:type="fixed"/>
        <w:tblLook w:val="04A0" w:firstRow="1" w:lastRow="0" w:firstColumn="1" w:lastColumn="0" w:noHBand="0" w:noVBand="1"/>
      </w:tblPr>
      <w:tblGrid>
        <w:gridCol w:w="2061"/>
        <w:gridCol w:w="2644"/>
        <w:gridCol w:w="2747"/>
      </w:tblGrid>
      <w:tr w:rsidR="00275F55" w:rsidRPr="003D1148" w14:paraId="79CB05B4" w14:textId="77777777" w:rsidTr="00275F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bottom w:val="single" w:sz="4" w:space="0" w:color="auto"/>
            </w:tcBorders>
            <w:shd w:val="clear" w:color="auto" w:fill="FFFFFF" w:themeFill="background1"/>
          </w:tcPr>
          <w:p w14:paraId="24B1D36D" w14:textId="77777777" w:rsidR="00275F55" w:rsidRPr="003D1148" w:rsidRDefault="00275F55" w:rsidP="00275F55">
            <w:pPr>
              <w:pBdr>
                <w:top w:val="nil"/>
                <w:left w:val="nil"/>
                <w:bottom w:val="nil"/>
                <w:right w:val="nil"/>
                <w:between w:val="nil"/>
              </w:pBdr>
              <w:spacing w:before="120" w:after="0"/>
              <w:rPr>
                <w:rFonts w:ascii="Times New Roman" w:hAnsi="Times New Roman" w:cs="Times New Roman"/>
                <w:color w:val="auto"/>
                <w:sz w:val="20"/>
                <w:szCs w:val="20"/>
              </w:rPr>
            </w:pPr>
            <w:r w:rsidRPr="003D1148">
              <w:rPr>
                <w:rFonts w:ascii="Times New Roman" w:hAnsi="Times New Roman" w:cs="Times New Roman"/>
                <w:color w:val="auto"/>
                <w:sz w:val="20"/>
                <w:szCs w:val="20"/>
              </w:rPr>
              <w:t>Sample</w:t>
            </w:r>
          </w:p>
        </w:tc>
        <w:tc>
          <w:tcPr>
            <w:tcW w:w="2644" w:type="dxa"/>
            <w:tcBorders>
              <w:top w:val="single" w:sz="4" w:space="0" w:color="auto"/>
              <w:bottom w:val="single" w:sz="4" w:space="0" w:color="auto"/>
            </w:tcBorders>
            <w:shd w:val="clear" w:color="auto" w:fill="FFFFFF" w:themeFill="background1"/>
          </w:tcPr>
          <w:p w14:paraId="5508C786" w14:textId="77777777" w:rsidR="00275F55" w:rsidRPr="003D1148" w:rsidRDefault="00275F55" w:rsidP="00275F55">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 xml:space="preserve">         I</w:t>
            </w:r>
            <w:r w:rsidRPr="003D1148">
              <w:rPr>
                <w:rFonts w:ascii="Times New Roman" w:hAnsi="Times New Roman" w:cs="Times New Roman"/>
                <w:color w:val="auto"/>
                <w:sz w:val="20"/>
                <w:szCs w:val="20"/>
                <w:vertAlign w:val="subscript"/>
              </w:rPr>
              <w:t>p</w:t>
            </w:r>
            <w:r w:rsidRPr="003D1148">
              <w:rPr>
                <w:rFonts w:ascii="Times New Roman" w:hAnsi="Times New Roman" w:cs="Times New Roman"/>
                <w:color w:val="auto"/>
                <w:sz w:val="20"/>
                <w:szCs w:val="20"/>
              </w:rPr>
              <w:t xml:space="preserve"> (x 10</w:t>
            </w:r>
            <w:r w:rsidRPr="003D1148">
              <w:rPr>
                <w:rFonts w:ascii="Times New Roman" w:hAnsi="Times New Roman" w:cs="Times New Roman"/>
                <w:color w:val="auto"/>
                <w:sz w:val="20"/>
                <w:szCs w:val="20"/>
                <w:vertAlign w:val="superscript"/>
              </w:rPr>
              <w:t>-7</w:t>
            </w:r>
            <w:r w:rsidRPr="003D1148">
              <w:rPr>
                <w:rFonts w:ascii="Times New Roman" w:hAnsi="Times New Roman" w:cs="Times New Roman"/>
                <w:color w:val="auto"/>
                <w:sz w:val="20"/>
                <w:szCs w:val="20"/>
              </w:rPr>
              <w:t xml:space="preserve"> A) ± SD</w:t>
            </w:r>
          </w:p>
          <w:p w14:paraId="4CDB5218" w14:textId="77777777" w:rsidR="00275F55" w:rsidRPr="003D1148" w:rsidRDefault="00275F55" w:rsidP="00275F55">
            <w:pPr>
              <w:pBdr>
                <w:top w:val="nil"/>
                <w:left w:val="nil"/>
                <w:bottom w:val="nil"/>
                <w:right w:val="nil"/>
                <w:between w:val="nil"/>
              </w:pBdr>
              <w:spacing w:after="0"/>
              <w:ind w:hanging="7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 xml:space="preserve">              (RSD)</w:t>
            </w:r>
          </w:p>
        </w:tc>
        <w:tc>
          <w:tcPr>
            <w:tcW w:w="2747" w:type="dxa"/>
            <w:tcBorders>
              <w:top w:val="single" w:sz="4" w:space="0" w:color="auto"/>
              <w:bottom w:val="single" w:sz="4" w:space="0" w:color="auto"/>
            </w:tcBorders>
            <w:shd w:val="clear" w:color="auto" w:fill="FFFFFF" w:themeFill="background1"/>
          </w:tcPr>
          <w:p w14:paraId="14E94A93" w14:textId="77777777" w:rsidR="00275F55" w:rsidRPr="003D1148" w:rsidRDefault="00275F55" w:rsidP="00275F55">
            <w:pPr>
              <w:pBdr>
                <w:top w:val="nil"/>
                <w:left w:val="nil"/>
                <w:bottom w:val="nil"/>
                <w:right w:val="nil"/>
                <w:between w:val="nil"/>
              </w:pBdr>
              <w:spacing w:before="60" w:after="0"/>
              <w:ind w:left="720" w:hanging="7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Concentration of</w:t>
            </w:r>
          </w:p>
          <w:p w14:paraId="54DE9370" w14:textId="77777777" w:rsidR="00275F55" w:rsidRPr="003D1148" w:rsidRDefault="00275F55" w:rsidP="00275F55">
            <w:pPr>
              <w:pBdr>
                <w:top w:val="nil"/>
                <w:left w:val="nil"/>
                <w:bottom w:val="nil"/>
                <w:right w:val="nil"/>
                <w:between w:val="nil"/>
              </w:pBdr>
              <w:spacing w:after="60"/>
              <w:ind w:hanging="7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 xml:space="preserve">                  Ascorbic Acid (mg/L)</w:t>
            </w:r>
          </w:p>
        </w:tc>
      </w:tr>
      <w:tr w:rsidR="00275F55" w:rsidRPr="003D1148" w14:paraId="14528634" w14:textId="77777777" w:rsidTr="00275F55">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bottom w:val="nil"/>
            </w:tcBorders>
            <w:shd w:val="clear" w:color="auto" w:fill="FFFFFF" w:themeFill="background1"/>
          </w:tcPr>
          <w:p w14:paraId="22F99A86" w14:textId="77777777" w:rsidR="00275F55" w:rsidRPr="003D1148" w:rsidRDefault="00275F55" w:rsidP="00275F55">
            <w:pPr>
              <w:pBdr>
                <w:top w:val="nil"/>
                <w:left w:val="nil"/>
                <w:bottom w:val="nil"/>
                <w:right w:val="nil"/>
                <w:between w:val="nil"/>
              </w:pBdr>
              <w:spacing w:before="60" w:after="0"/>
              <w:rPr>
                <w:rFonts w:ascii="Times New Roman" w:hAnsi="Times New Roman" w:cs="Times New Roman"/>
                <w:color w:val="auto"/>
                <w:sz w:val="20"/>
                <w:szCs w:val="20"/>
              </w:rPr>
            </w:pPr>
            <w:r w:rsidRPr="003D1148">
              <w:rPr>
                <w:rFonts w:ascii="Times New Roman" w:hAnsi="Times New Roman" w:cs="Times New Roman"/>
                <w:b w:val="0"/>
                <w:color w:val="auto"/>
                <w:sz w:val="20"/>
                <w:szCs w:val="20"/>
              </w:rPr>
              <w:t>A</w:t>
            </w:r>
          </w:p>
        </w:tc>
        <w:tc>
          <w:tcPr>
            <w:tcW w:w="2644" w:type="dxa"/>
            <w:tcBorders>
              <w:top w:val="single" w:sz="4" w:space="0" w:color="auto"/>
              <w:bottom w:val="nil"/>
            </w:tcBorders>
            <w:shd w:val="clear" w:color="auto" w:fill="FFFFFF" w:themeFill="background1"/>
          </w:tcPr>
          <w:p w14:paraId="5CA9C8D7" w14:textId="77777777" w:rsidR="00275F55" w:rsidRPr="003D1148" w:rsidRDefault="00275F55" w:rsidP="00275F55">
            <w:pPr>
              <w:pBdr>
                <w:top w:val="nil"/>
                <w:left w:val="nil"/>
                <w:bottom w:val="nil"/>
                <w:right w:val="nil"/>
                <w:between w:val="nil"/>
              </w:pBd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4.40 ± 0.15</w:t>
            </w:r>
          </w:p>
          <w:p w14:paraId="788AC8DA" w14:textId="77777777" w:rsidR="00275F55" w:rsidRPr="003D1148" w:rsidRDefault="00275F55" w:rsidP="00275F55">
            <w:pPr>
              <w:pBdr>
                <w:top w:val="nil"/>
                <w:left w:val="nil"/>
                <w:bottom w:val="nil"/>
                <w:right w:val="nil"/>
                <w:between w:val="nil"/>
              </w:pBdr>
              <w:spacing w:after="0"/>
              <w:ind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 xml:space="preserve">            (3.40%)</w:t>
            </w:r>
          </w:p>
        </w:tc>
        <w:tc>
          <w:tcPr>
            <w:tcW w:w="2747" w:type="dxa"/>
            <w:tcBorders>
              <w:top w:val="single" w:sz="4" w:space="0" w:color="auto"/>
              <w:bottom w:val="nil"/>
            </w:tcBorders>
            <w:shd w:val="clear" w:color="auto" w:fill="FFFFFF" w:themeFill="background1"/>
          </w:tcPr>
          <w:p w14:paraId="7F4850D9" w14:textId="77777777" w:rsidR="00275F55" w:rsidRPr="003D1148" w:rsidRDefault="00275F55" w:rsidP="00275F55">
            <w:pPr>
              <w:pBdr>
                <w:top w:val="nil"/>
                <w:left w:val="nil"/>
                <w:bottom w:val="nil"/>
                <w:right w:val="nil"/>
                <w:between w:val="nil"/>
              </w:pBd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490</w:t>
            </w:r>
          </w:p>
        </w:tc>
      </w:tr>
      <w:tr w:rsidR="00275F55" w:rsidRPr="003D1148" w14:paraId="6FE9A23A" w14:textId="77777777" w:rsidTr="00275F55">
        <w:trPr>
          <w:jc w:val="center"/>
        </w:trPr>
        <w:tc>
          <w:tcPr>
            <w:cnfStyle w:val="001000000000" w:firstRow="0" w:lastRow="0" w:firstColumn="1" w:lastColumn="0" w:oddVBand="0" w:evenVBand="0" w:oddHBand="0" w:evenHBand="0" w:firstRowFirstColumn="0" w:firstRowLastColumn="0" w:lastRowFirstColumn="0" w:lastRowLastColumn="0"/>
            <w:tcW w:w="2061" w:type="dxa"/>
            <w:tcBorders>
              <w:top w:val="nil"/>
              <w:bottom w:val="single" w:sz="4" w:space="0" w:color="auto"/>
            </w:tcBorders>
            <w:shd w:val="clear" w:color="auto" w:fill="FFFFFF" w:themeFill="background1"/>
          </w:tcPr>
          <w:p w14:paraId="3CF325A0" w14:textId="77777777" w:rsidR="00275F55" w:rsidRPr="003D1148" w:rsidRDefault="00275F55" w:rsidP="00275F55">
            <w:pPr>
              <w:pBdr>
                <w:top w:val="nil"/>
                <w:left w:val="nil"/>
                <w:bottom w:val="nil"/>
                <w:right w:val="nil"/>
                <w:between w:val="nil"/>
              </w:pBdr>
              <w:spacing w:before="60" w:after="0"/>
              <w:rPr>
                <w:rFonts w:ascii="Times New Roman" w:hAnsi="Times New Roman" w:cs="Times New Roman"/>
                <w:color w:val="auto"/>
                <w:sz w:val="20"/>
                <w:szCs w:val="20"/>
              </w:rPr>
            </w:pPr>
            <w:r w:rsidRPr="003D1148">
              <w:rPr>
                <w:rFonts w:ascii="Times New Roman" w:hAnsi="Times New Roman" w:cs="Times New Roman"/>
                <w:b w:val="0"/>
                <w:color w:val="auto"/>
                <w:sz w:val="20"/>
                <w:szCs w:val="20"/>
              </w:rPr>
              <w:t>B</w:t>
            </w:r>
          </w:p>
        </w:tc>
        <w:tc>
          <w:tcPr>
            <w:tcW w:w="2644" w:type="dxa"/>
            <w:tcBorders>
              <w:top w:val="nil"/>
              <w:bottom w:val="single" w:sz="4" w:space="0" w:color="auto"/>
            </w:tcBorders>
            <w:shd w:val="clear" w:color="auto" w:fill="FFFFFF" w:themeFill="background1"/>
          </w:tcPr>
          <w:p w14:paraId="56F72F75" w14:textId="77777777" w:rsidR="00275F55" w:rsidRPr="003D1148" w:rsidRDefault="00275F55" w:rsidP="00275F55">
            <w:pPr>
              <w:pBdr>
                <w:top w:val="nil"/>
                <w:left w:val="nil"/>
                <w:bottom w:val="nil"/>
                <w:right w:val="nil"/>
                <w:between w:val="nil"/>
              </w:pBdr>
              <w:spacing w:before="60" w:after="0"/>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8.19 ± 0.12</w:t>
            </w:r>
          </w:p>
          <w:p w14:paraId="63E48E84" w14:textId="77777777" w:rsidR="00275F55" w:rsidRPr="003D1148" w:rsidRDefault="00275F55" w:rsidP="00275F55">
            <w:pPr>
              <w:pBdr>
                <w:top w:val="nil"/>
                <w:left w:val="nil"/>
                <w:bottom w:val="nil"/>
                <w:right w:val="nil"/>
                <w:between w:val="nil"/>
              </w:pBdr>
              <w:spacing w:after="60"/>
              <w:ind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 xml:space="preserve">             (1.46%)</w:t>
            </w:r>
          </w:p>
        </w:tc>
        <w:tc>
          <w:tcPr>
            <w:tcW w:w="2747" w:type="dxa"/>
            <w:tcBorders>
              <w:top w:val="nil"/>
              <w:bottom w:val="single" w:sz="4" w:space="0" w:color="auto"/>
            </w:tcBorders>
            <w:shd w:val="clear" w:color="auto" w:fill="FFFFFF" w:themeFill="background1"/>
          </w:tcPr>
          <w:p w14:paraId="523C5730" w14:textId="77777777" w:rsidR="00275F55" w:rsidRPr="003D1148" w:rsidRDefault="00275F55" w:rsidP="00275F55">
            <w:pPr>
              <w:pBdr>
                <w:top w:val="nil"/>
                <w:left w:val="nil"/>
                <w:bottom w:val="nil"/>
                <w:right w:val="nil"/>
                <w:between w:val="nil"/>
              </w:pBd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769</w:t>
            </w:r>
          </w:p>
        </w:tc>
      </w:tr>
    </w:tbl>
    <w:p w14:paraId="5DCB42F8" w14:textId="77777777" w:rsidR="00F15A10" w:rsidRPr="00F15A10" w:rsidRDefault="00F15A10" w:rsidP="00275F55">
      <w:pPr>
        <w:pBdr>
          <w:top w:val="nil"/>
          <w:left w:val="nil"/>
          <w:bottom w:val="nil"/>
          <w:right w:val="nil"/>
          <w:between w:val="nil"/>
        </w:pBdr>
        <w:spacing w:after="0"/>
        <w:jc w:val="both"/>
        <w:rPr>
          <w:rFonts w:ascii="Times New Roman" w:hAnsi="Times New Roman"/>
          <w:sz w:val="20"/>
          <w:szCs w:val="20"/>
        </w:rPr>
      </w:pPr>
    </w:p>
    <w:p w14:paraId="3149A9F8" w14:textId="77777777" w:rsidR="00275F55" w:rsidRPr="00F15A10" w:rsidRDefault="00275F55" w:rsidP="00F15A10">
      <w:pPr>
        <w:spacing w:after="0"/>
        <w:jc w:val="both"/>
        <w:rPr>
          <w:rFonts w:ascii="Times New Roman" w:hAnsi="Times New Roman"/>
          <w:sz w:val="20"/>
          <w:szCs w:val="20"/>
        </w:rPr>
      </w:pPr>
    </w:p>
    <w:p w14:paraId="1C3015FC" w14:textId="4CC45772" w:rsidR="00F15A10" w:rsidRPr="00F15A10" w:rsidRDefault="00F15A10" w:rsidP="00275F55">
      <w:pPr>
        <w:spacing w:after="120"/>
        <w:jc w:val="center"/>
        <w:rPr>
          <w:rFonts w:ascii="Times New Roman" w:hAnsi="Times New Roman"/>
          <w:sz w:val="20"/>
          <w:szCs w:val="20"/>
        </w:rPr>
      </w:pPr>
      <w:r w:rsidRPr="00F15A10">
        <w:rPr>
          <w:rFonts w:ascii="Times New Roman" w:hAnsi="Times New Roman"/>
          <w:bCs/>
          <w:sz w:val="20"/>
          <w:szCs w:val="20"/>
        </w:rPr>
        <w:t xml:space="preserve">Table </w:t>
      </w:r>
      <w:r w:rsidR="00275F55">
        <w:rPr>
          <w:rFonts w:ascii="Times New Roman" w:hAnsi="Times New Roman"/>
          <w:bCs/>
          <w:sz w:val="20"/>
          <w:szCs w:val="20"/>
        </w:rPr>
        <w:t>2.</w:t>
      </w:r>
      <w:r w:rsidRPr="00F15A10">
        <w:rPr>
          <w:rFonts w:ascii="Times New Roman" w:hAnsi="Times New Roman"/>
          <w:sz w:val="20"/>
          <w:szCs w:val="20"/>
        </w:rPr>
        <w:t xml:space="preserve">  Assay results for the determination of the AA in multivitamin tablets</w:t>
      </w:r>
    </w:p>
    <w:tbl>
      <w:tblPr>
        <w:tblStyle w:val="LightShading"/>
        <w:tblW w:w="7148" w:type="dxa"/>
        <w:jc w:val="center"/>
        <w:shd w:val="clear" w:color="auto" w:fill="FFFFFF" w:themeFill="background1"/>
        <w:tblLayout w:type="fixed"/>
        <w:tblLook w:val="04A0" w:firstRow="1" w:lastRow="0" w:firstColumn="1" w:lastColumn="0" w:noHBand="0" w:noVBand="1"/>
      </w:tblPr>
      <w:tblGrid>
        <w:gridCol w:w="90"/>
        <w:gridCol w:w="1270"/>
        <w:gridCol w:w="2251"/>
        <w:gridCol w:w="1710"/>
        <w:gridCol w:w="1827"/>
      </w:tblGrid>
      <w:tr w:rsidR="00F15A10" w:rsidRPr="00F15A10" w14:paraId="6F5AB403" w14:textId="77777777" w:rsidTr="00275F55">
        <w:trPr>
          <w:gridBefore w:val="1"/>
          <w:cnfStyle w:val="100000000000" w:firstRow="1" w:lastRow="0" w:firstColumn="0" w:lastColumn="0" w:oddVBand="0" w:evenVBand="0" w:oddHBand="0" w:evenHBand="0" w:firstRowFirstColumn="0" w:firstRowLastColumn="0" w:lastRowFirstColumn="0" w:lastRowLastColumn="0"/>
          <w:wBefore w:w="90" w:type="dxa"/>
          <w:jc w:val="center"/>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14:paraId="7BC825BB" w14:textId="75411684" w:rsidR="00F15A10" w:rsidRPr="00F15A10" w:rsidRDefault="00F15A10" w:rsidP="006F54BF">
            <w:pPr>
              <w:pBdr>
                <w:top w:val="nil"/>
                <w:left w:val="nil"/>
                <w:bottom w:val="nil"/>
                <w:right w:val="nil"/>
                <w:between w:val="nil"/>
              </w:pBdr>
              <w:spacing w:before="60" w:after="0"/>
              <w:ind w:hanging="720"/>
              <w:jc w:val="both"/>
              <w:rPr>
                <w:rFonts w:ascii="Times New Roman" w:hAnsi="Times New Roman" w:cs="Times New Roman"/>
                <w:bCs w:val="0"/>
                <w:color w:val="auto"/>
                <w:sz w:val="20"/>
                <w:szCs w:val="20"/>
              </w:rPr>
            </w:pPr>
            <w:r w:rsidRPr="00F15A10">
              <w:rPr>
                <w:rFonts w:ascii="Times New Roman" w:hAnsi="Times New Roman" w:cs="Times New Roman"/>
                <w:bCs w:val="0"/>
                <w:color w:val="auto"/>
                <w:sz w:val="20"/>
                <w:szCs w:val="20"/>
              </w:rPr>
              <w:t xml:space="preserve">             Sample</w:t>
            </w:r>
          </w:p>
        </w:tc>
        <w:tc>
          <w:tcPr>
            <w:tcW w:w="2251" w:type="dxa"/>
            <w:shd w:val="clear" w:color="auto" w:fill="FFFFFF" w:themeFill="background1"/>
          </w:tcPr>
          <w:p w14:paraId="485C782F" w14:textId="77777777" w:rsidR="00F15A10" w:rsidRPr="00F15A10" w:rsidRDefault="00F15A10" w:rsidP="006F54BF">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F15A10">
              <w:rPr>
                <w:rFonts w:ascii="Times New Roman" w:hAnsi="Times New Roman" w:cs="Times New Roman"/>
                <w:bCs w:val="0"/>
                <w:color w:val="auto"/>
                <w:sz w:val="20"/>
                <w:szCs w:val="20"/>
              </w:rPr>
              <w:t>Labelled Content (mg/tablet)</w:t>
            </w:r>
          </w:p>
        </w:tc>
        <w:tc>
          <w:tcPr>
            <w:tcW w:w="1710" w:type="dxa"/>
            <w:shd w:val="clear" w:color="auto" w:fill="FFFFFF" w:themeFill="background1"/>
          </w:tcPr>
          <w:p w14:paraId="1E7B89A7" w14:textId="77777777" w:rsidR="00F15A10" w:rsidRPr="00F15A10" w:rsidRDefault="00F15A10" w:rsidP="006F54BF">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F15A10">
              <w:rPr>
                <w:rFonts w:ascii="Times New Roman" w:hAnsi="Times New Roman" w:cs="Times New Roman"/>
                <w:bCs w:val="0"/>
                <w:color w:val="auto"/>
                <w:sz w:val="20"/>
                <w:szCs w:val="20"/>
              </w:rPr>
              <w:t>Actual Content (mg/tablet)</w:t>
            </w:r>
          </w:p>
        </w:tc>
        <w:tc>
          <w:tcPr>
            <w:tcW w:w="1827" w:type="dxa"/>
            <w:shd w:val="clear" w:color="auto" w:fill="FFFFFF" w:themeFill="background1"/>
          </w:tcPr>
          <w:p w14:paraId="045C98B3" w14:textId="77777777" w:rsidR="00F15A10" w:rsidRPr="00F15A10" w:rsidRDefault="00F15A10" w:rsidP="006F54BF">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F15A10">
              <w:rPr>
                <w:rFonts w:ascii="Times New Roman" w:hAnsi="Times New Roman" w:cs="Times New Roman"/>
                <w:bCs w:val="0"/>
                <w:color w:val="auto"/>
                <w:sz w:val="20"/>
                <w:szCs w:val="20"/>
              </w:rPr>
              <w:t>Recovery (%)</w:t>
            </w:r>
          </w:p>
        </w:tc>
      </w:tr>
      <w:tr w:rsidR="00F15A10" w:rsidRPr="00F15A10" w14:paraId="439F17EF" w14:textId="77777777" w:rsidTr="00275F55">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1360" w:type="dxa"/>
            <w:gridSpan w:val="2"/>
            <w:shd w:val="clear" w:color="auto" w:fill="FFFFFF" w:themeFill="background1"/>
          </w:tcPr>
          <w:p w14:paraId="05B8BEA5" w14:textId="77777777" w:rsidR="00F15A10" w:rsidRPr="00F15A10" w:rsidRDefault="00F15A10" w:rsidP="00430D46">
            <w:pPr>
              <w:pBdr>
                <w:top w:val="nil"/>
                <w:left w:val="nil"/>
                <w:bottom w:val="nil"/>
                <w:right w:val="nil"/>
                <w:between w:val="nil"/>
              </w:pBdr>
              <w:spacing w:after="0"/>
              <w:jc w:val="both"/>
              <w:rPr>
                <w:rFonts w:ascii="Times New Roman" w:hAnsi="Times New Roman" w:cs="Times New Roman"/>
                <w:b w:val="0"/>
                <w:color w:val="auto"/>
                <w:sz w:val="20"/>
                <w:szCs w:val="20"/>
              </w:rPr>
            </w:pPr>
            <w:r w:rsidRPr="00F15A10">
              <w:rPr>
                <w:rFonts w:ascii="Times New Roman" w:hAnsi="Times New Roman" w:cs="Times New Roman"/>
                <w:b w:val="0"/>
                <w:color w:val="auto"/>
                <w:sz w:val="20"/>
                <w:szCs w:val="20"/>
              </w:rPr>
              <w:t>A</w:t>
            </w:r>
          </w:p>
        </w:tc>
        <w:tc>
          <w:tcPr>
            <w:tcW w:w="2251" w:type="dxa"/>
            <w:shd w:val="clear" w:color="auto" w:fill="FFFFFF" w:themeFill="background1"/>
          </w:tcPr>
          <w:p w14:paraId="1B76749E" w14:textId="77777777" w:rsidR="00F15A10" w:rsidRPr="00F15A10" w:rsidRDefault="00F15A10" w:rsidP="00430D46">
            <w:pPr>
              <w:pBdr>
                <w:top w:val="nil"/>
                <w:left w:val="nil"/>
                <w:bottom w:val="nil"/>
                <w:right w:val="nil"/>
                <w:between w:val="nil"/>
              </w:pBd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F15A10">
              <w:rPr>
                <w:rFonts w:ascii="Times New Roman" w:hAnsi="Times New Roman" w:cs="Times New Roman"/>
                <w:bCs/>
                <w:color w:val="auto"/>
                <w:sz w:val="20"/>
                <w:szCs w:val="20"/>
              </w:rPr>
              <w:t>100</w:t>
            </w:r>
          </w:p>
        </w:tc>
        <w:tc>
          <w:tcPr>
            <w:tcW w:w="1710" w:type="dxa"/>
            <w:shd w:val="clear" w:color="auto" w:fill="FFFFFF" w:themeFill="background1"/>
          </w:tcPr>
          <w:p w14:paraId="2A649F7A" w14:textId="77777777" w:rsidR="00F15A10" w:rsidRPr="00F15A10" w:rsidRDefault="00F15A10" w:rsidP="006F54BF">
            <w:pPr>
              <w:pBdr>
                <w:top w:val="nil"/>
                <w:left w:val="nil"/>
                <w:bottom w:val="nil"/>
                <w:right w:val="nil"/>
                <w:between w:val="nil"/>
              </w:pBd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F15A10">
              <w:rPr>
                <w:rFonts w:ascii="Times New Roman" w:hAnsi="Times New Roman" w:cs="Times New Roman"/>
                <w:bCs/>
                <w:color w:val="auto"/>
                <w:sz w:val="20"/>
                <w:szCs w:val="20"/>
              </w:rPr>
              <w:t>98</w:t>
            </w:r>
          </w:p>
        </w:tc>
        <w:tc>
          <w:tcPr>
            <w:tcW w:w="1827" w:type="dxa"/>
            <w:shd w:val="clear" w:color="auto" w:fill="FFFFFF" w:themeFill="background1"/>
          </w:tcPr>
          <w:p w14:paraId="7146C922" w14:textId="77777777" w:rsidR="00F15A10" w:rsidRPr="00F15A10" w:rsidRDefault="00F15A10" w:rsidP="006F54BF">
            <w:pPr>
              <w:pBdr>
                <w:top w:val="nil"/>
                <w:left w:val="nil"/>
                <w:bottom w:val="nil"/>
                <w:right w:val="nil"/>
                <w:between w:val="nil"/>
              </w:pBd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F15A10">
              <w:rPr>
                <w:rFonts w:ascii="Times New Roman" w:hAnsi="Times New Roman" w:cs="Times New Roman"/>
                <w:bCs/>
                <w:color w:val="auto"/>
                <w:sz w:val="20"/>
                <w:szCs w:val="20"/>
              </w:rPr>
              <w:t>98</w:t>
            </w:r>
          </w:p>
        </w:tc>
      </w:tr>
      <w:tr w:rsidR="00F15A10" w:rsidRPr="00F15A10" w14:paraId="3FEFDF5B" w14:textId="77777777" w:rsidTr="00275F55">
        <w:trPr>
          <w:jc w:val="center"/>
        </w:trPr>
        <w:tc>
          <w:tcPr>
            <w:cnfStyle w:val="001000000000" w:firstRow="0" w:lastRow="0" w:firstColumn="1" w:lastColumn="0" w:oddVBand="0" w:evenVBand="0" w:oddHBand="0" w:evenHBand="0" w:firstRowFirstColumn="0" w:firstRowLastColumn="0" w:lastRowFirstColumn="0" w:lastRowLastColumn="0"/>
            <w:tcW w:w="1360" w:type="dxa"/>
            <w:gridSpan w:val="2"/>
            <w:shd w:val="clear" w:color="auto" w:fill="FFFFFF" w:themeFill="background1"/>
          </w:tcPr>
          <w:p w14:paraId="49660BF5" w14:textId="77777777" w:rsidR="00F15A10" w:rsidRPr="00F15A10" w:rsidRDefault="00F15A10" w:rsidP="00430D46">
            <w:pPr>
              <w:pBdr>
                <w:top w:val="nil"/>
                <w:left w:val="nil"/>
                <w:bottom w:val="nil"/>
                <w:right w:val="nil"/>
                <w:between w:val="nil"/>
              </w:pBdr>
              <w:spacing w:after="0"/>
              <w:jc w:val="both"/>
              <w:rPr>
                <w:rFonts w:ascii="Times New Roman" w:hAnsi="Times New Roman" w:cs="Times New Roman"/>
                <w:b w:val="0"/>
                <w:color w:val="auto"/>
                <w:sz w:val="20"/>
                <w:szCs w:val="20"/>
              </w:rPr>
            </w:pPr>
            <w:r w:rsidRPr="00F15A10">
              <w:rPr>
                <w:rFonts w:ascii="Times New Roman" w:hAnsi="Times New Roman" w:cs="Times New Roman"/>
                <w:b w:val="0"/>
                <w:color w:val="auto"/>
                <w:sz w:val="20"/>
                <w:szCs w:val="20"/>
              </w:rPr>
              <w:t>B</w:t>
            </w:r>
          </w:p>
        </w:tc>
        <w:tc>
          <w:tcPr>
            <w:tcW w:w="2251" w:type="dxa"/>
            <w:shd w:val="clear" w:color="auto" w:fill="FFFFFF" w:themeFill="background1"/>
          </w:tcPr>
          <w:p w14:paraId="6AE59190" w14:textId="77777777" w:rsidR="00F15A10" w:rsidRPr="00F15A10" w:rsidRDefault="00F15A10" w:rsidP="00430D46">
            <w:pPr>
              <w:pBdr>
                <w:top w:val="nil"/>
                <w:left w:val="nil"/>
                <w:bottom w:val="nil"/>
                <w:right w:val="nil"/>
                <w:between w:val="nil"/>
              </w:pBd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F15A10">
              <w:rPr>
                <w:rFonts w:ascii="Times New Roman" w:hAnsi="Times New Roman" w:cs="Times New Roman"/>
                <w:bCs/>
                <w:color w:val="auto"/>
                <w:sz w:val="20"/>
                <w:szCs w:val="20"/>
              </w:rPr>
              <w:t>150</w:t>
            </w:r>
          </w:p>
        </w:tc>
        <w:tc>
          <w:tcPr>
            <w:tcW w:w="1710" w:type="dxa"/>
            <w:shd w:val="clear" w:color="auto" w:fill="FFFFFF" w:themeFill="background1"/>
          </w:tcPr>
          <w:p w14:paraId="040E402C" w14:textId="77777777" w:rsidR="00F15A10" w:rsidRPr="00F15A10" w:rsidRDefault="00F15A10" w:rsidP="006F54BF">
            <w:pPr>
              <w:pBdr>
                <w:top w:val="nil"/>
                <w:left w:val="nil"/>
                <w:bottom w:val="nil"/>
                <w:right w:val="nil"/>
                <w:between w:val="nil"/>
              </w:pBd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F15A10">
              <w:rPr>
                <w:rFonts w:ascii="Times New Roman" w:hAnsi="Times New Roman" w:cs="Times New Roman"/>
                <w:bCs/>
                <w:color w:val="auto"/>
                <w:sz w:val="20"/>
                <w:szCs w:val="20"/>
              </w:rPr>
              <w:t>153</w:t>
            </w:r>
          </w:p>
        </w:tc>
        <w:tc>
          <w:tcPr>
            <w:tcW w:w="1827" w:type="dxa"/>
            <w:shd w:val="clear" w:color="auto" w:fill="FFFFFF" w:themeFill="background1"/>
          </w:tcPr>
          <w:p w14:paraId="31C07907" w14:textId="77777777" w:rsidR="00F15A10" w:rsidRPr="00F15A10" w:rsidRDefault="00F15A10" w:rsidP="006F54BF">
            <w:pPr>
              <w:pBdr>
                <w:top w:val="nil"/>
                <w:left w:val="nil"/>
                <w:bottom w:val="nil"/>
                <w:right w:val="nil"/>
                <w:between w:val="nil"/>
              </w:pBd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F15A10">
              <w:rPr>
                <w:rFonts w:ascii="Times New Roman" w:hAnsi="Times New Roman" w:cs="Times New Roman"/>
                <w:bCs/>
                <w:color w:val="auto"/>
                <w:sz w:val="20"/>
                <w:szCs w:val="20"/>
              </w:rPr>
              <w:t>102</w:t>
            </w:r>
          </w:p>
        </w:tc>
      </w:tr>
    </w:tbl>
    <w:p w14:paraId="7058696B" w14:textId="77777777" w:rsidR="00F15A10" w:rsidRPr="00F15A10" w:rsidRDefault="00F15A10" w:rsidP="00F15A10">
      <w:pPr>
        <w:spacing w:after="0"/>
        <w:jc w:val="both"/>
        <w:rPr>
          <w:rFonts w:ascii="Times New Roman" w:hAnsi="Times New Roman"/>
          <w:sz w:val="20"/>
          <w:szCs w:val="20"/>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24960562" w14:textId="77777777" w:rsidR="00A837BA" w:rsidRDefault="00A837BA" w:rsidP="00510BA6">
      <w:pPr>
        <w:spacing w:after="0"/>
        <w:jc w:val="center"/>
        <w:rPr>
          <w:rFonts w:ascii="Times New Roman" w:hAnsi="Times New Roman"/>
          <w:b/>
          <w:noProof/>
          <w:sz w:val="20"/>
          <w:szCs w:val="20"/>
          <w:lang w:bidi="ar-SA"/>
        </w:rPr>
        <w:sectPr w:rsidR="00A837BA" w:rsidSect="00F067FE">
          <w:type w:val="continuous"/>
          <w:pgSz w:w="12240" w:h="15840" w:code="1"/>
          <w:pgMar w:top="1800" w:right="1469" w:bottom="1699" w:left="1440" w:header="706" w:footer="706" w:gutter="0"/>
          <w:pgNumType w:start="0"/>
          <w:cols w:space="708"/>
          <w:docGrid w:linePitch="360"/>
        </w:sectPr>
      </w:pPr>
    </w:p>
    <w:p w14:paraId="183D362C" w14:textId="17D013D8"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17CD821A" w14:textId="77777777" w:rsidR="00F63E01" w:rsidRPr="003D1148" w:rsidRDefault="00F63E01" w:rsidP="00F63E01">
      <w:pPr>
        <w:pBdr>
          <w:top w:val="nil"/>
          <w:left w:val="nil"/>
          <w:bottom w:val="nil"/>
          <w:right w:val="nil"/>
          <w:between w:val="nil"/>
        </w:pBdr>
        <w:spacing w:after="0"/>
        <w:jc w:val="both"/>
        <w:rPr>
          <w:rFonts w:ascii="Times New Roman" w:hAnsi="Times New Roman"/>
          <w:sz w:val="20"/>
          <w:szCs w:val="20"/>
        </w:rPr>
      </w:pPr>
      <w:r w:rsidRPr="003D1148">
        <w:rPr>
          <w:rFonts w:ascii="Times New Roman" w:hAnsi="Times New Roman"/>
          <w:sz w:val="20"/>
          <w:szCs w:val="20"/>
        </w:rPr>
        <w:t>The proposed DPASV technique had been successfully applied to determine the AA in multivitamin tablets. The present method had an advantage that a very simple sample pre-treatment was required. It was also found to be practically rapid, convenient, sensitive, accurate, precise, rugged and low in cost. Therefore, it could be an excellent alternative method for the routine determination of AA in the multivitamin tablets.</w:t>
      </w:r>
    </w:p>
    <w:p w14:paraId="63ACC625" w14:textId="77777777" w:rsidR="006768E9" w:rsidRPr="00510BA6" w:rsidRDefault="006768E9" w:rsidP="00F63E01">
      <w:pPr>
        <w:spacing w:after="0"/>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1B451CA1"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Eggersdorfer, M., Laudert, D., Letinos, U., McClymont, T., Medlock, J., Netscher, T. and Bonranth, W. (2012). One hundred years of vitamins-A success story of the natural science. </w:t>
      </w:r>
      <w:r w:rsidRPr="00F63E01">
        <w:rPr>
          <w:rFonts w:ascii="Times New Roman" w:hAnsi="Times New Roman"/>
          <w:i/>
          <w:iCs/>
          <w:sz w:val="20"/>
          <w:szCs w:val="20"/>
          <w:lang w:eastAsia="en-GB"/>
        </w:rPr>
        <w:t>Angewandte Chemie</w:t>
      </w:r>
      <w:r w:rsidRPr="00F63E01">
        <w:rPr>
          <w:rFonts w:ascii="Times New Roman" w:hAnsi="Times New Roman"/>
          <w:sz w:val="20"/>
          <w:szCs w:val="20"/>
          <w:lang w:eastAsia="en-GB"/>
        </w:rPr>
        <w:t>, 51: 12960-12990.</w:t>
      </w:r>
    </w:p>
    <w:p w14:paraId="456811CC"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Zhang, Y., Zhou, W., Yan, J., Liu, M., Zhou, Y., Shen, X., Ma, Y., Feng, X., Yang, J. and Li, G. (2018). A review of the extraction and determination methods of thirteen essential vitamins to the human body: An update from 2010. </w:t>
      </w:r>
      <w:r w:rsidRPr="00F63E01">
        <w:rPr>
          <w:rFonts w:ascii="Times New Roman" w:hAnsi="Times New Roman"/>
          <w:i/>
          <w:iCs/>
          <w:sz w:val="20"/>
          <w:szCs w:val="20"/>
          <w:lang w:eastAsia="en-GB"/>
        </w:rPr>
        <w:t>Molecules</w:t>
      </w:r>
      <w:r w:rsidRPr="00F63E01">
        <w:rPr>
          <w:rFonts w:ascii="Times New Roman" w:hAnsi="Times New Roman"/>
          <w:sz w:val="20"/>
          <w:szCs w:val="20"/>
          <w:lang w:eastAsia="en-GB"/>
        </w:rPr>
        <w:t>, 23: 1-25.</w:t>
      </w:r>
    </w:p>
    <w:p w14:paraId="447F999F"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Masoud, R.S., and Zahra, A. (2014). A highly sensitive kinetic spectrophotometric method for the </w:t>
      </w:r>
      <w:r w:rsidRPr="00F63E01">
        <w:rPr>
          <w:rFonts w:ascii="Times New Roman" w:hAnsi="Times New Roman"/>
          <w:sz w:val="20"/>
          <w:szCs w:val="20"/>
          <w:lang w:eastAsia="en-GB"/>
        </w:rPr>
        <w:t xml:space="preserve">determination of ascorbic acid in pharmaceutical samples. </w:t>
      </w:r>
      <w:r w:rsidRPr="00F63E01">
        <w:rPr>
          <w:rFonts w:ascii="Times New Roman" w:hAnsi="Times New Roman"/>
          <w:i/>
          <w:iCs/>
          <w:sz w:val="20"/>
          <w:szCs w:val="20"/>
          <w:lang w:eastAsia="en-GB"/>
        </w:rPr>
        <w:t>Iranian Journal of Pharmaceutical Research</w:t>
      </w:r>
      <w:r w:rsidRPr="00F63E01">
        <w:rPr>
          <w:rFonts w:ascii="Times New Roman" w:hAnsi="Times New Roman"/>
          <w:sz w:val="20"/>
          <w:szCs w:val="20"/>
          <w:lang w:eastAsia="en-GB"/>
        </w:rPr>
        <w:t>, 13(2): 372-382.</w:t>
      </w:r>
    </w:p>
    <w:p w14:paraId="6E3552C8"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Packer, L., and Fuchs, J. (1997). Vitamin C in health and disease. CRC Press: pp. 1-525. </w:t>
      </w:r>
    </w:p>
    <w:p w14:paraId="0EB5C3B0"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Yilmaz, S., Sadikoglu, M., Saglikoglu, G., Yagmur, S. and Askin, G. (2008). Determination of ascorbic acid in tablet dosage forms and some fruit juices by DPV. </w:t>
      </w:r>
      <w:r w:rsidRPr="00F63E01">
        <w:rPr>
          <w:rFonts w:ascii="Times New Roman" w:hAnsi="Times New Roman"/>
          <w:i/>
          <w:iCs/>
          <w:sz w:val="20"/>
          <w:szCs w:val="20"/>
          <w:lang w:eastAsia="en-GB"/>
        </w:rPr>
        <w:t>International Journal of Electrochemical Science</w:t>
      </w:r>
      <w:r w:rsidRPr="00F63E01">
        <w:rPr>
          <w:rFonts w:ascii="Times New Roman" w:hAnsi="Times New Roman"/>
          <w:sz w:val="20"/>
          <w:szCs w:val="20"/>
          <w:lang w:eastAsia="en-GB"/>
        </w:rPr>
        <w:t>. 3: 1534-1542.</w:t>
      </w:r>
    </w:p>
    <w:p w14:paraId="6E20E252"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Sona, S., Jiri, M., Jiri, S., Mojmir, B., Jindrich, K. and Tunde, J. (2015). Determination of ascorbic acid by electrochemical techniques and other methods. </w:t>
      </w:r>
      <w:r w:rsidRPr="00F63E01">
        <w:rPr>
          <w:rFonts w:ascii="Times New Roman" w:hAnsi="Times New Roman"/>
          <w:i/>
          <w:iCs/>
          <w:sz w:val="20"/>
          <w:szCs w:val="20"/>
          <w:lang w:eastAsia="en-GB"/>
        </w:rPr>
        <w:t>International Journal of Electrochemical Science</w:t>
      </w:r>
      <w:r w:rsidRPr="00F63E01">
        <w:rPr>
          <w:rFonts w:ascii="Times New Roman" w:hAnsi="Times New Roman"/>
          <w:sz w:val="20"/>
          <w:szCs w:val="20"/>
          <w:lang w:eastAsia="en-GB"/>
        </w:rPr>
        <w:t>, 10: 2421-2431.</w:t>
      </w:r>
    </w:p>
    <w:p w14:paraId="7E974425"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Pisoschi, A. M., Pop, A., Negulescu, G. P., and Pisoschi, A. (2011). Determination of ascorbic acid content of some fruit juices and wine by voltammetry performed at Pt and carbon paste electrodes. </w:t>
      </w:r>
      <w:r w:rsidRPr="00F63E01">
        <w:rPr>
          <w:rFonts w:ascii="Times New Roman" w:hAnsi="Times New Roman"/>
          <w:i/>
          <w:iCs/>
          <w:sz w:val="20"/>
          <w:szCs w:val="20"/>
          <w:lang w:eastAsia="en-GB"/>
        </w:rPr>
        <w:t>Molecules</w:t>
      </w:r>
      <w:r w:rsidRPr="00F63E01">
        <w:rPr>
          <w:rFonts w:ascii="Times New Roman" w:hAnsi="Times New Roman"/>
          <w:sz w:val="20"/>
          <w:szCs w:val="20"/>
          <w:lang w:eastAsia="en-GB"/>
        </w:rPr>
        <w:t>, 16: 1349-1365.</w:t>
      </w:r>
    </w:p>
    <w:p w14:paraId="0C1E3010"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Sadia, G., Azizuddin., Rafi, A., Kousar, Y., Fareed, A. and Iftekhar, S. (2014). Determination of ascorbic acid content of some capsicum cultivars by cyclic voltammetry performed at GCE by external </w:t>
      </w:r>
      <w:r w:rsidRPr="00F63E01">
        <w:rPr>
          <w:rFonts w:ascii="Times New Roman" w:hAnsi="Times New Roman"/>
          <w:sz w:val="20"/>
          <w:szCs w:val="20"/>
          <w:lang w:eastAsia="en-GB"/>
        </w:rPr>
        <w:lastRenderedPageBreak/>
        <w:t xml:space="preserve">standard series calibration method. </w:t>
      </w:r>
      <w:r w:rsidRPr="00F63E01">
        <w:rPr>
          <w:rFonts w:ascii="Times New Roman" w:hAnsi="Times New Roman"/>
          <w:i/>
          <w:iCs/>
          <w:sz w:val="20"/>
          <w:szCs w:val="20"/>
          <w:lang w:eastAsia="en-GB"/>
        </w:rPr>
        <w:t>International Journal of Electrochemical Science</w:t>
      </w:r>
      <w:r w:rsidRPr="00F63E01">
        <w:rPr>
          <w:rFonts w:ascii="Times New Roman" w:hAnsi="Times New Roman"/>
          <w:sz w:val="20"/>
          <w:szCs w:val="20"/>
          <w:lang w:eastAsia="en-GB"/>
        </w:rPr>
        <w:t>, 9: 5751-5762.</w:t>
      </w:r>
    </w:p>
    <w:p w14:paraId="7D268996"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Snezana, S. M., Danijela, A. K., Danijela, C. N. D., and Milan, N. M. (2011). Rapid and reliable HPLC method for the determination of vitamin C in pharmaceutical samples. </w:t>
      </w:r>
      <w:r w:rsidRPr="00F63E01">
        <w:rPr>
          <w:rFonts w:ascii="Times New Roman" w:hAnsi="Times New Roman"/>
          <w:i/>
          <w:iCs/>
          <w:sz w:val="20"/>
          <w:szCs w:val="20"/>
          <w:lang w:eastAsia="en-GB"/>
        </w:rPr>
        <w:t>Tropical Journal of Pharmaceutical Research</w:t>
      </w:r>
      <w:r w:rsidRPr="00F63E01">
        <w:rPr>
          <w:rFonts w:ascii="Times New Roman" w:hAnsi="Times New Roman"/>
          <w:sz w:val="20"/>
          <w:szCs w:val="20"/>
          <w:lang w:eastAsia="en-GB"/>
        </w:rPr>
        <w:t>, 10(1): 105-111.</w:t>
      </w:r>
    </w:p>
    <w:p w14:paraId="4A792D09"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Rahman, M. M., Khan, M. M. R., and Hosain, M. M. (2007). Analysis of vitamin c (ascorbic acid) contents in various fruits and vegetables by UV-spectrophotometry. </w:t>
      </w:r>
      <w:hyperlink r:id="rId36" w:tgtFrame="_blank" w:history="1">
        <w:r w:rsidRPr="00F63E01">
          <w:rPr>
            <w:rFonts w:ascii="Times New Roman" w:hAnsi="Times New Roman"/>
            <w:i/>
            <w:iCs/>
            <w:sz w:val="20"/>
            <w:szCs w:val="20"/>
            <w:lang w:eastAsia="en-GB"/>
          </w:rPr>
          <w:t>Bangladesh Journal of Scientific and Industrial Research</w:t>
        </w:r>
      </w:hyperlink>
      <w:r w:rsidRPr="00F63E01">
        <w:rPr>
          <w:rFonts w:ascii="Times New Roman" w:hAnsi="Times New Roman"/>
          <w:i/>
          <w:iCs/>
          <w:sz w:val="20"/>
          <w:szCs w:val="20"/>
          <w:lang w:eastAsia="en-GB"/>
        </w:rPr>
        <w:t>,</w:t>
      </w:r>
      <w:r w:rsidRPr="00F63E01">
        <w:rPr>
          <w:rFonts w:ascii="Times New Roman" w:hAnsi="Times New Roman"/>
          <w:sz w:val="20"/>
          <w:szCs w:val="20"/>
          <w:lang w:eastAsia="en-GB"/>
        </w:rPr>
        <w:t xml:space="preserve"> 42: 417-424.</w:t>
      </w:r>
    </w:p>
    <w:p w14:paraId="25C1A1B1"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Gazdik, Z., Zitka, O., Petrlova, J., Adam, V., Zehnalek, J., Horna, A., Reznicek, V., Beklova, M. and Kizek, R. (2008). Determination of vitamin C (ascorbic acid) using high performance liquid chromatography coupled with electrochemical detection. </w:t>
      </w:r>
      <w:r w:rsidRPr="00F63E01">
        <w:rPr>
          <w:rFonts w:ascii="Times New Roman" w:hAnsi="Times New Roman"/>
          <w:i/>
          <w:iCs/>
          <w:sz w:val="20"/>
          <w:szCs w:val="20"/>
          <w:lang w:eastAsia="en-GB"/>
        </w:rPr>
        <w:t xml:space="preserve">Sensors, </w:t>
      </w:r>
      <w:r w:rsidRPr="00F63E01">
        <w:rPr>
          <w:rFonts w:ascii="Times New Roman" w:hAnsi="Times New Roman"/>
          <w:sz w:val="20"/>
          <w:szCs w:val="20"/>
          <w:lang w:eastAsia="en-GB"/>
        </w:rPr>
        <w:t>8: 7097-7112.</w:t>
      </w:r>
    </w:p>
    <w:p w14:paraId="1064BA9A"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Papuc, C., Pop, A., Serban, M. (2001). Metode analitice in biochimia veterinara. editura printech (Bucharest) 2001: pp. 167-169.</w:t>
      </w:r>
    </w:p>
    <w:p w14:paraId="03575B60"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Matei, N., Magearu, V., Bieghila, S., Dobrinas, S. (2004). The determination of vitamin C from sweet cherries and cherries. </w:t>
      </w:r>
      <w:r w:rsidRPr="00F63E01">
        <w:rPr>
          <w:rFonts w:ascii="Times New Roman" w:hAnsi="Times New Roman"/>
          <w:i/>
          <w:iCs/>
          <w:sz w:val="20"/>
          <w:szCs w:val="20"/>
          <w:lang w:eastAsia="en-GB"/>
        </w:rPr>
        <w:t>Revista de Chimie (Bucharest)</w:t>
      </w:r>
      <w:r w:rsidRPr="00F63E01">
        <w:rPr>
          <w:rFonts w:ascii="Times New Roman" w:hAnsi="Times New Roman"/>
          <w:sz w:val="20"/>
          <w:szCs w:val="20"/>
          <w:lang w:eastAsia="en-GB"/>
        </w:rPr>
        <w:t>, 55: 294-296.</w:t>
      </w:r>
    </w:p>
    <w:p w14:paraId="4959128B"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Santos, J., Mendiola, J. A., Oliveira, M. B., Ibáñez, E. and Herrero, M. (2012). Sequential determination of fat-and water-soluble vitamins in green leafy vegetables during storage. </w:t>
      </w:r>
      <w:r w:rsidRPr="00F63E01">
        <w:rPr>
          <w:rFonts w:ascii="Times New Roman" w:hAnsi="Times New Roman"/>
          <w:i/>
          <w:iCs/>
          <w:sz w:val="20"/>
          <w:szCs w:val="20"/>
          <w:lang w:eastAsia="en-GB"/>
        </w:rPr>
        <w:t>Journal of Chromatography A</w:t>
      </w:r>
      <w:r w:rsidRPr="00F63E01">
        <w:rPr>
          <w:rFonts w:ascii="Times New Roman" w:hAnsi="Times New Roman"/>
          <w:sz w:val="20"/>
          <w:szCs w:val="20"/>
          <w:lang w:eastAsia="en-GB"/>
        </w:rPr>
        <w:t>, 1261: 179-188.</w:t>
      </w:r>
    </w:p>
    <w:p w14:paraId="79293FD3"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Klimczak, I. and Gliszczy´nska-Swigło, A. (2015). Comparison of UPLC and HPLC methods for determination of vitamin C. </w:t>
      </w:r>
      <w:r w:rsidRPr="00F63E01">
        <w:rPr>
          <w:rFonts w:ascii="Times New Roman" w:hAnsi="Times New Roman"/>
          <w:i/>
          <w:iCs/>
          <w:sz w:val="20"/>
          <w:szCs w:val="20"/>
          <w:lang w:eastAsia="en-GB"/>
        </w:rPr>
        <w:t>Food Chemistry</w:t>
      </w:r>
      <w:r w:rsidRPr="00F63E01">
        <w:rPr>
          <w:rFonts w:ascii="Times New Roman" w:hAnsi="Times New Roman"/>
          <w:sz w:val="20"/>
          <w:szCs w:val="20"/>
          <w:lang w:eastAsia="en-GB"/>
        </w:rPr>
        <w:t>. 175: 100-105.</w:t>
      </w:r>
    </w:p>
    <w:p w14:paraId="3E827FFB"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Mohamed, A. M. I., Mohamed, H. A., Abdel-Latif, N. M. and Mohamed, M. R. A. (2011). Spectrofluorimetric determination of some water-soluble vitamins. </w:t>
      </w:r>
      <w:r w:rsidRPr="00F63E01">
        <w:rPr>
          <w:rFonts w:ascii="Times New Roman" w:hAnsi="Times New Roman"/>
          <w:i/>
          <w:iCs/>
          <w:sz w:val="20"/>
          <w:szCs w:val="20"/>
          <w:lang w:eastAsia="en-GB"/>
        </w:rPr>
        <w:t>Journal of AOAC International</w:t>
      </w:r>
      <w:r w:rsidRPr="00F63E01">
        <w:rPr>
          <w:rFonts w:ascii="Times New Roman" w:hAnsi="Times New Roman"/>
          <w:sz w:val="20"/>
          <w:szCs w:val="20"/>
          <w:lang w:eastAsia="en-GB"/>
        </w:rPr>
        <w:t>, 94: 1758-1769.</w:t>
      </w:r>
    </w:p>
    <w:p w14:paraId="2F74A39D"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Mohamed, A. M., Mohamed, H. A., Mohamed, N. A. and El-Zahery, M. R. (2011). Chemometric methods for the simultaneous determination of some water-soluble vitamins. </w:t>
      </w:r>
      <w:r w:rsidRPr="00F63E01">
        <w:rPr>
          <w:rFonts w:ascii="Times New Roman" w:hAnsi="Times New Roman"/>
          <w:i/>
          <w:iCs/>
          <w:sz w:val="20"/>
          <w:szCs w:val="20"/>
          <w:lang w:eastAsia="en-GB"/>
        </w:rPr>
        <w:t>Journal of AOAC International</w:t>
      </w:r>
      <w:r w:rsidRPr="00F63E01">
        <w:rPr>
          <w:rFonts w:ascii="Times New Roman" w:hAnsi="Times New Roman"/>
          <w:sz w:val="20"/>
          <w:szCs w:val="20"/>
          <w:lang w:eastAsia="en-GB"/>
        </w:rPr>
        <w:t>. 94: 467-481.</w:t>
      </w:r>
    </w:p>
    <w:p w14:paraId="28B5994D"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Da Silva, D. C, Visentainer, J. V., de Souza, N. E., and Oliveira, C. C. (2013). Micellar electrokinetic </w:t>
      </w:r>
      <w:r w:rsidRPr="00F63E01">
        <w:rPr>
          <w:rFonts w:ascii="Times New Roman" w:hAnsi="Times New Roman"/>
          <w:sz w:val="20"/>
          <w:szCs w:val="20"/>
          <w:lang w:eastAsia="en-GB"/>
        </w:rPr>
        <w:t xml:space="preserve">chromatography method for determination of the ten water-soluble vitamins in food supplements. </w:t>
      </w:r>
      <w:r w:rsidRPr="00F63E01">
        <w:rPr>
          <w:rFonts w:ascii="Times New Roman" w:hAnsi="Times New Roman"/>
          <w:i/>
          <w:iCs/>
          <w:sz w:val="20"/>
          <w:szCs w:val="20"/>
          <w:lang w:eastAsia="en-GB"/>
        </w:rPr>
        <w:t>Food Analytical Methods</w:t>
      </w:r>
      <w:r w:rsidRPr="00F63E01">
        <w:rPr>
          <w:rFonts w:ascii="Times New Roman" w:hAnsi="Times New Roman"/>
          <w:sz w:val="20"/>
          <w:szCs w:val="20"/>
          <w:lang w:eastAsia="en-GB"/>
        </w:rPr>
        <w:t>, 6: 1592-1606.</w:t>
      </w:r>
    </w:p>
    <w:p w14:paraId="59C6DB97"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Aurora-Prado, M. S., Silva, C. A., Tavares, M. F. M., and Altria, K. D. (2010). Rapid determination of water-soluble and fat-soluble vitamins in commercial formulations by MEEKC. </w:t>
      </w:r>
      <w:r w:rsidRPr="00F63E01">
        <w:rPr>
          <w:rFonts w:ascii="Times New Roman" w:hAnsi="Times New Roman"/>
          <w:i/>
          <w:iCs/>
          <w:sz w:val="20"/>
          <w:szCs w:val="20"/>
          <w:lang w:eastAsia="en-GB"/>
        </w:rPr>
        <w:t>Chromatographia</w:t>
      </w:r>
      <w:r w:rsidRPr="00F63E01">
        <w:rPr>
          <w:rFonts w:ascii="Times New Roman" w:hAnsi="Times New Roman"/>
          <w:sz w:val="20"/>
          <w:szCs w:val="20"/>
          <w:lang w:eastAsia="en-GB"/>
        </w:rPr>
        <w:t>. 72: 687–694.</w:t>
      </w:r>
    </w:p>
    <w:p w14:paraId="3CE307AC"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Borowski, J., Szajdek, A., Borowska, E. J., Ciska, E., and Zielinski, H. (2008). Content of selected bioactive components and antioxidant properties of broccoli (</w:t>
      </w:r>
      <w:r w:rsidRPr="00F63E01">
        <w:rPr>
          <w:rFonts w:ascii="Times New Roman" w:hAnsi="Times New Roman"/>
          <w:i/>
          <w:iCs/>
          <w:sz w:val="20"/>
          <w:szCs w:val="20"/>
          <w:lang w:eastAsia="en-GB"/>
        </w:rPr>
        <w:t>Brassica oleracea</w:t>
      </w:r>
      <w:r w:rsidRPr="00F63E01">
        <w:rPr>
          <w:rFonts w:ascii="Times New Roman" w:hAnsi="Times New Roman"/>
          <w:sz w:val="20"/>
          <w:szCs w:val="20"/>
          <w:lang w:eastAsia="en-GB"/>
        </w:rPr>
        <w:t xml:space="preserve"> L.). </w:t>
      </w:r>
      <w:r w:rsidRPr="00F63E01">
        <w:rPr>
          <w:rFonts w:ascii="Times New Roman" w:hAnsi="Times New Roman"/>
          <w:i/>
          <w:iCs/>
          <w:sz w:val="20"/>
          <w:szCs w:val="20"/>
          <w:lang w:eastAsia="en-GB"/>
        </w:rPr>
        <w:t>European Food Research and Technology</w:t>
      </w:r>
      <w:r w:rsidRPr="00F63E01">
        <w:rPr>
          <w:rFonts w:ascii="Times New Roman" w:hAnsi="Times New Roman"/>
          <w:sz w:val="20"/>
          <w:szCs w:val="20"/>
          <w:lang w:eastAsia="en-GB"/>
        </w:rPr>
        <w:t>. 226: 459-465.</w:t>
      </w:r>
    </w:p>
    <w:p w14:paraId="6CAA26D3"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Radulescu, M. C., Bucur, B., Bucur, M. P. and Radu, G. L. (2014). Bienzymatic Biosensor for rapid detection of aspartame by flow injection analysis. </w:t>
      </w:r>
      <w:r w:rsidRPr="00F63E01">
        <w:rPr>
          <w:rFonts w:ascii="Times New Roman" w:hAnsi="Times New Roman"/>
          <w:i/>
          <w:sz w:val="20"/>
          <w:szCs w:val="20"/>
          <w:lang w:eastAsia="en-GB"/>
        </w:rPr>
        <w:t>Sensors,</w:t>
      </w:r>
      <w:r w:rsidRPr="00F63E01">
        <w:rPr>
          <w:rFonts w:ascii="Times New Roman" w:hAnsi="Times New Roman"/>
          <w:i/>
          <w:iCs/>
          <w:sz w:val="20"/>
          <w:szCs w:val="20"/>
          <w:lang w:eastAsia="en-GB"/>
        </w:rPr>
        <w:t xml:space="preserve"> </w:t>
      </w:r>
      <w:r w:rsidRPr="00F63E01">
        <w:rPr>
          <w:rFonts w:ascii="Times New Roman" w:hAnsi="Times New Roman"/>
          <w:sz w:val="20"/>
          <w:szCs w:val="20"/>
          <w:lang w:eastAsia="en-GB"/>
        </w:rPr>
        <w:t>14: 1028-1038.</w:t>
      </w:r>
    </w:p>
    <w:p w14:paraId="56A06895"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Amorello, D. and Orecchio, S. (2013). Micro-determination of dithiocarbamates in pesticide formulations using voltammetry. </w:t>
      </w:r>
      <w:r w:rsidRPr="00F63E01">
        <w:rPr>
          <w:rFonts w:ascii="Times New Roman" w:hAnsi="Times New Roman"/>
          <w:i/>
          <w:sz w:val="20"/>
          <w:szCs w:val="20"/>
          <w:lang w:eastAsia="en-GB"/>
        </w:rPr>
        <w:t>Microchemical Journal</w:t>
      </w:r>
      <w:r w:rsidRPr="00F63E01">
        <w:rPr>
          <w:rFonts w:ascii="Times New Roman" w:hAnsi="Times New Roman"/>
          <w:iCs/>
          <w:sz w:val="20"/>
          <w:szCs w:val="20"/>
          <w:lang w:eastAsia="en-GB"/>
        </w:rPr>
        <w:t xml:space="preserve">, </w:t>
      </w:r>
      <w:r w:rsidRPr="00F63E01">
        <w:rPr>
          <w:rFonts w:ascii="Times New Roman" w:hAnsi="Times New Roman"/>
          <w:bCs/>
          <w:sz w:val="20"/>
          <w:szCs w:val="20"/>
          <w:lang w:eastAsia="en-GB"/>
        </w:rPr>
        <w:t>110</w:t>
      </w:r>
      <w:r w:rsidRPr="00F63E01">
        <w:rPr>
          <w:rFonts w:ascii="Times New Roman" w:hAnsi="Times New Roman"/>
          <w:sz w:val="20"/>
          <w:szCs w:val="20"/>
          <w:lang w:eastAsia="en-GB"/>
        </w:rPr>
        <w:t>: 334-339.</w:t>
      </w:r>
    </w:p>
    <w:p w14:paraId="62D906C0"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Zhao, X., Tao, X., Wei, D. and Song, Q. (2006). Pharmacological activity and hydrolysis behaviour of novel ibuprofen glucopyranoside conjugates. </w:t>
      </w:r>
      <w:r w:rsidRPr="00F63E01">
        <w:rPr>
          <w:rFonts w:ascii="Times New Roman" w:hAnsi="Times New Roman"/>
          <w:i/>
          <w:iCs/>
          <w:sz w:val="20"/>
          <w:szCs w:val="20"/>
          <w:lang w:eastAsia="en-GB"/>
        </w:rPr>
        <w:t>European Journal of Medicinal Chemistry</w:t>
      </w:r>
      <w:r w:rsidRPr="00F63E01">
        <w:rPr>
          <w:rFonts w:ascii="Times New Roman" w:hAnsi="Times New Roman"/>
          <w:sz w:val="20"/>
          <w:szCs w:val="20"/>
          <w:lang w:eastAsia="en-GB"/>
        </w:rPr>
        <w:t>, 41: 1352-1358.</w:t>
      </w:r>
    </w:p>
    <w:p w14:paraId="3AE4DFCC"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Nezamzadeh, A., Amini, M. K. and Faghihian, H. (2007). Square-wave voltammetric determination of ascorbic acid base on its electrocatalytic oxidation at zeolite-modified carbon-paste electrodes. </w:t>
      </w:r>
      <w:r w:rsidRPr="00F63E01">
        <w:rPr>
          <w:rFonts w:ascii="Times New Roman" w:hAnsi="Times New Roman"/>
          <w:i/>
          <w:iCs/>
          <w:sz w:val="20"/>
          <w:szCs w:val="20"/>
          <w:lang w:eastAsia="en-GB"/>
        </w:rPr>
        <w:t>International Journal of Electrochemical Science</w:t>
      </w:r>
      <w:r w:rsidRPr="00F63E01">
        <w:rPr>
          <w:rFonts w:ascii="Times New Roman" w:hAnsi="Times New Roman"/>
          <w:sz w:val="20"/>
          <w:szCs w:val="20"/>
          <w:lang w:eastAsia="en-GB"/>
        </w:rPr>
        <w:t>. 2: 583-594.</w:t>
      </w:r>
    </w:p>
    <w:p w14:paraId="796A6C19"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Raoof, J. B., Ojani R. and Beitollahi, H. (2007). Electrocatalytic determination of ascorbic acid at chemically modified carbon paste electrode with 2, 7-bis (ferrocenyl ethynyl) fluoren-9-one</w:t>
      </w:r>
      <w:r w:rsidRPr="00F63E01">
        <w:rPr>
          <w:rFonts w:ascii="Times New Roman" w:hAnsi="Times New Roman"/>
          <w:i/>
          <w:iCs/>
          <w:sz w:val="20"/>
          <w:szCs w:val="20"/>
          <w:lang w:eastAsia="en-GB"/>
        </w:rPr>
        <w:t>. International Journal of Electrochemical Science</w:t>
      </w:r>
      <w:r w:rsidRPr="00F63E01">
        <w:rPr>
          <w:rFonts w:ascii="Times New Roman" w:hAnsi="Times New Roman"/>
          <w:sz w:val="20"/>
          <w:szCs w:val="20"/>
          <w:lang w:eastAsia="en-GB"/>
        </w:rPr>
        <w:t>, 2: 534-548.</w:t>
      </w:r>
    </w:p>
    <w:p w14:paraId="02C1F6DE" w14:textId="15EB9185"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Beitollahi, H., Ardakani, M. M., Naeimi H. and Ganjipour, B. (2009). Electrochemical characterization of 2,2’–[1,2-ethanediylbis</w:t>
      </w:r>
      <w:r w:rsidR="00A837BA">
        <w:rPr>
          <w:rFonts w:ascii="Times New Roman" w:hAnsi="Times New Roman"/>
          <w:sz w:val="20"/>
          <w:szCs w:val="20"/>
          <w:lang w:eastAsia="en-GB"/>
        </w:rPr>
        <w:t xml:space="preserve"> </w:t>
      </w:r>
      <w:r w:rsidRPr="00F63E01">
        <w:rPr>
          <w:rFonts w:ascii="Times New Roman" w:hAnsi="Times New Roman"/>
          <w:sz w:val="20"/>
          <w:szCs w:val="20"/>
          <w:lang w:eastAsia="en-GB"/>
        </w:rPr>
        <w:t>(nitrilo</w:t>
      </w:r>
      <w:r w:rsidR="00A837BA">
        <w:rPr>
          <w:rFonts w:ascii="Times New Roman" w:hAnsi="Times New Roman"/>
          <w:sz w:val="20"/>
          <w:szCs w:val="20"/>
          <w:lang w:eastAsia="en-GB"/>
        </w:rPr>
        <w:t xml:space="preserve"> </w:t>
      </w:r>
      <w:r w:rsidRPr="00F63E01">
        <w:rPr>
          <w:rFonts w:ascii="Times New Roman" w:hAnsi="Times New Roman"/>
          <w:sz w:val="20"/>
          <w:szCs w:val="20"/>
          <w:lang w:eastAsia="en-GB"/>
        </w:rPr>
        <w:t>ethylidine)]-bis-hydroquinone-carbon</w:t>
      </w:r>
      <w:r w:rsidR="00A837BA">
        <w:rPr>
          <w:rFonts w:ascii="Times New Roman" w:hAnsi="Times New Roman"/>
          <w:sz w:val="20"/>
          <w:szCs w:val="20"/>
          <w:lang w:eastAsia="en-GB"/>
        </w:rPr>
        <w:t xml:space="preserve"> </w:t>
      </w:r>
      <w:r w:rsidRPr="00F63E01">
        <w:rPr>
          <w:rFonts w:ascii="Times New Roman" w:hAnsi="Times New Roman"/>
          <w:sz w:val="20"/>
          <w:szCs w:val="20"/>
          <w:lang w:eastAsia="en-GB"/>
        </w:rPr>
        <w:t xml:space="preserve">nanotube paste electrode and its application to simultaneous voltammetric determination of ascorbic and uric acid. </w:t>
      </w:r>
      <w:r w:rsidRPr="00F63E01">
        <w:rPr>
          <w:rFonts w:ascii="Times New Roman" w:hAnsi="Times New Roman"/>
          <w:i/>
          <w:iCs/>
          <w:sz w:val="20"/>
          <w:szCs w:val="20"/>
          <w:lang w:eastAsia="en-GB"/>
        </w:rPr>
        <w:t>Journal of Solid State Electrochemistry</w:t>
      </w:r>
      <w:r w:rsidRPr="00F63E01">
        <w:rPr>
          <w:rFonts w:ascii="Times New Roman" w:hAnsi="Times New Roman"/>
          <w:sz w:val="20"/>
          <w:szCs w:val="20"/>
          <w:lang w:eastAsia="en-GB"/>
        </w:rPr>
        <w:t xml:space="preserve">, 13: 353-363. </w:t>
      </w:r>
    </w:p>
    <w:p w14:paraId="662858D2"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lastRenderedPageBreak/>
        <w:t xml:space="preserve">Motahary, M., Ghoreishi, S. M., Behpour M. and Golestaneh, M. (2010). Electrochemical determination of ascorbic acid at the surface of a graphite electrode modified with a multi-walled carbon nanotubes/tetradecyltrimethylammonium bromide. </w:t>
      </w:r>
      <w:r w:rsidRPr="00F63E01">
        <w:rPr>
          <w:rFonts w:ascii="Times New Roman" w:hAnsi="Times New Roman"/>
          <w:i/>
          <w:iCs/>
          <w:sz w:val="20"/>
          <w:szCs w:val="20"/>
          <w:lang w:eastAsia="en-GB"/>
        </w:rPr>
        <w:t>Journal of Applied Electrochemistry</w:t>
      </w:r>
      <w:r w:rsidRPr="00F63E01">
        <w:rPr>
          <w:rFonts w:ascii="Times New Roman" w:hAnsi="Times New Roman"/>
          <w:sz w:val="20"/>
          <w:szCs w:val="20"/>
          <w:lang w:eastAsia="en-GB"/>
        </w:rPr>
        <w:t>, 40: 841-847.</w:t>
      </w:r>
    </w:p>
    <w:p w14:paraId="34E456A5"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Zhao, G. H., Li, M. F., Li, M. L. (2007). Differetial pulse voltammetric determination of dopamine with the coexistence of ascorbic acid on boron-doped diamond surface. </w:t>
      </w:r>
      <w:r w:rsidRPr="00F63E01">
        <w:rPr>
          <w:rFonts w:ascii="Times New Roman" w:hAnsi="Times New Roman"/>
          <w:i/>
          <w:iCs/>
          <w:sz w:val="20"/>
          <w:szCs w:val="20"/>
          <w:lang w:eastAsia="en-GB"/>
        </w:rPr>
        <w:t>Central European Journal of Chemistry</w:t>
      </w:r>
      <w:r w:rsidRPr="00F63E01">
        <w:rPr>
          <w:rFonts w:ascii="Times New Roman" w:hAnsi="Times New Roman"/>
          <w:sz w:val="20"/>
          <w:szCs w:val="20"/>
          <w:lang w:eastAsia="en-GB"/>
        </w:rPr>
        <w:t>, 5: 1114-1123.</w:t>
      </w:r>
    </w:p>
    <w:p w14:paraId="36DCC711"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Raoof, J. B., Kiani, A., Ojani, R., Valiollahi, R. and Rashid-Nadimi, S. (2010). Simultaneous voltammetric determination of ascorbic acidand dopamine at the surface of electrodes modified with self-assembled gold nanoparticle films. </w:t>
      </w:r>
      <w:r w:rsidRPr="00F63E01">
        <w:rPr>
          <w:rFonts w:ascii="Times New Roman" w:hAnsi="Times New Roman"/>
          <w:i/>
          <w:iCs/>
          <w:sz w:val="20"/>
          <w:szCs w:val="20"/>
          <w:lang w:eastAsia="en-GB"/>
        </w:rPr>
        <w:t>Journal of Solid State Electrochemistry</w:t>
      </w:r>
      <w:r w:rsidRPr="00F63E01">
        <w:rPr>
          <w:rFonts w:ascii="Times New Roman" w:hAnsi="Times New Roman"/>
          <w:sz w:val="20"/>
          <w:szCs w:val="20"/>
          <w:lang w:eastAsia="en-GB"/>
        </w:rPr>
        <w:t>, 14: 1171-1176.</w:t>
      </w:r>
    </w:p>
    <w:p w14:paraId="4ECDA9D2"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Cofan, C., Radovan, C. and Cinghita, D. (2009). Sumultaneous anodic assessment of ascorbic acid and acetaminophen in unbuffered solutions. </w:t>
      </w:r>
      <w:r w:rsidRPr="00F63E01">
        <w:rPr>
          <w:rFonts w:ascii="Times New Roman" w:hAnsi="Times New Roman"/>
          <w:i/>
          <w:iCs/>
          <w:sz w:val="20"/>
          <w:szCs w:val="20"/>
          <w:lang w:eastAsia="en-GB"/>
        </w:rPr>
        <w:t>Revista de Chimie</w:t>
      </w:r>
      <w:r w:rsidRPr="00F63E01">
        <w:rPr>
          <w:rFonts w:ascii="Times New Roman" w:hAnsi="Times New Roman"/>
          <w:sz w:val="20"/>
          <w:szCs w:val="20"/>
          <w:lang w:eastAsia="en-GB"/>
        </w:rPr>
        <w:t>. 60: 368-372.</w:t>
      </w:r>
    </w:p>
    <w:p w14:paraId="42F8C48A"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Miranda, M. P., del Rio, R., del Valle, M. A., Faundez, M. and Armijo, F. (2012). Use of fluorine-doped tin oxide electrodes for lipoic acid determination in dietary supplements. </w:t>
      </w:r>
      <w:r w:rsidRPr="00F63E01">
        <w:rPr>
          <w:rFonts w:ascii="Times New Roman" w:hAnsi="Times New Roman"/>
          <w:i/>
          <w:sz w:val="20"/>
          <w:szCs w:val="20"/>
          <w:lang w:eastAsia="en-GB"/>
        </w:rPr>
        <w:t>Journal of Electroanalytical Chemistry</w:t>
      </w:r>
      <w:r w:rsidRPr="00F63E01">
        <w:rPr>
          <w:rFonts w:ascii="Times New Roman" w:hAnsi="Times New Roman"/>
          <w:iCs/>
          <w:sz w:val="20"/>
          <w:szCs w:val="20"/>
          <w:lang w:eastAsia="en-GB"/>
        </w:rPr>
        <w:t>.</w:t>
      </w:r>
      <w:r w:rsidRPr="00F63E01">
        <w:rPr>
          <w:rFonts w:ascii="Times New Roman" w:hAnsi="Times New Roman"/>
          <w:i/>
          <w:iCs/>
          <w:sz w:val="20"/>
          <w:szCs w:val="20"/>
          <w:lang w:eastAsia="en-GB"/>
        </w:rPr>
        <w:t xml:space="preserve"> </w:t>
      </w:r>
      <w:r w:rsidRPr="00F63E01">
        <w:rPr>
          <w:rFonts w:ascii="Times New Roman" w:hAnsi="Times New Roman"/>
          <w:sz w:val="20"/>
          <w:szCs w:val="20"/>
          <w:lang w:eastAsia="en-GB"/>
        </w:rPr>
        <w:t>668: 1-6.</w:t>
      </w:r>
    </w:p>
    <w:p w14:paraId="1AC264CB" w14:textId="7D7C1972" w:rsidR="00A837BA" w:rsidRPr="00A837BA" w:rsidRDefault="00F63E01" w:rsidP="00A837BA">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Barbara, Z. (2011). Voltammetric determination of vitamin C on a carbon electrode. Monograph: Electrochemistry, A Laboratory Textbook, Switzerland: pp 35-38</w:t>
      </w:r>
      <w:r w:rsidR="00A837BA">
        <w:rPr>
          <w:rFonts w:ascii="Times New Roman" w:hAnsi="Times New Roman"/>
          <w:sz w:val="20"/>
          <w:szCs w:val="20"/>
          <w:lang w:eastAsia="en-GB"/>
        </w:rPr>
        <w:t>.</w:t>
      </w:r>
    </w:p>
    <w:p w14:paraId="6C2ABD36" w14:textId="1CE9156A" w:rsid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Švorc, L., Sochr, J., Svĭtková, J., Riejav, M. and Bustin, D. (2013). Rapid and sensitive electrochemical determination of codeine in pharmaceutical formulations and human urine using a boron-doped diamond film electrode. </w:t>
      </w:r>
      <w:r w:rsidRPr="00F63E01">
        <w:rPr>
          <w:rFonts w:ascii="Times New Roman" w:hAnsi="Times New Roman"/>
          <w:i/>
          <w:sz w:val="20"/>
          <w:szCs w:val="20"/>
          <w:lang w:eastAsia="en-GB"/>
        </w:rPr>
        <w:t>Electrochimica Acta</w:t>
      </w:r>
      <w:r w:rsidRPr="00F63E01">
        <w:rPr>
          <w:rFonts w:ascii="Times New Roman" w:hAnsi="Times New Roman"/>
          <w:iCs/>
          <w:sz w:val="20"/>
          <w:szCs w:val="20"/>
          <w:lang w:eastAsia="en-GB"/>
        </w:rPr>
        <w:t xml:space="preserve">, </w:t>
      </w:r>
      <w:r w:rsidRPr="00F63E01">
        <w:rPr>
          <w:rFonts w:ascii="Times New Roman" w:hAnsi="Times New Roman"/>
          <w:sz w:val="20"/>
          <w:szCs w:val="20"/>
          <w:lang w:eastAsia="en-GB"/>
        </w:rPr>
        <w:t>87: 503-510.</w:t>
      </w:r>
    </w:p>
    <w:p w14:paraId="34E745AC" w14:textId="4FE34521" w:rsidR="00A837BA" w:rsidRDefault="00A837BA" w:rsidP="00A837BA">
      <w:pPr>
        <w:spacing w:after="0"/>
        <w:jc w:val="both"/>
        <w:rPr>
          <w:rFonts w:ascii="Times New Roman" w:hAnsi="Times New Roman"/>
          <w:sz w:val="20"/>
          <w:szCs w:val="20"/>
          <w:lang w:eastAsia="en-GB"/>
        </w:rPr>
      </w:pPr>
    </w:p>
    <w:p w14:paraId="5CDFD914" w14:textId="1297C928" w:rsidR="00A837BA" w:rsidRDefault="00A837BA" w:rsidP="00A837BA">
      <w:pPr>
        <w:spacing w:after="0"/>
        <w:jc w:val="both"/>
        <w:rPr>
          <w:rFonts w:ascii="Times New Roman" w:hAnsi="Times New Roman"/>
          <w:sz w:val="20"/>
          <w:szCs w:val="20"/>
          <w:lang w:eastAsia="en-GB"/>
        </w:rPr>
      </w:pPr>
    </w:p>
    <w:p w14:paraId="640CC4CB" w14:textId="58E6819A" w:rsidR="00A837BA" w:rsidRDefault="00A837BA" w:rsidP="00A837BA">
      <w:pPr>
        <w:spacing w:after="0"/>
        <w:jc w:val="both"/>
        <w:rPr>
          <w:rFonts w:ascii="Times New Roman" w:hAnsi="Times New Roman"/>
          <w:sz w:val="20"/>
          <w:szCs w:val="20"/>
          <w:lang w:eastAsia="en-GB"/>
        </w:rPr>
      </w:pPr>
    </w:p>
    <w:p w14:paraId="1E06D354" w14:textId="06E603F4" w:rsidR="00A837BA" w:rsidRDefault="00A837BA" w:rsidP="00A837BA">
      <w:pPr>
        <w:spacing w:after="0"/>
        <w:jc w:val="both"/>
        <w:rPr>
          <w:rFonts w:ascii="Times New Roman" w:hAnsi="Times New Roman"/>
          <w:sz w:val="20"/>
          <w:szCs w:val="20"/>
          <w:lang w:eastAsia="en-GB"/>
        </w:rPr>
      </w:pPr>
    </w:p>
    <w:p w14:paraId="4132513A" w14:textId="4262F0A4" w:rsidR="00A837BA" w:rsidRDefault="00A837BA" w:rsidP="00A837BA">
      <w:pPr>
        <w:spacing w:after="0"/>
        <w:jc w:val="both"/>
        <w:rPr>
          <w:rFonts w:ascii="Times New Roman" w:hAnsi="Times New Roman"/>
          <w:sz w:val="20"/>
          <w:szCs w:val="20"/>
          <w:lang w:eastAsia="en-GB"/>
        </w:rPr>
      </w:pPr>
    </w:p>
    <w:p w14:paraId="68B6A3DC" w14:textId="41B9186C" w:rsidR="00A837BA" w:rsidRDefault="00A837BA" w:rsidP="00A837BA">
      <w:pPr>
        <w:spacing w:after="0"/>
        <w:jc w:val="both"/>
        <w:rPr>
          <w:rFonts w:ascii="Times New Roman" w:hAnsi="Times New Roman"/>
          <w:sz w:val="20"/>
          <w:szCs w:val="20"/>
          <w:lang w:eastAsia="en-GB"/>
        </w:rPr>
      </w:pPr>
    </w:p>
    <w:p w14:paraId="74EAB77B" w14:textId="6B8DD820" w:rsidR="00A837BA" w:rsidRDefault="00A837BA" w:rsidP="00A837BA">
      <w:pPr>
        <w:spacing w:after="0"/>
        <w:jc w:val="both"/>
        <w:rPr>
          <w:rFonts w:ascii="Times New Roman" w:hAnsi="Times New Roman"/>
          <w:sz w:val="20"/>
          <w:szCs w:val="20"/>
          <w:lang w:eastAsia="en-GB"/>
        </w:rPr>
      </w:pPr>
    </w:p>
    <w:p w14:paraId="3BA939F0" w14:textId="77777777" w:rsidR="00A837BA" w:rsidRPr="00A837BA" w:rsidRDefault="00A837BA" w:rsidP="00A837BA">
      <w:pPr>
        <w:spacing w:after="0"/>
        <w:jc w:val="both"/>
        <w:rPr>
          <w:rFonts w:ascii="Times New Roman" w:hAnsi="Times New Roman"/>
          <w:sz w:val="20"/>
          <w:szCs w:val="20"/>
          <w:lang w:eastAsia="en-GB"/>
        </w:rPr>
      </w:pPr>
    </w:p>
    <w:p w14:paraId="3EA9AB8A"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Nur Syamimi, Z., Mohamad Hadzri, Y. and Noor Zuhartini, M. M. (2016). Voltammetric determination of Reactive Black 5 in wastewater samples from the batik industry. </w:t>
      </w:r>
      <w:r w:rsidRPr="00F63E01">
        <w:rPr>
          <w:rFonts w:ascii="Times New Roman" w:hAnsi="Times New Roman"/>
          <w:i/>
          <w:iCs/>
          <w:sz w:val="20"/>
          <w:szCs w:val="20"/>
          <w:lang w:eastAsia="en-GB"/>
        </w:rPr>
        <w:t>Malaysian Journal of Analytical Science</w:t>
      </w:r>
      <w:r w:rsidRPr="00F63E01">
        <w:rPr>
          <w:rFonts w:ascii="Times New Roman" w:hAnsi="Times New Roman"/>
          <w:sz w:val="20"/>
          <w:szCs w:val="20"/>
          <w:lang w:eastAsia="en-GB"/>
        </w:rPr>
        <w:t xml:space="preserve">, 20: 1254-1268. </w:t>
      </w:r>
    </w:p>
    <w:p w14:paraId="0E26AEC5"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Jain, R. and Sharma, S. (2012). Glassy carbon electrode modified with multi-walled carbon nanotubes sensor for the quantification of antihistamine drug pheniramine in solubilized systems. </w:t>
      </w:r>
      <w:r w:rsidRPr="00F63E01">
        <w:rPr>
          <w:rFonts w:ascii="Times New Roman" w:hAnsi="Times New Roman"/>
          <w:i/>
          <w:sz w:val="20"/>
          <w:szCs w:val="20"/>
          <w:lang w:eastAsia="en-GB"/>
        </w:rPr>
        <w:t>Journal of Pharmaceutical Analysis</w:t>
      </w:r>
      <w:r w:rsidRPr="00F63E01">
        <w:rPr>
          <w:rFonts w:ascii="Times New Roman" w:hAnsi="Times New Roman"/>
          <w:bCs/>
          <w:sz w:val="20"/>
          <w:szCs w:val="20"/>
          <w:lang w:eastAsia="en-GB"/>
        </w:rPr>
        <w:t>, 2(1)</w:t>
      </w:r>
      <w:r w:rsidRPr="00F63E01">
        <w:rPr>
          <w:rFonts w:ascii="Times New Roman" w:hAnsi="Times New Roman"/>
          <w:sz w:val="20"/>
          <w:szCs w:val="20"/>
          <w:lang w:eastAsia="en-GB"/>
        </w:rPr>
        <w:t>: 56-61.</w:t>
      </w:r>
    </w:p>
    <w:p w14:paraId="7D0B62AD"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Geremedhin, W., Amare, M. and Admassie, S. (2013). Electrochemically pretreated glassy carbon electrode for electrochemical detection of fenitrothion in tap water and human urine. </w:t>
      </w:r>
      <w:r w:rsidRPr="00F63E01">
        <w:rPr>
          <w:rFonts w:ascii="Times New Roman" w:hAnsi="Times New Roman"/>
          <w:i/>
          <w:sz w:val="20"/>
          <w:szCs w:val="20"/>
          <w:lang w:eastAsia="en-GB"/>
        </w:rPr>
        <w:t>Electrochimica Acta</w:t>
      </w:r>
      <w:r w:rsidRPr="00F63E01">
        <w:rPr>
          <w:rFonts w:ascii="Times New Roman" w:hAnsi="Times New Roman"/>
          <w:i/>
          <w:iCs/>
          <w:sz w:val="20"/>
          <w:szCs w:val="20"/>
          <w:lang w:eastAsia="en-GB"/>
        </w:rPr>
        <w:t>,</w:t>
      </w:r>
      <w:r w:rsidRPr="00F63E01">
        <w:rPr>
          <w:rFonts w:ascii="Times New Roman" w:hAnsi="Times New Roman"/>
          <w:iCs/>
          <w:sz w:val="20"/>
          <w:szCs w:val="20"/>
          <w:lang w:eastAsia="en-GB"/>
        </w:rPr>
        <w:t xml:space="preserve"> </w:t>
      </w:r>
      <w:r w:rsidRPr="00F63E01">
        <w:rPr>
          <w:rFonts w:ascii="Times New Roman" w:hAnsi="Times New Roman"/>
          <w:sz w:val="20"/>
          <w:szCs w:val="20"/>
          <w:lang w:eastAsia="en-GB"/>
        </w:rPr>
        <w:t xml:space="preserve">87: 749-755. </w:t>
      </w:r>
    </w:p>
    <w:p w14:paraId="38D58002"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De Lima, F., Gozzi, F., Fiorucci, A. R., Cardoso, C. A. L., Arruda, G. J. and Ferreira, V. S. (2011). Determination of linuron in water and vegetable samples using stripping voltammetry with carbon paste electrode. </w:t>
      </w:r>
      <w:r w:rsidRPr="00F63E01">
        <w:rPr>
          <w:rFonts w:ascii="Times New Roman" w:hAnsi="Times New Roman"/>
          <w:i/>
          <w:sz w:val="20"/>
          <w:szCs w:val="20"/>
          <w:lang w:eastAsia="en-GB"/>
        </w:rPr>
        <w:t>Talanta</w:t>
      </w:r>
      <w:r w:rsidRPr="00F63E01">
        <w:rPr>
          <w:rFonts w:ascii="Times New Roman" w:hAnsi="Times New Roman"/>
          <w:iCs/>
          <w:sz w:val="20"/>
          <w:szCs w:val="20"/>
          <w:lang w:eastAsia="en-GB"/>
        </w:rPr>
        <w:t xml:space="preserve">, </w:t>
      </w:r>
      <w:r w:rsidRPr="00F63E01">
        <w:rPr>
          <w:rFonts w:ascii="Times New Roman" w:hAnsi="Times New Roman"/>
          <w:bCs/>
          <w:sz w:val="20"/>
          <w:szCs w:val="20"/>
          <w:lang w:eastAsia="en-GB"/>
        </w:rPr>
        <w:t>83</w:t>
      </w:r>
      <w:r w:rsidRPr="00F63E01">
        <w:rPr>
          <w:rFonts w:ascii="Times New Roman" w:hAnsi="Times New Roman"/>
          <w:sz w:val="20"/>
          <w:szCs w:val="20"/>
          <w:lang w:eastAsia="en-GB"/>
        </w:rPr>
        <w:t>: 1763-1768.</w:t>
      </w:r>
    </w:p>
    <w:p w14:paraId="719C9BA0"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Ngai, K. S, Tan, W. T, Zulkarnain, Z., Ruzniza, M. Z. and Mohammed, Z. (2013). Voltammetry detection of ascorbic acid at glassy carbon electrode modified by single-walled carbon nanotube/zinc oxide</w:t>
      </w:r>
      <w:r w:rsidRPr="00F63E01">
        <w:rPr>
          <w:rFonts w:ascii="Times New Roman" w:hAnsi="Times New Roman"/>
          <w:i/>
          <w:iCs/>
          <w:sz w:val="20"/>
          <w:szCs w:val="20"/>
          <w:lang w:eastAsia="en-GB"/>
        </w:rPr>
        <w:t>. International Journal of Electrochemical Science</w:t>
      </w:r>
      <w:r w:rsidRPr="00F63E01">
        <w:rPr>
          <w:rFonts w:ascii="Times New Roman" w:hAnsi="Times New Roman"/>
          <w:sz w:val="20"/>
          <w:szCs w:val="20"/>
          <w:lang w:eastAsia="en-GB"/>
        </w:rPr>
        <w:t>, 8: 10557-10567.</w:t>
      </w:r>
    </w:p>
    <w:p w14:paraId="4D8A8F86" w14:textId="581FE206" w:rsidR="00A74A7E"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Jain, R. and Rather, J. A. (2011). Stripping voltammetry of tinidazole in solubilized system and biological fluids. </w:t>
      </w:r>
      <w:r w:rsidRPr="00F63E01">
        <w:rPr>
          <w:rFonts w:ascii="Times New Roman" w:hAnsi="Times New Roman"/>
          <w:i/>
          <w:sz w:val="20"/>
          <w:szCs w:val="20"/>
          <w:lang w:eastAsia="en-GB"/>
        </w:rPr>
        <w:t>Colloids and Surfaces A: Physicochemical and Engineering Aspects</w:t>
      </w:r>
      <w:r w:rsidRPr="00F63E01">
        <w:rPr>
          <w:rFonts w:ascii="Times New Roman" w:hAnsi="Times New Roman"/>
          <w:bCs/>
          <w:sz w:val="20"/>
          <w:szCs w:val="20"/>
          <w:lang w:eastAsia="en-GB"/>
        </w:rPr>
        <w:t>, 378</w:t>
      </w:r>
      <w:r w:rsidRPr="00F63E01">
        <w:rPr>
          <w:rFonts w:ascii="Times New Roman" w:hAnsi="Times New Roman"/>
          <w:sz w:val="20"/>
          <w:szCs w:val="20"/>
          <w:lang w:eastAsia="en-GB"/>
        </w:rPr>
        <w:t>: 27-33.</w:t>
      </w:r>
    </w:p>
    <w:sectPr w:rsidR="00A74A7E" w:rsidRPr="00F63E01" w:rsidSect="00A837BA">
      <w:headerReference w:type="even" r:id="rId37"/>
      <w:headerReference w:type="default" r:id="rId38"/>
      <w:footerReference w:type="even" r:id="rId39"/>
      <w:footerReference w:type="default" r:id="rId40"/>
      <w:headerReference w:type="first" r:id="rId41"/>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6909BFAC"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E4B57">
      <w:rPr>
        <w:rFonts w:ascii="Times New Roman" w:hAnsi="Times New Roman"/>
        <w:lang w:val="en-US"/>
      </w:rPr>
      <w:t>838</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0335" w14:textId="6512E00A" w:rsidR="002C4E39" w:rsidRPr="004B43FF" w:rsidRDefault="001E4B57">
    <w:pPr>
      <w:pStyle w:val="Footer"/>
      <w:rPr>
        <w:rFonts w:ascii="Times New Roman" w:hAnsi="Times New Roman"/>
        <w:lang w:val="en-US"/>
      </w:rPr>
    </w:pPr>
    <w:r>
      <w:rPr>
        <w:rFonts w:ascii="Times New Roman" w:hAnsi="Times New Roman"/>
        <w:noProof/>
        <w:lang w:val="en-US"/>
      </w:rPr>
      <w:t>847</w:t>
    </w:r>
    <w:r w:rsidR="002C4E39" w:rsidRPr="0069547D">
      <w:rPr>
        <w:rFonts w:ascii="Times New Roman" w:hAnsi="Times New Roman"/>
        <w:noProof/>
        <w:lang w:val="en-US"/>
      </w:rPr>
      <w:ptab w:relativeTo="margin" w:alignment="center" w:leader="none"/>
    </w:r>
    <w:r w:rsidR="002C4E39"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30B87C93" w:rsidR="00D75B35" w:rsidRPr="004B43FF" w:rsidRDefault="001E4B57">
    <w:pPr>
      <w:pStyle w:val="Footer"/>
      <w:rPr>
        <w:rFonts w:ascii="Times New Roman" w:hAnsi="Times New Roman"/>
        <w:lang w:val="en-US"/>
      </w:rPr>
    </w:pPr>
    <w:r>
      <w:rPr>
        <w:rFonts w:ascii="Times New Roman" w:hAnsi="Times New Roman"/>
        <w:noProof/>
        <w:lang w:val="en-US"/>
      </w:rPr>
      <w:t>839</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D5AB1" w14:textId="7C8D7BE9" w:rsidR="002C4E39" w:rsidRDefault="002C4E3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E4B57">
      <w:rPr>
        <w:rFonts w:ascii="Times New Roman" w:hAnsi="Times New Roman"/>
        <w:lang w:val="en-US"/>
      </w:rPr>
      <w:t>840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9409A" w14:textId="73A0F793" w:rsidR="002C4E39" w:rsidRPr="004B43FF" w:rsidRDefault="001E4B57">
    <w:pPr>
      <w:pStyle w:val="Footer"/>
      <w:rPr>
        <w:rFonts w:ascii="Times New Roman" w:hAnsi="Times New Roman"/>
        <w:lang w:val="en-US"/>
      </w:rPr>
    </w:pPr>
    <w:r>
      <w:rPr>
        <w:rFonts w:ascii="Times New Roman" w:hAnsi="Times New Roman"/>
        <w:noProof/>
        <w:lang w:val="en-US"/>
      </w:rPr>
      <w:t>841</w:t>
    </w:r>
    <w:r w:rsidR="002C4E39" w:rsidRPr="0069547D">
      <w:rPr>
        <w:rFonts w:ascii="Times New Roman" w:hAnsi="Times New Roman"/>
        <w:noProof/>
        <w:lang w:val="en-US"/>
      </w:rPr>
      <w:ptab w:relativeTo="margin" w:alignment="center" w:leader="none"/>
    </w:r>
    <w:r w:rsidR="002C4E39"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099B3" w14:textId="3E06D3C7" w:rsidR="002C4E39" w:rsidRDefault="002C4E3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E4B57">
      <w:rPr>
        <w:rFonts w:ascii="Times New Roman" w:hAnsi="Times New Roman"/>
        <w:lang w:val="en-US"/>
      </w:rPr>
      <w:t>842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EBFB1" w14:textId="4C9D6027" w:rsidR="002C4E39" w:rsidRDefault="002C4E3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E4B57">
      <w:rPr>
        <w:rFonts w:ascii="Times New Roman" w:hAnsi="Times New Roman"/>
        <w:lang w:val="en-US"/>
      </w:rPr>
      <w:t>844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5084A" w14:textId="546A7BB1" w:rsidR="002C4E39" w:rsidRPr="004B43FF" w:rsidRDefault="001E4B57">
    <w:pPr>
      <w:pStyle w:val="Footer"/>
      <w:rPr>
        <w:rFonts w:ascii="Times New Roman" w:hAnsi="Times New Roman"/>
        <w:lang w:val="en-US"/>
      </w:rPr>
    </w:pPr>
    <w:r>
      <w:rPr>
        <w:rFonts w:ascii="Times New Roman" w:hAnsi="Times New Roman"/>
        <w:noProof/>
        <w:lang w:val="en-US"/>
      </w:rPr>
      <w:t>843</w:t>
    </w:r>
    <w:r w:rsidR="002C4E39" w:rsidRPr="0069547D">
      <w:rPr>
        <w:rFonts w:ascii="Times New Roman" w:hAnsi="Times New Roman"/>
        <w:noProof/>
        <w:lang w:val="en-US"/>
      </w:rPr>
      <w:ptab w:relativeTo="margin" w:alignment="center" w:leader="none"/>
    </w:r>
    <w:r w:rsidR="002C4E39"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62ED" w14:textId="65A7D166" w:rsidR="002C4E39" w:rsidRPr="004B43FF" w:rsidRDefault="001E4B57">
    <w:pPr>
      <w:pStyle w:val="Footer"/>
      <w:rPr>
        <w:rFonts w:ascii="Times New Roman" w:hAnsi="Times New Roman"/>
        <w:lang w:val="en-US"/>
      </w:rPr>
    </w:pPr>
    <w:r>
      <w:rPr>
        <w:rFonts w:ascii="Times New Roman" w:hAnsi="Times New Roman"/>
        <w:noProof/>
        <w:lang w:val="en-US"/>
      </w:rPr>
      <w:t>845</w:t>
    </w:r>
    <w:r w:rsidR="002C4E39" w:rsidRPr="0069547D">
      <w:rPr>
        <w:rFonts w:ascii="Times New Roman" w:hAnsi="Times New Roman"/>
        <w:noProof/>
        <w:lang w:val="en-US"/>
      </w:rPr>
      <w:ptab w:relativeTo="margin" w:alignment="center" w:leader="none"/>
    </w:r>
    <w:r w:rsidR="002C4E39"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2C407" w14:textId="03EDF31D" w:rsidR="002C4E39" w:rsidRDefault="002C4E3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E4B57">
      <w:rPr>
        <w:rFonts w:ascii="Times New Roman" w:hAnsi="Times New Roman"/>
        <w:lang w:val="en-US"/>
      </w:rPr>
      <w:t>846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0DA2D5EB"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BB223B">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1E4B57">
      <w:rPr>
        <w:rFonts w:ascii="Times New Roman" w:hAnsi="Times New Roman"/>
        <w:i/>
        <w:lang w:val="en-US"/>
      </w:rPr>
      <w:t>838</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1E4B57">
      <w:rPr>
        <w:rFonts w:ascii="Times New Roman" w:hAnsi="Times New Roman"/>
        <w:i/>
        <w:lang w:val="en-US"/>
      </w:rPr>
      <w:t>847</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3BBEF" w14:textId="77777777" w:rsidR="001E4B57" w:rsidRPr="00F15A10" w:rsidRDefault="001E4B57" w:rsidP="001E4B57">
    <w:pPr>
      <w:spacing w:after="0"/>
      <w:ind w:left="1800" w:hanging="1800"/>
      <w:rPr>
        <w:rFonts w:ascii="Times New Roman" w:hAnsi="Times New Roman"/>
        <w:bCs/>
      </w:rPr>
    </w:pPr>
    <w:r>
      <w:rPr>
        <w:rFonts w:ascii="Times New Roman" w:hAnsi="Times New Roman"/>
      </w:rPr>
      <w:t>Nur Syamimi et al</w:t>
    </w:r>
    <w:r w:rsidRPr="00F15A10">
      <w:rPr>
        <w:rFonts w:ascii="Times New Roman" w:hAnsi="Times New Roman"/>
      </w:rPr>
      <w:t xml:space="preserve">:  </w:t>
    </w:r>
    <w:r>
      <w:rPr>
        <w:rFonts w:ascii="Times New Roman" w:hAnsi="Times New Roman"/>
      </w:rPr>
      <w:tab/>
    </w:r>
    <w:r w:rsidRPr="00F15A10">
      <w:rPr>
        <w:rFonts w:ascii="Times New Roman" w:hAnsi="Times New Roman"/>
        <w:bCs/>
      </w:rPr>
      <w:t>VALIDATION AND DETERMINATION OF ASCORBIC ACID IN MULTIVITAMIN TABLETS BY DIFFERENTIAL PULSE ANODIC STRIPPING VOLTAMMETRIC TECHNIQUE AT A BARE GLASSY CARBON ELECTRODE</w:t>
    </w:r>
  </w:p>
  <w:p w14:paraId="03AE82A6" w14:textId="68500179" w:rsidR="001E4B57" w:rsidRDefault="001E4B57" w:rsidP="001E4B57">
    <w:pPr>
      <w:pStyle w:val="Header"/>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30E0A" w14:textId="70194C76" w:rsidR="001E4B57" w:rsidRDefault="001E4B5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5A85A" w14:textId="49108FAE" w:rsidR="001E4B57" w:rsidRDefault="001E4B5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DB0E5" w14:textId="77777777" w:rsidR="001E4B57" w:rsidRPr="00F15A10" w:rsidRDefault="001E4B57" w:rsidP="001E4B57">
    <w:pPr>
      <w:spacing w:after="0"/>
      <w:ind w:left="1800" w:hanging="1800"/>
      <w:rPr>
        <w:rFonts w:ascii="Times New Roman" w:hAnsi="Times New Roman"/>
        <w:bCs/>
      </w:rPr>
    </w:pPr>
    <w:r>
      <w:rPr>
        <w:rFonts w:ascii="Times New Roman" w:hAnsi="Times New Roman"/>
      </w:rPr>
      <w:t>Nur Syamimi et al</w:t>
    </w:r>
    <w:r w:rsidRPr="00F15A10">
      <w:rPr>
        <w:rFonts w:ascii="Times New Roman" w:hAnsi="Times New Roman"/>
      </w:rPr>
      <w:t xml:space="preserve">:  </w:t>
    </w:r>
    <w:r>
      <w:rPr>
        <w:rFonts w:ascii="Times New Roman" w:hAnsi="Times New Roman"/>
      </w:rPr>
      <w:tab/>
    </w:r>
    <w:r w:rsidRPr="00F15A10">
      <w:rPr>
        <w:rFonts w:ascii="Times New Roman" w:hAnsi="Times New Roman"/>
        <w:bCs/>
      </w:rPr>
      <w:t>VALIDATION AND DETERMINATION OF ASCORBIC ACID IN MULTIVITAMIN TABLETS BY DIFFERENTIAL PULSE ANODIC STRIPPING VOLTAMMETRIC TECHNIQUE AT A BARE GLASSY CARBON ELECTRODE</w:t>
    </w:r>
  </w:p>
  <w:p w14:paraId="586D762B" w14:textId="1B64EDC4" w:rsidR="001E4B57" w:rsidRDefault="001E4B57" w:rsidP="001E4B57">
    <w:pPr>
      <w:pStyle w:val="Header"/>
      <w:jc w:val="both"/>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FCBB9" w14:textId="60557258" w:rsidR="001E4B57" w:rsidRDefault="001E4B5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3CE03" w14:textId="27D473B5" w:rsidR="001E4B57" w:rsidRDefault="001E4B57" w:rsidP="001E4B5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75B7C">
      <w:rPr>
        <w:rFonts w:ascii="Times New Roman" w:hAnsi="Times New Roman"/>
        <w:i/>
        <w:lang w:val="en-US"/>
      </w:rPr>
      <w:t>838 - 847</w:t>
    </w:r>
  </w:p>
  <w:p w14:paraId="222ABC62" w14:textId="107AC213" w:rsidR="001E4B57" w:rsidRDefault="001E4B5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7F86A" w14:textId="77777777" w:rsidR="001E4B57" w:rsidRPr="00F15A10" w:rsidRDefault="001E4B57" w:rsidP="001E4B57">
    <w:pPr>
      <w:spacing w:after="0"/>
      <w:ind w:left="1800" w:hanging="1800"/>
      <w:rPr>
        <w:rFonts w:ascii="Times New Roman" w:hAnsi="Times New Roman"/>
        <w:bCs/>
      </w:rPr>
    </w:pPr>
    <w:r>
      <w:rPr>
        <w:rFonts w:ascii="Times New Roman" w:hAnsi="Times New Roman"/>
      </w:rPr>
      <w:t>Nur Syamimi et al</w:t>
    </w:r>
    <w:r w:rsidRPr="00F15A10">
      <w:rPr>
        <w:rFonts w:ascii="Times New Roman" w:hAnsi="Times New Roman"/>
      </w:rPr>
      <w:t xml:space="preserve">:  </w:t>
    </w:r>
    <w:r>
      <w:rPr>
        <w:rFonts w:ascii="Times New Roman" w:hAnsi="Times New Roman"/>
      </w:rPr>
      <w:tab/>
    </w:r>
    <w:r w:rsidRPr="00F15A10">
      <w:rPr>
        <w:rFonts w:ascii="Times New Roman" w:hAnsi="Times New Roman"/>
        <w:bCs/>
      </w:rPr>
      <w:t>VALIDATION AND DETERMINATION OF ASCORBIC ACID IN MULTIVITAMIN TABLETS BY DIFFERENTIAL PULSE ANODIC STRIPPING VOLTAMMETRIC TECHNIQUE AT A BARE GLASSY CARBON ELECTRODE</w:t>
    </w:r>
  </w:p>
  <w:p w14:paraId="260FDF94" w14:textId="507418F6" w:rsidR="001E4B57" w:rsidRDefault="001E4B57" w:rsidP="001E4B57">
    <w:pPr>
      <w:pStyle w:val="Header"/>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8203F" w14:textId="0A022CBB" w:rsidR="001E4B57" w:rsidRDefault="001E4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9C21B" w14:textId="68424CB2" w:rsidR="00F15A10" w:rsidRPr="00F15A10" w:rsidRDefault="00F15A10" w:rsidP="00F15A10">
    <w:pPr>
      <w:spacing w:after="0"/>
      <w:ind w:left="1800" w:hanging="1800"/>
      <w:rPr>
        <w:rFonts w:ascii="Times New Roman" w:hAnsi="Times New Roman"/>
        <w:bCs/>
      </w:rPr>
    </w:pPr>
    <w:r>
      <w:rPr>
        <w:rFonts w:ascii="Times New Roman" w:hAnsi="Times New Roman"/>
      </w:rPr>
      <w:t>Nur Syamimi et al</w:t>
    </w:r>
    <w:r w:rsidR="008E6968" w:rsidRPr="00F15A10">
      <w:rPr>
        <w:rFonts w:ascii="Times New Roman" w:hAnsi="Times New Roman"/>
      </w:rPr>
      <w:t xml:space="preserve">:  </w:t>
    </w:r>
    <w:r>
      <w:rPr>
        <w:rFonts w:ascii="Times New Roman" w:hAnsi="Times New Roman"/>
      </w:rPr>
      <w:tab/>
    </w:r>
    <w:r w:rsidRPr="00F15A10">
      <w:rPr>
        <w:rFonts w:ascii="Times New Roman" w:hAnsi="Times New Roman"/>
        <w:bCs/>
      </w:rPr>
      <w:t>VALIDATION AND DETERMINATION OF ASCORBIC ACID IN MULTIVITAMIN TABLETS BY DIFFERENTIAL PULSE ANODIC STRIPPING VOLTAMMETRIC TECHNIQUE AT A BARE GLASSY CARBON ELECTRODE</w:t>
    </w:r>
  </w:p>
  <w:p w14:paraId="652E6EB3" w14:textId="461868A4"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B94AC" w14:textId="71D90A9C" w:rsidR="001E4B57" w:rsidRDefault="001E4B57" w:rsidP="001E4B5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838 - 847</w:t>
    </w:r>
  </w:p>
  <w:p w14:paraId="1997A43D" w14:textId="5C71D387" w:rsidR="001E4B57" w:rsidRDefault="001E4B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2701C" w14:textId="77777777" w:rsidR="001E4B57" w:rsidRPr="00F15A10" w:rsidRDefault="001E4B57" w:rsidP="001E4B57">
    <w:pPr>
      <w:spacing w:after="0"/>
      <w:ind w:left="1800" w:hanging="1800"/>
      <w:rPr>
        <w:rFonts w:ascii="Times New Roman" w:hAnsi="Times New Roman"/>
        <w:bCs/>
      </w:rPr>
    </w:pPr>
    <w:r>
      <w:rPr>
        <w:rFonts w:ascii="Times New Roman" w:hAnsi="Times New Roman"/>
      </w:rPr>
      <w:t>Nur Syamimi et al</w:t>
    </w:r>
    <w:r w:rsidRPr="00F15A10">
      <w:rPr>
        <w:rFonts w:ascii="Times New Roman" w:hAnsi="Times New Roman"/>
      </w:rPr>
      <w:t xml:space="preserve">:  </w:t>
    </w:r>
    <w:r>
      <w:rPr>
        <w:rFonts w:ascii="Times New Roman" w:hAnsi="Times New Roman"/>
      </w:rPr>
      <w:tab/>
    </w:r>
    <w:r w:rsidRPr="00F15A10">
      <w:rPr>
        <w:rFonts w:ascii="Times New Roman" w:hAnsi="Times New Roman"/>
        <w:bCs/>
      </w:rPr>
      <w:t>VALIDATION AND DETERMINATION OF ASCORBIC ACID IN MULTIVITAMIN TABLETS BY DIFFERENTIAL PULSE ANODIC STRIPPING VOLTAMMETRIC TECHNIQUE AT A BARE GLASSY CARBON ELECTRODE</w:t>
    </w:r>
  </w:p>
  <w:p w14:paraId="6BD450CA" w14:textId="15CCD31D" w:rsidR="001E4B57" w:rsidRDefault="001E4B57" w:rsidP="001E4B57">
    <w:pPr>
      <w:pStyle w:val="Heade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E4860" w14:textId="52853C94" w:rsidR="001E4B57" w:rsidRDefault="001E4B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DEBC1" w14:textId="6EF250D9" w:rsidR="001E4B57" w:rsidRDefault="001E4B57" w:rsidP="001E4B5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838 - 847</w:t>
    </w:r>
  </w:p>
  <w:p w14:paraId="2E5EF2F3" w14:textId="3B2C256D" w:rsidR="001E4B57" w:rsidRDefault="001E4B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CA7EE" w14:textId="27A495F3" w:rsidR="001E4B57" w:rsidRDefault="001E4B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4B8E8" w14:textId="6DCBB6AE" w:rsidR="001E4B57" w:rsidRDefault="001E4B5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964AA" w14:textId="46712E8B" w:rsidR="001E4B57" w:rsidRDefault="001E4B57" w:rsidP="001E4B5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75B7C">
      <w:rPr>
        <w:rFonts w:ascii="Times New Roman" w:hAnsi="Times New Roman"/>
        <w:i/>
        <w:lang w:val="en-US"/>
      </w:rPr>
      <w:t>838 - 847</w:t>
    </w:r>
  </w:p>
  <w:p w14:paraId="3C5DBFB9" w14:textId="15974C1F" w:rsidR="001E4B57" w:rsidRDefault="001E4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A69BE"/>
    <w:multiLevelType w:val="hybridMultilevel"/>
    <w:tmpl w:val="F0465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75B7C"/>
    <w:rsid w:val="00084936"/>
    <w:rsid w:val="000944A8"/>
    <w:rsid w:val="000C49FF"/>
    <w:rsid w:val="000C5261"/>
    <w:rsid w:val="000E5AF1"/>
    <w:rsid w:val="000F77DA"/>
    <w:rsid w:val="001068E8"/>
    <w:rsid w:val="00117BCD"/>
    <w:rsid w:val="001D035A"/>
    <w:rsid w:val="001D3855"/>
    <w:rsid w:val="001D6F2C"/>
    <w:rsid w:val="001E4B57"/>
    <w:rsid w:val="001F72B9"/>
    <w:rsid w:val="002004F5"/>
    <w:rsid w:val="00221D39"/>
    <w:rsid w:val="002752F0"/>
    <w:rsid w:val="00275F55"/>
    <w:rsid w:val="002867F0"/>
    <w:rsid w:val="0029079C"/>
    <w:rsid w:val="002B188F"/>
    <w:rsid w:val="002B3BD8"/>
    <w:rsid w:val="002C4E39"/>
    <w:rsid w:val="002F3F91"/>
    <w:rsid w:val="00304767"/>
    <w:rsid w:val="00304B34"/>
    <w:rsid w:val="00312C0E"/>
    <w:rsid w:val="00345738"/>
    <w:rsid w:val="00361BAF"/>
    <w:rsid w:val="003679BB"/>
    <w:rsid w:val="00367D1F"/>
    <w:rsid w:val="00373A9B"/>
    <w:rsid w:val="0038323C"/>
    <w:rsid w:val="00383F26"/>
    <w:rsid w:val="0039005B"/>
    <w:rsid w:val="003B0AC0"/>
    <w:rsid w:val="003D585B"/>
    <w:rsid w:val="003E7DA6"/>
    <w:rsid w:val="003F12FF"/>
    <w:rsid w:val="00420074"/>
    <w:rsid w:val="004760D4"/>
    <w:rsid w:val="00494C46"/>
    <w:rsid w:val="00497942"/>
    <w:rsid w:val="004A12DD"/>
    <w:rsid w:val="004B43FF"/>
    <w:rsid w:val="00502641"/>
    <w:rsid w:val="00510BA6"/>
    <w:rsid w:val="00534441"/>
    <w:rsid w:val="00545363"/>
    <w:rsid w:val="00567D9E"/>
    <w:rsid w:val="00583C85"/>
    <w:rsid w:val="00584156"/>
    <w:rsid w:val="005C6768"/>
    <w:rsid w:val="005E2661"/>
    <w:rsid w:val="00624C7C"/>
    <w:rsid w:val="00634C25"/>
    <w:rsid w:val="006416AB"/>
    <w:rsid w:val="00672075"/>
    <w:rsid w:val="006768E9"/>
    <w:rsid w:val="00687982"/>
    <w:rsid w:val="0069547D"/>
    <w:rsid w:val="00695D0E"/>
    <w:rsid w:val="006A3A0F"/>
    <w:rsid w:val="006B3EC8"/>
    <w:rsid w:val="006D695E"/>
    <w:rsid w:val="006F54BF"/>
    <w:rsid w:val="00725A6A"/>
    <w:rsid w:val="00730CB3"/>
    <w:rsid w:val="00735444"/>
    <w:rsid w:val="007463BF"/>
    <w:rsid w:val="007703FE"/>
    <w:rsid w:val="007859BE"/>
    <w:rsid w:val="007943F3"/>
    <w:rsid w:val="007A738C"/>
    <w:rsid w:val="007B1349"/>
    <w:rsid w:val="007E25BD"/>
    <w:rsid w:val="007F4ECC"/>
    <w:rsid w:val="00801E18"/>
    <w:rsid w:val="00802C35"/>
    <w:rsid w:val="0082181A"/>
    <w:rsid w:val="0086622B"/>
    <w:rsid w:val="008B02C7"/>
    <w:rsid w:val="008B470E"/>
    <w:rsid w:val="008C14D6"/>
    <w:rsid w:val="008E1211"/>
    <w:rsid w:val="008E5BBF"/>
    <w:rsid w:val="008E6968"/>
    <w:rsid w:val="008F2DC2"/>
    <w:rsid w:val="009110FB"/>
    <w:rsid w:val="00917637"/>
    <w:rsid w:val="00992776"/>
    <w:rsid w:val="00A14DB9"/>
    <w:rsid w:val="00A4762A"/>
    <w:rsid w:val="00A74A7E"/>
    <w:rsid w:val="00A837BA"/>
    <w:rsid w:val="00A87399"/>
    <w:rsid w:val="00AD1B8A"/>
    <w:rsid w:val="00AD76AF"/>
    <w:rsid w:val="00AE713F"/>
    <w:rsid w:val="00B061F7"/>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4195"/>
    <w:rsid w:val="00F067FE"/>
    <w:rsid w:val="00F15A10"/>
    <w:rsid w:val="00F202C3"/>
    <w:rsid w:val="00F23D94"/>
    <w:rsid w:val="00F31093"/>
    <w:rsid w:val="00F412AF"/>
    <w:rsid w:val="00F43667"/>
    <w:rsid w:val="00F447A7"/>
    <w:rsid w:val="00F467A2"/>
    <w:rsid w:val="00F567E6"/>
    <w:rsid w:val="00F63E01"/>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497942"/>
    <w:rPr>
      <w:rFonts w:ascii="Calibri" w:hAnsi="Calibri" w:cs="Calibr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chart" Target="charts/chart4.xml"/><Relationship Id="rId39" Type="http://schemas.openxmlformats.org/officeDocument/2006/relationships/footer" Target="footer9.xml"/><Relationship Id="rId21" Type="http://schemas.openxmlformats.org/officeDocument/2006/relationships/footer" Target="footer5.xml"/><Relationship Id="rId34" Type="http://schemas.openxmlformats.org/officeDocument/2006/relationships/footer" Target="footer8.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oter" Target="footer6.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2.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1.xml"/><Relationship Id="rId28" Type="http://schemas.openxmlformats.org/officeDocument/2006/relationships/header" Target="header10.xml"/><Relationship Id="rId36" Type="http://schemas.openxmlformats.org/officeDocument/2006/relationships/hyperlink" Target="https://www.researchgate.net/journal/0304-9809_Bangladesh_Journal_of_Scientific_and_Industrial_Research"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3.xml"/><Relationship Id="rId33" Type="http://schemas.openxmlformats.org/officeDocument/2006/relationships/header" Target="header13.xml"/><Relationship Id="rId38" Type="http://schemas.openxmlformats.org/officeDocument/2006/relationships/header" Target="header1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58092738407698"/>
          <c:y val="5.0925925925925923E-2"/>
          <c:w val="0.79419685039370091"/>
          <c:h val="0.74445246427529888"/>
        </c:manualLayout>
      </c:layout>
      <c:scatterChart>
        <c:scatterStyle val="lineMarker"/>
        <c:varyColors val="0"/>
        <c:ser>
          <c:idx val="0"/>
          <c:order val="0"/>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Sheet1!$B$4:$B$11</c:f>
              <c:numCache>
                <c:formatCode>General</c:formatCode>
                <c:ptCount val="8"/>
                <c:pt idx="0">
                  <c:v>10</c:v>
                </c:pt>
                <c:pt idx="1">
                  <c:v>20</c:v>
                </c:pt>
                <c:pt idx="2">
                  <c:v>30</c:v>
                </c:pt>
                <c:pt idx="3">
                  <c:v>40</c:v>
                </c:pt>
                <c:pt idx="4">
                  <c:v>50</c:v>
                </c:pt>
                <c:pt idx="5">
                  <c:v>60</c:v>
                </c:pt>
                <c:pt idx="6">
                  <c:v>70</c:v>
                </c:pt>
                <c:pt idx="7">
                  <c:v>80</c:v>
                </c:pt>
              </c:numCache>
            </c:numRef>
          </c:xVal>
          <c:yVal>
            <c:numRef>
              <c:f>Sheet1!$C$4:$C$11</c:f>
              <c:numCache>
                <c:formatCode>General</c:formatCode>
                <c:ptCount val="8"/>
                <c:pt idx="0">
                  <c:v>294</c:v>
                </c:pt>
                <c:pt idx="1">
                  <c:v>305</c:v>
                </c:pt>
                <c:pt idx="2">
                  <c:v>330</c:v>
                </c:pt>
                <c:pt idx="3">
                  <c:v>364</c:v>
                </c:pt>
                <c:pt idx="4">
                  <c:v>395</c:v>
                </c:pt>
                <c:pt idx="5">
                  <c:v>426</c:v>
                </c:pt>
                <c:pt idx="6">
                  <c:v>420</c:v>
                </c:pt>
                <c:pt idx="7">
                  <c:v>374</c:v>
                </c:pt>
              </c:numCache>
            </c:numRef>
          </c:yVal>
          <c:smooth val="0"/>
          <c:extLst>
            <c:ext xmlns:c16="http://schemas.microsoft.com/office/drawing/2014/chart" uri="{C3380CC4-5D6E-409C-BE32-E72D297353CC}">
              <c16:uniqueId val="{00000000-0FD6-417A-96B7-EE39F8A9AE72}"/>
            </c:ext>
          </c:extLst>
        </c:ser>
        <c:dLbls>
          <c:showLegendKey val="0"/>
          <c:showVal val="0"/>
          <c:showCatName val="0"/>
          <c:showSerName val="0"/>
          <c:showPercent val="0"/>
          <c:showBubbleSize val="0"/>
        </c:dLbls>
        <c:axId val="120275328"/>
        <c:axId val="120276864"/>
      </c:scatterChart>
      <c:valAx>
        <c:axId val="120275328"/>
        <c:scaling>
          <c:orientation val="minMax"/>
          <c:max val="90"/>
          <c:min val="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Accumulation</a:t>
                </a:r>
                <a:r>
                  <a:rPr lang="en-MY" sz="900" b="1" baseline="0">
                    <a:solidFill>
                      <a:sysClr val="windowText" lastClr="000000"/>
                    </a:solidFill>
                    <a:latin typeface="Times New Roman" panose="02020603050405020304" pitchFamily="18" charset="0"/>
                    <a:cs typeface="Times New Roman" panose="02020603050405020304" pitchFamily="18" charset="0"/>
                  </a:rPr>
                  <a:t> Time (s)</a:t>
                </a:r>
                <a:endParaRPr lang="en-MY"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114398239050589"/>
              <c:y val="0.89638651602302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276864"/>
        <c:crosses val="autoZero"/>
        <c:crossBetween val="midCat"/>
      </c:valAx>
      <c:valAx>
        <c:axId val="120276864"/>
        <c:scaling>
          <c:orientation val="minMax"/>
          <c:min val="25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Peak Height (nA)</a:t>
                </a:r>
              </a:p>
            </c:rich>
          </c:tx>
          <c:layout>
            <c:manualLayout>
              <c:xMode val="edge"/>
              <c:yMode val="edge"/>
              <c:x val="2.4336716570009534E-2"/>
              <c:y val="0.304003588618747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2753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lumMod val="15000"/>
          <a:lumOff val="85000"/>
        </a:sysClr>
      </a:solidFill>
      <a:round/>
    </a:ln>
    <a:effectLst/>
  </c:spPr>
  <c:txPr>
    <a:bodyPr rot="0"/>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702537182852144"/>
          <c:y val="5.0925925925925923E-2"/>
          <c:w val="0.79341907261592304"/>
          <c:h val="0.73056357538641004"/>
        </c:manualLayout>
      </c:layout>
      <c:scatterChart>
        <c:scatterStyle val="lineMarker"/>
        <c:varyColors val="0"/>
        <c:ser>
          <c:idx val="0"/>
          <c:order val="0"/>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Sheet1!$B$21:$B$26</c:f>
              <c:numCache>
                <c:formatCode>General</c:formatCode>
                <c:ptCount val="6"/>
                <c:pt idx="0">
                  <c:v>0</c:v>
                </c:pt>
                <c:pt idx="1">
                  <c:v>100</c:v>
                </c:pt>
                <c:pt idx="2">
                  <c:v>150</c:v>
                </c:pt>
                <c:pt idx="3">
                  <c:v>200</c:v>
                </c:pt>
                <c:pt idx="4">
                  <c:v>250</c:v>
                </c:pt>
                <c:pt idx="5">
                  <c:v>300</c:v>
                </c:pt>
              </c:numCache>
            </c:numRef>
          </c:xVal>
          <c:yVal>
            <c:numRef>
              <c:f>Sheet1!$C$21:$C$26</c:f>
              <c:numCache>
                <c:formatCode>General</c:formatCode>
                <c:ptCount val="6"/>
                <c:pt idx="0">
                  <c:v>449</c:v>
                </c:pt>
                <c:pt idx="1">
                  <c:v>444</c:v>
                </c:pt>
                <c:pt idx="2">
                  <c:v>409</c:v>
                </c:pt>
                <c:pt idx="3">
                  <c:v>349</c:v>
                </c:pt>
                <c:pt idx="4">
                  <c:v>236</c:v>
                </c:pt>
                <c:pt idx="5">
                  <c:v>112</c:v>
                </c:pt>
              </c:numCache>
            </c:numRef>
          </c:yVal>
          <c:smooth val="0"/>
          <c:extLst>
            <c:ext xmlns:c16="http://schemas.microsoft.com/office/drawing/2014/chart" uri="{C3380CC4-5D6E-409C-BE32-E72D297353CC}">
              <c16:uniqueId val="{00000000-A3C6-4A32-A040-21039DD6FCE0}"/>
            </c:ext>
          </c:extLst>
        </c:ser>
        <c:dLbls>
          <c:showLegendKey val="0"/>
          <c:showVal val="0"/>
          <c:showCatName val="0"/>
          <c:showSerName val="0"/>
          <c:showPercent val="0"/>
          <c:showBubbleSize val="0"/>
        </c:dLbls>
        <c:axId val="132008576"/>
        <c:axId val="153920640"/>
      </c:scatterChart>
      <c:valAx>
        <c:axId val="132008576"/>
        <c:scaling>
          <c:orientation val="minMax"/>
          <c:max val="30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Accumulation Potential (mV)</a:t>
                </a:r>
              </a:p>
            </c:rich>
          </c:tx>
          <c:layout>
            <c:manualLayout>
              <c:xMode val="edge"/>
              <c:yMode val="edge"/>
              <c:x val="0.35790157480314966"/>
              <c:y val="0.8935185185185184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3920640"/>
        <c:crosses val="autoZero"/>
        <c:crossBetween val="midCat"/>
      </c:valAx>
      <c:valAx>
        <c:axId val="15392064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Peak Height (nA)</a:t>
                </a:r>
              </a:p>
            </c:rich>
          </c:tx>
          <c:layout>
            <c:manualLayout>
              <c:xMode val="edge"/>
              <c:yMode val="edge"/>
              <c:x val="2.7208223972003495E-2"/>
              <c:y val="0.254390492855059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20085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96920384951881"/>
          <c:y val="5.0925925925925923E-2"/>
          <c:w val="0.78075240594925621"/>
          <c:h val="0.74445246427529888"/>
        </c:manualLayout>
      </c:layout>
      <c:scatterChart>
        <c:scatterStyle val="lineMarker"/>
        <c:varyColors val="0"/>
        <c:ser>
          <c:idx val="0"/>
          <c:order val="0"/>
          <c:spPr>
            <a:ln w="19050" cap="rnd">
              <a:solidFill>
                <a:schemeClr val="accent2"/>
              </a:solidFill>
              <a:round/>
            </a:ln>
            <a:effectLst/>
          </c:spPr>
          <c:marker>
            <c:symbol val="circle"/>
            <c:size val="5"/>
            <c:spPr>
              <a:solidFill>
                <a:schemeClr val="accent2"/>
              </a:solidFill>
              <a:ln w="9525">
                <a:solidFill>
                  <a:schemeClr val="accent2"/>
                </a:solidFill>
              </a:ln>
              <a:effectLst/>
            </c:spPr>
          </c:marker>
          <c:dPt>
            <c:idx val="1"/>
            <c:bubble3D val="0"/>
            <c:extLst>
              <c:ext xmlns:c16="http://schemas.microsoft.com/office/drawing/2014/chart" uri="{C3380CC4-5D6E-409C-BE32-E72D297353CC}">
                <c16:uniqueId val="{00000000-F6A2-4AA1-8388-4F3EA8F5A93F}"/>
              </c:ext>
            </c:extLst>
          </c:dPt>
          <c:xVal>
            <c:numRef>
              <c:f>Sheet1!$N$21:$N$28</c:f>
              <c:numCache>
                <c:formatCode>General</c:formatCode>
                <c:ptCount val="8"/>
                <c:pt idx="0">
                  <c:v>75</c:v>
                </c:pt>
                <c:pt idx="1">
                  <c:v>90</c:v>
                </c:pt>
                <c:pt idx="2">
                  <c:v>105</c:v>
                </c:pt>
                <c:pt idx="3">
                  <c:v>120</c:v>
                </c:pt>
                <c:pt idx="4">
                  <c:v>135</c:v>
                </c:pt>
                <c:pt idx="5">
                  <c:v>150</c:v>
                </c:pt>
                <c:pt idx="6">
                  <c:v>165</c:v>
                </c:pt>
                <c:pt idx="7">
                  <c:v>180</c:v>
                </c:pt>
              </c:numCache>
            </c:numRef>
          </c:xVal>
          <c:yVal>
            <c:numRef>
              <c:f>Sheet1!$O$21:$O$28</c:f>
              <c:numCache>
                <c:formatCode>General</c:formatCode>
                <c:ptCount val="8"/>
                <c:pt idx="0">
                  <c:v>452</c:v>
                </c:pt>
                <c:pt idx="1">
                  <c:v>495</c:v>
                </c:pt>
                <c:pt idx="2">
                  <c:v>572</c:v>
                </c:pt>
                <c:pt idx="3">
                  <c:v>635</c:v>
                </c:pt>
                <c:pt idx="4">
                  <c:v>757</c:v>
                </c:pt>
                <c:pt idx="5">
                  <c:v>857</c:v>
                </c:pt>
                <c:pt idx="6">
                  <c:v>774</c:v>
                </c:pt>
                <c:pt idx="7">
                  <c:v>723</c:v>
                </c:pt>
              </c:numCache>
            </c:numRef>
          </c:yVal>
          <c:smooth val="0"/>
          <c:extLst>
            <c:ext xmlns:c16="http://schemas.microsoft.com/office/drawing/2014/chart" uri="{C3380CC4-5D6E-409C-BE32-E72D297353CC}">
              <c16:uniqueId val="{00000001-F6A2-4AA1-8388-4F3EA8F5A93F}"/>
            </c:ext>
          </c:extLst>
        </c:ser>
        <c:dLbls>
          <c:showLegendKey val="0"/>
          <c:showVal val="0"/>
          <c:showCatName val="0"/>
          <c:showSerName val="0"/>
          <c:showPercent val="0"/>
          <c:showBubbleSize val="0"/>
        </c:dLbls>
        <c:axId val="154495232"/>
        <c:axId val="164041472"/>
      </c:scatterChart>
      <c:valAx>
        <c:axId val="154495232"/>
        <c:scaling>
          <c:orientation val="minMax"/>
          <c:max val="200"/>
          <c:min val="5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Pulse Amplitude (mV)</a:t>
                </a:r>
              </a:p>
            </c:rich>
          </c:tx>
          <c:layout>
            <c:manualLayout>
              <c:xMode val="edge"/>
              <c:yMode val="edge"/>
              <c:x val="0.40409601924759397"/>
              <c:y val="0.9074074074074074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041472"/>
        <c:crosses val="autoZero"/>
        <c:crossBetween val="midCat"/>
      </c:valAx>
      <c:valAx>
        <c:axId val="164041472"/>
        <c:scaling>
          <c:orientation val="minMax"/>
          <c:max val="1000"/>
          <c:min val="30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Peak Height (nA)</a:t>
                </a:r>
              </a:p>
            </c:rich>
          </c:tx>
          <c:layout>
            <c:manualLayout>
              <c:xMode val="edge"/>
              <c:yMode val="edge"/>
              <c:x val="3.2763779527559052E-2"/>
              <c:y val="0.2665893846602507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49523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47584194686866"/>
          <c:y val="5.0808702144985562E-2"/>
          <c:w val="0.77712508691300053"/>
          <c:h val="0.7450406960610344"/>
        </c:manualLayout>
      </c:layout>
      <c:scatterChart>
        <c:scatterStyle val="lineMarker"/>
        <c:varyColors val="0"/>
        <c:ser>
          <c:idx val="0"/>
          <c:order val="0"/>
          <c:spPr>
            <a:ln w="1905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olid"/>
              </a:ln>
              <a:effectLst/>
            </c:spPr>
            <c:trendlineType val="linear"/>
            <c:dispRSqr val="1"/>
            <c:dispEq val="1"/>
            <c:trendlineLbl>
              <c:layout>
                <c:manualLayout>
                  <c:x val="-0.33102340332458441"/>
                  <c:y val="0.13847222222222222"/>
                </c:manualLayout>
              </c:layout>
              <c:numFmt formatCode="General"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Sheet1!$N$4:$N$17</c:f>
              <c:numCache>
                <c:formatCode>General</c:formatCode>
                <c:ptCount val="14"/>
                <c:pt idx="0">
                  <c:v>5</c:v>
                </c:pt>
                <c:pt idx="1">
                  <c:v>7</c:v>
                </c:pt>
                <c:pt idx="2">
                  <c:v>10</c:v>
                </c:pt>
                <c:pt idx="3">
                  <c:v>20</c:v>
                </c:pt>
                <c:pt idx="4">
                  <c:v>30</c:v>
                </c:pt>
                <c:pt idx="5">
                  <c:v>40</c:v>
                </c:pt>
                <c:pt idx="6">
                  <c:v>50</c:v>
                </c:pt>
                <c:pt idx="7">
                  <c:v>70</c:v>
                </c:pt>
                <c:pt idx="8">
                  <c:v>80</c:v>
                </c:pt>
                <c:pt idx="9">
                  <c:v>90</c:v>
                </c:pt>
                <c:pt idx="10">
                  <c:v>150</c:v>
                </c:pt>
                <c:pt idx="11">
                  <c:v>200</c:v>
                </c:pt>
                <c:pt idx="12">
                  <c:v>250</c:v>
                </c:pt>
                <c:pt idx="13">
                  <c:v>300</c:v>
                </c:pt>
              </c:numCache>
            </c:numRef>
          </c:xVal>
          <c:yVal>
            <c:numRef>
              <c:f>Sheet1!$O$4:$O$17</c:f>
              <c:numCache>
                <c:formatCode>General</c:formatCode>
                <c:ptCount val="14"/>
                <c:pt idx="0">
                  <c:v>294</c:v>
                </c:pt>
                <c:pt idx="1">
                  <c:v>516</c:v>
                </c:pt>
                <c:pt idx="2">
                  <c:v>895</c:v>
                </c:pt>
                <c:pt idx="3">
                  <c:v>1963</c:v>
                </c:pt>
                <c:pt idx="4">
                  <c:v>3030</c:v>
                </c:pt>
                <c:pt idx="5">
                  <c:v>4024</c:v>
                </c:pt>
                <c:pt idx="6">
                  <c:v>5188</c:v>
                </c:pt>
                <c:pt idx="7">
                  <c:v>7520</c:v>
                </c:pt>
                <c:pt idx="8">
                  <c:v>8787</c:v>
                </c:pt>
                <c:pt idx="9">
                  <c:v>9800</c:v>
                </c:pt>
                <c:pt idx="10">
                  <c:v>16055</c:v>
                </c:pt>
                <c:pt idx="11">
                  <c:v>21883</c:v>
                </c:pt>
                <c:pt idx="12">
                  <c:v>27236</c:v>
                </c:pt>
                <c:pt idx="13">
                  <c:v>32615</c:v>
                </c:pt>
              </c:numCache>
            </c:numRef>
          </c:yVal>
          <c:smooth val="0"/>
          <c:extLst>
            <c:ext xmlns:c16="http://schemas.microsoft.com/office/drawing/2014/chart" uri="{C3380CC4-5D6E-409C-BE32-E72D297353CC}">
              <c16:uniqueId val="{00000001-C331-4A29-90A2-B11C0422F0BA}"/>
            </c:ext>
          </c:extLst>
        </c:ser>
        <c:dLbls>
          <c:showLegendKey val="0"/>
          <c:showVal val="0"/>
          <c:showCatName val="0"/>
          <c:showSerName val="0"/>
          <c:showPercent val="0"/>
          <c:showBubbleSize val="0"/>
        </c:dLbls>
        <c:axId val="179313280"/>
        <c:axId val="179356416"/>
      </c:scatterChart>
      <c:valAx>
        <c:axId val="179313280"/>
        <c:scaling>
          <c:orientation val="minMax"/>
          <c:max val="30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Concentration of Ascorbic Acid (mg/L)</a:t>
                </a:r>
              </a:p>
            </c:rich>
          </c:tx>
          <c:layout>
            <c:manualLayout>
              <c:xMode val="edge"/>
              <c:yMode val="edge"/>
              <c:x val="0.33542280653825601"/>
              <c:y val="0.8983825957100287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356416"/>
        <c:crosses val="autoZero"/>
        <c:crossBetween val="midCat"/>
      </c:valAx>
      <c:valAx>
        <c:axId val="179356416"/>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Peak Height (nA)</a:t>
                </a:r>
              </a:p>
            </c:rich>
          </c:tx>
          <c:layout>
            <c:manualLayout>
              <c:xMode val="edge"/>
              <c:yMode val="edge"/>
              <c:x val="1.8815288315687642E-2"/>
              <c:y val="0.2572655171122035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31328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4394</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3</cp:revision>
  <cp:lastPrinted>2020-10-19T03:32:00Z</cp:lastPrinted>
  <dcterms:created xsi:type="dcterms:W3CDTF">2020-10-19T03:36:00Z</dcterms:created>
  <dcterms:modified xsi:type="dcterms:W3CDTF">2020-11-27T10:52:00Z</dcterms:modified>
</cp:coreProperties>
</file>