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9.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E13959A" w14:textId="5D0E44A0" w:rsidR="00F23647" w:rsidRPr="00F23647" w:rsidRDefault="00F23647" w:rsidP="00F23647">
      <w:pPr>
        <w:spacing w:after="0"/>
        <w:jc w:val="center"/>
        <w:rPr>
          <w:rFonts w:ascii="Times New Roman" w:hAnsi="Times New Roman"/>
          <w:bCs/>
          <w:sz w:val="28"/>
          <w:szCs w:val="28"/>
        </w:rPr>
      </w:pPr>
      <w:r w:rsidRPr="00F23647">
        <w:rPr>
          <w:rFonts w:ascii="Times New Roman" w:hAnsi="Times New Roman"/>
          <w:bCs/>
          <w:sz w:val="28"/>
          <w:szCs w:val="28"/>
        </w:rPr>
        <w:t>DEVELOPMENT OF DISPERSIVE MICRO-SOLID PHASE EXTRACTION FOR THE ANALYSIS OF OFLOXACIN AND SPARFLOXACIN IN HUMAN PLASMA</w:t>
      </w:r>
    </w:p>
    <w:p w14:paraId="405EFBAE" w14:textId="77777777" w:rsidR="00F23647" w:rsidRPr="00F23647" w:rsidRDefault="00F23647" w:rsidP="00F23647">
      <w:pPr>
        <w:spacing w:after="0"/>
        <w:jc w:val="center"/>
        <w:outlineLvl w:val="0"/>
        <w:rPr>
          <w:rFonts w:ascii="Times New Roman" w:hAnsi="Times New Roman"/>
          <w:bCs/>
          <w:sz w:val="24"/>
        </w:rPr>
      </w:pPr>
    </w:p>
    <w:p w14:paraId="16EA07AC" w14:textId="77777777" w:rsidR="00F23647" w:rsidRPr="00F23647" w:rsidRDefault="00F23647" w:rsidP="00F23647">
      <w:pPr>
        <w:spacing w:after="0"/>
        <w:jc w:val="center"/>
        <w:outlineLvl w:val="0"/>
        <w:rPr>
          <w:rFonts w:ascii="Times New Roman" w:hAnsi="Times New Roman"/>
          <w:bCs/>
          <w:sz w:val="24"/>
          <w:szCs w:val="24"/>
          <w:lang w:val="ms-MY"/>
        </w:rPr>
      </w:pPr>
      <w:r w:rsidRPr="00F23647">
        <w:rPr>
          <w:rFonts w:ascii="Times New Roman" w:hAnsi="Times New Roman"/>
          <w:bCs/>
          <w:sz w:val="24"/>
          <w:szCs w:val="24"/>
        </w:rPr>
        <w:t xml:space="preserve">(Pembangunan </w:t>
      </w:r>
      <w:r w:rsidRPr="00F23647">
        <w:rPr>
          <w:rFonts w:ascii="Times New Roman" w:hAnsi="Times New Roman"/>
          <w:bCs/>
          <w:sz w:val="24"/>
          <w:szCs w:val="24"/>
          <w:lang w:val="ms-MY"/>
        </w:rPr>
        <w:t xml:space="preserve">Pengekstrakan Fasa Pepejal-Mikro Disesarkan untuk Analisis Oflosaksin </w:t>
      </w:r>
    </w:p>
    <w:p w14:paraId="2B351393" w14:textId="77777777" w:rsidR="00F23647" w:rsidRPr="00F23647" w:rsidRDefault="00F23647" w:rsidP="00F23647">
      <w:pPr>
        <w:spacing w:after="0"/>
        <w:jc w:val="center"/>
        <w:outlineLvl w:val="0"/>
        <w:rPr>
          <w:rFonts w:ascii="Times New Roman" w:hAnsi="Times New Roman"/>
          <w:bCs/>
          <w:sz w:val="24"/>
          <w:szCs w:val="24"/>
          <w:lang w:val="ms-MY"/>
        </w:rPr>
      </w:pPr>
      <w:r w:rsidRPr="00F23647">
        <w:rPr>
          <w:rFonts w:ascii="Times New Roman" w:hAnsi="Times New Roman"/>
          <w:bCs/>
          <w:sz w:val="24"/>
          <w:szCs w:val="24"/>
          <w:lang w:val="ms-MY"/>
        </w:rPr>
        <w:t>dan Sparflosaksin dalam Plasma Manusia)</w:t>
      </w:r>
    </w:p>
    <w:p w14:paraId="2E3CA9D2" w14:textId="77777777" w:rsidR="00F23647" w:rsidRPr="00F23647" w:rsidRDefault="00F23647" w:rsidP="00F23647">
      <w:pPr>
        <w:spacing w:after="0"/>
        <w:jc w:val="center"/>
        <w:outlineLvl w:val="0"/>
        <w:rPr>
          <w:rFonts w:ascii="Times New Roman" w:hAnsi="Times New Roman"/>
          <w:b/>
          <w:sz w:val="20"/>
          <w:szCs w:val="20"/>
          <w:lang w:val="en-MY"/>
        </w:rPr>
      </w:pPr>
    </w:p>
    <w:p w14:paraId="1FCBE8D3" w14:textId="77777777" w:rsidR="00F23647" w:rsidRDefault="00F23647" w:rsidP="00F23647">
      <w:pPr>
        <w:spacing w:after="0"/>
        <w:jc w:val="center"/>
        <w:rPr>
          <w:rFonts w:ascii="Times New Roman" w:hAnsi="Times New Roman"/>
          <w:bCs/>
          <w:sz w:val="20"/>
          <w:szCs w:val="20"/>
          <w:lang w:val="ms-MY"/>
        </w:rPr>
      </w:pPr>
      <w:r w:rsidRPr="00F23647">
        <w:rPr>
          <w:rFonts w:ascii="Times New Roman" w:hAnsi="Times New Roman"/>
          <w:bCs/>
          <w:sz w:val="20"/>
          <w:szCs w:val="20"/>
          <w:lang w:val="ms-MY"/>
        </w:rPr>
        <w:t>Sohaib Jumaah Owaid</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Noorfatimah Yahaya</w:t>
      </w:r>
      <w:r w:rsidRPr="00F23647">
        <w:rPr>
          <w:rFonts w:ascii="Times New Roman" w:hAnsi="Times New Roman"/>
          <w:bCs/>
          <w:sz w:val="20"/>
          <w:szCs w:val="20"/>
          <w:vertAlign w:val="superscript"/>
          <w:lang w:val="ms-MY"/>
        </w:rPr>
        <w:t>2</w:t>
      </w:r>
      <w:r w:rsidRPr="00F23647">
        <w:rPr>
          <w:rFonts w:ascii="Times New Roman" w:hAnsi="Times New Roman"/>
          <w:bCs/>
          <w:sz w:val="20"/>
          <w:szCs w:val="20"/>
          <w:lang w:val="ms-MY"/>
        </w:rPr>
        <w:t>, Nurul Yani Rahim</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Rania Adam Edrees Mohammad</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xml:space="preserve">, </w:t>
      </w:r>
    </w:p>
    <w:p w14:paraId="3BF99BF2" w14:textId="42ADC784" w:rsidR="00F23647" w:rsidRPr="00F23647" w:rsidRDefault="00F23647" w:rsidP="00F23647">
      <w:pPr>
        <w:spacing w:after="0"/>
        <w:jc w:val="center"/>
        <w:rPr>
          <w:rFonts w:ascii="Times New Roman" w:hAnsi="Times New Roman"/>
          <w:bCs/>
          <w:sz w:val="20"/>
          <w:szCs w:val="20"/>
          <w:lang w:val="ms-MY"/>
        </w:rPr>
      </w:pPr>
      <w:r w:rsidRPr="00F23647">
        <w:rPr>
          <w:rFonts w:ascii="Times New Roman" w:hAnsi="Times New Roman"/>
          <w:bCs/>
          <w:sz w:val="20"/>
          <w:szCs w:val="20"/>
          <w:lang w:val="ms-MY"/>
        </w:rPr>
        <w:t>Maizatul Najwa Jajuli</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 Mazidatulakmam Miskam</w:t>
      </w:r>
      <w:r w:rsidRPr="00F23647">
        <w:rPr>
          <w:rFonts w:ascii="Times New Roman" w:hAnsi="Times New Roman"/>
          <w:bCs/>
          <w:sz w:val="20"/>
          <w:szCs w:val="20"/>
          <w:vertAlign w:val="superscript"/>
          <w:lang w:val="ms-MY"/>
        </w:rPr>
        <w:t>1</w:t>
      </w:r>
      <w:r w:rsidRPr="00F23647">
        <w:rPr>
          <w:rFonts w:ascii="Times New Roman" w:hAnsi="Times New Roman"/>
          <w:bCs/>
          <w:sz w:val="20"/>
          <w:szCs w:val="20"/>
          <w:lang w:val="ms-MY"/>
        </w:rPr>
        <w:t>*</w:t>
      </w:r>
    </w:p>
    <w:p w14:paraId="71E0627C" w14:textId="77777777" w:rsidR="00F23647" w:rsidRPr="00F23647" w:rsidRDefault="00F23647" w:rsidP="00F23647">
      <w:pPr>
        <w:spacing w:after="0"/>
        <w:jc w:val="center"/>
        <w:outlineLvl w:val="0"/>
        <w:rPr>
          <w:rFonts w:ascii="Times New Roman" w:hAnsi="Times New Roman"/>
          <w:b/>
          <w:sz w:val="18"/>
          <w:szCs w:val="18"/>
        </w:rPr>
      </w:pPr>
    </w:p>
    <w:p w14:paraId="482F2B81" w14:textId="13EDEF16" w:rsidR="00F23647" w:rsidRDefault="00F23647" w:rsidP="00F23647">
      <w:pPr>
        <w:spacing w:after="0"/>
        <w:jc w:val="center"/>
        <w:rPr>
          <w:rFonts w:ascii="Times New Roman" w:hAnsi="Times New Roman"/>
          <w:bCs/>
          <w:i/>
          <w:iCs/>
          <w:sz w:val="18"/>
          <w:szCs w:val="18"/>
        </w:rPr>
      </w:pPr>
      <w:r w:rsidRPr="00F23647">
        <w:rPr>
          <w:rFonts w:ascii="Times New Roman" w:hAnsi="Times New Roman"/>
          <w:bCs/>
          <w:i/>
          <w:iCs/>
          <w:sz w:val="18"/>
          <w:szCs w:val="18"/>
          <w:vertAlign w:val="superscript"/>
        </w:rPr>
        <w:t>1</w:t>
      </w:r>
      <w:r w:rsidRPr="00F23647">
        <w:rPr>
          <w:rFonts w:ascii="Times New Roman" w:hAnsi="Times New Roman"/>
          <w:bCs/>
          <w:i/>
          <w:iCs/>
          <w:sz w:val="18"/>
          <w:szCs w:val="18"/>
        </w:rPr>
        <w:t>School of Chemical Sciences</w:t>
      </w:r>
      <w:r w:rsidR="00417127">
        <w:rPr>
          <w:rFonts w:ascii="Times New Roman" w:hAnsi="Times New Roman"/>
          <w:bCs/>
          <w:i/>
          <w:iCs/>
          <w:sz w:val="18"/>
          <w:szCs w:val="18"/>
        </w:rPr>
        <w:t>,</w:t>
      </w:r>
    </w:p>
    <w:p w14:paraId="29F9CCED" w14:textId="13EE5EA1" w:rsidR="00417127" w:rsidRPr="00F23647" w:rsidRDefault="00417127" w:rsidP="00F23647">
      <w:pPr>
        <w:spacing w:after="0"/>
        <w:jc w:val="center"/>
        <w:rPr>
          <w:rFonts w:ascii="Times New Roman" w:hAnsi="Times New Roman"/>
          <w:bCs/>
          <w:i/>
          <w:iCs/>
          <w:sz w:val="18"/>
          <w:szCs w:val="18"/>
        </w:rPr>
      </w:pPr>
      <w:r w:rsidRPr="00F23647">
        <w:rPr>
          <w:rFonts w:ascii="Times New Roman" w:hAnsi="Times New Roman"/>
          <w:bCs/>
          <w:i/>
          <w:iCs/>
          <w:sz w:val="18"/>
          <w:szCs w:val="18"/>
        </w:rPr>
        <w:t xml:space="preserve">Universiti Sains Malaysia, </w:t>
      </w:r>
      <w:r>
        <w:rPr>
          <w:rFonts w:ascii="Times New Roman" w:hAnsi="Times New Roman"/>
          <w:bCs/>
          <w:i/>
          <w:iCs/>
          <w:sz w:val="18"/>
          <w:szCs w:val="18"/>
        </w:rPr>
        <w:t>119</w:t>
      </w:r>
      <w:r w:rsidRPr="00F23647">
        <w:rPr>
          <w:rFonts w:ascii="Times New Roman" w:hAnsi="Times New Roman"/>
          <w:bCs/>
          <w:i/>
          <w:iCs/>
          <w:sz w:val="18"/>
          <w:szCs w:val="18"/>
        </w:rPr>
        <w:t xml:space="preserve">00 </w:t>
      </w:r>
      <w:r>
        <w:rPr>
          <w:rFonts w:ascii="Times New Roman" w:hAnsi="Times New Roman"/>
          <w:bCs/>
          <w:i/>
          <w:iCs/>
          <w:sz w:val="18"/>
          <w:szCs w:val="18"/>
        </w:rPr>
        <w:t>Minden</w:t>
      </w:r>
      <w:r w:rsidRPr="00F23647">
        <w:rPr>
          <w:rFonts w:ascii="Times New Roman" w:hAnsi="Times New Roman"/>
          <w:bCs/>
          <w:i/>
          <w:iCs/>
          <w:sz w:val="18"/>
          <w:szCs w:val="18"/>
        </w:rPr>
        <w:t>, Pulau Pinang, Malaysia</w:t>
      </w:r>
    </w:p>
    <w:p w14:paraId="54A4C276" w14:textId="12F9CB03" w:rsidR="00F23647" w:rsidRPr="00F23647" w:rsidRDefault="00F23647" w:rsidP="00F23647">
      <w:pPr>
        <w:spacing w:after="0"/>
        <w:jc w:val="center"/>
        <w:rPr>
          <w:rFonts w:ascii="Times New Roman" w:hAnsi="Times New Roman"/>
          <w:bCs/>
          <w:i/>
          <w:iCs/>
          <w:sz w:val="18"/>
          <w:szCs w:val="18"/>
        </w:rPr>
      </w:pPr>
      <w:r w:rsidRPr="00F23647">
        <w:rPr>
          <w:rFonts w:ascii="Times New Roman" w:hAnsi="Times New Roman"/>
          <w:bCs/>
          <w:i/>
          <w:iCs/>
          <w:sz w:val="18"/>
          <w:szCs w:val="18"/>
          <w:vertAlign w:val="superscript"/>
        </w:rPr>
        <w:t>2</w:t>
      </w:r>
      <w:r w:rsidRPr="00F23647">
        <w:rPr>
          <w:rFonts w:ascii="Times New Roman" w:hAnsi="Times New Roman"/>
          <w:bCs/>
          <w:i/>
          <w:iCs/>
          <w:sz w:val="18"/>
          <w:szCs w:val="18"/>
        </w:rPr>
        <w:t xml:space="preserve"> Integrative Medicine Cluster, Advanced Medical and Dental Institute (AMDI)</w:t>
      </w:r>
      <w:r w:rsidR="00417127">
        <w:rPr>
          <w:rFonts w:ascii="Times New Roman" w:hAnsi="Times New Roman"/>
          <w:bCs/>
          <w:i/>
          <w:iCs/>
          <w:sz w:val="18"/>
          <w:szCs w:val="18"/>
        </w:rPr>
        <w:t>,</w:t>
      </w:r>
    </w:p>
    <w:p w14:paraId="4FC51776" w14:textId="77777777" w:rsidR="00F23647" w:rsidRPr="00F23647" w:rsidRDefault="00F23647" w:rsidP="00F23647">
      <w:pPr>
        <w:spacing w:after="0"/>
        <w:jc w:val="center"/>
        <w:rPr>
          <w:rFonts w:ascii="Times New Roman" w:hAnsi="Times New Roman"/>
          <w:bCs/>
          <w:i/>
          <w:iCs/>
          <w:sz w:val="18"/>
          <w:szCs w:val="18"/>
        </w:rPr>
      </w:pPr>
      <w:r w:rsidRPr="00F23647">
        <w:rPr>
          <w:rFonts w:ascii="Times New Roman" w:hAnsi="Times New Roman"/>
          <w:bCs/>
          <w:i/>
          <w:iCs/>
          <w:sz w:val="18"/>
          <w:szCs w:val="18"/>
        </w:rPr>
        <w:t>Universiti Sains Malaysia, 13200 Bertam, Pulau Pinang, Malaysia</w:t>
      </w:r>
    </w:p>
    <w:p w14:paraId="5721E79A" w14:textId="77777777" w:rsidR="00F23647" w:rsidRPr="00F23647" w:rsidRDefault="00F23647" w:rsidP="00F23647">
      <w:pPr>
        <w:spacing w:after="0"/>
        <w:jc w:val="center"/>
        <w:outlineLvl w:val="0"/>
        <w:rPr>
          <w:rFonts w:ascii="Times New Roman" w:hAnsi="Times New Roman"/>
          <w:b/>
          <w:sz w:val="18"/>
          <w:szCs w:val="18"/>
        </w:rPr>
      </w:pPr>
    </w:p>
    <w:p w14:paraId="4ABEE1B3" w14:textId="6CE62B00" w:rsidR="00F23647" w:rsidRPr="00F23647" w:rsidRDefault="00F23647" w:rsidP="00F23647">
      <w:pPr>
        <w:spacing w:after="0"/>
        <w:jc w:val="center"/>
        <w:outlineLvl w:val="0"/>
        <w:rPr>
          <w:rFonts w:ascii="Times New Roman" w:hAnsi="Times New Roman"/>
          <w:i/>
          <w:sz w:val="18"/>
          <w:szCs w:val="18"/>
        </w:rPr>
      </w:pPr>
      <w:r w:rsidRPr="00F23647">
        <w:rPr>
          <w:rFonts w:ascii="Times New Roman" w:hAnsi="Times New Roman"/>
          <w:i/>
          <w:sz w:val="18"/>
          <w:szCs w:val="18"/>
        </w:rPr>
        <w:t xml:space="preserve">*Corresponding author: </w:t>
      </w:r>
      <w:r>
        <w:rPr>
          <w:rFonts w:ascii="Times New Roman" w:hAnsi="Times New Roman"/>
          <w:i/>
          <w:sz w:val="18"/>
          <w:szCs w:val="18"/>
        </w:rPr>
        <w:t xml:space="preserve"> </w:t>
      </w:r>
      <w:r w:rsidRPr="00F23647">
        <w:rPr>
          <w:rFonts w:ascii="Times New Roman" w:hAnsi="Times New Roman"/>
          <w:i/>
          <w:iCs/>
          <w:sz w:val="18"/>
          <w:szCs w:val="18"/>
        </w:rPr>
        <w:t>mazidatul@usm.my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797B7DEF"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E2389">
        <w:rPr>
          <w:rFonts w:ascii="Times New Roman" w:hAnsi="Times New Roman"/>
          <w:noProof/>
          <w:sz w:val="18"/>
          <w:szCs w:val="18"/>
          <w:lang w:bidi="ar-SA"/>
        </w:rPr>
        <w:t>13 August 2020</w:t>
      </w:r>
      <w:r>
        <w:rPr>
          <w:rFonts w:ascii="Times New Roman" w:hAnsi="Times New Roman"/>
          <w:noProof/>
          <w:sz w:val="18"/>
          <w:szCs w:val="18"/>
          <w:lang w:bidi="ar-SA"/>
        </w:rPr>
        <w:t xml:space="preserve">; Accepted: </w:t>
      </w:r>
      <w:r w:rsidR="001E2389">
        <w:rPr>
          <w:rFonts w:ascii="Times New Roman" w:hAnsi="Times New Roman"/>
          <w:noProof/>
          <w:sz w:val="18"/>
          <w:szCs w:val="18"/>
          <w:lang w:bidi="ar-SA"/>
        </w:rPr>
        <w:t>18 October 2020</w:t>
      </w:r>
      <w:r w:rsidR="00F82059">
        <w:rPr>
          <w:rFonts w:ascii="Times New Roman" w:hAnsi="Times New Roman"/>
          <w:noProof/>
          <w:sz w:val="18"/>
          <w:szCs w:val="18"/>
          <w:lang w:bidi="ar-SA"/>
        </w:rPr>
        <w:t xml:space="preserve">; Published:  </w:t>
      </w:r>
      <w:r w:rsidR="001E2389">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5126EFA" w14:textId="77777777" w:rsidR="00F23647" w:rsidRPr="00453284" w:rsidRDefault="00F23647" w:rsidP="00F23647">
      <w:pPr>
        <w:spacing w:after="0"/>
        <w:jc w:val="both"/>
        <w:outlineLvl w:val="0"/>
        <w:rPr>
          <w:rFonts w:ascii="Times New Roman" w:hAnsi="Times New Roman"/>
          <w:sz w:val="18"/>
          <w:szCs w:val="18"/>
          <w:lang w:val="en-MY"/>
        </w:rPr>
      </w:pPr>
      <w:r w:rsidRPr="00453284">
        <w:rPr>
          <w:rFonts w:ascii="Times New Roman" w:hAnsi="Times New Roman"/>
          <w:sz w:val="18"/>
          <w:szCs w:val="18"/>
        </w:rPr>
        <w:t>D</w:t>
      </w:r>
      <w:r w:rsidRPr="00453284">
        <w:rPr>
          <w:rFonts w:ascii="Times New Roman" w:hAnsi="Times New Roman"/>
          <w:sz w:val="18"/>
          <w:szCs w:val="18"/>
          <w:lang w:val="en-MY"/>
        </w:rPr>
        <w:t>ispersive micro-solid phase extraction (D-μ-SPE) using C</w:t>
      </w:r>
      <w:r w:rsidRPr="00453284">
        <w:rPr>
          <w:rFonts w:ascii="Times New Roman" w:hAnsi="Times New Roman"/>
          <w:sz w:val="18"/>
          <w:szCs w:val="18"/>
          <w:vertAlign w:val="subscript"/>
          <w:lang w:val="en-MY"/>
        </w:rPr>
        <w:t>18</w:t>
      </w:r>
      <w:r w:rsidRPr="00453284">
        <w:rPr>
          <w:rFonts w:ascii="Times New Roman" w:hAnsi="Times New Roman"/>
          <w:sz w:val="18"/>
          <w:szCs w:val="18"/>
          <w:lang w:val="en-MY"/>
        </w:rPr>
        <w:t xml:space="preserve"> adsorbent combined with HPLV-UV was developed for the determination of ofloxacin and sparfloxacin in human plasma. Seven D‐μ‐SPE parameters namely type and amount of adsorbent mass, sample volume, pH of sample solution, extraction time, desorption solvent and volume were optimized. Under optimum conditions, calibration curves showed good linearity in the range of 0.5–1000 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with acceptable limit of detection (LOD) of 0.73 and 1.81 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and limit of quantitation (LOQ) of 2.44 and 6.03 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for ofloxacin and sparfloxacin, resp</w:t>
      </w:r>
      <w:r w:rsidRPr="00453284">
        <w:rPr>
          <w:rFonts w:ascii="Times New Roman" w:hAnsi="Times New Roman" w:hint="eastAsia"/>
          <w:sz w:val="18"/>
          <w:szCs w:val="18"/>
          <w:lang w:val="en-MY"/>
        </w:rPr>
        <w:t xml:space="preserve">ectively. The </w:t>
      </w:r>
      <w:r w:rsidRPr="00453284">
        <w:rPr>
          <w:rFonts w:ascii="Times New Roman" w:hAnsi="Times New Roman"/>
          <w:sz w:val="18"/>
          <w:szCs w:val="18"/>
          <w:lang w:val="en-MY"/>
        </w:rPr>
        <w:t xml:space="preserve">D‐μ‐SPE </w:t>
      </w:r>
      <w:r w:rsidRPr="00453284">
        <w:rPr>
          <w:rFonts w:ascii="Times New Roman" w:hAnsi="Times New Roman" w:hint="eastAsia"/>
          <w:sz w:val="18"/>
          <w:szCs w:val="18"/>
          <w:lang w:val="en-MY"/>
        </w:rPr>
        <w:t xml:space="preserve">also demonstrated acceptable precision at the concentration of 500 dan 1000 </w:t>
      </w:r>
      <w:r w:rsidRPr="00453284">
        <w:rPr>
          <w:rFonts w:ascii="Times New Roman" w:hAnsi="Times New Roman"/>
          <w:sz w:val="18"/>
          <w:szCs w:val="18"/>
          <w:lang w:val="en-MY"/>
        </w:rPr>
        <w:t>μg L</w:t>
      </w:r>
      <w:r w:rsidRPr="00453284">
        <w:rPr>
          <w:rFonts w:ascii="Times New Roman" w:hAnsi="Times New Roman"/>
          <w:sz w:val="18"/>
          <w:szCs w:val="18"/>
          <w:vertAlign w:val="superscript"/>
          <w:lang w:val="en-MY"/>
        </w:rPr>
        <w:t>-1</w:t>
      </w:r>
      <w:r w:rsidRPr="00453284">
        <w:rPr>
          <w:rFonts w:ascii="Times New Roman" w:hAnsi="Times New Roman"/>
          <w:sz w:val="18"/>
          <w:szCs w:val="18"/>
          <w:lang w:val="en-MY"/>
        </w:rPr>
        <w:t xml:space="preserve"> </w:t>
      </w:r>
      <w:r w:rsidRPr="00453284">
        <w:rPr>
          <w:rFonts w:ascii="Times New Roman" w:hAnsi="Times New Roman" w:hint="eastAsia"/>
          <w:sz w:val="18"/>
          <w:szCs w:val="18"/>
          <w:lang w:val="en-MY"/>
        </w:rPr>
        <w:t xml:space="preserve">of ofloxacin and sparfloxacin, respectively in human plasma with RSD value of </w:t>
      </w:r>
      <w:r w:rsidRPr="00453284">
        <w:rPr>
          <w:rFonts w:ascii="Times New Roman" w:hAnsi="Times New Roman"/>
          <w:sz w:val="18"/>
          <w:szCs w:val="18"/>
        </w:rPr>
        <w:t>≤</w:t>
      </w:r>
      <w:r w:rsidRPr="00453284">
        <w:rPr>
          <w:rFonts w:ascii="Times New Roman" w:hAnsi="Times New Roman" w:hint="eastAsia"/>
          <w:sz w:val="18"/>
          <w:szCs w:val="18"/>
          <w:lang w:val="en-MY"/>
        </w:rPr>
        <w:t>12.5%. A good relative recoveries was obtained between 90.1-109.5%. The</w:t>
      </w:r>
      <w:r w:rsidRPr="00453284">
        <w:rPr>
          <w:rFonts w:ascii="Times New Roman" w:hAnsi="Times New Roman"/>
          <w:sz w:val="18"/>
          <w:szCs w:val="18"/>
          <w:lang w:val="en-MY"/>
        </w:rPr>
        <w:t xml:space="preserve"> developed D-μ-SPE method has proven to be a fast and simple approach which only </w:t>
      </w:r>
      <w:r w:rsidRPr="00453284">
        <w:rPr>
          <w:rFonts w:ascii="Times New Roman" w:hAnsi="Times New Roman" w:hint="eastAsia"/>
          <w:sz w:val="18"/>
          <w:szCs w:val="18"/>
          <w:lang w:val="en-MY"/>
        </w:rPr>
        <w:t>requir</w:t>
      </w:r>
      <w:r w:rsidRPr="00453284">
        <w:rPr>
          <w:rFonts w:ascii="Times New Roman" w:hAnsi="Times New Roman"/>
          <w:sz w:val="18"/>
          <w:szCs w:val="18"/>
          <w:lang w:val="en-MY"/>
        </w:rPr>
        <w:t>es</w:t>
      </w:r>
      <w:r w:rsidRPr="00453284">
        <w:rPr>
          <w:rFonts w:ascii="Times New Roman" w:hAnsi="Times New Roman" w:hint="eastAsia"/>
          <w:sz w:val="18"/>
          <w:szCs w:val="18"/>
          <w:lang w:val="en-MY"/>
        </w:rPr>
        <w:t xml:space="preserve"> </w:t>
      </w:r>
      <w:r w:rsidRPr="00453284">
        <w:rPr>
          <w:rFonts w:ascii="Times New Roman" w:hAnsi="Times New Roman"/>
          <w:sz w:val="18"/>
          <w:szCs w:val="18"/>
          <w:lang w:val="en-MY"/>
        </w:rPr>
        <w:t>low</w:t>
      </w:r>
      <w:r w:rsidRPr="00453284">
        <w:rPr>
          <w:rFonts w:ascii="Times New Roman" w:hAnsi="Times New Roman" w:hint="eastAsia"/>
          <w:sz w:val="18"/>
          <w:szCs w:val="18"/>
          <w:lang w:val="en-MY"/>
        </w:rPr>
        <w:t xml:space="preserve"> amount of </w:t>
      </w:r>
      <w:r w:rsidRPr="00453284">
        <w:rPr>
          <w:rFonts w:ascii="Times New Roman" w:hAnsi="Times New Roman"/>
          <w:sz w:val="18"/>
          <w:szCs w:val="18"/>
          <w:lang w:val="en-MY"/>
        </w:rPr>
        <w:t xml:space="preserve">extraction </w:t>
      </w:r>
      <w:r w:rsidRPr="00453284">
        <w:rPr>
          <w:rFonts w:ascii="Times New Roman" w:hAnsi="Times New Roman" w:hint="eastAsia"/>
          <w:sz w:val="18"/>
          <w:szCs w:val="18"/>
          <w:lang w:val="en-MY"/>
        </w:rPr>
        <w:t>solvent for drug analysis.</w:t>
      </w:r>
    </w:p>
    <w:p w14:paraId="0F385BCB" w14:textId="77777777" w:rsidR="00F23647" w:rsidRPr="00453284" w:rsidRDefault="00F23647" w:rsidP="00F23647">
      <w:pPr>
        <w:spacing w:after="0"/>
        <w:jc w:val="both"/>
        <w:outlineLvl w:val="0"/>
        <w:rPr>
          <w:rFonts w:ascii="Times New Roman" w:hAnsi="Times New Roman"/>
          <w:b/>
          <w:sz w:val="18"/>
          <w:szCs w:val="18"/>
          <w:lang w:val="en-MY"/>
        </w:rPr>
      </w:pPr>
    </w:p>
    <w:p w14:paraId="00262E9A" w14:textId="055CCF22" w:rsidR="00F23647" w:rsidRPr="00453284" w:rsidRDefault="00F23647" w:rsidP="00F23647">
      <w:pPr>
        <w:spacing w:after="0"/>
        <w:ind w:left="993" w:hanging="993"/>
        <w:jc w:val="both"/>
        <w:outlineLvl w:val="0"/>
        <w:rPr>
          <w:rFonts w:ascii="Times New Roman" w:hAnsi="Times New Roman"/>
          <w:lang w:val="en-MY"/>
        </w:rPr>
      </w:pPr>
      <w:r w:rsidRPr="00453284">
        <w:rPr>
          <w:rFonts w:ascii="Times New Roman" w:hAnsi="Times New Roman"/>
          <w:b/>
          <w:sz w:val="18"/>
          <w:szCs w:val="18"/>
        </w:rPr>
        <w:t>Keywords</w:t>
      </w:r>
      <w:r w:rsidRPr="00453284">
        <w:rPr>
          <w:rFonts w:ascii="Times New Roman" w:hAnsi="Times New Roman"/>
          <w:b/>
          <w:bCs/>
          <w:sz w:val="18"/>
          <w:szCs w:val="18"/>
        </w:rPr>
        <w:t>:</w:t>
      </w:r>
      <w:r w:rsidRPr="00453284">
        <w:rPr>
          <w:rFonts w:ascii="Times New Roman" w:hAnsi="Times New Roman"/>
        </w:rPr>
        <w:t xml:space="preserve"> </w:t>
      </w:r>
      <w:r>
        <w:rPr>
          <w:rFonts w:ascii="Times New Roman" w:hAnsi="Times New Roman"/>
        </w:rPr>
        <w:tab/>
      </w:r>
      <w:r w:rsidRPr="00453284">
        <w:rPr>
          <w:rFonts w:ascii="Times New Roman" w:hAnsi="Times New Roman"/>
          <w:sz w:val="18"/>
          <w:szCs w:val="20"/>
          <w:lang w:val="en-MY"/>
        </w:rPr>
        <w:t xml:space="preserve">dispersive micro-solid phase extraction, high performance liquid chromatography, ofloxacin, sparfloxacin, human plasma  </w:t>
      </w:r>
    </w:p>
    <w:p w14:paraId="53D671BB" w14:textId="77777777" w:rsidR="00F23647" w:rsidRPr="00453284" w:rsidRDefault="00F23647" w:rsidP="00F23647">
      <w:pPr>
        <w:spacing w:after="0"/>
        <w:jc w:val="center"/>
        <w:outlineLvl w:val="0"/>
        <w:rPr>
          <w:rFonts w:ascii="Times New Roman" w:hAnsi="Times New Roman"/>
          <w:b/>
          <w:sz w:val="18"/>
          <w:szCs w:val="18"/>
        </w:rPr>
      </w:pPr>
    </w:p>
    <w:p w14:paraId="64D5FE15" w14:textId="77777777" w:rsidR="00F23647" w:rsidRPr="00453284" w:rsidRDefault="00F23647" w:rsidP="00F23647">
      <w:pPr>
        <w:spacing w:after="0"/>
        <w:jc w:val="center"/>
        <w:outlineLvl w:val="0"/>
        <w:rPr>
          <w:rFonts w:ascii="Times New Roman" w:hAnsi="Times New Roman"/>
          <w:b/>
          <w:sz w:val="18"/>
          <w:szCs w:val="18"/>
          <w:lang w:val="ms-MY"/>
        </w:rPr>
      </w:pPr>
      <w:r w:rsidRPr="00453284">
        <w:rPr>
          <w:rFonts w:ascii="Times New Roman" w:hAnsi="Times New Roman"/>
          <w:b/>
          <w:sz w:val="18"/>
          <w:szCs w:val="18"/>
          <w:lang w:val="ms-MY"/>
        </w:rPr>
        <w:t>Abstrak</w:t>
      </w:r>
    </w:p>
    <w:p w14:paraId="00814A1E" w14:textId="77777777" w:rsidR="00F23647" w:rsidRPr="00453284" w:rsidRDefault="00F23647" w:rsidP="00F23647">
      <w:pPr>
        <w:spacing w:after="0"/>
        <w:jc w:val="both"/>
        <w:outlineLvl w:val="0"/>
        <w:rPr>
          <w:rFonts w:ascii="Times New Roman" w:hAnsi="Times New Roman"/>
          <w:sz w:val="18"/>
          <w:szCs w:val="18"/>
          <w:lang w:val="ms-MY"/>
        </w:rPr>
      </w:pPr>
      <w:r w:rsidRPr="00453284">
        <w:rPr>
          <w:rFonts w:ascii="Times New Roman" w:hAnsi="Times New Roman"/>
          <w:sz w:val="18"/>
          <w:szCs w:val="18"/>
          <w:lang w:val="ms-MY"/>
        </w:rPr>
        <w:t>Pengekstrakkan fasa pepejal mikro disesarkan (D-µ-SPE) menggunakan penjerap C</w:t>
      </w:r>
      <w:r w:rsidRPr="00453284">
        <w:rPr>
          <w:rFonts w:ascii="Times New Roman" w:hAnsi="Times New Roman"/>
          <w:sz w:val="18"/>
          <w:szCs w:val="18"/>
          <w:vertAlign w:val="subscript"/>
          <w:lang w:val="ms-MY"/>
        </w:rPr>
        <w:t>18</w:t>
      </w:r>
      <w:r w:rsidRPr="00453284">
        <w:rPr>
          <w:rFonts w:ascii="Times New Roman" w:hAnsi="Times New Roman"/>
          <w:sz w:val="18"/>
          <w:szCs w:val="18"/>
          <w:lang w:val="ms-MY"/>
        </w:rPr>
        <w:t xml:space="preserve"> yang digabungkan dengan HPL</w:t>
      </w:r>
      <w:r>
        <w:rPr>
          <w:rFonts w:ascii="Times New Roman" w:hAnsi="Times New Roman"/>
          <w:sz w:val="18"/>
          <w:szCs w:val="18"/>
          <w:lang w:val="ms-MY"/>
        </w:rPr>
        <w:t>C</w:t>
      </w:r>
      <w:r w:rsidRPr="00453284">
        <w:rPr>
          <w:rFonts w:ascii="Times New Roman" w:hAnsi="Times New Roman"/>
          <w:sz w:val="18"/>
          <w:szCs w:val="18"/>
          <w:lang w:val="ms-MY"/>
        </w:rPr>
        <w:t>-UV telah dibangunkan untuk penentuan oflosaksin dan sparflosaksin dalam plasma manusia. Beberapa parameter D‐μ‐SPE seperti jenis dan jumlah jisim penjerap, isipadu sampel, pH larutan sampel, masa pengekstrakan, pelarut penyahjerap dan masa penyahjerap telah dioptimumkan. Dalam keadaan yang optimum, lengkung penentu ukuran menunjukkan lineariti yang baik dalam julat 0.5-1000 μg L</w:t>
      </w:r>
      <w:r w:rsidRPr="00453284">
        <w:rPr>
          <w:rFonts w:ascii="Times New Roman" w:hAnsi="Times New Roman"/>
          <w:sz w:val="18"/>
          <w:szCs w:val="18"/>
          <w:vertAlign w:val="superscript"/>
          <w:lang w:val="ms-MY"/>
        </w:rPr>
        <w:t>-1</w:t>
      </w:r>
      <w:r w:rsidRPr="00453284">
        <w:rPr>
          <w:rFonts w:ascii="Times New Roman" w:hAnsi="Times New Roman"/>
          <w:sz w:val="18"/>
          <w:szCs w:val="18"/>
          <w:lang w:val="ms-MY"/>
        </w:rPr>
        <w:t xml:space="preserve"> dengan had pengesanan (LOD) 0.73 dan 1.81 μg L</w:t>
      </w:r>
      <w:r w:rsidRPr="00453284">
        <w:rPr>
          <w:rFonts w:ascii="Times New Roman" w:hAnsi="Times New Roman"/>
          <w:sz w:val="18"/>
          <w:szCs w:val="18"/>
          <w:vertAlign w:val="superscript"/>
          <w:lang w:val="ms-MY"/>
        </w:rPr>
        <w:t xml:space="preserve">-1 </w:t>
      </w:r>
      <w:r w:rsidRPr="00453284">
        <w:rPr>
          <w:rFonts w:ascii="Times New Roman" w:hAnsi="Times New Roman"/>
          <w:sz w:val="18"/>
          <w:szCs w:val="18"/>
          <w:lang w:val="ms-MY"/>
        </w:rPr>
        <w:t>dan had pengukuran (LOQ) 2.44 dan 6.03 μg L</w:t>
      </w:r>
      <w:r w:rsidRPr="00453284">
        <w:rPr>
          <w:rFonts w:ascii="Times New Roman" w:hAnsi="Times New Roman"/>
          <w:sz w:val="18"/>
          <w:szCs w:val="18"/>
          <w:vertAlign w:val="superscript"/>
          <w:lang w:val="ms-MY"/>
        </w:rPr>
        <w:t>-1</w:t>
      </w:r>
      <w:r w:rsidRPr="00453284">
        <w:rPr>
          <w:rFonts w:ascii="Times New Roman" w:hAnsi="Times New Roman"/>
          <w:sz w:val="18"/>
          <w:szCs w:val="18"/>
          <w:lang w:val="ms-MY"/>
        </w:rPr>
        <w:t xml:space="preserve"> yang memuaskan masing-masing bagi ofloksaksin dan sparflosaksin. Kaedah yang dicadangkan juga menunjukkan ketepatan pada kepekatan 500 dan 1000 μg L</w:t>
      </w:r>
      <w:r w:rsidRPr="00453284">
        <w:rPr>
          <w:rFonts w:ascii="Times New Roman" w:hAnsi="Times New Roman"/>
          <w:sz w:val="18"/>
          <w:szCs w:val="18"/>
          <w:vertAlign w:val="superscript"/>
          <w:lang w:val="ms-MY"/>
        </w:rPr>
        <w:t xml:space="preserve">-1 </w:t>
      </w:r>
      <w:r w:rsidRPr="00453284">
        <w:rPr>
          <w:rFonts w:ascii="Times New Roman" w:hAnsi="Times New Roman"/>
          <w:sz w:val="18"/>
          <w:szCs w:val="18"/>
          <w:lang w:val="ms-MY"/>
        </w:rPr>
        <w:t xml:space="preserve">yang baik bagi oflosaksin dan sparflosaksin dari plasma manusia dengan RSD ≤12.5% ​​dan pemulihan relatif yang </w:t>
      </w:r>
      <w:r w:rsidRPr="00453284">
        <w:rPr>
          <w:rFonts w:ascii="Times New Roman" w:hAnsi="Times New Roman"/>
          <w:sz w:val="18"/>
          <w:szCs w:val="18"/>
          <w:lang w:val="ms-MY"/>
        </w:rPr>
        <w:lastRenderedPageBreak/>
        <w:t>baik dalam julat 90.1-109.5%. Kaedah D‐μ‐SPE terbukti sebagai kaedah yang cepat danmudah untuk analisis ubat-ubatan kerana ia hanya memerlukan pelarut organik dalam jumlah yang kecil sewaktu analisis dijalankan.</w:t>
      </w:r>
    </w:p>
    <w:p w14:paraId="7B05163E" w14:textId="77777777" w:rsidR="00F23647" w:rsidRPr="00453284" w:rsidRDefault="00F23647" w:rsidP="00F23647">
      <w:pPr>
        <w:spacing w:after="0"/>
        <w:jc w:val="both"/>
        <w:outlineLvl w:val="0"/>
        <w:rPr>
          <w:rFonts w:ascii="Times New Roman" w:hAnsi="Times New Roman"/>
          <w:sz w:val="18"/>
          <w:szCs w:val="18"/>
          <w:lang w:val="ms-MY"/>
        </w:rPr>
      </w:pPr>
    </w:p>
    <w:p w14:paraId="15FFFF64" w14:textId="4341F095" w:rsidR="006768E9" w:rsidRDefault="00F23647" w:rsidP="00F23647">
      <w:pPr>
        <w:spacing w:after="0"/>
        <w:ind w:left="1080" w:hanging="1080"/>
        <w:jc w:val="both"/>
        <w:rPr>
          <w:rFonts w:ascii="Times New Roman" w:hAnsi="Times New Roman"/>
          <w:noProof/>
          <w:sz w:val="20"/>
          <w:szCs w:val="20"/>
          <w:lang w:bidi="ar-SA"/>
        </w:rPr>
      </w:pPr>
      <w:r w:rsidRPr="00453284">
        <w:rPr>
          <w:rFonts w:ascii="Times New Roman" w:hAnsi="Times New Roman"/>
          <w:b/>
          <w:sz w:val="18"/>
          <w:szCs w:val="18"/>
          <w:lang w:val="ms-MY"/>
        </w:rPr>
        <w:t>Kata kunci:</w:t>
      </w:r>
      <w:r w:rsidRPr="00453284">
        <w:rPr>
          <w:rFonts w:ascii="Times New Roman" w:hAnsi="Times New Roman"/>
          <w:b/>
          <w:lang w:val="ms-MY"/>
        </w:rPr>
        <w:t xml:space="preserve"> </w:t>
      </w:r>
      <w:r>
        <w:rPr>
          <w:rFonts w:ascii="Times New Roman" w:hAnsi="Times New Roman"/>
          <w:b/>
          <w:lang w:val="ms-MY"/>
        </w:rPr>
        <w:tab/>
      </w:r>
      <w:r w:rsidRPr="00453284">
        <w:rPr>
          <w:rFonts w:ascii="Times New Roman" w:hAnsi="Times New Roman"/>
          <w:sz w:val="18"/>
          <w:szCs w:val="20"/>
          <w:lang w:val="ms-MY"/>
        </w:rPr>
        <w:t>pengekstrakkan fasa pepejal mikro disesarkan, kromatografi cecair berprestasi tinggi, oflosaksin, sparflosaksin, plasma manusia</w:t>
      </w:r>
    </w:p>
    <w:p w14:paraId="18F54A31" w14:textId="53B75487" w:rsidR="00494C46" w:rsidRDefault="00494C46" w:rsidP="002B412F">
      <w:pPr>
        <w:spacing w:after="0"/>
        <w:jc w:val="center"/>
        <w:rPr>
          <w:rFonts w:ascii="Times New Roman" w:hAnsi="Times New Roman"/>
          <w:noProof/>
          <w:sz w:val="20"/>
          <w:szCs w:val="20"/>
          <w:lang w:bidi="ar-SA"/>
        </w:rPr>
      </w:pPr>
    </w:p>
    <w:p w14:paraId="3B329510" w14:textId="77777777" w:rsidR="00F23647" w:rsidRPr="00BE7C30" w:rsidRDefault="00F23647" w:rsidP="002B412F">
      <w:pPr>
        <w:spacing w:after="0"/>
        <w:jc w:val="center"/>
        <w:rPr>
          <w:rFonts w:ascii="Times New Roman" w:hAnsi="Times New Roman"/>
          <w:noProof/>
          <w:sz w:val="20"/>
          <w:szCs w:val="20"/>
          <w:lang w:bidi="ar-SA"/>
        </w:rPr>
      </w:pPr>
    </w:p>
    <w:p w14:paraId="4A24DC99" w14:textId="77777777" w:rsidR="0018424C" w:rsidRDefault="0018424C" w:rsidP="002B412F">
      <w:pPr>
        <w:spacing w:after="0"/>
        <w:jc w:val="center"/>
        <w:rPr>
          <w:rFonts w:ascii="Times New Roman" w:hAnsi="Times New Roman"/>
          <w:b/>
          <w:noProof/>
          <w:sz w:val="20"/>
          <w:szCs w:val="20"/>
          <w:lang w:bidi="ar-SA"/>
        </w:rPr>
        <w:sectPr w:rsidR="0018424C"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3D99A392"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91CABB4" w14:textId="77777777" w:rsidR="00F23647" w:rsidRPr="00F23647" w:rsidRDefault="00F23647" w:rsidP="00F23647">
      <w:pPr>
        <w:spacing w:after="0"/>
        <w:jc w:val="both"/>
        <w:outlineLvl w:val="0"/>
        <w:rPr>
          <w:rFonts w:ascii="Times New Roman" w:hAnsi="Times New Roman"/>
          <w:sz w:val="20"/>
          <w:szCs w:val="20"/>
          <w:lang w:val="en-MY"/>
        </w:rPr>
      </w:pPr>
      <w:r w:rsidRPr="00F23647">
        <w:rPr>
          <w:rFonts w:ascii="Times New Roman" w:hAnsi="Times New Roman"/>
          <w:sz w:val="20"/>
          <w:szCs w:val="20"/>
        </w:rPr>
        <w:t xml:space="preserve">Fluoroquinolones (FQs) are one of the most significant groups of synthetic antibiotics that possess excellent pathogenic behavior </w:t>
      </w:r>
      <w:r w:rsidRPr="00F23647">
        <w:rPr>
          <w:rFonts w:ascii="Times New Roman" w:hAnsi="Times New Roman"/>
          <w:sz w:val="20"/>
          <w:szCs w:val="20"/>
          <w:lang w:val="en-MY"/>
        </w:rPr>
        <w:t>[1]. FQs are currently licensed as antibiotics under the Ministry of Health Malaysia's National Pharmaceutical Regulatory Agency (NPRA) and are listed by the WHO as  important medicines for human health. Due to the increased resistance to beta-lactams and macrolides, FQs are currently used</w:t>
      </w:r>
      <w:r w:rsidRPr="00F23647" w:rsidDel="00FB6B03">
        <w:rPr>
          <w:rFonts w:ascii="Times New Roman" w:hAnsi="Times New Roman"/>
          <w:sz w:val="20"/>
          <w:szCs w:val="20"/>
          <w:lang w:val="en-MY"/>
        </w:rPr>
        <w:t xml:space="preserve"> </w:t>
      </w:r>
      <w:r w:rsidRPr="00F23647">
        <w:rPr>
          <w:rFonts w:ascii="Times New Roman" w:hAnsi="Times New Roman"/>
          <w:sz w:val="20"/>
          <w:szCs w:val="20"/>
          <w:lang w:val="en-MY"/>
        </w:rPr>
        <w:t xml:space="preserve">widely for the treatments of respiratory tract infections [2]. A broad-spectrum of this class of drugs demonstrated good activity against several gram-positive and gram-negative pathogenic bacteria, such as atypical respiratory pathogens [3]. </w:t>
      </w:r>
    </w:p>
    <w:p w14:paraId="2BF3C5A6" w14:textId="77777777" w:rsidR="00F23647" w:rsidRPr="00F23647" w:rsidRDefault="00F23647" w:rsidP="00F23647">
      <w:pPr>
        <w:spacing w:after="0"/>
        <w:jc w:val="both"/>
        <w:outlineLvl w:val="0"/>
        <w:rPr>
          <w:rFonts w:ascii="Times New Roman" w:hAnsi="Times New Roman"/>
          <w:sz w:val="20"/>
          <w:szCs w:val="20"/>
          <w:lang w:val="en-MY"/>
        </w:rPr>
      </w:pPr>
    </w:p>
    <w:p w14:paraId="41F2400E" w14:textId="77777777" w:rsidR="00F23647" w:rsidRPr="00F23647" w:rsidRDefault="00F23647" w:rsidP="00F23647">
      <w:pPr>
        <w:spacing w:after="0"/>
        <w:jc w:val="both"/>
        <w:outlineLvl w:val="0"/>
        <w:rPr>
          <w:rFonts w:ascii="Times New Roman" w:hAnsi="Times New Roman"/>
          <w:sz w:val="20"/>
          <w:szCs w:val="20"/>
          <w:u w:val="single"/>
          <w:lang w:val="en-MY"/>
        </w:rPr>
      </w:pPr>
      <w:r w:rsidRPr="00F23647">
        <w:rPr>
          <w:rFonts w:ascii="Times New Roman" w:hAnsi="Times New Roman"/>
          <w:sz w:val="20"/>
          <w:szCs w:val="20"/>
          <w:lang w:val="en-MY"/>
        </w:rPr>
        <w:t>Nevertheless, the concentration of FQs in human plasma are not measured in clinical practice. Considering the toxification and effectiveness of drugs, he concentration of FQs in body fluid should be tracked to change its dosage for regular use in clinical practice [4,5]. Moreover, FQs can become emerging contaminants in the environmental sample as they were partially metabolised inside the human body 20-80% were excreted out from human body in various pharmacologically active states. [6]. Therefore, appropriate analytical methods must be developed for the detection of FQs in the environmental and biological samples [7].</w:t>
      </w:r>
    </w:p>
    <w:p w14:paraId="05902F42" w14:textId="77777777" w:rsidR="00F23647" w:rsidRPr="00F23647" w:rsidRDefault="00F23647" w:rsidP="00F23647">
      <w:pPr>
        <w:spacing w:after="0"/>
        <w:jc w:val="both"/>
        <w:outlineLvl w:val="0"/>
        <w:rPr>
          <w:rFonts w:ascii="Times New Roman" w:hAnsi="Times New Roman"/>
          <w:sz w:val="20"/>
          <w:szCs w:val="20"/>
          <w:u w:val="single"/>
          <w:lang w:val="en-MY"/>
        </w:rPr>
      </w:pPr>
    </w:p>
    <w:p w14:paraId="0771A61C" w14:textId="77777777" w:rsidR="00F23647" w:rsidRPr="00F23647" w:rsidRDefault="00F23647" w:rsidP="00F23647">
      <w:pPr>
        <w:spacing w:after="0"/>
        <w:jc w:val="both"/>
        <w:outlineLvl w:val="0"/>
        <w:rPr>
          <w:rFonts w:ascii="Times New Roman" w:hAnsi="Times New Roman"/>
          <w:sz w:val="20"/>
          <w:szCs w:val="20"/>
          <w:u w:val="single"/>
          <w:lang w:val="en-MY"/>
        </w:rPr>
      </w:pPr>
      <w:r w:rsidRPr="00F23647">
        <w:rPr>
          <w:rFonts w:ascii="Times New Roman" w:hAnsi="Times New Roman"/>
          <w:sz w:val="20"/>
          <w:szCs w:val="20"/>
          <w:lang w:val="en-MY"/>
        </w:rPr>
        <w:t xml:space="preserve">Several analytical techniques based on the spectrofluorimetric [6], high-performance liquid-chromatography (HPLC) with UV [8, 9], or mass spectrometry (MS) detection [10, 11] and capillary electrophoresis (CE) [12] were established for the determination of FQs. </w:t>
      </w:r>
      <w:r w:rsidRPr="00F23647">
        <w:rPr>
          <w:rFonts w:ascii="Times New Roman" w:hAnsi="Times New Roman"/>
          <w:sz w:val="20"/>
          <w:szCs w:val="20"/>
        </w:rPr>
        <w:t xml:space="preserve">The process of sample preparation plays an important role in increasing sensitivity and reducing matrix interference, particularly when dealing with complex human plasma samples. One of the most common techniques for extraction of FQs is a solid phase extraction (SPE) by virtue of its </w:t>
      </w:r>
      <w:r w:rsidRPr="00F23647">
        <w:rPr>
          <w:rFonts w:ascii="Times New Roman" w:hAnsi="Times New Roman"/>
          <w:sz w:val="20"/>
          <w:szCs w:val="20"/>
        </w:rPr>
        <w:t xml:space="preserve">ability to enrich analytes and eliminate matrix interferences </w:t>
      </w:r>
      <w:r w:rsidRPr="00F23647">
        <w:rPr>
          <w:rFonts w:ascii="Times New Roman" w:hAnsi="Times New Roman"/>
          <w:sz w:val="20"/>
          <w:szCs w:val="20"/>
          <w:lang w:val="en-MY"/>
        </w:rPr>
        <w:t xml:space="preserve">[13-16]. However, it take a relatively long time and requires large amount of solvents during the analysis. </w:t>
      </w:r>
    </w:p>
    <w:p w14:paraId="2DFE3D51" w14:textId="77777777" w:rsidR="00F23647" w:rsidRPr="00F23647" w:rsidRDefault="00F23647" w:rsidP="0018424C">
      <w:pPr>
        <w:spacing w:after="0"/>
        <w:jc w:val="both"/>
        <w:outlineLvl w:val="0"/>
        <w:rPr>
          <w:rFonts w:ascii="Times New Roman" w:hAnsi="Times New Roman"/>
          <w:sz w:val="20"/>
          <w:szCs w:val="20"/>
          <w:lang w:val="en-MY"/>
        </w:rPr>
      </w:pPr>
    </w:p>
    <w:p w14:paraId="0D83084C" w14:textId="77777777" w:rsidR="00F23647" w:rsidRPr="00F23647" w:rsidRDefault="00F23647" w:rsidP="00F23647">
      <w:pPr>
        <w:spacing w:after="0"/>
        <w:jc w:val="both"/>
        <w:outlineLvl w:val="0"/>
        <w:rPr>
          <w:rFonts w:ascii="Times New Roman" w:hAnsi="Times New Roman"/>
          <w:sz w:val="20"/>
          <w:szCs w:val="20"/>
        </w:rPr>
      </w:pPr>
      <w:r w:rsidRPr="00F23647">
        <w:rPr>
          <w:rFonts w:ascii="Times New Roman" w:hAnsi="Times New Roman"/>
          <w:sz w:val="20"/>
          <w:szCs w:val="20"/>
          <w:lang w:val="en-MY"/>
        </w:rPr>
        <w:t xml:space="preserve">A recent trend in analytical chemistry is to miniaturize the separation techniques that enhance the extraction efficiency based on performance and cost consumption of the process [11]. Dispersive micro-solid phase extraction (D-µ-SPE) which is the SPE miniaturization is established to resolve the inherited disadvantages. In this extraction process, the adsorbents are applied directly to the sample solution, wherein the equilibrium can be achieved in a short time, since the surface area between the adsorbent and the aqueous solution is high [17]. D-μ-SPE offers a wide range of advantages compare to SPE due to its convenience, lower solvent use and efficiency of recovery within short time. Enhancement in the extraction efficiency can also be achieved due to the increment of contact area between adsorbent and analytes during dispersion process. It is also an economical and simple technique which can be used with different types of adsorbents [18-20]. </w:t>
      </w:r>
    </w:p>
    <w:p w14:paraId="76E2041A" w14:textId="77777777" w:rsidR="00F23647" w:rsidRPr="00F23647" w:rsidRDefault="00F23647" w:rsidP="00F23647">
      <w:pPr>
        <w:spacing w:after="0"/>
        <w:jc w:val="both"/>
        <w:outlineLvl w:val="0"/>
        <w:rPr>
          <w:rFonts w:ascii="Times New Roman" w:hAnsi="Times New Roman"/>
          <w:sz w:val="20"/>
          <w:szCs w:val="20"/>
        </w:rPr>
      </w:pPr>
    </w:p>
    <w:p w14:paraId="57C45800" w14:textId="65A7C369" w:rsidR="00F23647" w:rsidRDefault="00F23647" w:rsidP="00F23647">
      <w:pPr>
        <w:spacing w:after="0"/>
        <w:jc w:val="both"/>
        <w:outlineLvl w:val="0"/>
        <w:rPr>
          <w:rFonts w:ascii="Times New Roman" w:hAnsi="Times New Roman"/>
          <w:sz w:val="20"/>
          <w:szCs w:val="20"/>
          <w:lang w:val="en-MY"/>
        </w:rPr>
      </w:pPr>
      <w:r w:rsidRPr="00F23647">
        <w:rPr>
          <w:rFonts w:ascii="Times New Roman" w:hAnsi="Times New Roman"/>
          <w:sz w:val="20"/>
          <w:szCs w:val="20"/>
          <w:lang w:val="en-MY"/>
        </w:rPr>
        <w:t xml:space="preserve">The use of dispersed adsorbents was firstly reported by Anastassiades et al. which focused on increasing method selectivity [21]. Recently, there were only two studies of D-µ-SPE  reported the determination of FQs involving ofloxacin. Amoli-Diva et al. investigated the modification of MWCNT in combination of surfactant-enhanced magnetic nanoparticles as an adsorbent for extracting FQs from plasma and urine samples [22]. With the advancement of technology, a new approach of an automated magnetic D-μ-SPE which is based on flow system using the strategy of fluidized beds. Zr-Fe-magnetic nanoparticles were used in this case as a powerful adsorbent for the determination of FQs in food samples [23]. </w:t>
      </w:r>
    </w:p>
    <w:p w14:paraId="70007898" w14:textId="77777777" w:rsidR="0018424C" w:rsidRPr="00F23647" w:rsidRDefault="0018424C" w:rsidP="00F23647">
      <w:pPr>
        <w:spacing w:after="0"/>
        <w:jc w:val="both"/>
        <w:outlineLvl w:val="0"/>
        <w:rPr>
          <w:rFonts w:ascii="Times New Roman" w:hAnsi="Times New Roman"/>
          <w:sz w:val="20"/>
          <w:szCs w:val="20"/>
          <w:lang w:val="en-MY"/>
        </w:rPr>
      </w:pPr>
    </w:p>
    <w:p w14:paraId="5BFE447C"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sz w:val="20"/>
          <w:szCs w:val="20"/>
          <w:lang w:val="en-MY"/>
        </w:rPr>
        <w:lastRenderedPageBreak/>
        <w:t>Considering the advantages of D-µ-SPE, this study investigated the development of D-µ-SPE utilizing C</w:t>
      </w:r>
      <w:r w:rsidRPr="00F23647">
        <w:rPr>
          <w:rFonts w:ascii="Times New Roman" w:hAnsi="Times New Roman"/>
          <w:sz w:val="20"/>
          <w:szCs w:val="20"/>
          <w:vertAlign w:val="subscript"/>
          <w:lang w:val="en-MY"/>
        </w:rPr>
        <w:t>18</w:t>
      </w:r>
      <w:r w:rsidRPr="00F23647">
        <w:rPr>
          <w:rFonts w:ascii="Times New Roman" w:hAnsi="Times New Roman"/>
          <w:sz w:val="20"/>
          <w:szCs w:val="20"/>
          <w:lang w:val="en-MY"/>
        </w:rPr>
        <w:t xml:space="preserve"> adsorbent, coupled with HPLC-UV for the detection of ofloxacin and sparfloxacin. Factors that affect the extraction efficiency were evaluated and optimized. The proposed D-µ-SPE method showed an excellent performance for the detection of ofloxacin and sparfloxacin in human plasma.</w:t>
      </w:r>
    </w:p>
    <w:p w14:paraId="44963146" w14:textId="77777777" w:rsidR="00F23647" w:rsidRPr="00F23647" w:rsidRDefault="00F23647" w:rsidP="00F23647">
      <w:pPr>
        <w:spacing w:after="0"/>
        <w:jc w:val="center"/>
        <w:outlineLvl w:val="0"/>
        <w:rPr>
          <w:rFonts w:ascii="Times New Roman" w:hAnsi="Times New Roman"/>
          <w:sz w:val="20"/>
          <w:szCs w:val="20"/>
        </w:rPr>
      </w:pPr>
    </w:p>
    <w:p w14:paraId="50ED174E" w14:textId="77777777" w:rsidR="00F23647" w:rsidRPr="00F23647" w:rsidRDefault="00F23647" w:rsidP="00F23647">
      <w:pPr>
        <w:spacing w:after="0"/>
        <w:jc w:val="center"/>
        <w:outlineLvl w:val="0"/>
        <w:rPr>
          <w:rFonts w:ascii="Times New Roman" w:hAnsi="Times New Roman"/>
          <w:b/>
          <w:sz w:val="20"/>
          <w:szCs w:val="20"/>
        </w:rPr>
      </w:pPr>
      <w:r w:rsidRPr="00F23647">
        <w:rPr>
          <w:rFonts w:ascii="Times New Roman" w:hAnsi="Times New Roman"/>
          <w:b/>
          <w:sz w:val="20"/>
          <w:szCs w:val="20"/>
        </w:rPr>
        <w:t>Materials and Methods</w:t>
      </w:r>
    </w:p>
    <w:p w14:paraId="32A3F31D" w14:textId="77777777" w:rsidR="00F23647" w:rsidRPr="00F23647" w:rsidRDefault="00F23647" w:rsidP="00F23647">
      <w:pPr>
        <w:spacing w:after="0"/>
        <w:jc w:val="both"/>
        <w:outlineLvl w:val="0"/>
        <w:rPr>
          <w:rFonts w:ascii="Times New Roman" w:hAnsi="Times New Roman"/>
          <w:b/>
          <w:sz w:val="20"/>
          <w:szCs w:val="20"/>
        </w:rPr>
      </w:pPr>
      <w:r w:rsidRPr="00F23647">
        <w:rPr>
          <w:rFonts w:ascii="Times New Roman" w:hAnsi="Times New Roman"/>
          <w:b/>
          <w:sz w:val="20"/>
          <w:szCs w:val="20"/>
        </w:rPr>
        <w:t xml:space="preserve">Chemicals and reagents </w:t>
      </w:r>
    </w:p>
    <w:p w14:paraId="56B268F7" w14:textId="77777777" w:rsidR="00F23647" w:rsidRPr="00F23647" w:rsidRDefault="00F23647" w:rsidP="00F23647">
      <w:pPr>
        <w:spacing w:after="0"/>
        <w:jc w:val="both"/>
        <w:outlineLvl w:val="0"/>
        <w:rPr>
          <w:rFonts w:ascii="Times New Roman" w:hAnsi="Times New Roman"/>
          <w:sz w:val="20"/>
          <w:szCs w:val="20"/>
          <w:lang w:val="en-MY"/>
        </w:rPr>
      </w:pPr>
      <w:r w:rsidRPr="00F23647">
        <w:rPr>
          <w:rFonts w:ascii="Times New Roman" w:hAnsi="Times New Roman"/>
          <w:sz w:val="20"/>
          <w:szCs w:val="20"/>
        </w:rPr>
        <w:t>O</w:t>
      </w:r>
      <w:r w:rsidRPr="00F23647">
        <w:rPr>
          <w:rFonts w:ascii="Times New Roman" w:hAnsi="Times New Roman"/>
          <w:sz w:val="20"/>
          <w:szCs w:val="20"/>
          <w:lang w:val="en-MY"/>
        </w:rPr>
        <w:t>floxacin and sparfloxacin from Sigma-Aldrich (Steinheim, Germany). HPLC-grade methanol (&gt;99.99%) and silica particles from Merck (Darmstadt, Germany). Sodium phosphate monobasic monohydrate, phosphoric acid (85%, w/w) and sodium phosphate from Sigma-Aldrich (St. Louis, MO, USA). Center for Drug Research, Universiti Sains Malaysia, Penang, Malaysia have kindly donated human plasma sample for this study. DSC-18 (C</w:t>
      </w:r>
      <w:r w:rsidRPr="00F23647">
        <w:rPr>
          <w:rFonts w:ascii="Times New Roman" w:hAnsi="Times New Roman"/>
          <w:sz w:val="20"/>
          <w:szCs w:val="20"/>
          <w:vertAlign w:val="subscript"/>
          <w:lang w:val="en-MY"/>
        </w:rPr>
        <w:t>18</w:t>
      </w:r>
      <w:r w:rsidRPr="00F23647">
        <w:rPr>
          <w:rFonts w:ascii="Times New Roman" w:hAnsi="Times New Roman"/>
          <w:sz w:val="20"/>
          <w:szCs w:val="20"/>
          <w:lang w:val="en-MY"/>
        </w:rPr>
        <w:t xml:space="preserve"> adsorbent, 50 µm particle size) from Supelco (Bellefonte, PA, USA). Ultrapure water (resistivity, 18.2 M Ω cm</w:t>
      </w:r>
      <w:r w:rsidRPr="00F23647">
        <w:rPr>
          <w:rFonts w:ascii="Times New Roman" w:hAnsi="Times New Roman"/>
          <w:sz w:val="20"/>
          <w:szCs w:val="20"/>
          <w:vertAlign w:val="superscript"/>
          <w:lang w:val="en-MY"/>
        </w:rPr>
        <w:t>-1</w:t>
      </w:r>
      <w:r w:rsidRPr="00F23647">
        <w:rPr>
          <w:rFonts w:ascii="Times New Roman" w:hAnsi="Times New Roman"/>
          <w:sz w:val="20"/>
          <w:szCs w:val="20"/>
          <w:lang w:val="en-MY"/>
        </w:rPr>
        <w:t>) was used for the preparation of solutions in this study.</w:t>
      </w:r>
    </w:p>
    <w:p w14:paraId="1571A5DF" w14:textId="77777777" w:rsidR="00F23647" w:rsidRPr="00F23647" w:rsidRDefault="00F23647" w:rsidP="00F23647">
      <w:pPr>
        <w:spacing w:after="0"/>
        <w:jc w:val="both"/>
        <w:outlineLvl w:val="0"/>
        <w:rPr>
          <w:rFonts w:ascii="Times New Roman" w:hAnsi="Times New Roman"/>
          <w:b/>
          <w:sz w:val="20"/>
          <w:szCs w:val="20"/>
        </w:rPr>
      </w:pPr>
    </w:p>
    <w:p w14:paraId="43F52332"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Chromatographic conditions</w:t>
      </w:r>
    </w:p>
    <w:p w14:paraId="2E53FE12" w14:textId="77777777" w:rsidR="00F23647" w:rsidRPr="00F23647" w:rsidRDefault="00F23647" w:rsidP="00F23647">
      <w:pPr>
        <w:spacing w:after="0"/>
        <w:jc w:val="both"/>
        <w:outlineLvl w:val="0"/>
        <w:rPr>
          <w:rFonts w:ascii="Times New Roman" w:hAnsi="Times New Roman"/>
          <w:bCs/>
          <w:sz w:val="20"/>
          <w:szCs w:val="20"/>
          <w:lang w:val="en-MY"/>
        </w:rPr>
      </w:pPr>
      <w:bookmarkStart w:id="0" w:name="_Hlk17183053"/>
      <w:r w:rsidRPr="00F23647">
        <w:rPr>
          <w:rFonts w:ascii="Times New Roman" w:hAnsi="Times New Roman"/>
          <w:bCs/>
          <w:sz w:val="20"/>
          <w:szCs w:val="20"/>
          <w:lang w:val="en-MY"/>
        </w:rPr>
        <w:t>The chromatographic analyses were carried out using Thermo-Fisher Hypersil Gold ODS C</w:t>
      </w:r>
      <w:r w:rsidRPr="00F23647">
        <w:rPr>
          <w:rFonts w:ascii="Times New Roman" w:hAnsi="Times New Roman"/>
          <w:bCs/>
          <w:sz w:val="20"/>
          <w:szCs w:val="20"/>
          <w:vertAlign w:val="subscript"/>
          <w:lang w:val="en-MY"/>
        </w:rPr>
        <w:t>18</w:t>
      </w:r>
      <w:r w:rsidRPr="00F23647">
        <w:rPr>
          <w:rFonts w:ascii="Times New Roman" w:hAnsi="Times New Roman"/>
          <w:bCs/>
          <w:sz w:val="20"/>
          <w:szCs w:val="20"/>
          <w:lang w:val="en-MY"/>
        </w:rPr>
        <w:t xml:space="preserve"> (250 × 4.6 mm × 5 µm) at the wavelength of 254 nm. The mobile phase was prepared in the presence of methanol (MeOH) and phosphate buffer (5 mM, pH 3.0) with a ratio of 50:50, v/v. It was filtered and degassed with a 0.22 µm membrane filter (Sartorius, Germany) before use.  The flow rate 1.0 mL/min and the injection volume 20 μL were used.</w:t>
      </w:r>
      <w:bookmarkEnd w:id="0"/>
    </w:p>
    <w:p w14:paraId="6746C843" w14:textId="77777777" w:rsidR="00F23647" w:rsidRPr="00F23647" w:rsidRDefault="00F23647" w:rsidP="00F23647">
      <w:pPr>
        <w:spacing w:after="0"/>
        <w:jc w:val="both"/>
        <w:outlineLvl w:val="0"/>
        <w:rPr>
          <w:rFonts w:ascii="Times New Roman" w:hAnsi="Times New Roman"/>
          <w:bCs/>
          <w:sz w:val="20"/>
          <w:szCs w:val="20"/>
        </w:rPr>
      </w:pPr>
    </w:p>
    <w:p w14:paraId="217D965F"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Preparation of stock and working solution</w:t>
      </w:r>
    </w:p>
    <w:p w14:paraId="69FE80CB" w14:textId="77777777" w:rsidR="00F23647" w:rsidRPr="00F23647" w:rsidRDefault="00F23647" w:rsidP="00F23647">
      <w:pPr>
        <w:spacing w:after="0"/>
        <w:jc w:val="both"/>
        <w:outlineLvl w:val="0"/>
        <w:rPr>
          <w:rFonts w:ascii="Times New Roman" w:hAnsi="Times New Roman"/>
          <w:bCs/>
          <w:sz w:val="20"/>
          <w:szCs w:val="20"/>
          <w:lang w:val="en-MY"/>
        </w:rPr>
      </w:pPr>
      <w:bookmarkStart w:id="1" w:name="_Hlk17183113"/>
      <w:r w:rsidRPr="00F23647">
        <w:rPr>
          <w:rFonts w:ascii="Times New Roman" w:hAnsi="Times New Roman"/>
          <w:bCs/>
          <w:sz w:val="20"/>
          <w:szCs w:val="20"/>
          <w:lang w:val="en-MY"/>
        </w:rPr>
        <w:t>Stock solutions ofloxacin and sparfloxacin (20 mg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xml:space="preserve">) were prepared by dissolving both compounds in MeOH and then kept at 4°C. </w:t>
      </w:r>
      <w:bookmarkEnd w:id="1"/>
      <w:r w:rsidRPr="00F23647">
        <w:rPr>
          <w:rFonts w:ascii="Times New Roman" w:hAnsi="Times New Roman"/>
          <w:bCs/>
          <w:sz w:val="20"/>
          <w:szCs w:val="20"/>
          <w:lang w:val="en-MY"/>
        </w:rPr>
        <w:t>Working standard solutions (1000 μg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were prepared by  diluting stock solution in 10 mL volumetric flask, then top-up to the mark before adjustment to the appropriate pH.</w:t>
      </w:r>
    </w:p>
    <w:p w14:paraId="639FD41F" w14:textId="77777777" w:rsidR="00F23647" w:rsidRPr="00F23647" w:rsidRDefault="00F23647" w:rsidP="00F23647">
      <w:pPr>
        <w:spacing w:after="0"/>
        <w:jc w:val="both"/>
        <w:outlineLvl w:val="0"/>
        <w:rPr>
          <w:rFonts w:ascii="Times New Roman" w:hAnsi="Times New Roman"/>
          <w:b/>
          <w:sz w:val="20"/>
          <w:szCs w:val="20"/>
          <w:lang w:val="en-MY"/>
        </w:rPr>
      </w:pPr>
    </w:p>
    <w:p w14:paraId="05998414"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D-µ-SPE procedure</w:t>
      </w:r>
    </w:p>
    <w:p w14:paraId="6D6CAC6F" w14:textId="77777777" w:rsidR="00F23647" w:rsidRPr="00F23647" w:rsidRDefault="00F23647" w:rsidP="00F23647">
      <w:pPr>
        <w:spacing w:after="0"/>
        <w:jc w:val="both"/>
        <w:outlineLvl w:val="0"/>
        <w:rPr>
          <w:rFonts w:ascii="Times New Roman" w:hAnsi="Times New Roman"/>
          <w:bCs/>
          <w:sz w:val="20"/>
          <w:szCs w:val="20"/>
          <w:lang w:val="en-MY"/>
        </w:rPr>
      </w:pPr>
      <w:r w:rsidRPr="00F23647">
        <w:rPr>
          <w:rFonts w:ascii="Times New Roman" w:hAnsi="Times New Roman"/>
          <w:bCs/>
          <w:sz w:val="20"/>
          <w:szCs w:val="20"/>
          <w:lang w:val="en-MY"/>
        </w:rPr>
        <w:t>Approximately 1000 μg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xml:space="preserve"> of the spiked ofloxacin and sparfloxacin solution was put in a 50 mL centrifuge tube </w:t>
      </w:r>
      <w:r w:rsidRPr="00F23647">
        <w:rPr>
          <w:rFonts w:ascii="Times New Roman" w:hAnsi="Times New Roman"/>
          <w:bCs/>
          <w:sz w:val="20"/>
          <w:szCs w:val="20"/>
          <w:lang w:val="en-MY"/>
        </w:rPr>
        <w:t>that contained 20 mg of C</w:t>
      </w:r>
      <w:r w:rsidRPr="00F23647">
        <w:rPr>
          <w:rFonts w:ascii="Times New Roman" w:hAnsi="Times New Roman"/>
          <w:bCs/>
          <w:sz w:val="20"/>
          <w:szCs w:val="20"/>
          <w:vertAlign w:val="subscript"/>
          <w:lang w:val="en-MY"/>
        </w:rPr>
        <w:t>18</w:t>
      </w:r>
      <w:r w:rsidRPr="00F23647">
        <w:rPr>
          <w:rFonts w:ascii="Times New Roman" w:hAnsi="Times New Roman"/>
          <w:bCs/>
          <w:sz w:val="20"/>
          <w:szCs w:val="20"/>
          <w:lang w:val="en-MY"/>
        </w:rPr>
        <w:t xml:space="preserve"> adsorbent. The mixture was then vortexed at high speed (2400 rpm) for 1 minute to allow adsorbent to disperse in the sample. The solution was modified to pH 4 with 0.1 M HCl. Next, the adsorbent was collected on 20-25 µm</w:t>
      </w:r>
      <w:r w:rsidRPr="00F23647" w:rsidDel="00F53662">
        <w:rPr>
          <w:rFonts w:ascii="Times New Roman" w:hAnsi="Times New Roman"/>
          <w:bCs/>
          <w:sz w:val="20"/>
          <w:szCs w:val="20"/>
          <w:lang w:val="en-MY"/>
        </w:rPr>
        <w:t xml:space="preserve"> </w:t>
      </w:r>
      <w:r w:rsidRPr="00F23647">
        <w:rPr>
          <w:rFonts w:ascii="Times New Roman" w:hAnsi="Times New Roman"/>
          <w:bCs/>
          <w:sz w:val="20"/>
          <w:szCs w:val="20"/>
          <w:lang w:val="en-MY"/>
        </w:rPr>
        <w:t>filter paper (Whatman, UK) after the extraction. After that, the adsorbent was transferred to a centrifuge tube. A 200 μL of MeOH was introduced to desorb the analytes and sonicated for 5 minutes. Finally, the supernatant was filtered through 0.22 µm nylon membrane filter prior to HPLC-UV analysis.</w:t>
      </w:r>
    </w:p>
    <w:p w14:paraId="51E72DE5" w14:textId="77777777" w:rsidR="00F23647" w:rsidRPr="00F23647" w:rsidRDefault="00F23647" w:rsidP="00F23647">
      <w:pPr>
        <w:spacing w:after="0"/>
        <w:jc w:val="both"/>
        <w:outlineLvl w:val="0"/>
        <w:rPr>
          <w:rFonts w:ascii="Times New Roman" w:hAnsi="Times New Roman"/>
          <w:bCs/>
          <w:sz w:val="20"/>
          <w:szCs w:val="20"/>
          <w:lang w:val="en-MY"/>
        </w:rPr>
      </w:pPr>
    </w:p>
    <w:p w14:paraId="2CD87C8A"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Optimization of D-µ-SPE parameters</w:t>
      </w:r>
    </w:p>
    <w:p w14:paraId="082E8584" w14:textId="77777777" w:rsidR="00F23647" w:rsidRPr="00F23647" w:rsidRDefault="00F23647" w:rsidP="00F23647">
      <w:pPr>
        <w:spacing w:after="0"/>
        <w:jc w:val="both"/>
        <w:outlineLvl w:val="0"/>
        <w:rPr>
          <w:rFonts w:ascii="Times New Roman" w:hAnsi="Times New Roman"/>
          <w:bCs/>
          <w:sz w:val="20"/>
          <w:szCs w:val="20"/>
          <w:lang w:val="en-MY"/>
        </w:rPr>
      </w:pPr>
      <w:r w:rsidRPr="00F23647">
        <w:rPr>
          <w:rFonts w:ascii="Times New Roman" w:hAnsi="Times New Roman"/>
          <w:bCs/>
          <w:sz w:val="20"/>
          <w:szCs w:val="20"/>
          <w:lang w:val="en-MY"/>
        </w:rPr>
        <w:t xml:space="preserve">Seven D-µ-SPE parameters including the type and amount of adsorbent mass, sample volume, pH of sample solution, extraction time, desorption solvent and volume were studied. The optimizations were carried out using one variable at a time (OVAT) method, where an independent variable changed, while the dependent variables were kept at a constant level. </w:t>
      </w:r>
    </w:p>
    <w:p w14:paraId="7BC4C216" w14:textId="77777777" w:rsidR="00F23647" w:rsidRPr="00F23647" w:rsidRDefault="00F23647" w:rsidP="00F23647">
      <w:pPr>
        <w:spacing w:after="0"/>
        <w:jc w:val="both"/>
        <w:outlineLvl w:val="0"/>
        <w:rPr>
          <w:rFonts w:ascii="Times New Roman" w:hAnsi="Times New Roman"/>
          <w:bCs/>
          <w:sz w:val="20"/>
          <w:szCs w:val="20"/>
          <w:lang w:val="en-MY"/>
        </w:rPr>
      </w:pPr>
    </w:p>
    <w:p w14:paraId="4656BB7B" w14:textId="77777777" w:rsidR="00F23647" w:rsidRPr="00F23647" w:rsidRDefault="00F23647" w:rsidP="00F23647">
      <w:pPr>
        <w:spacing w:after="0"/>
        <w:jc w:val="both"/>
        <w:outlineLvl w:val="0"/>
        <w:rPr>
          <w:rFonts w:ascii="Times New Roman" w:hAnsi="Times New Roman"/>
          <w:b/>
          <w:bCs/>
          <w:sz w:val="20"/>
          <w:szCs w:val="20"/>
          <w:lang w:val="en-MY"/>
        </w:rPr>
      </w:pPr>
      <w:r w:rsidRPr="00F23647">
        <w:rPr>
          <w:rFonts w:ascii="Times New Roman" w:hAnsi="Times New Roman"/>
          <w:b/>
          <w:bCs/>
          <w:sz w:val="20"/>
          <w:szCs w:val="20"/>
          <w:lang w:val="en-MY"/>
        </w:rPr>
        <w:t>Method validation of D-µ-SPE</w:t>
      </w:r>
    </w:p>
    <w:p w14:paraId="08633055" w14:textId="77777777" w:rsidR="00F23647" w:rsidRPr="00F23647" w:rsidRDefault="00F23647" w:rsidP="00F23647">
      <w:pPr>
        <w:spacing w:after="0"/>
        <w:jc w:val="both"/>
        <w:rPr>
          <w:rFonts w:asciiTheme="majorBidi" w:hAnsiTheme="majorBidi" w:cstheme="majorBidi"/>
          <w:sz w:val="20"/>
          <w:szCs w:val="20"/>
        </w:rPr>
      </w:pPr>
      <w:r w:rsidRPr="00F23647">
        <w:rPr>
          <w:rFonts w:ascii="Times New Roman" w:hAnsi="Times New Roman"/>
          <w:bCs/>
          <w:sz w:val="20"/>
          <w:szCs w:val="20"/>
          <w:lang w:val="en-MY"/>
        </w:rPr>
        <w:t>For D‐μ‐SPE, the linearity was carried out at different concentrations (</w:t>
      </w:r>
      <w:r w:rsidRPr="00F23647">
        <w:rPr>
          <w:rFonts w:asciiTheme="majorBidi" w:hAnsiTheme="majorBidi" w:cstheme="majorBidi"/>
          <w:sz w:val="20"/>
          <w:szCs w:val="20"/>
        </w:rPr>
        <w:t>0.5, 100, 250, 500, 750, 1000 μg L</w:t>
      </w:r>
      <w:r w:rsidRPr="00F23647">
        <w:rPr>
          <w:rFonts w:asciiTheme="majorBidi" w:hAnsiTheme="majorBidi" w:cstheme="majorBidi"/>
          <w:sz w:val="20"/>
          <w:szCs w:val="20"/>
          <w:vertAlign w:val="superscript"/>
        </w:rPr>
        <w:t>-1</w:t>
      </w:r>
      <w:r w:rsidRPr="00F23647">
        <w:rPr>
          <w:rFonts w:ascii="Times New Roman" w:hAnsi="Times New Roman"/>
          <w:bCs/>
          <w:sz w:val="20"/>
          <w:szCs w:val="20"/>
          <w:lang w:val="en-MY"/>
        </w:rPr>
        <w:t>). Intra-day and inter-day were evaluated at the concentration of 500 and 1000 μg L</w:t>
      </w:r>
      <w:r w:rsidRPr="00F23647">
        <w:rPr>
          <w:rFonts w:ascii="Times New Roman" w:hAnsi="Times New Roman"/>
          <w:bCs/>
          <w:sz w:val="20"/>
          <w:szCs w:val="20"/>
          <w:vertAlign w:val="superscript"/>
          <w:lang w:val="en-MY"/>
        </w:rPr>
        <w:t>-1</w:t>
      </w:r>
      <w:r w:rsidRPr="00F23647">
        <w:rPr>
          <w:rFonts w:ascii="Times New Roman" w:hAnsi="Times New Roman"/>
          <w:bCs/>
          <w:sz w:val="20"/>
          <w:szCs w:val="20"/>
          <w:lang w:val="en-MY"/>
        </w:rPr>
        <w:t xml:space="preserve"> in triplicate for the same day (n = 3) analyses. Relative recovery (%RSD) was determined as the percentage of the mean target analyte concentration detected after extraction against the concentration of spiked ofloxacin and sparfloxacin in the sample.</w:t>
      </w:r>
    </w:p>
    <w:p w14:paraId="6041EDC4" w14:textId="77777777" w:rsidR="00F23647" w:rsidRPr="00F23647" w:rsidRDefault="00F23647" w:rsidP="00F23647">
      <w:pPr>
        <w:spacing w:after="0"/>
        <w:jc w:val="both"/>
        <w:outlineLvl w:val="0"/>
        <w:rPr>
          <w:rFonts w:ascii="Times New Roman" w:hAnsi="Times New Roman"/>
          <w:bCs/>
          <w:sz w:val="20"/>
          <w:szCs w:val="20"/>
          <w:lang w:val="en-MY"/>
        </w:rPr>
      </w:pPr>
    </w:p>
    <w:p w14:paraId="5C4B5D94" w14:textId="77777777" w:rsidR="00F23647" w:rsidRPr="00F23647" w:rsidRDefault="00F23647" w:rsidP="00F23647">
      <w:pPr>
        <w:spacing w:after="0"/>
        <w:jc w:val="both"/>
        <w:outlineLvl w:val="0"/>
        <w:rPr>
          <w:rFonts w:ascii="Times New Roman" w:hAnsi="Times New Roman"/>
          <w:b/>
          <w:sz w:val="20"/>
          <w:szCs w:val="20"/>
          <w:lang w:val="en-MY"/>
        </w:rPr>
      </w:pPr>
      <w:r w:rsidRPr="00F23647">
        <w:rPr>
          <w:rFonts w:ascii="Times New Roman" w:hAnsi="Times New Roman"/>
          <w:b/>
          <w:sz w:val="20"/>
          <w:szCs w:val="20"/>
          <w:lang w:val="en-MY"/>
        </w:rPr>
        <w:t>Sample pre-treatment for human plasma</w:t>
      </w:r>
    </w:p>
    <w:p w14:paraId="5251EDC0" w14:textId="4CDC4F43" w:rsidR="00F23647" w:rsidRDefault="00F23647" w:rsidP="00F23647">
      <w:pPr>
        <w:spacing w:after="0"/>
        <w:jc w:val="both"/>
        <w:outlineLvl w:val="0"/>
        <w:rPr>
          <w:rFonts w:ascii="Times New Roman" w:hAnsi="Times New Roman"/>
          <w:bCs/>
          <w:sz w:val="20"/>
          <w:szCs w:val="20"/>
          <w:lang w:val="en-MY"/>
        </w:rPr>
      </w:pPr>
      <w:r w:rsidRPr="00F23647">
        <w:rPr>
          <w:rFonts w:ascii="Times New Roman" w:hAnsi="Times New Roman"/>
          <w:bCs/>
          <w:sz w:val="20"/>
          <w:szCs w:val="20"/>
          <w:lang w:val="en-MY"/>
        </w:rPr>
        <w:t>To minimize the matrix effects prior to D-µ-SPE, 2 mL of human plasma sample was spiked prior to pH adjustment to pH 4 using 0.1 M of HCl. Then, the mixture was vortexed for 30 s to ensure complete mixing. MeOH (1 mL) was added to the blank/spiked plasma (2 mL) and the mixture was centrifuged at 4000 rpm for 10 min in order to precipitate the proteins. Then, the supernatant was collected and applied for the D-µ-SPE procedure.</w:t>
      </w:r>
    </w:p>
    <w:p w14:paraId="3AD9AA96" w14:textId="4B720FE3" w:rsidR="0018424C" w:rsidRDefault="0018424C" w:rsidP="00F23647">
      <w:pPr>
        <w:spacing w:after="0"/>
        <w:jc w:val="both"/>
        <w:outlineLvl w:val="0"/>
        <w:rPr>
          <w:rFonts w:ascii="Times New Roman" w:hAnsi="Times New Roman"/>
          <w:bCs/>
          <w:sz w:val="20"/>
          <w:szCs w:val="20"/>
          <w:lang w:val="en-MY"/>
        </w:rPr>
      </w:pPr>
    </w:p>
    <w:p w14:paraId="71D857AC" w14:textId="13A84405" w:rsidR="0018424C" w:rsidRDefault="0018424C" w:rsidP="00F23647">
      <w:pPr>
        <w:spacing w:after="0"/>
        <w:jc w:val="both"/>
        <w:outlineLvl w:val="0"/>
        <w:rPr>
          <w:rFonts w:ascii="Times New Roman" w:hAnsi="Times New Roman"/>
          <w:bCs/>
          <w:sz w:val="20"/>
          <w:szCs w:val="20"/>
          <w:lang w:val="en-MY"/>
        </w:rPr>
      </w:pPr>
    </w:p>
    <w:p w14:paraId="394621E6" w14:textId="528F433B" w:rsidR="0018424C" w:rsidRDefault="0018424C" w:rsidP="00F23647">
      <w:pPr>
        <w:spacing w:after="0"/>
        <w:jc w:val="both"/>
        <w:outlineLvl w:val="0"/>
        <w:rPr>
          <w:rFonts w:ascii="Times New Roman" w:hAnsi="Times New Roman"/>
          <w:bCs/>
          <w:sz w:val="20"/>
          <w:szCs w:val="20"/>
          <w:lang w:val="en-MY"/>
        </w:rPr>
      </w:pPr>
    </w:p>
    <w:p w14:paraId="5D12FDA2" w14:textId="77777777" w:rsidR="0018424C" w:rsidRDefault="0018424C" w:rsidP="00F23647">
      <w:pPr>
        <w:spacing w:after="0"/>
        <w:jc w:val="both"/>
        <w:outlineLvl w:val="0"/>
        <w:rPr>
          <w:rFonts w:ascii="Times New Roman" w:hAnsi="Times New Roman"/>
          <w:bCs/>
          <w:sz w:val="20"/>
          <w:szCs w:val="20"/>
          <w:lang w:val="en-MY"/>
        </w:rPr>
      </w:pPr>
    </w:p>
    <w:p w14:paraId="31F48DA6" w14:textId="77777777" w:rsidR="0018424C" w:rsidRPr="00F447A7" w:rsidRDefault="0018424C" w:rsidP="0018424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0DEAEA01" w14:textId="77777777" w:rsidR="0018424C" w:rsidRPr="00912E63" w:rsidRDefault="0018424C" w:rsidP="0018424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Optimization of D-µ-SPE conditions: Selection of adsorbent</w:t>
      </w:r>
    </w:p>
    <w:p w14:paraId="081FF3E5" w14:textId="3EE8E918" w:rsidR="0018424C" w:rsidRDefault="0018424C" w:rsidP="0018424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Selecting sorbent material is vital to the development of D-μ-SPE methods as it determines the selectivity and absorption ability of target analytes, particularly in complex matrices such as human plasma [24]. In this study, various ads</w:t>
      </w:r>
      <w:bookmarkStart w:id="2" w:name="_Hlk11669981"/>
      <w:r w:rsidRPr="00912E63">
        <w:rPr>
          <w:rFonts w:ascii="Times New Roman" w:hAnsi="Times New Roman"/>
          <w:sz w:val="20"/>
          <w:szCs w:val="20"/>
          <w:lang w:val="en-MY"/>
        </w:rPr>
        <w:t>orbent materials</w:t>
      </w:r>
      <w:bookmarkEnd w:id="2"/>
      <w:r w:rsidRPr="00912E63">
        <w:rPr>
          <w:rFonts w:ascii="Times New Roman" w:hAnsi="Times New Roman"/>
          <w:sz w:val="20"/>
          <w:szCs w:val="20"/>
          <w:lang w:val="en-MY"/>
        </w:rPr>
        <w:t>, i.e.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-CN and -NH were investigated which</w:t>
      </w:r>
      <w:r w:rsidRPr="00912E63">
        <w:rPr>
          <w:rFonts w:ascii="Times New Roman" w:hAnsi="Times New Roman"/>
          <w:sz w:val="20"/>
          <w:szCs w:val="20"/>
        </w:rPr>
        <w:t xml:space="preserve"> can be categorized into polar adsorbent (-CN, -NH) and non-polar adsorbent (C</w:t>
      </w:r>
      <w:r w:rsidRPr="00912E63">
        <w:rPr>
          <w:rFonts w:ascii="Times New Roman" w:hAnsi="Times New Roman"/>
          <w:sz w:val="20"/>
          <w:szCs w:val="20"/>
          <w:vertAlign w:val="subscript"/>
        </w:rPr>
        <w:t>18</w:t>
      </w:r>
      <w:r w:rsidRPr="00912E63">
        <w:rPr>
          <w:rFonts w:ascii="Times New Roman" w:hAnsi="Times New Roman"/>
          <w:sz w:val="20"/>
          <w:szCs w:val="20"/>
        </w:rPr>
        <w:t xml:space="preserve">). The retention of the analytes on the adsorbents is due to weak interactions of both compounds through the hydrogen bonding, π-π interactions and Van der Waals. </w:t>
      </w:r>
      <w:r w:rsidRPr="00912E63">
        <w:rPr>
          <w:rFonts w:ascii="Times New Roman" w:hAnsi="Times New Roman"/>
          <w:sz w:val="20"/>
          <w:szCs w:val="20"/>
          <w:lang w:val="en-MY"/>
        </w:rPr>
        <w:t>Based on the result obtained, the highest extraction efficiency for ofloxacin and sparfloxacin</w:t>
      </w:r>
      <w:r w:rsidRPr="00912E63" w:rsidDel="00E61FA5">
        <w:rPr>
          <w:rFonts w:ascii="Times New Roman" w:hAnsi="Times New Roman"/>
          <w:sz w:val="20"/>
          <w:szCs w:val="20"/>
          <w:lang w:val="en-MY"/>
        </w:rPr>
        <w:t xml:space="preserve"> </w:t>
      </w:r>
      <w:r w:rsidRPr="00912E63">
        <w:rPr>
          <w:rFonts w:ascii="Times New Roman" w:hAnsi="Times New Roman"/>
          <w:sz w:val="20"/>
          <w:szCs w:val="20"/>
          <w:lang w:val="en-MY"/>
        </w:rPr>
        <w:t>were achieved by using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as adsorbent (Figure 1). As ofloxacin and sparfloxacin have the log </w:t>
      </w:r>
      <w:r w:rsidRPr="00912E63">
        <w:rPr>
          <w:rFonts w:ascii="Times New Roman" w:hAnsi="Times New Roman"/>
          <w:i/>
          <w:iCs/>
          <w:sz w:val="20"/>
          <w:szCs w:val="20"/>
          <w:lang w:val="en-MY"/>
        </w:rPr>
        <w:t>P</w:t>
      </w:r>
      <w:r w:rsidRPr="00912E63">
        <w:rPr>
          <w:rFonts w:ascii="Times New Roman" w:hAnsi="Times New Roman"/>
          <w:sz w:val="20"/>
          <w:szCs w:val="20"/>
          <w:lang w:val="en-MY"/>
        </w:rPr>
        <w:t xml:space="preserve"> value of 1.86 and 2.60, respectively which can be considered as mid-polar analytes, C</w:t>
      </w:r>
      <w:r w:rsidRPr="00912E63">
        <w:rPr>
          <w:rFonts w:ascii="Times New Roman" w:hAnsi="Times New Roman"/>
          <w:sz w:val="20"/>
          <w:szCs w:val="20"/>
          <w:vertAlign w:val="subscript"/>
          <w:lang w:val="en-MY"/>
        </w:rPr>
        <w:t xml:space="preserve">18 </w:t>
      </w:r>
      <w:r w:rsidRPr="00912E63">
        <w:rPr>
          <w:rFonts w:ascii="Times New Roman" w:hAnsi="Times New Roman"/>
          <w:sz w:val="20"/>
          <w:szCs w:val="20"/>
          <w:lang w:val="en-MY"/>
        </w:rPr>
        <w:t>adsorbent provided greater adsorption as compared to -CN and -NH adsorbent. Thus, it was selected for use in the subsequent analysis.</w:t>
      </w:r>
    </w:p>
    <w:p w14:paraId="08432127" w14:textId="77777777" w:rsidR="0018424C" w:rsidRPr="00912E63" w:rsidRDefault="0018424C" w:rsidP="0018424C">
      <w:pPr>
        <w:spacing w:after="0"/>
        <w:jc w:val="both"/>
        <w:outlineLvl w:val="0"/>
        <w:rPr>
          <w:rFonts w:ascii="Times New Roman" w:hAnsi="Times New Roman"/>
          <w:sz w:val="20"/>
          <w:szCs w:val="20"/>
        </w:rPr>
      </w:pPr>
    </w:p>
    <w:p w14:paraId="4B60982D" w14:textId="77777777" w:rsidR="0018424C" w:rsidRPr="00912E63" w:rsidRDefault="0018424C" w:rsidP="0018424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Mass of adsorbent</w:t>
      </w:r>
    </w:p>
    <w:p w14:paraId="53BAC373" w14:textId="3EE112A3" w:rsidR="0018424C" w:rsidRDefault="0018424C" w:rsidP="0018424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To investigate the effect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mass on ofloxacin and sparfloxacin extraction efficiency, the mass was varied from 10–30 mg. As depicted in Figure 2, an increment of extraction efficiency was observed as the mass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increased. However, the reduction of extraction efficiencies was observed when more than 20 mg were used. This observation may be attributed to the agglomeration of C</w:t>
      </w:r>
      <w:r w:rsidRPr="00912E63">
        <w:rPr>
          <w:rFonts w:ascii="Times New Roman" w:hAnsi="Times New Roman"/>
          <w:sz w:val="20"/>
          <w:szCs w:val="20"/>
          <w:vertAlign w:val="subscript"/>
          <w:lang w:val="en-MY"/>
        </w:rPr>
        <w:t xml:space="preserve">18 </w:t>
      </w:r>
      <w:r w:rsidRPr="00912E63">
        <w:rPr>
          <w:rFonts w:ascii="Times New Roman" w:hAnsi="Times New Roman"/>
          <w:sz w:val="20"/>
          <w:szCs w:val="20"/>
          <w:lang w:val="en-MY"/>
        </w:rPr>
        <w:t>adsorbent, masking the sorbent active sites, thereby reduces its extraction efficiency [25]. Hence,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was chosen as an adsorbent in the following experiments.</w:t>
      </w:r>
    </w:p>
    <w:p w14:paraId="5B94BB66" w14:textId="77777777" w:rsidR="00C56DCC" w:rsidRPr="00912E63" w:rsidRDefault="00C56DCC" w:rsidP="0018424C">
      <w:pPr>
        <w:spacing w:after="0"/>
        <w:jc w:val="both"/>
        <w:outlineLvl w:val="0"/>
        <w:rPr>
          <w:rFonts w:ascii="Times New Roman" w:hAnsi="Times New Roman"/>
          <w:sz w:val="20"/>
          <w:szCs w:val="20"/>
          <w:lang w:val="en-MY"/>
        </w:rPr>
      </w:pPr>
    </w:p>
    <w:p w14:paraId="2EE98359" w14:textId="77777777" w:rsidR="0018424C" w:rsidRPr="00912E63" w:rsidRDefault="0018424C" w:rsidP="0018424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Sample volume</w:t>
      </w:r>
    </w:p>
    <w:p w14:paraId="4F60C2AD" w14:textId="20CBB647" w:rsidR="0018424C" w:rsidRDefault="0018424C" w:rsidP="0018424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In order to improve the partitioning between ofloxacin and sparfloxacin and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the effect of the sample volume on the extraction efficiency was investigated in the range of 5-20 mL. The extraction efficiency of ofloxacin and sparfloxacin improved with the increment of the sample volume to 10 mL, as shown in Figure 3. The extraction efficiency of ofloxacin and sparfloxacin sustained when the volume of sample increased more than 10 ml. Therefore, the sample with </w:t>
      </w:r>
      <w:r w:rsidRPr="00912E63">
        <w:rPr>
          <w:rFonts w:ascii="Times New Roman" w:hAnsi="Times New Roman"/>
          <w:sz w:val="20"/>
          <w:szCs w:val="20"/>
          <w:lang w:val="en-MY"/>
        </w:rPr>
        <w:t>the volume of 10 mL was selected for use in the subsequent experiments.</w:t>
      </w:r>
    </w:p>
    <w:p w14:paraId="421C7B7D" w14:textId="77777777" w:rsidR="00C56DCC" w:rsidRPr="00912E63" w:rsidRDefault="00C56DCC" w:rsidP="0018424C">
      <w:pPr>
        <w:spacing w:after="0"/>
        <w:jc w:val="both"/>
        <w:outlineLvl w:val="0"/>
        <w:rPr>
          <w:rFonts w:ascii="Times New Roman" w:hAnsi="Times New Roman"/>
          <w:sz w:val="20"/>
          <w:szCs w:val="20"/>
          <w:lang w:val="en-MY"/>
        </w:rPr>
      </w:pPr>
    </w:p>
    <w:p w14:paraId="7B399C1E"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Extraction time</w:t>
      </w:r>
    </w:p>
    <w:p w14:paraId="6C2723E8" w14:textId="73E61D21" w:rsidR="00C56DCC"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 xml:space="preserve">The amount of analyte extracted in D-μ-SPE is based on mass transfer from the aqueous phase to the adsorbent [26]. Extraction time therefore is another significant parameter to consider. Extraction times in the range of 30-110 s were studied to evaluate the effects of extraction time on the extraction efficiency. As shown in Figure 4, extraction efficiencies improved as the extraction time increased to 60 s. The availability of abundant active regions on the adsorbent surface enabled ofloxacin and sparfloxacin to react immediately by binding to the adsorbent binding regions at the beginning of the extraction time and resulted in increased extraction efficiency with increasing extraction time [7]. There was </w:t>
      </w:r>
      <w:r w:rsidRPr="00912E63">
        <w:rPr>
          <w:rFonts w:ascii="Times New Roman" w:hAnsi="Times New Roman"/>
          <w:sz w:val="20"/>
          <w:szCs w:val="20"/>
          <w:lang w:val="en-GB"/>
        </w:rPr>
        <w:t>no significant improvement on the extraction efficiency when the extraction time was prolonged</w:t>
      </w:r>
      <w:r w:rsidRPr="00912E63">
        <w:rPr>
          <w:rFonts w:ascii="Times New Roman" w:hAnsi="Times New Roman"/>
          <w:sz w:val="20"/>
          <w:szCs w:val="20"/>
          <w:lang w:val="en-MY"/>
        </w:rPr>
        <w:t xml:space="preserve">. Therefore, the extraction time of 60 s was selected for the analysis. </w:t>
      </w:r>
    </w:p>
    <w:p w14:paraId="5DF87C76" w14:textId="77777777" w:rsidR="00C56DCC" w:rsidRPr="00912E63" w:rsidRDefault="00C56DCC" w:rsidP="00C56DCC">
      <w:pPr>
        <w:spacing w:after="0"/>
        <w:jc w:val="both"/>
        <w:outlineLvl w:val="0"/>
        <w:rPr>
          <w:rFonts w:ascii="Times New Roman" w:hAnsi="Times New Roman"/>
          <w:sz w:val="20"/>
          <w:szCs w:val="20"/>
          <w:lang w:val="en-GB"/>
        </w:rPr>
      </w:pPr>
    </w:p>
    <w:p w14:paraId="0A8BC473"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pH of sample solution</w:t>
      </w:r>
    </w:p>
    <w:p w14:paraId="2EFC1CE3" w14:textId="77777777"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pH has a major effect on extraction efficiency by influencing the form of the analyte by transforming the analytes into molecular forms and enhances the surface charge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w:t>
      </w:r>
      <w:r w:rsidRPr="00912E63">
        <w:rPr>
          <w:rFonts w:ascii="Times New Roman" w:hAnsi="Times New Roman"/>
          <w:sz w:val="20"/>
          <w:szCs w:val="20"/>
        </w:rPr>
        <w:t xml:space="preserve">The pH of the sample solution has a significant impact on the extraction as it specifies the ionic state of the analytes which influences the extraction process [27]. </w:t>
      </w:r>
      <w:r w:rsidRPr="00912E63">
        <w:rPr>
          <w:rFonts w:ascii="Times New Roman" w:hAnsi="Times New Roman"/>
          <w:sz w:val="20"/>
          <w:szCs w:val="20"/>
          <w:lang w:val="en-MY"/>
        </w:rPr>
        <w:t>The pH of the sample solution was set within a range of 2–7 to study its effect on the extraction efficiencies. Since ofloxacin and sparfloxacin are weak base analytes with p</w:t>
      </w:r>
      <w:r w:rsidRPr="00912E63">
        <w:rPr>
          <w:rFonts w:ascii="Times New Roman" w:hAnsi="Times New Roman"/>
          <w:i/>
          <w:iCs/>
          <w:sz w:val="20"/>
          <w:szCs w:val="20"/>
          <w:lang w:val="en-MY"/>
        </w:rPr>
        <w:t>K</w:t>
      </w:r>
      <w:r w:rsidRPr="00912E63">
        <w:rPr>
          <w:rFonts w:ascii="Times New Roman" w:hAnsi="Times New Roman"/>
          <w:sz w:val="20"/>
          <w:szCs w:val="20"/>
          <w:vertAlign w:val="subscript"/>
          <w:lang w:val="en-MY"/>
        </w:rPr>
        <w:t>a</w:t>
      </w:r>
      <w:r w:rsidRPr="00912E63">
        <w:rPr>
          <w:rFonts w:ascii="Times New Roman" w:hAnsi="Times New Roman"/>
          <w:sz w:val="20"/>
          <w:szCs w:val="20"/>
          <w:lang w:val="en-MY"/>
        </w:rPr>
        <w:t xml:space="preserve"> values of 5.19 to 6.42, respectively, they existed in molecular forms under acidic environment to allow the extraction to occur. Based on the results shown in Figure 5, ofloxacin and sparfloxacin were converted more in molecular forms in an acidic environment. Nonetheless, under highly acidic condition (pH 2), they could easily be degraded. At pH greater than 4, both antibiotics were in their ionizable form which restricted the extraction process. Further investigations were carried out using sample solution at pH 4.</w:t>
      </w:r>
    </w:p>
    <w:p w14:paraId="2146E86E" w14:textId="77777777" w:rsidR="007147BB" w:rsidRDefault="007147BB" w:rsidP="00F23647">
      <w:pPr>
        <w:spacing w:after="0"/>
        <w:jc w:val="both"/>
        <w:outlineLvl w:val="0"/>
        <w:rPr>
          <w:rFonts w:ascii="Times New Roman" w:hAnsi="Times New Roman"/>
          <w:bCs/>
          <w:sz w:val="20"/>
          <w:szCs w:val="20"/>
          <w:lang w:val="en-MY"/>
        </w:rPr>
        <w:sectPr w:rsidR="007147BB" w:rsidSect="0018424C">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592B1A96" w14:textId="5D1F5D2C" w:rsidR="0018424C" w:rsidRDefault="0018424C" w:rsidP="007147BB">
      <w:pPr>
        <w:spacing w:after="0"/>
        <w:rPr>
          <w:rFonts w:ascii="Times New Roman" w:hAnsi="Times New Roman"/>
          <w:noProof/>
          <w:sz w:val="20"/>
          <w:szCs w:val="20"/>
          <w:lang w:bidi="ar-SA"/>
        </w:rPr>
        <w:sectPr w:rsidR="0018424C" w:rsidSect="007147BB">
          <w:headerReference w:type="even" r:id="rId18"/>
          <w:headerReference w:type="default" r:id="rId19"/>
          <w:footerReference w:type="default" r:id="rId20"/>
          <w:headerReference w:type="first" r:id="rId21"/>
          <w:type w:val="oddPage"/>
          <w:pgSz w:w="12240" w:h="15840" w:code="1"/>
          <w:pgMar w:top="1800" w:right="1469" w:bottom="1699" w:left="1440" w:header="706" w:footer="706" w:gutter="0"/>
          <w:pgNumType w:start="1"/>
          <w:cols w:num="2" w:space="403"/>
          <w:docGrid w:linePitch="360"/>
        </w:sectPr>
      </w:pPr>
    </w:p>
    <w:p w14:paraId="33CEE3FE" w14:textId="77777777" w:rsidR="00C61210" w:rsidRPr="00912E63" w:rsidRDefault="00C61210" w:rsidP="00912E63">
      <w:pPr>
        <w:spacing w:after="0"/>
        <w:jc w:val="both"/>
        <w:outlineLvl w:val="0"/>
        <w:rPr>
          <w:rFonts w:ascii="Times New Roman" w:hAnsi="Times New Roman"/>
          <w:sz w:val="20"/>
          <w:szCs w:val="20"/>
        </w:rPr>
      </w:pPr>
    </w:p>
    <w:p w14:paraId="0089A6B0" w14:textId="53AC8EB3" w:rsidR="00912E63" w:rsidRPr="00C61210" w:rsidRDefault="00912E63" w:rsidP="00C61210">
      <w:pPr>
        <w:spacing w:after="120"/>
        <w:jc w:val="center"/>
        <w:outlineLvl w:val="0"/>
        <w:rPr>
          <w:rFonts w:ascii="Times New Roman" w:hAnsi="Times New Roman"/>
          <w:sz w:val="20"/>
          <w:szCs w:val="20"/>
        </w:rPr>
      </w:pPr>
      <w:r w:rsidRPr="00912E63">
        <w:rPr>
          <w:rFonts w:ascii="Times New Roman" w:hAnsi="Times New Roman"/>
          <w:noProof/>
          <w:sz w:val="20"/>
          <w:szCs w:val="20"/>
        </w:rPr>
        <w:drawing>
          <wp:inline distT="0" distB="0" distL="0" distR="0" wp14:anchorId="63492B21" wp14:editId="0908741F">
            <wp:extent cx="4095115" cy="2626468"/>
            <wp:effectExtent l="0" t="0" r="6985" b="15240"/>
            <wp:docPr id="1" name="Chart 1">
              <a:extLst xmlns:a="http://schemas.openxmlformats.org/drawingml/2006/main">
                <a:ext uri="{FF2B5EF4-FFF2-40B4-BE49-F238E27FC236}">
                  <a16:creationId xmlns:a16="http://schemas.microsoft.com/office/drawing/2014/main" id="{442BCE40-0266-5644-A74E-8229E8576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CC5B0B" w14:textId="230D6370"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1.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type of adsorbents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 xml:space="preserve"> of ofloxacin and sparfloxacin; mass of adsorbent: 20 mg; sample volume: 10 mL at pH 4; extraction time: 60 s; desorption solvent: 200 µL of MeOH; desorption time: 5 minutes</w:t>
      </w:r>
    </w:p>
    <w:p w14:paraId="6A162489" w14:textId="59BA3F01" w:rsidR="00C61210" w:rsidRDefault="00C61210" w:rsidP="00912E63">
      <w:pPr>
        <w:spacing w:after="0"/>
        <w:jc w:val="both"/>
        <w:outlineLvl w:val="0"/>
        <w:rPr>
          <w:rFonts w:ascii="Times New Roman" w:hAnsi="Times New Roman"/>
          <w:sz w:val="20"/>
          <w:szCs w:val="20"/>
          <w:lang w:val="en-MY"/>
        </w:rPr>
      </w:pPr>
    </w:p>
    <w:p w14:paraId="590FE5F9" w14:textId="77777777" w:rsidR="00C56DCC" w:rsidRPr="00912E63" w:rsidRDefault="00C56DCC" w:rsidP="00912E63">
      <w:pPr>
        <w:spacing w:after="0"/>
        <w:jc w:val="both"/>
        <w:outlineLvl w:val="0"/>
        <w:rPr>
          <w:rFonts w:ascii="Times New Roman" w:hAnsi="Times New Roman"/>
          <w:sz w:val="20"/>
          <w:szCs w:val="20"/>
          <w:lang w:val="en-MY"/>
        </w:rPr>
      </w:pPr>
    </w:p>
    <w:p w14:paraId="3E3D95ED" w14:textId="2D657C8F"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245B88A7" wp14:editId="66963BC4">
            <wp:extent cx="4114800" cy="2791838"/>
            <wp:effectExtent l="0" t="0" r="12700" b="15240"/>
            <wp:docPr id="2" name="Chart 2">
              <a:extLst xmlns:a="http://schemas.openxmlformats.org/drawingml/2006/main">
                <a:ext uri="{FF2B5EF4-FFF2-40B4-BE49-F238E27FC236}">
                  <a16:creationId xmlns:a16="http://schemas.microsoft.com/office/drawing/2014/main" id="{15F10D6B-CF73-E741-99F7-26E887026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AD7352" w14:textId="6EEDA1CF"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2.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mass  of adsorbent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 xml:space="preserve"> of ofloxacin and sparfloxacin; type of adsorbent: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 sample volume: 10 mL at pH 4; extraction time: 60 s; desorption solvent: 200 µL of MeOH; desorption time: 5 minutes</w:t>
      </w:r>
    </w:p>
    <w:p w14:paraId="282E02E8" w14:textId="3093C707" w:rsidR="00912E63" w:rsidRDefault="00912E63" w:rsidP="00912E63">
      <w:pPr>
        <w:spacing w:after="0"/>
        <w:jc w:val="both"/>
        <w:outlineLvl w:val="0"/>
        <w:rPr>
          <w:rFonts w:ascii="Times New Roman" w:hAnsi="Times New Roman"/>
          <w:sz w:val="20"/>
          <w:szCs w:val="20"/>
          <w:lang w:val="en-MY"/>
        </w:rPr>
      </w:pPr>
    </w:p>
    <w:p w14:paraId="2FE90FF9" w14:textId="77777777" w:rsidR="007147BB" w:rsidRDefault="007147BB" w:rsidP="00912E63">
      <w:pPr>
        <w:spacing w:after="0"/>
        <w:jc w:val="both"/>
        <w:outlineLvl w:val="0"/>
        <w:rPr>
          <w:rFonts w:ascii="Times New Roman" w:hAnsi="Times New Roman"/>
          <w:sz w:val="20"/>
          <w:szCs w:val="20"/>
          <w:lang w:val="en-MY"/>
        </w:rPr>
        <w:sectPr w:rsidR="007147BB" w:rsidSect="0018424C">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1"/>
          <w:cols w:space="708"/>
          <w:docGrid w:linePitch="360"/>
        </w:sectPr>
      </w:pPr>
    </w:p>
    <w:p w14:paraId="19A91A72" w14:textId="27061890" w:rsidR="00912E63" w:rsidRPr="00912E63" w:rsidRDefault="00912E63" w:rsidP="00912E63">
      <w:pPr>
        <w:spacing w:after="0"/>
        <w:jc w:val="both"/>
        <w:outlineLvl w:val="0"/>
        <w:rPr>
          <w:rFonts w:ascii="Times New Roman" w:hAnsi="Times New Roman"/>
          <w:sz w:val="20"/>
          <w:szCs w:val="20"/>
          <w:lang w:val="en-MY"/>
        </w:rPr>
      </w:pPr>
    </w:p>
    <w:p w14:paraId="440715BE" w14:textId="202DC1B0"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2C7FCAE3" wp14:editId="3D972388">
            <wp:extent cx="4211955" cy="2782111"/>
            <wp:effectExtent l="0" t="0" r="17145" b="12065"/>
            <wp:docPr id="3" name="Chart 3">
              <a:extLst xmlns:a="http://schemas.openxmlformats.org/drawingml/2006/main">
                <a:ext uri="{FF2B5EF4-FFF2-40B4-BE49-F238E27FC236}">
                  <a16:creationId xmlns:a16="http://schemas.microsoft.com/office/drawing/2014/main" id="{3F89A31F-CD6C-684B-9951-9F2D0B172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D9F403" w14:textId="4E7957E5"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3.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sample volume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pH 4; extraction time: 60 s; desorption solvent: 200 µL of MeOH; desorption time: 5 minutes</w:t>
      </w:r>
    </w:p>
    <w:p w14:paraId="3F1C1239" w14:textId="77777777" w:rsidR="0018424C" w:rsidRDefault="0018424C" w:rsidP="00912E63">
      <w:pPr>
        <w:spacing w:after="0"/>
        <w:jc w:val="both"/>
        <w:outlineLvl w:val="0"/>
        <w:rPr>
          <w:rFonts w:ascii="Times New Roman" w:hAnsi="Times New Roman"/>
          <w:b/>
          <w:bCs/>
          <w:sz w:val="20"/>
          <w:szCs w:val="20"/>
          <w:lang w:val="en-MY"/>
        </w:rPr>
        <w:sectPr w:rsidR="0018424C" w:rsidSect="007147BB">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1"/>
          <w:cols w:space="708"/>
          <w:docGrid w:linePitch="360"/>
        </w:sectPr>
      </w:pPr>
    </w:p>
    <w:p w14:paraId="500E13B5" w14:textId="0C793DCA" w:rsidR="0018424C" w:rsidRDefault="0018424C" w:rsidP="00912E63">
      <w:pPr>
        <w:spacing w:after="0"/>
        <w:jc w:val="both"/>
        <w:outlineLvl w:val="0"/>
        <w:rPr>
          <w:rFonts w:ascii="Times New Roman" w:hAnsi="Times New Roman"/>
          <w:sz w:val="20"/>
          <w:szCs w:val="20"/>
          <w:lang w:val="en-GB"/>
        </w:rPr>
        <w:sectPr w:rsidR="0018424C" w:rsidSect="0018424C">
          <w:type w:val="continuous"/>
          <w:pgSz w:w="12240" w:h="15840" w:code="1"/>
          <w:pgMar w:top="1800" w:right="1469" w:bottom="1699" w:left="1440" w:header="706" w:footer="706" w:gutter="0"/>
          <w:pgNumType w:start="1"/>
          <w:cols w:num="2" w:space="403"/>
          <w:docGrid w:linePitch="360"/>
        </w:sectPr>
      </w:pPr>
    </w:p>
    <w:p w14:paraId="70A75C3B" w14:textId="77777777" w:rsidR="0018424C" w:rsidRPr="00912E63" w:rsidRDefault="0018424C" w:rsidP="00912E63">
      <w:pPr>
        <w:spacing w:after="0"/>
        <w:jc w:val="both"/>
        <w:outlineLvl w:val="0"/>
        <w:rPr>
          <w:rFonts w:ascii="Times New Roman" w:hAnsi="Times New Roman"/>
          <w:sz w:val="20"/>
          <w:szCs w:val="20"/>
          <w:lang w:val="en-GB"/>
        </w:rPr>
      </w:pPr>
    </w:p>
    <w:p w14:paraId="4DB1BB61" w14:textId="60A65611"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6A3AF3AB" wp14:editId="72A2CA19">
            <wp:extent cx="4124325" cy="2538919"/>
            <wp:effectExtent l="0" t="0" r="15875" b="13970"/>
            <wp:docPr id="6" name="Chart 6">
              <a:extLst xmlns:a="http://schemas.openxmlformats.org/drawingml/2006/main">
                <a:ext uri="{FF2B5EF4-FFF2-40B4-BE49-F238E27FC236}">
                  <a16:creationId xmlns:a16="http://schemas.microsoft.com/office/drawing/2014/main" id="{00889BCE-B0D7-F245-B578-BB7D594E6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66E6602" w14:textId="7F6F01D5"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4.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of extraction time on the extraction efficiency of ofloxacin and sparfloxacin. Extraction conditions: 1000 µg L </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at pH 4; desorption solvent: 200 µL of MeOH; desorption time: 5 minutes</w:t>
      </w:r>
    </w:p>
    <w:p w14:paraId="444C3889" w14:textId="0D68757A" w:rsidR="00912E63" w:rsidRDefault="00912E63" w:rsidP="00912E63">
      <w:pPr>
        <w:spacing w:after="0"/>
        <w:jc w:val="both"/>
        <w:outlineLvl w:val="0"/>
        <w:rPr>
          <w:rFonts w:ascii="Times New Roman" w:hAnsi="Times New Roman"/>
          <w:sz w:val="20"/>
          <w:szCs w:val="20"/>
          <w:lang w:val="en-MY"/>
        </w:rPr>
      </w:pPr>
    </w:p>
    <w:p w14:paraId="588DC626" w14:textId="77777777" w:rsidR="007147BB" w:rsidRDefault="007147BB" w:rsidP="00912E63">
      <w:pPr>
        <w:spacing w:after="0"/>
        <w:jc w:val="both"/>
        <w:outlineLvl w:val="0"/>
        <w:rPr>
          <w:rFonts w:ascii="Times New Roman" w:hAnsi="Times New Roman"/>
          <w:sz w:val="20"/>
          <w:szCs w:val="20"/>
          <w:lang w:val="en-MY"/>
        </w:rPr>
        <w:sectPr w:rsidR="007147BB" w:rsidSect="0018424C">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1"/>
          <w:cols w:space="708"/>
          <w:docGrid w:linePitch="360"/>
        </w:sectPr>
      </w:pPr>
    </w:p>
    <w:p w14:paraId="030B252F" w14:textId="07440C05" w:rsidR="00912E63" w:rsidRPr="00912E63" w:rsidRDefault="00912E63" w:rsidP="00912E63">
      <w:pPr>
        <w:spacing w:after="0"/>
        <w:jc w:val="both"/>
        <w:outlineLvl w:val="0"/>
        <w:rPr>
          <w:rFonts w:ascii="Times New Roman" w:hAnsi="Times New Roman"/>
          <w:sz w:val="20"/>
          <w:szCs w:val="20"/>
          <w:lang w:val="en-MY"/>
        </w:rPr>
      </w:pPr>
    </w:p>
    <w:p w14:paraId="173CF54A" w14:textId="256A56B5" w:rsidR="00912E63" w:rsidRPr="00912E63" w:rsidRDefault="00912E63" w:rsidP="00C56DCC">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6A301F42" wp14:editId="532C22AF">
            <wp:extent cx="4056434" cy="2769235"/>
            <wp:effectExtent l="0" t="0" r="7620" b="12065"/>
            <wp:docPr id="7" name="Chart 7">
              <a:extLst xmlns:a="http://schemas.openxmlformats.org/drawingml/2006/main">
                <a:ext uri="{FF2B5EF4-FFF2-40B4-BE49-F238E27FC236}">
                  <a16:creationId xmlns:a16="http://schemas.microsoft.com/office/drawing/2014/main" id="{FA98A369-9DA4-A54A-A169-E32BDE49F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89AD999" w14:textId="67E2B5E1"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5. </w:t>
      </w:r>
      <w:r w:rsidR="00C61210">
        <w:rPr>
          <w:rFonts w:ascii="Times New Roman" w:hAnsi="Times New Roman"/>
          <w:sz w:val="20"/>
          <w:szCs w:val="20"/>
          <w:lang w:val="en-MY"/>
        </w:rPr>
        <w:tab/>
      </w:r>
      <w:r w:rsidRPr="00912E63">
        <w:rPr>
          <w:rFonts w:ascii="Times New Roman" w:hAnsi="Times New Roman"/>
          <w:sz w:val="20"/>
          <w:szCs w:val="20"/>
          <w:lang w:val="en-MY"/>
        </w:rPr>
        <w:t xml:space="preserve">Effect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of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pH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on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the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extraction </w:t>
      </w:r>
      <w:r w:rsidR="00C61210">
        <w:rPr>
          <w:rFonts w:ascii="Times New Roman" w:hAnsi="Times New Roman"/>
          <w:sz w:val="20"/>
          <w:szCs w:val="20"/>
          <w:lang w:val="en-MY"/>
        </w:rPr>
        <w:t xml:space="preserve"> </w:t>
      </w:r>
      <w:r w:rsidRPr="00912E63">
        <w:rPr>
          <w:rFonts w:ascii="Times New Roman" w:hAnsi="Times New Roman"/>
          <w:sz w:val="20"/>
          <w:szCs w:val="20"/>
          <w:lang w:val="en-MY"/>
        </w:rPr>
        <w:t xml:space="preserve">efficiency </w:t>
      </w:r>
      <w:r w:rsidR="00C61210">
        <w:rPr>
          <w:rFonts w:ascii="Times New Roman" w:hAnsi="Times New Roman"/>
          <w:sz w:val="20"/>
          <w:szCs w:val="20"/>
          <w:lang w:val="en-MY"/>
        </w:rPr>
        <w:t xml:space="preserve"> </w:t>
      </w:r>
      <w:r w:rsidRPr="00912E63">
        <w:rPr>
          <w:rFonts w:ascii="Times New Roman" w:hAnsi="Times New Roman"/>
          <w:sz w:val="20"/>
          <w:szCs w:val="20"/>
          <w:lang w:val="en-MY"/>
        </w:rPr>
        <w:t>of ofloxacin and sparfloxacin. Extraction conditions: 1000 µg L</w:t>
      </w:r>
      <w:r w:rsidRPr="00912E63">
        <w:rPr>
          <w:rFonts w:ascii="Times New Roman" w:hAnsi="Times New Roman"/>
          <w:sz w:val="20"/>
          <w:szCs w:val="20"/>
          <w:vertAlign w:val="superscript"/>
          <w:lang w:val="en-MY"/>
        </w:rPr>
        <w:t xml:space="preserve">-1 </w:t>
      </w:r>
      <w:r w:rsidR="00C61210">
        <w:rPr>
          <w:rFonts w:ascii="Times New Roman" w:hAnsi="Times New Roman"/>
          <w:sz w:val="20"/>
          <w:szCs w:val="20"/>
          <w:vertAlign w:val="superscript"/>
          <w:lang w:val="en-MY"/>
        </w:rPr>
        <w:t xml:space="preserve"> </w:t>
      </w:r>
      <w:r w:rsidRPr="00912E63">
        <w:rPr>
          <w:rFonts w:ascii="Times New Roman" w:hAnsi="Times New Roman"/>
          <w:sz w:val="20"/>
          <w:szCs w:val="20"/>
          <w:lang w:val="en-MY"/>
        </w:rPr>
        <w:t xml:space="preserve">of </w:t>
      </w:r>
      <w:r w:rsidR="00C61210">
        <w:rPr>
          <w:rFonts w:ascii="Times New Roman" w:hAnsi="Times New Roman"/>
          <w:sz w:val="20"/>
          <w:szCs w:val="20"/>
          <w:lang w:val="en-MY"/>
        </w:rPr>
        <w:t xml:space="preserve"> </w:t>
      </w:r>
      <w:r w:rsidRPr="00912E63">
        <w:rPr>
          <w:rFonts w:ascii="Times New Roman" w:hAnsi="Times New Roman"/>
          <w:sz w:val="20"/>
          <w:szCs w:val="20"/>
          <w:lang w:val="en-MY"/>
        </w:rPr>
        <w:t>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extraction time: 60 s; desorption solvent: 200 µL of MeOH; desorption time: 5 minutes</w:t>
      </w:r>
    </w:p>
    <w:p w14:paraId="079A8187" w14:textId="7F68745E" w:rsidR="00912E63" w:rsidRDefault="00912E63" w:rsidP="00912E63">
      <w:pPr>
        <w:spacing w:after="0"/>
        <w:jc w:val="both"/>
        <w:outlineLvl w:val="0"/>
        <w:rPr>
          <w:rFonts w:ascii="Times New Roman" w:hAnsi="Times New Roman"/>
          <w:sz w:val="20"/>
          <w:szCs w:val="20"/>
          <w:lang w:val="en-MY"/>
        </w:rPr>
      </w:pPr>
    </w:p>
    <w:p w14:paraId="65452F1C" w14:textId="77777777" w:rsidR="00C61210" w:rsidRPr="00912E63" w:rsidRDefault="00C61210" w:rsidP="00912E63">
      <w:pPr>
        <w:spacing w:after="0"/>
        <w:jc w:val="both"/>
        <w:outlineLvl w:val="0"/>
        <w:rPr>
          <w:rFonts w:ascii="Times New Roman" w:hAnsi="Times New Roman"/>
          <w:sz w:val="20"/>
          <w:szCs w:val="20"/>
          <w:lang w:val="en-MY"/>
        </w:rPr>
      </w:pPr>
    </w:p>
    <w:p w14:paraId="475AF4FB" w14:textId="77777777" w:rsidR="00C56DCC" w:rsidRDefault="00C56DCC" w:rsidP="00C56DCC">
      <w:pPr>
        <w:spacing w:after="0"/>
        <w:jc w:val="both"/>
        <w:outlineLvl w:val="0"/>
        <w:rPr>
          <w:rFonts w:ascii="Times New Roman" w:hAnsi="Times New Roman"/>
          <w:sz w:val="20"/>
          <w:szCs w:val="20"/>
          <w:lang w:val="en-GB"/>
        </w:rPr>
      </w:pPr>
    </w:p>
    <w:p w14:paraId="67207531" w14:textId="77777777" w:rsidR="00C56DCC" w:rsidRDefault="00C56DCC" w:rsidP="00C56DCC">
      <w:pPr>
        <w:spacing w:after="0"/>
        <w:jc w:val="both"/>
        <w:outlineLvl w:val="0"/>
        <w:rPr>
          <w:rFonts w:ascii="Times New Roman" w:hAnsi="Times New Roman"/>
          <w:b/>
          <w:bCs/>
          <w:sz w:val="20"/>
          <w:szCs w:val="20"/>
          <w:lang w:val="en-MY"/>
        </w:rPr>
        <w:sectPr w:rsidR="00C56DCC" w:rsidSect="007147BB">
          <w:headerReference w:type="even" r:id="rId40"/>
          <w:headerReference w:type="default" r:id="rId41"/>
          <w:footerReference w:type="default" r:id="rId42"/>
          <w:headerReference w:type="first" r:id="rId43"/>
          <w:type w:val="oddPage"/>
          <w:pgSz w:w="12240" w:h="15840" w:code="1"/>
          <w:pgMar w:top="1800" w:right="1469" w:bottom="1699" w:left="1440" w:header="706" w:footer="706" w:gutter="0"/>
          <w:pgNumType w:start="1"/>
          <w:cols w:space="708"/>
          <w:docGrid w:linePitch="360"/>
        </w:sectPr>
      </w:pPr>
    </w:p>
    <w:p w14:paraId="077523DE" w14:textId="1B354EE5"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Desorption solvent</w:t>
      </w:r>
    </w:p>
    <w:p w14:paraId="33EDB798" w14:textId="77777777"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The selection of solvents for desorption depends on the compatibility with the HPLC-UV. This study assessed typical organic solvents, namely dichloromethane (DCM), acetonitrile (ACN) and methanol (MeOH) as desorption solvents for ofloxacin and sparfloxacin. As shown in Figure 6, MeOH showed the highest peak areas followed by ACN and DCM in most of the analytes. This result can be explained by the high solubility of ofloxacin and sparfloxacin in MeOH (both standard stock solutions were prepared in MeOH). Hence, MeOH was selected as the solvent for desorption.</w:t>
      </w:r>
    </w:p>
    <w:p w14:paraId="41A901AF" w14:textId="77777777" w:rsidR="00C56DCC" w:rsidRDefault="00C56DCC" w:rsidP="00C56DCC">
      <w:pPr>
        <w:spacing w:after="0"/>
        <w:jc w:val="both"/>
        <w:outlineLvl w:val="0"/>
        <w:rPr>
          <w:rFonts w:ascii="Times New Roman" w:hAnsi="Times New Roman"/>
          <w:sz w:val="20"/>
          <w:szCs w:val="20"/>
          <w:lang w:val="en-GB"/>
        </w:rPr>
      </w:pPr>
    </w:p>
    <w:p w14:paraId="0BB26AA6"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 xml:space="preserve">Desorption time </w:t>
      </w:r>
    </w:p>
    <w:p w14:paraId="56B20E23" w14:textId="5A95A188"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 xml:space="preserve">In this analysis, several desorption times in between 3-15 minutes were analysed. At desorption time of 5 minutes, </w:t>
      </w:r>
      <w:r>
        <w:rPr>
          <w:rFonts w:ascii="Times New Roman" w:hAnsi="Times New Roman"/>
          <w:sz w:val="20"/>
          <w:szCs w:val="20"/>
          <w:lang w:val="en-MY"/>
        </w:rPr>
        <w:t xml:space="preserve"> </w:t>
      </w:r>
      <w:r w:rsidRPr="00912E63">
        <w:rPr>
          <w:rFonts w:ascii="Times New Roman" w:hAnsi="Times New Roman"/>
          <w:sz w:val="20"/>
          <w:szCs w:val="20"/>
          <w:lang w:val="en-MY"/>
        </w:rPr>
        <w:t xml:space="preserve">the </w:t>
      </w:r>
      <w:r>
        <w:rPr>
          <w:rFonts w:ascii="Times New Roman" w:hAnsi="Times New Roman"/>
          <w:sz w:val="20"/>
          <w:szCs w:val="20"/>
          <w:lang w:val="en-MY"/>
        </w:rPr>
        <w:t xml:space="preserve"> </w:t>
      </w:r>
      <w:r w:rsidRPr="00912E63">
        <w:rPr>
          <w:rFonts w:ascii="Times New Roman" w:hAnsi="Times New Roman"/>
          <w:sz w:val="20"/>
          <w:szCs w:val="20"/>
          <w:lang w:val="en-MY"/>
        </w:rPr>
        <w:t xml:space="preserve">extraction </w:t>
      </w:r>
      <w:r>
        <w:rPr>
          <w:rFonts w:ascii="Times New Roman" w:hAnsi="Times New Roman"/>
          <w:sz w:val="20"/>
          <w:szCs w:val="20"/>
          <w:lang w:val="en-MY"/>
        </w:rPr>
        <w:t xml:space="preserve"> </w:t>
      </w:r>
      <w:r w:rsidRPr="00912E63">
        <w:rPr>
          <w:rFonts w:ascii="Times New Roman" w:hAnsi="Times New Roman"/>
          <w:sz w:val="20"/>
          <w:szCs w:val="20"/>
          <w:lang w:val="en-MY"/>
        </w:rPr>
        <w:t>efficiency was optimum (Figure 7). There was no significant improvement was observed as the desorption time extended to 15 minutes. Therefore, desorption time of 5 minutes was chosen in the subsequent experiments.</w:t>
      </w:r>
    </w:p>
    <w:p w14:paraId="19E61E0F" w14:textId="77777777" w:rsidR="00C56DCC" w:rsidRPr="00912E63" w:rsidRDefault="00C56DCC" w:rsidP="00C56DCC">
      <w:pPr>
        <w:spacing w:after="0"/>
        <w:jc w:val="both"/>
        <w:outlineLvl w:val="0"/>
        <w:rPr>
          <w:rFonts w:ascii="Times New Roman" w:hAnsi="Times New Roman"/>
          <w:b/>
          <w:bCs/>
          <w:sz w:val="20"/>
          <w:szCs w:val="20"/>
          <w:lang w:val="en-MY"/>
        </w:rPr>
      </w:pPr>
      <w:r w:rsidRPr="00912E63">
        <w:rPr>
          <w:rFonts w:ascii="Times New Roman" w:hAnsi="Times New Roman"/>
          <w:b/>
          <w:bCs/>
          <w:sz w:val="20"/>
          <w:szCs w:val="20"/>
          <w:lang w:val="en-MY"/>
        </w:rPr>
        <w:t>Method validations</w:t>
      </w:r>
    </w:p>
    <w:p w14:paraId="2C1BF3D3" w14:textId="77777777" w:rsidR="00C56DCC" w:rsidRPr="00C61210" w:rsidRDefault="00C56DCC" w:rsidP="00C56DCC">
      <w:pPr>
        <w:spacing w:after="0"/>
        <w:jc w:val="both"/>
        <w:outlineLvl w:val="0"/>
        <w:rPr>
          <w:rFonts w:ascii="Times New Roman" w:hAnsi="Times New Roman"/>
          <w:b/>
          <w:bCs/>
          <w:i/>
          <w:iCs/>
          <w:sz w:val="20"/>
          <w:szCs w:val="20"/>
          <w:lang w:val="en-MY"/>
        </w:rPr>
      </w:pPr>
      <w:r w:rsidRPr="00C61210">
        <w:rPr>
          <w:rFonts w:ascii="Times New Roman" w:hAnsi="Times New Roman"/>
          <w:b/>
          <w:bCs/>
          <w:i/>
          <w:iCs/>
          <w:sz w:val="20"/>
          <w:szCs w:val="20"/>
          <w:lang w:val="en-MY"/>
        </w:rPr>
        <w:t>Analysis of human plasma</w:t>
      </w:r>
    </w:p>
    <w:p w14:paraId="4765BF57" w14:textId="2E2BE699"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The linearity of D‐μ‐SPE was evaluated using five different concentrations prepared by spiking MeOH with the ofloxacin and sparfloxacin standards. The calibration curve was linear indicated by R</w:t>
      </w:r>
      <w:r w:rsidRPr="00912E63">
        <w:rPr>
          <w:rFonts w:ascii="Times New Roman" w:hAnsi="Times New Roman"/>
          <w:sz w:val="20"/>
          <w:szCs w:val="20"/>
          <w:vertAlign w:val="superscript"/>
          <w:lang w:val="en-MY"/>
        </w:rPr>
        <w:t>2</w:t>
      </w:r>
      <w:r w:rsidRPr="00912E63">
        <w:rPr>
          <w:rFonts w:ascii="Times New Roman" w:hAnsi="Times New Roman"/>
          <w:sz w:val="20"/>
          <w:szCs w:val="20"/>
          <w:lang w:val="en-MY"/>
        </w:rPr>
        <w:t xml:space="preserve"> values obtained, (0.9973 for ofloxacin and 0.9907) for sparfloxacin over the studied concentration range of 0.5–000 μg L</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xml:space="preserve"> </w:t>
      </w:r>
      <w:r w:rsidR="00A9732C">
        <w:rPr>
          <w:rFonts w:ascii="Times New Roman" w:hAnsi="Times New Roman"/>
          <w:sz w:val="20"/>
          <w:szCs w:val="20"/>
          <w:lang w:val="en-MY"/>
        </w:rPr>
        <w:t xml:space="preserve"> </w:t>
      </w:r>
      <w:r w:rsidRPr="00912E63">
        <w:rPr>
          <w:rFonts w:ascii="Times New Roman" w:hAnsi="Times New Roman"/>
          <w:sz w:val="20"/>
          <w:szCs w:val="20"/>
          <w:lang w:val="en-MY"/>
        </w:rPr>
        <w:t xml:space="preserve">with </w:t>
      </w:r>
      <w:r w:rsidR="00A9732C">
        <w:rPr>
          <w:rFonts w:ascii="Times New Roman" w:hAnsi="Times New Roman"/>
          <w:sz w:val="20"/>
          <w:szCs w:val="20"/>
          <w:lang w:val="en-MY"/>
        </w:rPr>
        <w:t xml:space="preserve"> </w:t>
      </w:r>
      <w:r w:rsidRPr="00912E63">
        <w:rPr>
          <w:rFonts w:ascii="Times New Roman" w:hAnsi="Times New Roman"/>
          <w:sz w:val="20"/>
          <w:szCs w:val="20"/>
          <w:lang w:val="en-MY"/>
        </w:rPr>
        <w:t>LOD and LOQ were 0.73 - 1.81 μg L</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respectively as shown in Table 1. Although the endogenous interferences was successfully eliminated in the pre-treatment of human plasma, the low LOD was obtained. This is primarily due to the multiple extractions in smaller quantities during the analysis.</w:t>
      </w:r>
    </w:p>
    <w:p w14:paraId="3382F1EE" w14:textId="77777777" w:rsidR="00C56DCC" w:rsidRDefault="00C56DCC" w:rsidP="00912E63">
      <w:pPr>
        <w:spacing w:after="0"/>
        <w:jc w:val="both"/>
        <w:outlineLvl w:val="0"/>
        <w:rPr>
          <w:rFonts w:ascii="Times New Roman" w:hAnsi="Times New Roman"/>
          <w:sz w:val="20"/>
          <w:szCs w:val="20"/>
          <w:lang w:val="en-MY"/>
        </w:rPr>
      </w:pPr>
    </w:p>
    <w:p w14:paraId="3E9740DA" w14:textId="713A026E" w:rsidR="007147BB" w:rsidRDefault="00C56DCC" w:rsidP="00A7125C">
      <w:pPr>
        <w:spacing w:after="0"/>
        <w:jc w:val="both"/>
        <w:outlineLvl w:val="0"/>
        <w:rPr>
          <w:rFonts w:ascii="Times New Roman" w:hAnsi="Times New Roman"/>
          <w:sz w:val="20"/>
          <w:szCs w:val="20"/>
          <w:lang w:val="en-MY"/>
        </w:rPr>
        <w:sectPr w:rsidR="007147BB" w:rsidSect="00C56DCC">
          <w:headerReference w:type="even" r:id="rId44"/>
          <w:headerReference w:type="default" r:id="rId45"/>
          <w:footerReference w:type="even" r:id="rId46"/>
          <w:headerReference w:type="first" r:id="rId47"/>
          <w:type w:val="continuous"/>
          <w:pgSz w:w="12240" w:h="15840" w:code="1"/>
          <w:pgMar w:top="1800" w:right="1469" w:bottom="1699" w:left="1440" w:header="706" w:footer="706" w:gutter="0"/>
          <w:pgNumType w:start="1"/>
          <w:cols w:num="2" w:space="403"/>
          <w:docGrid w:linePitch="360"/>
        </w:sectPr>
      </w:pPr>
      <w:r w:rsidRPr="00912E63">
        <w:rPr>
          <w:rFonts w:ascii="Times New Roman" w:hAnsi="Times New Roman"/>
          <w:sz w:val="20"/>
          <w:szCs w:val="20"/>
          <w:lang w:val="en-MY"/>
        </w:rPr>
        <w:t xml:space="preserve">The precisions of the analysis were measured by conducting triplicate analysis of spiked human plasma sample on the same day and on three different days at various concentrations. The proposed approach demonstrated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acceptable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precision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based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on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the RSD values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(Table 2).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D‐μ‐SPE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method </w:t>
      </w:r>
      <w:r w:rsidR="00A7125C">
        <w:rPr>
          <w:rFonts w:ascii="Times New Roman" w:hAnsi="Times New Roman"/>
          <w:sz w:val="20"/>
          <w:szCs w:val="20"/>
          <w:lang w:val="en-MY"/>
        </w:rPr>
        <w:t xml:space="preserve"> </w:t>
      </w:r>
      <w:r w:rsidRPr="00912E63">
        <w:rPr>
          <w:rFonts w:ascii="Times New Roman" w:hAnsi="Times New Roman"/>
          <w:sz w:val="20"/>
          <w:szCs w:val="20"/>
          <w:lang w:val="en-MY"/>
        </w:rPr>
        <w:t xml:space="preserve">demonstrated </w:t>
      </w:r>
    </w:p>
    <w:p w14:paraId="1932697F" w14:textId="50ED670D" w:rsidR="00C56DCC" w:rsidRPr="00912E63" w:rsidRDefault="00C56DCC" w:rsidP="00C56DC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lastRenderedPageBreak/>
        <w:t>significant relative recovery of ofloxacin and sparfloxacin in the range of 90.1-109.5%</w:t>
      </w:r>
      <w:r w:rsidRPr="00912E63" w:rsidDel="00C42877">
        <w:rPr>
          <w:rFonts w:ascii="Times New Roman" w:hAnsi="Times New Roman"/>
          <w:sz w:val="20"/>
          <w:szCs w:val="20"/>
          <w:lang w:val="en-MY"/>
        </w:rPr>
        <w:t xml:space="preserve"> </w:t>
      </w:r>
      <w:r w:rsidRPr="00912E63">
        <w:rPr>
          <w:rFonts w:ascii="Times New Roman" w:hAnsi="Times New Roman"/>
          <w:sz w:val="20"/>
          <w:szCs w:val="20"/>
          <w:lang w:val="en-MY"/>
        </w:rPr>
        <w:t>from human plasma samples. The recovery was acceptable with good RSD values suggesting a satisfactory extraction efficiency. Under optimum conditions, the overall extraction efficiency was evaluated by the typical chromatogram as shown in Figure 8. There was no interference in the analytes detected in the blank sample.</w:t>
      </w:r>
    </w:p>
    <w:p w14:paraId="0419269B" w14:textId="77777777" w:rsidR="00C56DCC" w:rsidRDefault="00C56DCC" w:rsidP="00912E63">
      <w:pPr>
        <w:spacing w:after="0"/>
        <w:jc w:val="both"/>
        <w:outlineLvl w:val="0"/>
        <w:rPr>
          <w:rFonts w:ascii="Times New Roman" w:hAnsi="Times New Roman"/>
          <w:sz w:val="20"/>
          <w:szCs w:val="20"/>
          <w:lang w:val="en-MY"/>
        </w:rPr>
      </w:pPr>
    </w:p>
    <w:p w14:paraId="4EE5756E" w14:textId="77777777" w:rsidR="00A9732C" w:rsidRPr="00230B18" w:rsidRDefault="00A9732C" w:rsidP="00A9732C">
      <w:pPr>
        <w:spacing w:after="0"/>
        <w:jc w:val="both"/>
        <w:outlineLvl w:val="0"/>
        <w:rPr>
          <w:rFonts w:ascii="Times New Roman" w:hAnsi="Times New Roman"/>
          <w:b/>
          <w:bCs/>
          <w:i/>
          <w:iCs/>
          <w:sz w:val="20"/>
          <w:szCs w:val="20"/>
          <w:lang w:val="en-MY"/>
        </w:rPr>
      </w:pPr>
      <w:r w:rsidRPr="00230B18">
        <w:rPr>
          <w:rFonts w:ascii="Times New Roman" w:hAnsi="Times New Roman"/>
          <w:b/>
          <w:bCs/>
          <w:i/>
          <w:iCs/>
          <w:sz w:val="20"/>
          <w:szCs w:val="20"/>
          <w:lang w:val="en-MY"/>
        </w:rPr>
        <w:t>Comparison of D‐μ‐SPE with other published methods</w:t>
      </w:r>
    </w:p>
    <w:p w14:paraId="53D6E722" w14:textId="77777777" w:rsidR="00A9732C" w:rsidRPr="00912E63" w:rsidRDefault="00A9732C" w:rsidP="00A9732C">
      <w:pPr>
        <w:spacing w:after="0"/>
        <w:jc w:val="both"/>
        <w:outlineLvl w:val="0"/>
        <w:rPr>
          <w:rFonts w:ascii="Times New Roman" w:hAnsi="Times New Roman"/>
          <w:sz w:val="20"/>
          <w:szCs w:val="20"/>
          <w:lang w:val="en-MY"/>
        </w:rPr>
      </w:pPr>
      <w:r w:rsidRPr="00912E63">
        <w:rPr>
          <w:rFonts w:ascii="Times New Roman" w:hAnsi="Times New Roman"/>
          <w:sz w:val="20"/>
          <w:szCs w:val="20"/>
          <w:lang w:val="en-MY"/>
        </w:rPr>
        <w:t xml:space="preserve">The proposed extraction of method D‐μ‐SPE-HPLC-UV was compared with other published methods (Table 3). Each approach usually has its own advantages and disadvantages. SPE developed adequate sensitivity, accuracy, and recoveries due to the selective adsorbent of hydrophilic and lipophilic balance against ofloxacin and sparfloxacin [26]. A simpler process for the </w:t>
      </w:r>
      <w:r w:rsidRPr="00912E63">
        <w:rPr>
          <w:rFonts w:ascii="Times New Roman" w:hAnsi="Times New Roman"/>
          <w:sz w:val="20"/>
          <w:szCs w:val="20"/>
          <w:lang w:val="en-MY"/>
        </w:rPr>
        <w:t>precipitation of proteins has recently been developed to remove drugs from human plasma. This method was fast and fulfilled the high requirements of bioanalysis for the sample yield. The detection limit was indeed not sufficient [27]. The proposed method D‐μ‐SPE has many benefits such as time saving, high sensitivity and flexibility, as well as applicable to human plasma. This method only used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adsorbent, allowing optimum interaction between analytes and adsorbent. This result in short contact time between analytes and adsorbent with greater sensitivity in comparison to other procedures. Furthermore, D‐μ‐SPE requires simple setup and ultrasonics instrument. Thus, the proposed method could be served as an alternative approach that is beneficial for green microextraction in biological matrices of ofloxacin and sparfloxacin.</w:t>
      </w:r>
    </w:p>
    <w:p w14:paraId="7201B8FE" w14:textId="77777777" w:rsidR="00C56DCC" w:rsidRDefault="00C56DCC" w:rsidP="00912E63">
      <w:pPr>
        <w:spacing w:after="0"/>
        <w:jc w:val="both"/>
        <w:outlineLvl w:val="0"/>
        <w:rPr>
          <w:rFonts w:ascii="Times New Roman" w:hAnsi="Times New Roman"/>
          <w:sz w:val="20"/>
          <w:szCs w:val="20"/>
          <w:lang w:val="en-MY"/>
        </w:rPr>
      </w:pPr>
    </w:p>
    <w:p w14:paraId="2B1F696F" w14:textId="766DEBF3" w:rsidR="00A9732C" w:rsidRDefault="00A9732C" w:rsidP="00912E63">
      <w:pPr>
        <w:spacing w:after="0"/>
        <w:jc w:val="both"/>
        <w:outlineLvl w:val="0"/>
        <w:rPr>
          <w:rFonts w:ascii="Times New Roman" w:hAnsi="Times New Roman"/>
          <w:sz w:val="20"/>
          <w:szCs w:val="20"/>
          <w:lang w:val="en-MY"/>
        </w:rPr>
        <w:sectPr w:rsidR="00A9732C" w:rsidSect="007147BB">
          <w:headerReference w:type="even" r:id="rId48"/>
          <w:headerReference w:type="default" r:id="rId49"/>
          <w:footerReference w:type="even" r:id="rId50"/>
          <w:headerReference w:type="first" r:id="rId51"/>
          <w:type w:val="evenPage"/>
          <w:pgSz w:w="12240" w:h="15840" w:code="1"/>
          <w:pgMar w:top="1800" w:right="1469" w:bottom="1699" w:left="1440" w:header="706" w:footer="706" w:gutter="0"/>
          <w:pgNumType w:start="1"/>
          <w:cols w:num="2" w:space="403"/>
          <w:docGrid w:linePitch="360"/>
        </w:sectPr>
      </w:pPr>
    </w:p>
    <w:p w14:paraId="2267F3DA" w14:textId="633CB602" w:rsidR="00C56DCC" w:rsidRDefault="00C56DCC" w:rsidP="00912E63">
      <w:pPr>
        <w:spacing w:after="0"/>
        <w:jc w:val="both"/>
        <w:outlineLvl w:val="0"/>
        <w:rPr>
          <w:rFonts w:ascii="Times New Roman" w:hAnsi="Times New Roman"/>
          <w:sz w:val="20"/>
          <w:szCs w:val="20"/>
          <w:lang w:val="en-MY"/>
        </w:rPr>
      </w:pPr>
    </w:p>
    <w:p w14:paraId="232AA3D0" w14:textId="77777777" w:rsidR="00C61210" w:rsidRPr="00912E63" w:rsidRDefault="00C61210" w:rsidP="00912E63">
      <w:pPr>
        <w:spacing w:after="0"/>
        <w:jc w:val="both"/>
        <w:outlineLvl w:val="0"/>
        <w:rPr>
          <w:rFonts w:ascii="Times New Roman" w:hAnsi="Times New Roman"/>
          <w:sz w:val="20"/>
          <w:szCs w:val="20"/>
          <w:lang w:val="en-MY"/>
        </w:rPr>
      </w:pPr>
    </w:p>
    <w:p w14:paraId="285E4194" w14:textId="35DB1AD6"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5F3B6924" wp14:editId="053D748E">
            <wp:extent cx="4532630" cy="2529191"/>
            <wp:effectExtent l="0" t="0" r="13970" b="11430"/>
            <wp:docPr id="8" name="Chart 8">
              <a:extLst xmlns:a="http://schemas.openxmlformats.org/drawingml/2006/main">
                <a:ext uri="{FF2B5EF4-FFF2-40B4-BE49-F238E27FC236}">
                  <a16:creationId xmlns:a16="http://schemas.microsoft.com/office/drawing/2014/main" id="{B6FB6876-5DC9-D64E-94E6-E3CB8887D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3069758" w14:textId="3BBB6E47" w:rsidR="00912E63" w:rsidRPr="00912E63" w:rsidRDefault="00912E63" w:rsidP="00912E63">
      <w:pPr>
        <w:spacing w:after="0"/>
        <w:ind w:left="851" w:hanging="851"/>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6.  </w:t>
      </w:r>
      <w:r w:rsidR="00C61210">
        <w:rPr>
          <w:rFonts w:ascii="Times New Roman" w:hAnsi="Times New Roman"/>
          <w:sz w:val="20"/>
          <w:szCs w:val="20"/>
          <w:lang w:val="en-MY"/>
        </w:rPr>
        <w:tab/>
      </w:r>
      <w:r w:rsidRPr="00912E63">
        <w:rPr>
          <w:rFonts w:ascii="Times New Roman" w:hAnsi="Times New Roman"/>
          <w:sz w:val="20"/>
          <w:szCs w:val="20"/>
          <w:lang w:val="en-MY"/>
        </w:rPr>
        <w:t>Effect of solvent on the extraction efficiency of ofloxacin and sparfloxacin. Extraction conditions:        1000 µg L</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at pH 4; extraction time: 60 s; desorption solvent: 200 µL desorption time: 5 minutes</w:t>
      </w:r>
    </w:p>
    <w:p w14:paraId="6EE8D6DE" w14:textId="2082701D" w:rsidR="00912E63" w:rsidRDefault="00912E63" w:rsidP="00912E63">
      <w:pPr>
        <w:spacing w:after="0"/>
        <w:jc w:val="both"/>
        <w:outlineLvl w:val="0"/>
        <w:rPr>
          <w:rFonts w:ascii="Times New Roman" w:hAnsi="Times New Roman"/>
          <w:b/>
          <w:bCs/>
          <w:sz w:val="20"/>
          <w:szCs w:val="20"/>
          <w:lang w:val="en-MY"/>
        </w:rPr>
      </w:pPr>
    </w:p>
    <w:p w14:paraId="4D1FC761" w14:textId="77777777" w:rsidR="007147BB" w:rsidRDefault="007147BB" w:rsidP="00912E63">
      <w:pPr>
        <w:spacing w:after="0"/>
        <w:jc w:val="both"/>
        <w:outlineLvl w:val="0"/>
        <w:rPr>
          <w:rFonts w:ascii="Times New Roman" w:hAnsi="Times New Roman"/>
          <w:sz w:val="20"/>
          <w:szCs w:val="20"/>
          <w:lang w:val="en-MY"/>
        </w:rPr>
        <w:sectPr w:rsidR="007147BB" w:rsidSect="0018424C">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space="708"/>
          <w:docGrid w:linePitch="360"/>
        </w:sectPr>
      </w:pPr>
    </w:p>
    <w:p w14:paraId="2E93543C" w14:textId="4B9FD0F3" w:rsidR="00C61210" w:rsidRPr="00912E63" w:rsidRDefault="00C61210" w:rsidP="00912E63">
      <w:pPr>
        <w:spacing w:after="0"/>
        <w:jc w:val="both"/>
        <w:outlineLvl w:val="0"/>
        <w:rPr>
          <w:rFonts w:ascii="Times New Roman" w:hAnsi="Times New Roman"/>
          <w:sz w:val="20"/>
          <w:szCs w:val="20"/>
          <w:lang w:val="en-MY"/>
        </w:rPr>
      </w:pPr>
    </w:p>
    <w:p w14:paraId="790CCA01" w14:textId="77777777" w:rsidR="00912E63" w:rsidRPr="00912E63" w:rsidRDefault="00912E63" w:rsidP="00C61210">
      <w:pPr>
        <w:spacing w:after="0"/>
        <w:jc w:val="center"/>
        <w:outlineLvl w:val="0"/>
        <w:rPr>
          <w:rFonts w:ascii="Times New Roman" w:hAnsi="Times New Roman"/>
          <w:sz w:val="20"/>
          <w:szCs w:val="20"/>
          <w:lang w:val="en-MY"/>
        </w:rPr>
      </w:pPr>
      <w:r w:rsidRPr="00912E63">
        <w:rPr>
          <w:rFonts w:ascii="Times New Roman" w:hAnsi="Times New Roman"/>
          <w:noProof/>
          <w:sz w:val="20"/>
          <w:szCs w:val="20"/>
        </w:rPr>
        <w:drawing>
          <wp:inline distT="0" distB="0" distL="0" distR="0" wp14:anchorId="21AD2356" wp14:editId="0A31531E">
            <wp:extent cx="4112367" cy="2516863"/>
            <wp:effectExtent l="0" t="0" r="15240" b="10795"/>
            <wp:docPr id="9" name="Chart 9">
              <a:extLst xmlns:a="http://schemas.openxmlformats.org/drawingml/2006/main">
                <a:ext uri="{FF2B5EF4-FFF2-40B4-BE49-F238E27FC236}">
                  <a16:creationId xmlns:a16="http://schemas.microsoft.com/office/drawing/2014/main" id="{F096B7C0-E0D4-B340-BF9A-33527DFBC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AAE79CD" w14:textId="77777777" w:rsidR="00912E63" w:rsidRPr="00912E63" w:rsidRDefault="00912E63" w:rsidP="00912E63">
      <w:pPr>
        <w:spacing w:after="0"/>
        <w:jc w:val="both"/>
        <w:outlineLvl w:val="0"/>
        <w:rPr>
          <w:rFonts w:ascii="Times New Roman" w:hAnsi="Times New Roman"/>
          <w:sz w:val="20"/>
          <w:szCs w:val="20"/>
          <w:lang w:val="en-MY"/>
        </w:rPr>
      </w:pPr>
    </w:p>
    <w:p w14:paraId="00136266" w14:textId="4722E1E2" w:rsidR="00C61210" w:rsidRDefault="00912E63" w:rsidP="00A9732C">
      <w:pPr>
        <w:spacing w:after="0"/>
        <w:ind w:left="810" w:hanging="810"/>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7. </w:t>
      </w:r>
      <w:r w:rsidR="00C61210">
        <w:rPr>
          <w:rFonts w:ascii="Times New Roman" w:hAnsi="Times New Roman"/>
          <w:sz w:val="20"/>
          <w:szCs w:val="20"/>
          <w:lang w:val="en-MY"/>
        </w:rPr>
        <w:tab/>
      </w:r>
      <w:r w:rsidRPr="00912E63">
        <w:rPr>
          <w:rFonts w:ascii="Times New Roman" w:hAnsi="Times New Roman"/>
          <w:sz w:val="20"/>
          <w:szCs w:val="20"/>
          <w:lang w:val="en-MY"/>
        </w:rPr>
        <w:t>Effect of desorption time on the extraction efficiency of ofloxacin and sparfloxacin. Extraction conditions: 1000 µg L</w:t>
      </w:r>
      <w:r w:rsidRPr="00912E63">
        <w:rPr>
          <w:rFonts w:ascii="Times New Roman" w:hAnsi="Times New Roman"/>
          <w:sz w:val="20"/>
          <w:szCs w:val="20"/>
          <w:vertAlign w:val="superscript"/>
          <w:lang w:val="en-MY"/>
        </w:rPr>
        <w:t xml:space="preserve">-1 </w:t>
      </w:r>
      <w:r w:rsidRPr="00912E63">
        <w:rPr>
          <w:rFonts w:ascii="Times New Roman" w:hAnsi="Times New Roman"/>
          <w:sz w:val="20"/>
          <w:szCs w:val="20"/>
          <w:lang w:val="en-MY"/>
        </w:rPr>
        <w:t>of ofloxacin and sparfloxacin; adsorbent: 20 mg of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sample solution: 10 mL at pH 4; extraction time: 60 s; desorption solvent: 200 µL of MeOH</w:t>
      </w:r>
    </w:p>
    <w:p w14:paraId="20406D73" w14:textId="62B3A027" w:rsidR="00A9732C" w:rsidRDefault="00A9732C" w:rsidP="00A9732C">
      <w:pPr>
        <w:spacing w:after="0"/>
        <w:ind w:left="810" w:hanging="810"/>
        <w:jc w:val="both"/>
        <w:outlineLvl w:val="0"/>
        <w:rPr>
          <w:rFonts w:ascii="Times New Roman" w:hAnsi="Times New Roman"/>
          <w:sz w:val="20"/>
          <w:szCs w:val="20"/>
          <w:lang w:val="en-MY"/>
        </w:rPr>
      </w:pPr>
    </w:p>
    <w:p w14:paraId="2013EE08" w14:textId="77777777" w:rsidR="00A9732C" w:rsidRPr="00912E63" w:rsidRDefault="00A9732C" w:rsidP="00A9732C">
      <w:pPr>
        <w:spacing w:after="0"/>
        <w:ind w:left="810" w:hanging="810"/>
        <w:jc w:val="both"/>
        <w:outlineLvl w:val="0"/>
        <w:rPr>
          <w:rFonts w:ascii="Times New Roman" w:hAnsi="Times New Roman"/>
          <w:sz w:val="20"/>
          <w:szCs w:val="20"/>
          <w:lang w:val="en-MY"/>
        </w:rPr>
      </w:pPr>
    </w:p>
    <w:p w14:paraId="34294372" w14:textId="4BFD15AA"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sz w:val="20"/>
          <w:szCs w:val="20"/>
          <w:lang w:val="en-MY"/>
        </w:rPr>
        <w:t>Table 1</w:t>
      </w:r>
      <w:r w:rsidR="00C61210">
        <w:rPr>
          <w:rFonts w:ascii="Times New Roman" w:hAnsi="Times New Roman"/>
          <w:sz w:val="20"/>
          <w:szCs w:val="20"/>
          <w:lang w:val="en-MY"/>
        </w:rPr>
        <w:t xml:space="preserve">.  </w:t>
      </w:r>
      <w:r w:rsidRPr="00912E63">
        <w:rPr>
          <w:rFonts w:ascii="Times New Roman" w:hAnsi="Times New Roman"/>
          <w:sz w:val="20"/>
          <w:szCs w:val="20"/>
          <w:lang w:val="en-MY"/>
        </w:rPr>
        <w:t>Validation parameters for the proposed method for ofloxacin and sparfloxacin in plasma</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595"/>
        <w:gridCol w:w="2183"/>
        <w:gridCol w:w="1026"/>
        <w:gridCol w:w="1044"/>
        <w:gridCol w:w="1667"/>
      </w:tblGrid>
      <w:tr w:rsidR="00912E63" w:rsidRPr="00912E63" w14:paraId="3C5BDD01" w14:textId="77777777" w:rsidTr="00C61210">
        <w:tc>
          <w:tcPr>
            <w:tcW w:w="0" w:type="auto"/>
            <w:tcBorders>
              <w:top w:val="single" w:sz="4" w:space="0" w:color="auto"/>
              <w:bottom w:val="single" w:sz="4" w:space="0" w:color="auto"/>
            </w:tcBorders>
          </w:tcPr>
          <w:p w14:paraId="2E0D3A57" w14:textId="77777777" w:rsidR="00912E63" w:rsidRPr="00912E63" w:rsidRDefault="00912E63" w:rsidP="00C61210">
            <w:pPr>
              <w:spacing w:before="60" w:after="0"/>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Matrix (Plasma) / Analytes</w:t>
            </w:r>
          </w:p>
        </w:tc>
        <w:tc>
          <w:tcPr>
            <w:tcW w:w="0" w:type="auto"/>
            <w:tcBorders>
              <w:top w:val="single" w:sz="4" w:space="0" w:color="auto"/>
              <w:bottom w:val="single" w:sz="4" w:space="0" w:color="auto"/>
            </w:tcBorders>
          </w:tcPr>
          <w:p w14:paraId="4C83F1D9"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Linearity Range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7CE1EE4A"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Correlation of Determination (r</w:t>
            </w:r>
            <w:r w:rsidRPr="00912E63">
              <w:rPr>
                <w:rFonts w:ascii="Times New Roman" w:hAnsi="Times New Roman" w:cs="Times New Roman"/>
                <w:b/>
                <w:sz w:val="20"/>
                <w:szCs w:val="20"/>
                <w:vertAlign w:val="superscript"/>
                <w:lang w:val="en-MY"/>
              </w:rPr>
              <w:t>2</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027F92A2"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LOD</w:t>
            </w:r>
            <w:r w:rsidRPr="00912E63">
              <w:rPr>
                <w:rFonts w:ascii="Times New Roman" w:hAnsi="Times New Roman" w:cs="Times New Roman"/>
                <w:b/>
                <w:sz w:val="20"/>
                <w:szCs w:val="20"/>
                <w:vertAlign w:val="superscript"/>
                <w:lang w:val="en-MY"/>
              </w:rPr>
              <w:t>a</w:t>
            </w:r>
            <w:r w:rsidRPr="00912E63">
              <w:rPr>
                <w:rFonts w:ascii="Times New Roman" w:hAnsi="Times New Roman" w:cs="Times New Roman"/>
                <w:b/>
                <w:sz w:val="20"/>
                <w:szCs w:val="20"/>
                <w:lang w:val="en-MY"/>
              </w:rPr>
              <w:t xml:space="preserve">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73290D2B" w14:textId="77777777" w:rsidR="00912E63" w:rsidRPr="00912E63" w:rsidRDefault="00912E63" w:rsidP="00C61210">
            <w:pPr>
              <w:spacing w:before="60"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LOQ</w:t>
            </w:r>
            <w:r w:rsidRPr="00912E63">
              <w:rPr>
                <w:rFonts w:ascii="Times New Roman" w:hAnsi="Times New Roman" w:cs="Times New Roman"/>
                <w:b/>
                <w:sz w:val="20"/>
                <w:szCs w:val="20"/>
                <w:vertAlign w:val="superscript"/>
                <w:lang w:val="en-MY"/>
              </w:rPr>
              <w:t>b</w:t>
            </w:r>
            <w:r w:rsidRPr="00912E63">
              <w:rPr>
                <w:rFonts w:ascii="Times New Roman" w:hAnsi="Times New Roman" w:cs="Times New Roman"/>
                <w:b/>
                <w:sz w:val="20"/>
                <w:szCs w:val="20"/>
                <w:lang w:val="en-MY"/>
              </w:rPr>
              <w:t xml:space="preserve">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tcBorders>
              <w:top w:val="single" w:sz="4" w:space="0" w:color="auto"/>
              <w:bottom w:val="single" w:sz="4" w:space="0" w:color="auto"/>
            </w:tcBorders>
          </w:tcPr>
          <w:p w14:paraId="08EB0CEF" w14:textId="77777777" w:rsidR="00912E63" w:rsidRPr="00912E63" w:rsidRDefault="00912E63" w:rsidP="00C61210">
            <w:pPr>
              <w:spacing w:before="60" w:after="6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Precision, RSD (%, n = 3)</w:t>
            </w:r>
          </w:p>
        </w:tc>
      </w:tr>
      <w:tr w:rsidR="00912E63" w:rsidRPr="00912E63" w14:paraId="3C7F9E1B" w14:textId="77777777" w:rsidTr="00C61210">
        <w:trPr>
          <w:trHeight w:val="294"/>
        </w:trPr>
        <w:tc>
          <w:tcPr>
            <w:tcW w:w="0" w:type="auto"/>
            <w:tcBorders>
              <w:top w:val="single" w:sz="4" w:space="0" w:color="auto"/>
              <w:bottom w:val="nil"/>
            </w:tcBorders>
          </w:tcPr>
          <w:p w14:paraId="2B3A4156" w14:textId="77777777" w:rsidR="00912E63" w:rsidRPr="00912E63" w:rsidRDefault="00912E63" w:rsidP="00C61210">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Ofloxacin</w:t>
            </w:r>
          </w:p>
        </w:tc>
        <w:tc>
          <w:tcPr>
            <w:tcW w:w="0" w:type="auto"/>
            <w:tcBorders>
              <w:top w:val="single" w:sz="4" w:space="0" w:color="auto"/>
              <w:bottom w:val="nil"/>
            </w:tcBorders>
          </w:tcPr>
          <w:p w14:paraId="74E94F24"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0.5-1000</w:t>
            </w:r>
          </w:p>
        </w:tc>
        <w:tc>
          <w:tcPr>
            <w:tcW w:w="0" w:type="auto"/>
            <w:tcBorders>
              <w:top w:val="single" w:sz="4" w:space="0" w:color="auto"/>
              <w:bottom w:val="nil"/>
            </w:tcBorders>
          </w:tcPr>
          <w:p w14:paraId="358DFC2F"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0.9973</w:t>
            </w:r>
          </w:p>
        </w:tc>
        <w:tc>
          <w:tcPr>
            <w:tcW w:w="0" w:type="auto"/>
            <w:tcBorders>
              <w:top w:val="single" w:sz="4" w:space="0" w:color="auto"/>
              <w:bottom w:val="nil"/>
            </w:tcBorders>
          </w:tcPr>
          <w:p w14:paraId="23106454"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0.73</w:t>
            </w:r>
          </w:p>
        </w:tc>
        <w:tc>
          <w:tcPr>
            <w:tcW w:w="0" w:type="auto"/>
            <w:tcBorders>
              <w:top w:val="single" w:sz="4" w:space="0" w:color="auto"/>
              <w:bottom w:val="nil"/>
            </w:tcBorders>
          </w:tcPr>
          <w:p w14:paraId="46E5A868"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2.44</w:t>
            </w:r>
          </w:p>
        </w:tc>
        <w:tc>
          <w:tcPr>
            <w:tcW w:w="0" w:type="auto"/>
            <w:tcBorders>
              <w:top w:val="single" w:sz="4" w:space="0" w:color="auto"/>
              <w:bottom w:val="nil"/>
            </w:tcBorders>
          </w:tcPr>
          <w:p w14:paraId="737A78F7" w14:textId="77777777" w:rsidR="00912E63" w:rsidRPr="00912E63" w:rsidRDefault="00912E63" w:rsidP="00C61210">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5.60-9.81</w:t>
            </w:r>
          </w:p>
        </w:tc>
      </w:tr>
      <w:tr w:rsidR="00912E63" w:rsidRPr="00912E63" w14:paraId="70D02FB9" w14:textId="77777777" w:rsidTr="00C61210">
        <w:trPr>
          <w:trHeight w:val="364"/>
        </w:trPr>
        <w:tc>
          <w:tcPr>
            <w:tcW w:w="0" w:type="auto"/>
            <w:tcBorders>
              <w:bottom w:val="single" w:sz="4" w:space="0" w:color="auto"/>
            </w:tcBorders>
          </w:tcPr>
          <w:p w14:paraId="06E14DC0" w14:textId="77777777" w:rsidR="00912E63" w:rsidRPr="00912E63" w:rsidRDefault="00912E63" w:rsidP="00C61210">
            <w:pPr>
              <w:spacing w:before="60" w:after="6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Sparfloxacin</w:t>
            </w:r>
          </w:p>
        </w:tc>
        <w:tc>
          <w:tcPr>
            <w:tcW w:w="0" w:type="auto"/>
            <w:tcBorders>
              <w:bottom w:val="single" w:sz="4" w:space="0" w:color="auto"/>
            </w:tcBorders>
          </w:tcPr>
          <w:p w14:paraId="0C706D5C"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0.5-1000</w:t>
            </w:r>
          </w:p>
        </w:tc>
        <w:tc>
          <w:tcPr>
            <w:tcW w:w="0" w:type="auto"/>
            <w:tcBorders>
              <w:bottom w:val="single" w:sz="4" w:space="0" w:color="auto"/>
            </w:tcBorders>
          </w:tcPr>
          <w:p w14:paraId="50201526"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0.9907</w:t>
            </w:r>
          </w:p>
        </w:tc>
        <w:tc>
          <w:tcPr>
            <w:tcW w:w="0" w:type="auto"/>
            <w:tcBorders>
              <w:bottom w:val="single" w:sz="4" w:space="0" w:color="auto"/>
            </w:tcBorders>
          </w:tcPr>
          <w:p w14:paraId="79D82B84"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1.81</w:t>
            </w:r>
          </w:p>
        </w:tc>
        <w:tc>
          <w:tcPr>
            <w:tcW w:w="0" w:type="auto"/>
            <w:tcBorders>
              <w:bottom w:val="single" w:sz="4" w:space="0" w:color="auto"/>
            </w:tcBorders>
          </w:tcPr>
          <w:p w14:paraId="750A698D"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6.03</w:t>
            </w:r>
          </w:p>
        </w:tc>
        <w:tc>
          <w:tcPr>
            <w:tcW w:w="0" w:type="auto"/>
            <w:tcBorders>
              <w:bottom w:val="single" w:sz="4" w:space="0" w:color="auto"/>
            </w:tcBorders>
          </w:tcPr>
          <w:p w14:paraId="2B803724" w14:textId="77777777" w:rsidR="00912E63" w:rsidRPr="00912E63" w:rsidRDefault="00912E63" w:rsidP="00C61210">
            <w:pPr>
              <w:spacing w:before="60" w:after="6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3.97-7.35</w:t>
            </w:r>
          </w:p>
        </w:tc>
      </w:tr>
    </w:tbl>
    <w:p w14:paraId="7DC3CFA1" w14:textId="77777777" w:rsidR="00912E63" w:rsidRPr="00C61210" w:rsidRDefault="00912E63" w:rsidP="00C61210">
      <w:pPr>
        <w:spacing w:before="60" w:after="0"/>
        <w:jc w:val="both"/>
        <w:outlineLvl w:val="0"/>
        <w:rPr>
          <w:rFonts w:ascii="Times New Roman" w:hAnsi="Times New Roman"/>
          <w:sz w:val="18"/>
          <w:szCs w:val="18"/>
          <w:lang w:val="en-MY"/>
        </w:rPr>
      </w:pPr>
      <w:r w:rsidRPr="00C61210">
        <w:rPr>
          <w:rFonts w:ascii="Times New Roman" w:hAnsi="Times New Roman"/>
          <w:sz w:val="18"/>
          <w:szCs w:val="18"/>
          <w:vertAlign w:val="superscript"/>
          <w:lang w:val="en-MY"/>
        </w:rPr>
        <w:t>a</w:t>
      </w:r>
      <w:r w:rsidRPr="00C61210">
        <w:rPr>
          <w:rFonts w:ascii="Times New Roman" w:hAnsi="Times New Roman"/>
          <w:sz w:val="18"/>
          <w:szCs w:val="18"/>
          <w:lang w:val="en-MY"/>
        </w:rPr>
        <w:t xml:space="preserve">Calculated from signal ‐ to ‐ noise =3, </w:t>
      </w:r>
      <w:r w:rsidRPr="00C61210">
        <w:rPr>
          <w:rFonts w:ascii="Times New Roman" w:hAnsi="Times New Roman"/>
          <w:sz w:val="18"/>
          <w:szCs w:val="18"/>
          <w:vertAlign w:val="superscript"/>
          <w:lang w:val="en-MY"/>
        </w:rPr>
        <w:t>b</w:t>
      </w:r>
      <w:r w:rsidRPr="00C61210">
        <w:rPr>
          <w:rFonts w:ascii="Times New Roman" w:hAnsi="Times New Roman"/>
          <w:sz w:val="18"/>
          <w:szCs w:val="18"/>
          <w:lang w:val="en-MY"/>
        </w:rPr>
        <w:t>Calculated from signal ‐ to ‐ noise =10</w:t>
      </w:r>
    </w:p>
    <w:p w14:paraId="5C014467" w14:textId="1C3A58A0" w:rsidR="00912E63" w:rsidRDefault="00912E63" w:rsidP="00912E63">
      <w:pPr>
        <w:spacing w:after="0"/>
        <w:jc w:val="both"/>
        <w:outlineLvl w:val="0"/>
        <w:rPr>
          <w:rFonts w:ascii="Times New Roman" w:hAnsi="Times New Roman"/>
          <w:sz w:val="20"/>
          <w:szCs w:val="20"/>
          <w:lang w:val="en-MY"/>
        </w:rPr>
      </w:pPr>
    </w:p>
    <w:p w14:paraId="4DB7A7A7" w14:textId="77777777" w:rsidR="00C61210" w:rsidRPr="00912E63" w:rsidRDefault="00C61210" w:rsidP="00912E63">
      <w:pPr>
        <w:spacing w:after="0"/>
        <w:jc w:val="both"/>
        <w:outlineLvl w:val="0"/>
        <w:rPr>
          <w:rFonts w:ascii="Times New Roman" w:hAnsi="Times New Roman"/>
          <w:sz w:val="20"/>
          <w:szCs w:val="20"/>
          <w:lang w:val="en-MY"/>
        </w:rPr>
      </w:pPr>
    </w:p>
    <w:p w14:paraId="67D68A21" w14:textId="3F2D7E95" w:rsidR="00912E63" w:rsidRPr="00912E63" w:rsidRDefault="00912E63" w:rsidP="00C61210">
      <w:pPr>
        <w:spacing w:after="120"/>
        <w:jc w:val="center"/>
        <w:outlineLvl w:val="0"/>
        <w:rPr>
          <w:rFonts w:ascii="Times New Roman" w:hAnsi="Times New Roman"/>
          <w:sz w:val="20"/>
          <w:szCs w:val="20"/>
          <w:lang w:val="en-MY"/>
        </w:rPr>
      </w:pPr>
      <w:r w:rsidRPr="00912E63">
        <w:rPr>
          <w:rFonts w:ascii="Times New Roman" w:hAnsi="Times New Roman"/>
          <w:sz w:val="20"/>
          <w:szCs w:val="20"/>
          <w:lang w:val="en-MY"/>
        </w:rPr>
        <w:t>Table 2.</w:t>
      </w:r>
      <w:r w:rsidR="00C61210">
        <w:rPr>
          <w:rFonts w:ascii="Times New Roman" w:hAnsi="Times New Roman"/>
          <w:sz w:val="20"/>
          <w:szCs w:val="20"/>
          <w:lang w:val="en-MY"/>
        </w:rPr>
        <w:t xml:space="preserve">  </w:t>
      </w:r>
      <w:r w:rsidRPr="00912E63">
        <w:rPr>
          <w:rFonts w:ascii="Times New Roman" w:hAnsi="Times New Roman"/>
          <w:sz w:val="20"/>
          <w:szCs w:val="20"/>
          <w:lang w:val="en-MY"/>
        </w:rPr>
        <w:t>Recoveries (%) and precisions (% RSD) of D‐μ‐SPE‐HPLC-UV of human plasma 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1176"/>
        <w:gridCol w:w="1305"/>
        <w:gridCol w:w="222"/>
      </w:tblGrid>
      <w:tr w:rsidR="00912E63" w:rsidRPr="00912E63" w14:paraId="2AF69DC5" w14:textId="77777777" w:rsidTr="009B34C8">
        <w:trPr>
          <w:trHeight w:val="287"/>
          <w:jc w:val="center"/>
        </w:trPr>
        <w:tc>
          <w:tcPr>
            <w:tcW w:w="0" w:type="auto"/>
            <w:tcBorders>
              <w:top w:val="single" w:sz="4" w:space="0" w:color="auto"/>
            </w:tcBorders>
          </w:tcPr>
          <w:p w14:paraId="2C7DF253" w14:textId="77777777" w:rsidR="00912E63" w:rsidRPr="00912E63" w:rsidRDefault="00912E63" w:rsidP="009B34C8">
            <w:pPr>
              <w:spacing w:before="120" w:after="0"/>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Concentration Level (µg L</w:t>
            </w:r>
            <w:r w:rsidRPr="00912E63">
              <w:rPr>
                <w:rFonts w:ascii="Times New Roman" w:hAnsi="Times New Roman" w:cs="Times New Roman"/>
                <w:b/>
                <w:sz w:val="20"/>
                <w:szCs w:val="20"/>
                <w:vertAlign w:val="superscript"/>
                <w:lang w:val="en-MY"/>
              </w:rPr>
              <w:t>-1</w:t>
            </w:r>
            <w:r w:rsidRPr="00912E63">
              <w:rPr>
                <w:rFonts w:ascii="Times New Roman" w:hAnsi="Times New Roman" w:cs="Times New Roman"/>
                <w:b/>
                <w:sz w:val="20"/>
                <w:szCs w:val="20"/>
                <w:lang w:val="en-MY"/>
              </w:rPr>
              <w:t>)</w:t>
            </w:r>
          </w:p>
        </w:tc>
        <w:tc>
          <w:tcPr>
            <w:tcW w:w="0" w:type="auto"/>
            <w:gridSpan w:val="3"/>
            <w:tcBorders>
              <w:top w:val="single" w:sz="4" w:space="0" w:color="auto"/>
              <w:bottom w:val="single" w:sz="4" w:space="0" w:color="auto"/>
            </w:tcBorders>
          </w:tcPr>
          <w:p w14:paraId="76C627ED" w14:textId="77777777" w:rsidR="00912E63" w:rsidRPr="00912E63" w:rsidRDefault="00912E63" w:rsidP="00C61210">
            <w:pPr>
              <w:spacing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Plasma</w:t>
            </w:r>
          </w:p>
        </w:tc>
      </w:tr>
      <w:tr w:rsidR="00912E63" w:rsidRPr="00912E63" w14:paraId="58F67A8D" w14:textId="77777777" w:rsidTr="009B34C8">
        <w:trPr>
          <w:trHeight w:val="225"/>
          <w:jc w:val="center"/>
        </w:trPr>
        <w:tc>
          <w:tcPr>
            <w:tcW w:w="0" w:type="auto"/>
            <w:tcBorders>
              <w:bottom w:val="single" w:sz="4" w:space="0" w:color="auto"/>
            </w:tcBorders>
          </w:tcPr>
          <w:p w14:paraId="520F4CFB" w14:textId="77777777" w:rsidR="00912E63" w:rsidRPr="00912E63" w:rsidRDefault="00912E63" w:rsidP="009B34C8">
            <w:pPr>
              <w:spacing w:after="0"/>
              <w:outlineLvl w:val="0"/>
              <w:rPr>
                <w:rFonts w:ascii="Times New Roman" w:hAnsi="Times New Roman" w:cs="Times New Roman"/>
                <w:b/>
                <w:sz w:val="20"/>
                <w:szCs w:val="20"/>
                <w:lang w:val="en-MY"/>
              </w:rPr>
            </w:pPr>
          </w:p>
        </w:tc>
        <w:tc>
          <w:tcPr>
            <w:tcW w:w="0" w:type="auto"/>
            <w:tcBorders>
              <w:top w:val="single" w:sz="4" w:space="0" w:color="auto"/>
              <w:bottom w:val="single" w:sz="4" w:space="0" w:color="auto"/>
            </w:tcBorders>
          </w:tcPr>
          <w:p w14:paraId="30091ECA" w14:textId="77777777" w:rsidR="00912E63" w:rsidRPr="00912E63" w:rsidRDefault="00912E63" w:rsidP="00C61210">
            <w:pPr>
              <w:spacing w:after="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Ofloxacin</w:t>
            </w:r>
          </w:p>
        </w:tc>
        <w:tc>
          <w:tcPr>
            <w:tcW w:w="0" w:type="auto"/>
            <w:tcBorders>
              <w:top w:val="single" w:sz="4" w:space="0" w:color="auto"/>
              <w:bottom w:val="single" w:sz="4" w:space="0" w:color="auto"/>
            </w:tcBorders>
          </w:tcPr>
          <w:p w14:paraId="68EEEA8C" w14:textId="77777777" w:rsidR="00912E63" w:rsidRPr="00912E63" w:rsidRDefault="00912E63" w:rsidP="009B34C8">
            <w:pPr>
              <w:spacing w:after="60"/>
              <w:jc w:val="center"/>
              <w:outlineLvl w:val="0"/>
              <w:rPr>
                <w:rFonts w:ascii="Times New Roman" w:hAnsi="Times New Roman" w:cs="Times New Roman"/>
                <w:b/>
                <w:sz w:val="20"/>
                <w:szCs w:val="20"/>
                <w:lang w:val="en-MY"/>
              </w:rPr>
            </w:pPr>
            <w:r w:rsidRPr="00912E63">
              <w:rPr>
                <w:rFonts w:ascii="Times New Roman" w:hAnsi="Times New Roman" w:cs="Times New Roman"/>
                <w:b/>
                <w:sz w:val="20"/>
                <w:szCs w:val="20"/>
                <w:lang w:val="en-MY"/>
              </w:rPr>
              <w:t>Sparfloxacin</w:t>
            </w:r>
          </w:p>
        </w:tc>
        <w:tc>
          <w:tcPr>
            <w:tcW w:w="0" w:type="auto"/>
            <w:tcBorders>
              <w:top w:val="single" w:sz="4" w:space="0" w:color="auto"/>
              <w:left w:val="nil"/>
              <w:bottom w:val="single" w:sz="4" w:space="0" w:color="auto"/>
            </w:tcBorders>
          </w:tcPr>
          <w:p w14:paraId="30A8DB6C" w14:textId="77777777" w:rsidR="00912E63" w:rsidRPr="00912E63" w:rsidRDefault="00912E63" w:rsidP="00C61210">
            <w:pPr>
              <w:spacing w:after="0"/>
              <w:jc w:val="center"/>
              <w:outlineLvl w:val="0"/>
              <w:rPr>
                <w:rFonts w:ascii="Times New Roman" w:hAnsi="Times New Roman" w:cs="Times New Roman"/>
                <w:b/>
                <w:sz w:val="20"/>
                <w:szCs w:val="20"/>
                <w:lang w:val="en-MY"/>
              </w:rPr>
            </w:pPr>
          </w:p>
        </w:tc>
      </w:tr>
      <w:tr w:rsidR="00912E63" w:rsidRPr="00912E63" w14:paraId="192ABAD5" w14:textId="77777777" w:rsidTr="009B34C8">
        <w:trPr>
          <w:jc w:val="center"/>
        </w:trPr>
        <w:tc>
          <w:tcPr>
            <w:tcW w:w="0" w:type="auto"/>
            <w:tcBorders>
              <w:top w:val="single" w:sz="4" w:space="0" w:color="auto"/>
            </w:tcBorders>
          </w:tcPr>
          <w:p w14:paraId="02C85588"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Intra-day recoveries (RSD, %, n=3)</w:t>
            </w:r>
          </w:p>
        </w:tc>
        <w:tc>
          <w:tcPr>
            <w:tcW w:w="0" w:type="auto"/>
            <w:tcBorders>
              <w:top w:val="single" w:sz="4" w:space="0" w:color="auto"/>
            </w:tcBorders>
          </w:tcPr>
          <w:p w14:paraId="5A8601DF" w14:textId="77777777" w:rsidR="00912E63" w:rsidRPr="00912E63" w:rsidRDefault="00912E63" w:rsidP="00C61210">
            <w:pPr>
              <w:spacing w:after="0"/>
              <w:jc w:val="center"/>
              <w:outlineLvl w:val="0"/>
              <w:rPr>
                <w:rFonts w:ascii="Times New Roman" w:hAnsi="Times New Roman" w:cs="Times New Roman"/>
                <w:sz w:val="20"/>
                <w:szCs w:val="20"/>
                <w:lang w:val="en-MY"/>
              </w:rPr>
            </w:pPr>
          </w:p>
        </w:tc>
        <w:tc>
          <w:tcPr>
            <w:tcW w:w="0" w:type="auto"/>
            <w:gridSpan w:val="2"/>
            <w:tcBorders>
              <w:top w:val="single" w:sz="4" w:space="0" w:color="auto"/>
            </w:tcBorders>
          </w:tcPr>
          <w:p w14:paraId="62029C15" w14:textId="77777777" w:rsidR="00912E63" w:rsidRPr="00912E63" w:rsidRDefault="00912E63" w:rsidP="00C61210">
            <w:pPr>
              <w:spacing w:after="0"/>
              <w:jc w:val="center"/>
              <w:outlineLvl w:val="0"/>
              <w:rPr>
                <w:rFonts w:ascii="Times New Roman" w:hAnsi="Times New Roman" w:cs="Times New Roman"/>
                <w:sz w:val="20"/>
                <w:szCs w:val="20"/>
                <w:lang w:val="en-MY"/>
              </w:rPr>
            </w:pPr>
          </w:p>
        </w:tc>
      </w:tr>
      <w:tr w:rsidR="00912E63" w:rsidRPr="00912E63" w14:paraId="24E7BFA3" w14:textId="77777777" w:rsidTr="00F04136">
        <w:trPr>
          <w:trHeight w:val="567"/>
          <w:jc w:val="center"/>
        </w:trPr>
        <w:tc>
          <w:tcPr>
            <w:tcW w:w="0" w:type="auto"/>
          </w:tcPr>
          <w:p w14:paraId="174E31C2"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500</w:t>
            </w:r>
          </w:p>
          <w:p w14:paraId="2DD791AE"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1000</w:t>
            </w:r>
          </w:p>
        </w:tc>
        <w:tc>
          <w:tcPr>
            <w:tcW w:w="0" w:type="auto"/>
          </w:tcPr>
          <w:p w14:paraId="41FC8E83"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90.1± 1.9</w:t>
            </w:r>
          </w:p>
          <w:p w14:paraId="10F40A50"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100.6± 8.03</w:t>
            </w:r>
          </w:p>
        </w:tc>
        <w:tc>
          <w:tcPr>
            <w:tcW w:w="0" w:type="auto"/>
            <w:gridSpan w:val="2"/>
          </w:tcPr>
          <w:p w14:paraId="7D3C66EA"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100.1± 9.1</w:t>
            </w:r>
          </w:p>
          <w:p w14:paraId="114526A2"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102.1± 5.3</w:t>
            </w:r>
          </w:p>
        </w:tc>
      </w:tr>
      <w:tr w:rsidR="00912E63" w:rsidRPr="00912E63" w14:paraId="16C7107A" w14:textId="77777777" w:rsidTr="009B34C8">
        <w:trPr>
          <w:jc w:val="center"/>
        </w:trPr>
        <w:tc>
          <w:tcPr>
            <w:tcW w:w="0" w:type="auto"/>
          </w:tcPr>
          <w:p w14:paraId="69AF9F30"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Intra-day recoveries (RSD, %, n=3)</w:t>
            </w:r>
          </w:p>
        </w:tc>
        <w:tc>
          <w:tcPr>
            <w:tcW w:w="0" w:type="auto"/>
          </w:tcPr>
          <w:p w14:paraId="117ADF83" w14:textId="77777777" w:rsidR="00912E63" w:rsidRPr="00912E63" w:rsidRDefault="00912E63" w:rsidP="00C61210">
            <w:pPr>
              <w:spacing w:after="0"/>
              <w:jc w:val="center"/>
              <w:outlineLvl w:val="0"/>
              <w:rPr>
                <w:rFonts w:ascii="Times New Roman" w:hAnsi="Times New Roman" w:cs="Times New Roman"/>
                <w:sz w:val="20"/>
                <w:szCs w:val="20"/>
                <w:lang w:val="en-MY"/>
              </w:rPr>
            </w:pPr>
          </w:p>
        </w:tc>
        <w:tc>
          <w:tcPr>
            <w:tcW w:w="0" w:type="auto"/>
            <w:gridSpan w:val="2"/>
          </w:tcPr>
          <w:p w14:paraId="31DD6DB9" w14:textId="77777777" w:rsidR="00912E63" w:rsidRPr="00912E63" w:rsidRDefault="00912E63" w:rsidP="00C61210">
            <w:pPr>
              <w:spacing w:after="0"/>
              <w:jc w:val="center"/>
              <w:outlineLvl w:val="0"/>
              <w:rPr>
                <w:rFonts w:ascii="Times New Roman" w:hAnsi="Times New Roman" w:cs="Times New Roman"/>
                <w:sz w:val="20"/>
                <w:szCs w:val="20"/>
                <w:lang w:val="en-MY"/>
              </w:rPr>
            </w:pPr>
          </w:p>
        </w:tc>
      </w:tr>
      <w:tr w:rsidR="00912E63" w:rsidRPr="00912E63" w14:paraId="44693A5B" w14:textId="77777777" w:rsidTr="009B34C8">
        <w:trPr>
          <w:trHeight w:val="538"/>
          <w:jc w:val="center"/>
        </w:trPr>
        <w:tc>
          <w:tcPr>
            <w:tcW w:w="0" w:type="auto"/>
            <w:tcBorders>
              <w:bottom w:val="single" w:sz="4" w:space="0" w:color="auto"/>
            </w:tcBorders>
          </w:tcPr>
          <w:p w14:paraId="6DCFC99F" w14:textId="77777777" w:rsidR="00912E63" w:rsidRPr="00912E63" w:rsidRDefault="00912E63" w:rsidP="009B34C8">
            <w:pPr>
              <w:spacing w:before="60" w:after="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500</w:t>
            </w:r>
          </w:p>
          <w:p w14:paraId="5776C688" w14:textId="77777777" w:rsidR="00912E63" w:rsidRPr="00912E63" w:rsidRDefault="00912E63" w:rsidP="009B34C8">
            <w:pPr>
              <w:spacing w:before="60" w:after="60"/>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1000</w:t>
            </w:r>
          </w:p>
        </w:tc>
        <w:tc>
          <w:tcPr>
            <w:tcW w:w="0" w:type="auto"/>
            <w:tcBorders>
              <w:bottom w:val="single" w:sz="4" w:space="0" w:color="auto"/>
            </w:tcBorders>
          </w:tcPr>
          <w:p w14:paraId="02AB2D4C"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98.6± 4.3</w:t>
            </w:r>
          </w:p>
          <w:p w14:paraId="7BF56092"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105.6± 6.32</w:t>
            </w:r>
          </w:p>
        </w:tc>
        <w:tc>
          <w:tcPr>
            <w:tcW w:w="0" w:type="auto"/>
            <w:gridSpan w:val="2"/>
            <w:tcBorders>
              <w:bottom w:val="single" w:sz="4" w:space="0" w:color="auto"/>
            </w:tcBorders>
          </w:tcPr>
          <w:p w14:paraId="0F86C871"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103.6± 7.1</w:t>
            </w:r>
          </w:p>
          <w:p w14:paraId="40C443C9" w14:textId="77777777" w:rsidR="00912E63" w:rsidRPr="00912E63" w:rsidRDefault="00912E63" w:rsidP="009B34C8">
            <w:pPr>
              <w:spacing w:before="60" w:after="0"/>
              <w:jc w:val="center"/>
              <w:outlineLvl w:val="0"/>
              <w:rPr>
                <w:rFonts w:ascii="Times New Roman" w:hAnsi="Times New Roman" w:cs="Times New Roman"/>
                <w:sz w:val="20"/>
                <w:szCs w:val="20"/>
                <w:lang w:val="en-MY"/>
              </w:rPr>
            </w:pPr>
            <w:r w:rsidRPr="00912E63">
              <w:rPr>
                <w:rFonts w:ascii="Times New Roman" w:hAnsi="Times New Roman" w:cs="Times New Roman"/>
                <w:sz w:val="20"/>
                <w:szCs w:val="20"/>
                <w:lang w:val="en-MY"/>
              </w:rPr>
              <w:t>109.5± 12.5</w:t>
            </w:r>
          </w:p>
        </w:tc>
      </w:tr>
    </w:tbl>
    <w:p w14:paraId="13F081B7" w14:textId="39E59A61" w:rsidR="00912E63" w:rsidRDefault="00912E63" w:rsidP="00912E63">
      <w:pPr>
        <w:spacing w:after="0"/>
        <w:jc w:val="both"/>
        <w:outlineLvl w:val="0"/>
        <w:rPr>
          <w:rFonts w:ascii="Times New Roman" w:hAnsi="Times New Roman"/>
          <w:sz w:val="20"/>
          <w:szCs w:val="20"/>
          <w:lang w:val="en-MY"/>
        </w:rPr>
      </w:pPr>
    </w:p>
    <w:p w14:paraId="38605740" w14:textId="63000E2F" w:rsidR="00F27D58" w:rsidRDefault="00F27D58" w:rsidP="00912E63">
      <w:pPr>
        <w:spacing w:after="0"/>
        <w:jc w:val="both"/>
        <w:outlineLvl w:val="0"/>
        <w:rPr>
          <w:rFonts w:ascii="Times New Roman" w:hAnsi="Times New Roman"/>
          <w:sz w:val="20"/>
          <w:szCs w:val="20"/>
          <w:lang w:val="en-MY"/>
        </w:rPr>
      </w:pPr>
    </w:p>
    <w:p w14:paraId="142D1C69" w14:textId="77777777" w:rsidR="00F27D58" w:rsidRDefault="00F27D58" w:rsidP="00912E63">
      <w:pPr>
        <w:spacing w:after="0"/>
        <w:jc w:val="both"/>
        <w:outlineLvl w:val="0"/>
        <w:rPr>
          <w:rFonts w:ascii="Times New Roman" w:hAnsi="Times New Roman"/>
          <w:sz w:val="20"/>
          <w:szCs w:val="20"/>
          <w:lang w:val="en-MY"/>
        </w:rPr>
      </w:pPr>
    </w:p>
    <w:p w14:paraId="7622A7A6" w14:textId="77777777" w:rsidR="00F27D58" w:rsidRPr="00912E63" w:rsidRDefault="00F27D58" w:rsidP="00F27D58">
      <w:pPr>
        <w:spacing w:after="0"/>
        <w:jc w:val="center"/>
        <w:outlineLvl w:val="0"/>
        <w:rPr>
          <w:rFonts w:ascii="Times New Roman" w:hAnsi="Times New Roman"/>
          <w:sz w:val="20"/>
          <w:szCs w:val="20"/>
          <w:lang w:val="en-MY"/>
        </w:rPr>
      </w:pPr>
      <w:r w:rsidRPr="00912E63">
        <w:rPr>
          <w:rFonts w:ascii="Times New Roman" w:hAnsi="Times New Roman"/>
          <w:noProof/>
          <w:sz w:val="20"/>
          <w:szCs w:val="20"/>
          <w:lang w:val="en-MY"/>
        </w:rPr>
        <w:drawing>
          <wp:inline distT="0" distB="0" distL="0" distR="0" wp14:anchorId="6DE1171C" wp14:editId="6F407BD7">
            <wp:extent cx="4032250" cy="2476201"/>
            <wp:effectExtent l="0" t="0" r="635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078065" cy="2504336"/>
                    </a:xfrm>
                    <a:prstGeom prst="rect">
                      <a:avLst/>
                    </a:prstGeom>
                    <a:noFill/>
                  </pic:spPr>
                </pic:pic>
              </a:graphicData>
            </a:graphic>
          </wp:inline>
        </w:drawing>
      </w:r>
    </w:p>
    <w:p w14:paraId="2A8682BE" w14:textId="77777777" w:rsidR="00F27D58" w:rsidRPr="00912E63" w:rsidRDefault="00F27D58" w:rsidP="00F27D58">
      <w:pPr>
        <w:spacing w:after="0"/>
        <w:ind w:left="810" w:hanging="810"/>
        <w:jc w:val="both"/>
        <w:outlineLvl w:val="0"/>
        <w:rPr>
          <w:rFonts w:ascii="Times New Roman" w:hAnsi="Times New Roman"/>
          <w:sz w:val="20"/>
          <w:szCs w:val="20"/>
          <w:lang w:val="en-MY"/>
        </w:rPr>
      </w:pPr>
      <w:r w:rsidRPr="00912E63">
        <w:rPr>
          <w:rFonts w:ascii="Times New Roman" w:hAnsi="Times New Roman"/>
          <w:sz w:val="20"/>
          <w:szCs w:val="20"/>
          <w:lang w:val="en-MY"/>
        </w:rPr>
        <w:t xml:space="preserve">Figure 8. </w:t>
      </w:r>
      <w:r>
        <w:rPr>
          <w:rFonts w:ascii="Times New Roman" w:hAnsi="Times New Roman"/>
          <w:sz w:val="20"/>
          <w:szCs w:val="20"/>
          <w:lang w:val="en-MY"/>
        </w:rPr>
        <w:tab/>
      </w:r>
      <w:r w:rsidRPr="00912E63">
        <w:rPr>
          <w:rFonts w:ascii="Times New Roman" w:hAnsi="Times New Roman"/>
          <w:sz w:val="20"/>
          <w:szCs w:val="20"/>
          <w:lang w:val="en-MY"/>
        </w:rPr>
        <w:t>HPLC typical chromatogram of antibiotics drugs subjected to D‐μ‐SPE ‐ HPLC-UV.  i: spiked plasma (1000 μg L</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xml:space="preserve">); ii: unspiked human plasma under the optimized HPLC-UV conditions, Column: Thermo-Fisher </w:t>
      </w:r>
      <w:bookmarkStart w:id="3" w:name="_Hlk522617374"/>
      <w:r w:rsidRPr="00912E63">
        <w:rPr>
          <w:rFonts w:ascii="Times New Roman" w:hAnsi="Times New Roman"/>
          <w:sz w:val="20"/>
          <w:szCs w:val="20"/>
          <w:lang w:val="en-MY"/>
        </w:rPr>
        <w:t>Hypersil Gold ODS C</w:t>
      </w:r>
      <w:r w:rsidRPr="00912E63">
        <w:rPr>
          <w:rFonts w:ascii="Times New Roman" w:hAnsi="Times New Roman"/>
          <w:sz w:val="20"/>
          <w:szCs w:val="20"/>
          <w:vertAlign w:val="subscript"/>
          <w:lang w:val="en-MY"/>
        </w:rPr>
        <w:t>18</w:t>
      </w:r>
      <w:r w:rsidRPr="00912E63">
        <w:rPr>
          <w:rFonts w:ascii="Times New Roman" w:hAnsi="Times New Roman"/>
          <w:sz w:val="20"/>
          <w:szCs w:val="20"/>
          <w:lang w:val="en-MY"/>
        </w:rPr>
        <w:t xml:space="preserve"> (250 x 4.6 mm x 5µm)</w:t>
      </w:r>
      <w:bookmarkEnd w:id="3"/>
      <w:r w:rsidRPr="00912E63">
        <w:rPr>
          <w:rFonts w:ascii="Times New Roman" w:hAnsi="Times New Roman"/>
          <w:sz w:val="20"/>
          <w:szCs w:val="20"/>
          <w:lang w:val="en-MY"/>
        </w:rPr>
        <w:t>; mobile phase: MeOH and phosphate buffer (5 mM, pH 3.0), (50:50) λ: 254 nm; ﬂow rate: 1 mL min</w:t>
      </w:r>
      <w:r w:rsidRPr="00912E63">
        <w:rPr>
          <w:rFonts w:ascii="Times New Roman" w:hAnsi="Times New Roman"/>
          <w:sz w:val="20"/>
          <w:szCs w:val="20"/>
          <w:vertAlign w:val="superscript"/>
          <w:lang w:val="en-MY"/>
        </w:rPr>
        <w:t>-1</w:t>
      </w:r>
      <w:r w:rsidRPr="00912E63">
        <w:rPr>
          <w:rFonts w:ascii="Times New Roman" w:hAnsi="Times New Roman"/>
          <w:sz w:val="20"/>
          <w:szCs w:val="20"/>
          <w:lang w:val="en-MY"/>
        </w:rPr>
        <w:t>. (1) ofloxacin and, (2) sparfloxacin</w:t>
      </w:r>
    </w:p>
    <w:p w14:paraId="05527B2F" w14:textId="77777777" w:rsidR="00F27D58" w:rsidRDefault="00F27D58" w:rsidP="00F27D58">
      <w:pPr>
        <w:spacing w:after="0"/>
        <w:jc w:val="both"/>
        <w:outlineLvl w:val="0"/>
        <w:rPr>
          <w:rFonts w:ascii="Times New Roman" w:hAnsi="Times New Roman"/>
          <w:sz w:val="20"/>
          <w:szCs w:val="20"/>
          <w:lang w:val="en-MY"/>
        </w:rPr>
      </w:pPr>
    </w:p>
    <w:p w14:paraId="484C6A7A" w14:textId="77777777" w:rsidR="00F27D58" w:rsidRPr="00912E63" w:rsidRDefault="00F27D58" w:rsidP="00F27D58">
      <w:pPr>
        <w:spacing w:after="0"/>
        <w:jc w:val="both"/>
        <w:outlineLvl w:val="0"/>
        <w:rPr>
          <w:rFonts w:ascii="Times New Roman" w:hAnsi="Times New Roman"/>
          <w:sz w:val="20"/>
          <w:szCs w:val="20"/>
          <w:lang w:val="en-MY"/>
        </w:rPr>
      </w:pPr>
    </w:p>
    <w:p w14:paraId="369DB133" w14:textId="77777777" w:rsidR="00F27D58" w:rsidRPr="00912E63" w:rsidRDefault="00F27D58" w:rsidP="00F27D58">
      <w:pPr>
        <w:spacing w:after="120"/>
        <w:ind w:left="850" w:hanging="850"/>
        <w:jc w:val="center"/>
        <w:outlineLvl w:val="0"/>
        <w:rPr>
          <w:rFonts w:ascii="Times New Roman" w:hAnsi="Times New Roman"/>
          <w:sz w:val="20"/>
          <w:szCs w:val="20"/>
          <w:lang w:val="en-MY"/>
        </w:rPr>
      </w:pPr>
      <w:r w:rsidRPr="00912E63">
        <w:rPr>
          <w:rFonts w:ascii="Times New Roman" w:hAnsi="Times New Roman"/>
          <w:sz w:val="20"/>
          <w:szCs w:val="20"/>
          <w:lang w:val="en-MY"/>
        </w:rPr>
        <w:t xml:space="preserve">Table </w:t>
      </w:r>
      <w:r>
        <w:rPr>
          <w:rFonts w:ascii="Times New Roman" w:hAnsi="Times New Roman"/>
          <w:sz w:val="20"/>
          <w:szCs w:val="20"/>
          <w:lang w:val="en-MY"/>
        </w:rPr>
        <w:t>3</w:t>
      </w:r>
      <w:r w:rsidRPr="00912E63">
        <w:rPr>
          <w:rFonts w:ascii="Times New Roman" w:hAnsi="Times New Roman"/>
          <w:sz w:val="20"/>
          <w:szCs w:val="20"/>
          <w:lang w:val="en-MY"/>
        </w:rPr>
        <w:t>.</w:t>
      </w:r>
      <w:r>
        <w:rPr>
          <w:rFonts w:ascii="Times New Roman" w:hAnsi="Times New Roman"/>
          <w:sz w:val="20"/>
          <w:szCs w:val="20"/>
          <w:lang w:val="en-MY"/>
        </w:rPr>
        <w:t xml:space="preserve">  </w:t>
      </w:r>
      <w:r w:rsidRPr="00912E63">
        <w:rPr>
          <w:rFonts w:ascii="Times New Roman" w:hAnsi="Times New Roman"/>
          <w:sz w:val="20"/>
          <w:szCs w:val="20"/>
          <w:lang w:val="en-MY"/>
        </w:rPr>
        <w:t>Comparison of D-μ‐SPE with other published methods for the determination of ofloxacin and sparfloxacin</w:t>
      </w:r>
    </w:p>
    <w:tbl>
      <w:tblPr>
        <w:tblStyle w:val="ListTable6Colorful"/>
        <w:tblW w:w="0" w:type="auto"/>
        <w:jc w:val="center"/>
        <w:tblLook w:val="04A0" w:firstRow="1" w:lastRow="0" w:firstColumn="1" w:lastColumn="0" w:noHBand="0" w:noVBand="1"/>
      </w:tblPr>
      <w:tblGrid>
        <w:gridCol w:w="2345"/>
        <w:gridCol w:w="1166"/>
        <w:gridCol w:w="1435"/>
        <w:gridCol w:w="1327"/>
        <w:gridCol w:w="941"/>
        <w:gridCol w:w="1140"/>
        <w:gridCol w:w="977"/>
      </w:tblGrid>
      <w:tr w:rsidR="00F27D58" w:rsidRPr="00912E63" w14:paraId="1F77CF6B" w14:textId="77777777" w:rsidTr="00A735EC">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5AA3B410" w14:textId="77777777" w:rsidR="00F27D58" w:rsidRPr="00912E63" w:rsidRDefault="00F27D58" w:rsidP="00A735EC">
            <w:pPr>
              <w:spacing w:before="120" w:after="0"/>
              <w:outlineLvl w:val="0"/>
              <w:rPr>
                <w:rFonts w:ascii="Times New Roman" w:hAnsi="Times New Roman" w:cs="Times New Roman"/>
                <w:color w:val="auto"/>
                <w:sz w:val="20"/>
                <w:szCs w:val="20"/>
              </w:rPr>
            </w:pPr>
            <w:r w:rsidRPr="00912E63">
              <w:rPr>
                <w:rFonts w:ascii="Times New Roman" w:hAnsi="Times New Roman" w:cs="Times New Roman"/>
                <w:color w:val="auto"/>
                <w:sz w:val="20"/>
                <w:szCs w:val="20"/>
              </w:rPr>
              <w:t>Fluoroquinolone</w:t>
            </w:r>
          </w:p>
        </w:tc>
        <w:tc>
          <w:tcPr>
            <w:tcW w:w="0" w:type="auto"/>
            <w:tcBorders>
              <w:top w:val="single" w:sz="4" w:space="0" w:color="auto"/>
              <w:bottom w:val="single" w:sz="4" w:space="0" w:color="auto"/>
            </w:tcBorders>
            <w:shd w:val="clear" w:color="auto" w:fill="auto"/>
          </w:tcPr>
          <w:p w14:paraId="553FAF0A" w14:textId="77777777" w:rsidR="00F27D58" w:rsidRPr="00912E63" w:rsidRDefault="00F27D58" w:rsidP="00A735EC">
            <w:pPr>
              <w:spacing w:before="12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Matrix</w:t>
            </w:r>
          </w:p>
        </w:tc>
        <w:tc>
          <w:tcPr>
            <w:tcW w:w="0" w:type="auto"/>
            <w:tcBorders>
              <w:top w:val="single" w:sz="4" w:space="0" w:color="auto"/>
              <w:bottom w:val="single" w:sz="4" w:space="0" w:color="auto"/>
            </w:tcBorders>
            <w:shd w:val="clear" w:color="auto" w:fill="auto"/>
          </w:tcPr>
          <w:p w14:paraId="072AFBB0" w14:textId="77777777" w:rsidR="00F27D58" w:rsidRPr="00912E63" w:rsidRDefault="00F27D58" w:rsidP="00A735EC">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Extraction Technique</w:t>
            </w:r>
          </w:p>
        </w:tc>
        <w:tc>
          <w:tcPr>
            <w:tcW w:w="0" w:type="auto"/>
            <w:tcBorders>
              <w:top w:val="single" w:sz="4" w:space="0" w:color="auto"/>
              <w:bottom w:val="single" w:sz="4" w:space="0" w:color="auto"/>
            </w:tcBorders>
            <w:shd w:val="clear" w:color="auto" w:fill="auto"/>
          </w:tcPr>
          <w:p w14:paraId="17063561" w14:textId="77777777" w:rsidR="00F27D58" w:rsidRPr="00912E63" w:rsidRDefault="00F27D58" w:rsidP="00A735EC">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Analytical Method</w:t>
            </w:r>
          </w:p>
        </w:tc>
        <w:tc>
          <w:tcPr>
            <w:tcW w:w="0" w:type="auto"/>
            <w:tcBorders>
              <w:top w:val="single" w:sz="4" w:space="0" w:color="auto"/>
              <w:bottom w:val="single" w:sz="4" w:space="0" w:color="auto"/>
            </w:tcBorders>
            <w:shd w:val="clear" w:color="auto" w:fill="auto"/>
          </w:tcPr>
          <w:p w14:paraId="643A84AE" w14:textId="77777777" w:rsidR="00F27D58" w:rsidRPr="00912E63" w:rsidRDefault="00F27D58" w:rsidP="00A735EC">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912E63">
              <w:rPr>
                <w:rFonts w:ascii="Times New Roman" w:hAnsi="Times New Roman" w:cs="Times New Roman"/>
                <w:color w:val="auto"/>
                <w:sz w:val="20"/>
                <w:szCs w:val="20"/>
              </w:rPr>
              <w:t>LOD</w:t>
            </w:r>
          </w:p>
          <w:p w14:paraId="3400FB20" w14:textId="77777777" w:rsidR="00F27D58" w:rsidRPr="00912E63" w:rsidRDefault="00F27D58" w:rsidP="00A735EC">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(µg L</w:t>
            </w:r>
            <w:r w:rsidRPr="00912E63">
              <w:rPr>
                <w:rFonts w:ascii="Times New Roman" w:hAnsi="Times New Roman" w:cs="Times New Roman"/>
                <w:color w:val="auto"/>
                <w:sz w:val="20"/>
                <w:szCs w:val="20"/>
                <w:vertAlign w:val="superscript"/>
              </w:rPr>
              <w:t>-1</w:t>
            </w:r>
            <w:r w:rsidRPr="00912E63">
              <w:rPr>
                <w:rFonts w:ascii="Times New Roman" w:hAnsi="Times New Roman" w:cs="Times New Roman"/>
                <w:color w:val="auto"/>
                <w:sz w:val="20"/>
                <w:szCs w:val="20"/>
              </w:rPr>
              <w:t>)</w:t>
            </w:r>
          </w:p>
        </w:tc>
        <w:tc>
          <w:tcPr>
            <w:tcW w:w="0" w:type="auto"/>
            <w:tcBorders>
              <w:top w:val="single" w:sz="4" w:space="0" w:color="auto"/>
              <w:bottom w:val="single" w:sz="4" w:space="0" w:color="auto"/>
            </w:tcBorders>
            <w:shd w:val="clear" w:color="auto" w:fill="auto"/>
          </w:tcPr>
          <w:p w14:paraId="24AED464" w14:textId="77777777" w:rsidR="00F27D58" w:rsidRPr="00912E63" w:rsidRDefault="00F27D58" w:rsidP="00A735EC">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Recovery (%)</w:t>
            </w:r>
          </w:p>
        </w:tc>
        <w:tc>
          <w:tcPr>
            <w:tcW w:w="0" w:type="auto"/>
            <w:tcBorders>
              <w:top w:val="single" w:sz="4" w:space="0" w:color="auto"/>
              <w:bottom w:val="single" w:sz="4" w:space="0" w:color="auto"/>
            </w:tcBorders>
            <w:shd w:val="clear" w:color="auto" w:fill="auto"/>
          </w:tcPr>
          <w:p w14:paraId="6216CB08" w14:textId="77777777" w:rsidR="00F27D58" w:rsidRPr="00912E63" w:rsidRDefault="00F27D58" w:rsidP="00A735EC">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Ref.</w:t>
            </w:r>
          </w:p>
        </w:tc>
      </w:tr>
      <w:tr w:rsidR="00F27D58" w:rsidRPr="00912E63" w14:paraId="6C7A0BA3" w14:textId="77777777" w:rsidTr="00A735E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525D09B9" w14:textId="77777777" w:rsidR="00F27D58" w:rsidRPr="00912E63" w:rsidRDefault="00F27D58" w:rsidP="00A735EC">
            <w:pPr>
              <w:spacing w:after="0"/>
              <w:outlineLvl w:val="0"/>
              <w:rPr>
                <w:rFonts w:ascii="Times New Roman" w:hAnsi="Times New Roman" w:cs="Times New Roman"/>
                <w:b w:val="0"/>
                <w:bCs w:val="0"/>
                <w:color w:val="auto"/>
                <w:sz w:val="20"/>
                <w:szCs w:val="20"/>
                <w:vertAlign w:val="superscript"/>
              </w:rPr>
            </w:pPr>
            <w:r w:rsidRPr="00912E63">
              <w:rPr>
                <w:rFonts w:ascii="Times New Roman" w:hAnsi="Times New Roman" w:cs="Times New Roman"/>
                <w:b w:val="0"/>
                <w:bCs w:val="0"/>
                <w:color w:val="auto"/>
                <w:sz w:val="20"/>
                <w:szCs w:val="20"/>
              </w:rPr>
              <w:t>Sparfloxacin</w:t>
            </w:r>
          </w:p>
        </w:tc>
        <w:tc>
          <w:tcPr>
            <w:tcW w:w="0" w:type="auto"/>
            <w:tcBorders>
              <w:top w:val="single" w:sz="4" w:space="0" w:color="auto"/>
            </w:tcBorders>
            <w:shd w:val="clear" w:color="auto" w:fill="auto"/>
            <w:vAlign w:val="center"/>
          </w:tcPr>
          <w:p w14:paraId="564ACD7B" w14:textId="77777777" w:rsidR="00F27D58" w:rsidRPr="00912E63" w:rsidRDefault="00F27D58" w:rsidP="00A735EC">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 Urine</w:t>
            </w:r>
          </w:p>
        </w:tc>
        <w:tc>
          <w:tcPr>
            <w:tcW w:w="0" w:type="auto"/>
            <w:tcBorders>
              <w:top w:val="single" w:sz="4" w:space="0" w:color="auto"/>
            </w:tcBorders>
            <w:shd w:val="clear" w:color="auto" w:fill="auto"/>
            <w:vAlign w:val="center"/>
          </w:tcPr>
          <w:p w14:paraId="0EB9C845"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PP</w:t>
            </w:r>
          </w:p>
        </w:tc>
        <w:tc>
          <w:tcPr>
            <w:tcW w:w="0" w:type="auto"/>
            <w:tcBorders>
              <w:top w:val="single" w:sz="4" w:space="0" w:color="auto"/>
            </w:tcBorders>
            <w:shd w:val="clear" w:color="auto" w:fill="auto"/>
            <w:vAlign w:val="center"/>
          </w:tcPr>
          <w:p w14:paraId="0844B7B7"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tcBorders>
              <w:top w:val="single" w:sz="4" w:space="0" w:color="auto"/>
            </w:tcBorders>
            <w:shd w:val="clear" w:color="auto" w:fill="auto"/>
            <w:vAlign w:val="center"/>
          </w:tcPr>
          <w:p w14:paraId="4F48A73E"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25</w:t>
            </w:r>
          </w:p>
        </w:tc>
        <w:tc>
          <w:tcPr>
            <w:tcW w:w="0" w:type="auto"/>
            <w:tcBorders>
              <w:top w:val="single" w:sz="4" w:space="0" w:color="auto"/>
            </w:tcBorders>
            <w:shd w:val="clear" w:color="auto" w:fill="auto"/>
            <w:vAlign w:val="center"/>
          </w:tcPr>
          <w:p w14:paraId="3144E578"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96.7</w:t>
            </w:r>
          </w:p>
        </w:tc>
        <w:tc>
          <w:tcPr>
            <w:tcW w:w="0" w:type="auto"/>
            <w:tcBorders>
              <w:top w:val="single" w:sz="4" w:space="0" w:color="auto"/>
            </w:tcBorders>
            <w:shd w:val="clear" w:color="auto" w:fill="auto"/>
            <w:vAlign w:val="center"/>
          </w:tcPr>
          <w:p w14:paraId="3B23EE4E"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[28]</w:t>
            </w:r>
          </w:p>
        </w:tc>
      </w:tr>
      <w:tr w:rsidR="00F27D58" w:rsidRPr="00912E63" w14:paraId="22FE58C8" w14:textId="77777777" w:rsidTr="00A735EC">
        <w:trPr>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11D5C3C" w14:textId="77777777" w:rsidR="00F27D58" w:rsidRPr="00912E63" w:rsidRDefault="00F27D58" w:rsidP="00A735EC">
            <w:pPr>
              <w:spacing w:before="60" w:after="0"/>
              <w:outlineLvl w:val="0"/>
              <w:rPr>
                <w:rFonts w:ascii="Times New Roman" w:hAnsi="Times New Roman" w:cs="Times New Roman"/>
                <w:b w:val="0"/>
                <w:bCs w:val="0"/>
                <w:color w:val="auto"/>
                <w:sz w:val="20"/>
                <w:szCs w:val="20"/>
                <w:vertAlign w:val="superscript"/>
              </w:rPr>
            </w:pPr>
            <w:r w:rsidRPr="00912E63">
              <w:rPr>
                <w:rFonts w:ascii="Times New Roman" w:hAnsi="Times New Roman" w:cs="Times New Roman"/>
                <w:b w:val="0"/>
                <w:bCs w:val="0"/>
                <w:color w:val="auto"/>
                <w:sz w:val="20"/>
                <w:szCs w:val="20"/>
              </w:rPr>
              <w:t>Gatifloxacin, Sparfloxacin and Moxifloxacin</w:t>
            </w:r>
          </w:p>
        </w:tc>
        <w:tc>
          <w:tcPr>
            <w:tcW w:w="0" w:type="auto"/>
            <w:shd w:val="clear" w:color="auto" w:fill="auto"/>
            <w:vAlign w:val="center"/>
          </w:tcPr>
          <w:p w14:paraId="7E68328C"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w:t>
            </w:r>
          </w:p>
        </w:tc>
        <w:tc>
          <w:tcPr>
            <w:tcW w:w="0" w:type="auto"/>
            <w:shd w:val="clear" w:color="auto" w:fill="auto"/>
            <w:vAlign w:val="center"/>
          </w:tcPr>
          <w:p w14:paraId="7E68335F"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LLE</w:t>
            </w:r>
          </w:p>
        </w:tc>
        <w:tc>
          <w:tcPr>
            <w:tcW w:w="0" w:type="auto"/>
            <w:shd w:val="clear" w:color="auto" w:fill="auto"/>
            <w:vAlign w:val="center"/>
          </w:tcPr>
          <w:p w14:paraId="7E87AFEE"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perscript"/>
              </w:rPr>
            </w:pPr>
            <w:r w:rsidRPr="00912E63">
              <w:rPr>
                <w:rFonts w:ascii="Times New Roman" w:hAnsi="Times New Roman" w:cs="Times New Roman"/>
                <w:color w:val="auto"/>
                <w:sz w:val="20"/>
                <w:szCs w:val="20"/>
              </w:rPr>
              <w:t>HPLC–UV</w:t>
            </w:r>
          </w:p>
        </w:tc>
        <w:tc>
          <w:tcPr>
            <w:tcW w:w="0" w:type="auto"/>
            <w:shd w:val="clear" w:color="auto" w:fill="auto"/>
            <w:vAlign w:val="center"/>
          </w:tcPr>
          <w:p w14:paraId="3675375F"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0.0001</w:t>
            </w:r>
          </w:p>
        </w:tc>
        <w:tc>
          <w:tcPr>
            <w:tcW w:w="0" w:type="auto"/>
            <w:shd w:val="clear" w:color="auto" w:fill="auto"/>
            <w:vAlign w:val="center"/>
          </w:tcPr>
          <w:p w14:paraId="49D9FF5E"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80.8</w:t>
            </w:r>
          </w:p>
        </w:tc>
        <w:tc>
          <w:tcPr>
            <w:tcW w:w="0" w:type="auto"/>
            <w:shd w:val="clear" w:color="auto" w:fill="auto"/>
            <w:vAlign w:val="center"/>
          </w:tcPr>
          <w:p w14:paraId="4B269A68"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[29]</w:t>
            </w:r>
          </w:p>
        </w:tc>
      </w:tr>
      <w:tr w:rsidR="00F27D58" w:rsidRPr="00912E63" w14:paraId="08DC453A" w14:textId="77777777" w:rsidTr="00A735E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2A0B1B2" w14:textId="77777777" w:rsidR="00F27D58" w:rsidRPr="00912E63" w:rsidRDefault="00F27D58" w:rsidP="00A735EC">
            <w:pPr>
              <w:spacing w:after="0"/>
              <w:outlineLvl w:val="0"/>
              <w:rPr>
                <w:rFonts w:ascii="Times New Roman" w:hAnsi="Times New Roman" w:cs="Times New Roman"/>
                <w:b w:val="0"/>
                <w:bCs w:val="0"/>
                <w:color w:val="auto"/>
                <w:sz w:val="20"/>
                <w:szCs w:val="20"/>
              </w:rPr>
            </w:pPr>
            <w:r w:rsidRPr="00912E63">
              <w:rPr>
                <w:rFonts w:ascii="Times New Roman" w:hAnsi="Times New Roman" w:cs="Times New Roman"/>
                <w:b w:val="0"/>
                <w:bCs w:val="0"/>
                <w:color w:val="auto"/>
                <w:sz w:val="20"/>
                <w:szCs w:val="20"/>
              </w:rPr>
              <w:t>Ofloxacin</w:t>
            </w:r>
          </w:p>
        </w:tc>
        <w:tc>
          <w:tcPr>
            <w:tcW w:w="0" w:type="auto"/>
            <w:shd w:val="clear" w:color="auto" w:fill="auto"/>
            <w:vAlign w:val="center"/>
          </w:tcPr>
          <w:p w14:paraId="39CDC69E"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Edible animal tissue</w:t>
            </w:r>
          </w:p>
        </w:tc>
        <w:tc>
          <w:tcPr>
            <w:tcW w:w="0" w:type="auto"/>
            <w:shd w:val="clear" w:color="auto" w:fill="auto"/>
            <w:vAlign w:val="center"/>
          </w:tcPr>
          <w:p w14:paraId="264963C8"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SPE</w:t>
            </w:r>
          </w:p>
        </w:tc>
        <w:tc>
          <w:tcPr>
            <w:tcW w:w="0" w:type="auto"/>
            <w:shd w:val="clear" w:color="auto" w:fill="auto"/>
            <w:vAlign w:val="center"/>
          </w:tcPr>
          <w:p w14:paraId="6885B4F6"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shd w:val="clear" w:color="auto" w:fill="auto"/>
            <w:vAlign w:val="center"/>
          </w:tcPr>
          <w:p w14:paraId="6C7C423E"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0.018</w:t>
            </w:r>
          </w:p>
        </w:tc>
        <w:tc>
          <w:tcPr>
            <w:tcW w:w="0" w:type="auto"/>
            <w:shd w:val="clear" w:color="auto" w:fill="auto"/>
            <w:vAlign w:val="center"/>
          </w:tcPr>
          <w:p w14:paraId="76062E8B"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60</w:t>
            </w:r>
          </w:p>
        </w:tc>
        <w:tc>
          <w:tcPr>
            <w:tcW w:w="0" w:type="auto"/>
            <w:shd w:val="clear" w:color="auto" w:fill="auto"/>
            <w:vAlign w:val="center"/>
          </w:tcPr>
          <w:p w14:paraId="66348B98"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[30]</w:t>
            </w:r>
          </w:p>
        </w:tc>
      </w:tr>
      <w:tr w:rsidR="00F27D58" w:rsidRPr="00912E63" w14:paraId="690821DB" w14:textId="77777777" w:rsidTr="00A735EC">
        <w:trPr>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55870FB" w14:textId="77777777" w:rsidR="00F27D58" w:rsidRPr="00912E63" w:rsidRDefault="00F27D58" w:rsidP="00A735EC">
            <w:pPr>
              <w:spacing w:after="0"/>
              <w:outlineLvl w:val="0"/>
              <w:rPr>
                <w:rFonts w:ascii="Times New Roman" w:hAnsi="Times New Roman" w:cs="Times New Roman"/>
                <w:b w:val="0"/>
                <w:bCs w:val="0"/>
                <w:color w:val="auto"/>
                <w:sz w:val="20"/>
                <w:szCs w:val="20"/>
              </w:rPr>
            </w:pPr>
            <w:r w:rsidRPr="00912E63">
              <w:rPr>
                <w:rFonts w:ascii="Times New Roman" w:hAnsi="Times New Roman" w:cs="Times New Roman"/>
                <w:b w:val="0"/>
                <w:bCs w:val="0"/>
                <w:color w:val="auto"/>
                <w:sz w:val="20"/>
                <w:szCs w:val="20"/>
              </w:rPr>
              <w:t>Ofloxacin</w:t>
            </w:r>
          </w:p>
        </w:tc>
        <w:tc>
          <w:tcPr>
            <w:tcW w:w="0" w:type="auto"/>
            <w:shd w:val="clear" w:color="auto" w:fill="auto"/>
            <w:vAlign w:val="center"/>
          </w:tcPr>
          <w:p w14:paraId="2CF2F56C"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w:t>
            </w:r>
          </w:p>
        </w:tc>
        <w:tc>
          <w:tcPr>
            <w:tcW w:w="0" w:type="auto"/>
            <w:shd w:val="clear" w:color="auto" w:fill="auto"/>
            <w:vAlign w:val="center"/>
          </w:tcPr>
          <w:p w14:paraId="7FBDF876"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LLE</w:t>
            </w:r>
          </w:p>
        </w:tc>
        <w:tc>
          <w:tcPr>
            <w:tcW w:w="0" w:type="auto"/>
            <w:shd w:val="clear" w:color="auto" w:fill="auto"/>
            <w:vAlign w:val="center"/>
          </w:tcPr>
          <w:p w14:paraId="35F1CAF7"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shd w:val="clear" w:color="auto" w:fill="auto"/>
            <w:vAlign w:val="center"/>
          </w:tcPr>
          <w:p w14:paraId="18044890"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15</w:t>
            </w:r>
          </w:p>
        </w:tc>
        <w:tc>
          <w:tcPr>
            <w:tcW w:w="0" w:type="auto"/>
            <w:shd w:val="clear" w:color="auto" w:fill="auto"/>
            <w:vAlign w:val="center"/>
          </w:tcPr>
          <w:p w14:paraId="77608630" w14:textId="77777777" w:rsidR="00F27D58" w:rsidRPr="00912E63" w:rsidRDefault="00F27D58" w:rsidP="00A735EC">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92.9</w:t>
            </w:r>
          </w:p>
        </w:tc>
        <w:tc>
          <w:tcPr>
            <w:tcW w:w="0" w:type="auto"/>
            <w:shd w:val="clear" w:color="auto" w:fill="auto"/>
            <w:vAlign w:val="center"/>
          </w:tcPr>
          <w:p w14:paraId="4D08E363" w14:textId="77777777" w:rsidR="00F27D58" w:rsidRPr="00912E63" w:rsidRDefault="00F27D58" w:rsidP="00A735EC">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[31]</w:t>
            </w:r>
          </w:p>
        </w:tc>
      </w:tr>
      <w:tr w:rsidR="00F27D58" w:rsidRPr="00912E63" w14:paraId="506C1C8D" w14:textId="77777777" w:rsidTr="00A735E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807C70A" w14:textId="77777777" w:rsidR="00F27D58" w:rsidRPr="00912E63" w:rsidRDefault="00F27D58" w:rsidP="00A735EC">
            <w:pPr>
              <w:spacing w:after="60"/>
              <w:outlineLvl w:val="0"/>
              <w:rPr>
                <w:rFonts w:ascii="Times New Roman" w:hAnsi="Times New Roman" w:cs="Times New Roman"/>
                <w:b w:val="0"/>
                <w:bCs w:val="0"/>
                <w:color w:val="auto"/>
                <w:sz w:val="20"/>
                <w:szCs w:val="20"/>
              </w:rPr>
            </w:pPr>
            <w:r w:rsidRPr="00912E63">
              <w:rPr>
                <w:rFonts w:ascii="Times New Roman" w:hAnsi="Times New Roman" w:cs="Times New Roman"/>
                <w:b w:val="0"/>
                <w:bCs w:val="0"/>
                <w:color w:val="auto"/>
                <w:sz w:val="20"/>
                <w:szCs w:val="20"/>
              </w:rPr>
              <w:t>Ofloxacin and sparfloxacin</w:t>
            </w:r>
          </w:p>
        </w:tc>
        <w:tc>
          <w:tcPr>
            <w:tcW w:w="0" w:type="auto"/>
            <w:shd w:val="clear" w:color="auto" w:fill="auto"/>
            <w:vAlign w:val="center"/>
          </w:tcPr>
          <w:p w14:paraId="5D6BCDD5"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Plasma</w:t>
            </w:r>
          </w:p>
        </w:tc>
        <w:tc>
          <w:tcPr>
            <w:tcW w:w="0" w:type="auto"/>
            <w:shd w:val="clear" w:color="auto" w:fill="auto"/>
            <w:vAlign w:val="center"/>
          </w:tcPr>
          <w:p w14:paraId="0BC44052"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D-µ-SPE</w:t>
            </w:r>
          </w:p>
        </w:tc>
        <w:tc>
          <w:tcPr>
            <w:tcW w:w="0" w:type="auto"/>
            <w:shd w:val="clear" w:color="auto" w:fill="auto"/>
            <w:vAlign w:val="center"/>
          </w:tcPr>
          <w:p w14:paraId="02E43866" w14:textId="77777777" w:rsidR="00F27D58" w:rsidRPr="00912E63" w:rsidRDefault="00F27D58" w:rsidP="00A735EC">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HPLC–UV</w:t>
            </w:r>
          </w:p>
        </w:tc>
        <w:tc>
          <w:tcPr>
            <w:tcW w:w="0" w:type="auto"/>
            <w:shd w:val="clear" w:color="auto" w:fill="auto"/>
            <w:vAlign w:val="center"/>
          </w:tcPr>
          <w:p w14:paraId="085453C9"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0.73 and 1.81</w:t>
            </w:r>
          </w:p>
        </w:tc>
        <w:tc>
          <w:tcPr>
            <w:tcW w:w="0" w:type="auto"/>
            <w:shd w:val="clear" w:color="auto" w:fill="auto"/>
            <w:vAlign w:val="center"/>
          </w:tcPr>
          <w:p w14:paraId="261EF860" w14:textId="77777777" w:rsidR="00F27D58" w:rsidRPr="00912E63" w:rsidRDefault="00F27D58" w:rsidP="00A735EC">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 xml:space="preserve">89.5 </w:t>
            </w:r>
            <w:r>
              <w:rPr>
                <w:rFonts w:ascii="Times New Roman" w:hAnsi="Times New Roman" w:cs="Times New Roman"/>
                <w:color w:val="auto"/>
                <w:sz w:val="20"/>
                <w:szCs w:val="20"/>
              </w:rPr>
              <w:t xml:space="preserve">- </w:t>
            </w:r>
            <w:r w:rsidRPr="00912E63">
              <w:rPr>
                <w:rFonts w:ascii="Times New Roman" w:hAnsi="Times New Roman" w:cs="Times New Roman"/>
                <w:color w:val="auto"/>
                <w:sz w:val="20"/>
                <w:szCs w:val="20"/>
              </w:rPr>
              <w:t>102.3</w:t>
            </w:r>
          </w:p>
        </w:tc>
        <w:tc>
          <w:tcPr>
            <w:tcW w:w="0" w:type="auto"/>
            <w:shd w:val="clear" w:color="auto" w:fill="auto"/>
            <w:vAlign w:val="center"/>
          </w:tcPr>
          <w:p w14:paraId="0D2B47BF" w14:textId="77777777" w:rsidR="00F27D58" w:rsidRPr="00912E63" w:rsidRDefault="00F27D58" w:rsidP="00A735EC">
            <w:pPr>
              <w:spacing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12E63">
              <w:rPr>
                <w:rFonts w:ascii="Times New Roman" w:hAnsi="Times New Roman" w:cs="Times New Roman"/>
                <w:color w:val="auto"/>
                <w:sz w:val="20"/>
                <w:szCs w:val="20"/>
              </w:rPr>
              <w:t>Current work</w:t>
            </w:r>
          </w:p>
        </w:tc>
      </w:tr>
    </w:tbl>
    <w:p w14:paraId="5E902B38" w14:textId="77777777" w:rsidR="00F27D58" w:rsidRPr="00230B18" w:rsidRDefault="00F27D58" w:rsidP="00F27D58">
      <w:pPr>
        <w:spacing w:before="60" w:after="0"/>
        <w:jc w:val="both"/>
        <w:outlineLvl w:val="0"/>
        <w:rPr>
          <w:rFonts w:ascii="Times New Roman" w:hAnsi="Times New Roman"/>
          <w:sz w:val="18"/>
          <w:szCs w:val="18"/>
          <w:lang w:val="en-MY"/>
        </w:rPr>
      </w:pPr>
      <w:r w:rsidRPr="00230B18">
        <w:rPr>
          <w:rFonts w:ascii="Times New Roman" w:hAnsi="Times New Roman"/>
          <w:sz w:val="18"/>
          <w:szCs w:val="18"/>
          <w:lang w:val="en-MY"/>
        </w:rPr>
        <w:t xml:space="preserve">SPE: Solid phase extraction, PP: Protein precipitation, LLE: Liquid -liquid extraction, </w:t>
      </w:r>
      <w:r w:rsidRPr="00230B18">
        <w:rPr>
          <w:rFonts w:ascii="Times New Roman" w:hAnsi="Times New Roman"/>
          <w:sz w:val="18"/>
          <w:szCs w:val="18"/>
        </w:rPr>
        <w:t>D-µ-SPE</w:t>
      </w:r>
      <w:r w:rsidRPr="00230B18">
        <w:rPr>
          <w:rFonts w:ascii="Times New Roman" w:hAnsi="Times New Roman"/>
          <w:sz w:val="18"/>
          <w:szCs w:val="18"/>
          <w:lang w:val="en-MY"/>
        </w:rPr>
        <w:t>: Dispersive micro-solid phase extraction</w:t>
      </w:r>
    </w:p>
    <w:p w14:paraId="5BD6EB58" w14:textId="77777777" w:rsidR="00F27D58" w:rsidRDefault="00F27D58" w:rsidP="00F27D58">
      <w:pPr>
        <w:spacing w:after="0"/>
        <w:jc w:val="center"/>
        <w:rPr>
          <w:rFonts w:ascii="Times New Roman" w:hAnsi="Times New Roman"/>
          <w:noProof/>
          <w:sz w:val="20"/>
          <w:szCs w:val="20"/>
          <w:lang w:bidi="ar-SA"/>
        </w:rPr>
      </w:pPr>
    </w:p>
    <w:p w14:paraId="5F0F6D4D" w14:textId="77777777" w:rsidR="00F27D58" w:rsidRDefault="00F27D58" w:rsidP="00F27D58">
      <w:pPr>
        <w:spacing w:after="0"/>
        <w:jc w:val="center"/>
        <w:rPr>
          <w:rFonts w:ascii="Times New Roman" w:hAnsi="Times New Roman"/>
          <w:noProof/>
          <w:sz w:val="20"/>
          <w:szCs w:val="20"/>
          <w:lang w:bidi="ar-SA"/>
        </w:rPr>
      </w:pPr>
    </w:p>
    <w:p w14:paraId="010BED05" w14:textId="17DBCBE3" w:rsidR="00F27D58" w:rsidRDefault="00F27D58" w:rsidP="00912E63">
      <w:pPr>
        <w:spacing w:after="0"/>
        <w:jc w:val="both"/>
        <w:outlineLvl w:val="0"/>
        <w:rPr>
          <w:rFonts w:ascii="Times New Roman" w:hAnsi="Times New Roman"/>
          <w:sz w:val="20"/>
          <w:szCs w:val="20"/>
          <w:lang w:val="en-MY"/>
        </w:rPr>
        <w:sectPr w:rsidR="00F27D58" w:rsidSect="00F27D58">
          <w:headerReference w:type="even" r:id="rId60"/>
          <w:headerReference w:type="default" r:id="rId61"/>
          <w:footerReference w:type="even" r:id="rId62"/>
          <w:footerReference w:type="default" r:id="rId63"/>
          <w:headerReference w:type="first" r:id="rId64"/>
          <w:type w:val="oddPage"/>
          <w:pgSz w:w="12240" w:h="15840" w:code="1"/>
          <w:pgMar w:top="1800" w:right="1469" w:bottom="1699" w:left="1440" w:header="706" w:footer="706" w:gutter="0"/>
          <w:pgNumType w:start="1"/>
          <w:cols w:space="708"/>
          <w:docGrid w:linePitch="360"/>
        </w:sectPr>
      </w:pPr>
    </w:p>
    <w:p w14:paraId="6FA360AC" w14:textId="77777777" w:rsidR="00A9732C" w:rsidRPr="00F447A7" w:rsidRDefault="00A9732C" w:rsidP="00F27D58">
      <w:pPr>
        <w:spacing w:after="0"/>
        <w:rPr>
          <w:rFonts w:ascii="Times New Roman" w:hAnsi="Times New Roman"/>
          <w:noProof/>
          <w:sz w:val="20"/>
          <w:szCs w:val="20"/>
          <w:lang w:bidi="ar-SA"/>
        </w:rPr>
      </w:pPr>
    </w:p>
    <w:p w14:paraId="06E4422F" w14:textId="77777777" w:rsidR="00A9732C" w:rsidRDefault="00A9732C" w:rsidP="002B412F">
      <w:pPr>
        <w:spacing w:after="0"/>
        <w:jc w:val="center"/>
        <w:rPr>
          <w:rFonts w:ascii="Times New Roman" w:hAnsi="Times New Roman"/>
          <w:b/>
          <w:noProof/>
          <w:sz w:val="20"/>
          <w:szCs w:val="20"/>
          <w:lang w:bidi="ar-SA"/>
        </w:rPr>
        <w:sectPr w:rsidR="00A9732C" w:rsidSect="007147BB">
          <w:headerReference w:type="even" r:id="rId65"/>
          <w:headerReference w:type="default" r:id="rId66"/>
          <w:footerReference w:type="even" r:id="rId67"/>
          <w:footerReference w:type="default" r:id="rId68"/>
          <w:headerReference w:type="first" r:id="rId69"/>
          <w:type w:val="oddPage"/>
          <w:pgSz w:w="12240" w:h="15840" w:code="1"/>
          <w:pgMar w:top="1800" w:right="1469" w:bottom="1699" w:left="1440" w:header="706" w:footer="706" w:gutter="0"/>
          <w:pgNumType w:start="1"/>
          <w:cols w:space="708"/>
          <w:docGrid w:linePitch="360"/>
        </w:sectPr>
      </w:pPr>
    </w:p>
    <w:p w14:paraId="471ACF9F" w14:textId="6C189A4C" w:rsidR="006768E9" w:rsidRPr="00A9732C" w:rsidRDefault="006768E9" w:rsidP="002B412F">
      <w:pPr>
        <w:spacing w:after="0"/>
        <w:jc w:val="center"/>
        <w:rPr>
          <w:rFonts w:ascii="Times New Roman" w:hAnsi="Times New Roman"/>
          <w:b/>
          <w:noProof/>
          <w:sz w:val="20"/>
          <w:szCs w:val="20"/>
          <w:lang w:bidi="ar-SA"/>
        </w:rPr>
      </w:pPr>
      <w:r w:rsidRPr="00A9732C">
        <w:rPr>
          <w:rFonts w:ascii="Times New Roman" w:hAnsi="Times New Roman"/>
          <w:b/>
          <w:noProof/>
          <w:sz w:val="20"/>
          <w:szCs w:val="20"/>
          <w:lang w:bidi="ar-SA"/>
        </w:rPr>
        <w:t>Conclusion</w:t>
      </w:r>
    </w:p>
    <w:p w14:paraId="6D6106A8" w14:textId="77777777" w:rsidR="00230B18" w:rsidRPr="00A9732C" w:rsidRDefault="00230B18" w:rsidP="00230B18">
      <w:pPr>
        <w:spacing w:after="0"/>
        <w:jc w:val="both"/>
        <w:outlineLvl w:val="0"/>
        <w:rPr>
          <w:rFonts w:ascii="Times New Roman" w:hAnsi="Times New Roman"/>
          <w:sz w:val="20"/>
          <w:szCs w:val="20"/>
          <w:lang w:val="en-MY"/>
        </w:rPr>
      </w:pPr>
      <w:r w:rsidRPr="00A9732C">
        <w:rPr>
          <w:rFonts w:ascii="Times New Roman" w:hAnsi="Times New Roman"/>
          <w:sz w:val="20"/>
          <w:szCs w:val="20"/>
          <w:lang w:val="en-MY"/>
        </w:rPr>
        <w:t>In this study, D-µ-SPE method coupled with HPLC-UV for the determination of ofloxacin and sparfloxacin were successfully developed and validated. It is an aqueous-based method that can be used for the direct HPLC analysis . Besides, it was found to be simple and fast approach that only used less amount of solvent for sample extraction  The simplicity and sensitivity of the developed D-µ-SPE can be advantageous for the routine drugs analysis of ofloxacin and sparfloxacin in human plasma as drug monitoring system. Therefore,  the dosage of drug can be monitored accurately and an appropriate dose of medicines can be given to the patients with sufficient adsorption in the body. Furthermore, the developed D-µ-SPE method might have the potential to be applied for the detection of emerging pollutants such as antibiotics in the environmental water samples.</w:t>
      </w:r>
    </w:p>
    <w:p w14:paraId="3E494761" w14:textId="77777777" w:rsidR="00230B18" w:rsidRPr="00A9732C" w:rsidRDefault="00230B18" w:rsidP="00230B18">
      <w:pPr>
        <w:spacing w:after="0"/>
        <w:jc w:val="center"/>
        <w:outlineLvl w:val="0"/>
        <w:rPr>
          <w:rFonts w:ascii="Times New Roman" w:hAnsi="Times New Roman"/>
          <w:sz w:val="20"/>
          <w:szCs w:val="20"/>
        </w:rPr>
      </w:pPr>
    </w:p>
    <w:p w14:paraId="1C4437D2" w14:textId="77777777" w:rsidR="00230B18" w:rsidRPr="00A9732C" w:rsidRDefault="00230B18" w:rsidP="00230B18">
      <w:pPr>
        <w:spacing w:after="0"/>
        <w:jc w:val="center"/>
        <w:outlineLvl w:val="0"/>
        <w:rPr>
          <w:rFonts w:ascii="Times New Roman" w:hAnsi="Times New Roman"/>
          <w:b/>
          <w:sz w:val="20"/>
          <w:szCs w:val="20"/>
        </w:rPr>
      </w:pPr>
      <w:r w:rsidRPr="00A9732C">
        <w:rPr>
          <w:rFonts w:ascii="Times New Roman" w:hAnsi="Times New Roman"/>
          <w:b/>
          <w:sz w:val="20"/>
          <w:szCs w:val="20"/>
        </w:rPr>
        <w:t>Acknowledgement</w:t>
      </w:r>
    </w:p>
    <w:p w14:paraId="3FCB933D" w14:textId="001E3621" w:rsidR="006768E9" w:rsidRPr="00A9732C" w:rsidRDefault="00230B18" w:rsidP="00A9732C">
      <w:pPr>
        <w:spacing w:after="0"/>
        <w:jc w:val="both"/>
        <w:rPr>
          <w:rFonts w:ascii="Times New Roman" w:hAnsi="Times New Roman"/>
          <w:noProof/>
          <w:sz w:val="20"/>
          <w:szCs w:val="20"/>
          <w:lang w:bidi="ar-SA"/>
        </w:rPr>
      </w:pPr>
      <w:r w:rsidRPr="00A9732C">
        <w:rPr>
          <w:rFonts w:ascii="Times New Roman" w:hAnsi="Times New Roman"/>
          <w:sz w:val="20"/>
          <w:szCs w:val="20"/>
        </w:rPr>
        <w:t>Funding by Universiti Sains Malaysia Research Grants (Bridging: 304.PKIMIA.6316492) is highly acknowledged.</w:t>
      </w:r>
    </w:p>
    <w:p w14:paraId="7FDC64FF" w14:textId="77777777" w:rsidR="006768E9" w:rsidRPr="00A9732C" w:rsidRDefault="006768E9" w:rsidP="002B412F">
      <w:pPr>
        <w:spacing w:after="0"/>
        <w:jc w:val="center"/>
        <w:rPr>
          <w:rFonts w:ascii="Times New Roman" w:hAnsi="Times New Roman"/>
          <w:noProof/>
          <w:sz w:val="20"/>
          <w:szCs w:val="20"/>
          <w:lang w:bidi="ar-SA"/>
        </w:rPr>
      </w:pPr>
    </w:p>
    <w:p w14:paraId="451B82AC" w14:textId="77777777" w:rsidR="006768E9" w:rsidRPr="00A9732C" w:rsidRDefault="006768E9" w:rsidP="002B412F">
      <w:pPr>
        <w:spacing w:after="0"/>
        <w:jc w:val="center"/>
        <w:rPr>
          <w:rFonts w:ascii="Times New Roman" w:hAnsi="Times New Roman"/>
          <w:b/>
          <w:noProof/>
          <w:sz w:val="20"/>
          <w:szCs w:val="20"/>
          <w:lang w:bidi="ar-SA"/>
        </w:rPr>
      </w:pPr>
      <w:r w:rsidRPr="00A9732C">
        <w:rPr>
          <w:rFonts w:ascii="Times New Roman" w:hAnsi="Times New Roman"/>
          <w:b/>
          <w:noProof/>
          <w:sz w:val="20"/>
          <w:szCs w:val="20"/>
          <w:lang w:bidi="ar-SA"/>
        </w:rPr>
        <w:t>References</w:t>
      </w:r>
    </w:p>
    <w:p w14:paraId="70032A9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Minovski, N., Vračko, M., and Šolmajer, T. (2011). Quantitative structure-activity relationship study of antitubercular fluoroquinolones. </w:t>
      </w:r>
      <w:r w:rsidRPr="00A9732C">
        <w:rPr>
          <w:rFonts w:ascii="Times New Roman" w:hAnsi="Times New Roman"/>
          <w:i/>
          <w:iCs/>
          <w:sz w:val="20"/>
          <w:szCs w:val="20"/>
        </w:rPr>
        <w:t>Molecular Diversity</w:t>
      </w:r>
      <w:r w:rsidRPr="00A9732C">
        <w:rPr>
          <w:rFonts w:ascii="Times New Roman" w:hAnsi="Times New Roman"/>
          <w:sz w:val="20"/>
          <w:szCs w:val="20"/>
        </w:rPr>
        <w:t>, 15 (2): 417-426.</w:t>
      </w:r>
    </w:p>
    <w:p w14:paraId="4485B7E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lang w:val="en-MY"/>
        </w:rPr>
      </w:pPr>
      <w:r w:rsidRPr="00A9732C">
        <w:rPr>
          <w:rFonts w:ascii="Times New Roman" w:hAnsi="Times New Roman"/>
          <w:noProof/>
          <w:sz w:val="20"/>
          <w:szCs w:val="20"/>
        </w:rPr>
        <w:t xml:space="preserve">He, K. and Blaney, L. (2015). Systematic Optimization of an SPE with HPLC-FLD method for fluoroquinolone detection in wastewater. </w:t>
      </w:r>
      <w:r w:rsidRPr="00A9732C">
        <w:rPr>
          <w:rFonts w:ascii="Times New Roman" w:hAnsi="Times New Roman"/>
          <w:i/>
          <w:iCs/>
          <w:noProof/>
          <w:sz w:val="20"/>
          <w:szCs w:val="20"/>
        </w:rPr>
        <w:t>Journal of Hazardous Materials,</w:t>
      </w:r>
      <w:r w:rsidRPr="00A9732C">
        <w:rPr>
          <w:rFonts w:ascii="Times New Roman" w:hAnsi="Times New Roman"/>
          <w:noProof/>
          <w:sz w:val="20"/>
          <w:szCs w:val="20"/>
        </w:rPr>
        <w:t xml:space="preserve"> 282:96-105. </w:t>
      </w:r>
    </w:p>
    <w:p w14:paraId="58ECD2B0"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Shao, H., Zhou, H., Zhang, T., Zhao, X., Jiang, Z. and Wang, Q. (2019). Preparation of molecularly imprinted hybrid monoliths for the selective detection of fluoroquinolones in infant formula powders. </w:t>
      </w:r>
      <w:r w:rsidRPr="00A9732C">
        <w:rPr>
          <w:rFonts w:ascii="Times New Roman" w:hAnsi="Times New Roman"/>
          <w:i/>
          <w:iCs/>
          <w:sz w:val="20"/>
          <w:szCs w:val="20"/>
        </w:rPr>
        <w:t>Journal of Chromatography A</w:t>
      </w:r>
      <w:r w:rsidRPr="00A9732C">
        <w:rPr>
          <w:rFonts w:ascii="Times New Roman" w:hAnsi="Times New Roman"/>
          <w:sz w:val="20"/>
          <w:szCs w:val="20"/>
        </w:rPr>
        <w:t>, 1588: 33-40.</w:t>
      </w:r>
    </w:p>
    <w:p w14:paraId="105B8581"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Shipkova, M. and Svinarov, D. (2016).</w:t>
      </w:r>
      <w:r w:rsidRPr="00A9732C">
        <w:rPr>
          <w:rFonts w:ascii="Times New Roman" w:hAnsi="Times New Roman"/>
          <w:b/>
          <w:bCs/>
          <w:sz w:val="20"/>
          <w:szCs w:val="20"/>
        </w:rPr>
        <w:t xml:space="preserve"> </w:t>
      </w:r>
      <w:r w:rsidRPr="00A9732C">
        <w:rPr>
          <w:rFonts w:ascii="Times New Roman" w:hAnsi="Times New Roman"/>
          <w:sz w:val="20"/>
          <w:szCs w:val="20"/>
        </w:rPr>
        <w:t xml:space="preserve">LC–MS/MS as a tool for TDM services: Where are we? </w:t>
      </w:r>
      <w:r w:rsidRPr="00A9732C">
        <w:rPr>
          <w:rFonts w:ascii="Times New Roman" w:hAnsi="Times New Roman"/>
          <w:i/>
          <w:iCs/>
          <w:sz w:val="20"/>
          <w:szCs w:val="20"/>
        </w:rPr>
        <w:t>Clinical Biochemistry</w:t>
      </w:r>
      <w:r w:rsidRPr="00A9732C">
        <w:rPr>
          <w:rFonts w:ascii="Times New Roman" w:hAnsi="Times New Roman"/>
          <w:sz w:val="20"/>
          <w:szCs w:val="20"/>
        </w:rPr>
        <w:t xml:space="preserve">, 49: 1009-1023. </w:t>
      </w:r>
    </w:p>
    <w:p w14:paraId="221D57FE"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Zeng, H. J., Yang, R., Liu, B., Lei, L. F., Li, J. J. and Qu, L. B. (2012). Simple and sensitive determination of sparfloxacin in pharmaceuticals </w:t>
      </w:r>
      <w:r w:rsidRPr="00A9732C">
        <w:rPr>
          <w:rFonts w:ascii="Times New Roman" w:hAnsi="Times New Roman"/>
          <w:sz w:val="20"/>
          <w:szCs w:val="20"/>
        </w:rPr>
        <w:t xml:space="preserve">and biological samples by immunoassay. </w:t>
      </w:r>
      <w:r w:rsidRPr="00A9732C">
        <w:rPr>
          <w:rFonts w:ascii="Times New Roman" w:hAnsi="Times New Roman"/>
          <w:i/>
          <w:iCs/>
          <w:sz w:val="20"/>
          <w:szCs w:val="20"/>
        </w:rPr>
        <w:t>Journal of Pharmaceutical Analysis</w:t>
      </w:r>
      <w:r w:rsidRPr="00A9732C">
        <w:rPr>
          <w:rFonts w:ascii="Times New Roman" w:hAnsi="Times New Roman"/>
          <w:sz w:val="20"/>
          <w:szCs w:val="20"/>
        </w:rPr>
        <w:t>, 2(3): 214-219.</w:t>
      </w:r>
    </w:p>
    <w:p w14:paraId="5AC5729B"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Assadian, F. and Niazi, A. (2017). Application of response surface modeling and chemometrics methods for the determination of ofloxacin in human urine using dispersive liquid-liquid microextraction combined with spectrofluorimetry. </w:t>
      </w:r>
      <w:r w:rsidRPr="00A9732C">
        <w:rPr>
          <w:rFonts w:ascii="Times New Roman" w:hAnsi="Times New Roman"/>
          <w:i/>
          <w:iCs/>
          <w:sz w:val="20"/>
          <w:szCs w:val="20"/>
        </w:rPr>
        <w:t xml:space="preserve">Journal of the Brazilian Chemical Society, </w:t>
      </w:r>
      <w:r w:rsidRPr="00A9732C">
        <w:rPr>
          <w:rFonts w:ascii="Times New Roman" w:hAnsi="Times New Roman"/>
          <w:sz w:val="20"/>
          <w:szCs w:val="20"/>
        </w:rPr>
        <w:t>28(12): 2291-2300.</w:t>
      </w:r>
    </w:p>
    <w:p w14:paraId="63CA7B2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Khezeli, T. and Daneshfar, A. (2017). Development of dispersive micro-solid phase extraction based on micro and nano sorbents. </w:t>
      </w:r>
      <w:r w:rsidRPr="00A9732C">
        <w:rPr>
          <w:rFonts w:ascii="Times New Roman" w:hAnsi="Times New Roman"/>
          <w:i/>
          <w:iCs/>
          <w:sz w:val="20"/>
          <w:szCs w:val="20"/>
        </w:rPr>
        <w:t>Trends in Analytical Chemistry</w:t>
      </w:r>
      <w:r w:rsidRPr="00A9732C">
        <w:rPr>
          <w:rFonts w:ascii="Times New Roman" w:hAnsi="Times New Roman"/>
          <w:sz w:val="20"/>
          <w:szCs w:val="20"/>
        </w:rPr>
        <w:t>, 89: 99-118.</w:t>
      </w:r>
    </w:p>
    <w:p w14:paraId="69E34EA6"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Wu, Q., Zhao, Y., Wang, C., Sun, M., Ma, X. and Wang, Z. (2015). Mesoporous carbon reinforced hollow fiber liquid-phase microextraction for the enrichment of phenylurea herbicides followed by their determination with high performance liquid chromatography. </w:t>
      </w:r>
      <w:r w:rsidRPr="00A9732C">
        <w:rPr>
          <w:rFonts w:ascii="Times New Roman" w:hAnsi="Times New Roman"/>
          <w:i/>
          <w:iCs/>
          <w:sz w:val="20"/>
          <w:szCs w:val="20"/>
        </w:rPr>
        <w:t>Analytical Methods</w:t>
      </w:r>
      <w:r w:rsidRPr="00A9732C">
        <w:rPr>
          <w:rFonts w:ascii="Times New Roman" w:hAnsi="Times New Roman"/>
          <w:sz w:val="20"/>
          <w:szCs w:val="20"/>
        </w:rPr>
        <w:t>, 7(3): 901–908.</w:t>
      </w:r>
    </w:p>
    <w:p w14:paraId="504D1B15"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Khan, F. U., Nasir, F., Iqbal, Z., Khan, I., Shahbaz, N., Hassan, M. and Ullah, F. (2016). Simultaneous Determination of moxifloxacin and ofloxacin in physiological fluids using high performance liquid chromatography with ultraviolet detection. </w:t>
      </w:r>
      <w:r w:rsidRPr="00A9732C">
        <w:rPr>
          <w:rFonts w:ascii="Times New Roman" w:hAnsi="Times New Roman"/>
          <w:i/>
          <w:iCs/>
          <w:sz w:val="20"/>
          <w:szCs w:val="20"/>
        </w:rPr>
        <w:t>Journal of Chromatography B: Analytical Technologies in the Biomedical and Life Sciences</w:t>
      </w:r>
      <w:r w:rsidRPr="00A9732C">
        <w:rPr>
          <w:rFonts w:ascii="Times New Roman" w:hAnsi="Times New Roman"/>
          <w:sz w:val="20"/>
          <w:szCs w:val="20"/>
        </w:rPr>
        <w:t>, 1017–1018: 120-128.</w:t>
      </w:r>
    </w:p>
    <w:p w14:paraId="3914DA3B"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Attimarad, M. and Alnajjar, A. (2013). A conventional HPLC-MS method for the simultaneous determination of ofloxacin and cefixime in plasma: Development and validation. </w:t>
      </w:r>
      <w:r w:rsidRPr="00A9732C">
        <w:rPr>
          <w:rFonts w:ascii="Times New Roman" w:hAnsi="Times New Roman"/>
          <w:i/>
          <w:iCs/>
          <w:sz w:val="20"/>
          <w:szCs w:val="20"/>
        </w:rPr>
        <w:t>Journal of Basic and Clinical Pharmacy</w:t>
      </w:r>
      <w:r w:rsidRPr="00A9732C">
        <w:rPr>
          <w:rFonts w:ascii="Times New Roman" w:hAnsi="Times New Roman"/>
          <w:sz w:val="20"/>
          <w:szCs w:val="20"/>
        </w:rPr>
        <w:t>, 4(2): 36.</w:t>
      </w:r>
    </w:p>
    <w:p w14:paraId="7004EEF5" w14:textId="77777777" w:rsidR="001E2389" w:rsidRPr="00A9732C" w:rsidRDefault="001E2389" w:rsidP="00230B18">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Tang, Q., Yang, T., Tan, X. and Luo, J. (2009). Simultaneous determination of fluoroquinolone antibiotic residues in milk sample by solid-phase extraction - liquid chromatography-tandem mass spectrometry. </w:t>
      </w:r>
      <w:r w:rsidRPr="00A9732C">
        <w:rPr>
          <w:rFonts w:ascii="Times New Roman" w:hAnsi="Times New Roman"/>
          <w:i/>
          <w:iCs/>
          <w:sz w:val="20"/>
          <w:szCs w:val="20"/>
        </w:rPr>
        <w:t>Journal of Agricultural and Food Chemistry</w:t>
      </w:r>
      <w:r w:rsidRPr="00A9732C">
        <w:rPr>
          <w:rFonts w:ascii="Times New Roman" w:hAnsi="Times New Roman"/>
          <w:sz w:val="20"/>
          <w:szCs w:val="20"/>
        </w:rPr>
        <w:t>, 57(11): 4535-4539.</w:t>
      </w:r>
    </w:p>
    <w:p w14:paraId="51EACFC4" w14:textId="6F963121" w:rsidR="003D41FD" w:rsidRPr="003D41FD" w:rsidRDefault="001E2389"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Tian, Z., Gao, J. J. and Qin, W. (2018). Determination of fluoroquinolones in milk by ionic liquid-mediated two-phase extraction followed by capillary electrophoresis analysis. </w:t>
      </w:r>
      <w:r w:rsidRPr="00A9732C">
        <w:rPr>
          <w:rFonts w:ascii="Times New Roman" w:hAnsi="Times New Roman"/>
          <w:i/>
          <w:iCs/>
          <w:sz w:val="20"/>
          <w:szCs w:val="20"/>
        </w:rPr>
        <w:t>Madridge Journal of Analytical Sciences and Instrumentation</w:t>
      </w:r>
      <w:r w:rsidRPr="00A9732C">
        <w:rPr>
          <w:rFonts w:ascii="Times New Roman" w:hAnsi="Times New Roman"/>
          <w:sz w:val="20"/>
          <w:szCs w:val="20"/>
        </w:rPr>
        <w:t>, 3(1): 62-67.</w:t>
      </w:r>
    </w:p>
    <w:p w14:paraId="090B54F2" w14:textId="77777777" w:rsidR="003D41FD" w:rsidRPr="00F27D58" w:rsidRDefault="003D41FD" w:rsidP="003D41FD">
      <w:pPr>
        <w:pStyle w:val="ListParagraph"/>
        <w:numPr>
          <w:ilvl w:val="0"/>
          <w:numId w:val="3"/>
        </w:numPr>
        <w:spacing w:after="0"/>
        <w:contextualSpacing w:val="0"/>
        <w:jc w:val="both"/>
        <w:rPr>
          <w:rFonts w:ascii="Times New Roman" w:hAnsi="Times New Roman"/>
          <w:sz w:val="20"/>
          <w:szCs w:val="20"/>
        </w:rPr>
      </w:pPr>
      <w:r w:rsidRPr="00F27D58">
        <w:rPr>
          <w:rFonts w:ascii="Times New Roman" w:hAnsi="Times New Roman"/>
          <w:noProof/>
          <w:sz w:val="20"/>
          <w:szCs w:val="20"/>
        </w:rPr>
        <w:lastRenderedPageBreak/>
        <w:t xml:space="preserve">Maia, A. S., Paíga, P., Delerue-Matos, C., Castro, P. M. L. and Tiritan, M. E. (2020). Quantification of fluoroquinolones in wastewaters by liquid chromatography-tandem mass spectrometry. </w:t>
      </w:r>
      <w:r w:rsidRPr="00F27D58">
        <w:rPr>
          <w:rFonts w:ascii="Times New Roman" w:hAnsi="Times New Roman"/>
          <w:i/>
          <w:iCs/>
          <w:noProof/>
          <w:sz w:val="20"/>
          <w:szCs w:val="20"/>
        </w:rPr>
        <w:t>Environment Pollution</w:t>
      </w:r>
      <w:r w:rsidRPr="00F27D58">
        <w:rPr>
          <w:rFonts w:ascii="Times New Roman" w:hAnsi="Times New Roman"/>
          <w:noProof/>
          <w:sz w:val="20"/>
          <w:szCs w:val="20"/>
        </w:rPr>
        <w:t>, 259: 113927.</w:t>
      </w:r>
    </w:p>
    <w:p w14:paraId="12C680C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Rodrigues-Silva, C., Porto, R.S., dos Santos, S. G., Schneider, J. and Rath, S. (2019). Fluoroquinolones in hospital wastewater: Analytical method, occurrence, treatment with ozone and residual antimicrobial activity evaluation. </w:t>
      </w:r>
      <w:r w:rsidRPr="00A9732C">
        <w:rPr>
          <w:rFonts w:ascii="Times New Roman" w:hAnsi="Times New Roman"/>
          <w:i/>
          <w:iCs/>
          <w:sz w:val="20"/>
          <w:szCs w:val="20"/>
        </w:rPr>
        <w:t xml:space="preserve">Journal of the Brazilian Chemical Society, </w:t>
      </w:r>
      <w:r w:rsidRPr="00A9732C">
        <w:rPr>
          <w:rFonts w:ascii="Times New Roman" w:hAnsi="Times New Roman"/>
          <w:sz w:val="20"/>
          <w:szCs w:val="20"/>
        </w:rPr>
        <w:t>30(7): 1447-1457.</w:t>
      </w:r>
    </w:p>
    <w:p w14:paraId="644773B0"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Zheng, J., Xi, C., Wang, G., Cao, S., Tang, B., and Mu, Z. (2018). Simultaneous determination of 20 antibiotics in bovine colostrum tablet using UHPLC–MS/MS and SPE. </w:t>
      </w:r>
      <w:r w:rsidRPr="00A9732C">
        <w:rPr>
          <w:rFonts w:ascii="Times New Roman" w:hAnsi="Times New Roman"/>
          <w:i/>
          <w:iCs/>
          <w:sz w:val="20"/>
          <w:szCs w:val="20"/>
        </w:rPr>
        <w:t>Chromatographia</w:t>
      </w:r>
      <w:r w:rsidRPr="00A9732C">
        <w:rPr>
          <w:rFonts w:ascii="Times New Roman" w:hAnsi="Times New Roman"/>
          <w:sz w:val="20"/>
          <w:szCs w:val="20"/>
        </w:rPr>
        <w:t>, 81(6): 947-957.</w:t>
      </w:r>
    </w:p>
    <w:p w14:paraId="242E0A85"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Lee, H. B., Peart, E. T. and Svoboda, M. L. (2007). Determination of ofloxacin, norfloxacin, and ciprofloxacin in sewage by selective solid-phase extraction, liquid chromatography with fluorescence detection and liquid chromatography-tandem mass spectrometry. </w:t>
      </w:r>
      <w:r w:rsidRPr="00A9732C">
        <w:rPr>
          <w:rFonts w:ascii="Times New Roman" w:hAnsi="Times New Roman"/>
          <w:i/>
          <w:iCs/>
          <w:sz w:val="20"/>
          <w:szCs w:val="20"/>
        </w:rPr>
        <w:t>Journal of Chromatography A</w:t>
      </w:r>
      <w:r w:rsidRPr="00A9732C">
        <w:rPr>
          <w:rFonts w:ascii="Times New Roman" w:hAnsi="Times New Roman"/>
          <w:sz w:val="20"/>
          <w:szCs w:val="20"/>
        </w:rPr>
        <w:t>, 1139(1): 45-52.</w:t>
      </w:r>
    </w:p>
    <w:p w14:paraId="15565328"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Ruiz, F. J., Ripoll, L., Hidalgo, M. and Canals, A. (2019). Dispersive micro solid-phase extraction (D-µ-SPE) with graphene oxide as adsorbent for sensitive elemental analysis of aqueous samples by laser induced breakdown spectroscopy (LIBS). </w:t>
      </w:r>
      <w:r w:rsidRPr="00A9732C">
        <w:rPr>
          <w:rFonts w:ascii="Times New Roman" w:hAnsi="Times New Roman"/>
          <w:i/>
          <w:iCs/>
          <w:sz w:val="20"/>
          <w:szCs w:val="20"/>
        </w:rPr>
        <w:t>Talanta</w:t>
      </w:r>
      <w:r w:rsidRPr="00A9732C">
        <w:rPr>
          <w:rFonts w:ascii="Times New Roman" w:hAnsi="Times New Roman"/>
          <w:sz w:val="20"/>
          <w:szCs w:val="20"/>
        </w:rPr>
        <w:t>, 191: 162-170.</w:t>
      </w:r>
    </w:p>
    <w:p w14:paraId="2BC0D9E8"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Chung, W. H., Tzing, S. H. and Ding, W. H. (2013). Dispersive micro solid-phase extraction for the rapid analysis of synthetic polycyclic musks using thermal desorption gas chromatography-mass spectrometry. </w:t>
      </w:r>
      <w:r w:rsidRPr="00A9732C">
        <w:rPr>
          <w:rFonts w:ascii="Times New Roman" w:hAnsi="Times New Roman"/>
          <w:i/>
          <w:iCs/>
          <w:sz w:val="20"/>
          <w:szCs w:val="20"/>
        </w:rPr>
        <w:t>Journal of Chromatography A</w:t>
      </w:r>
      <w:r w:rsidRPr="00A9732C">
        <w:rPr>
          <w:rFonts w:ascii="Times New Roman" w:hAnsi="Times New Roman"/>
          <w:sz w:val="20"/>
          <w:szCs w:val="20"/>
        </w:rPr>
        <w:t>, 1307: 34-40.</w:t>
      </w:r>
    </w:p>
    <w:p w14:paraId="207471D9"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Ghorbani, M., Aghamohammadhassan, M., Ghorbani, H. and Zabihi, A. (2020). Trends in sorbent development for dispersive micro-solid phase extraction. </w:t>
      </w:r>
      <w:r w:rsidRPr="00A9732C">
        <w:rPr>
          <w:rFonts w:ascii="Times New Roman" w:hAnsi="Times New Roman"/>
          <w:i/>
          <w:iCs/>
          <w:sz w:val="20"/>
          <w:szCs w:val="20"/>
        </w:rPr>
        <w:t>Microchemical Journal</w:t>
      </w:r>
      <w:r w:rsidRPr="00A9732C">
        <w:rPr>
          <w:rFonts w:ascii="Times New Roman" w:hAnsi="Times New Roman"/>
          <w:sz w:val="20"/>
          <w:szCs w:val="20"/>
        </w:rPr>
        <w:t>, 158: 105250.</w:t>
      </w:r>
    </w:p>
    <w:p w14:paraId="2E406022"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Jamali M. R., Firouzjah, A. and Rahnama R. (2013). Solvent-assisted dispersive solid phase extraction. </w:t>
      </w:r>
      <w:r w:rsidRPr="00A9732C">
        <w:rPr>
          <w:rFonts w:ascii="Times New Roman" w:hAnsi="Times New Roman"/>
          <w:i/>
          <w:iCs/>
          <w:sz w:val="20"/>
          <w:szCs w:val="20"/>
        </w:rPr>
        <w:t>Talanta</w:t>
      </w:r>
      <w:r w:rsidRPr="00A9732C">
        <w:rPr>
          <w:rFonts w:ascii="Times New Roman" w:hAnsi="Times New Roman"/>
          <w:sz w:val="20"/>
          <w:szCs w:val="20"/>
        </w:rPr>
        <w:t>, 116: 454-459.</w:t>
      </w:r>
    </w:p>
    <w:p w14:paraId="76B4CB12"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Anastassiades, M., Lehotay, S. J., Stajnbaher, D. and Schenck, F. J. (2003). Fast and easy multiresidue method employing acetonitrile </w:t>
      </w:r>
      <w:r w:rsidRPr="00A9732C">
        <w:rPr>
          <w:rFonts w:ascii="Times New Roman" w:hAnsi="Times New Roman"/>
          <w:sz w:val="20"/>
          <w:szCs w:val="20"/>
        </w:rPr>
        <w:t xml:space="preserve">extraction/partitioning and “dispersive solid-phase extraction” for the determination of pesticide residues in produce. </w:t>
      </w:r>
      <w:r w:rsidRPr="00A9732C">
        <w:rPr>
          <w:rFonts w:ascii="Times New Roman" w:hAnsi="Times New Roman"/>
          <w:i/>
          <w:iCs/>
          <w:sz w:val="20"/>
          <w:szCs w:val="20"/>
        </w:rPr>
        <w:t>Journal of AOAC International</w:t>
      </w:r>
      <w:r w:rsidRPr="00A9732C">
        <w:rPr>
          <w:rFonts w:ascii="Times New Roman" w:hAnsi="Times New Roman"/>
          <w:sz w:val="20"/>
          <w:szCs w:val="20"/>
        </w:rPr>
        <w:t>, 86(2): 412-431.</w:t>
      </w:r>
    </w:p>
    <w:p w14:paraId="10DF5FC3"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Amoli-diva, M. and Pourghazi, K. (2018). CoFe</w:t>
      </w:r>
      <w:r w:rsidRPr="00A9732C">
        <w:rPr>
          <w:rFonts w:ascii="Times New Roman" w:hAnsi="Times New Roman"/>
          <w:strike/>
          <w:sz w:val="20"/>
          <w:szCs w:val="20"/>
          <w:vertAlign w:val="subscript"/>
        </w:rPr>
        <w:t>2</w:t>
      </w:r>
      <w:r w:rsidRPr="00A9732C">
        <w:rPr>
          <w:rFonts w:ascii="Times New Roman" w:hAnsi="Times New Roman"/>
          <w:sz w:val="20"/>
          <w:szCs w:val="20"/>
        </w:rPr>
        <w:t>O</w:t>
      </w:r>
      <w:r w:rsidRPr="00A9732C">
        <w:rPr>
          <w:rFonts w:ascii="Times New Roman" w:hAnsi="Times New Roman"/>
          <w:sz w:val="20"/>
          <w:szCs w:val="20"/>
          <w:vertAlign w:val="subscript"/>
        </w:rPr>
        <w:t>4</w:t>
      </w:r>
      <w:r w:rsidRPr="00A9732C">
        <w:rPr>
          <w:rFonts w:ascii="Times New Roman" w:hAnsi="Times New Roman"/>
          <w:sz w:val="20"/>
          <w:szCs w:val="20"/>
        </w:rPr>
        <w:t xml:space="preserve"> nanoparticles grafted multi-walled carbon nanotubes coupled with surfactant-enhanced spectrofluorimetry for determination of ofloxacin in human plasma. </w:t>
      </w:r>
      <w:r w:rsidRPr="00A9732C">
        <w:rPr>
          <w:rFonts w:ascii="Times New Roman" w:hAnsi="Times New Roman"/>
          <w:i/>
          <w:iCs/>
          <w:sz w:val="20"/>
          <w:szCs w:val="20"/>
        </w:rPr>
        <w:t xml:space="preserve">Nanochemistry Research, </w:t>
      </w:r>
      <w:r w:rsidRPr="00A9732C">
        <w:rPr>
          <w:rFonts w:ascii="Times New Roman" w:hAnsi="Times New Roman"/>
          <w:sz w:val="20"/>
          <w:szCs w:val="20"/>
        </w:rPr>
        <w:t>3(1): 17-23.</w:t>
      </w:r>
    </w:p>
    <w:p w14:paraId="646976CE"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Vakh C., Alaboud, M., Lebedinets, S., Korolev, D., Postnov, V., Moskvin, L., Osmolovskaya, O. and Bulatov, A. (2018). An automated magnetic dispersive micro-solid phase extraction in a fluidized reactor for the determination of fluoroquinolones in baby food samples. </w:t>
      </w:r>
      <w:r w:rsidRPr="00A9732C">
        <w:rPr>
          <w:rFonts w:ascii="Times New Roman" w:hAnsi="Times New Roman"/>
          <w:i/>
          <w:iCs/>
          <w:sz w:val="20"/>
          <w:szCs w:val="20"/>
        </w:rPr>
        <w:t>Analytica Chimica Acta,</w:t>
      </w:r>
      <w:r w:rsidRPr="00A9732C">
        <w:rPr>
          <w:rFonts w:ascii="Times New Roman" w:hAnsi="Times New Roman"/>
          <w:sz w:val="20"/>
          <w:szCs w:val="20"/>
        </w:rPr>
        <w:t xml:space="preserve"> 1001: 59-69. </w:t>
      </w:r>
    </w:p>
    <w:p w14:paraId="3CFFBB2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Chisvert, A., Cardenas, S. and Lucena, R. (2019). Dispersive micro-solid phase extraction. </w:t>
      </w:r>
      <w:r w:rsidRPr="00A9732C">
        <w:rPr>
          <w:rFonts w:ascii="Times New Roman" w:hAnsi="Times New Roman"/>
          <w:i/>
          <w:iCs/>
          <w:sz w:val="20"/>
          <w:szCs w:val="20"/>
        </w:rPr>
        <w:t>Trends in Analytical Chemistry</w:t>
      </w:r>
      <w:r w:rsidRPr="00A9732C">
        <w:rPr>
          <w:rFonts w:ascii="Times New Roman" w:hAnsi="Times New Roman"/>
          <w:sz w:val="20"/>
          <w:szCs w:val="20"/>
        </w:rPr>
        <w:t>, 112: 226-233.</w:t>
      </w:r>
    </w:p>
    <w:p w14:paraId="39BC1D8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lang w:eastAsia="en-GB"/>
        </w:rPr>
      </w:pPr>
      <w:r w:rsidRPr="00A9732C">
        <w:rPr>
          <w:rFonts w:ascii="Times New Roman" w:hAnsi="Times New Roman"/>
          <w:sz w:val="20"/>
          <w:szCs w:val="20"/>
        </w:rPr>
        <w:t xml:space="preserve">Mohd Hassan, F, W., Muggundha, R., Kamaruzaman, S., Sanagi, M, M., Yoshida, N., Hirota, Y. and Nishiyama, N. (2018). </w:t>
      </w:r>
      <w:r w:rsidRPr="00A9732C">
        <w:rPr>
          <w:rFonts w:ascii="Tahoma" w:hAnsi="Tahoma" w:cs="Tahoma"/>
          <w:sz w:val="20"/>
          <w:szCs w:val="20"/>
        </w:rPr>
        <w:t>﻿</w:t>
      </w:r>
      <w:r w:rsidRPr="00A9732C">
        <w:rPr>
          <w:rFonts w:ascii="Times New Roman" w:hAnsi="Times New Roman"/>
          <w:sz w:val="20"/>
          <w:szCs w:val="20"/>
        </w:rPr>
        <w:t xml:space="preserve">Dispersive liquid–liquid microextraction combined with dispersive solid-phase extraction for gas chromatography with mass spectrometry determination of polycyclic aromatic hydrocarbons in aqueous matrices. </w:t>
      </w:r>
      <w:r w:rsidRPr="00A9732C">
        <w:rPr>
          <w:rFonts w:ascii="Times New Roman" w:hAnsi="Times New Roman"/>
          <w:i/>
          <w:iCs/>
          <w:sz w:val="20"/>
          <w:szCs w:val="20"/>
        </w:rPr>
        <w:t>Journal of Separation Science</w:t>
      </w:r>
      <w:r w:rsidRPr="00A9732C">
        <w:rPr>
          <w:rFonts w:ascii="Times New Roman" w:hAnsi="Times New Roman"/>
          <w:sz w:val="20"/>
          <w:szCs w:val="20"/>
        </w:rPr>
        <w:t xml:space="preserve">, 41(19): </w:t>
      </w:r>
      <w:r w:rsidRPr="00A9732C">
        <w:rPr>
          <w:rFonts w:ascii="Tahoma" w:hAnsi="Tahoma" w:cs="Tahoma"/>
          <w:sz w:val="20"/>
          <w:szCs w:val="20"/>
        </w:rPr>
        <w:t>﻿</w:t>
      </w:r>
      <w:r w:rsidRPr="00A9732C">
        <w:rPr>
          <w:rFonts w:ascii="Times New Roman" w:hAnsi="Times New Roman"/>
          <w:sz w:val="20"/>
          <w:szCs w:val="20"/>
        </w:rPr>
        <w:t>3751-3763.</w:t>
      </w:r>
    </w:p>
    <w:p w14:paraId="00C60477"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Basheer, C., Han, G. C., Toh, M. H. and Hian, K. L. (2007). Application of porous membrane-protected micro-solid-phase extraction combined with HPLC for the analysis of acidic drugs in wastewater. </w:t>
      </w:r>
      <w:r w:rsidRPr="00A9732C">
        <w:rPr>
          <w:rFonts w:ascii="Times New Roman" w:hAnsi="Times New Roman"/>
          <w:i/>
          <w:iCs/>
          <w:sz w:val="20"/>
          <w:szCs w:val="20"/>
        </w:rPr>
        <w:t>Analytical Chemistry</w:t>
      </w:r>
      <w:r w:rsidRPr="00A9732C">
        <w:rPr>
          <w:rFonts w:ascii="Times New Roman" w:hAnsi="Times New Roman"/>
          <w:sz w:val="20"/>
          <w:szCs w:val="20"/>
        </w:rPr>
        <w:t>, 79(17): 6845-6850.</w:t>
      </w:r>
    </w:p>
    <w:p w14:paraId="47A5E7BA"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Roberts, J. A. (2009). Pharmacokinetic issues for antibiotics in the critically Ill patient. </w:t>
      </w:r>
      <w:r w:rsidRPr="00A9732C">
        <w:rPr>
          <w:rFonts w:ascii="Times New Roman" w:hAnsi="Times New Roman"/>
          <w:i/>
          <w:iCs/>
          <w:sz w:val="20"/>
          <w:szCs w:val="20"/>
        </w:rPr>
        <w:t>Critical Care Medicine</w:t>
      </w:r>
      <w:r w:rsidRPr="00A9732C">
        <w:rPr>
          <w:rFonts w:ascii="Times New Roman" w:hAnsi="Times New Roman"/>
          <w:sz w:val="20"/>
          <w:szCs w:val="20"/>
        </w:rPr>
        <w:t>, 37(3): 840-851.</w:t>
      </w:r>
    </w:p>
    <w:p w14:paraId="42B7A1A3" w14:textId="77777777" w:rsidR="003D41FD"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Borner, K., Borner, E. and Lode, H. (1992). Determination of sparfloxacin in serum and urine by high-performance liquid chromato</w:t>
      </w:r>
      <w:r>
        <w:rPr>
          <w:rFonts w:ascii="Times New Roman" w:hAnsi="Times New Roman"/>
          <w:sz w:val="20"/>
          <w:szCs w:val="20"/>
        </w:rPr>
        <w:t>-</w:t>
      </w:r>
      <w:r w:rsidRPr="00A9732C">
        <w:rPr>
          <w:rFonts w:ascii="Times New Roman" w:hAnsi="Times New Roman"/>
          <w:sz w:val="20"/>
          <w:szCs w:val="20"/>
        </w:rPr>
        <w:t>graphy. </w:t>
      </w:r>
      <w:r>
        <w:rPr>
          <w:rFonts w:ascii="Times New Roman" w:hAnsi="Times New Roman"/>
          <w:sz w:val="20"/>
          <w:szCs w:val="20"/>
        </w:rPr>
        <w:t xml:space="preserve"> </w:t>
      </w:r>
      <w:r w:rsidRPr="00A9732C">
        <w:rPr>
          <w:rFonts w:ascii="Times New Roman" w:hAnsi="Times New Roman"/>
          <w:i/>
          <w:iCs/>
          <w:sz w:val="20"/>
          <w:szCs w:val="20"/>
        </w:rPr>
        <w:t>Journal of Chromatography B: Biomedical Sciences and Applications</w:t>
      </w:r>
      <w:r w:rsidRPr="00A9732C">
        <w:rPr>
          <w:rFonts w:ascii="Times New Roman" w:hAnsi="Times New Roman"/>
          <w:sz w:val="20"/>
          <w:szCs w:val="20"/>
        </w:rPr>
        <w:t>, 579(2): 285-289.</w:t>
      </w:r>
    </w:p>
    <w:p w14:paraId="19C0D211" w14:textId="77777777" w:rsidR="003D41FD" w:rsidRDefault="003D41FD" w:rsidP="003D41FD">
      <w:pPr>
        <w:spacing w:after="0"/>
        <w:jc w:val="both"/>
        <w:rPr>
          <w:rFonts w:ascii="Times New Roman" w:hAnsi="Times New Roman"/>
          <w:sz w:val="20"/>
          <w:szCs w:val="20"/>
        </w:rPr>
      </w:pPr>
    </w:p>
    <w:p w14:paraId="1547A694" w14:textId="77777777" w:rsidR="003D41FD" w:rsidRDefault="003D41FD" w:rsidP="003D41FD">
      <w:pPr>
        <w:spacing w:after="0"/>
        <w:jc w:val="both"/>
        <w:rPr>
          <w:rFonts w:ascii="Times New Roman" w:hAnsi="Times New Roman"/>
          <w:sz w:val="20"/>
          <w:szCs w:val="20"/>
        </w:rPr>
      </w:pPr>
    </w:p>
    <w:p w14:paraId="78CE2B6B" w14:textId="77777777" w:rsidR="003D41FD" w:rsidRPr="00E527FA" w:rsidRDefault="003D41FD" w:rsidP="003D41FD">
      <w:pPr>
        <w:spacing w:after="0"/>
        <w:jc w:val="both"/>
        <w:rPr>
          <w:rFonts w:ascii="Times New Roman" w:hAnsi="Times New Roman"/>
          <w:sz w:val="20"/>
          <w:szCs w:val="20"/>
        </w:rPr>
      </w:pPr>
    </w:p>
    <w:p w14:paraId="186495CB"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lastRenderedPageBreak/>
        <w:t xml:space="preserve">Srinivas, N., Narasu, L., Shankar, B. P. and Mullangi, R. (2008). Development and validation of a HPLC method for simultaneous quantitation of gatifloxacin, sparfloxacin and moxifloxacin using levofloxacin as internal standard in human plasma: Application to a clinical pharmacokinetic study. </w:t>
      </w:r>
      <w:r w:rsidRPr="00A9732C">
        <w:rPr>
          <w:rFonts w:ascii="Times New Roman" w:hAnsi="Times New Roman"/>
          <w:i/>
          <w:iCs/>
          <w:sz w:val="20"/>
          <w:szCs w:val="20"/>
        </w:rPr>
        <w:t>Biomedical Chromatography</w:t>
      </w:r>
      <w:r w:rsidRPr="00A9732C">
        <w:rPr>
          <w:rFonts w:ascii="Times New Roman" w:hAnsi="Times New Roman"/>
          <w:sz w:val="20"/>
          <w:szCs w:val="20"/>
        </w:rPr>
        <w:t>, 22(11): 1288-1295.</w:t>
      </w:r>
    </w:p>
    <w:p w14:paraId="65D35234"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 xml:space="preserve">Samanidou, V. F., Christodoulou, E. A. and Papadoyannis, I. N. (2005), Determination of </w:t>
      </w:r>
      <w:r w:rsidRPr="00A9732C">
        <w:rPr>
          <w:rFonts w:ascii="Times New Roman" w:hAnsi="Times New Roman"/>
          <w:sz w:val="20"/>
          <w:szCs w:val="20"/>
        </w:rPr>
        <w:t xml:space="preserve">fluoroquinolones in edible animal tissue samples by high performance liquid chromatography after solid phase extraction. </w:t>
      </w:r>
      <w:r w:rsidRPr="00A9732C">
        <w:rPr>
          <w:rFonts w:ascii="Times New Roman" w:hAnsi="Times New Roman"/>
          <w:i/>
          <w:iCs/>
          <w:sz w:val="20"/>
          <w:szCs w:val="20"/>
        </w:rPr>
        <w:t>Journal of Separation Science</w:t>
      </w:r>
      <w:r w:rsidRPr="00A9732C">
        <w:rPr>
          <w:rFonts w:ascii="Times New Roman" w:hAnsi="Times New Roman"/>
          <w:sz w:val="20"/>
          <w:szCs w:val="20"/>
        </w:rPr>
        <w:t xml:space="preserve">, 28(6): 555-565. </w:t>
      </w:r>
    </w:p>
    <w:p w14:paraId="77057D56" w14:textId="77777777" w:rsidR="003D41FD" w:rsidRPr="00A9732C" w:rsidRDefault="003D41FD" w:rsidP="003D41FD">
      <w:pPr>
        <w:pStyle w:val="ListParagraph"/>
        <w:numPr>
          <w:ilvl w:val="0"/>
          <w:numId w:val="3"/>
        </w:numPr>
        <w:spacing w:after="0"/>
        <w:contextualSpacing w:val="0"/>
        <w:jc w:val="both"/>
        <w:rPr>
          <w:rFonts w:ascii="Times New Roman" w:hAnsi="Times New Roman"/>
          <w:sz w:val="20"/>
          <w:szCs w:val="20"/>
        </w:rPr>
      </w:pPr>
      <w:r w:rsidRPr="00A9732C">
        <w:rPr>
          <w:rFonts w:ascii="Times New Roman" w:hAnsi="Times New Roman"/>
          <w:sz w:val="20"/>
          <w:szCs w:val="20"/>
        </w:rPr>
        <w:t>Garcia, M. A., Solans, C., Calvo, A., Royo, M.,</w:t>
      </w:r>
      <w:r>
        <w:rPr>
          <w:rFonts w:ascii="Times New Roman" w:hAnsi="Times New Roman"/>
          <w:sz w:val="20"/>
          <w:szCs w:val="20"/>
        </w:rPr>
        <w:t xml:space="preserve"> </w:t>
      </w:r>
      <w:r w:rsidRPr="00A9732C">
        <w:rPr>
          <w:rFonts w:ascii="Times New Roman" w:hAnsi="Times New Roman"/>
          <w:sz w:val="20"/>
          <w:szCs w:val="20"/>
        </w:rPr>
        <w:t xml:space="preserve">Hernandez, E., </w:t>
      </w:r>
      <w:r>
        <w:rPr>
          <w:rFonts w:ascii="Times New Roman" w:hAnsi="Times New Roman"/>
          <w:sz w:val="20"/>
          <w:szCs w:val="20"/>
        </w:rPr>
        <w:t xml:space="preserve"> </w:t>
      </w:r>
      <w:r w:rsidRPr="00A9732C">
        <w:rPr>
          <w:rFonts w:ascii="Times New Roman" w:hAnsi="Times New Roman"/>
          <w:sz w:val="20"/>
          <w:szCs w:val="20"/>
        </w:rPr>
        <w:t>Rey, R. and Bregante, M. A. (2002). Analysis of ofloxacin in plasma samples by high-performance</w:t>
      </w:r>
      <w:r>
        <w:rPr>
          <w:rFonts w:ascii="Times New Roman" w:hAnsi="Times New Roman"/>
          <w:sz w:val="20"/>
          <w:szCs w:val="20"/>
        </w:rPr>
        <w:t xml:space="preserve">  </w:t>
      </w:r>
      <w:r w:rsidRPr="00A9732C">
        <w:rPr>
          <w:rFonts w:ascii="Times New Roman" w:hAnsi="Times New Roman"/>
          <w:sz w:val="20"/>
          <w:szCs w:val="20"/>
        </w:rPr>
        <w:t>liquid</w:t>
      </w:r>
      <w:r>
        <w:rPr>
          <w:rFonts w:ascii="Times New Roman" w:hAnsi="Times New Roman"/>
          <w:sz w:val="20"/>
          <w:szCs w:val="20"/>
        </w:rPr>
        <w:t xml:space="preserve"> </w:t>
      </w:r>
      <w:r w:rsidRPr="00A9732C">
        <w:rPr>
          <w:rFonts w:ascii="Times New Roman" w:hAnsi="Times New Roman"/>
          <w:sz w:val="20"/>
          <w:szCs w:val="20"/>
        </w:rPr>
        <w:t>chromatography</w:t>
      </w:r>
      <w:r>
        <w:rPr>
          <w:rFonts w:ascii="Times New Roman" w:hAnsi="Times New Roman"/>
          <w:sz w:val="20"/>
          <w:szCs w:val="20"/>
        </w:rPr>
        <w:t xml:space="preserve">.   </w:t>
      </w:r>
      <w:r w:rsidRPr="00A9732C">
        <w:rPr>
          <w:rFonts w:ascii="Times New Roman" w:hAnsi="Times New Roman"/>
          <w:i/>
          <w:iCs/>
          <w:sz w:val="20"/>
          <w:szCs w:val="20"/>
        </w:rPr>
        <w:t>Chromatographia</w:t>
      </w:r>
      <w:r w:rsidRPr="00A9732C">
        <w:rPr>
          <w:rFonts w:ascii="Times New Roman" w:hAnsi="Times New Roman"/>
          <w:sz w:val="20"/>
          <w:szCs w:val="20"/>
        </w:rPr>
        <w:t>, 55(7-8): 431-434.</w:t>
      </w:r>
    </w:p>
    <w:p w14:paraId="28A65463" w14:textId="77777777" w:rsidR="003D41FD" w:rsidRDefault="003D41FD" w:rsidP="003D41FD">
      <w:pPr>
        <w:spacing w:after="0" w:line="240" w:lineRule="auto"/>
        <w:jc w:val="both"/>
        <w:rPr>
          <w:rFonts w:ascii="Times New Roman" w:hAnsi="Times New Roman"/>
          <w:noProof/>
          <w:sz w:val="20"/>
          <w:szCs w:val="20"/>
          <w:lang w:bidi="ar-SA"/>
        </w:rPr>
        <w:sectPr w:rsidR="003D41FD" w:rsidSect="003D41FD">
          <w:headerReference w:type="even" r:id="rId70"/>
          <w:headerReference w:type="default" r:id="rId71"/>
          <w:footerReference w:type="even" r:id="rId72"/>
          <w:footerReference w:type="default" r:id="rId73"/>
          <w:headerReference w:type="first" r:id="rId74"/>
          <w:type w:val="continuous"/>
          <w:pgSz w:w="12240" w:h="15840" w:code="1"/>
          <w:pgMar w:top="1800" w:right="1469" w:bottom="1699" w:left="1440" w:header="706" w:footer="706" w:gutter="0"/>
          <w:pgNumType w:start="1"/>
          <w:cols w:num="2" w:space="403"/>
          <w:docGrid w:linePitch="360"/>
        </w:sectPr>
      </w:pPr>
    </w:p>
    <w:p w14:paraId="03B0843B" w14:textId="60A26ADF" w:rsidR="003D41FD" w:rsidRPr="003D41FD" w:rsidRDefault="003D41FD" w:rsidP="003D41FD">
      <w:pPr>
        <w:spacing w:after="0"/>
        <w:jc w:val="both"/>
        <w:rPr>
          <w:rFonts w:ascii="Times New Roman" w:hAnsi="Times New Roman"/>
          <w:sz w:val="20"/>
          <w:szCs w:val="20"/>
        </w:rPr>
        <w:sectPr w:rsidR="003D41FD" w:rsidRPr="003D41FD" w:rsidSect="00A9732C">
          <w:headerReference w:type="even" r:id="rId75"/>
          <w:headerReference w:type="default" r:id="rId76"/>
          <w:footerReference w:type="even" r:id="rId77"/>
          <w:footerReference w:type="default" r:id="rId78"/>
          <w:headerReference w:type="first" r:id="rId79"/>
          <w:type w:val="continuous"/>
          <w:pgSz w:w="12240" w:h="15840" w:code="1"/>
          <w:pgMar w:top="1800" w:right="1469" w:bottom="1699" w:left="1440" w:header="706" w:footer="706" w:gutter="0"/>
          <w:pgNumType w:start="1"/>
          <w:cols w:num="2" w:space="403"/>
          <w:docGrid w:linePitch="360"/>
        </w:sectPr>
      </w:pPr>
    </w:p>
    <w:p w14:paraId="5AF1C5AD" w14:textId="730AE2ED" w:rsidR="00F27D58" w:rsidRPr="003D41FD" w:rsidRDefault="00F27D58" w:rsidP="003D41FD">
      <w:pPr>
        <w:spacing w:after="0"/>
        <w:jc w:val="both"/>
        <w:rPr>
          <w:rFonts w:ascii="Times New Roman" w:hAnsi="Times New Roman"/>
          <w:sz w:val="20"/>
          <w:szCs w:val="20"/>
        </w:rPr>
        <w:sectPr w:rsidR="00F27D58" w:rsidRPr="003D41FD" w:rsidSect="003D41FD">
          <w:headerReference w:type="even" r:id="rId80"/>
          <w:headerReference w:type="default" r:id="rId81"/>
          <w:footerReference w:type="even" r:id="rId82"/>
          <w:headerReference w:type="first" r:id="rId83"/>
          <w:type w:val="evenPage"/>
          <w:pgSz w:w="12240" w:h="15840" w:code="1"/>
          <w:pgMar w:top="1800" w:right="1469" w:bottom="1699" w:left="1440" w:header="706" w:footer="706" w:gutter="0"/>
          <w:pgNumType w:start="1"/>
          <w:cols w:num="2" w:space="403"/>
          <w:docGrid w:linePitch="360"/>
        </w:sectPr>
      </w:pPr>
    </w:p>
    <w:p w14:paraId="25D2FF99" w14:textId="77777777" w:rsidR="00A74A7E" w:rsidRPr="00F14CCB" w:rsidRDefault="00A74A7E" w:rsidP="00F14CCB">
      <w:pPr>
        <w:spacing w:after="0" w:line="240" w:lineRule="auto"/>
        <w:jc w:val="both"/>
        <w:rPr>
          <w:rFonts w:ascii="Times New Roman" w:hAnsi="Times New Roman"/>
          <w:noProof/>
          <w:sz w:val="20"/>
          <w:szCs w:val="20"/>
          <w:lang w:val="en-MY" w:bidi="ar-SA"/>
        </w:rPr>
      </w:pPr>
    </w:p>
    <w:sectPr w:rsidR="00A74A7E" w:rsidRPr="00F14CCB" w:rsidSect="0018424C">
      <w:headerReference w:type="even" r:id="rId84"/>
      <w:headerReference w:type="default" r:id="rId85"/>
      <w:footerReference w:type="even" r:id="rId86"/>
      <w:footerReference w:type="default" r:id="rId87"/>
      <w:headerReference w:type="first" r:id="rId88"/>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1A31257F" w:rsidR="00A14DB9" w:rsidRDefault="00F97AAB">
    <w:pPr>
      <w:pStyle w:val="Footer"/>
    </w:pPr>
    <w:r>
      <w:rPr>
        <w:rFonts w:ascii="Times New Roman" w:hAnsi="Times New Roman"/>
        <w:lang w:val="en-US"/>
      </w:rPr>
      <w:t>894</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EB04" w14:textId="366E0D1D"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0B69" w14:textId="380615BE" w:rsidR="007147BB" w:rsidRDefault="007147B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5CD96" w14:textId="1FFD0E1E" w:rsidR="00F27D58" w:rsidRDefault="00F97AAB">
    <w:pPr>
      <w:pStyle w:val="Footer"/>
    </w:pPr>
    <w:r>
      <w:rPr>
        <w:rFonts w:ascii="Times New Roman" w:hAnsi="Times New Roman"/>
        <w:lang w:val="en-US"/>
      </w:rPr>
      <w:t>900</w:t>
    </w:r>
    <w:r w:rsidR="00F27D58" w:rsidRPr="002F1D31">
      <w:rPr>
        <w:rFonts w:ascii="Times New Roman" w:hAnsi="Times New Roman"/>
        <w:lang w:val="en-US"/>
      </w:rPr>
      <w:ptab w:relativeTo="margin" w:alignment="center" w:leader="none"/>
    </w:r>
    <w:r w:rsidR="00F27D58"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FC3B" w14:textId="19C79301" w:rsidR="007147BB" w:rsidRDefault="007147BB">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9BBE" w14:textId="02C60C93"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4A28" w14:textId="5931EC4F" w:rsidR="00F27D58" w:rsidRDefault="00F97AAB">
    <w:pPr>
      <w:pStyle w:val="Footer"/>
    </w:pPr>
    <w:r>
      <w:rPr>
        <w:rFonts w:ascii="Times New Roman" w:hAnsi="Times New Roman"/>
        <w:lang w:val="en-US"/>
      </w:rPr>
      <w:t>902</w:t>
    </w:r>
    <w:r w:rsidR="00F27D58" w:rsidRPr="002F1D31">
      <w:rPr>
        <w:rFonts w:ascii="Times New Roman" w:hAnsi="Times New Roman"/>
        <w:lang w:val="en-US"/>
      </w:rPr>
      <w:ptab w:relativeTo="margin" w:alignment="center" w:leader="none"/>
    </w:r>
    <w:r w:rsidR="00F27D58"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9FE1" w14:textId="62282CE6" w:rsidR="003D41FD" w:rsidRPr="007D4BAB" w:rsidRDefault="003D41F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r w:rsidR="00F97AAB">
      <w:rPr>
        <w:rFonts w:ascii="Times New Roman" w:hAnsi="Times New Roman"/>
        <w:lang w:val="en-US"/>
      </w:rPr>
      <w:t>01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9ECB" w14:textId="74B6C24B" w:rsidR="00F27D58" w:rsidRDefault="00F27D58">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C7D1" w14:textId="6597189D" w:rsidR="00F27D58" w:rsidRPr="007D4BAB" w:rsidRDefault="00F27D58"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903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F74A9" w14:textId="10B744DF" w:rsidR="003D41FD" w:rsidRDefault="00F97AAB">
    <w:pPr>
      <w:pStyle w:val="Footer"/>
    </w:pPr>
    <w:r>
      <w:rPr>
        <w:rFonts w:ascii="Times New Roman" w:hAnsi="Times New Roman"/>
        <w:lang w:val="en-US"/>
      </w:rPr>
      <w:t>904</w:t>
    </w:r>
    <w:r w:rsidR="003D41FD" w:rsidRPr="002F1D31">
      <w:rPr>
        <w:rFonts w:ascii="Times New Roman" w:hAnsi="Times New Roman"/>
        <w:lang w:val="en-US"/>
      </w:rPr>
      <w:ptab w:relativeTo="margin" w:alignment="center" w:leader="none"/>
    </w:r>
    <w:r w:rsidR="003D41FD"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0C49B60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1328" w14:textId="7542FBB2" w:rsidR="003D41FD" w:rsidRPr="007D4BAB" w:rsidRDefault="003D41FD"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905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4F6BB" w14:textId="4E092D57" w:rsidR="007147BB" w:rsidRDefault="007147BB">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8219" w14:textId="6E5DC3F4"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31EA4" w14:textId="77777777" w:rsidR="003D41FD" w:rsidRDefault="003D41FD">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494B" w14:textId="5C8896CC" w:rsidR="00F27D58" w:rsidRDefault="00F27D58">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CC0C" w14:textId="200BB16E" w:rsidR="00F27D58" w:rsidRPr="007D4BAB" w:rsidRDefault="00F27D5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4B36" w14:textId="3C56F4D9" w:rsidR="007147BB" w:rsidRDefault="00F97AAB">
    <w:pPr>
      <w:pStyle w:val="Footer"/>
    </w:pPr>
    <w:r>
      <w:rPr>
        <w:rFonts w:ascii="Times New Roman" w:hAnsi="Times New Roman"/>
        <w:lang w:val="en-US"/>
      </w:rPr>
      <w:t>896</w:t>
    </w:r>
    <w:r w:rsidR="007147BB" w:rsidRPr="002F1D31">
      <w:rPr>
        <w:rFonts w:ascii="Times New Roman" w:hAnsi="Times New Roman"/>
        <w:lang w:val="en-US"/>
      </w:rPr>
      <w:ptab w:relativeTo="margin" w:alignment="center" w:leader="none"/>
    </w:r>
    <w:r w:rsidR="007147BB"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81C1" w14:textId="2598A64D"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5697B" w14:textId="06297F57"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sidR="00F97AAB">
      <w:rPr>
        <w:rFonts w:ascii="Times New Roman" w:hAnsi="Times New Roman"/>
        <w:lang w:val="en-US"/>
      </w:rPr>
      <w:t>897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E08AA" w14:textId="35014430" w:rsidR="007147BB" w:rsidRDefault="007147B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9A704" w14:textId="77777777"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665E" w14:textId="0C666DB7" w:rsidR="007147BB" w:rsidRDefault="00F97AAB">
    <w:pPr>
      <w:pStyle w:val="Footer"/>
    </w:pPr>
    <w:r>
      <w:rPr>
        <w:rFonts w:ascii="Times New Roman" w:hAnsi="Times New Roman"/>
        <w:lang w:val="en-US"/>
      </w:rPr>
      <w:t>898</w:t>
    </w:r>
    <w:r w:rsidR="007147BB" w:rsidRPr="002F1D31">
      <w:rPr>
        <w:rFonts w:ascii="Times New Roman" w:hAnsi="Times New Roman"/>
        <w:lang w:val="en-US"/>
      </w:rPr>
      <w:ptab w:relativeTo="margin" w:alignment="center" w:leader="none"/>
    </w:r>
    <w:r w:rsidR="007147BB"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99C2B" w14:textId="6F5CFC33" w:rsidR="007147BB" w:rsidRPr="007D4BAB" w:rsidRDefault="007147B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DA3B" w14:textId="4DB4A415" w:rsidR="00F23647" w:rsidRPr="00F23647" w:rsidRDefault="00F23647" w:rsidP="00F23647">
    <w:pPr>
      <w:spacing w:after="0"/>
      <w:ind w:left="1170" w:hanging="1170"/>
      <w:rPr>
        <w:rFonts w:ascii="Times New Roman" w:hAnsi="Times New Roman"/>
        <w:bCs/>
        <w:sz w:val="20"/>
        <w:szCs w:val="20"/>
      </w:rPr>
    </w:pPr>
    <w:r>
      <w:rPr>
        <w:rFonts w:ascii="Times New Roman" w:hAnsi="Times New Roman"/>
        <w:sz w:val="20"/>
        <w:szCs w:val="20"/>
      </w:rPr>
      <w:t>Owaid et al</w:t>
    </w:r>
    <w:r w:rsidR="006B72B0" w:rsidRPr="00F23647">
      <w:rPr>
        <w:rFonts w:ascii="Times New Roman" w:hAnsi="Times New Roman"/>
        <w:sz w:val="20"/>
        <w:szCs w:val="20"/>
      </w:rPr>
      <w:t xml:space="preserve">: </w:t>
    </w:r>
    <w:r w:rsidR="009B0F4A" w:rsidRPr="00F23647">
      <w:rPr>
        <w:rFonts w:ascii="Times New Roman" w:hAnsi="Times New Roman"/>
        <w:sz w:val="20"/>
        <w:szCs w:val="20"/>
      </w:rPr>
      <w:t xml:space="preserve"> </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06C94C52" w14:textId="7E38E538"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3AED" w14:textId="09E7E690" w:rsidR="00BA49CC" w:rsidRDefault="00BA49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2A3A7" w14:textId="56D1219C" w:rsidR="00BA49CC" w:rsidRDefault="00BA49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FCD50" w14:textId="32C430F5"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77BB13B8" w14:textId="2318D769" w:rsidR="00BA49CC" w:rsidRDefault="00BA49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667F" w14:textId="0B0C9BEF" w:rsidR="00BA49CC" w:rsidRDefault="00BA49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082F3" w14:textId="2084D62A" w:rsidR="00BA49CC" w:rsidRDefault="00BA49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237D4" w14:textId="4E2F5375" w:rsidR="00BA49CC" w:rsidRDefault="00BA49C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D341" w14:textId="08A1878C" w:rsidR="00BA49CC" w:rsidRDefault="00BA49C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215D" w14:textId="7DC6C98E" w:rsidR="00BA49CC" w:rsidRDefault="00BA49C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543B" w14:textId="391D6D98" w:rsidR="00BA49CC" w:rsidRDefault="00BA49C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4F3A" w14:textId="273F9FD9"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4537B3A4" w14:textId="39022574" w:rsidR="00BA49CC" w:rsidRDefault="00BA4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D4D7E5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97AAB">
      <w:rPr>
        <w:rFonts w:ascii="Times New Roman" w:hAnsi="Times New Roman"/>
        <w:i/>
        <w:lang w:val="en-US"/>
      </w:rPr>
      <w:t>905</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B88C" w14:textId="37D9C9BF" w:rsidR="00BA49CC" w:rsidRDefault="00BA49C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5E18" w14:textId="63FE75B8" w:rsidR="00BA49CC" w:rsidRDefault="00BA49C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A046" w14:textId="33F6EE22" w:rsidR="00BA49CC" w:rsidRDefault="00BA49C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025CB" w14:textId="2263A6B0" w:rsidR="00BA49CC" w:rsidRDefault="00BA49C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6F801" w14:textId="59B4FF66"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1172E4F9" w14:textId="4666D99F" w:rsidR="00BA49CC" w:rsidRDefault="00BA49C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5D0E1" w14:textId="72B7793B" w:rsidR="00BA49CC" w:rsidRDefault="00BA49C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A649A" w14:textId="231A6379" w:rsidR="00BA49CC" w:rsidRDefault="00BA49C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082C" w14:textId="7DDA1587" w:rsidR="00BA49CC" w:rsidRDefault="00BA49C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50109" w14:textId="3278CF22" w:rsidR="00BA49CC" w:rsidRDefault="00BA49C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A9BC5" w14:textId="03B2CFC9" w:rsidR="00BA49CC" w:rsidRDefault="00BA4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423C7" w14:textId="5C0D5C03"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060B11E3" w14:textId="6C92D0EE" w:rsidR="00BA49CC" w:rsidRDefault="00BA49C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6DF5F" w14:textId="75A407E4"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752B8F7B" w14:textId="5D329A79" w:rsidR="00BA49CC" w:rsidRDefault="00BA49C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1E56D" w14:textId="1FC1A29C"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740E0B09" w14:textId="795CED58" w:rsidR="00BA49CC" w:rsidRDefault="00BA49C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E84A" w14:textId="5FAF2530" w:rsidR="00BA49CC" w:rsidRDefault="00BA49C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CF143" w14:textId="0CE862B5" w:rsidR="00BA49CC" w:rsidRDefault="00BA49C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3D64" w14:textId="14B3AEE0"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7395B86C" w14:textId="4A1F5F71" w:rsidR="00BA49CC" w:rsidRDefault="00BA49C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A079F" w14:textId="7D0A3D8E" w:rsidR="00BA49CC" w:rsidRDefault="00BA49C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A180" w14:textId="28738617" w:rsidR="00F90BD6" w:rsidRPr="00F23647" w:rsidRDefault="00F90BD6" w:rsidP="00F90BD6">
    <w:pPr>
      <w:spacing w:after="0"/>
      <w:ind w:left="1170" w:hanging="1170"/>
      <w:rPr>
        <w:rFonts w:ascii="Times New Roman" w:hAnsi="Times New Roman"/>
        <w:bCs/>
        <w:sz w:val="20"/>
        <w:szCs w:val="20"/>
      </w:rPr>
    </w:pPr>
    <w:r>
      <w:rPr>
        <w:rFonts w:ascii="Times New Roman" w:hAnsi="Times New Roman"/>
        <w:sz w:val="20"/>
        <w:szCs w:val="20"/>
      </w:rPr>
      <w:t>Owaid et al</w:t>
    </w:r>
    <w:r w:rsidRPr="00F23647">
      <w:rPr>
        <w:rFonts w:ascii="Times New Roman" w:hAnsi="Times New Roman"/>
        <w:sz w:val="20"/>
        <w:szCs w:val="20"/>
      </w:rPr>
      <w:t xml:space="preserve">:   </w:t>
    </w:r>
    <w:r>
      <w:rPr>
        <w:rFonts w:ascii="Times New Roman" w:hAnsi="Times New Roman"/>
        <w:sz w:val="20"/>
        <w:szCs w:val="20"/>
      </w:rPr>
      <w:tab/>
    </w:r>
    <w:r w:rsidRPr="00F23647">
      <w:rPr>
        <w:rFonts w:ascii="Times New Roman" w:hAnsi="Times New Roman"/>
        <w:bCs/>
        <w:sz w:val="20"/>
        <w:szCs w:val="20"/>
      </w:rPr>
      <w:t>DEVELOPMENT OF DISPERSIVE MICRO-SOLID PHASE EXTRACTION FOR THE ANALYSIS OF OFLOXACIN AND SPARFLOXACIN IN HUMAN PLASMA</w:t>
    </w:r>
  </w:p>
  <w:p w14:paraId="2E19F9FA" w14:textId="1F8EC351" w:rsidR="00BA49CC" w:rsidRDefault="00BA49C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7E762" w14:textId="14A642F9"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23DF904A" w14:textId="42E7D072" w:rsidR="00BA49CC" w:rsidRDefault="00BA49C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72EC" w14:textId="309D59E7" w:rsidR="00BA49CC" w:rsidRDefault="00BA49C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3941" w14:textId="404551D7" w:rsidR="00BA49CC" w:rsidRDefault="00BA4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29C16" w14:textId="35D2949E"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2FCBCE41" w14:textId="576626BB" w:rsidR="00BA49CC" w:rsidRDefault="00BA49C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8F1B0" w14:textId="3E618696" w:rsidR="00BA49CC" w:rsidRDefault="00BA49C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5773" w14:textId="52346CF8" w:rsidR="00BA49CC" w:rsidRDefault="00BA49C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51FC" w14:textId="2BB613BB" w:rsidR="00BA49CC" w:rsidRDefault="00BA49C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4C7C" w14:textId="031FBB03" w:rsidR="00BA49CC" w:rsidRDefault="00BA49C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8354" w14:textId="3E750E65" w:rsidR="00BA49CC" w:rsidRDefault="00BA49CC">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B0BF" w14:textId="4A12DB81" w:rsidR="00BA49CC" w:rsidRDefault="00BA49CC">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2324" w14:textId="507BB4B6" w:rsidR="00BA49CC" w:rsidRDefault="00BA49C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5E425" w14:textId="73561FE7" w:rsidR="00BA49CC" w:rsidRDefault="00BA49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2E76F" w14:textId="0EE46F69" w:rsidR="00BA49CC" w:rsidRDefault="00BA49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AF6A" w14:textId="7016F74D" w:rsidR="00BA49CC" w:rsidRDefault="00BA49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57549" w14:textId="0938B240" w:rsidR="00F90BD6" w:rsidRDefault="00F90BD6" w:rsidP="00F90BD6">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97AAB">
      <w:rPr>
        <w:rFonts w:ascii="Times New Roman" w:hAnsi="Times New Roman"/>
        <w:i/>
        <w:lang w:val="en-US"/>
      </w:rPr>
      <w:t>893 - 905</w:t>
    </w:r>
  </w:p>
  <w:p w14:paraId="34F12CF0" w14:textId="3C1A44E0" w:rsidR="00BA49CC" w:rsidRDefault="00BA49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B2FB7" w14:textId="04E8BFE9" w:rsidR="00BA49CC" w:rsidRDefault="00BA49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4B87E" w14:textId="30034E84" w:rsidR="00BA49CC" w:rsidRDefault="00BA4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20F04"/>
    <w:multiLevelType w:val="hybridMultilevel"/>
    <w:tmpl w:val="73AAD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548CE"/>
    <w:rsid w:val="0018424C"/>
    <w:rsid w:val="001A3275"/>
    <w:rsid w:val="001D035A"/>
    <w:rsid w:val="001D3855"/>
    <w:rsid w:val="001D6F2C"/>
    <w:rsid w:val="001E2389"/>
    <w:rsid w:val="00230B18"/>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41FD"/>
    <w:rsid w:val="003D585B"/>
    <w:rsid w:val="003E7DA6"/>
    <w:rsid w:val="003F12FF"/>
    <w:rsid w:val="00417127"/>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147BB"/>
    <w:rsid w:val="00725A6A"/>
    <w:rsid w:val="007706A6"/>
    <w:rsid w:val="007943F3"/>
    <w:rsid w:val="007A0583"/>
    <w:rsid w:val="007A738C"/>
    <w:rsid w:val="007B1349"/>
    <w:rsid w:val="007C497B"/>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E63"/>
    <w:rsid w:val="009211AF"/>
    <w:rsid w:val="00921742"/>
    <w:rsid w:val="009357B8"/>
    <w:rsid w:val="009866F6"/>
    <w:rsid w:val="009B0F4A"/>
    <w:rsid w:val="009B3139"/>
    <w:rsid w:val="009B34C8"/>
    <w:rsid w:val="009D030D"/>
    <w:rsid w:val="00A049C6"/>
    <w:rsid w:val="00A14DB9"/>
    <w:rsid w:val="00A4762A"/>
    <w:rsid w:val="00A64690"/>
    <w:rsid w:val="00A7125C"/>
    <w:rsid w:val="00A74A7E"/>
    <w:rsid w:val="00A85E24"/>
    <w:rsid w:val="00A9732C"/>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A49CC"/>
    <w:rsid w:val="00BB58AF"/>
    <w:rsid w:val="00BE6617"/>
    <w:rsid w:val="00BE7C30"/>
    <w:rsid w:val="00C055BF"/>
    <w:rsid w:val="00C056F9"/>
    <w:rsid w:val="00C2226A"/>
    <w:rsid w:val="00C23746"/>
    <w:rsid w:val="00C56DCC"/>
    <w:rsid w:val="00C61210"/>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27FA"/>
    <w:rsid w:val="00E54D12"/>
    <w:rsid w:val="00E66197"/>
    <w:rsid w:val="00F121A0"/>
    <w:rsid w:val="00F14CCB"/>
    <w:rsid w:val="00F23647"/>
    <w:rsid w:val="00F27D58"/>
    <w:rsid w:val="00F31093"/>
    <w:rsid w:val="00F318AC"/>
    <w:rsid w:val="00F33AB1"/>
    <w:rsid w:val="00F412AF"/>
    <w:rsid w:val="00F43667"/>
    <w:rsid w:val="00F447A7"/>
    <w:rsid w:val="00F4760B"/>
    <w:rsid w:val="00F82059"/>
    <w:rsid w:val="00F90BD6"/>
    <w:rsid w:val="00F97AA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39"/>
    <w:unhideWhenUsed/>
    <w:qFormat/>
    <w:rsid w:val="001E2389"/>
    <w:rPr>
      <w:rFonts w:asciiTheme="minorHAnsi" w:eastAsia="Batang"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E2389"/>
    <w:rPr>
      <w:rFonts w:asciiTheme="minorHAnsi" w:eastAsia="Batang"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8.xml"/><Relationship Id="rId42" Type="http://schemas.openxmlformats.org/officeDocument/2006/relationships/footer" Target="footer10.xml"/><Relationship Id="rId47" Type="http://schemas.openxmlformats.org/officeDocument/2006/relationships/header" Target="header23.xml"/><Relationship Id="rId63" Type="http://schemas.openxmlformats.org/officeDocument/2006/relationships/footer" Target="footer16.xml"/><Relationship Id="rId68" Type="http://schemas.openxmlformats.org/officeDocument/2006/relationships/footer" Target="footer18.xml"/><Relationship Id="rId84" Type="http://schemas.openxmlformats.org/officeDocument/2006/relationships/header" Target="header45.xml"/><Relationship Id="rId89" Type="http://schemas.openxmlformats.org/officeDocument/2006/relationships/fontTable" Target="fontTable.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9.xml"/><Relationship Id="rId53" Type="http://schemas.openxmlformats.org/officeDocument/2006/relationships/header" Target="header27.xml"/><Relationship Id="rId58" Type="http://schemas.openxmlformats.org/officeDocument/2006/relationships/chart" Target="charts/chart7.xml"/><Relationship Id="rId74" Type="http://schemas.openxmlformats.org/officeDocument/2006/relationships/header" Target="header38.xml"/><Relationship Id="rId79" Type="http://schemas.openxmlformats.org/officeDocument/2006/relationships/header" Target="header41.xm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footer" Target="footer14.xml"/><Relationship Id="rId64" Type="http://schemas.openxmlformats.org/officeDocument/2006/relationships/header" Target="header32.xml"/><Relationship Id="rId69" Type="http://schemas.openxmlformats.org/officeDocument/2006/relationships/header" Target="header35.xml"/><Relationship Id="rId77" Type="http://schemas.openxmlformats.org/officeDocument/2006/relationships/footer" Target="footer21.xml"/><Relationship Id="rId8" Type="http://schemas.openxmlformats.org/officeDocument/2006/relationships/image" Target="media/image1.png"/><Relationship Id="rId51" Type="http://schemas.openxmlformats.org/officeDocument/2006/relationships/header" Target="header26.xml"/><Relationship Id="rId72" Type="http://schemas.openxmlformats.org/officeDocument/2006/relationships/footer" Target="footer19.xml"/><Relationship Id="rId80" Type="http://schemas.openxmlformats.org/officeDocument/2006/relationships/header" Target="header42.xml"/><Relationship Id="rId85" Type="http://schemas.openxmlformats.org/officeDocument/2006/relationships/header" Target="header4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oter" Target="footer11.xml"/><Relationship Id="rId59" Type="http://schemas.openxmlformats.org/officeDocument/2006/relationships/image" Target="media/image2.png"/><Relationship Id="rId67" Type="http://schemas.openxmlformats.org/officeDocument/2006/relationships/footer" Target="footer17.xml"/><Relationship Id="rId20" Type="http://schemas.openxmlformats.org/officeDocument/2006/relationships/footer" Target="footer5.xml"/><Relationship Id="rId41" Type="http://schemas.openxmlformats.org/officeDocument/2006/relationships/header" Target="header19.xml"/><Relationship Id="rId54" Type="http://schemas.openxmlformats.org/officeDocument/2006/relationships/header" Target="header28.xml"/><Relationship Id="rId62" Type="http://schemas.openxmlformats.org/officeDocument/2006/relationships/footer" Target="footer15.xml"/><Relationship Id="rId70" Type="http://schemas.openxmlformats.org/officeDocument/2006/relationships/header" Target="header36.xml"/><Relationship Id="rId75" Type="http://schemas.openxmlformats.org/officeDocument/2006/relationships/header" Target="header39.xml"/><Relationship Id="rId83" Type="http://schemas.openxmlformats.org/officeDocument/2006/relationships/header" Target="header44.xml"/><Relationship Id="rId88"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chart" Target="charts/chart6.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header" Target="header43.xml"/><Relationship Id="rId86"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chart" Target="charts/chart5.xml"/><Relationship Id="rId34" Type="http://schemas.openxmlformats.org/officeDocument/2006/relationships/chart" Target="charts/chart4.xml"/><Relationship Id="rId50" Type="http://schemas.openxmlformats.org/officeDocument/2006/relationships/footer" Target="footer12.xml"/><Relationship Id="rId55" Type="http://schemas.openxmlformats.org/officeDocument/2006/relationships/footer" Target="footer13.xml"/><Relationship Id="rId76"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7.xml"/><Relationship Id="rId2" Type="http://schemas.openxmlformats.org/officeDocument/2006/relationships/numbering" Target="numbering.xml"/><Relationship Id="rId29" Type="http://schemas.openxmlformats.org/officeDocument/2006/relationships/chart" Target="charts/chart3.xml"/><Relationship Id="rId24" Type="http://schemas.openxmlformats.org/officeDocument/2006/relationships/header" Target="header9.xml"/><Relationship Id="rId40" Type="http://schemas.openxmlformats.org/officeDocument/2006/relationships/header" Target="header18.xml"/><Relationship Id="rId45" Type="http://schemas.openxmlformats.org/officeDocument/2006/relationships/header" Target="header22.xml"/><Relationship Id="rId66" Type="http://schemas.openxmlformats.org/officeDocument/2006/relationships/header" Target="header34.xml"/><Relationship Id="rId87" Type="http://schemas.openxmlformats.org/officeDocument/2006/relationships/footer" Target="footer25.xml"/><Relationship Id="rId61" Type="http://schemas.openxmlformats.org/officeDocument/2006/relationships/header" Target="header31.xml"/><Relationship Id="rId82" Type="http://schemas.openxmlformats.org/officeDocument/2006/relationships/footer" Target="footer23.xml"/><Relationship Id="rId19" Type="http://schemas.openxmlformats.org/officeDocument/2006/relationships/header" Target="header7.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96665295113811"/>
          <c:y val="0.10159156429949567"/>
          <c:w val="0.80243559602443071"/>
          <c:h val="0.73470844116513412"/>
        </c:manualLayout>
      </c:layout>
      <c:barChart>
        <c:barDir val="col"/>
        <c:grouping val="clustered"/>
        <c:varyColors val="0"/>
        <c:ser>
          <c:idx val="0"/>
          <c:order val="0"/>
          <c:tx>
            <c:strRef>
              <c:f>'Type of adsorbent'!$B$3</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'Type of adsorbent'!$C$5:$E$5</c:f>
                <c:numCache>
                  <c:formatCode>General</c:formatCode>
                  <c:ptCount val="3"/>
                  <c:pt idx="0">
                    <c:v>1</c:v>
                  </c:pt>
                  <c:pt idx="1">
                    <c:v>1</c:v>
                  </c:pt>
                  <c:pt idx="2">
                    <c:v>4</c:v>
                  </c:pt>
                </c:numCache>
              </c:numRef>
            </c:plus>
            <c:minus>
              <c:numRef>
                <c:f>'Type of adsorbent'!$C$5:$E$5</c:f>
                <c:numCache>
                  <c:formatCode>General</c:formatCode>
                  <c:ptCount val="3"/>
                  <c:pt idx="0">
                    <c:v>1</c:v>
                  </c:pt>
                  <c:pt idx="1">
                    <c:v>1</c:v>
                  </c:pt>
                  <c:pt idx="2">
                    <c:v>4</c:v>
                  </c:pt>
                </c:numCache>
              </c:numRef>
            </c:minus>
            <c:spPr>
              <a:noFill/>
              <a:ln w="9525" cap="flat" cmpd="sng" algn="ctr">
                <a:solidFill>
                  <a:schemeClr val="tx1">
                    <a:lumMod val="65000"/>
                    <a:lumOff val="35000"/>
                  </a:schemeClr>
                </a:solidFill>
                <a:round/>
              </a:ln>
              <a:effectLst/>
            </c:spPr>
          </c:errBars>
          <c:cat>
            <c:strRef>
              <c:f>'Type of adsorbent'!$C$2:$E$2</c:f>
              <c:strCache>
                <c:ptCount val="3"/>
                <c:pt idx="0">
                  <c:v>CN</c:v>
                </c:pt>
                <c:pt idx="1">
                  <c:v>C18</c:v>
                </c:pt>
                <c:pt idx="2">
                  <c:v>NH</c:v>
                </c:pt>
              </c:strCache>
            </c:strRef>
          </c:cat>
          <c:val>
            <c:numRef>
              <c:f>'Type of adsorbent'!$C$3:$E$3</c:f>
              <c:numCache>
                <c:formatCode>General</c:formatCode>
                <c:ptCount val="3"/>
                <c:pt idx="0">
                  <c:v>31.74</c:v>
                </c:pt>
                <c:pt idx="1">
                  <c:v>82.26</c:v>
                </c:pt>
                <c:pt idx="2">
                  <c:v>60.71</c:v>
                </c:pt>
              </c:numCache>
            </c:numRef>
          </c:val>
          <c:extLst>
            <c:ext xmlns:c16="http://schemas.microsoft.com/office/drawing/2014/chart" uri="{C3380CC4-5D6E-409C-BE32-E72D297353CC}">
              <c16:uniqueId val="{00000000-A56A-4787-9473-8B9F328BB016}"/>
            </c:ext>
          </c:extLst>
        </c:ser>
        <c:ser>
          <c:idx val="1"/>
          <c:order val="1"/>
          <c:tx>
            <c:strRef>
              <c:f>'Type of adsorbent'!$B$4</c:f>
              <c:strCache>
                <c:ptCount val="1"/>
                <c:pt idx="0">
                  <c:v>Sparfloxacin</c:v>
                </c:pt>
              </c:strCache>
            </c:strRef>
          </c:tx>
          <c:spPr>
            <a:pattFill prst="pct80">
              <a:fgClr>
                <a:schemeClr val="tx1"/>
              </a:fgClr>
              <a:bgClr>
                <a:schemeClr val="bg1"/>
              </a:bgClr>
            </a:pattFill>
            <a:ln>
              <a:solidFill>
                <a:schemeClr val="tx1"/>
              </a:solidFill>
            </a:ln>
            <a:effectLst/>
          </c:spPr>
          <c:invertIfNegative val="0"/>
          <c:errBars>
            <c:errBarType val="both"/>
            <c:errValType val="cust"/>
            <c:noEndCap val="0"/>
            <c:plus>
              <c:numRef>
                <c:f>'Type of adsorbent'!$C$6:$E$6</c:f>
                <c:numCache>
                  <c:formatCode>General</c:formatCode>
                  <c:ptCount val="3"/>
                  <c:pt idx="0">
                    <c:v>0.5</c:v>
                  </c:pt>
                  <c:pt idx="1">
                    <c:v>0.5</c:v>
                  </c:pt>
                  <c:pt idx="2">
                    <c:v>1</c:v>
                  </c:pt>
                </c:numCache>
              </c:numRef>
            </c:plus>
            <c:minus>
              <c:numRef>
                <c:f>'Type of adsorbent'!$C$6:$E$6</c:f>
                <c:numCache>
                  <c:formatCode>General</c:formatCode>
                  <c:ptCount val="3"/>
                  <c:pt idx="0">
                    <c:v>0.5</c:v>
                  </c:pt>
                  <c:pt idx="1">
                    <c:v>0.5</c:v>
                  </c:pt>
                  <c:pt idx="2">
                    <c:v>1</c:v>
                  </c:pt>
                </c:numCache>
              </c:numRef>
            </c:minus>
            <c:spPr>
              <a:noFill/>
              <a:ln w="9525" cap="flat" cmpd="sng" algn="ctr">
                <a:solidFill>
                  <a:schemeClr val="tx1">
                    <a:lumMod val="65000"/>
                    <a:lumOff val="35000"/>
                  </a:schemeClr>
                </a:solidFill>
                <a:round/>
              </a:ln>
              <a:effectLst/>
            </c:spPr>
          </c:errBars>
          <c:cat>
            <c:strRef>
              <c:f>'Type of adsorbent'!$C$2:$E$2</c:f>
              <c:strCache>
                <c:ptCount val="3"/>
                <c:pt idx="0">
                  <c:v>CN</c:v>
                </c:pt>
                <c:pt idx="1">
                  <c:v>C18</c:v>
                </c:pt>
                <c:pt idx="2">
                  <c:v>NH</c:v>
                </c:pt>
              </c:strCache>
            </c:strRef>
          </c:cat>
          <c:val>
            <c:numRef>
              <c:f>'Type of adsorbent'!$C$4:$E$4</c:f>
              <c:numCache>
                <c:formatCode>General</c:formatCode>
                <c:ptCount val="3"/>
                <c:pt idx="0">
                  <c:v>65.56</c:v>
                </c:pt>
                <c:pt idx="1">
                  <c:v>90.06</c:v>
                </c:pt>
                <c:pt idx="2">
                  <c:v>55.56</c:v>
                </c:pt>
              </c:numCache>
            </c:numRef>
          </c:val>
          <c:extLst>
            <c:ext xmlns:c16="http://schemas.microsoft.com/office/drawing/2014/chart" uri="{C3380CC4-5D6E-409C-BE32-E72D297353CC}">
              <c16:uniqueId val="{00000001-A56A-4787-9473-8B9F328BB016}"/>
            </c:ext>
          </c:extLst>
        </c:ser>
        <c:dLbls>
          <c:showLegendKey val="0"/>
          <c:showVal val="0"/>
          <c:showCatName val="0"/>
          <c:showSerName val="0"/>
          <c:showPercent val="0"/>
          <c:showBubbleSize val="0"/>
        </c:dLbls>
        <c:gapWidth val="219"/>
        <c:overlap val="-27"/>
        <c:axId val="1669727776"/>
        <c:axId val="1670625440"/>
      </c:barChart>
      <c:catAx>
        <c:axId val="1669727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Type of adsorbents</a:t>
                </a:r>
              </a:p>
            </c:rich>
          </c:tx>
          <c:layout>
            <c:manualLayout>
              <c:xMode val="edge"/>
              <c:yMode val="edge"/>
              <c:x val="0.40322432947548481"/>
              <c:y val="0.93334388664993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0625440"/>
        <c:crosses val="autoZero"/>
        <c:auto val="1"/>
        <c:lblAlgn val="ctr"/>
        <c:lblOffset val="100"/>
        <c:noMultiLvlLbl val="0"/>
      </c:catAx>
      <c:valAx>
        <c:axId val="1670625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69727776"/>
        <c:crosses val="autoZero"/>
        <c:crossBetween val="between"/>
      </c:valAx>
      <c:spPr>
        <a:noFill/>
        <a:ln>
          <a:noFill/>
        </a:ln>
        <a:effectLst/>
      </c:spPr>
    </c:plotArea>
    <c:legend>
      <c:legendPos val="b"/>
      <c:layout>
        <c:manualLayout>
          <c:xMode val="edge"/>
          <c:yMode val="edge"/>
          <c:x val="0.74918388378072809"/>
          <c:y val="6.8915900721535278E-2"/>
          <c:w val="0.20450889953876478"/>
          <c:h val="0.174430106883027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4654932839277"/>
          <c:y val="7.8826826334208233E-2"/>
          <c:w val="0.82494951366373337"/>
          <c:h val="0.76497675051765024"/>
        </c:manualLayout>
      </c:layout>
      <c:barChart>
        <c:barDir val="col"/>
        <c:grouping val="clustered"/>
        <c:varyColors val="0"/>
        <c:ser>
          <c:idx val="0"/>
          <c:order val="0"/>
          <c:tx>
            <c:strRef>
              <c:f>Mass!$B$4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Mass!$C$6:$E$6</c:f>
                <c:numCache>
                  <c:formatCode>General</c:formatCode>
                  <c:ptCount val="3"/>
                  <c:pt idx="0">
                    <c:v>3</c:v>
                  </c:pt>
                  <c:pt idx="1">
                    <c:v>4</c:v>
                  </c:pt>
                  <c:pt idx="2">
                    <c:v>4</c:v>
                  </c:pt>
                </c:numCache>
              </c:numRef>
            </c:plus>
            <c:minus>
              <c:numRef>
                <c:f>Mass!$C$6:$E$6</c:f>
                <c:numCache>
                  <c:formatCode>General</c:formatCode>
                  <c:ptCount val="3"/>
                  <c:pt idx="0">
                    <c:v>3</c:v>
                  </c:pt>
                  <c:pt idx="1">
                    <c:v>4</c:v>
                  </c:pt>
                  <c:pt idx="2">
                    <c:v>4</c:v>
                  </c:pt>
                </c:numCache>
              </c:numRef>
            </c:minus>
            <c:spPr>
              <a:noFill/>
              <a:ln w="9525" cap="flat" cmpd="sng" algn="ctr">
                <a:solidFill>
                  <a:schemeClr val="tx1">
                    <a:lumMod val="65000"/>
                    <a:lumOff val="35000"/>
                  </a:schemeClr>
                </a:solidFill>
                <a:round/>
              </a:ln>
              <a:effectLst/>
            </c:spPr>
          </c:errBars>
          <c:cat>
            <c:numRef>
              <c:f>Mass!$C$3:$E$3</c:f>
              <c:numCache>
                <c:formatCode>General</c:formatCode>
                <c:ptCount val="3"/>
                <c:pt idx="0">
                  <c:v>10</c:v>
                </c:pt>
                <c:pt idx="1">
                  <c:v>20</c:v>
                </c:pt>
                <c:pt idx="2">
                  <c:v>30</c:v>
                </c:pt>
              </c:numCache>
            </c:numRef>
          </c:cat>
          <c:val>
            <c:numRef>
              <c:f>Mass!$C$4:$E$4</c:f>
              <c:numCache>
                <c:formatCode>General</c:formatCode>
                <c:ptCount val="3"/>
                <c:pt idx="0">
                  <c:v>47.88</c:v>
                </c:pt>
                <c:pt idx="1">
                  <c:v>90.097999999999999</c:v>
                </c:pt>
                <c:pt idx="2">
                  <c:v>70.986999999999995</c:v>
                </c:pt>
              </c:numCache>
            </c:numRef>
          </c:val>
          <c:extLst>
            <c:ext xmlns:c16="http://schemas.microsoft.com/office/drawing/2014/chart" uri="{C3380CC4-5D6E-409C-BE32-E72D297353CC}">
              <c16:uniqueId val="{00000000-36AC-4DE6-BA49-3C7A5F305721}"/>
            </c:ext>
          </c:extLst>
        </c:ser>
        <c:ser>
          <c:idx val="1"/>
          <c:order val="1"/>
          <c:tx>
            <c:strRef>
              <c:f>Mass!$B$5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Mass!$C$7:$E$7</c:f>
                <c:numCache>
                  <c:formatCode>General</c:formatCode>
                  <c:ptCount val="3"/>
                  <c:pt idx="0">
                    <c:v>3</c:v>
                  </c:pt>
                  <c:pt idx="1">
                    <c:v>3</c:v>
                  </c:pt>
                  <c:pt idx="2">
                    <c:v>3.5</c:v>
                  </c:pt>
                </c:numCache>
              </c:numRef>
            </c:plus>
            <c:minus>
              <c:numRef>
                <c:f>Mass!$C$7:$E$7</c:f>
                <c:numCache>
                  <c:formatCode>General</c:formatCode>
                  <c:ptCount val="3"/>
                  <c:pt idx="0">
                    <c:v>3</c:v>
                  </c:pt>
                  <c:pt idx="1">
                    <c:v>3</c:v>
                  </c:pt>
                  <c:pt idx="2">
                    <c:v>3.5</c:v>
                  </c:pt>
                </c:numCache>
              </c:numRef>
            </c:minus>
            <c:spPr>
              <a:noFill/>
              <a:ln w="9525" cap="flat" cmpd="sng" algn="ctr">
                <a:solidFill>
                  <a:schemeClr val="tx1">
                    <a:lumMod val="65000"/>
                    <a:lumOff val="35000"/>
                  </a:schemeClr>
                </a:solidFill>
                <a:round/>
              </a:ln>
              <a:effectLst/>
            </c:spPr>
          </c:errBars>
          <c:cat>
            <c:numRef>
              <c:f>Mass!$C$3:$E$3</c:f>
              <c:numCache>
                <c:formatCode>General</c:formatCode>
                <c:ptCount val="3"/>
                <c:pt idx="0">
                  <c:v>10</c:v>
                </c:pt>
                <c:pt idx="1">
                  <c:v>20</c:v>
                </c:pt>
                <c:pt idx="2">
                  <c:v>30</c:v>
                </c:pt>
              </c:numCache>
            </c:numRef>
          </c:cat>
          <c:val>
            <c:numRef>
              <c:f>Mass!$C$5:$E$5</c:f>
              <c:numCache>
                <c:formatCode>General</c:formatCode>
                <c:ptCount val="3"/>
                <c:pt idx="0">
                  <c:v>60.88</c:v>
                </c:pt>
                <c:pt idx="1">
                  <c:v>80.986999999999995</c:v>
                </c:pt>
                <c:pt idx="2">
                  <c:v>60.988100000000003</c:v>
                </c:pt>
              </c:numCache>
            </c:numRef>
          </c:val>
          <c:extLst>
            <c:ext xmlns:c16="http://schemas.microsoft.com/office/drawing/2014/chart" uri="{C3380CC4-5D6E-409C-BE32-E72D297353CC}">
              <c16:uniqueId val="{00000001-36AC-4DE6-BA49-3C7A5F305721}"/>
            </c:ext>
          </c:extLst>
        </c:ser>
        <c:dLbls>
          <c:showLegendKey val="0"/>
          <c:showVal val="0"/>
          <c:showCatName val="0"/>
          <c:showSerName val="0"/>
          <c:showPercent val="0"/>
          <c:showBubbleSize val="0"/>
        </c:dLbls>
        <c:gapWidth val="219"/>
        <c:overlap val="-27"/>
        <c:axId val="1731281360"/>
        <c:axId val="1670695200"/>
      </c:barChart>
      <c:catAx>
        <c:axId val="173128136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Mass of adsorbent (mg) </a:t>
                </a:r>
              </a:p>
            </c:rich>
          </c:tx>
          <c:layout>
            <c:manualLayout>
              <c:xMode val="edge"/>
              <c:yMode val="edge"/>
              <c:x val="0.37319140662972683"/>
              <c:y val="0.9216933074448496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0695200"/>
        <c:crosses val="autoZero"/>
        <c:auto val="1"/>
        <c:lblAlgn val="ctr"/>
        <c:lblOffset val="100"/>
        <c:noMultiLvlLbl val="0"/>
      </c:catAx>
      <c:valAx>
        <c:axId val="1670695200"/>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layout>
            <c:manualLayout>
              <c:xMode val="edge"/>
              <c:yMode val="edge"/>
              <c:x val="7.535481675901623E-3"/>
              <c:y val="0.37408166335895915"/>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1281360"/>
        <c:crosses val="autoZero"/>
        <c:crossBetween val="between"/>
      </c:valAx>
      <c:spPr>
        <a:noFill/>
        <a:ln>
          <a:noFill/>
        </a:ln>
        <a:effectLst/>
      </c:spPr>
    </c:plotArea>
    <c:legend>
      <c:legendPos val="b"/>
      <c:layout>
        <c:manualLayout>
          <c:xMode val="edge"/>
          <c:yMode val="edge"/>
          <c:x val="0.76302274715660545"/>
          <c:y val="6.8890114850293394E-2"/>
          <c:w val="0.20843540390784487"/>
          <c:h val="0.191982331826356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12407539966594"/>
          <c:y val="9.056603773584905E-2"/>
          <c:w val="0.8269466316710411"/>
          <c:h val="0.75048230817758144"/>
        </c:manualLayout>
      </c:layout>
      <c:barChart>
        <c:barDir val="col"/>
        <c:grouping val="clustered"/>
        <c:varyColors val="0"/>
        <c:ser>
          <c:idx val="0"/>
          <c:order val="0"/>
          <c:tx>
            <c:strRef>
              <c:f>Sheet3!$B$4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Sheet3!$C$6:$E$6</c:f>
                <c:numCache>
                  <c:formatCode>General</c:formatCode>
                  <c:ptCount val="3"/>
                  <c:pt idx="0">
                    <c:v>4</c:v>
                  </c:pt>
                  <c:pt idx="1">
                    <c:v>0.6</c:v>
                  </c:pt>
                  <c:pt idx="2">
                    <c:v>0.5</c:v>
                  </c:pt>
                </c:numCache>
              </c:numRef>
            </c:plus>
            <c:minus>
              <c:numRef>
                <c:f>Sheet3!$C$6:$E$6</c:f>
                <c:numCache>
                  <c:formatCode>General</c:formatCode>
                  <c:ptCount val="3"/>
                  <c:pt idx="0">
                    <c:v>4</c:v>
                  </c:pt>
                  <c:pt idx="1">
                    <c:v>0.6</c:v>
                  </c:pt>
                  <c:pt idx="2">
                    <c:v>0.5</c:v>
                  </c:pt>
                </c:numCache>
              </c:numRef>
            </c:minus>
            <c:spPr>
              <a:noFill/>
              <a:ln w="9525" cap="flat" cmpd="sng" algn="ctr">
                <a:solidFill>
                  <a:schemeClr val="tx1">
                    <a:lumMod val="65000"/>
                    <a:lumOff val="35000"/>
                  </a:schemeClr>
                </a:solidFill>
                <a:round/>
              </a:ln>
              <a:effectLst/>
            </c:spPr>
          </c:errBars>
          <c:cat>
            <c:numRef>
              <c:f>Sheet3!$C$3:$E$3</c:f>
              <c:numCache>
                <c:formatCode>General</c:formatCode>
                <c:ptCount val="3"/>
                <c:pt idx="0">
                  <c:v>5</c:v>
                </c:pt>
                <c:pt idx="1">
                  <c:v>10</c:v>
                </c:pt>
                <c:pt idx="2">
                  <c:v>20</c:v>
                </c:pt>
              </c:numCache>
            </c:numRef>
          </c:cat>
          <c:val>
            <c:numRef>
              <c:f>Sheet3!$C$4:$E$4</c:f>
              <c:numCache>
                <c:formatCode>General</c:formatCode>
                <c:ptCount val="3"/>
                <c:pt idx="0">
                  <c:v>60.789299999999997</c:v>
                </c:pt>
                <c:pt idx="1">
                  <c:v>91.875</c:v>
                </c:pt>
                <c:pt idx="2">
                  <c:v>90.875</c:v>
                </c:pt>
              </c:numCache>
            </c:numRef>
          </c:val>
          <c:extLst>
            <c:ext xmlns:c16="http://schemas.microsoft.com/office/drawing/2014/chart" uri="{C3380CC4-5D6E-409C-BE32-E72D297353CC}">
              <c16:uniqueId val="{00000000-69D8-4EF6-B4E9-061423BA820A}"/>
            </c:ext>
          </c:extLst>
        </c:ser>
        <c:ser>
          <c:idx val="1"/>
          <c:order val="1"/>
          <c:tx>
            <c:strRef>
              <c:f>Sheet3!$B$5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Sheet3!$C$7:$E$7</c:f>
                <c:numCache>
                  <c:formatCode>General</c:formatCode>
                  <c:ptCount val="3"/>
                  <c:pt idx="0">
                    <c:v>1</c:v>
                  </c:pt>
                  <c:pt idx="1">
                    <c:v>1</c:v>
                  </c:pt>
                  <c:pt idx="2">
                    <c:v>3</c:v>
                  </c:pt>
                </c:numCache>
              </c:numRef>
            </c:plus>
            <c:minus>
              <c:numRef>
                <c:f>Sheet3!$C$7:$E$7</c:f>
                <c:numCache>
                  <c:formatCode>General</c:formatCode>
                  <c:ptCount val="3"/>
                  <c:pt idx="0">
                    <c:v>1</c:v>
                  </c:pt>
                  <c:pt idx="1">
                    <c:v>1</c:v>
                  </c:pt>
                  <c:pt idx="2">
                    <c:v>3</c:v>
                  </c:pt>
                </c:numCache>
              </c:numRef>
            </c:minus>
            <c:spPr>
              <a:noFill/>
              <a:ln w="9525" cap="flat" cmpd="sng" algn="ctr">
                <a:solidFill>
                  <a:schemeClr val="tx1">
                    <a:lumMod val="65000"/>
                    <a:lumOff val="35000"/>
                  </a:schemeClr>
                </a:solidFill>
                <a:round/>
              </a:ln>
              <a:effectLst/>
            </c:spPr>
          </c:errBars>
          <c:cat>
            <c:numRef>
              <c:f>Sheet3!$C$3:$E$3</c:f>
              <c:numCache>
                <c:formatCode>General</c:formatCode>
                <c:ptCount val="3"/>
                <c:pt idx="0">
                  <c:v>5</c:v>
                </c:pt>
                <c:pt idx="1">
                  <c:v>10</c:v>
                </c:pt>
                <c:pt idx="2">
                  <c:v>20</c:v>
                </c:pt>
              </c:numCache>
            </c:numRef>
          </c:cat>
          <c:val>
            <c:numRef>
              <c:f>Sheet3!$C$5:$E$5</c:f>
              <c:numCache>
                <c:formatCode>General</c:formatCode>
                <c:ptCount val="3"/>
                <c:pt idx="0">
                  <c:v>50.887</c:v>
                </c:pt>
                <c:pt idx="1">
                  <c:v>71.988</c:v>
                </c:pt>
                <c:pt idx="2">
                  <c:v>71.587999999999994</c:v>
                </c:pt>
              </c:numCache>
            </c:numRef>
          </c:val>
          <c:extLst>
            <c:ext xmlns:c16="http://schemas.microsoft.com/office/drawing/2014/chart" uri="{C3380CC4-5D6E-409C-BE32-E72D297353CC}">
              <c16:uniqueId val="{00000001-69D8-4EF6-B4E9-061423BA820A}"/>
            </c:ext>
          </c:extLst>
        </c:ser>
        <c:dLbls>
          <c:showLegendKey val="0"/>
          <c:showVal val="0"/>
          <c:showCatName val="0"/>
          <c:showSerName val="0"/>
          <c:showPercent val="0"/>
          <c:showBubbleSize val="0"/>
        </c:dLbls>
        <c:gapWidth val="219"/>
        <c:overlap val="-27"/>
        <c:axId val="1671559792"/>
        <c:axId val="1732618656"/>
      </c:barChart>
      <c:catAx>
        <c:axId val="1671559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Sample volume (mL)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2618656"/>
        <c:crosses val="autoZero"/>
        <c:auto val="1"/>
        <c:lblAlgn val="ctr"/>
        <c:lblOffset val="100"/>
        <c:noMultiLvlLbl val="0"/>
      </c:catAx>
      <c:valAx>
        <c:axId val="1732618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1559792"/>
        <c:crosses val="autoZero"/>
        <c:crossBetween val="between"/>
      </c:valAx>
      <c:spPr>
        <a:noFill/>
        <a:ln>
          <a:noFill/>
        </a:ln>
        <a:effectLst/>
      </c:spPr>
    </c:plotArea>
    <c:legend>
      <c:legendPos val="b"/>
      <c:layout>
        <c:manualLayout>
          <c:xMode val="edge"/>
          <c:yMode val="edge"/>
          <c:x val="0.80740634693390589"/>
          <c:y val="3.065993165948596E-2"/>
          <c:w val="0.17306609401097592"/>
          <c:h val="0.124057049472589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622465494353"/>
          <c:y val="0.11551517534144046"/>
          <c:w val="0.81750492504834127"/>
          <c:h val="0.72696330625498506"/>
        </c:manualLayout>
      </c:layout>
      <c:barChart>
        <c:barDir val="col"/>
        <c:grouping val="clustered"/>
        <c:varyColors val="0"/>
        <c:ser>
          <c:idx val="0"/>
          <c:order val="0"/>
          <c:tx>
            <c:strRef>
              <c:f>Sheet4!$B$4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Sheet4!$C$6:$F$6</c:f>
                <c:numCache>
                  <c:formatCode>General</c:formatCode>
                  <c:ptCount val="4"/>
                  <c:pt idx="0">
                    <c:v>4</c:v>
                  </c:pt>
                  <c:pt idx="1">
                    <c:v>0.6</c:v>
                  </c:pt>
                  <c:pt idx="2">
                    <c:v>0.5</c:v>
                  </c:pt>
                  <c:pt idx="3">
                    <c:v>4</c:v>
                  </c:pt>
                </c:numCache>
              </c:numRef>
            </c:plus>
            <c:minus>
              <c:numRef>
                <c:f>Sheet4!$C$6:$F$6</c:f>
                <c:numCache>
                  <c:formatCode>General</c:formatCode>
                  <c:ptCount val="4"/>
                  <c:pt idx="0">
                    <c:v>4</c:v>
                  </c:pt>
                  <c:pt idx="1">
                    <c:v>0.6</c:v>
                  </c:pt>
                  <c:pt idx="2">
                    <c:v>0.5</c:v>
                  </c:pt>
                  <c:pt idx="3">
                    <c:v>4</c:v>
                  </c:pt>
                </c:numCache>
              </c:numRef>
            </c:minus>
            <c:spPr>
              <a:noFill/>
              <a:ln w="9525" cap="flat" cmpd="sng" algn="ctr">
                <a:solidFill>
                  <a:schemeClr val="tx1">
                    <a:lumMod val="65000"/>
                    <a:lumOff val="35000"/>
                  </a:schemeClr>
                </a:solidFill>
                <a:round/>
              </a:ln>
              <a:effectLst/>
            </c:spPr>
          </c:errBars>
          <c:cat>
            <c:numRef>
              <c:f>Sheet4!$C$3:$F$3</c:f>
              <c:numCache>
                <c:formatCode>General</c:formatCode>
                <c:ptCount val="4"/>
                <c:pt idx="0">
                  <c:v>30</c:v>
                </c:pt>
                <c:pt idx="1">
                  <c:v>60</c:v>
                </c:pt>
                <c:pt idx="2">
                  <c:v>90</c:v>
                </c:pt>
                <c:pt idx="3">
                  <c:v>110</c:v>
                </c:pt>
              </c:numCache>
            </c:numRef>
          </c:cat>
          <c:val>
            <c:numRef>
              <c:f>Sheet4!$C$4:$F$4</c:f>
              <c:numCache>
                <c:formatCode>General</c:formatCode>
                <c:ptCount val="4"/>
                <c:pt idx="0">
                  <c:v>42.787599999999998</c:v>
                </c:pt>
                <c:pt idx="1">
                  <c:v>90.986999999999995</c:v>
                </c:pt>
                <c:pt idx="2">
                  <c:v>89</c:v>
                </c:pt>
                <c:pt idx="3">
                  <c:v>89</c:v>
                </c:pt>
              </c:numCache>
            </c:numRef>
          </c:val>
          <c:extLst>
            <c:ext xmlns:c16="http://schemas.microsoft.com/office/drawing/2014/chart" uri="{C3380CC4-5D6E-409C-BE32-E72D297353CC}">
              <c16:uniqueId val="{00000000-ACFA-4D82-920A-495FCBC80EE3}"/>
            </c:ext>
          </c:extLst>
        </c:ser>
        <c:ser>
          <c:idx val="1"/>
          <c:order val="1"/>
          <c:tx>
            <c:strRef>
              <c:f>Sheet4!$B$5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Sheet4!$C$7:$F$7</c:f>
                <c:numCache>
                  <c:formatCode>General</c:formatCode>
                  <c:ptCount val="4"/>
                  <c:pt idx="0">
                    <c:v>1</c:v>
                  </c:pt>
                  <c:pt idx="1">
                    <c:v>1</c:v>
                  </c:pt>
                  <c:pt idx="2">
                    <c:v>3</c:v>
                  </c:pt>
                  <c:pt idx="3">
                    <c:v>1</c:v>
                  </c:pt>
                </c:numCache>
              </c:numRef>
            </c:plus>
            <c:minus>
              <c:numRef>
                <c:f>Sheet4!$C$7:$F$7</c:f>
                <c:numCache>
                  <c:formatCode>General</c:formatCode>
                  <c:ptCount val="4"/>
                  <c:pt idx="0">
                    <c:v>1</c:v>
                  </c:pt>
                  <c:pt idx="1">
                    <c:v>1</c:v>
                  </c:pt>
                  <c:pt idx="2">
                    <c:v>3</c:v>
                  </c:pt>
                  <c:pt idx="3">
                    <c:v>1</c:v>
                  </c:pt>
                </c:numCache>
              </c:numRef>
            </c:minus>
            <c:spPr>
              <a:noFill/>
              <a:ln w="9525" cap="flat" cmpd="sng" algn="ctr">
                <a:solidFill>
                  <a:schemeClr val="tx1">
                    <a:lumMod val="65000"/>
                    <a:lumOff val="35000"/>
                  </a:schemeClr>
                </a:solidFill>
                <a:round/>
              </a:ln>
              <a:effectLst/>
            </c:spPr>
          </c:errBars>
          <c:cat>
            <c:numRef>
              <c:f>Sheet4!$C$3:$F$3</c:f>
              <c:numCache>
                <c:formatCode>General</c:formatCode>
                <c:ptCount val="4"/>
                <c:pt idx="0">
                  <c:v>30</c:v>
                </c:pt>
                <c:pt idx="1">
                  <c:v>60</c:v>
                </c:pt>
                <c:pt idx="2">
                  <c:v>90</c:v>
                </c:pt>
                <c:pt idx="3">
                  <c:v>110</c:v>
                </c:pt>
              </c:numCache>
            </c:numRef>
          </c:cat>
          <c:val>
            <c:numRef>
              <c:f>Sheet4!$C$5:$F$5</c:f>
              <c:numCache>
                <c:formatCode>General</c:formatCode>
                <c:ptCount val="4"/>
                <c:pt idx="0">
                  <c:v>60.987000000000002</c:v>
                </c:pt>
                <c:pt idx="1">
                  <c:v>80.980999999999995</c:v>
                </c:pt>
                <c:pt idx="2">
                  <c:v>79</c:v>
                </c:pt>
                <c:pt idx="3">
                  <c:v>78</c:v>
                </c:pt>
              </c:numCache>
            </c:numRef>
          </c:val>
          <c:extLst>
            <c:ext xmlns:c16="http://schemas.microsoft.com/office/drawing/2014/chart" uri="{C3380CC4-5D6E-409C-BE32-E72D297353CC}">
              <c16:uniqueId val="{00000001-ACFA-4D82-920A-495FCBC80EE3}"/>
            </c:ext>
          </c:extLst>
        </c:ser>
        <c:dLbls>
          <c:showLegendKey val="0"/>
          <c:showVal val="0"/>
          <c:showCatName val="0"/>
          <c:showSerName val="0"/>
          <c:showPercent val="0"/>
          <c:showBubbleSize val="0"/>
        </c:dLbls>
        <c:gapWidth val="219"/>
        <c:overlap val="-27"/>
        <c:axId val="1729777760"/>
        <c:axId val="1672078688"/>
      </c:barChart>
      <c:catAx>
        <c:axId val="17297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Extraction time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2078688"/>
        <c:crosses val="autoZero"/>
        <c:auto val="1"/>
        <c:lblAlgn val="ctr"/>
        <c:lblOffset val="100"/>
        <c:noMultiLvlLbl val="0"/>
      </c:catAx>
      <c:valAx>
        <c:axId val="167207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9777760"/>
        <c:crosses val="autoZero"/>
        <c:crossBetween val="between"/>
      </c:valAx>
      <c:spPr>
        <a:noFill/>
        <a:ln>
          <a:noFill/>
        </a:ln>
        <a:effectLst/>
      </c:spPr>
    </c:plotArea>
    <c:legend>
      <c:legendPos val="b"/>
      <c:layout>
        <c:manualLayout>
          <c:xMode val="edge"/>
          <c:yMode val="edge"/>
          <c:x val="0.53809386990598462"/>
          <c:y val="2.9052305961754777E-2"/>
          <c:w val="0.38531808235286991"/>
          <c:h val="0.11936864228985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2690190042034"/>
          <c:y val="0.11071428571428571"/>
          <c:w val="0.84829791012965483"/>
          <c:h val="0.74616647919010126"/>
        </c:manualLayout>
      </c:layout>
      <c:barChart>
        <c:barDir val="col"/>
        <c:grouping val="clustered"/>
        <c:varyColors val="0"/>
        <c:ser>
          <c:idx val="0"/>
          <c:order val="0"/>
          <c:tx>
            <c:strRef>
              <c:f>pH!$B$4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pH!$C$6:$F$6</c:f>
                <c:numCache>
                  <c:formatCode>General</c:formatCode>
                  <c:ptCount val="4"/>
                  <c:pt idx="0">
                    <c:v>4</c:v>
                  </c:pt>
                  <c:pt idx="1">
                    <c:v>0.6</c:v>
                  </c:pt>
                  <c:pt idx="2">
                    <c:v>0.5</c:v>
                  </c:pt>
                  <c:pt idx="3">
                    <c:v>4</c:v>
                  </c:pt>
                </c:numCache>
              </c:numRef>
            </c:plus>
            <c:minus>
              <c:numRef>
                <c:f>pH!$C$6:$F$6</c:f>
                <c:numCache>
                  <c:formatCode>General</c:formatCode>
                  <c:ptCount val="4"/>
                  <c:pt idx="0">
                    <c:v>4</c:v>
                  </c:pt>
                  <c:pt idx="1">
                    <c:v>0.6</c:v>
                  </c:pt>
                  <c:pt idx="2">
                    <c:v>0.5</c:v>
                  </c:pt>
                  <c:pt idx="3">
                    <c:v>4</c:v>
                  </c:pt>
                </c:numCache>
              </c:numRef>
            </c:minus>
            <c:spPr>
              <a:noFill/>
              <a:ln w="9525" cap="flat" cmpd="sng" algn="ctr">
                <a:solidFill>
                  <a:schemeClr val="tx1">
                    <a:lumMod val="65000"/>
                    <a:lumOff val="35000"/>
                  </a:schemeClr>
                </a:solidFill>
                <a:round/>
              </a:ln>
              <a:effectLst/>
            </c:spPr>
          </c:errBars>
          <c:cat>
            <c:numRef>
              <c:f>pH!$C$3:$F$3</c:f>
              <c:numCache>
                <c:formatCode>General</c:formatCode>
                <c:ptCount val="4"/>
                <c:pt idx="0">
                  <c:v>2</c:v>
                </c:pt>
                <c:pt idx="1">
                  <c:v>4</c:v>
                </c:pt>
                <c:pt idx="2">
                  <c:v>5</c:v>
                </c:pt>
                <c:pt idx="3">
                  <c:v>7</c:v>
                </c:pt>
              </c:numCache>
            </c:numRef>
          </c:cat>
          <c:val>
            <c:numRef>
              <c:f>pH!$C$4:$F$4</c:f>
              <c:numCache>
                <c:formatCode>General</c:formatCode>
                <c:ptCount val="4"/>
                <c:pt idx="0">
                  <c:v>70.954300000000003</c:v>
                </c:pt>
                <c:pt idx="1">
                  <c:v>90.483000000000004</c:v>
                </c:pt>
                <c:pt idx="2">
                  <c:v>40.085000000000001</c:v>
                </c:pt>
                <c:pt idx="3">
                  <c:v>45.877000000000002</c:v>
                </c:pt>
              </c:numCache>
            </c:numRef>
          </c:val>
          <c:extLst>
            <c:ext xmlns:c16="http://schemas.microsoft.com/office/drawing/2014/chart" uri="{C3380CC4-5D6E-409C-BE32-E72D297353CC}">
              <c16:uniqueId val="{00000000-6411-448C-A192-C220B35A14BF}"/>
            </c:ext>
          </c:extLst>
        </c:ser>
        <c:ser>
          <c:idx val="1"/>
          <c:order val="1"/>
          <c:tx>
            <c:strRef>
              <c:f>pH!$B$5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pH!$C$7:$F$7</c:f>
                <c:numCache>
                  <c:formatCode>General</c:formatCode>
                  <c:ptCount val="4"/>
                  <c:pt idx="0">
                    <c:v>1</c:v>
                  </c:pt>
                  <c:pt idx="1">
                    <c:v>1</c:v>
                  </c:pt>
                  <c:pt idx="2">
                    <c:v>3</c:v>
                  </c:pt>
                  <c:pt idx="3">
                    <c:v>1</c:v>
                  </c:pt>
                </c:numCache>
              </c:numRef>
            </c:plus>
            <c:minus>
              <c:numRef>
                <c:f>pH!$C$7:$F$7</c:f>
                <c:numCache>
                  <c:formatCode>General</c:formatCode>
                  <c:ptCount val="4"/>
                  <c:pt idx="0">
                    <c:v>1</c:v>
                  </c:pt>
                  <c:pt idx="1">
                    <c:v>1</c:v>
                  </c:pt>
                  <c:pt idx="2">
                    <c:v>3</c:v>
                  </c:pt>
                  <c:pt idx="3">
                    <c:v>1</c:v>
                  </c:pt>
                </c:numCache>
              </c:numRef>
            </c:minus>
            <c:spPr>
              <a:noFill/>
              <a:ln w="9525" cap="flat" cmpd="sng" algn="ctr">
                <a:solidFill>
                  <a:schemeClr val="tx1">
                    <a:lumMod val="65000"/>
                    <a:lumOff val="35000"/>
                  </a:schemeClr>
                </a:solidFill>
                <a:round/>
              </a:ln>
              <a:effectLst/>
            </c:spPr>
          </c:errBars>
          <c:cat>
            <c:numRef>
              <c:f>pH!$C$3:$F$3</c:f>
              <c:numCache>
                <c:formatCode>General</c:formatCode>
                <c:ptCount val="4"/>
                <c:pt idx="0">
                  <c:v>2</c:v>
                </c:pt>
                <c:pt idx="1">
                  <c:v>4</c:v>
                </c:pt>
                <c:pt idx="2">
                  <c:v>5</c:v>
                </c:pt>
                <c:pt idx="3">
                  <c:v>7</c:v>
                </c:pt>
              </c:numCache>
            </c:numRef>
          </c:cat>
          <c:val>
            <c:numRef>
              <c:f>pH!$C$5:$F$5</c:f>
              <c:numCache>
                <c:formatCode>General</c:formatCode>
                <c:ptCount val="4"/>
                <c:pt idx="0">
                  <c:v>40.872</c:v>
                </c:pt>
                <c:pt idx="1">
                  <c:v>77.786000000000001</c:v>
                </c:pt>
                <c:pt idx="2">
                  <c:v>60.789000000000001</c:v>
                </c:pt>
                <c:pt idx="3">
                  <c:v>50.875999999999998</c:v>
                </c:pt>
              </c:numCache>
            </c:numRef>
          </c:val>
          <c:extLst>
            <c:ext xmlns:c16="http://schemas.microsoft.com/office/drawing/2014/chart" uri="{C3380CC4-5D6E-409C-BE32-E72D297353CC}">
              <c16:uniqueId val="{00000001-6411-448C-A192-C220B35A14BF}"/>
            </c:ext>
          </c:extLst>
        </c:ser>
        <c:dLbls>
          <c:showLegendKey val="0"/>
          <c:showVal val="0"/>
          <c:showCatName val="0"/>
          <c:showSerName val="0"/>
          <c:showPercent val="0"/>
          <c:showBubbleSize val="0"/>
        </c:dLbls>
        <c:gapWidth val="219"/>
        <c:overlap val="-27"/>
        <c:axId val="1729777760"/>
        <c:axId val="1672078688"/>
      </c:barChart>
      <c:catAx>
        <c:axId val="17297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2078688"/>
        <c:crosses val="autoZero"/>
        <c:auto val="1"/>
        <c:lblAlgn val="ctr"/>
        <c:lblOffset val="100"/>
        <c:noMultiLvlLbl val="0"/>
      </c:catAx>
      <c:valAx>
        <c:axId val="167207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9777760"/>
        <c:crosses val="autoZero"/>
        <c:crossBetween val="between"/>
      </c:valAx>
      <c:spPr>
        <a:noFill/>
        <a:ln>
          <a:noFill/>
        </a:ln>
        <a:effectLst/>
      </c:spPr>
    </c:plotArea>
    <c:legend>
      <c:legendPos val="b"/>
      <c:layout>
        <c:manualLayout>
          <c:xMode val="edge"/>
          <c:yMode val="edge"/>
          <c:x val="0.67117405174071454"/>
          <c:y val="4.2810740150258104E-2"/>
          <c:w val="0.29293943520217869"/>
          <c:h val="0.167376265466816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4654932839277"/>
          <c:y val="7.8826826334208233E-2"/>
          <c:w val="0.82494951366373337"/>
          <c:h val="0.77862560148731408"/>
        </c:manualLayout>
      </c:layout>
      <c:barChart>
        <c:barDir val="col"/>
        <c:grouping val="clustered"/>
        <c:varyColors val="0"/>
        <c:ser>
          <c:idx val="0"/>
          <c:order val="0"/>
          <c:tx>
            <c:strRef>
              <c:f>'Desorp solvents'!$B$4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'Desorp solvents'!$C$6:$E$6</c:f>
                <c:numCache>
                  <c:formatCode>General</c:formatCode>
                  <c:ptCount val="3"/>
                  <c:pt idx="0">
                    <c:v>3</c:v>
                  </c:pt>
                  <c:pt idx="1">
                    <c:v>4</c:v>
                  </c:pt>
                  <c:pt idx="2">
                    <c:v>4</c:v>
                  </c:pt>
                </c:numCache>
              </c:numRef>
            </c:plus>
            <c:minus>
              <c:numRef>
                <c:f>'Desorp solvents'!$C$6:$E$6</c:f>
                <c:numCache>
                  <c:formatCode>General</c:formatCode>
                  <c:ptCount val="3"/>
                  <c:pt idx="0">
                    <c:v>3</c:v>
                  </c:pt>
                  <c:pt idx="1">
                    <c:v>4</c:v>
                  </c:pt>
                  <c:pt idx="2">
                    <c:v>4</c:v>
                  </c:pt>
                </c:numCache>
              </c:numRef>
            </c:minus>
            <c:spPr>
              <a:noFill/>
              <a:ln w="9525" cap="flat" cmpd="sng" algn="ctr">
                <a:solidFill>
                  <a:schemeClr val="tx1">
                    <a:lumMod val="65000"/>
                    <a:lumOff val="35000"/>
                  </a:schemeClr>
                </a:solidFill>
                <a:round/>
              </a:ln>
              <a:effectLst/>
            </c:spPr>
          </c:errBars>
          <c:cat>
            <c:strRef>
              <c:f>'Desorp solvents'!$C$3:$E$3</c:f>
              <c:strCache>
                <c:ptCount val="3"/>
                <c:pt idx="0">
                  <c:v>DCM</c:v>
                </c:pt>
                <c:pt idx="1">
                  <c:v>MeOH</c:v>
                </c:pt>
                <c:pt idx="2">
                  <c:v>ACN</c:v>
                </c:pt>
              </c:strCache>
            </c:strRef>
          </c:cat>
          <c:val>
            <c:numRef>
              <c:f>'Desorp solvents'!$C$4:$E$4</c:f>
              <c:numCache>
                <c:formatCode>General</c:formatCode>
                <c:ptCount val="3"/>
                <c:pt idx="0">
                  <c:v>30.789100000000001</c:v>
                </c:pt>
                <c:pt idx="1">
                  <c:v>95.986999999999995</c:v>
                </c:pt>
                <c:pt idx="2">
                  <c:v>60.678100000000001</c:v>
                </c:pt>
              </c:numCache>
            </c:numRef>
          </c:val>
          <c:extLst>
            <c:ext xmlns:c16="http://schemas.microsoft.com/office/drawing/2014/chart" uri="{C3380CC4-5D6E-409C-BE32-E72D297353CC}">
              <c16:uniqueId val="{00000000-2454-4EDE-900B-14FD9FD11A5F}"/>
            </c:ext>
          </c:extLst>
        </c:ser>
        <c:ser>
          <c:idx val="1"/>
          <c:order val="1"/>
          <c:tx>
            <c:strRef>
              <c:f>'Desorp solvents'!$B$5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'Desorp solvents'!$C$7:$E$7</c:f>
                <c:numCache>
                  <c:formatCode>General</c:formatCode>
                  <c:ptCount val="3"/>
                  <c:pt idx="0">
                    <c:v>3</c:v>
                  </c:pt>
                  <c:pt idx="1">
                    <c:v>3</c:v>
                  </c:pt>
                  <c:pt idx="2">
                    <c:v>3.5</c:v>
                  </c:pt>
                </c:numCache>
              </c:numRef>
            </c:plus>
            <c:minus>
              <c:numRef>
                <c:f>'Desorp solvents'!$C$7:$E$7</c:f>
                <c:numCache>
                  <c:formatCode>General</c:formatCode>
                  <c:ptCount val="3"/>
                  <c:pt idx="0">
                    <c:v>3</c:v>
                  </c:pt>
                  <c:pt idx="1">
                    <c:v>3</c:v>
                  </c:pt>
                  <c:pt idx="2">
                    <c:v>3.5</c:v>
                  </c:pt>
                </c:numCache>
              </c:numRef>
            </c:minus>
            <c:spPr>
              <a:noFill/>
              <a:ln w="9525" cap="flat" cmpd="sng" algn="ctr">
                <a:solidFill>
                  <a:schemeClr val="tx1">
                    <a:lumMod val="65000"/>
                    <a:lumOff val="35000"/>
                  </a:schemeClr>
                </a:solidFill>
                <a:round/>
              </a:ln>
              <a:effectLst/>
            </c:spPr>
          </c:errBars>
          <c:cat>
            <c:strRef>
              <c:f>'Desorp solvents'!$C$3:$E$3</c:f>
              <c:strCache>
                <c:ptCount val="3"/>
                <c:pt idx="0">
                  <c:v>DCM</c:v>
                </c:pt>
                <c:pt idx="1">
                  <c:v>MeOH</c:v>
                </c:pt>
                <c:pt idx="2">
                  <c:v>ACN</c:v>
                </c:pt>
              </c:strCache>
            </c:strRef>
          </c:cat>
          <c:val>
            <c:numRef>
              <c:f>'Desorp solvents'!$C$5:$E$5</c:f>
              <c:numCache>
                <c:formatCode>General</c:formatCode>
                <c:ptCount val="3"/>
                <c:pt idx="0">
                  <c:v>60.88</c:v>
                </c:pt>
                <c:pt idx="1">
                  <c:v>88.759</c:v>
                </c:pt>
                <c:pt idx="2">
                  <c:v>70.986999999999995</c:v>
                </c:pt>
              </c:numCache>
            </c:numRef>
          </c:val>
          <c:extLst>
            <c:ext xmlns:c16="http://schemas.microsoft.com/office/drawing/2014/chart" uri="{C3380CC4-5D6E-409C-BE32-E72D297353CC}">
              <c16:uniqueId val="{00000001-2454-4EDE-900B-14FD9FD11A5F}"/>
            </c:ext>
          </c:extLst>
        </c:ser>
        <c:dLbls>
          <c:showLegendKey val="0"/>
          <c:showVal val="0"/>
          <c:showCatName val="0"/>
          <c:showSerName val="0"/>
          <c:showPercent val="0"/>
          <c:showBubbleSize val="0"/>
        </c:dLbls>
        <c:gapWidth val="219"/>
        <c:overlap val="-27"/>
        <c:axId val="1731281360"/>
        <c:axId val="1670695200"/>
      </c:barChart>
      <c:catAx>
        <c:axId val="1731281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Desorption solvents</a:t>
                </a:r>
              </a:p>
            </c:rich>
          </c:tx>
          <c:layout>
            <c:manualLayout>
              <c:xMode val="edge"/>
              <c:yMode val="edge"/>
              <c:x val="0.41136646935664289"/>
              <c:y val="0.9309565917741310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0695200"/>
        <c:crosses val="autoZero"/>
        <c:auto val="1"/>
        <c:lblAlgn val="ctr"/>
        <c:lblOffset val="100"/>
        <c:noMultiLvlLbl val="0"/>
      </c:catAx>
      <c:valAx>
        <c:axId val="167069520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layout>
            <c:manualLayout>
              <c:xMode val="edge"/>
              <c:yMode val="edge"/>
              <c:x val="2.1019364033684634E-2"/>
              <c:y val="0.35309439725643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31281360"/>
        <c:crosses val="autoZero"/>
        <c:crossBetween val="between"/>
      </c:valAx>
      <c:spPr>
        <a:noFill/>
        <a:ln>
          <a:noFill/>
        </a:ln>
        <a:effectLst/>
      </c:spPr>
    </c:plotArea>
    <c:legend>
      <c:legendPos val="b"/>
      <c:layout>
        <c:manualLayout>
          <c:xMode val="edge"/>
          <c:yMode val="edge"/>
          <c:x val="0.75993641639865428"/>
          <c:y val="9.6187524431786436E-2"/>
          <c:w val="0.19608960851724519"/>
          <c:h val="0.155585525213603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2690190042034"/>
          <c:y val="0.11071428571428571"/>
          <c:w val="0.84829791012965483"/>
          <c:h val="0.74616647919010126"/>
        </c:manualLayout>
      </c:layout>
      <c:barChart>
        <c:barDir val="col"/>
        <c:grouping val="clustered"/>
        <c:varyColors val="0"/>
        <c:ser>
          <c:idx val="0"/>
          <c:order val="0"/>
          <c:tx>
            <c:strRef>
              <c:f>'Desorption time'!$B$4</c:f>
              <c:strCache>
                <c:ptCount val="1"/>
                <c:pt idx="0">
                  <c:v>Ofloxacin</c:v>
                </c:pt>
              </c:strCache>
            </c:strRef>
          </c:tx>
          <c:spPr>
            <a:pattFill prst="pct25">
              <a:fgClr>
                <a:schemeClr val="tx1"/>
              </a:fgClr>
              <a:bgClr>
                <a:schemeClr val="bg1"/>
              </a:bgClr>
            </a:pattFill>
            <a:ln>
              <a:solidFill>
                <a:schemeClr val="tx1"/>
              </a:solidFill>
            </a:ln>
            <a:effectLst/>
          </c:spPr>
          <c:invertIfNegative val="0"/>
          <c:errBars>
            <c:errBarType val="both"/>
            <c:errValType val="cust"/>
            <c:noEndCap val="0"/>
            <c:plus>
              <c:numRef>
                <c:f>'Desorption time'!$C$6:$F$6</c:f>
                <c:numCache>
                  <c:formatCode>General</c:formatCode>
                  <c:ptCount val="4"/>
                  <c:pt idx="0">
                    <c:v>4</c:v>
                  </c:pt>
                  <c:pt idx="1">
                    <c:v>0.6</c:v>
                  </c:pt>
                  <c:pt idx="2">
                    <c:v>0.5</c:v>
                  </c:pt>
                  <c:pt idx="3">
                    <c:v>4</c:v>
                  </c:pt>
                </c:numCache>
              </c:numRef>
            </c:plus>
            <c:minus>
              <c:numRef>
                <c:f>'Desorption time'!$C$6:$F$6</c:f>
                <c:numCache>
                  <c:formatCode>General</c:formatCode>
                  <c:ptCount val="4"/>
                  <c:pt idx="0">
                    <c:v>4</c:v>
                  </c:pt>
                  <c:pt idx="1">
                    <c:v>0.6</c:v>
                  </c:pt>
                  <c:pt idx="2">
                    <c:v>0.5</c:v>
                  </c:pt>
                  <c:pt idx="3">
                    <c:v>4</c:v>
                  </c:pt>
                </c:numCache>
              </c:numRef>
            </c:minus>
            <c:spPr>
              <a:noFill/>
              <a:ln w="9525" cap="flat" cmpd="sng" algn="ctr">
                <a:solidFill>
                  <a:schemeClr val="tx1">
                    <a:lumMod val="65000"/>
                    <a:lumOff val="35000"/>
                  </a:schemeClr>
                </a:solidFill>
                <a:round/>
              </a:ln>
              <a:effectLst/>
            </c:spPr>
          </c:errBars>
          <c:cat>
            <c:numRef>
              <c:f>'Desorption time'!$C$3:$F$3</c:f>
              <c:numCache>
                <c:formatCode>General</c:formatCode>
                <c:ptCount val="4"/>
                <c:pt idx="0">
                  <c:v>3</c:v>
                </c:pt>
                <c:pt idx="1">
                  <c:v>5</c:v>
                </c:pt>
                <c:pt idx="2">
                  <c:v>10</c:v>
                </c:pt>
                <c:pt idx="3">
                  <c:v>15</c:v>
                </c:pt>
              </c:numCache>
            </c:numRef>
          </c:cat>
          <c:val>
            <c:numRef>
              <c:f>'Desorption time'!$C$4:$F$4</c:f>
              <c:numCache>
                <c:formatCode>General</c:formatCode>
                <c:ptCount val="4"/>
                <c:pt idx="0">
                  <c:v>70.984200000000001</c:v>
                </c:pt>
                <c:pt idx="1">
                  <c:v>93.986999999999995</c:v>
                </c:pt>
                <c:pt idx="2">
                  <c:v>92.986999999999995</c:v>
                </c:pt>
                <c:pt idx="3">
                  <c:v>90.986999999999995</c:v>
                </c:pt>
              </c:numCache>
            </c:numRef>
          </c:val>
          <c:extLst>
            <c:ext xmlns:c16="http://schemas.microsoft.com/office/drawing/2014/chart" uri="{C3380CC4-5D6E-409C-BE32-E72D297353CC}">
              <c16:uniqueId val="{00000000-F901-4A55-AB8F-8114411ACAC0}"/>
            </c:ext>
          </c:extLst>
        </c:ser>
        <c:ser>
          <c:idx val="1"/>
          <c:order val="1"/>
          <c:tx>
            <c:strRef>
              <c:f>'Desorption time'!$B$5</c:f>
              <c:strCache>
                <c:ptCount val="1"/>
                <c:pt idx="0">
                  <c:v>Sparfloxacin</c:v>
                </c:pt>
              </c:strCache>
            </c:strRef>
          </c:tx>
          <c:spPr>
            <a:pattFill prst="pct75">
              <a:fgClr>
                <a:schemeClr val="tx1"/>
              </a:fgClr>
              <a:bgClr>
                <a:schemeClr val="bg1"/>
              </a:bgClr>
            </a:pattFill>
            <a:ln>
              <a:solidFill>
                <a:schemeClr val="tx1"/>
              </a:solidFill>
            </a:ln>
            <a:effectLst/>
          </c:spPr>
          <c:invertIfNegative val="0"/>
          <c:errBars>
            <c:errBarType val="both"/>
            <c:errValType val="cust"/>
            <c:noEndCap val="0"/>
            <c:plus>
              <c:numRef>
                <c:f>'Desorption time'!$C$7:$F$7</c:f>
                <c:numCache>
                  <c:formatCode>General</c:formatCode>
                  <c:ptCount val="4"/>
                  <c:pt idx="0">
                    <c:v>1</c:v>
                  </c:pt>
                  <c:pt idx="1">
                    <c:v>1</c:v>
                  </c:pt>
                  <c:pt idx="2">
                    <c:v>3</c:v>
                  </c:pt>
                  <c:pt idx="3">
                    <c:v>1</c:v>
                  </c:pt>
                </c:numCache>
              </c:numRef>
            </c:plus>
            <c:minus>
              <c:numRef>
                <c:f>'Desorption time'!$C$7:$F$7</c:f>
                <c:numCache>
                  <c:formatCode>General</c:formatCode>
                  <c:ptCount val="4"/>
                  <c:pt idx="0">
                    <c:v>1</c:v>
                  </c:pt>
                  <c:pt idx="1">
                    <c:v>1</c:v>
                  </c:pt>
                  <c:pt idx="2">
                    <c:v>3</c:v>
                  </c:pt>
                  <c:pt idx="3">
                    <c:v>1</c:v>
                  </c:pt>
                </c:numCache>
              </c:numRef>
            </c:minus>
            <c:spPr>
              <a:noFill/>
              <a:ln w="9525" cap="flat" cmpd="sng" algn="ctr">
                <a:solidFill>
                  <a:schemeClr val="tx1">
                    <a:lumMod val="65000"/>
                    <a:lumOff val="35000"/>
                  </a:schemeClr>
                </a:solidFill>
                <a:round/>
              </a:ln>
              <a:effectLst/>
            </c:spPr>
          </c:errBars>
          <c:cat>
            <c:numRef>
              <c:f>'Desorption time'!$C$3:$F$3</c:f>
              <c:numCache>
                <c:formatCode>General</c:formatCode>
                <c:ptCount val="4"/>
                <c:pt idx="0">
                  <c:v>3</c:v>
                </c:pt>
                <c:pt idx="1">
                  <c:v>5</c:v>
                </c:pt>
                <c:pt idx="2">
                  <c:v>10</c:v>
                </c:pt>
                <c:pt idx="3">
                  <c:v>15</c:v>
                </c:pt>
              </c:numCache>
            </c:numRef>
          </c:cat>
          <c:val>
            <c:numRef>
              <c:f>'Desorption time'!$C$5:$F$5</c:f>
              <c:numCache>
                <c:formatCode>General</c:formatCode>
                <c:ptCount val="4"/>
                <c:pt idx="0">
                  <c:v>60.976500000000001</c:v>
                </c:pt>
                <c:pt idx="1">
                  <c:v>88.980999999999995</c:v>
                </c:pt>
                <c:pt idx="2">
                  <c:v>86.980999999999995</c:v>
                </c:pt>
                <c:pt idx="3">
                  <c:v>84.980999999999995</c:v>
                </c:pt>
              </c:numCache>
            </c:numRef>
          </c:val>
          <c:extLst>
            <c:ext xmlns:c16="http://schemas.microsoft.com/office/drawing/2014/chart" uri="{C3380CC4-5D6E-409C-BE32-E72D297353CC}">
              <c16:uniqueId val="{00000001-F901-4A55-AB8F-8114411ACAC0}"/>
            </c:ext>
          </c:extLst>
        </c:ser>
        <c:dLbls>
          <c:showLegendKey val="0"/>
          <c:showVal val="0"/>
          <c:showCatName val="0"/>
          <c:showSerName val="0"/>
          <c:showPercent val="0"/>
          <c:showBubbleSize val="0"/>
        </c:dLbls>
        <c:gapWidth val="219"/>
        <c:overlap val="-27"/>
        <c:axId val="1729777760"/>
        <c:axId val="1672078688"/>
      </c:barChart>
      <c:catAx>
        <c:axId val="17297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Desorption 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2078688"/>
        <c:crosses val="autoZero"/>
        <c:auto val="1"/>
        <c:lblAlgn val="ctr"/>
        <c:lblOffset val="100"/>
        <c:noMultiLvlLbl val="0"/>
      </c:catAx>
      <c:valAx>
        <c:axId val="1672078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9777760"/>
        <c:crosses val="autoZero"/>
        <c:crossBetween val="between"/>
      </c:valAx>
      <c:spPr>
        <a:noFill/>
        <a:ln>
          <a:noFill/>
        </a:ln>
        <a:effectLst/>
      </c:spPr>
    </c:plotArea>
    <c:legend>
      <c:legendPos val="b"/>
      <c:layout>
        <c:manualLayout>
          <c:xMode val="edge"/>
          <c:yMode val="edge"/>
          <c:x val="0.5400157409089128"/>
          <c:y val="4.69180085741414E-3"/>
          <c:w val="0.43465516606896321"/>
          <c:h val="0.167376265466816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4</cp:revision>
  <cp:lastPrinted>2020-11-27T12:13:00Z</cp:lastPrinted>
  <dcterms:created xsi:type="dcterms:W3CDTF">2020-11-04T02:13:00Z</dcterms:created>
  <dcterms:modified xsi:type="dcterms:W3CDTF">2020-11-27T12:16:00Z</dcterms:modified>
</cp:coreProperties>
</file>