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959BC" w14:textId="6676D929" w:rsidR="002A7981" w:rsidRDefault="002A7981" w:rsidP="002A7981">
      <w:pPr>
        <w:pStyle w:val="Title"/>
        <w:spacing w:line="276" w:lineRule="auto"/>
        <w:contextualSpacing w:val="0"/>
        <w:rPr>
          <w:rFonts w:eastAsia="Calibri"/>
          <w:b/>
          <w:szCs w:val="28"/>
          <w:lang w:val="en-GB"/>
        </w:rPr>
      </w:pPr>
      <w:r w:rsidRPr="00574032">
        <w:rPr>
          <w:rFonts w:eastAsia="Calibri"/>
          <w:szCs w:val="28"/>
          <w:lang w:val="en-GB"/>
        </w:rPr>
        <w:t>BIO-BASED CONTENT OF OLIGOMERS DERIVED FROM PALM OIL: SAMPLE COMBUSTION AND LIQUID SCINTILLATION COUNTING TECHNIQUE</w:t>
      </w:r>
    </w:p>
    <w:p w14:paraId="32E4530B" w14:textId="77777777" w:rsidR="002A7981" w:rsidRPr="002A7981" w:rsidRDefault="002A7981" w:rsidP="002A7981">
      <w:pPr>
        <w:spacing w:after="0"/>
        <w:jc w:val="center"/>
        <w:rPr>
          <w:rFonts w:ascii="Times New Roman" w:eastAsia="Calibri" w:hAnsi="Times New Roman"/>
          <w:sz w:val="24"/>
          <w:szCs w:val="24"/>
          <w:lang w:val="en-GB"/>
        </w:rPr>
      </w:pPr>
    </w:p>
    <w:p w14:paraId="0AD1462B" w14:textId="4ED04EED" w:rsidR="002A7981" w:rsidRPr="002A7981" w:rsidRDefault="002A7981" w:rsidP="002A7981">
      <w:pPr>
        <w:spacing w:after="0"/>
        <w:jc w:val="center"/>
        <w:rPr>
          <w:rFonts w:ascii="Times New Roman" w:eastAsia="Calibri" w:hAnsi="Times New Roman"/>
          <w:sz w:val="24"/>
          <w:szCs w:val="24"/>
          <w:lang w:val="ms-MY"/>
        </w:rPr>
      </w:pPr>
      <w:r w:rsidRPr="002A7981">
        <w:rPr>
          <w:rFonts w:ascii="Times New Roman" w:eastAsia="Calibri" w:hAnsi="Times New Roman"/>
          <w:sz w:val="24"/>
          <w:szCs w:val="24"/>
          <w:lang w:val="en-GB"/>
        </w:rPr>
        <w:t>(</w:t>
      </w:r>
      <w:r w:rsidRPr="002A7981">
        <w:rPr>
          <w:rFonts w:ascii="Times New Roman" w:eastAsia="Calibri" w:hAnsi="Times New Roman"/>
          <w:sz w:val="24"/>
          <w:szCs w:val="24"/>
          <w:lang w:val="ms-MY"/>
        </w:rPr>
        <w:t>Kandungan Berasaskan Bio dalam Oligomer daripada Minyak Sawit: Teknik Pembakaran Sampel dan Penghitungan Sintilasi Cecair</w:t>
      </w:r>
      <w:r w:rsidRPr="002A7981">
        <w:rPr>
          <w:rFonts w:ascii="Times New Roman" w:eastAsia="Calibri" w:hAnsi="Times New Roman"/>
          <w:sz w:val="24"/>
          <w:szCs w:val="24"/>
          <w:lang w:val="en-GB"/>
        </w:rPr>
        <w:t>)</w:t>
      </w:r>
    </w:p>
    <w:p w14:paraId="197D8576" w14:textId="77777777" w:rsidR="002A7981" w:rsidRPr="00574032" w:rsidRDefault="002A7981" w:rsidP="002A7981">
      <w:pPr>
        <w:spacing w:after="0"/>
        <w:jc w:val="center"/>
        <w:rPr>
          <w:lang w:val="en-GB"/>
        </w:rPr>
      </w:pPr>
    </w:p>
    <w:p w14:paraId="7F75CF4A" w14:textId="5DDA5721" w:rsidR="002A7981" w:rsidRDefault="002A7981" w:rsidP="002A7981">
      <w:pPr>
        <w:spacing w:after="0"/>
        <w:jc w:val="center"/>
        <w:rPr>
          <w:rFonts w:ascii="Times New Roman" w:eastAsia="Calibri" w:hAnsi="Times New Roman"/>
          <w:sz w:val="20"/>
          <w:szCs w:val="20"/>
          <w:lang w:val="en-GB"/>
        </w:rPr>
      </w:pPr>
      <w:r w:rsidRPr="00574032">
        <w:rPr>
          <w:rFonts w:ascii="Times New Roman" w:eastAsia="Calibri" w:hAnsi="Times New Roman"/>
          <w:sz w:val="20"/>
          <w:szCs w:val="20"/>
          <w:lang w:val="en-GB"/>
        </w:rPr>
        <w:t>Mohd Azmil Mohd Noor</w:t>
      </w:r>
      <w:r>
        <w:rPr>
          <w:rFonts w:ascii="Times New Roman" w:eastAsia="Calibri" w:hAnsi="Times New Roman"/>
          <w:sz w:val="20"/>
          <w:szCs w:val="20"/>
          <w:lang w:val="en-GB"/>
        </w:rPr>
        <w:t>*</w:t>
      </w:r>
      <w:r w:rsidRPr="00574032">
        <w:rPr>
          <w:rFonts w:ascii="Times New Roman" w:eastAsia="Calibri" w:hAnsi="Times New Roman"/>
          <w:sz w:val="20"/>
          <w:szCs w:val="20"/>
          <w:lang w:val="en-GB"/>
        </w:rPr>
        <w:t xml:space="preserve">, Tuan </w:t>
      </w:r>
      <w:r w:rsidRPr="00A61BD6">
        <w:rPr>
          <w:rFonts w:ascii="Times New Roman" w:eastAsia="Calibri" w:hAnsi="Times New Roman"/>
          <w:sz w:val="20"/>
          <w:szCs w:val="20"/>
          <w:lang w:val="ms-MY"/>
        </w:rPr>
        <w:t>Noor Maznee Tuan Ismail, Razmah Ghazali</w:t>
      </w:r>
    </w:p>
    <w:p w14:paraId="659E3866" w14:textId="77777777" w:rsidR="002A7981" w:rsidRPr="00574032" w:rsidRDefault="002A7981" w:rsidP="002A7981">
      <w:pPr>
        <w:spacing w:after="0"/>
        <w:jc w:val="center"/>
        <w:rPr>
          <w:rFonts w:ascii="Times New Roman" w:eastAsia="Calibri" w:hAnsi="Times New Roman"/>
          <w:sz w:val="20"/>
          <w:szCs w:val="20"/>
          <w:lang w:val="en-GB"/>
        </w:rPr>
      </w:pPr>
    </w:p>
    <w:p w14:paraId="075237D3" w14:textId="019D8D6D" w:rsidR="002A7981" w:rsidRPr="00574032" w:rsidRDefault="002A7981" w:rsidP="00F557F6">
      <w:pPr>
        <w:spacing w:after="0"/>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 xml:space="preserve">Quality and Environmental Assessment Unit, Advanced Oleochemical Technologies Division, </w:t>
      </w:r>
    </w:p>
    <w:p w14:paraId="0B2380C7" w14:textId="14473676" w:rsidR="002A7981" w:rsidRPr="00574032" w:rsidRDefault="002A7981" w:rsidP="00F557F6">
      <w:pPr>
        <w:spacing w:after="0"/>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Malaysian Palm Oil Board, No. 6, Persiaran Institusi, Bandar Baru Bangi, 43000 Kajang, Selangor, Malaysia</w:t>
      </w:r>
    </w:p>
    <w:p w14:paraId="6C0FF92E" w14:textId="77777777" w:rsidR="002A7981" w:rsidRPr="00574032" w:rsidRDefault="002A7981" w:rsidP="002A7981">
      <w:pPr>
        <w:spacing w:after="0"/>
        <w:jc w:val="center"/>
        <w:rPr>
          <w:rFonts w:ascii="Times New Roman" w:eastAsia="Calibri" w:hAnsi="Times New Roman"/>
          <w:i/>
          <w:noProof/>
          <w:sz w:val="18"/>
          <w:szCs w:val="18"/>
          <w:lang w:val="ms-MY"/>
        </w:rPr>
      </w:pPr>
    </w:p>
    <w:p w14:paraId="3BD73DF7" w14:textId="52D7687D" w:rsidR="002A7981" w:rsidRDefault="002A7981" w:rsidP="002A7981">
      <w:pPr>
        <w:spacing w:after="0"/>
        <w:jc w:val="center"/>
        <w:rPr>
          <w:rFonts w:ascii="Times New Roman" w:eastAsia="Calibri" w:hAnsi="Times New Roman"/>
          <w:bCs/>
          <w:i/>
          <w:noProof/>
          <w:sz w:val="18"/>
          <w:szCs w:val="18"/>
          <w:lang w:val="ms-MY"/>
        </w:rPr>
      </w:pPr>
      <w:r w:rsidRPr="002A7981">
        <w:rPr>
          <w:rFonts w:ascii="Times New Roman" w:eastAsia="Calibri" w:hAnsi="Times New Roman"/>
          <w:bCs/>
          <w:i/>
          <w:noProof/>
          <w:sz w:val="18"/>
          <w:szCs w:val="18"/>
          <w:lang w:val="ms-MY"/>
        </w:rPr>
        <w:t>*</w:t>
      </w:r>
      <w:r w:rsidRPr="00574032">
        <w:rPr>
          <w:rFonts w:ascii="Times New Roman" w:eastAsia="Calibri" w:hAnsi="Times New Roman"/>
          <w:bCs/>
          <w:i/>
          <w:noProof/>
          <w:sz w:val="18"/>
          <w:szCs w:val="18"/>
          <w:lang w:val="ms-MY"/>
        </w:rPr>
        <w:t>Corresponding author:</w:t>
      </w:r>
      <w:r>
        <w:rPr>
          <w:rFonts w:ascii="Times New Roman" w:eastAsia="Calibri" w:hAnsi="Times New Roman"/>
          <w:bCs/>
          <w:i/>
          <w:noProof/>
          <w:sz w:val="18"/>
          <w:szCs w:val="18"/>
          <w:lang w:val="ms-MY"/>
        </w:rPr>
        <w:t xml:space="preserve"> </w:t>
      </w:r>
      <w:r w:rsidRPr="00574032">
        <w:rPr>
          <w:rFonts w:ascii="Times New Roman" w:eastAsia="Calibri" w:hAnsi="Times New Roman"/>
          <w:bCs/>
          <w:i/>
          <w:noProof/>
          <w:sz w:val="18"/>
          <w:szCs w:val="18"/>
          <w:lang w:val="ms-MY"/>
        </w:rPr>
        <w:t xml:space="preserve"> mohd.azmil@mpob.gov.my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595C2F0"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2A7981">
        <w:rPr>
          <w:rFonts w:ascii="Times New Roman" w:hAnsi="Times New Roman"/>
          <w:noProof/>
          <w:sz w:val="18"/>
          <w:szCs w:val="18"/>
          <w:lang w:bidi="ar-SA"/>
        </w:rPr>
        <w:t>3 July 2020</w:t>
      </w:r>
      <w:r w:rsidRPr="00510BA6">
        <w:rPr>
          <w:rFonts w:ascii="Times New Roman" w:hAnsi="Times New Roman"/>
          <w:noProof/>
          <w:sz w:val="18"/>
          <w:szCs w:val="18"/>
          <w:lang w:bidi="ar-SA"/>
        </w:rPr>
        <w:t xml:space="preserve">; Accepted: </w:t>
      </w:r>
      <w:r w:rsidR="002A7981">
        <w:rPr>
          <w:rFonts w:ascii="Times New Roman" w:hAnsi="Times New Roman"/>
          <w:noProof/>
          <w:sz w:val="18"/>
          <w:szCs w:val="18"/>
          <w:lang w:bidi="ar-SA"/>
        </w:rPr>
        <w:t>18 September 2020</w:t>
      </w:r>
      <w:r w:rsidR="00510BA6" w:rsidRPr="00510BA6">
        <w:rPr>
          <w:rFonts w:ascii="Times New Roman" w:hAnsi="Times New Roman"/>
          <w:noProof/>
          <w:sz w:val="18"/>
          <w:szCs w:val="18"/>
          <w:lang w:bidi="ar-SA"/>
        </w:rPr>
        <w:t xml:space="preserve">; Published: </w:t>
      </w:r>
      <w:r w:rsidR="002A7981">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C34A9B">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DF28C5B" w14:textId="77777777" w:rsidR="00C34A9B" w:rsidRDefault="00C34A9B" w:rsidP="00C34A9B">
      <w:pPr>
        <w:spacing w:after="0"/>
        <w:jc w:val="both"/>
      </w:pPr>
      <w:r w:rsidRPr="00574032">
        <w:rPr>
          <w:rFonts w:ascii="Times New Roman" w:eastAsia="Calibri" w:hAnsi="Times New Roman"/>
          <w:sz w:val="18"/>
          <w:szCs w:val="18"/>
          <w:lang w:val="en-GB"/>
        </w:rPr>
        <w:t xml:space="preserve">The bio-based content is defined as the ratio of weight of the bio-based carbon to the total organic carbon in the product. A radiocarbon technique, involving combustion of samples and counting of the resulting </w:t>
      </w:r>
      <w:r w:rsidRPr="00574032">
        <w:rPr>
          <w:rFonts w:ascii="Times New Roman" w:eastAsia="Calibri" w:hAnsi="Times New Roman"/>
          <w:sz w:val="18"/>
          <w:szCs w:val="18"/>
          <w:vertAlign w:val="superscript"/>
          <w:lang w:val="en-GB"/>
        </w:rPr>
        <w:t>14</w:t>
      </w:r>
      <w:r w:rsidRPr="00574032">
        <w:rPr>
          <w:rFonts w:ascii="Times New Roman" w:eastAsia="Calibri" w:hAnsi="Times New Roman"/>
          <w:sz w:val="18"/>
          <w:szCs w:val="18"/>
          <w:lang w:val="en-GB"/>
        </w:rPr>
        <w:t xml:space="preserve">C isotope, was applied to quantify the bio-based content of polyols derived from palm oil. The samples were combusted using a sample oxidizer and the carbon dioxide was trapped by a vapor-phase reaction with an amine, forming carbamate, which was then mixed with an appropriate scintillation cocktail. For the liquid scintillation counting, validation of the method was evaluated through recovery, while the quenching effect was corrected by constructing a quench curve. The optimized radiocarbon method was then applied to determine the </w:t>
      </w:r>
      <w:r w:rsidRPr="00574032">
        <w:rPr>
          <w:rFonts w:ascii="Times New Roman" w:eastAsia="Calibri" w:hAnsi="Times New Roman"/>
          <w:sz w:val="18"/>
          <w:szCs w:val="18"/>
          <w:vertAlign w:val="superscript"/>
          <w:lang w:val="en-GB"/>
        </w:rPr>
        <w:t>14</w:t>
      </w:r>
      <w:r w:rsidRPr="00574032">
        <w:rPr>
          <w:rFonts w:ascii="Times New Roman" w:eastAsia="Calibri" w:hAnsi="Times New Roman"/>
          <w:sz w:val="18"/>
          <w:szCs w:val="18"/>
          <w:lang w:val="en-GB"/>
        </w:rPr>
        <w:t>C activity (counts per minute [CPM] and disintegrations per minute [DPM]) of palm olein and the polyols derived from it. Palm olein were confirmed to have 100% bio-based content while the value for the polyols derived from them ranged from 71 to 96%, depending on the reactants used for ring-opening reaction of the epoxidized palm olein.</w:t>
      </w:r>
    </w:p>
    <w:p w14:paraId="4CFF5527" w14:textId="77777777" w:rsidR="00C34A9B" w:rsidRDefault="00C34A9B" w:rsidP="00C34A9B">
      <w:pPr>
        <w:spacing w:after="0"/>
        <w:jc w:val="both"/>
      </w:pPr>
    </w:p>
    <w:p w14:paraId="7A7287B1" w14:textId="6DC386EF" w:rsidR="00C34A9B" w:rsidRPr="00574032" w:rsidRDefault="00C34A9B" w:rsidP="00C34A9B">
      <w:pPr>
        <w:spacing w:after="0"/>
        <w:jc w:val="both"/>
      </w:pPr>
      <w:r w:rsidRPr="00574032">
        <w:rPr>
          <w:rFonts w:ascii="Times New Roman" w:eastAsia="Calibri" w:hAnsi="Times New Roman"/>
          <w:b/>
          <w:sz w:val="18"/>
          <w:szCs w:val="18"/>
          <w:lang w:val="en-GB"/>
        </w:rPr>
        <w:t>Keywords:</w:t>
      </w:r>
      <w:r w:rsidRPr="00574032">
        <w:rPr>
          <w:rFonts w:ascii="Times New Roman" w:eastAsia="Calibri" w:hAnsi="Times New Roman"/>
          <w:sz w:val="18"/>
          <w:szCs w:val="18"/>
          <w:lang w:val="en-GB"/>
        </w:rPr>
        <w:t xml:space="preserve"> </w:t>
      </w:r>
      <w:r>
        <w:rPr>
          <w:rFonts w:ascii="Times New Roman" w:eastAsia="Calibri" w:hAnsi="Times New Roman"/>
          <w:sz w:val="18"/>
          <w:szCs w:val="18"/>
          <w:lang w:val="en-GB"/>
        </w:rPr>
        <w:t xml:space="preserve"> </w:t>
      </w:r>
      <w:r w:rsidRPr="00574032">
        <w:rPr>
          <w:rFonts w:ascii="Times New Roman" w:eastAsia="Calibri" w:hAnsi="Times New Roman"/>
          <w:sz w:val="18"/>
          <w:szCs w:val="18"/>
          <w:lang w:val="en-GB"/>
        </w:rPr>
        <w:t>palm olein polyol, renewable, radiocarbon, carbon dioxide trapping, quench</w:t>
      </w:r>
    </w:p>
    <w:p w14:paraId="16CC78EE" w14:textId="77777777" w:rsidR="00C34A9B" w:rsidRPr="00574032" w:rsidRDefault="00C34A9B" w:rsidP="00C34A9B">
      <w:pPr>
        <w:spacing w:after="0"/>
        <w:jc w:val="center"/>
        <w:rPr>
          <w:rFonts w:ascii="Times New Roman" w:eastAsia="Calibri" w:hAnsi="Times New Roman"/>
          <w:sz w:val="18"/>
          <w:szCs w:val="18"/>
          <w:lang w:val="en-GB"/>
        </w:rPr>
      </w:pPr>
    </w:p>
    <w:p w14:paraId="3D47FE08" w14:textId="77777777" w:rsidR="00C34A9B" w:rsidRPr="00574032" w:rsidRDefault="00C34A9B" w:rsidP="00C34A9B">
      <w:pPr>
        <w:spacing w:after="0"/>
        <w:jc w:val="center"/>
        <w:rPr>
          <w:rFonts w:ascii="Times New Roman" w:eastAsia="Calibri" w:hAnsi="Times New Roman"/>
          <w:b/>
          <w:sz w:val="18"/>
          <w:szCs w:val="18"/>
          <w:lang w:val="en-GB"/>
        </w:rPr>
      </w:pPr>
      <w:r w:rsidRPr="00574032">
        <w:rPr>
          <w:rFonts w:ascii="Times New Roman" w:eastAsia="Calibri" w:hAnsi="Times New Roman"/>
          <w:b/>
          <w:sz w:val="18"/>
          <w:szCs w:val="18"/>
          <w:lang w:val="en-GB"/>
        </w:rPr>
        <w:t>Abstract</w:t>
      </w:r>
    </w:p>
    <w:p w14:paraId="0DE93BE5" w14:textId="77777777" w:rsidR="00C34A9B" w:rsidRDefault="00C34A9B" w:rsidP="00C34A9B">
      <w:pPr>
        <w:spacing w:after="0"/>
        <w:jc w:val="both"/>
        <w:rPr>
          <w:rFonts w:ascii="Times New Roman" w:eastAsia="Calibri" w:hAnsi="Times New Roman"/>
          <w:sz w:val="18"/>
          <w:szCs w:val="18"/>
          <w:lang w:val="en-GB"/>
        </w:rPr>
      </w:pPr>
      <w:r w:rsidRPr="00574032">
        <w:rPr>
          <w:rFonts w:ascii="Times New Roman" w:eastAsia="Calibri" w:hAnsi="Times New Roman"/>
          <w:sz w:val="18"/>
          <w:szCs w:val="18"/>
          <w:lang w:val="ms-MY"/>
        </w:rPr>
        <w:t xml:space="preserve">Kandungan berasaskan bio ditakrifkan sebagai nisbah berat karbon berasaskan bio dengan jumlah karbon organik di dalam sesuatu produk. Teknik radiokarbon, yang melibatkan pembakaran sampel dan penghitungan isotop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 xml:space="preserve">C yang dihasilkan, telah digunakan untuk mengukur kandungan berasaskan bio dalam poliol daripada minyak sawit. Sampel dibakar menggunakan pengoksidasi sampel dan karbon dioksida diperangkap dengan amina, membentuk karbamat, yang kemudian dicampurkan dengan koktel sintilasi yang sesuai. Bagi penghitungan sintilasi cecair, ketepatan kaedah dinilai melalui pemulihan, sementara kesan pelindapkejutan dibetulkan dengan membina keluk pelindapkejutan. Kaedah radiokarbon yang dioptimumkan kemudiannya digunakan untuk menentukan aktiviti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C (hitungan per minit [CPM] dan disintegrasi per minit [DPM]) olein sawit dan poliol yang berasal daripadanya. Olein sawit disahkan mempunyai 100% kandungan  berasaskan bio manakala poliol sawit berkisar antara 71 hingga 96%, bergantung kepada reaktan yang digunakan untuk tindak balas ke atas olein sawit yang teroksida.</w:t>
      </w:r>
    </w:p>
    <w:p w14:paraId="47AB8281" w14:textId="77777777" w:rsidR="00C34A9B" w:rsidRDefault="00C34A9B" w:rsidP="00C34A9B">
      <w:pPr>
        <w:spacing w:after="0"/>
        <w:jc w:val="both"/>
        <w:rPr>
          <w:rFonts w:ascii="Times New Roman" w:eastAsia="Calibri" w:hAnsi="Times New Roman"/>
          <w:sz w:val="18"/>
          <w:szCs w:val="18"/>
          <w:lang w:val="en-GB"/>
        </w:rPr>
      </w:pPr>
    </w:p>
    <w:p w14:paraId="3760B3EC" w14:textId="19697AEC" w:rsidR="00F879E7" w:rsidRPr="00BC2DBB" w:rsidRDefault="00C34A9B" w:rsidP="00BC2DBB">
      <w:pPr>
        <w:spacing w:after="0"/>
        <w:jc w:val="both"/>
        <w:rPr>
          <w:rFonts w:ascii="Times New Roman" w:eastAsia="Calibri" w:hAnsi="Times New Roman"/>
          <w:sz w:val="18"/>
          <w:szCs w:val="18"/>
          <w:lang w:val="ms-MY"/>
        </w:rPr>
      </w:pPr>
      <w:r w:rsidRPr="00574032">
        <w:rPr>
          <w:rFonts w:ascii="Times New Roman" w:eastAsia="Calibri" w:hAnsi="Times New Roman"/>
          <w:b/>
          <w:sz w:val="18"/>
          <w:szCs w:val="18"/>
          <w:lang w:val="en-GB"/>
        </w:rPr>
        <w:t>K</w:t>
      </w:r>
      <w:r>
        <w:rPr>
          <w:rFonts w:ascii="Times New Roman" w:eastAsia="Calibri" w:hAnsi="Times New Roman"/>
          <w:b/>
          <w:sz w:val="18"/>
          <w:szCs w:val="18"/>
          <w:lang w:val="en-GB"/>
        </w:rPr>
        <w:t>ata kunci</w:t>
      </w:r>
      <w:r w:rsidRPr="00574032">
        <w:rPr>
          <w:rFonts w:ascii="Times New Roman" w:eastAsia="Calibri" w:hAnsi="Times New Roman"/>
          <w:b/>
          <w:sz w:val="18"/>
          <w:szCs w:val="18"/>
          <w:lang w:val="en-GB"/>
        </w:rPr>
        <w:t>:</w:t>
      </w:r>
      <w:r w:rsidRPr="00574032">
        <w:rPr>
          <w:rFonts w:ascii="Times New Roman" w:eastAsia="Calibri" w:hAnsi="Times New Roman"/>
          <w:sz w:val="18"/>
          <w:szCs w:val="18"/>
          <w:lang w:val="en-GB"/>
        </w:rPr>
        <w:t xml:space="preserve"> </w:t>
      </w:r>
      <w:r>
        <w:rPr>
          <w:rFonts w:ascii="Times New Roman" w:eastAsia="Calibri" w:hAnsi="Times New Roman"/>
          <w:sz w:val="18"/>
          <w:szCs w:val="18"/>
          <w:lang w:val="en-GB"/>
        </w:rPr>
        <w:t xml:space="preserve"> </w:t>
      </w:r>
      <w:r w:rsidRPr="00574032">
        <w:rPr>
          <w:rFonts w:ascii="Times New Roman" w:eastAsia="Calibri" w:hAnsi="Times New Roman"/>
          <w:sz w:val="18"/>
          <w:szCs w:val="18"/>
          <w:lang w:val="ms-MY"/>
        </w:rPr>
        <w:t>poliol olein sawit, boleh diperbaharui, radiokarbon, perangkap karbon dioksida, pelindapkejutan</w:t>
      </w:r>
    </w:p>
    <w:p w14:paraId="46071B9F" w14:textId="77777777" w:rsidR="001123AC" w:rsidRDefault="001123AC" w:rsidP="00F879E7">
      <w:pPr>
        <w:spacing w:after="0"/>
        <w:jc w:val="center"/>
        <w:rPr>
          <w:rFonts w:ascii="Times New Roman" w:hAnsi="Times New Roman"/>
          <w:b/>
          <w:noProof/>
          <w:sz w:val="20"/>
          <w:szCs w:val="20"/>
          <w:lang w:bidi="ar-SA"/>
        </w:rPr>
        <w:sectPr w:rsidR="001123AC"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2A10986A" w14:textId="6BAC24A7" w:rsidR="00F879E7" w:rsidRDefault="00F879E7" w:rsidP="00F879E7">
      <w:pPr>
        <w:spacing w:after="0"/>
        <w:jc w:val="center"/>
        <w:rPr>
          <w:rFonts w:ascii="Times New Roman" w:hAnsi="Times New Roman"/>
          <w:b/>
          <w:noProof/>
          <w:sz w:val="20"/>
          <w:szCs w:val="20"/>
          <w:lang w:bidi="ar-SA"/>
        </w:rPr>
        <w:sectPr w:rsidR="00F879E7" w:rsidSect="001123AC">
          <w:type w:val="oddPage"/>
          <w:pgSz w:w="12240" w:h="15840" w:code="1"/>
          <w:pgMar w:top="1800" w:right="1469" w:bottom="1699" w:left="1440" w:header="706" w:footer="706" w:gutter="0"/>
          <w:pgNumType w:start="0"/>
          <w:cols w:space="708"/>
          <w:docGrid w:linePitch="360"/>
        </w:sectPr>
      </w:pPr>
    </w:p>
    <w:p w14:paraId="6FC0EFD8" w14:textId="0B3EF93A" w:rsidR="006768E9" w:rsidRPr="00510BA6" w:rsidRDefault="006768E9" w:rsidP="00F879E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4D093EA"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Polyurethane (PU) is extensively used in foams, composites, coatings, adhesives, sealants, and elastomers industry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&lt;EndNote&gt;&lt;Cite&gt;&lt;Author&gt;Ionescu&lt;/Author&gt;&lt;Year&gt;2005&lt;/Year&gt;&lt;RecNum&gt;5&lt;/RecNum&gt;&lt;DisplayText&gt;[1]&lt;/DisplayText&gt;&lt;record&gt;&lt;rec-number&gt;5&lt;/rec-number&gt;&lt;foreign-keys&gt;&lt;key app="EN" db-id="zrs29aaajta99re0tt1xxv9f9f05waftrw5w"&gt;5&lt;/key&gt;&lt;/foreign-keys&gt;&lt;ref-type name="Book"&gt;6&lt;/ref-type&gt;&lt;contributors&gt;&lt;authors&gt;&lt;author&gt;Ionescu, M.&lt;/author&gt;&lt;/authors&gt;&lt;/contributors&gt;&lt;titles&gt;&lt;title&gt;Chemistry and technology of polyols for polyurethanes&lt;/title&gt;&lt;/titles&gt;&lt;section&gt;32-41&lt;/section&gt;&lt;dates&gt;&lt;year&gt;2005&lt;/year&gt;&lt;/dates&gt;&lt;pub-location&gt;Shawbury, Shrewsbury, Shrosphire, SY4 4NR (United Kingdom)&lt;/pub-location&gt;&lt;publisher&gt;Rapra Technology Limited&lt;/publisher&gt;&lt;urls&gt;&lt;/urls&gt;&lt;/record&gt;&lt;/Cite&gt;&lt;/EndNote&gt;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PU is produced by reacting polyols with isocyanates. Most of the polyols used in PU industry originate from petroleum-based source. Depleting resources of fossil energies and initiatives to reduce the emission of greenhouse gases have led to the development and use of renewable biomass resources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&lt;EndNote&gt;&lt;Cite&gt;&lt;Author&gt;Kunioka&lt;/Author&gt;&lt;Year&gt;2010&lt;/Year&gt;&lt;RecNum&gt;1&lt;/RecNum&gt;&lt;DisplayText&gt;[2]&lt;/DisplayText&gt;&lt;record&gt;&lt;rec-number&gt;1&lt;/rec-number&gt;&lt;foreign-keys&gt;&lt;key app="EN" db-id="zrs29aaajta99re0tt1xxv9f9f05waftrw5w"&gt;1&lt;/key&gt;&lt;/foreign-keys&gt;&lt;ref-type name="Journal Article"&gt;17&lt;/ref-type&gt;&lt;contributors&gt;&lt;authors&gt;&lt;author&gt;Kunioka, M.&lt;/author&gt;&lt;/authors&gt;&lt;/contributors&gt;&lt;auth-address&gt;National Institute of Advanced Industrial Science and Technology (AIST), Higashi 1-1-1, Tsukuba, Ibaraki, 305-8565, Japan. m.kunioka@aist.go.jp&lt;/auth-address&gt;&lt;titles&gt;&lt;title&gt;Possible incorporation of petroleum-based carbons in biochemicals produced by bioprocess--biomass carbon ratio measured by accelerator mass spectrometry&lt;/title&gt;&lt;secondary-title&gt;Appl Microbiol Biotechnol&lt;/secondary-title&gt;&lt;/titles&gt;&lt;periodical&gt;&lt;full-title&gt;Appl Microbiol Biotechnol&lt;/full-title&gt;&lt;/periodical&gt;&lt;pages&gt;491-7&lt;/pages&gt;&lt;volume&gt;87&lt;/volume&gt;&lt;number&gt;2&lt;/number&gt;&lt;keywords&gt;&lt;keyword&gt;Biomass&lt;/keyword&gt;&lt;keyword&gt;*Biotechnology&lt;/keyword&gt;&lt;keyword&gt;Carbon/*analysis&lt;/keyword&gt;&lt;keyword&gt;Mass Spectrometry/*methods&lt;/keyword&gt;&lt;keyword&gt;Petroleum/*analysis&lt;/keyword&gt;&lt;/keywords&gt;&lt;dates&gt;&lt;year&gt;2010&lt;/year&gt;&lt;pub-dates&gt;&lt;date&gt;Jun&lt;/date&gt;&lt;/pub-dates&gt;&lt;/dates&gt;&lt;isbn&gt;1432-0614 (Electronic)&amp;#xD;0175-7598 (Linking)&lt;/isbn&gt;&lt;accession-num&gt;20454790&lt;/accession-num&gt;&lt;urls&gt;&lt;related-urls&gt;&lt;url&gt;http://www.ncbi.nlm.nih.gov/pubmed/20454790&lt;/url&gt;&lt;url&gt;https://link.springer.com/article/10.1007%2Fs00253-010-2630-3&lt;/url&gt;&lt;/related-urls&gt;&lt;/urls&gt;&lt;electronic-resource-num&gt;10.1007/s00253-010-2630-3&lt;/electronic-resource-num&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Currently, these renewable resources, </w:t>
      </w:r>
      <w:r w:rsidRPr="00574032">
        <w:rPr>
          <w:rFonts w:ascii="Times New Roman" w:hAnsi="Times New Roman"/>
          <w:bCs/>
          <w:i/>
          <w:sz w:val="20"/>
          <w:szCs w:val="20"/>
          <w:lang w:val="en-GB"/>
        </w:rPr>
        <w:t>e.g.</w:t>
      </w:r>
      <w:r w:rsidRPr="00574032">
        <w:rPr>
          <w:rFonts w:ascii="Times New Roman" w:hAnsi="Times New Roman"/>
          <w:bCs/>
          <w:sz w:val="20"/>
          <w:szCs w:val="20"/>
          <w:lang w:val="en-GB"/>
        </w:rPr>
        <w:t xml:space="preserve"> castor, soybean, canola and palm oils, have been successfully utilized as raw materials for polyols production </w:t>
      </w:r>
      <w:r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[3-8]</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These bio-based polyols have been subsequently incorporated in meaningful volumes in PU foam formulations </w:t>
      </w:r>
      <w:r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[9-12]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w:t>
      </w:r>
    </w:p>
    <w:p w14:paraId="60C75D3C"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5B50AFD8" w14:textId="74DC3FAB"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In some countries, the bio-based content of biomass-based products need to be certified. ‘‘Biomass plastics mark’’ was authorized by Japan Bio-Plastics Association to certify biomass plastics in Japan which were made with at least 25% by weight of biomass to the total amount of the product. Certified products were then listed in the association’s positive list. Furthermore, ‘‘Biomass mark’’ was authorized by Japan Organics Recycling Association to certify biomass-based raw materials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&lt;EndNote&gt;&lt;Cite&gt;&lt;Author&gt;Kunioka&lt;/Author&gt;&lt;Year&gt;2007&lt;/Year&gt;&lt;RecNum&gt;11&lt;/RecNum&gt;&lt;DisplayText&gt;[13]&lt;/DisplayText&gt;&lt;record&gt;&lt;rec-number&gt;11&lt;/rec-number&gt;&lt;foreign-keys&gt;&lt;key app="EN" db-id="zrs29aaajta99re0tt1xxv9f9f05waftrw5w"&gt;11&lt;/key&gt;&lt;/foreign-keys&gt;&lt;ref-type name="Journal Article"&gt;17&lt;/ref-type&gt;&lt;contributors&gt;&lt;authors&gt;&lt;author&gt;Kunioka, Masao&lt;/author&gt;&lt;author&gt;Ninomiya, Fumi&lt;/author&gt;&lt;author&gt;Funabashi, Masahiro&lt;/author&gt;&lt;/authors&gt;&lt;/contributors&gt;&lt;titles&gt;&lt;title&gt;Biobased Contents of Organic Fillers and Polycaprolactone Composites with Cellulose Fillers Measured by Accelerator Mass Spectrometry Based on ASTM D6866&lt;/title&gt;&lt;secondary-title&gt;Journal of Polymers and the Environment&lt;/secondary-title&gt;&lt;/titles&gt;&lt;periodical&gt;&lt;full-title&gt;Journal of Polymers and the Environment&lt;/full-title&gt;&lt;/periodical&gt;&lt;pages&gt;281-287&lt;/pages&gt;&lt;volume&gt;15&lt;/volume&gt;&lt;number&gt;4&lt;/number&gt;&lt;dates&gt;&lt;year&gt;2007&lt;/year&gt;&lt;/dates&gt;&lt;isbn&gt;1566-2543&amp;#xD;1572-8900&lt;/isbn&gt;&lt;urls&gt;&lt;related-urls&gt;&lt;url&gt;https://link.springer.com/article/10.1007%2Fs10924-007-0071-6&lt;/url&gt;&lt;/related-urls&gt;&lt;/urls&gt;&lt;electronic-resource-num&gt;10.1007/s10924-007-0071-6&lt;/electronic-resource-num&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[13]</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Meanwhile, the United States Department of Agriculture obliges companies in the United States that wished to join their ‘’Bio-Preferred Voluntary Labelling Program’’ to submit the American Society of Testing and Materials (ASTM) D6866 product certification. Other certification bodies requiring ASTM D6866 bio-based content testing include Canada’s “EcoLogo” for the CCD-170 standard and Belgium’s “Vinçotte” for its OK Bio-based eco-label system.</w:t>
      </w:r>
    </w:p>
    <w:p w14:paraId="408379E2"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4176E4A2" w14:textId="12775266"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The bio-based content is defined as the ratio of weight of the bio-based carbon in material to the total organic carbon in the product. The ASTM D6866 standard test method regulates that the bio-based content should be calculated from the percent of modern carbon. This standard regulates three measuring methods using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concentration, </w:t>
      </w:r>
      <w:r w:rsidRPr="00574032">
        <w:rPr>
          <w:rFonts w:ascii="Times New Roman" w:hAnsi="Times New Roman"/>
          <w:bCs/>
          <w:i/>
          <w:sz w:val="20"/>
          <w:szCs w:val="20"/>
          <w:lang w:val="en-GB"/>
        </w:rPr>
        <w:t>i.e.</w:t>
      </w:r>
      <w:r w:rsidRPr="00574032">
        <w:rPr>
          <w:rFonts w:ascii="Times New Roman" w:hAnsi="Times New Roman"/>
          <w:bCs/>
          <w:sz w:val="20"/>
          <w:szCs w:val="20"/>
          <w:lang w:val="en-GB"/>
        </w:rPr>
        <w:t xml:space="preserve"> by a liquid scintillation counter (LSC), accelerator mass spectrometry (AMS), or isotope ratio mass spectrometry.</w:t>
      </w:r>
    </w:p>
    <w:p w14:paraId="441C4FF2" w14:textId="17AAF0D9"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All three methods were evaluated and it was found that the most accurate method was AMS and that the benzene synthesis and carbon absorption methods had lower accuracy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&lt;EndNote&gt;&lt;Cite&gt;&lt;Author&gt;Norton&lt;/Author&gt;&lt;Year&gt;2006&lt;/Year&gt;&lt;RecNum&gt;20&lt;/RecNum&gt;&lt;DisplayText&gt;[14]&lt;/DisplayText&gt;&lt;record&gt;&lt;rec-number&gt;20&lt;/rec-number&gt;&lt;foreign-keys&gt;&lt;key app="EN" db-id="zrs29aaajta99re0tt1xxv9f9f05waftrw5w"&gt;20&lt;/key&gt;&lt;/foreign-keys&gt;&lt;ref-type name="Journal Article"&gt;17&lt;/ref-type&gt;&lt;contributors&gt;&lt;authors&gt;&lt;author&gt;Norton, Glenn A&lt;/author&gt;&lt;author&gt;Devlin, Steven L&lt;/author&gt;&lt;/authors&gt;&lt;/contributors&gt;&lt;titles&gt;&lt;title&gt;Determining the modern carbon content of biobased products using radiocarbon analysis&lt;/title&gt;&lt;secondary-title&gt;Bioresource technology&lt;/secondary-title&gt;&lt;/titles&gt;&lt;periodical&gt;&lt;full-title&gt;Bioresource technology&lt;/full-title&gt;&lt;/periodical&gt;&lt;pages&gt;2084-2090&lt;/pages&gt;&lt;volume&gt;97&lt;/volume&gt;&lt;number&gt;16&lt;/number&gt;&lt;dates&gt;&lt;year&gt;2006&lt;/year&gt;&lt;/dates&gt;&lt;isbn&gt;0960-8524&lt;/isbn&gt;&lt;urls&gt;&lt;/urls&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[14]</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The accuracy of all analysing methods, however, was acceptable. Culp et al. compared the accuracy and precision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between natural products and bio-based materials analysed by AMS and LSC. The results showed that accurate and precise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measurements were achievable by both methods </w:t>
      </w:r>
      <w:r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[15-18]</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Each of the three methods has its own advantages and disadvantages. When comparing the duration and cost of analysis, the carbon absorption method is the most preferred method in the industrial application. These different methods have been used to verify bio-based additions to petrochemicals </w:t>
      </w:r>
      <w:r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[19-22]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w:t>
      </w:r>
    </w:p>
    <w:p w14:paraId="0D33D0AE"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17D96DEB"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The method using radiocarbon technique requires the collection of carbon dioxide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of a sample in a suitable absorbing solution. This was carried out using a sample oxidizer, in which the sample material was combusted in an oxygen-enriched atmosphere yielding water vapour and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Physical separation of </w:t>
      </w:r>
      <w:r w:rsidRPr="00574032">
        <w:rPr>
          <w:rFonts w:ascii="Times New Roman" w:hAnsi="Times New Roman"/>
          <w:bCs/>
          <w:sz w:val="20"/>
          <w:szCs w:val="20"/>
          <w:vertAlign w:val="superscript"/>
          <w:lang w:val="en-GB"/>
        </w:rPr>
        <w:t>3</w:t>
      </w:r>
      <w:r w:rsidRPr="00574032">
        <w:rPr>
          <w:rFonts w:ascii="Times New Roman" w:hAnsi="Times New Roman"/>
          <w:bCs/>
          <w:sz w:val="20"/>
          <w:szCs w:val="20"/>
          <w:lang w:val="en-GB"/>
        </w:rPr>
        <w:t xml:space="preserve">H and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radionuclides was then achieved. The separated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 was counted using an LSC. The counts were compared either directly or through secondary standards to the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oxalic acid SRM 4990C with stated uncertainties. Significantly lower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counts indicate the presence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C-depleted carbon. Zero percent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when compared to the standard, signifies an entire lack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C atoms in a material, thus indicating a petroleum-based carbon source.</w:t>
      </w:r>
    </w:p>
    <w:p w14:paraId="0B5A8786"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2B0DC72B" w14:textId="47155BA4"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The analysing method in this present study was performed using carbon absorption because of the simplicity of the process and the variation was acceptable. A radiocarbon technique, involving combustion of samples and counting of the resulting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isotope, was applied to determine the bio-based content of vegetable oils as well as </w:t>
      </w:r>
      <w:r w:rsidRPr="00574032">
        <w:rPr>
          <w:rFonts w:ascii="Times New Roman" w:hAnsi="Times New Roman"/>
          <w:bCs/>
          <w:sz w:val="20"/>
          <w:szCs w:val="20"/>
        </w:rPr>
        <w:t xml:space="preserve">polyols derived from palm oil, </w:t>
      </w:r>
      <w:r w:rsidRPr="00574032">
        <w:rPr>
          <w:rFonts w:ascii="Times New Roman" w:hAnsi="Times New Roman"/>
          <w:bCs/>
          <w:sz w:val="20"/>
          <w:szCs w:val="20"/>
          <w:lang w:val="en-GB"/>
        </w:rPr>
        <w:t>fatty acid methyl ester and castor oil. After collecting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in a suitable absorbing solution, the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cocktails were submitted LSC analysis.</w:t>
      </w:r>
    </w:p>
    <w:p w14:paraId="0AFE68E5" w14:textId="7E9D6920" w:rsidR="00DB3753" w:rsidRDefault="00DB3753" w:rsidP="00DB3753">
      <w:pPr>
        <w:spacing w:after="0"/>
        <w:jc w:val="center"/>
        <w:rPr>
          <w:rFonts w:ascii="Times New Roman" w:hAnsi="Times New Roman"/>
          <w:b/>
          <w:noProof/>
          <w:sz w:val="20"/>
          <w:szCs w:val="20"/>
          <w:lang w:bidi="ar-SA"/>
        </w:rPr>
      </w:pPr>
    </w:p>
    <w:p w14:paraId="17C1D5B4" w14:textId="418D991C" w:rsidR="00BC2DBB" w:rsidRDefault="00BC2DBB" w:rsidP="001123AC">
      <w:pPr>
        <w:spacing w:after="0"/>
        <w:rPr>
          <w:rFonts w:ascii="Times New Roman" w:hAnsi="Times New Roman"/>
          <w:b/>
          <w:noProof/>
          <w:sz w:val="20"/>
          <w:szCs w:val="20"/>
          <w:lang w:bidi="ar-SA"/>
        </w:rPr>
      </w:pPr>
    </w:p>
    <w:p w14:paraId="7037929F" w14:textId="77777777" w:rsidR="00D575B6" w:rsidRDefault="00D575B6" w:rsidP="001123AC">
      <w:pPr>
        <w:spacing w:after="0"/>
        <w:rPr>
          <w:rFonts w:ascii="Times New Roman" w:hAnsi="Times New Roman"/>
          <w:b/>
          <w:noProof/>
          <w:sz w:val="20"/>
          <w:szCs w:val="20"/>
          <w:lang w:bidi="ar-SA"/>
        </w:rPr>
      </w:pPr>
    </w:p>
    <w:p w14:paraId="47DA0DA7" w14:textId="22C8C370" w:rsidR="00DB3753" w:rsidRPr="004673AB" w:rsidRDefault="00DB3753" w:rsidP="00DB3753">
      <w:pPr>
        <w:spacing w:after="0"/>
        <w:jc w:val="center"/>
        <w:rPr>
          <w:rFonts w:ascii="Times New Roman" w:hAnsi="Times New Roman"/>
          <w:b/>
          <w:noProof/>
          <w:sz w:val="20"/>
          <w:szCs w:val="20"/>
          <w:lang w:bidi="ar-SA"/>
        </w:rPr>
      </w:pPr>
      <w:r w:rsidRPr="004673AB">
        <w:rPr>
          <w:rFonts w:ascii="Times New Roman" w:hAnsi="Times New Roman"/>
          <w:b/>
          <w:noProof/>
          <w:sz w:val="20"/>
          <w:szCs w:val="20"/>
          <w:lang w:bidi="ar-SA"/>
        </w:rPr>
        <w:lastRenderedPageBreak/>
        <w:t>Materials and Methods</w:t>
      </w:r>
    </w:p>
    <w:p w14:paraId="134A92C4" w14:textId="77777777" w:rsidR="00DB3753" w:rsidRPr="004673AB" w:rsidRDefault="00DB3753" w:rsidP="00DB3753">
      <w:pPr>
        <w:pStyle w:val="ListParagraph"/>
        <w:spacing w:after="0"/>
        <w:ind w:left="0"/>
        <w:contextualSpacing w:val="0"/>
        <w:jc w:val="both"/>
        <w:rPr>
          <w:rFonts w:ascii="Times New Roman" w:hAnsi="Times New Roman"/>
          <w:b/>
          <w:sz w:val="20"/>
          <w:szCs w:val="20"/>
          <w:lang w:val="en-GB" w:eastAsia="en-GB"/>
        </w:rPr>
      </w:pPr>
      <w:r w:rsidRPr="004673AB">
        <w:rPr>
          <w:rFonts w:ascii="Times New Roman" w:hAnsi="Times New Roman"/>
          <w:b/>
          <w:sz w:val="20"/>
          <w:szCs w:val="20"/>
          <w:lang w:val="en-GB" w:eastAsia="en-GB"/>
        </w:rPr>
        <w:t>Chemicals and standards</w:t>
      </w:r>
    </w:p>
    <w:p w14:paraId="2EED2D8A"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 xml:space="preserve">Vegetable oils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palm oil, canola oil, soybean oil, olive oil and sunflower oil were purchased from overseas supplier. Castor oil and its polyols (HCO-25, CO-25 and CO-5) were purchased from Troy Polymers Inc. USA.</w:t>
      </w:r>
    </w:p>
    <w:p w14:paraId="5BF8D3C8"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p>
    <w:p w14:paraId="73E198E3"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Refined, bleached and deodorised palm olein was acquired from Southern Edible Oil Industries, Malaysia. Epoxidized palm olein (</w:t>
      </w:r>
      <w:r w:rsidRPr="004673AB">
        <w:rPr>
          <w:rFonts w:ascii="Times New Roman" w:hAnsi="Times New Roman"/>
          <w:sz w:val="20"/>
          <w:szCs w:val="20"/>
          <w:lang w:val="en-MY" w:eastAsia="zh-CN"/>
        </w:rPr>
        <w:t>EPOo</w:t>
      </w:r>
      <w:r w:rsidRPr="004673AB">
        <w:rPr>
          <w:rFonts w:ascii="Times New Roman" w:hAnsi="Times New Roman"/>
          <w:sz w:val="20"/>
          <w:szCs w:val="20"/>
          <w:lang w:val="en-GB" w:eastAsia="zh-CN"/>
        </w:rPr>
        <w:t xml:space="preserve">) and all the polyols resulting from the ring-opening with different alcohols were obtained from the Polymer and Composite group of Malaysian Palm Oil Board (MPOB) </w:t>
      </w:r>
      <w:r w:rsidRPr="004673AB">
        <w:rPr>
          <w:rFonts w:ascii="Times New Roman" w:hAnsi="Times New Roman"/>
          <w:sz w:val="20"/>
          <w:szCs w:val="20"/>
          <w:lang w:val="en-GB" w:eastAsia="zh-CN"/>
        </w:rPr>
        <w:fldChar w:fldCharType="begin"/>
      </w:r>
      <w:r w:rsidRPr="004673AB">
        <w:rPr>
          <w:rFonts w:ascii="Times New Roman" w:hAnsi="Times New Roman"/>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Pr="004673AB">
        <w:rPr>
          <w:rFonts w:ascii="Times New Roman" w:hAnsi="Times New Roman"/>
          <w:sz w:val="20"/>
          <w:szCs w:val="20"/>
          <w:lang w:val="en-GB" w:eastAsia="zh-CN"/>
        </w:rPr>
        <w:fldChar w:fldCharType="separate"/>
      </w:r>
      <w:r w:rsidRPr="004673AB">
        <w:rPr>
          <w:rFonts w:ascii="Times New Roman" w:hAnsi="Times New Roman"/>
          <w:noProof/>
          <w:sz w:val="20"/>
          <w:szCs w:val="20"/>
          <w:lang w:val="en-GB" w:eastAsia="zh-CN"/>
        </w:rPr>
        <w:t>[7]</w:t>
      </w:r>
      <w:r w:rsidRPr="004673AB">
        <w:rPr>
          <w:rFonts w:ascii="Times New Roman" w:hAnsi="Times New Roman"/>
          <w:sz w:val="20"/>
          <w:szCs w:val="20"/>
          <w:lang w:val="en-GB" w:eastAsia="zh-CN"/>
        </w:rPr>
        <w:fldChar w:fldCharType="end"/>
      </w:r>
      <w:r w:rsidRPr="004673AB">
        <w:rPr>
          <w:rFonts w:ascii="Times New Roman" w:hAnsi="Times New Roman"/>
          <w:sz w:val="20"/>
          <w:szCs w:val="20"/>
          <w:lang w:val="en-GB" w:eastAsia="zh-CN"/>
        </w:rPr>
        <w:t xml:space="preserve">. The ring-opening syntheses were conducted with different types of alcohol,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 xml:space="preserve">methanol, 1,2-ethanediol, 1,2-propanediol, 1,3-propanediol, bio-based 1,3-propanediol, 1,5-pentanediol and 1,6-hexanediol; and the polyols obtained were denoted as </w:t>
      </w:r>
      <w:r w:rsidRPr="004673AB">
        <w:rPr>
          <w:rFonts w:ascii="Times New Roman" w:hAnsi="Times New Roman"/>
          <w:sz w:val="20"/>
          <w:szCs w:val="20"/>
          <w:lang w:val="en-MY" w:eastAsia="zh-CN"/>
        </w:rPr>
        <w:t>POoP M</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E135</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PG</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PDO</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Bio PDO</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PTDO</w:t>
      </w:r>
      <w:r w:rsidRPr="004673AB">
        <w:rPr>
          <w:rFonts w:ascii="Times New Roman" w:hAnsi="Times New Roman"/>
          <w:sz w:val="20"/>
          <w:szCs w:val="20"/>
          <w:lang w:val="en-GB" w:eastAsia="zh-CN"/>
        </w:rPr>
        <w:t xml:space="preserve"> and </w:t>
      </w:r>
      <w:r w:rsidRPr="004673AB">
        <w:rPr>
          <w:rFonts w:ascii="Times New Roman" w:hAnsi="Times New Roman"/>
          <w:sz w:val="20"/>
          <w:szCs w:val="20"/>
          <w:lang w:val="en-MY" w:eastAsia="zh-CN"/>
        </w:rPr>
        <w:t>POoP HDO, respectively.</w:t>
      </w:r>
      <w:r w:rsidRPr="004673AB">
        <w:rPr>
          <w:rFonts w:ascii="Times New Roman" w:hAnsi="Times New Roman"/>
          <w:sz w:val="20"/>
          <w:szCs w:val="20"/>
          <w:lang w:val="en-GB" w:eastAsia="zh-CN"/>
        </w:rPr>
        <w:t xml:space="preserve"> A commercial polyol was obtained from a local polyol producer.</w:t>
      </w:r>
    </w:p>
    <w:p w14:paraId="30B3389F"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p>
    <w:p w14:paraId="669004D9" w14:textId="184C3ABE" w:rsidR="00DB3753"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Fatty acid methyl ester (FAME), containing 74.2% of C</w:t>
      </w:r>
      <w:r w:rsidRPr="004673AB">
        <w:rPr>
          <w:rFonts w:ascii="Times New Roman" w:hAnsi="Times New Roman"/>
          <w:sz w:val="20"/>
          <w:szCs w:val="20"/>
          <w:vertAlign w:val="subscript"/>
          <w:lang w:val="en-GB" w:eastAsia="zh-CN"/>
        </w:rPr>
        <w:t>18:1</w:t>
      </w:r>
      <w:r w:rsidRPr="004673AB">
        <w:rPr>
          <w:rFonts w:ascii="Times New Roman" w:hAnsi="Times New Roman"/>
          <w:sz w:val="20"/>
          <w:szCs w:val="20"/>
          <w:lang w:val="en-GB" w:eastAsia="zh-CN"/>
        </w:rPr>
        <w:t xml:space="preserve"> methyl, was acquired from Carotino, Malaysia. Epoxidized FAME (E-FAME) and all the polyols resulting from the ring-opening with different alcohols  were obtained from the Polymer and Composite group of MPOB </w:t>
      </w:r>
      <w:r w:rsidRPr="004673AB">
        <w:rPr>
          <w:rFonts w:ascii="Times New Roman" w:hAnsi="Times New Roman"/>
          <w:sz w:val="20"/>
          <w:szCs w:val="20"/>
          <w:lang w:val="en-GB" w:eastAsia="zh-CN"/>
        </w:rPr>
        <w:fldChar w:fldCharType="begin"/>
      </w:r>
      <w:r w:rsidRPr="004673AB">
        <w:rPr>
          <w:rFonts w:ascii="Times New Roman" w:hAnsi="Times New Roman"/>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Pr="004673AB">
        <w:rPr>
          <w:rFonts w:ascii="Times New Roman" w:hAnsi="Times New Roman"/>
          <w:sz w:val="20"/>
          <w:szCs w:val="20"/>
          <w:lang w:val="en-GB" w:eastAsia="zh-CN"/>
        </w:rPr>
        <w:fldChar w:fldCharType="separate"/>
      </w:r>
      <w:r w:rsidRPr="004673AB">
        <w:rPr>
          <w:rFonts w:ascii="Times New Roman" w:hAnsi="Times New Roman"/>
          <w:noProof/>
          <w:sz w:val="20"/>
          <w:szCs w:val="20"/>
          <w:lang w:val="en-GB" w:eastAsia="zh-CN"/>
        </w:rPr>
        <w:t>[5]</w:t>
      </w:r>
      <w:r w:rsidRPr="004673AB">
        <w:rPr>
          <w:rFonts w:ascii="Times New Roman" w:hAnsi="Times New Roman"/>
          <w:sz w:val="20"/>
          <w:szCs w:val="20"/>
          <w:lang w:val="en-GB" w:eastAsia="zh-CN"/>
        </w:rPr>
        <w:fldChar w:fldCharType="end"/>
      </w:r>
      <w:r w:rsidRPr="004673AB">
        <w:rPr>
          <w:rFonts w:ascii="Times New Roman" w:hAnsi="Times New Roman"/>
          <w:sz w:val="20"/>
          <w:szCs w:val="20"/>
          <w:lang w:val="en-GB" w:eastAsia="zh-CN"/>
        </w:rPr>
        <w:t xml:space="preserve">. The ring-opening syntheses were conducted with different types of alcohol,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1,3-propanediol, bio-based 1,3-propanediol, 1,4-butanediol, 1,5-pentanediol, 1,6-hexanediol and water; and the polyols obtained were denoted as PolyFAME PDO, PolyFAME Bio PDO, PolyFAME BDO, PolyFAME PTDO, PolyFAME HDO and PolyFAME H, respectively. Susterra® propanediol (DuPont, US) was used without further modification.</w:t>
      </w:r>
    </w:p>
    <w:p w14:paraId="3F7644F2" w14:textId="77777777" w:rsidR="00DB3753" w:rsidRDefault="00DB3753" w:rsidP="00DB3753">
      <w:pPr>
        <w:pStyle w:val="ListParagraph"/>
        <w:spacing w:after="0"/>
        <w:ind w:left="0"/>
        <w:contextualSpacing w:val="0"/>
        <w:jc w:val="both"/>
        <w:rPr>
          <w:rFonts w:ascii="Times New Roman" w:hAnsi="Times New Roman"/>
          <w:sz w:val="20"/>
          <w:szCs w:val="20"/>
          <w:lang w:val="en-GB" w:eastAsia="zh-CN"/>
        </w:rPr>
      </w:pPr>
    </w:p>
    <w:p w14:paraId="123181E2" w14:textId="77777777" w:rsidR="00DB3753" w:rsidRPr="004673AB" w:rsidRDefault="00DB3753" w:rsidP="00DB3753">
      <w:pPr>
        <w:pStyle w:val="ListParagraph"/>
        <w:spacing w:after="0"/>
        <w:ind w:left="0"/>
        <w:contextualSpacing w:val="0"/>
        <w:jc w:val="both"/>
        <w:rPr>
          <w:rFonts w:ascii="Times New Roman" w:hAnsi="Times New Roman"/>
          <w:sz w:val="20"/>
          <w:szCs w:val="20"/>
          <w:lang w:eastAsia="zh-CN"/>
        </w:rPr>
      </w:pPr>
      <w:r w:rsidRPr="004673AB">
        <w:rPr>
          <w:rFonts w:ascii="Times New Roman" w:hAnsi="Times New Roman"/>
          <w:sz w:val="20"/>
          <w:szCs w:val="20"/>
          <w:lang w:eastAsia="zh-CN"/>
        </w:rPr>
        <w:t xml:space="preserve">Amine (CarboSorb E) and scintillation cocktail (PermaFluor E+) were purchased from PerkinElmer (US). High DPM </w:t>
      </w:r>
      <w:r w:rsidRPr="004673AB">
        <w:rPr>
          <w:rFonts w:ascii="Times New Roman" w:hAnsi="Times New Roman"/>
          <w:sz w:val="20"/>
          <w:szCs w:val="20"/>
          <w:vertAlign w:val="superscript"/>
          <w:lang w:eastAsia="zh-CN"/>
        </w:rPr>
        <w:t>14</w:t>
      </w:r>
      <w:r w:rsidRPr="004673AB">
        <w:rPr>
          <w:rFonts w:ascii="Times New Roman" w:hAnsi="Times New Roman"/>
          <w:sz w:val="20"/>
          <w:szCs w:val="20"/>
          <w:lang w:eastAsia="zh-CN"/>
        </w:rPr>
        <w:t xml:space="preserve">C Spec Chec standard solution was purchased from PerkinElmer (US) with a radioactivity level of 826,000 DPM mL-1 ± 2.474 %. National Institute of Standards and Technology (NIST) standard reference material 4990C (oxalic acid) was purchased from PerkinElmer (US) with a ratio of </w:t>
      </w:r>
      <w:r w:rsidRPr="004673AB">
        <w:rPr>
          <w:rFonts w:ascii="Times New Roman" w:hAnsi="Times New Roman"/>
          <w:sz w:val="20"/>
          <w:szCs w:val="20"/>
          <w:vertAlign w:val="superscript"/>
          <w:lang w:eastAsia="zh-CN"/>
        </w:rPr>
        <w:t>14</w:t>
      </w:r>
      <w:r w:rsidRPr="004673AB">
        <w:rPr>
          <w:rFonts w:ascii="Times New Roman" w:hAnsi="Times New Roman"/>
          <w:sz w:val="20"/>
          <w:szCs w:val="20"/>
          <w:lang w:eastAsia="zh-CN"/>
        </w:rPr>
        <w:t>C massique activity of 1.2933 ± 0.0004.</w:t>
      </w:r>
    </w:p>
    <w:p w14:paraId="7C216DBB" w14:textId="77777777" w:rsidR="00DB3753" w:rsidRPr="004673AB" w:rsidRDefault="00DB3753" w:rsidP="00DB3753">
      <w:pPr>
        <w:pStyle w:val="ListParagraph"/>
        <w:spacing w:after="0"/>
        <w:ind w:left="0"/>
        <w:contextualSpacing w:val="0"/>
        <w:jc w:val="both"/>
        <w:rPr>
          <w:rFonts w:ascii="Times New Roman" w:hAnsi="Times New Roman"/>
          <w:b/>
          <w:sz w:val="20"/>
          <w:szCs w:val="20"/>
          <w:lang w:val="en-GB" w:eastAsia="zh-CN"/>
        </w:rPr>
      </w:pPr>
      <w:r w:rsidRPr="004673AB">
        <w:rPr>
          <w:rFonts w:ascii="Times New Roman" w:hAnsi="Times New Roman"/>
          <w:b/>
          <w:sz w:val="20"/>
          <w:szCs w:val="20"/>
          <w:lang w:val="en-GB" w:eastAsia="zh-CN"/>
        </w:rPr>
        <w:t>Preparation of samples</w:t>
      </w:r>
    </w:p>
    <w:p w14:paraId="297B9F83"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All samples were homogenized before weighing. The liquid samples were weighed onto a combusto-pad, which were then placed on a combusto-cone.</w:t>
      </w:r>
    </w:p>
    <w:p w14:paraId="06A332BE" w14:textId="77777777" w:rsidR="00DB3753" w:rsidRPr="004673AB" w:rsidRDefault="00DB3753" w:rsidP="00DB3753">
      <w:pPr>
        <w:pStyle w:val="ListParagraph"/>
        <w:spacing w:after="0"/>
        <w:ind w:left="0"/>
        <w:contextualSpacing w:val="0"/>
        <w:jc w:val="both"/>
        <w:rPr>
          <w:rFonts w:ascii="Times New Roman" w:hAnsi="Times New Roman"/>
          <w:b/>
          <w:bCs/>
          <w:sz w:val="20"/>
          <w:szCs w:val="20"/>
          <w:lang w:val="en-GB" w:eastAsia="zh-CN"/>
        </w:rPr>
      </w:pPr>
    </w:p>
    <w:p w14:paraId="3DDE67CF" w14:textId="77777777" w:rsidR="00DB3753" w:rsidRPr="004673AB" w:rsidRDefault="00DB3753" w:rsidP="00DB3753">
      <w:pPr>
        <w:pStyle w:val="ListParagraph"/>
        <w:spacing w:after="0"/>
        <w:ind w:left="0"/>
        <w:contextualSpacing w:val="0"/>
        <w:jc w:val="both"/>
        <w:rPr>
          <w:rFonts w:ascii="Times New Roman" w:hAnsi="Times New Roman"/>
          <w:b/>
          <w:bCs/>
          <w:sz w:val="20"/>
          <w:szCs w:val="20"/>
          <w:lang w:val="en-GB" w:eastAsia="zh-CN"/>
        </w:rPr>
      </w:pPr>
      <w:r w:rsidRPr="004673AB">
        <w:rPr>
          <w:rFonts w:ascii="Times New Roman" w:hAnsi="Times New Roman"/>
          <w:b/>
          <w:bCs/>
          <w:sz w:val="20"/>
          <w:szCs w:val="20"/>
          <w:lang w:val="en-GB" w:eastAsia="zh-CN"/>
        </w:rPr>
        <w:t>Combustion of samples</w:t>
      </w:r>
    </w:p>
    <w:p w14:paraId="1841404D"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r w:rsidRPr="004673AB">
        <w:rPr>
          <w:rFonts w:ascii="Times New Roman" w:hAnsi="Times New Roman"/>
          <w:bCs/>
          <w:sz w:val="20"/>
          <w:szCs w:val="20"/>
          <w:lang w:val="en-MY" w:eastAsia="zh-CN"/>
        </w:rPr>
        <w:t xml:space="preserve">Samples combustion was performed using a PerkinElmer Sample Oxidizer Model 307 (US). A portion of the sample was combusted until the absence of visible residue, which took 0.5 to 2 minutes. After the combustion, two separate samples; a sample of </w:t>
      </w:r>
      <w:r w:rsidRPr="004673AB">
        <w:rPr>
          <w:rFonts w:ascii="Times New Roman" w:hAnsi="Times New Roman"/>
          <w:bCs/>
          <w:sz w:val="20"/>
          <w:szCs w:val="20"/>
          <w:vertAlign w:val="superscript"/>
          <w:lang w:val="en-MY" w:eastAsia="zh-CN"/>
        </w:rPr>
        <w:t>3</w:t>
      </w:r>
      <w:r w:rsidRPr="004673AB">
        <w:rPr>
          <w:rFonts w:ascii="Times New Roman" w:hAnsi="Times New Roman"/>
          <w:bCs/>
          <w:sz w:val="20"/>
          <w:szCs w:val="20"/>
          <w:lang w:val="en-MY" w:eastAsia="zh-CN"/>
        </w:rPr>
        <w:t xml:space="preserve">H (water) and a sample of </w:t>
      </w:r>
      <w:r w:rsidRPr="004673AB">
        <w:rPr>
          <w:rFonts w:ascii="Times New Roman" w:hAnsi="Times New Roman"/>
          <w:bCs/>
          <w:sz w:val="20"/>
          <w:szCs w:val="20"/>
          <w:vertAlign w:val="superscript"/>
          <w:lang w:val="en-MY" w:eastAsia="zh-CN"/>
        </w:rPr>
        <w:t>14</w:t>
      </w:r>
      <w:r w:rsidRPr="004673AB">
        <w:rPr>
          <w:rFonts w:ascii="Times New Roman" w:hAnsi="Times New Roman"/>
          <w:bCs/>
          <w:sz w:val="20"/>
          <w:szCs w:val="20"/>
          <w:lang w:val="en-MY" w:eastAsia="zh-CN"/>
        </w:rPr>
        <w:t>C (</w:t>
      </w:r>
      <w:r w:rsidRPr="004673AB">
        <w:rPr>
          <w:rFonts w:ascii="Times New Roman" w:hAnsi="Times New Roman"/>
          <w:bCs/>
          <w:sz w:val="20"/>
          <w:szCs w:val="20"/>
          <w:lang w:val="en-GB" w:eastAsia="zh-CN"/>
        </w:rPr>
        <w:t>CO</w:t>
      </w:r>
      <w:r w:rsidRPr="004673AB">
        <w:rPr>
          <w:rFonts w:ascii="Times New Roman" w:hAnsi="Times New Roman"/>
          <w:bCs/>
          <w:sz w:val="20"/>
          <w:szCs w:val="20"/>
          <w:vertAlign w:val="subscript"/>
          <w:lang w:val="en-GB" w:eastAsia="zh-CN"/>
        </w:rPr>
        <w:t>2</w:t>
      </w:r>
      <w:r w:rsidRPr="004673AB">
        <w:rPr>
          <w:rFonts w:ascii="Times New Roman" w:hAnsi="Times New Roman"/>
          <w:bCs/>
          <w:sz w:val="20"/>
          <w:szCs w:val="20"/>
          <w:lang w:val="en-MY" w:eastAsia="zh-CN"/>
        </w:rPr>
        <w:t>) were trapped at ambient temperature in a 20 mL Teflon-coated low diffusion polyethylene vials (PerkinElmer).</w:t>
      </w:r>
    </w:p>
    <w:p w14:paraId="1A4C841F"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p>
    <w:p w14:paraId="04754AF1" w14:textId="45D4D990" w:rsidR="00DB3753" w:rsidRDefault="00DB3753" w:rsidP="00DB3753">
      <w:pPr>
        <w:pStyle w:val="ListParagraph"/>
        <w:spacing w:after="0"/>
        <w:ind w:left="0"/>
        <w:contextualSpacing w:val="0"/>
        <w:jc w:val="both"/>
        <w:rPr>
          <w:rFonts w:ascii="Times New Roman" w:hAnsi="Times New Roman"/>
          <w:bCs/>
          <w:sz w:val="20"/>
          <w:szCs w:val="20"/>
          <w:lang w:val="en-MY" w:eastAsia="zh-CN"/>
        </w:rPr>
      </w:pPr>
      <w:r w:rsidRPr="004673AB">
        <w:rPr>
          <w:rFonts w:ascii="Times New Roman" w:hAnsi="Times New Roman"/>
          <w:bCs/>
          <w:sz w:val="20"/>
          <w:szCs w:val="20"/>
          <w:lang w:val="en-MY" w:eastAsia="zh-CN"/>
        </w:rPr>
        <w:t xml:space="preserve">The water was condensed in a cooled coil and was then washed into a vial where it was mixed with an appropriate scintillation cocktail (Monophase S). The </w:t>
      </w:r>
      <w:r w:rsidRPr="004673AB">
        <w:rPr>
          <w:rFonts w:ascii="Times New Roman" w:hAnsi="Times New Roman"/>
          <w:bCs/>
          <w:sz w:val="20"/>
          <w:szCs w:val="20"/>
          <w:lang w:val="en-GB" w:eastAsia="zh-CN"/>
        </w:rPr>
        <w:t>CO</w:t>
      </w:r>
      <w:r w:rsidRPr="004673AB">
        <w:rPr>
          <w:rFonts w:ascii="Times New Roman" w:hAnsi="Times New Roman"/>
          <w:bCs/>
          <w:sz w:val="20"/>
          <w:szCs w:val="20"/>
          <w:vertAlign w:val="subscript"/>
          <w:lang w:val="en-GB" w:eastAsia="zh-CN"/>
        </w:rPr>
        <w:t>2</w:t>
      </w:r>
      <w:r w:rsidRPr="004673AB">
        <w:rPr>
          <w:rFonts w:ascii="Times New Roman" w:hAnsi="Times New Roman"/>
          <w:bCs/>
          <w:sz w:val="20"/>
          <w:szCs w:val="20"/>
          <w:lang w:val="en-MY" w:eastAsia="zh-CN"/>
        </w:rPr>
        <w:t xml:space="preserve"> was trapped by a vapour-phase reaction with an amine (CarboSorb E), that formed into carbamate, which was then mixed with an appropriate scintillation cocktail (PermaFluor E+). The flow diagram of the 307 Sample Oxidizer is presented in </w:t>
      </w:r>
      <w:r w:rsidRPr="004673AB">
        <w:rPr>
          <w:rFonts w:ascii="Times New Roman" w:hAnsi="Times New Roman"/>
          <w:bCs/>
          <w:sz w:val="20"/>
          <w:szCs w:val="20"/>
          <w:lang w:val="en-MY" w:eastAsia="zh-CN"/>
        </w:rPr>
        <w:fldChar w:fldCharType="begin"/>
      </w:r>
      <w:r w:rsidRPr="004673AB">
        <w:rPr>
          <w:rFonts w:ascii="Times New Roman" w:hAnsi="Times New Roman"/>
          <w:bCs/>
          <w:sz w:val="20"/>
          <w:szCs w:val="20"/>
          <w:lang w:val="en-MY" w:eastAsia="zh-CN"/>
        </w:rPr>
        <w:instrText xml:space="preserve"> REF _Ref503943630 \h  \* MERGEFORMAT </w:instrText>
      </w:r>
      <w:r w:rsidRPr="004673AB">
        <w:rPr>
          <w:rFonts w:ascii="Times New Roman" w:hAnsi="Times New Roman"/>
          <w:bCs/>
          <w:sz w:val="20"/>
          <w:szCs w:val="20"/>
          <w:lang w:val="en-MY" w:eastAsia="zh-CN"/>
        </w:rPr>
      </w:r>
      <w:r w:rsidRPr="004673AB">
        <w:rPr>
          <w:rFonts w:ascii="Times New Roman" w:hAnsi="Times New Roman"/>
          <w:bCs/>
          <w:sz w:val="20"/>
          <w:szCs w:val="20"/>
          <w:lang w:val="en-MY" w:eastAsia="zh-CN"/>
        </w:rPr>
        <w:fldChar w:fldCharType="separate"/>
      </w:r>
      <w:r w:rsidR="00D575B6" w:rsidRPr="00D575B6">
        <w:rPr>
          <w:rFonts w:ascii="Times New Roman" w:hAnsi="Times New Roman"/>
          <w:sz w:val="20"/>
          <w:szCs w:val="20"/>
          <w:lang w:eastAsia="zh-CN"/>
        </w:rPr>
        <w:t>Figure 1</w:t>
      </w:r>
      <w:r w:rsidRPr="004673AB">
        <w:rPr>
          <w:rFonts w:ascii="Times New Roman" w:hAnsi="Times New Roman"/>
          <w:sz w:val="20"/>
          <w:szCs w:val="20"/>
          <w:lang w:eastAsia="zh-CN"/>
        </w:rPr>
        <w:fldChar w:fldCharType="end"/>
      </w:r>
      <w:r w:rsidRPr="004673AB">
        <w:rPr>
          <w:rFonts w:ascii="Times New Roman" w:hAnsi="Times New Roman"/>
          <w:bCs/>
          <w:sz w:val="20"/>
          <w:szCs w:val="20"/>
          <w:lang w:val="en-MY" w:eastAsia="zh-CN"/>
        </w:rPr>
        <w:t>.</w:t>
      </w:r>
    </w:p>
    <w:p w14:paraId="78CB4CCA"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p>
    <w:p w14:paraId="5D26D47B" w14:textId="77777777" w:rsidR="00DB3753" w:rsidRPr="004673AB" w:rsidRDefault="00DB3753" w:rsidP="00DB3753">
      <w:pPr>
        <w:spacing w:after="0"/>
        <w:jc w:val="both"/>
        <w:rPr>
          <w:rFonts w:ascii="Times New Roman" w:hAnsi="Times New Roman"/>
          <w:sz w:val="20"/>
          <w:szCs w:val="20"/>
          <w:lang w:val="en-GB" w:eastAsia="zh-CN"/>
        </w:rPr>
      </w:pPr>
      <w:r w:rsidRPr="004673AB">
        <w:rPr>
          <w:rFonts w:ascii="Times New Roman" w:hAnsi="Times New Roman"/>
          <w:b/>
          <w:sz w:val="20"/>
          <w:szCs w:val="20"/>
          <w:lang w:val="en-GB" w:eastAsia="zh-CN"/>
        </w:rPr>
        <w:t>Counting of samples</w:t>
      </w:r>
    </w:p>
    <w:p w14:paraId="35B24F12" w14:textId="77777777" w:rsidR="00DB3753" w:rsidRPr="004673AB" w:rsidRDefault="00DB3753" w:rsidP="00DB3753">
      <w:pPr>
        <w:spacing w:after="0"/>
        <w:jc w:val="both"/>
        <w:rPr>
          <w:rFonts w:ascii="Times New Roman" w:hAnsi="Times New Roman"/>
          <w:bCs/>
          <w:sz w:val="20"/>
          <w:szCs w:val="20"/>
          <w:lang w:val="en-GB" w:eastAsia="zh-CN"/>
        </w:rPr>
      </w:pPr>
      <w:r w:rsidRPr="004673AB">
        <w:rPr>
          <w:rFonts w:ascii="Times New Roman" w:hAnsi="Times New Roman"/>
          <w:bCs/>
          <w:sz w:val="20"/>
          <w:szCs w:val="20"/>
          <w:lang w:val="en-GB" w:eastAsia="zh-CN"/>
        </w:rPr>
        <w:t xml:space="preserve">After combustion, activity concentrations of </w:t>
      </w:r>
      <w:r w:rsidRPr="004673AB">
        <w:rPr>
          <w:rFonts w:ascii="Times New Roman" w:hAnsi="Times New Roman"/>
          <w:bCs/>
          <w:sz w:val="20"/>
          <w:szCs w:val="20"/>
          <w:vertAlign w:val="superscript"/>
          <w:lang w:val="en-GB" w:eastAsia="zh-CN"/>
        </w:rPr>
        <w:t>14</w:t>
      </w:r>
      <w:r w:rsidRPr="004673AB">
        <w:rPr>
          <w:rFonts w:ascii="Times New Roman" w:hAnsi="Times New Roman"/>
          <w:bCs/>
          <w:sz w:val="20"/>
          <w:szCs w:val="20"/>
          <w:lang w:val="en-GB" w:eastAsia="zh-CN"/>
        </w:rPr>
        <w:t>C isotopes of the samples were determined using a PerkinElmer Tri-Carb 2910TR Low Activity Liquid Scintillation Counter (Illinois, US) with an external standard (</w:t>
      </w:r>
      <w:r w:rsidRPr="004673AB">
        <w:rPr>
          <w:rFonts w:ascii="Times New Roman" w:hAnsi="Times New Roman"/>
          <w:bCs/>
          <w:sz w:val="20"/>
          <w:szCs w:val="20"/>
          <w:vertAlign w:val="superscript"/>
          <w:lang w:val="en-GB" w:eastAsia="zh-CN"/>
        </w:rPr>
        <w:t>133</w:t>
      </w:r>
      <w:r w:rsidRPr="004673AB">
        <w:rPr>
          <w:rFonts w:ascii="Times New Roman" w:hAnsi="Times New Roman"/>
          <w:bCs/>
          <w:sz w:val="20"/>
          <w:szCs w:val="20"/>
          <w:lang w:val="en-GB" w:eastAsia="zh-CN"/>
        </w:rPr>
        <w:t>Ba) which allows the measuring of external spectral quench parameter (transformed spectral index of external standard [tSIE]). The analytical results were determined using QuantaSmart</w:t>
      </w:r>
      <w:r w:rsidRPr="004673AB">
        <w:rPr>
          <w:rFonts w:ascii="Times New Roman" w:hAnsi="Times New Roman"/>
          <w:bCs/>
          <w:sz w:val="20"/>
          <w:szCs w:val="20"/>
          <w:vertAlign w:val="superscript"/>
          <w:lang w:val="en-GB" w:eastAsia="zh-CN"/>
        </w:rPr>
        <w:t>TM</w:t>
      </w:r>
      <w:r w:rsidRPr="004673AB">
        <w:rPr>
          <w:rFonts w:ascii="Times New Roman" w:hAnsi="Times New Roman"/>
          <w:bCs/>
          <w:sz w:val="20"/>
          <w:szCs w:val="20"/>
          <w:lang w:val="en-GB" w:eastAsia="zh-CN"/>
        </w:rPr>
        <w:t xml:space="preserve"> program.</w:t>
      </w:r>
    </w:p>
    <w:p w14:paraId="14903DF5" w14:textId="77777777" w:rsidR="00DB3753" w:rsidRPr="004673AB" w:rsidRDefault="00DB3753" w:rsidP="00DB3753">
      <w:pPr>
        <w:spacing w:after="0"/>
        <w:jc w:val="both"/>
        <w:rPr>
          <w:rFonts w:ascii="Times New Roman" w:hAnsi="Times New Roman"/>
          <w:bCs/>
          <w:sz w:val="20"/>
          <w:szCs w:val="20"/>
          <w:lang w:val="en-GB" w:eastAsia="zh-CN"/>
        </w:rPr>
      </w:pPr>
    </w:p>
    <w:p w14:paraId="7CA5A05D" w14:textId="12B39AD6" w:rsidR="00DB3753" w:rsidRDefault="00DB3753" w:rsidP="00DB3753">
      <w:pPr>
        <w:spacing w:after="0"/>
        <w:jc w:val="both"/>
        <w:rPr>
          <w:rFonts w:ascii="Times New Roman" w:hAnsi="Times New Roman"/>
          <w:bCs/>
          <w:sz w:val="20"/>
          <w:szCs w:val="20"/>
          <w:lang w:val="en-GB" w:eastAsia="zh-CN"/>
        </w:rPr>
      </w:pPr>
      <w:r w:rsidRPr="004673AB">
        <w:rPr>
          <w:rFonts w:ascii="Times New Roman" w:hAnsi="Times New Roman"/>
          <w:bCs/>
          <w:sz w:val="20"/>
          <w:szCs w:val="20"/>
          <w:lang w:val="en-IE" w:eastAsia="zh-CN"/>
        </w:rPr>
        <w:t xml:space="preserve">A quench curve was constructed to determine the counting efficiency of each unknown sample. </w:t>
      </w:r>
      <w:r w:rsidRPr="004673AB">
        <w:rPr>
          <w:rFonts w:ascii="Times New Roman" w:hAnsi="Times New Roman"/>
          <w:sz w:val="20"/>
          <w:szCs w:val="20"/>
          <w:lang w:val="en-GB" w:eastAsia="zh-CN"/>
        </w:rPr>
        <w:t xml:space="preserve">A quench standard curve is a series of standards in which the absolute radioactivity (DPM) per vial is constant and the amount of quench increases from vial to vial. A quench curve uses the relationship between counting efficiency and tSIE to correct the measured CPM to DPM. When a quench curve is made, the DPM value in each standard is known. Each standard was counted and the CPM was measured. The counting efficiency was calculated using </w:t>
      </w:r>
      <w:r w:rsidRPr="004673AB">
        <w:rPr>
          <w:rFonts w:ascii="Times New Roman" w:hAnsi="Times New Roman"/>
          <w:bCs/>
          <w:sz w:val="20"/>
          <w:szCs w:val="20"/>
          <w:lang w:val="en-GB" w:eastAsia="zh-CN"/>
        </w:rPr>
        <w:t xml:space="preserve">Equation 1. At the same time, tSIE was measured for each standard. A correlation was made using the tSIE on </w:t>
      </w:r>
      <w:r w:rsidRPr="004673AB">
        <w:rPr>
          <w:rFonts w:ascii="Times New Roman" w:hAnsi="Times New Roman"/>
          <w:bCs/>
          <w:sz w:val="20"/>
          <w:szCs w:val="20"/>
          <w:lang w:val="en-GB" w:eastAsia="zh-CN"/>
        </w:rPr>
        <w:lastRenderedPageBreak/>
        <w:t>the X-axis and the counting efficiency on the Y-axis. A curve was fitted to the standard points.</w:t>
      </w:r>
    </w:p>
    <w:p w14:paraId="337EE2A8" w14:textId="0F9F884E" w:rsidR="00DB3753" w:rsidRDefault="00DB3753" w:rsidP="00DB3753">
      <w:pPr>
        <w:spacing w:after="0"/>
        <w:jc w:val="both"/>
        <w:rPr>
          <w:rFonts w:ascii="Times New Roman" w:hAnsi="Times New Roman"/>
          <w:bCs/>
          <w:sz w:val="20"/>
          <w:szCs w:val="20"/>
          <w:lang w:val="en-GB" w:eastAsia="zh-CN"/>
        </w:rPr>
      </w:pPr>
    </w:p>
    <w:p w14:paraId="22F7B1F9" w14:textId="0A8D25FB" w:rsidR="00DB3753" w:rsidRDefault="00DB3753" w:rsidP="00DB3753">
      <w:pPr>
        <w:spacing w:after="0"/>
        <w:jc w:val="both"/>
        <w:rPr>
          <w:rFonts w:ascii="Times New Roman" w:hAnsi="Times New Roman"/>
          <w:bCs/>
          <w:sz w:val="20"/>
          <w:szCs w:val="20"/>
          <w:lang w:val="en-IE" w:eastAsia="zh-CN"/>
        </w:rPr>
      </w:pPr>
      <w:r w:rsidRPr="004673AB">
        <w:rPr>
          <w:rFonts w:ascii="Times New Roman" w:hAnsi="Times New Roman"/>
          <w:bCs/>
          <w:sz w:val="20"/>
          <w:szCs w:val="20"/>
          <w:lang w:val="en-IE" w:eastAsia="zh-CN"/>
        </w:rPr>
        <w:t xml:space="preserve">The efficiency for each unknown sample was determined from the constructed quench curve using the measured </w:t>
      </w:r>
      <w:r w:rsidRPr="004673AB">
        <w:rPr>
          <w:rFonts w:ascii="Times New Roman" w:hAnsi="Times New Roman"/>
          <w:bCs/>
          <w:sz w:val="20"/>
          <w:szCs w:val="20"/>
          <w:lang w:val="en-GB" w:eastAsia="zh-CN"/>
        </w:rPr>
        <w:t xml:space="preserve">tSIE </w:t>
      </w:r>
      <w:r w:rsidRPr="004673AB">
        <w:rPr>
          <w:rFonts w:ascii="Times New Roman" w:hAnsi="Times New Roman"/>
          <w:bCs/>
          <w:sz w:val="20"/>
          <w:szCs w:val="20"/>
          <w:lang w:val="en-IE" w:eastAsia="zh-CN"/>
        </w:rPr>
        <w:t xml:space="preserve">value for each </w:t>
      </w:r>
      <w:r w:rsidR="008747A4">
        <w:rPr>
          <w:rFonts w:ascii="Times New Roman" w:hAnsi="Times New Roman"/>
          <w:bCs/>
          <w:sz w:val="20"/>
          <w:szCs w:val="20"/>
          <w:lang w:val="en-IE" w:eastAsia="zh-CN"/>
        </w:rPr>
        <w:t xml:space="preserve"> sample (Figure 2). </w:t>
      </w:r>
      <w:r w:rsidRPr="004673AB">
        <w:rPr>
          <w:rFonts w:ascii="Times New Roman" w:hAnsi="Times New Roman"/>
          <w:bCs/>
          <w:sz w:val="20"/>
          <w:szCs w:val="20"/>
          <w:lang w:val="en-GB" w:eastAsia="zh-CN"/>
        </w:rPr>
        <w:t xml:space="preserve">At the same time, the CPM of the unknown sample was measured. Knowing the CPM of the unknown sample and the counting efficiency, </w:t>
      </w:r>
      <w:r w:rsidRPr="004673AB">
        <w:rPr>
          <w:rFonts w:ascii="Times New Roman" w:hAnsi="Times New Roman"/>
          <w:bCs/>
          <w:sz w:val="20"/>
          <w:szCs w:val="20"/>
          <w:lang w:val="en-IE" w:eastAsia="zh-CN"/>
        </w:rPr>
        <w:t>DPM of the sample was then calculated according to Equation 2.</w:t>
      </w:r>
    </w:p>
    <w:p w14:paraId="1089EB4E" w14:textId="1614B986" w:rsidR="001123AC" w:rsidRDefault="001123AC" w:rsidP="00DB3753">
      <w:pPr>
        <w:spacing w:after="0"/>
        <w:jc w:val="both"/>
        <w:rPr>
          <w:rFonts w:ascii="Times New Roman" w:hAnsi="Times New Roman"/>
          <w:bCs/>
          <w:sz w:val="20"/>
          <w:szCs w:val="20"/>
          <w:lang w:val="en-IE" w:eastAsia="zh-CN"/>
        </w:rPr>
      </w:pPr>
    </w:p>
    <w:p w14:paraId="69B24662" w14:textId="77777777" w:rsidR="008A2F73" w:rsidRPr="00574032" w:rsidRDefault="008A2F73" w:rsidP="008A2F73">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 xml:space="preserve">The DPM was compared directly to the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oxalic acid SRM 4990c radiocarbon standard. Significantly lower DPM indicates the presence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C-depleted carbon. Zero percent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when compared to the standard, signifies the entire lack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atoms in a material, thus, indicating a petroleum-based carbon source. </w:t>
      </w:r>
      <w:r w:rsidRPr="00574032">
        <w:rPr>
          <w:rFonts w:ascii="Times New Roman" w:hAnsi="Times New Roman"/>
          <w:bCs/>
          <w:iCs/>
          <w:sz w:val="20"/>
          <w:szCs w:val="20"/>
          <w:lang w:val="en-GB" w:eastAsia="zh-CN"/>
        </w:rPr>
        <w:t>The bio-based content was calculated according to Equation 3.</w:t>
      </w:r>
    </w:p>
    <w:p w14:paraId="763CDF37" w14:textId="77777777" w:rsidR="00DB3753" w:rsidRDefault="00DB3753" w:rsidP="00DB3753">
      <w:pPr>
        <w:spacing w:after="0"/>
        <w:jc w:val="both"/>
        <w:rPr>
          <w:rFonts w:ascii="Times New Roman" w:hAnsi="Times New Roman"/>
          <w:bCs/>
          <w:sz w:val="20"/>
          <w:szCs w:val="20"/>
          <w:lang w:val="en-GB" w:eastAsia="zh-CN"/>
        </w:rPr>
      </w:pPr>
    </w:p>
    <w:p w14:paraId="54FD2C76" w14:textId="77777777" w:rsidR="00DB3753" w:rsidRDefault="00DB3753" w:rsidP="00DB3753">
      <w:pPr>
        <w:spacing w:after="0"/>
        <w:jc w:val="both"/>
        <w:rPr>
          <w:rFonts w:ascii="Times New Roman" w:hAnsi="Times New Roman"/>
          <w:bCs/>
          <w:sz w:val="20"/>
          <w:szCs w:val="20"/>
          <w:lang w:val="en-GB" w:eastAsia="zh-CN"/>
        </w:rPr>
      </w:pPr>
    </w:p>
    <w:p w14:paraId="07589A50" w14:textId="77777777" w:rsidR="00DB3753" w:rsidRPr="004673AB" w:rsidRDefault="00DB3753" w:rsidP="00DB3753">
      <w:pPr>
        <w:spacing w:after="0"/>
        <w:jc w:val="both"/>
        <w:rPr>
          <w:rFonts w:ascii="Times New Roman" w:hAnsi="Times New Roman"/>
          <w:bCs/>
          <w:sz w:val="20"/>
          <w:szCs w:val="20"/>
          <w:lang w:val="en-GB" w:eastAsia="zh-CN"/>
        </w:rPr>
      </w:pPr>
    </w:p>
    <w:p w14:paraId="625F494D" w14:textId="1F011691" w:rsidR="00DB3753" w:rsidRDefault="00DB3753" w:rsidP="00DB3753">
      <w:pPr>
        <w:spacing w:after="0"/>
        <w:rPr>
          <w:rFonts w:ascii="Times New Roman" w:hAnsi="Times New Roman"/>
          <w:noProof/>
          <w:sz w:val="20"/>
          <w:szCs w:val="20"/>
          <w:lang w:bidi="ar-SA"/>
        </w:rPr>
        <w:sectPr w:rsidR="00DB3753" w:rsidSect="00F879E7">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518B3A2B" w14:textId="65436600" w:rsidR="00F557F6" w:rsidRPr="004673AB" w:rsidRDefault="00F557F6" w:rsidP="004673AB">
      <w:pPr>
        <w:pStyle w:val="ListParagraph"/>
        <w:spacing w:after="0"/>
        <w:ind w:left="0"/>
        <w:contextualSpacing w:val="0"/>
        <w:jc w:val="both"/>
        <w:rPr>
          <w:rFonts w:ascii="Times New Roman" w:hAnsi="Times New Roman"/>
          <w:bCs/>
          <w:sz w:val="20"/>
          <w:szCs w:val="20"/>
          <w:lang w:val="en-MY" w:eastAsia="zh-CN"/>
        </w:rPr>
      </w:pPr>
    </w:p>
    <w:p w14:paraId="3504E0B8" w14:textId="119CE026" w:rsidR="006768E9" w:rsidRPr="004673AB" w:rsidRDefault="00F557F6" w:rsidP="004673AB">
      <w:pPr>
        <w:pStyle w:val="ListParagraph"/>
        <w:spacing w:after="120"/>
        <w:ind w:left="0"/>
        <w:contextualSpacing w:val="0"/>
        <w:jc w:val="center"/>
        <w:rPr>
          <w:rFonts w:ascii="Times New Roman" w:hAnsi="Times New Roman"/>
          <w:bCs/>
          <w:sz w:val="20"/>
          <w:szCs w:val="20"/>
          <w:lang w:val="en-GB"/>
        </w:rPr>
      </w:pPr>
      <w:r w:rsidRPr="004673AB">
        <w:rPr>
          <w:rFonts w:ascii="Times New Roman" w:hAnsi="Times New Roman"/>
          <w:noProof/>
          <w:sz w:val="20"/>
          <w:szCs w:val="20"/>
          <w:lang w:val="en-GB" w:eastAsia="en-GB"/>
        </w:rPr>
        <w:drawing>
          <wp:inline distT="0" distB="0" distL="0" distR="0" wp14:anchorId="30E57A40" wp14:editId="6E8FAD35">
            <wp:extent cx="3705234" cy="1975104"/>
            <wp:effectExtent l="19050" t="19050" r="952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3123" t="17404" r="6479" b="6784"/>
                    <a:stretch>
                      <a:fillRect/>
                    </a:stretch>
                  </pic:blipFill>
                  <pic:spPr bwMode="auto">
                    <a:xfrm>
                      <a:off x="0" y="0"/>
                      <a:ext cx="3732199" cy="1989478"/>
                    </a:xfrm>
                    <a:prstGeom prst="rect">
                      <a:avLst/>
                    </a:prstGeom>
                    <a:noFill/>
                    <a:ln w="6350">
                      <a:solidFill>
                        <a:schemeClr val="tx1"/>
                      </a:solidFill>
                    </a:ln>
                  </pic:spPr>
                </pic:pic>
              </a:graphicData>
            </a:graphic>
          </wp:inline>
        </w:drawing>
      </w:r>
    </w:p>
    <w:p w14:paraId="213D68A8" w14:textId="1E80B8B9" w:rsidR="00F557F6" w:rsidRPr="004673AB" w:rsidRDefault="00F557F6" w:rsidP="004673AB">
      <w:pPr>
        <w:spacing w:after="0"/>
        <w:jc w:val="center"/>
        <w:rPr>
          <w:rFonts w:ascii="Times New Roman" w:hAnsi="Times New Roman"/>
          <w:bCs/>
          <w:sz w:val="20"/>
          <w:szCs w:val="20"/>
          <w:lang w:val="en-GB" w:eastAsia="zh-CN"/>
        </w:rPr>
      </w:pPr>
      <w:bookmarkStart w:id="0" w:name="_Ref503943630"/>
      <w:bookmarkStart w:id="1" w:name="_Toc509213702"/>
      <w:r w:rsidRPr="004673AB">
        <w:rPr>
          <w:rFonts w:ascii="Times New Roman" w:hAnsi="Times New Roman"/>
          <w:bCs/>
          <w:sz w:val="20"/>
          <w:szCs w:val="20"/>
          <w:lang w:val="en-GB" w:eastAsia="zh-CN"/>
        </w:rPr>
        <w:t>Figure</w:t>
      </w:r>
      <w:r w:rsidRPr="004673AB">
        <w:rPr>
          <w:rFonts w:ascii="Times New Roman" w:hAnsi="Times New Roman"/>
          <w:b/>
          <w:bCs/>
          <w:sz w:val="20"/>
          <w:szCs w:val="20"/>
          <w:lang w:val="en-GB" w:eastAsia="zh-CN"/>
        </w:rPr>
        <w:t xml:space="preserve"> </w:t>
      </w:r>
      <w:r w:rsidRPr="004673AB">
        <w:rPr>
          <w:rFonts w:ascii="Times New Roman" w:hAnsi="Times New Roman"/>
          <w:bCs/>
          <w:sz w:val="20"/>
          <w:szCs w:val="20"/>
          <w:lang w:val="en-GB" w:eastAsia="zh-CN"/>
        </w:rPr>
        <w:fldChar w:fldCharType="begin"/>
      </w:r>
      <w:r w:rsidRPr="004673AB">
        <w:rPr>
          <w:rFonts w:ascii="Times New Roman" w:hAnsi="Times New Roman"/>
          <w:bCs/>
          <w:sz w:val="20"/>
          <w:szCs w:val="20"/>
          <w:lang w:val="en-GB" w:eastAsia="zh-CN"/>
        </w:rPr>
        <w:instrText xml:space="preserve"> SEQ Figure \* ARABIC </w:instrText>
      </w:r>
      <w:r w:rsidRPr="004673AB">
        <w:rPr>
          <w:rFonts w:ascii="Times New Roman" w:hAnsi="Times New Roman"/>
          <w:bCs/>
          <w:sz w:val="20"/>
          <w:szCs w:val="20"/>
          <w:lang w:val="en-GB" w:eastAsia="zh-CN"/>
        </w:rPr>
        <w:fldChar w:fldCharType="separate"/>
      </w:r>
      <w:r w:rsidR="00D575B6">
        <w:rPr>
          <w:rFonts w:ascii="Times New Roman" w:hAnsi="Times New Roman"/>
          <w:bCs/>
          <w:noProof/>
          <w:sz w:val="20"/>
          <w:szCs w:val="20"/>
          <w:lang w:val="en-GB" w:eastAsia="zh-CN"/>
        </w:rPr>
        <w:t>1</w:t>
      </w:r>
      <w:r w:rsidRPr="004673AB">
        <w:rPr>
          <w:rFonts w:ascii="Times New Roman" w:hAnsi="Times New Roman"/>
          <w:sz w:val="20"/>
          <w:szCs w:val="20"/>
          <w:lang w:eastAsia="zh-CN"/>
        </w:rPr>
        <w:fldChar w:fldCharType="end"/>
      </w:r>
      <w:bookmarkEnd w:id="0"/>
      <w:r w:rsidRPr="004673AB">
        <w:rPr>
          <w:rFonts w:ascii="Times New Roman" w:hAnsi="Times New Roman"/>
          <w:bCs/>
          <w:sz w:val="20"/>
          <w:szCs w:val="20"/>
          <w:lang w:val="en-GB" w:eastAsia="zh-CN"/>
        </w:rPr>
        <w:t>.  Flow diagram of sample preparation with the 307 Sample Oxidizer</w:t>
      </w:r>
      <w:bookmarkEnd w:id="1"/>
    </w:p>
    <w:p w14:paraId="2F44071B" w14:textId="75996045" w:rsidR="00F557F6" w:rsidRDefault="00F557F6" w:rsidP="004673AB">
      <w:pPr>
        <w:spacing w:after="0"/>
        <w:jc w:val="both"/>
        <w:rPr>
          <w:rFonts w:ascii="Times New Roman" w:hAnsi="Times New Roman"/>
          <w:sz w:val="20"/>
          <w:szCs w:val="20"/>
          <w:lang w:val="en-GB" w:eastAsia="zh-CN"/>
        </w:rPr>
      </w:pPr>
    </w:p>
    <w:p w14:paraId="180F35C6" w14:textId="77777777" w:rsidR="004673AB" w:rsidRPr="004673AB" w:rsidRDefault="004673AB" w:rsidP="004673AB">
      <w:pPr>
        <w:spacing w:after="0"/>
        <w:jc w:val="both"/>
        <w:rPr>
          <w:rFonts w:ascii="Times New Roman" w:hAnsi="Times New Roman"/>
          <w:sz w:val="20"/>
          <w:szCs w:val="20"/>
          <w:lang w:val="en-GB" w:eastAsia="zh-CN"/>
        </w:rPr>
      </w:pPr>
    </w:p>
    <w:p w14:paraId="5FD1761E" w14:textId="3CFA1A83" w:rsidR="00F557F6" w:rsidRDefault="00F557F6" w:rsidP="004673AB">
      <w:pPr>
        <w:spacing w:after="0"/>
        <w:ind w:firstLine="720"/>
        <w:jc w:val="both"/>
        <w:rPr>
          <w:rFonts w:ascii="Times New Roman" w:hAnsi="Times New Roman"/>
          <w:sz w:val="20"/>
          <w:szCs w:val="20"/>
          <w:lang w:val="en-GB" w:eastAsia="zh-CN"/>
        </w:rPr>
      </w:pPr>
      <m:oMath>
        <m:r>
          <w:rPr>
            <w:rFonts w:ascii="Cambria Math" w:hAnsi="Cambria Math"/>
            <w:sz w:val="20"/>
            <w:szCs w:val="20"/>
            <w:lang w:val="en-GB" w:eastAsia="zh-CN"/>
          </w:rPr>
          <m:t xml:space="preserve">Counting efficiency </m:t>
        </m:r>
        <m:d>
          <m:dPr>
            <m:ctrlPr>
              <w:rPr>
                <w:rFonts w:ascii="Cambria Math" w:hAnsi="Cambria Math"/>
                <w:i/>
                <w:sz w:val="20"/>
                <w:szCs w:val="20"/>
                <w:lang w:val="en-GB" w:eastAsia="zh-CN"/>
              </w:rPr>
            </m:ctrlPr>
          </m:dPr>
          <m:e>
            <m:r>
              <w:rPr>
                <w:rFonts w:ascii="Cambria Math" w:hAnsi="Cambria Math"/>
                <w:sz w:val="20"/>
                <w:szCs w:val="20"/>
                <w:lang w:val="en-GB" w:eastAsia="zh-CN"/>
              </w:rPr>
              <m:t>%</m:t>
            </m:r>
          </m:e>
        </m:d>
        <m:r>
          <w:rPr>
            <w:rFonts w:ascii="Cambria Math" w:hAnsi="Cambria Math"/>
            <w:sz w:val="20"/>
            <w:szCs w:val="20"/>
            <w:lang w:val="en-GB" w:eastAsia="zh-CN"/>
          </w:rPr>
          <m:t>=</m:t>
        </m:r>
        <m:f>
          <m:fPr>
            <m:ctrlPr>
              <w:rPr>
                <w:rFonts w:ascii="Cambria Math" w:hAnsi="Cambria Math"/>
                <w:bCs/>
                <w:i/>
                <w:sz w:val="20"/>
                <w:szCs w:val="20"/>
                <w:lang w:val="en-GB" w:eastAsia="zh-CN"/>
              </w:rPr>
            </m:ctrlPr>
          </m:fPr>
          <m:num>
            <m:r>
              <w:rPr>
                <w:rFonts w:ascii="Cambria Math" w:hAnsi="Cambria Math"/>
                <w:sz w:val="20"/>
                <w:szCs w:val="20"/>
                <w:lang w:val="en-GB" w:eastAsia="zh-CN"/>
              </w:rPr>
              <m:t xml:space="preserve">Counts per minute </m:t>
            </m:r>
            <m:d>
              <m:dPr>
                <m:ctrlPr>
                  <w:rPr>
                    <w:rFonts w:ascii="Cambria Math" w:hAnsi="Cambria Math"/>
                    <w:i/>
                    <w:sz w:val="20"/>
                    <w:szCs w:val="20"/>
                    <w:lang w:val="en-GB" w:eastAsia="zh-CN"/>
                  </w:rPr>
                </m:ctrlPr>
              </m:dPr>
              <m:e>
                <m:r>
                  <w:rPr>
                    <w:rFonts w:ascii="Cambria Math" w:hAnsi="Cambria Math"/>
                    <w:sz w:val="20"/>
                    <w:szCs w:val="20"/>
                    <w:lang w:val="en-GB" w:eastAsia="zh-CN"/>
                  </w:rPr>
                  <m:t>cpm</m:t>
                </m:r>
              </m:e>
            </m:d>
          </m:num>
          <m:den>
            <m:r>
              <w:rPr>
                <w:rFonts w:ascii="Cambria Math" w:hAnsi="Cambria Math"/>
                <w:sz w:val="20"/>
                <w:szCs w:val="20"/>
                <w:lang w:val="en-GB" w:eastAsia="zh-CN"/>
              </w:rPr>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den>
        </m:f>
        <m:r>
          <w:rPr>
            <w:rFonts w:ascii="Cambria Math" w:hAnsi="Cambria Math"/>
            <w:sz w:val="20"/>
            <w:szCs w:val="20"/>
            <w:lang w:val="en-GB" w:eastAsia="zh-CN"/>
          </w:rPr>
          <m:t>×100%</m:t>
        </m:r>
      </m:oMath>
      <w:r w:rsidRPr="004673AB">
        <w:rPr>
          <w:rFonts w:ascii="Times New Roman" w:hAnsi="Times New Roman"/>
          <w:sz w:val="20"/>
          <w:szCs w:val="20"/>
          <w:lang w:val="en-GB" w:eastAsia="zh-CN"/>
        </w:rPr>
        <w:tab/>
      </w:r>
      <w:r w:rsidRPr="004673AB">
        <w:rPr>
          <w:rFonts w:ascii="Times New Roman" w:hAnsi="Times New Roman"/>
          <w:sz w:val="20"/>
          <w:szCs w:val="20"/>
          <w:lang w:val="en-GB" w:eastAsia="zh-CN"/>
        </w:rPr>
        <w:tab/>
      </w:r>
      <w:r w:rsidRPr="004673AB">
        <w:rPr>
          <w:rFonts w:ascii="Times New Roman" w:hAnsi="Times New Roman"/>
          <w:sz w:val="20"/>
          <w:szCs w:val="20"/>
          <w:lang w:val="en-GB" w:eastAsia="zh-CN"/>
        </w:rPr>
        <w:tab/>
        <w:t xml:space="preserve">  </w:t>
      </w:r>
      <w:r w:rsidRPr="004673AB">
        <w:rPr>
          <w:rFonts w:ascii="Times New Roman" w:hAnsi="Times New Roman"/>
          <w:sz w:val="20"/>
          <w:szCs w:val="20"/>
          <w:lang w:val="en-GB" w:eastAsia="zh-CN"/>
        </w:rPr>
        <w:tab/>
        <w:t xml:space="preserve">   </w:t>
      </w:r>
      <w:r w:rsidR="00DB3753">
        <w:rPr>
          <w:rFonts w:ascii="Times New Roman" w:hAnsi="Times New Roman"/>
          <w:sz w:val="20"/>
          <w:szCs w:val="20"/>
          <w:lang w:val="en-GB" w:eastAsia="zh-CN"/>
        </w:rPr>
        <w:t xml:space="preserve">      </w:t>
      </w:r>
      <w:r w:rsidRPr="004673AB">
        <w:rPr>
          <w:rFonts w:ascii="Times New Roman" w:hAnsi="Times New Roman"/>
          <w:sz w:val="20"/>
          <w:szCs w:val="20"/>
          <w:lang w:val="en-GB" w:eastAsia="zh-CN"/>
        </w:rPr>
        <w:t>(1)</w:t>
      </w:r>
    </w:p>
    <w:p w14:paraId="7F62E130" w14:textId="7F09C7BE" w:rsidR="004673AB" w:rsidRDefault="004673AB" w:rsidP="00F557F6">
      <w:pPr>
        <w:spacing w:after="0"/>
        <w:jc w:val="both"/>
        <w:rPr>
          <w:rFonts w:ascii="Times New Roman" w:hAnsi="Times New Roman"/>
          <w:noProof/>
          <w:sz w:val="20"/>
          <w:szCs w:val="20"/>
          <w:lang w:bidi="ar-SA"/>
        </w:rPr>
      </w:pPr>
    </w:p>
    <w:p w14:paraId="3540B085" w14:textId="77777777" w:rsidR="001123AC" w:rsidRDefault="001123AC" w:rsidP="00F557F6">
      <w:pPr>
        <w:spacing w:after="0"/>
        <w:jc w:val="both"/>
        <w:rPr>
          <w:rFonts w:ascii="Times New Roman" w:hAnsi="Times New Roman"/>
          <w:noProof/>
          <w:sz w:val="20"/>
          <w:szCs w:val="20"/>
          <w:lang w:bidi="ar-SA"/>
        </w:rPr>
      </w:pPr>
    </w:p>
    <w:p w14:paraId="38FAD37C" w14:textId="6826617F" w:rsidR="00F557F6" w:rsidRDefault="00F557F6" w:rsidP="004673AB">
      <w:pPr>
        <w:spacing w:after="120"/>
        <w:jc w:val="center"/>
        <w:rPr>
          <w:rFonts w:ascii="Times New Roman" w:hAnsi="Times New Roman"/>
          <w:noProof/>
          <w:sz w:val="20"/>
          <w:szCs w:val="20"/>
          <w:lang w:bidi="ar-SA"/>
        </w:rPr>
      </w:pPr>
      <w:r w:rsidRPr="00574032">
        <w:rPr>
          <w:rFonts w:ascii="Times New Roman" w:hAnsi="Times New Roman"/>
          <w:noProof/>
          <w:sz w:val="20"/>
          <w:szCs w:val="20"/>
          <w:lang w:val="en-GB" w:eastAsia="en-GB"/>
        </w:rPr>
        <w:drawing>
          <wp:inline distT="0" distB="0" distL="0" distR="0" wp14:anchorId="08569EEB" wp14:editId="7E1B5929">
            <wp:extent cx="3371850" cy="1768731"/>
            <wp:effectExtent l="19050" t="19050" r="19050" b="22225"/>
            <wp:docPr id="7" name="Picture 7" descr="tSIE_efficiency_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E_efficiency_ASK.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3041" cy="1785092"/>
                    </a:xfrm>
                    <a:prstGeom prst="rect">
                      <a:avLst/>
                    </a:prstGeom>
                    <a:noFill/>
                    <a:ln w="6350">
                      <a:solidFill>
                        <a:schemeClr val="tx1"/>
                      </a:solidFill>
                    </a:ln>
                  </pic:spPr>
                </pic:pic>
              </a:graphicData>
            </a:graphic>
          </wp:inline>
        </w:drawing>
      </w:r>
    </w:p>
    <w:p w14:paraId="414F6B15" w14:textId="6E13676E" w:rsidR="004673AB" w:rsidRDefault="0020154A" w:rsidP="008A2F73">
      <w:pPr>
        <w:spacing w:after="0"/>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Figure</w:t>
      </w:r>
      <w:r w:rsidRPr="00574032">
        <w:rPr>
          <w:rFonts w:ascii="Times New Roman" w:hAnsi="Times New Roman"/>
          <w:b/>
          <w:bCs/>
          <w:sz w:val="20"/>
          <w:szCs w:val="20"/>
          <w:lang w:val="en-GB" w:eastAsia="zh-CN"/>
        </w:rPr>
        <w:t xml:space="preserv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SEQ Figure \* ARABIC </w:instrText>
      </w:r>
      <w:r w:rsidRPr="00574032">
        <w:rPr>
          <w:rFonts w:ascii="Times New Roman" w:hAnsi="Times New Roman"/>
          <w:bCs/>
          <w:sz w:val="20"/>
          <w:szCs w:val="20"/>
          <w:lang w:val="en-GB" w:eastAsia="zh-CN"/>
        </w:rPr>
        <w:fldChar w:fldCharType="separate"/>
      </w:r>
      <w:r w:rsidR="00D575B6">
        <w:rPr>
          <w:rFonts w:ascii="Times New Roman" w:hAnsi="Times New Roman"/>
          <w:bCs/>
          <w:noProof/>
          <w:sz w:val="20"/>
          <w:szCs w:val="20"/>
          <w:lang w:val="en-GB" w:eastAsia="zh-CN"/>
        </w:rPr>
        <w:t>2</w:t>
      </w:r>
      <w:r w:rsidRPr="00574032">
        <w:rPr>
          <w:rFonts w:ascii="Times New Roman" w:hAnsi="Times New Roman"/>
          <w:sz w:val="20"/>
          <w:szCs w:val="20"/>
          <w:lang w:eastAsia="zh-CN"/>
        </w:rPr>
        <w:fldChar w:fldCharType="end"/>
      </w:r>
      <w:r w:rsidRPr="00574032">
        <w:rPr>
          <w:rFonts w:ascii="Times New Roman" w:hAnsi="Times New Roman"/>
          <w:bCs/>
          <w:sz w:val="20"/>
          <w:szCs w:val="20"/>
          <w:lang w:val="en-GB" w:eastAsia="zh-CN"/>
        </w:rPr>
        <w:t>.</w:t>
      </w:r>
      <w:r w:rsidR="004673AB">
        <w:rPr>
          <w:rFonts w:ascii="Times New Roman" w:hAnsi="Times New Roman"/>
          <w:bCs/>
          <w:sz w:val="20"/>
          <w:szCs w:val="20"/>
          <w:lang w:val="en-GB" w:eastAsia="zh-CN"/>
        </w:rPr>
        <w:t xml:space="preserve">  </w:t>
      </w:r>
      <w:r w:rsidRPr="00574032">
        <w:rPr>
          <w:rFonts w:ascii="Times New Roman" w:hAnsi="Times New Roman"/>
          <w:bCs/>
          <w:sz w:val="20"/>
          <w:szCs w:val="20"/>
          <w:lang w:val="en-GB" w:eastAsia="zh-CN"/>
        </w:rPr>
        <w:t>Usage of quench curve for determination counting efficiency and DPM</w:t>
      </w:r>
    </w:p>
    <w:p w14:paraId="0854720A" w14:textId="0DC0B8C2" w:rsidR="00BC2DBB" w:rsidRDefault="00BC2DBB" w:rsidP="008A2F73">
      <w:pPr>
        <w:spacing w:after="0"/>
        <w:jc w:val="center"/>
        <w:rPr>
          <w:rFonts w:ascii="Times New Roman" w:hAnsi="Times New Roman"/>
          <w:bCs/>
          <w:sz w:val="20"/>
          <w:szCs w:val="20"/>
          <w:lang w:val="en-GB" w:eastAsia="zh-CN"/>
        </w:rPr>
      </w:pPr>
    </w:p>
    <w:p w14:paraId="357CA72B" w14:textId="77777777" w:rsidR="001123AC" w:rsidRPr="008A2F73" w:rsidRDefault="001123AC" w:rsidP="008A2F73">
      <w:pPr>
        <w:spacing w:after="0"/>
        <w:jc w:val="center"/>
        <w:rPr>
          <w:rFonts w:ascii="Times New Roman" w:hAnsi="Times New Roman"/>
          <w:bCs/>
          <w:sz w:val="20"/>
          <w:szCs w:val="20"/>
          <w:lang w:val="en-GB" w:eastAsia="zh-CN"/>
        </w:rPr>
      </w:pPr>
    </w:p>
    <w:p w14:paraId="76469632" w14:textId="4D58E6DE" w:rsidR="0020154A" w:rsidRPr="00574032" w:rsidRDefault="0020154A" w:rsidP="0020154A">
      <w:pPr>
        <w:ind w:firstLine="720"/>
        <w:jc w:val="both"/>
        <w:rPr>
          <w:rFonts w:ascii="Times New Roman" w:hAnsi="Times New Roman"/>
          <w:bCs/>
          <w:sz w:val="20"/>
          <w:szCs w:val="20"/>
          <w:lang w:val="en-IE" w:eastAsia="zh-CN"/>
        </w:rPr>
      </w:pPr>
      <m:oMath>
        <m:r>
          <w:rPr>
            <w:rFonts w:ascii="Cambria Math" w:hAnsi="Cambria Math"/>
            <w:sz w:val="20"/>
            <w:szCs w:val="20"/>
            <w:lang w:val="en-GB" w:eastAsia="zh-CN"/>
          </w:rPr>
          <w:lastRenderedPageBreak/>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r>
          <w:rPr>
            <w:rFonts w:ascii="Cambria Math" w:hAnsi="Cambria Math"/>
            <w:sz w:val="20"/>
            <w:szCs w:val="20"/>
            <w:lang w:val="en-IE" w:eastAsia="zh-CN"/>
          </w:rPr>
          <m:t>=</m:t>
        </m:r>
        <m:f>
          <m:fPr>
            <m:ctrlPr>
              <w:rPr>
                <w:rFonts w:ascii="Cambria Math" w:hAnsi="Cambria Math"/>
                <w:bCs/>
                <w:i/>
                <w:sz w:val="20"/>
                <w:szCs w:val="20"/>
                <w:lang w:val="en-IE" w:eastAsia="zh-CN"/>
              </w:rPr>
            </m:ctrlPr>
          </m:fPr>
          <m:num>
            <m:r>
              <w:rPr>
                <w:rFonts w:ascii="Cambria Math" w:hAnsi="Cambria Math"/>
                <w:sz w:val="20"/>
                <w:szCs w:val="20"/>
                <w:lang w:val="en-IE" w:eastAsia="zh-CN"/>
              </w:rPr>
              <m:t xml:space="preserve">Counts per minute </m:t>
            </m:r>
            <m:d>
              <m:dPr>
                <m:ctrlPr>
                  <w:rPr>
                    <w:rFonts w:ascii="Cambria Math" w:hAnsi="Cambria Math"/>
                    <w:i/>
                    <w:sz w:val="20"/>
                    <w:szCs w:val="20"/>
                    <w:lang w:val="en-IE" w:eastAsia="zh-CN"/>
                  </w:rPr>
                </m:ctrlPr>
              </m:dPr>
              <m:e>
                <m:r>
                  <w:rPr>
                    <w:rFonts w:ascii="Cambria Math" w:hAnsi="Cambria Math"/>
                    <w:sz w:val="20"/>
                    <w:szCs w:val="20"/>
                    <w:lang w:val="en-IE" w:eastAsia="zh-CN"/>
                  </w:rPr>
                  <m:t>cpm</m:t>
                </m:r>
              </m:e>
            </m:d>
          </m:num>
          <m:den>
            <m:r>
              <w:rPr>
                <w:rFonts w:ascii="Cambria Math" w:hAnsi="Cambria Math"/>
                <w:sz w:val="20"/>
                <w:szCs w:val="20"/>
                <w:lang w:val="en-GB" w:eastAsia="zh-CN"/>
              </w:rPr>
              <m:t xml:space="preserve">Counting efficiency </m:t>
            </m:r>
            <m:d>
              <m:dPr>
                <m:ctrlPr>
                  <w:rPr>
                    <w:rFonts w:ascii="Cambria Math" w:hAnsi="Cambria Math"/>
                    <w:bCs/>
                    <w:i/>
                    <w:sz w:val="20"/>
                    <w:szCs w:val="20"/>
                    <w:lang w:val="en-GB" w:eastAsia="zh-CN"/>
                  </w:rPr>
                </m:ctrlPr>
              </m:dPr>
              <m:e>
                <m:r>
                  <w:rPr>
                    <w:rFonts w:ascii="Cambria Math" w:hAnsi="Cambria Math"/>
                    <w:sz w:val="20"/>
                    <w:szCs w:val="20"/>
                    <w:lang w:val="en-GB" w:eastAsia="zh-CN"/>
                  </w:rPr>
                  <m:t>%</m:t>
                </m:r>
              </m:e>
            </m:d>
          </m:den>
        </m:f>
        <m:r>
          <w:rPr>
            <w:rFonts w:ascii="Cambria Math" w:hAnsi="Cambria Math"/>
            <w:sz w:val="20"/>
            <w:szCs w:val="20"/>
            <w:lang w:val="en-IE" w:eastAsia="zh-CN"/>
          </w:rPr>
          <m:t>×100%</m:t>
        </m:r>
      </m:oMath>
      <w:r w:rsidRPr="00574032">
        <w:rPr>
          <w:rFonts w:ascii="Times New Roman" w:hAnsi="Times New Roman"/>
          <w:bCs/>
          <w:sz w:val="20"/>
          <w:szCs w:val="20"/>
          <w:lang w:val="en-IE" w:eastAsia="zh-CN"/>
        </w:rPr>
        <w:t xml:space="preserve">        </w:t>
      </w:r>
      <w:r w:rsidRPr="00574032">
        <w:rPr>
          <w:rFonts w:ascii="Times New Roman" w:hAnsi="Times New Roman"/>
          <w:bCs/>
          <w:sz w:val="20"/>
          <w:szCs w:val="20"/>
          <w:lang w:val="en-IE" w:eastAsia="zh-CN"/>
        </w:rPr>
        <w:tab/>
      </w:r>
      <w:r w:rsidRPr="00574032">
        <w:rPr>
          <w:rFonts w:ascii="Times New Roman" w:hAnsi="Times New Roman"/>
          <w:bCs/>
          <w:sz w:val="20"/>
          <w:szCs w:val="20"/>
          <w:lang w:val="en-IE" w:eastAsia="zh-CN"/>
        </w:rPr>
        <w:tab/>
        <w:t xml:space="preserve">           </w:t>
      </w:r>
      <w:r>
        <w:rPr>
          <w:rFonts w:ascii="Times New Roman" w:hAnsi="Times New Roman"/>
          <w:bCs/>
          <w:sz w:val="20"/>
          <w:szCs w:val="20"/>
          <w:lang w:val="en-IE" w:eastAsia="zh-CN"/>
        </w:rPr>
        <w:t xml:space="preserve">      </w:t>
      </w:r>
      <w:r w:rsidR="008A2F73">
        <w:rPr>
          <w:rFonts w:ascii="Times New Roman" w:hAnsi="Times New Roman"/>
          <w:bCs/>
          <w:sz w:val="20"/>
          <w:szCs w:val="20"/>
          <w:lang w:val="en-IE" w:eastAsia="zh-CN"/>
        </w:rPr>
        <w:t xml:space="preserve">      </w:t>
      </w:r>
      <w:r w:rsidRPr="00574032">
        <w:rPr>
          <w:rFonts w:ascii="Times New Roman" w:hAnsi="Times New Roman"/>
          <w:bCs/>
          <w:sz w:val="20"/>
          <w:szCs w:val="20"/>
          <w:lang w:val="en-IE" w:eastAsia="zh-CN"/>
        </w:rPr>
        <w:t>(2)</w:t>
      </w:r>
    </w:p>
    <w:p w14:paraId="28A42A21" w14:textId="77777777" w:rsidR="004673AB" w:rsidRPr="00574032" w:rsidRDefault="004673AB" w:rsidP="004673AB">
      <w:pPr>
        <w:spacing w:after="0"/>
        <w:jc w:val="both"/>
        <w:rPr>
          <w:rFonts w:ascii="Times New Roman" w:hAnsi="Times New Roman"/>
          <w:bCs/>
          <w:iCs/>
          <w:sz w:val="20"/>
          <w:szCs w:val="20"/>
          <w:lang w:val="en-GB" w:eastAsia="zh-CN"/>
        </w:rPr>
      </w:pPr>
    </w:p>
    <w:p w14:paraId="77037E60" w14:textId="67814E11" w:rsidR="00F557F6" w:rsidRPr="00383211" w:rsidRDefault="0020154A" w:rsidP="00383211">
      <w:pPr>
        <w:ind w:firstLine="432"/>
        <w:jc w:val="both"/>
        <w:rPr>
          <w:rFonts w:ascii="Times New Roman" w:hAnsi="Times New Roman"/>
          <w:bCs/>
          <w:iCs/>
          <w:sz w:val="20"/>
          <w:szCs w:val="20"/>
          <w:lang w:val="en-GB" w:eastAsia="zh-CN"/>
        </w:rPr>
      </w:pPr>
      <m:oMath>
        <m:r>
          <w:rPr>
            <w:rFonts w:ascii="Cambria Math" w:hAnsi="Cambria Math"/>
            <w:sz w:val="20"/>
            <w:szCs w:val="20"/>
            <w:lang w:val="en-GB" w:eastAsia="zh-CN"/>
          </w:rPr>
          <m:t>Bio-based content (%)=</m:t>
        </m:r>
        <m:f>
          <m:fPr>
            <m:ctrlPr>
              <w:rPr>
                <w:rFonts w:ascii="Cambria Math" w:hAnsi="Cambria Math"/>
                <w:bCs/>
                <w:i/>
                <w:iCs/>
                <w:sz w:val="20"/>
                <w:szCs w:val="20"/>
                <w:lang w:val="en-GB" w:eastAsia="zh-CN"/>
              </w:rPr>
            </m:ctrlPr>
          </m:fPr>
          <m:num>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dpm(sample)</m:t>
                </m:r>
              </m:num>
              <m:den>
                <m:r>
                  <w:rPr>
                    <w:rFonts w:ascii="Cambria Math" w:hAnsi="Cambria Math"/>
                    <w:sz w:val="20"/>
                    <w:szCs w:val="20"/>
                    <w:lang w:val="en-GB" w:eastAsia="zh-CN"/>
                  </w:rPr>
                  <m:t>weight(sample)</m:t>
                </m:r>
              </m:den>
            </m:f>
          </m:num>
          <m:den>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dpm(reference)</m:t>
                </m:r>
              </m:num>
              <m:den>
                <m:r>
                  <w:rPr>
                    <w:rFonts w:ascii="Cambria Math" w:hAnsi="Cambria Math"/>
                    <w:sz w:val="20"/>
                    <w:szCs w:val="20"/>
                    <w:lang w:val="en-GB" w:eastAsia="zh-CN"/>
                  </w:rPr>
                  <m:t>weight(reference)</m:t>
                </m:r>
              </m:den>
            </m:f>
          </m:den>
        </m:f>
      </m:oMath>
      <w:r w:rsidRPr="006038E1">
        <w:rPr>
          <w:rFonts w:ascii="Times New Roman" w:hAnsi="Times New Roman"/>
          <w:bCs/>
          <w:iCs/>
          <w:sz w:val="18"/>
          <w:szCs w:val="18"/>
          <w:lang w:val="en-GB" w:eastAsia="zh-CN"/>
        </w:rPr>
        <w:t xml:space="preserve"> </w:t>
      </w:r>
      <w:r w:rsidRPr="00574032">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t xml:space="preserve">           </w:t>
      </w:r>
      <w:r>
        <w:rPr>
          <w:rFonts w:ascii="Times New Roman" w:hAnsi="Times New Roman"/>
          <w:bCs/>
          <w:iCs/>
          <w:sz w:val="20"/>
          <w:szCs w:val="20"/>
          <w:lang w:val="en-GB" w:eastAsia="zh-CN"/>
        </w:rPr>
        <w:tab/>
      </w:r>
      <w:r>
        <w:rPr>
          <w:rFonts w:ascii="Times New Roman" w:hAnsi="Times New Roman"/>
          <w:bCs/>
          <w:iCs/>
          <w:sz w:val="20"/>
          <w:szCs w:val="20"/>
          <w:lang w:val="en-GB" w:eastAsia="zh-CN"/>
        </w:rPr>
        <w:tab/>
        <w:t xml:space="preserve">   </w:t>
      </w:r>
      <w:r w:rsidR="008A2F73">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(3)</w:t>
      </w:r>
    </w:p>
    <w:p w14:paraId="20A6D316" w14:textId="77777777" w:rsidR="00F557F6" w:rsidRPr="00510BA6" w:rsidRDefault="00F557F6" w:rsidP="004673AB">
      <w:pPr>
        <w:spacing w:after="0"/>
        <w:jc w:val="center"/>
        <w:rPr>
          <w:rFonts w:ascii="Times New Roman" w:hAnsi="Times New Roman"/>
          <w:noProof/>
          <w:sz w:val="20"/>
          <w:szCs w:val="20"/>
          <w:lang w:bidi="ar-SA"/>
        </w:rPr>
      </w:pPr>
    </w:p>
    <w:p w14:paraId="439526AE" w14:textId="77777777" w:rsidR="008A2F73" w:rsidRDefault="008A2F73" w:rsidP="004060C3">
      <w:pPr>
        <w:spacing w:after="0"/>
        <w:jc w:val="center"/>
        <w:rPr>
          <w:rFonts w:ascii="Times New Roman" w:hAnsi="Times New Roman"/>
          <w:b/>
          <w:noProof/>
          <w:sz w:val="20"/>
          <w:szCs w:val="20"/>
          <w:lang w:bidi="ar-SA"/>
        </w:rPr>
        <w:sectPr w:rsidR="008A2F73" w:rsidSect="00F879E7">
          <w:headerReference w:type="even" r:id="rId21"/>
          <w:headerReference w:type="default" r:id="rId22"/>
          <w:footerReference w:type="even" r:id="rId23"/>
          <w:headerReference w:type="first" r:id="rId24"/>
          <w:type w:val="continuous"/>
          <w:pgSz w:w="12240" w:h="15840" w:code="1"/>
          <w:pgMar w:top="1800" w:right="1469" w:bottom="1699" w:left="1440" w:header="706" w:footer="706" w:gutter="0"/>
          <w:pgNumType w:start="0"/>
          <w:cols w:space="708"/>
          <w:docGrid w:linePitch="360"/>
        </w:sectPr>
      </w:pPr>
    </w:p>
    <w:p w14:paraId="172DB04A" w14:textId="3008258C" w:rsidR="006768E9" w:rsidRPr="00510BA6" w:rsidRDefault="006768E9" w:rsidP="004060C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FAD1ADC" w14:textId="77777777" w:rsidR="0020154A" w:rsidRPr="0020154A" w:rsidRDefault="0020154A" w:rsidP="004060C3">
      <w:pPr>
        <w:spacing w:after="0"/>
        <w:jc w:val="both"/>
        <w:rPr>
          <w:rFonts w:ascii="Times New Roman" w:hAnsi="Times New Roman"/>
          <w:sz w:val="20"/>
          <w:szCs w:val="20"/>
          <w:lang w:val="en-GB" w:eastAsia="zh-CN"/>
        </w:rPr>
      </w:pPr>
      <w:r w:rsidRPr="0020154A">
        <w:rPr>
          <w:rFonts w:ascii="Times New Roman" w:hAnsi="Times New Roman"/>
          <w:b/>
          <w:sz w:val="20"/>
          <w:szCs w:val="20"/>
          <w:lang w:val="en-GB" w:eastAsia="zh-CN"/>
        </w:rPr>
        <w:t>Optimization of LSC and sample oxidizer</w:t>
      </w:r>
    </w:p>
    <w:p w14:paraId="0EEC4D81" w14:textId="77777777" w:rsidR="0020154A" w:rsidRPr="0020154A" w:rsidRDefault="0020154A" w:rsidP="004060C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minimum acceptable efficiency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in the range of 0-156 keV is 95% for PerkinElmer Tri-Carb 2910TR. Counting efficiency is a parameter measured as part of Instrument Performance Assessment. The performance of the LSC was assessed periodically </w:t>
      </w:r>
      <w:r w:rsidRPr="0020154A">
        <w:rPr>
          <w:rFonts w:ascii="Times New Roman" w:hAnsi="Times New Roman"/>
          <w:bCs/>
          <w:i/>
          <w:sz w:val="20"/>
          <w:szCs w:val="20"/>
          <w:lang w:val="en-GB" w:eastAsia="zh-CN"/>
        </w:rPr>
        <w:t>via</w:t>
      </w:r>
      <w:r w:rsidRPr="0020154A">
        <w:rPr>
          <w:rFonts w:ascii="Times New Roman" w:hAnsi="Times New Roman"/>
          <w:bCs/>
          <w:sz w:val="20"/>
          <w:szCs w:val="20"/>
          <w:lang w:val="en-GB" w:eastAsia="zh-CN"/>
        </w:rPr>
        <w:t xml:space="preserve"> Self-Normalization and Calibration, where reference standards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w:t>
      </w:r>
      <w:r w:rsidRPr="0020154A">
        <w:rPr>
          <w:rFonts w:ascii="Times New Roman" w:hAnsi="Times New Roman"/>
          <w:bCs/>
          <w:sz w:val="20"/>
          <w:szCs w:val="20"/>
          <w:vertAlign w:val="superscript"/>
          <w:lang w:val="en-GB" w:eastAsia="zh-CN"/>
        </w:rPr>
        <w:t>3</w:t>
      </w:r>
      <w:r w:rsidRPr="0020154A">
        <w:rPr>
          <w:rFonts w:ascii="Times New Roman" w:hAnsi="Times New Roman"/>
          <w:bCs/>
          <w:sz w:val="20"/>
          <w:szCs w:val="20"/>
          <w:lang w:val="en-GB" w:eastAsia="zh-CN"/>
        </w:rPr>
        <w:t xml:space="preserve">H and Background with known radioactivity (DPM) were counted and the counting efficiency was calculated. The counting efficiencies obtained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and </w:t>
      </w:r>
      <w:r w:rsidRPr="0020154A">
        <w:rPr>
          <w:rFonts w:ascii="Times New Roman" w:hAnsi="Times New Roman"/>
          <w:bCs/>
          <w:sz w:val="20"/>
          <w:szCs w:val="20"/>
          <w:vertAlign w:val="superscript"/>
          <w:lang w:val="en-GB" w:eastAsia="zh-CN"/>
        </w:rPr>
        <w:t>3</w:t>
      </w:r>
      <w:r w:rsidRPr="0020154A">
        <w:rPr>
          <w:rFonts w:ascii="Times New Roman" w:hAnsi="Times New Roman"/>
          <w:bCs/>
          <w:sz w:val="20"/>
          <w:szCs w:val="20"/>
          <w:lang w:val="en-GB" w:eastAsia="zh-CN"/>
        </w:rPr>
        <w:t>H were well above the minimum limit of 60% and 90%, respectively, as per the instrument’s requirements specified by PerkinElmer.</w:t>
      </w:r>
    </w:p>
    <w:p w14:paraId="1A6610B4" w14:textId="77777777" w:rsidR="0020154A" w:rsidRPr="0020154A" w:rsidRDefault="0020154A" w:rsidP="004060C3">
      <w:pPr>
        <w:spacing w:after="0"/>
        <w:jc w:val="both"/>
        <w:rPr>
          <w:rFonts w:ascii="Times New Roman" w:hAnsi="Times New Roman"/>
          <w:bCs/>
          <w:iCs/>
          <w:sz w:val="20"/>
          <w:szCs w:val="20"/>
          <w:lang w:val="en-GB" w:eastAsia="zh-CN"/>
        </w:rPr>
      </w:pPr>
    </w:p>
    <w:p w14:paraId="63BA01B2" w14:textId="77777777" w:rsidR="008A2F73" w:rsidRDefault="0020154A" w:rsidP="004060C3">
      <w:pPr>
        <w:spacing w:after="0"/>
        <w:jc w:val="both"/>
        <w:rPr>
          <w:rFonts w:ascii="Times New Roman" w:hAnsi="Times New Roman"/>
          <w:bCs/>
          <w:iCs/>
          <w:sz w:val="20"/>
          <w:szCs w:val="20"/>
          <w:lang w:val="en-GB" w:eastAsia="zh-CN"/>
        </w:rPr>
      </w:pPr>
      <w:r w:rsidRPr="0020154A">
        <w:rPr>
          <w:rFonts w:ascii="Times New Roman" w:hAnsi="Times New Roman"/>
          <w:bCs/>
          <w:iCs/>
          <w:sz w:val="20"/>
          <w:szCs w:val="20"/>
          <w:lang w:val="en-GB" w:eastAsia="zh-CN"/>
        </w:rPr>
        <w:t>The conditions of the Sample Oxidizer (amount of sample for combustion, time of combustion and amount of LSC cocktails) were investigated to find the optimum settings. The method was optimized using polyols instead of polyurethanes in order to minimize problems that may rise due to various components in polyurethanes.</w:t>
      </w:r>
    </w:p>
    <w:p w14:paraId="589B7DC4" w14:textId="16D77BED" w:rsidR="0020154A" w:rsidRPr="0020154A" w:rsidRDefault="0020154A" w:rsidP="004060C3">
      <w:pPr>
        <w:spacing w:after="0"/>
        <w:jc w:val="both"/>
        <w:rPr>
          <w:rFonts w:ascii="Times New Roman" w:hAnsi="Times New Roman"/>
          <w:bCs/>
          <w:sz w:val="20"/>
          <w:szCs w:val="20"/>
          <w:lang w:val="en-GB" w:eastAsia="zh-CN"/>
        </w:rPr>
      </w:pPr>
      <w:r w:rsidRPr="0020154A">
        <w:rPr>
          <w:rFonts w:ascii="Times New Roman" w:hAnsi="Times New Roman"/>
          <w:noProof/>
          <w:sz w:val="20"/>
          <w:szCs w:val="20"/>
          <w:lang w:val="en-GB" w:eastAsia="zh-CN"/>
        </w:rPr>
        <mc:AlternateContent>
          <mc:Choice Requires="wps">
            <w:drawing>
              <wp:anchor distT="0" distB="0" distL="114300" distR="114300" simplePos="0" relativeHeight="251659776" behindDoc="0" locked="0" layoutInCell="1" allowOverlap="1" wp14:anchorId="7AE288F5" wp14:editId="73667FE4">
                <wp:simplePos x="0" y="0"/>
                <wp:positionH relativeFrom="column">
                  <wp:posOffset>0</wp:posOffset>
                </wp:positionH>
                <wp:positionV relativeFrom="paragraph">
                  <wp:posOffset>0</wp:posOffset>
                </wp:positionV>
                <wp:extent cx="635000" cy="635000"/>
                <wp:effectExtent l="0" t="0" r="3175" b="3175"/>
                <wp:wrapNone/>
                <wp:docPr id="1" name="Freeform: 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D08B" id="Freeform: Shape 1"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" filled="f" stroked="f">
                <v:stroke joinstyle="miter"/>
                <v:path textboxrect="@1,@1,@1,@1"/>
                <o:lock v:ext="edit" aspectratio="t" selection="t"/>
              </v:shape>
            </w:pict>
          </mc:Fallback>
        </mc:AlternateContent>
      </w:r>
    </w:p>
    <w:p w14:paraId="5E0873DD" w14:textId="77777777" w:rsidR="0020154A" w:rsidRPr="0020154A" w:rsidRDefault="0020154A" w:rsidP="008A2F73">
      <w:pPr>
        <w:spacing w:after="0"/>
        <w:jc w:val="both"/>
        <w:rPr>
          <w:rFonts w:ascii="Times New Roman" w:hAnsi="Times New Roman"/>
          <w:bCs/>
          <w:sz w:val="20"/>
          <w:szCs w:val="20"/>
          <w:lang w:val="en-GB" w:eastAsia="zh-CN"/>
        </w:rPr>
      </w:pPr>
      <w:r w:rsidRPr="0020154A">
        <w:rPr>
          <w:rFonts w:ascii="Times New Roman" w:hAnsi="Times New Roman"/>
          <w:b/>
          <w:sz w:val="20"/>
          <w:szCs w:val="20"/>
          <w:lang w:val="en-GB" w:eastAsia="zh-CN"/>
        </w:rPr>
        <w:t>Method validation</w:t>
      </w:r>
    </w:p>
    <w:p w14:paraId="0551DE60" w14:textId="77777777" w:rsidR="0020154A" w:rsidRPr="0020154A" w:rsidRDefault="0020154A" w:rsidP="008A2F7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combustion method was optimized for determination of bio-based content of palm-based polyols. Based on ICH Harmonised Tripartite Guideline Validation of Analytical Procedures: Text and Methodology Q2 (R1) (2005), this method was validated with respect to trueness (recovery and memory tests), linearity (quench curves) and precision (repeatability and interlaboratory comparison) using the optimized instrumental conditions. The quench curves, recovery and memory tests were performed with the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Spec Chec standards.</w:t>
      </w:r>
    </w:p>
    <w:p w14:paraId="30CCAA5F" w14:textId="77777777" w:rsidR="0020154A" w:rsidRPr="0020154A" w:rsidRDefault="0020154A" w:rsidP="008A2F73">
      <w:pPr>
        <w:spacing w:after="0"/>
        <w:jc w:val="both"/>
        <w:rPr>
          <w:rFonts w:ascii="Times New Roman" w:hAnsi="Times New Roman"/>
          <w:bCs/>
          <w:sz w:val="20"/>
          <w:szCs w:val="20"/>
          <w:lang w:val="en-GB" w:eastAsia="zh-CN"/>
        </w:rPr>
      </w:pPr>
    </w:p>
    <w:p w14:paraId="0242F695" w14:textId="335721A6" w:rsidR="008A2F73" w:rsidRDefault="0020154A"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recovery of the method was tested by combusting a known activity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Spec Chec standards and those samples were compared with non-combusted samples </w:t>
      </w:r>
      <w:r w:rsidRPr="0020154A">
        <w:rPr>
          <w:rFonts w:ascii="Times New Roman" w:hAnsi="Times New Roman"/>
          <w:bCs/>
          <w:sz w:val="20"/>
          <w:szCs w:val="20"/>
          <w:lang w:val="en-GB" w:eastAsia="zh-CN"/>
        </w:rPr>
        <w:t>with the same activity. The recovery (in %) was calculated using Equation 4</w:t>
      </w:r>
      <w:r w:rsidR="00336E6E">
        <w:rPr>
          <w:rFonts w:ascii="Times New Roman" w:hAnsi="Times New Roman"/>
          <w:bCs/>
          <w:sz w:val="20"/>
          <w:szCs w:val="20"/>
          <w:lang w:val="en-GB" w:eastAsia="zh-CN"/>
        </w:rPr>
        <w:t xml:space="preserve"> below</w:t>
      </w:r>
      <w:r w:rsidRPr="0020154A">
        <w:rPr>
          <w:rFonts w:ascii="Times New Roman" w:hAnsi="Times New Roman"/>
          <w:bCs/>
          <w:sz w:val="20"/>
          <w:szCs w:val="20"/>
          <w:lang w:val="en-GB" w:eastAsia="zh-CN"/>
        </w:rPr>
        <w:t>.</w:t>
      </w:r>
    </w:p>
    <w:p w14:paraId="30B2BC2A" w14:textId="77777777" w:rsidR="00336E6E" w:rsidRDefault="00336E6E" w:rsidP="00336E6E">
      <w:pPr>
        <w:spacing w:after="0"/>
        <w:jc w:val="both"/>
        <w:rPr>
          <w:rFonts w:ascii="Times New Roman" w:hAnsi="Times New Roman"/>
          <w:bCs/>
          <w:sz w:val="20"/>
          <w:szCs w:val="20"/>
          <w:lang w:val="en-GB" w:eastAsia="zh-CN"/>
        </w:rPr>
      </w:pPr>
    </w:p>
    <w:p w14:paraId="1A3A5D99" w14:textId="3B25210F" w:rsidR="00336E6E" w:rsidRDefault="00336E6E" w:rsidP="004673AB">
      <w:pPr>
        <w:spacing w:after="120"/>
        <w:jc w:val="both"/>
        <w:rPr>
          <w:rFonts w:ascii="Times New Roman" w:hAnsi="Times New Roman"/>
          <w:sz w:val="20"/>
          <w:szCs w:val="20"/>
          <w:lang w:val="en-GB" w:eastAsia="zh-CN"/>
        </w:rPr>
      </w:pPr>
      <m:oMath>
        <m:r>
          <w:rPr>
            <w:rFonts w:ascii="Cambria Math" w:hAnsi="Cambria Math"/>
            <w:sz w:val="18"/>
            <w:szCs w:val="18"/>
            <w:lang w:val="en-GB" w:eastAsia="zh-CN"/>
          </w:rPr>
          <m:t xml:space="preserve">Recovery </m:t>
        </m:r>
        <m:d>
          <m:dPr>
            <m:ctrlPr>
              <w:rPr>
                <w:rFonts w:ascii="Cambria Math" w:hAnsi="Cambria Math"/>
                <w:bCs/>
                <w:i/>
                <w:sz w:val="18"/>
                <w:szCs w:val="18"/>
                <w:lang w:val="en-GB" w:eastAsia="zh-CN"/>
              </w:rPr>
            </m:ctrlPr>
          </m:dPr>
          <m:e>
            <m:r>
              <w:rPr>
                <w:rFonts w:ascii="Cambria Math" w:hAnsi="Cambria Math"/>
                <w:sz w:val="18"/>
                <w:szCs w:val="18"/>
                <w:lang w:val="en-GB" w:eastAsia="zh-CN"/>
              </w:rPr>
              <m:t>%</m:t>
            </m:r>
          </m:e>
        </m:d>
        <m:r>
          <w:rPr>
            <w:rFonts w:ascii="Cambria Math" w:hAnsi="Cambria Math"/>
            <w:sz w:val="18"/>
            <w:szCs w:val="18"/>
            <w:lang w:val="en-GB" w:eastAsia="zh-CN"/>
          </w:rPr>
          <m:t>=</m:t>
        </m:r>
        <m:f>
          <m:fPr>
            <m:ctrlPr>
              <w:rPr>
                <w:rFonts w:ascii="Cambria Math" w:hAnsi="Cambria Math"/>
                <w:bCs/>
                <w:i/>
                <w:sz w:val="18"/>
                <w:szCs w:val="18"/>
                <w:lang w:val="en-GB" w:eastAsia="zh-CN"/>
              </w:rPr>
            </m:ctrlPr>
          </m:fPr>
          <m:num>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combusted</m:t>
                </m:r>
              </m:sub>
            </m:sSub>
          </m:num>
          <m:den>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non-combusted</m:t>
                </m:r>
              </m:sub>
            </m:sSub>
          </m:den>
        </m:f>
        <m:r>
          <w:rPr>
            <w:rFonts w:ascii="Cambria Math" w:hAnsi="Cambria Math"/>
            <w:sz w:val="18"/>
            <w:szCs w:val="18"/>
            <w:lang w:val="en-GB" w:eastAsia="zh-CN"/>
          </w:rPr>
          <m:t>×100%</m:t>
        </m:r>
      </m:oMath>
      <w:r w:rsidRPr="0020154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                (4)</w:t>
      </w:r>
    </w:p>
    <w:p w14:paraId="38E3B391" w14:textId="77777777" w:rsidR="00336E6E" w:rsidRDefault="00336E6E" w:rsidP="00336E6E">
      <w:pPr>
        <w:spacing w:after="0"/>
        <w:jc w:val="both"/>
        <w:rPr>
          <w:rFonts w:ascii="Times New Roman" w:hAnsi="Times New Roman"/>
          <w:bCs/>
          <w:sz w:val="20"/>
          <w:szCs w:val="20"/>
          <w:lang w:val="en-GB" w:eastAsia="zh-CN"/>
        </w:rPr>
      </w:pPr>
    </w:p>
    <w:p w14:paraId="5DFA592A" w14:textId="6DABDE30" w:rsidR="008A2F73" w:rsidRDefault="008A2F73"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If samples with high activity were combusted, there is a possibility that some of the activities were retained in the Oxidizer and released when combusting the next samples. This is known as the memory effect, and it was investigated by combusting samples of a known activity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followed by combusting an inactive standard sample after each active sample. The memory (in %) was calculated using Equation 5</w:t>
      </w:r>
      <w:r w:rsidR="00336E6E">
        <w:rPr>
          <w:rFonts w:ascii="Times New Roman" w:hAnsi="Times New Roman"/>
          <w:bCs/>
          <w:sz w:val="20"/>
          <w:szCs w:val="20"/>
          <w:lang w:val="en-GB" w:eastAsia="zh-CN"/>
        </w:rPr>
        <w:t xml:space="preserve"> below</w:t>
      </w:r>
      <w:r w:rsidRPr="0020154A">
        <w:rPr>
          <w:rFonts w:ascii="Times New Roman" w:hAnsi="Times New Roman"/>
          <w:bCs/>
          <w:sz w:val="20"/>
          <w:szCs w:val="20"/>
          <w:lang w:val="en-GB" w:eastAsia="zh-CN"/>
        </w:rPr>
        <w:t>.</w:t>
      </w:r>
    </w:p>
    <w:p w14:paraId="76E53016" w14:textId="4F78E3F5" w:rsidR="008A2F73" w:rsidRDefault="008A2F73" w:rsidP="008A2F73">
      <w:pPr>
        <w:spacing w:after="0"/>
        <w:jc w:val="both"/>
        <w:rPr>
          <w:rFonts w:ascii="Times New Roman" w:hAnsi="Times New Roman"/>
          <w:bCs/>
          <w:sz w:val="20"/>
          <w:szCs w:val="20"/>
          <w:lang w:val="en-GB" w:eastAsia="zh-CN"/>
        </w:rPr>
      </w:pPr>
    </w:p>
    <w:p w14:paraId="6BCE1255" w14:textId="3F92EF4F" w:rsidR="00336E6E" w:rsidRDefault="00336E6E" w:rsidP="008A2F73">
      <w:pPr>
        <w:spacing w:after="0"/>
        <w:jc w:val="both"/>
        <w:rPr>
          <w:rFonts w:ascii="Times New Roman" w:hAnsi="Times New Roman"/>
          <w:bCs/>
          <w:sz w:val="20"/>
          <w:szCs w:val="20"/>
          <w:lang w:val="en-GB" w:eastAsia="zh-CN"/>
        </w:rPr>
      </w:pPr>
      <m:oMath>
        <m:r>
          <w:rPr>
            <w:rFonts w:ascii="Cambria Math" w:hAnsi="Cambria Math"/>
            <w:sz w:val="18"/>
            <w:szCs w:val="18"/>
            <w:lang w:val="en-GB" w:eastAsia="zh-CN"/>
          </w:rPr>
          <m:t xml:space="preserve">Memory </m:t>
        </m:r>
        <m:d>
          <m:dPr>
            <m:ctrlPr>
              <w:rPr>
                <w:rFonts w:ascii="Cambria Math" w:hAnsi="Cambria Math"/>
                <w:bCs/>
                <w:i/>
                <w:sz w:val="18"/>
                <w:szCs w:val="18"/>
                <w:lang w:val="en-GB" w:eastAsia="zh-CN"/>
              </w:rPr>
            </m:ctrlPr>
          </m:dPr>
          <m:e>
            <m:r>
              <w:rPr>
                <w:rFonts w:ascii="Cambria Math" w:hAnsi="Cambria Math"/>
                <w:sz w:val="18"/>
                <w:szCs w:val="18"/>
                <w:lang w:val="en-GB" w:eastAsia="zh-CN"/>
              </w:rPr>
              <m:t>%</m:t>
            </m:r>
          </m:e>
        </m:d>
        <m:r>
          <w:rPr>
            <w:rFonts w:ascii="Cambria Math" w:hAnsi="Cambria Math"/>
            <w:sz w:val="18"/>
            <w:szCs w:val="18"/>
            <w:lang w:val="en-GB" w:eastAsia="zh-CN"/>
          </w:rPr>
          <m:t>=</m:t>
        </m:r>
        <m:f>
          <m:fPr>
            <m:ctrlPr>
              <w:rPr>
                <w:rFonts w:ascii="Cambria Math" w:hAnsi="Cambria Math"/>
                <w:bCs/>
                <w:i/>
                <w:sz w:val="18"/>
                <w:szCs w:val="18"/>
                <w:lang w:val="en-GB" w:eastAsia="zh-CN"/>
              </w:rPr>
            </m:ctrlPr>
          </m:fPr>
          <m:num>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inactive</m:t>
                </m:r>
              </m:sub>
            </m:sSub>
            <m:r>
              <w:rPr>
                <w:rFonts w:ascii="Cambria Math" w:hAnsi="Cambria Math"/>
                <w:sz w:val="18"/>
                <w:szCs w:val="18"/>
                <w:lang w:val="en-GB" w:eastAsia="zh-CN"/>
              </w:rPr>
              <m:t>-</m:t>
            </m:r>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background</m:t>
                </m:r>
              </m:sub>
            </m:sSub>
          </m:num>
          <m:den>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non-combusted</m:t>
                </m:r>
              </m:sub>
            </m:sSub>
          </m:den>
        </m:f>
        <m:r>
          <w:rPr>
            <w:rFonts w:ascii="Cambria Math" w:hAnsi="Cambria Math"/>
            <w:sz w:val="18"/>
            <w:szCs w:val="18"/>
            <w:lang w:val="en-GB" w:eastAsia="zh-CN"/>
          </w:rPr>
          <m:t>×100%</m:t>
        </m:r>
      </m:oMath>
      <w:r>
        <w:rPr>
          <w:rFonts w:ascii="Times New Roman" w:hAnsi="Times New Roman"/>
          <w:bCs/>
          <w:sz w:val="20"/>
          <w:szCs w:val="20"/>
          <w:lang w:val="en-GB" w:eastAsia="zh-CN"/>
        </w:rPr>
        <w:t xml:space="preserve">             (5)</w:t>
      </w:r>
    </w:p>
    <w:p w14:paraId="60B2741A" w14:textId="77777777" w:rsidR="00336E6E" w:rsidRDefault="00336E6E" w:rsidP="008A2F73">
      <w:pPr>
        <w:spacing w:after="0"/>
        <w:jc w:val="both"/>
        <w:rPr>
          <w:rFonts w:ascii="Times New Roman" w:hAnsi="Times New Roman"/>
          <w:bCs/>
          <w:sz w:val="20"/>
          <w:szCs w:val="20"/>
          <w:lang w:val="en-GB" w:eastAsia="zh-CN"/>
        </w:rPr>
      </w:pPr>
    </w:p>
    <w:p w14:paraId="4686071A" w14:textId="53C65B0A" w:rsidR="008A2F73" w:rsidRDefault="008A2F73" w:rsidP="008A2F7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The recovery and the memory were determined in six replicates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_Ref503943797 \h  \* MERGEFORMAT </w:instrText>
      </w:r>
      <w:r w:rsidRPr="0020154A">
        <w:rPr>
          <w:rFonts w:ascii="Times New Roman" w:hAnsi="Times New Roman"/>
          <w:bCs/>
          <w:sz w:val="20"/>
          <w:szCs w:val="20"/>
          <w:lang w:val="en-GB" w:eastAsia="zh-CN"/>
        </w:rPr>
      </w:r>
      <w:r w:rsidRPr="0020154A">
        <w:rPr>
          <w:rFonts w:ascii="Times New Roman" w:hAnsi="Times New Roman"/>
          <w:bCs/>
          <w:sz w:val="20"/>
          <w:szCs w:val="20"/>
          <w:lang w:val="en-GB" w:eastAsia="zh-CN"/>
        </w:rPr>
        <w:fldChar w:fldCharType="separate"/>
      </w:r>
      <w:r w:rsidR="00D575B6" w:rsidRPr="00D575B6">
        <w:rPr>
          <w:rFonts w:ascii="Times New Roman" w:hAnsi="Times New Roman"/>
          <w:sz w:val="20"/>
          <w:szCs w:val="20"/>
          <w:lang w:val="en-GB" w:eastAsia="zh-CN"/>
        </w:rPr>
        <w:t>Table 1</w:t>
      </w:r>
      <w:r w:rsidRPr="0020154A">
        <w:rPr>
          <w:rFonts w:ascii="Times New Roman" w:hAnsi="Times New Roman"/>
          <w:sz w:val="20"/>
          <w:szCs w:val="20"/>
          <w:lang w:eastAsia="zh-CN"/>
        </w:rPr>
        <w:fldChar w:fldCharType="end"/>
      </w:r>
      <w:r w:rsidRPr="0020154A">
        <w:rPr>
          <w:rFonts w:ascii="Times New Roman" w:hAnsi="Times New Roman"/>
          <w:bCs/>
          <w:sz w:val="20"/>
          <w:szCs w:val="20"/>
          <w:lang w:val="en-GB" w:eastAsia="zh-CN"/>
        </w:rPr>
        <w:t xml:space="preserve">). The average recovery was found to be 100.1 ± 1.5%, which is within the acceptable range of 85-110%. Therefore, it was decided that the method does not need correction for recovery. The memory was found to be 0.05 ± 0.03%, which is less than 0.1%. Therefore, the memory did not need to be corrected when measuring samples with normal environmental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levels.</w:t>
      </w:r>
    </w:p>
    <w:p w14:paraId="2B03EEAB" w14:textId="77777777" w:rsidR="00336E6E" w:rsidRDefault="00336E6E" w:rsidP="008A2F73">
      <w:pPr>
        <w:spacing w:after="0"/>
        <w:jc w:val="both"/>
        <w:rPr>
          <w:rFonts w:ascii="Times New Roman" w:hAnsi="Times New Roman"/>
          <w:bCs/>
          <w:sz w:val="20"/>
          <w:szCs w:val="20"/>
          <w:lang w:val="en-GB" w:eastAsia="zh-CN"/>
        </w:rPr>
      </w:pPr>
    </w:p>
    <w:p w14:paraId="633113BB" w14:textId="77777777" w:rsidR="00336E6E" w:rsidRPr="0020154A" w:rsidRDefault="00336E6E" w:rsidP="00336E6E">
      <w:pPr>
        <w:spacing w:after="0"/>
        <w:jc w:val="both"/>
        <w:rPr>
          <w:rFonts w:ascii="Times New Roman" w:hAnsi="Times New Roman"/>
          <w:b/>
          <w:bCs/>
          <w:sz w:val="20"/>
          <w:szCs w:val="20"/>
          <w:lang w:val="en-GB" w:eastAsia="zh-CN"/>
        </w:rPr>
      </w:pPr>
      <w:r w:rsidRPr="0020154A">
        <w:rPr>
          <w:rFonts w:ascii="Times New Roman" w:hAnsi="Times New Roman"/>
          <w:b/>
          <w:bCs/>
          <w:sz w:val="20"/>
          <w:szCs w:val="20"/>
          <w:lang w:val="en-GB" w:eastAsia="zh-CN"/>
        </w:rPr>
        <w:t>Construction of quench curves</w:t>
      </w:r>
    </w:p>
    <w:p w14:paraId="6CCEC98B" w14:textId="46102C81" w:rsidR="00336E6E" w:rsidRDefault="00336E6E"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quench curve was constructed by preparing 7 calibration samples with different amounts of CarbosorbE (0, 2, 4, 6, 8, 9, 10 mL) and with the same amount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standard solution (82600 DPM). Each calibration sample was counted for 2 min. These samples were measured with LSC and the counting efficiency was recorded and plotted as a function of the external </w:t>
      </w:r>
      <w:r w:rsidR="004F6799">
        <w:rPr>
          <w:rFonts w:ascii="Times New Roman" w:hAnsi="Times New Roman"/>
          <w:bCs/>
          <w:sz w:val="20"/>
          <w:szCs w:val="20"/>
          <w:lang w:val="en-GB" w:eastAsia="zh-CN"/>
        </w:rPr>
        <w:t xml:space="preserve"> </w:t>
      </w:r>
      <w:r w:rsidRPr="0020154A">
        <w:rPr>
          <w:rFonts w:ascii="Times New Roman" w:hAnsi="Times New Roman"/>
          <w:bCs/>
          <w:sz w:val="20"/>
          <w:szCs w:val="20"/>
          <w:lang w:val="en-GB" w:eastAsia="zh-CN"/>
        </w:rPr>
        <w:t xml:space="preserve">standard </w:t>
      </w:r>
      <w:r w:rsidR="004F6799">
        <w:rPr>
          <w:rFonts w:ascii="Times New Roman" w:hAnsi="Times New Roman"/>
          <w:bCs/>
          <w:sz w:val="20"/>
          <w:szCs w:val="20"/>
          <w:lang w:val="en-GB" w:eastAsia="zh-CN"/>
        </w:rPr>
        <w:t xml:space="preserve"> </w:t>
      </w:r>
      <w:r w:rsidRPr="0020154A">
        <w:rPr>
          <w:rFonts w:ascii="Times New Roman" w:hAnsi="Times New Roman"/>
          <w:bCs/>
          <w:sz w:val="20"/>
          <w:szCs w:val="20"/>
          <w:lang w:val="en-GB" w:eastAsia="zh-CN"/>
        </w:rPr>
        <w:t>quenching parameter, tSIE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_Ref48341906  \* MERGEFORMAT </w:instrText>
      </w:r>
      <w:r w:rsidRPr="0020154A">
        <w:rPr>
          <w:rFonts w:ascii="Times New Roman" w:hAnsi="Times New Roman"/>
          <w:bCs/>
          <w:sz w:val="20"/>
          <w:szCs w:val="20"/>
          <w:lang w:val="en-GB" w:eastAsia="zh-CN"/>
        </w:rPr>
        <w:fldChar w:fldCharType="separate"/>
      </w:r>
      <w:r w:rsidR="00D575B6" w:rsidRPr="0020154A">
        <w:rPr>
          <w:rFonts w:ascii="Times New Roman" w:hAnsi="Times New Roman"/>
          <w:bCs/>
          <w:sz w:val="20"/>
          <w:szCs w:val="20"/>
          <w:lang w:val="en-GB" w:eastAsia="zh-CN"/>
        </w:rPr>
        <w:t xml:space="preserve">Table </w:t>
      </w:r>
      <w:r w:rsidR="00D575B6">
        <w:rPr>
          <w:rFonts w:ascii="Times New Roman" w:hAnsi="Times New Roman"/>
          <w:bCs/>
          <w:noProof/>
          <w:sz w:val="20"/>
          <w:szCs w:val="20"/>
          <w:lang w:val="en-GB" w:eastAsia="zh-CN"/>
        </w:rPr>
        <w:t>2</w:t>
      </w:r>
      <w:r w:rsidRPr="0020154A">
        <w:rPr>
          <w:rFonts w:ascii="Times New Roman" w:hAnsi="Times New Roman"/>
          <w:bCs/>
          <w:sz w:val="20"/>
          <w:szCs w:val="20"/>
          <w:lang w:val="en-GB" w:eastAsia="zh-CN"/>
        </w:rPr>
        <w:fldChar w:fldCharType="end"/>
      </w:r>
      <w:r w:rsidRPr="0020154A">
        <w:rPr>
          <w:rFonts w:ascii="Times New Roman" w:hAnsi="Times New Roman"/>
          <w:bCs/>
          <w:sz w:val="20"/>
          <w:szCs w:val="20"/>
          <w:lang w:val="en-GB" w:eastAsia="zh-CN"/>
        </w:rPr>
        <w:t>,</w:t>
      </w:r>
      <w:r w:rsidR="001123AC">
        <w:rPr>
          <w:rFonts w:ascii="Times New Roman" w:hAnsi="Times New Roman"/>
          <w:bCs/>
          <w:sz w:val="20"/>
          <w:szCs w:val="20"/>
          <w:lang w:val="en-GB" w:eastAsia="zh-CN"/>
        </w:rPr>
        <w:t xml:space="preserve"> Figure 3</w:t>
      </w:r>
      <w:r w:rsidRPr="0020154A">
        <w:rPr>
          <w:rFonts w:ascii="Times New Roman" w:hAnsi="Times New Roman"/>
          <w:bCs/>
          <w:sz w:val="20"/>
          <w:szCs w:val="20"/>
          <w:lang w:val="en-GB" w:eastAsia="zh-CN"/>
        </w:rPr>
        <w:t>).</w:t>
      </w:r>
    </w:p>
    <w:p w14:paraId="4D93C4B2" w14:textId="77777777" w:rsidR="004F6799" w:rsidRDefault="004F6799" w:rsidP="00336E6E">
      <w:pPr>
        <w:spacing w:after="0"/>
        <w:jc w:val="both"/>
        <w:rPr>
          <w:rFonts w:ascii="Times New Roman" w:hAnsi="Times New Roman"/>
          <w:bCs/>
          <w:sz w:val="20"/>
          <w:szCs w:val="20"/>
          <w:lang w:val="en-GB" w:eastAsia="zh-CN"/>
        </w:rPr>
      </w:pPr>
    </w:p>
    <w:p w14:paraId="08D61A5E" w14:textId="378E7F21" w:rsidR="00336E6E" w:rsidRDefault="00336E6E"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lastRenderedPageBreak/>
        <w:t>In addition to acting as CO</w:t>
      </w:r>
      <w:r w:rsidRPr="0020154A">
        <w:rPr>
          <w:rFonts w:ascii="Times New Roman" w:hAnsi="Times New Roman"/>
          <w:bCs/>
          <w:sz w:val="20"/>
          <w:szCs w:val="20"/>
          <w:vertAlign w:val="subscript"/>
          <w:lang w:val="en-GB" w:eastAsia="zh-CN"/>
        </w:rPr>
        <w:t>2</w:t>
      </w:r>
      <w:r w:rsidRPr="0020154A">
        <w:rPr>
          <w:rFonts w:ascii="Times New Roman" w:hAnsi="Times New Roman"/>
          <w:bCs/>
          <w:sz w:val="20"/>
          <w:szCs w:val="20"/>
          <w:lang w:val="en-GB" w:eastAsia="zh-CN"/>
        </w:rPr>
        <w:t xml:space="preserve"> trapping agent, Carbosorb E also increases the chemical quenching effect in the scintillation cocktail. The effect of Carbosorb E amount in the scintillation cocktail was studied. Increasing the amount of Carbosorb E has reduced the CPM and thus, the counting efficiency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_Ref48341937  \* MERGEFORMAT </w:instrText>
      </w:r>
      <w:r w:rsidRPr="0020154A">
        <w:rPr>
          <w:rFonts w:ascii="Times New Roman" w:hAnsi="Times New Roman"/>
          <w:bCs/>
          <w:sz w:val="20"/>
          <w:szCs w:val="20"/>
          <w:lang w:val="en-GB" w:eastAsia="zh-CN"/>
        </w:rPr>
        <w:fldChar w:fldCharType="separate"/>
      </w:r>
      <w:r w:rsidR="00D575B6" w:rsidRPr="00267240">
        <w:rPr>
          <w:rFonts w:ascii="Times New Roman" w:hAnsi="Times New Roman"/>
          <w:bCs/>
          <w:sz w:val="20"/>
          <w:szCs w:val="20"/>
          <w:lang w:eastAsia="zh-CN"/>
        </w:rPr>
        <w:t xml:space="preserve">Table </w:t>
      </w:r>
      <w:r w:rsidR="00D575B6">
        <w:rPr>
          <w:rFonts w:ascii="Times New Roman" w:hAnsi="Times New Roman"/>
          <w:bCs/>
          <w:noProof/>
          <w:sz w:val="20"/>
          <w:szCs w:val="20"/>
          <w:lang w:eastAsia="zh-CN"/>
        </w:rPr>
        <w:t>3</w:t>
      </w:r>
      <w:r w:rsidRPr="0020154A">
        <w:rPr>
          <w:rFonts w:ascii="Times New Roman" w:hAnsi="Times New Roman"/>
          <w:bCs/>
          <w:sz w:val="20"/>
          <w:szCs w:val="20"/>
          <w:lang w:val="en-GB" w:eastAsia="zh-CN"/>
        </w:rPr>
        <w:fldChar w:fldCharType="end"/>
      </w:r>
      <w:r w:rsidRPr="0020154A">
        <w:rPr>
          <w:rFonts w:ascii="Times New Roman" w:hAnsi="Times New Roman"/>
          <w:bCs/>
          <w:sz w:val="20"/>
          <w:szCs w:val="20"/>
          <w:lang w:val="en-GB" w:eastAsia="zh-CN"/>
        </w:rPr>
        <w:t>).</w:t>
      </w:r>
    </w:p>
    <w:p w14:paraId="18BE44D8" w14:textId="77777777" w:rsidR="00336E6E" w:rsidRDefault="00336E6E" w:rsidP="00336E6E">
      <w:pPr>
        <w:spacing w:after="0"/>
        <w:jc w:val="both"/>
        <w:rPr>
          <w:rFonts w:ascii="Times New Roman" w:hAnsi="Times New Roman"/>
          <w:bCs/>
          <w:sz w:val="20"/>
          <w:szCs w:val="20"/>
          <w:lang w:val="en-GB" w:eastAsia="zh-CN"/>
        </w:rPr>
      </w:pPr>
    </w:p>
    <w:p w14:paraId="5663CAE4" w14:textId="6D6A35A8" w:rsidR="00336E6E" w:rsidRDefault="00336E6E" w:rsidP="00336E6E">
      <w:pPr>
        <w:spacing w:after="0"/>
        <w:jc w:val="both"/>
        <w:rPr>
          <w:rFonts w:ascii="Times New Roman" w:hAnsi="Times New Roman"/>
          <w:sz w:val="20"/>
          <w:szCs w:val="20"/>
          <w:lang w:val="en-GB" w:eastAsia="zh-CN"/>
        </w:rPr>
      </w:pPr>
      <w:r w:rsidRPr="00574032">
        <w:rPr>
          <w:rFonts w:ascii="Times New Roman" w:hAnsi="Times New Roman"/>
          <w:sz w:val="20"/>
          <w:szCs w:val="20"/>
          <w:lang w:val="en-GB" w:eastAsia="zh-CN"/>
        </w:rPr>
        <w:t>The repeatability of the method was determined by analysing four replicates of oxalic acid by the same analyst and using the same instrumentation. The resultant coefficient of variation obtained was 10.4%, which is considered as acceptable (&lt; 15%).</w:t>
      </w:r>
    </w:p>
    <w:p w14:paraId="1E995D9A" w14:textId="05792600" w:rsidR="001129FB" w:rsidRDefault="001129FB" w:rsidP="00336E6E">
      <w:pPr>
        <w:spacing w:after="0"/>
        <w:jc w:val="both"/>
        <w:rPr>
          <w:rFonts w:ascii="Times New Roman" w:hAnsi="Times New Roman"/>
          <w:sz w:val="20"/>
          <w:szCs w:val="20"/>
          <w:lang w:val="en-GB" w:eastAsia="zh-CN"/>
        </w:rPr>
      </w:pPr>
    </w:p>
    <w:p w14:paraId="13B392DD" w14:textId="6B15D8FC" w:rsidR="004F6799" w:rsidRDefault="004F6799" w:rsidP="00336E6E">
      <w:pPr>
        <w:spacing w:after="0"/>
        <w:jc w:val="both"/>
        <w:rPr>
          <w:rFonts w:ascii="Times New Roman" w:hAnsi="Times New Roman"/>
          <w:sz w:val="20"/>
          <w:szCs w:val="20"/>
          <w:lang w:val="en-GB" w:eastAsia="zh-CN"/>
        </w:rPr>
      </w:pPr>
    </w:p>
    <w:p w14:paraId="40323E4C" w14:textId="628CC219" w:rsidR="004F6799" w:rsidRDefault="004F6799" w:rsidP="00336E6E">
      <w:pPr>
        <w:spacing w:after="0"/>
        <w:jc w:val="both"/>
        <w:rPr>
          <w:rFonts w:ascii="Times New Roman" w:hAnsi="Times New Roman"/>
          <w:sz w:val="20"/>
          <w:szCs w:val="20"/>
          <w:lang w:val="en-GB" w:eastAsia="zh-CN"/>
        </w:rPr>
      </w:pPr>
    </w:p>
    <w:p w14:paraId="7C0A4131" w14:textId="77777777" w:rsidR="004F6799" w:rsidRDefault="004F6799" w:rsidP="00336E6E">
      <w:pPr>
        <w:spacing w:after="0"/>
        <w:jc w:val="both"/>
        <w:rPr>
          <w:rFonts w:ascii="Times New Roman" w:hAnsi="Times New Roman"/>
          <w:sz w:val="20"/>
          <w:szCs w:val="20"/>
          <w:lang w:val="en-GB" w:eastAsia="zh-CN"/>
        </w:rPr>
      </w:pPr>
    </w:p>
    <w:p w14:paraId="2FABD07E" w14:textId="680D281C" w:rsidR="001129FB" w:rsidRDefault="001129FB" w:rsidP="001129FB">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Interlaboratory comparison was performed by sending two polyol samples, one commercial polyol and one of the synthesized polyols selected randomly, to an ISO 17025:2005 accredited laboratory in the US. The reported values of bio-based content were compared with the results of analyses done in MPOB on the same samples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REF _Ref48341951 </w:instrText>
      </w:r>
      <w:r>
        <w:rPr>
          <w:rFonts w:ascii="Times New Roman" w:hAnsi="Times New Roman"/>
          <w:bCs/>
          <w:sz w:val="20"/>
          <w:szCs w:val="20"/>
          <w:lang w:val="en-GB" w:eastAsia="zh-CN"/>
        </w:rPr>
        <w:instrText xml:space="preserve"> \* MERGEFORMAT </w:instrText>
      </w:r>
      <w:r w:rsidRPr="00574032">
        <w:rPr>
          <w:rFonts w:ascii="Times New Roman" w:hAnsi="Times New Roman"/>
          <w:bCs/>
          <w:sz w:val="20"/>
          <w:szCs w:val="20"/>
          <w:lang w:val="en-GB" w:eastAsia="zh-CN"/>
        </w:rPr>
        <w:fldChar w:fldCharType="separate"/>
      </w:r>
      <w:r w:rsidR="00D575B6" w:rsidRPr="00970AAB">
        <w:rPr>
          <w:rFonts w:ascii="Times New Roman" w:hAnsi="Times New Roman"/>
          <w:bCs/>
          <w:sz w:val="20"/>
          <w:szCs w:val="20"/>
          <w:lang w:val="en-GB" w:eastAsia="zh-CN"/>
        </w:rPr>
        <w:t xml:space="preserve">Table </w:t>
      </w:r>
      <w:r w:rsidR="00D575B6">
        <w:rPr>
          <w:rFonts w:ascii="Times New Roman" w:hAnsi="Times New Roman"/>
          <w:bCs/>
          <w:noProof/>
          <w:sz w:val="20"/>
          <w:szCs w:val="20"/>
          <w:lang w:val="en-GB" w:eastAsia="zh-CN"/>
        </w:rPr>
        <w:t>4</w:t>
      </w:r>
      <w:r w:rsidRPr="00574032">
        <w:rPr>
          <w:rFonts w:ascii="Times New Roman" w:hAnsi="Times New Roman"/>
          <w:bCs/>
          <w:sz w:val="20"/>
          <w:szCs w:val="20"/>
          <w:lang w:val="en-GB" w:eastAsia="zh-CN"/>
        </w:rPr>
        <w:fldChar w:fldCharType="end"/>
      </w:r>
      <w:r w:rsidRPr="00574032">
        <w:rPr>
          <w:rFonts w:ascii="Times New Roman" w:hAnsi="Times New Roman"/>
          <w:bCs/>
          <w:sz w:val="20"/>
          <w:szCs w:val="20"/>
          <w:lang w:val="en-GB" w:eastAsia="zh-CN"/>
        </w:rPr>
        <w:t xml:space="preserve">). Cross check results with the accredited laboratory suggested that the sample oxidation method coupled with LSC is able to provide reliable results, comparable to the expensive AMS technique used by the accredited laboratory. </w:t>
      </w:r>
      <w:r w:rsidRPr="00574032">
        <w:rPr>
          <w:rFonts w:ascii="Times New Roman" w:hAnsi="Times New Roman"/>
          <w:bCs/>
          <w:iCs/>
          <w:sz w:val="20"/>
          <w:szCs w:val="20"/>
          <w:lang w:val="en-GB" w:eastAsia="zh-CN"/>
        </w:rPr>
        <w:t>The determination of bio-based content by AMS requires a large, expensive, and sophisticated instrument, which needs to be managed by a large research institute for its viable operation.</w:t>
      </w:r>
    </w:p>
    <w:p w14:paraId="6C657220" w14:textId="77777777" w:rsidR="001129FB" w:rsidRPr="00574032" w:rsidRDefault="001129FB" w:rsidP="001129FB">
      <w:pPr>
        <w:spacing w:after="0"/>
        <w:jc w:val="both"/>
        <w:rPr>
          <w:rFonts w:ascii="Times New Roman" w:hAnsi="Times New Roman"/>
          <w:bCs/>
          <w:sz w:val="20"/>
          <w:szCs w:val="20"/>
          <w:lang w:val="en-GB" w:eastAsia="zh-CN"/>
        </w:rPr>
      </w:pPr>
    </w:p>
    <w:p w14:paraId="442B2EAF" w14:textId="1BCD732A" w:rsidR="008A2F73" w:rsidRDefault="008A2F73" w:rsidP="004673AB">
      <w:pPr>
        <w:spacing w:after="120"/>
        <w:jc w:val="both"/>
        <w:rPr>
          <w:rFonts w:ascii="Times New Roman" w:hAnsi="Times New Roman"/>
          <w:bCs/>
          <w:sz w:val="20"/>
          <w:szCs w:val="20"/>
          <w:lang w:val="en-GB" w:eastAsia="zh-CN"/>
        </w:rPr>
        <w:sectPr w:rsidR="008A2F73" w:rsidSect="008A2F73">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0"/>
          <w:cols w:num="2" w:space="403"/>
          <w:docGrid w:linePitch="360"/>
        </w:sectPr>
      </w:pPr>
    </w:p>
    <w:p w14:paraId="73765BF0" w14:textId="77777777" w:rsidR="001129FB" w:rsidRPr="0020154A" w:rsidRDefault="001129FB" w:rsidP="004060C3">
      <w:pPr>
        <w:spacing w:after="0"/>
        <w:jc w:val="both"/>
        <w:rPr>
          <w:rFonts w:ascii="Times New Roman" w:hAnsi="Times New Roman"/>
          <w:bCs/>
          <w:sz w:val="20"/>
          <w:szCs w:val="20"/>
          <w:lang w:val="en-GB" w:eastAsia="zh-CN"/>
        </w:rPr>
      </w:pPr>
    </w:p>
    <w:p w14:paraId="2BE1364B" w14:textId="381BF003" w:rsidR="0020154A" w:rsidRPr="0020154A" w:rsidRDefault="0020154A" w:rsidP="004F6799">
      <w:pPr>
        <w:spacing w:after="120"/>
        <w:jc w:val="center"/>
        <w:rPr>
          <w:rFonts w:ascii="Times New Roman" w:hAnsi="Times New Roman"/>
          <w:b/>
          <w:bCs/>
          <w:sz w:val="20"/>
          <w:szCs w:val="20"/>
          <w:lang w:val="en-GB" w:eastAsia="zh-CN"/>
        </w:rPr>
      </w:pPr>
      <w:bookmarkStart w:id="2" w:name="_Ref503943797"/>
      <w:bookmarkStart w:id="3" w:name="_Toc509213705"/>
      <w:r w:rsidRPr="0020154A">
        <w:rPr>
          <w:rFonts w:ascii="Times New Roman" w:hAnsi="Times New Roman"/>
          <w:bCs/>
          <w:sz w:val="20"/>
          <w:szCs w:val="20"/>
          <w:lang w:val="en-GB" w:eastAsia="zh-CN"/>
        </w:rPr>
        <w:t xml:space="preserve">Table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SEQ Table \* ARABIC </w:instrText>
      </w:r>
      <w:r w:rsidRPr="0020154A">
        <w:rPr>
          <w:rFonts w:ascii="Times New Roman" w:hAnsi="Times New Roman"/>
          <w:bCs/>
          <w:sz w:val="20"/>
          <w:szCs w:val="20"/>
          <w:lang w:val="en-GB" w:eastAsia="zh-CN"/>
        </w:rPr>
        <w:fldChar w:fldCharType="separate"/>
      </w:r>
      <w:r w:rsidR="00D575B6">
        <w:rPr>
          <w:rFonts w:ascii="Times New Roman" w:hAnsi="Times New Roman"/>
          <w:bCs/>
          <w:noProof/>
          <w:sz w:val="20"/>
          <w:szCs w:val="20"/>
          <w:lang w:val="en-GB" w:eastAsia="zh-CN"/>
        </w:rPr>
        <w:t>1</w:t>
      </w:r>
      <w:r w:rsidRPr="0020154A">
        <w:rPr>
          <w:rFonts w:ascii="Times New Roman" w:hAnsi="Times New Roman"/>
          <w:sz w:val="20"/>
          <w:szCs w:val="20"/>
          <w:lang w:eastAsia="zh-CN"/>
        </w:rPr>
        <w:fldChar w:fldCharType="end"/>
      </w:r>
      <w:bookmarkEnd w:id="2"/>
      <w:r w:rsidRPr="0020154A">
        <w:rPr>
          <w:rFonts w:ascii="Times New Roman" w:hAnsi="Times New Roman"/>
          <w:sz w:val="20"/>
          <w:szCs w:val="20"/>
          <w:lang w:eastAsia="zh-CN"/>
        </w:rPr>
        <w:t>.</w:t>
      </w:r>
      <w:r w:rsidRPr="0020154A">
        <w:rPr>
          <w:rFonts w:ascii="Times New Roman" w:hAnsi="Times New Roman"/>
          <w:b/>
          <w:bCs/>
          <w:sz w:val="20"/>
          <w:szCs w:val="20"/>
          <w:lang w:val="en-GB" w:eastAsia="zh-CN"/>
        </w:rPr>
        <w:t xml:space="preserve"> </w:t>
      </w:r>
      <w:r w:rsidR="004060C3">
        <w:rPr>
          <w:rFonts w:ascii="Times New Roman" w:hAnsi="Times New Roman"/>
          <w:b/>
          <w:bCs/>
          <w:sz w:val="20"/>
          <w:szCs w:val="20"/>
          <w:lang w:val="en-GB" w:eastAsia="zh-CN"/>
        </w:rPr>
        <w:t xml:space="preserve"> </w:t>
      </w:r>
      <w:r w:rsidRPr="0020154A">
        <w:rPr>
          <w:rFonts w:ascii="Times New Roman" w:hAnsi="Times New Roman"/>
          <w:bCs/>
          <w:sz w:val="20"/>
          <w:szCs w:val="20"/>
          <w:lang w:val="en-GB" w:eastAsia="zh-CN"/>
        </w:rPr>
        <w:t xml:space="preserve">Recovery and memory results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w:t>
      </w:r>
      <w:bookmarkEnd w:id="3"/>
    </w:p>
    <w:tbl>
      <w:tblPr>
        <w:tblpPr w:leftFromText="180" w:rightFromText="180" w:vertAnchor="text" w:tblpXSpec="center" w:tblpY="1"/>
        <w:tblOverlap w:val="never"/>
        <w:tblW w:w="0" w:type="auto"/>
        <w:tblLook w:val="04A0" w:firstRow="1" w:lastRow="0" w:firstColumn="1" w:lastColumn="0" w:noHBand="0" w:noVBand="1"/>
      </w:tblPr>
      <w:tblGrid>
        <w:gridCol w:w="2287"/>
        <w:gridCol w:w="1399"/>
        <w:gridCol w:w="1333"/>
      </w:tblGrid>
      <w:tr w:rsidR="0020154A" w:rsidRPr="0020154A" w14:paraId="584E2C96" w14:textId="77777777" w:rsidTr="004F6799">
        <w:tc>
          <w:tcPr>
            <w:tcW w:w="0" w:type="auto"/>
            <w:tcBorders>
              <w:top w:val="single" w:sz="4" w:space="0" w:color="auto"/>
              <w:bottom w:val="single" w:sz="4" w:space="0" w:color="auto"/>
            </w:tcBorders>
          </w:tcPr>
          <w:p w14:paraId="79EC9A68" w14:textId="77777777" w:rsidR="0020154A" w:rsidRPr="0020154A" w:rsidRDefault="0020154A" w:rsidP="004F6799">
            <w:pPr>
              <w:spacing w:before="60" w:after="60"/>
              <w:rPr>
                <w:rFonts w:ascii="Times New Roman" w:hAnsi="Times New Roman"/>
                <w:b/>
                <w:sz w:val="20"/>
                <w:szCs w:val="20"/>
                <w:lang w:val="en-GB" w:eastAsia="zh-CN"/>
              </w:rPr>
            </w:pPr>
            <w:r w:rsidRPr="0020154A">
              <w:rPr>
                <w:rFonts w:ascii="Times New Roman" w:hAnsi="Times New Roman"/>
                <w:b/>
                <w:sz w:val="20"/>
                <w:szCs w:val="20"/>
                <w:lang w:val="en-GB" w:eastAsia="zh-CN"/>
              </w:rPr>
              <w:t>Performance Parameter</w:t>
            </w:r>
          </w:p>
        </w:tc>
        <w:tc>
          <w:tcPr>
            <w:tcW w:w="0" w:type="auto"/>
            <w:tcBorders>
              <w:top w:val="single" w:sz="4" w:space="0" w:color="auto"/>
              <w:bottom w:val="single" w:sz="4" w:space="0" w:color="auto"/>
            </w:tcBorders>
          </w:tcPr>
          <w:p w14:paraId="04EC8CB5" w14:textId="77777777" w:rsidR="0020154A" w:rsidRPr="0020154A" w:rsidRDefault="0020154A" w:rsidP="004F6799">
            <w:pPr>
              <w:spacing w:before="60" w:after="60"/>
              <w:jc w:val="center"/>
              <w:rPr>
                <w:rFonts w:ascii="Times New Roman" w:hAnsi="Times New Roman"/>
                <w:b/>
                <w:sz w:val="20"/>
                <w:szCs w:val="20"/>
                <w:lang w:val="en-GB" w:eastAsia="zh-CN"/>
              </w:rPr>
            </w:pPr>
            <w:r w:rsidRPr="0020154A">
              <w:rPr>
                <w:rFonts w:ascii="Times New Roman" w:hAnsi="Times New Roman"/>
                <w:b/>
                <w:sz w:val="20"/>
                <w:szCs w:val="20"/>
                <w:lang w:val="en-GB" w:eastAsia="zh-CN"/>
              </w:rPr>
              <w:t>Recovery (%)</w:t>
            </w:r>
          </w:p>
        </w:tc>
        <w:tc>
          <w:tcPr>
            <w:tcW w:w="0" w:type="auto"/>
            <w:tcBorders>
              <w:top w:val="single" w:sz="4" w:space="0" w:color="auto"/>
              <w:bottom w:val="single" w:sz="4" w:space="0" w:color="auto"/>
            </w:tcBorders>
          </w:tcPr>
          <w:p w14:paraId="01DEB83A" w14:textId="77777777" w:rsidR="0020154A" w:rsidRPr="0020154A" w:rsidRDefault="0020154A" w:rsidP="004F6799">
            <w:pPr>
              <w:spacing w:before="60" w:after="60"/>
              <w:jc w:val="center"/>
              <w:rPr>
                <w:rFonts w:ascii="Times New Roman" w:hAnsi="Times New Roman"/>
                <w:b/>
                <w:sz w:val="20"/>
                <w:szCs w:val="20"/>
                <w:lang w:val="en-GB" w:eastAsia="zh-CN"/>
              </w:rPr>
            </w:pPr>
            <w:r w:rsidRPr="0020154A">
              <w:rPr>
                <w:rFonts w:ascii="Times New Roman" w:hAnsi="Times New Roman"/>
                <w:b/>
                <w:sz w:val="20"/>
                <w:szCs w:val="20"/>
                <w:lang w:val="en-GB" w:eastAsia="zh-CN"/>
              </w:rPr>
              <w:t>Memory (%)</w:t>
            </w:r>
          </w:p>
        </w:tc>
      </w:tr>
      <w:tr w:rsidR="0020154A" w:rsidRPr="0020154A" w14:paraId="64ADDBD5" w14:textId="77777777" w:rsidTr="004F6799">
        <w:tc>
          <w:tcPr>
            <w:tcW w:w="0" w:type="auto"/>
            <w:tcBorders>
              <w:top w:val="single" w:sz="4" w:space="0" w:color="auto"/>
            </w:tcBorders>
          </w:tcPr>
          <w:p w14:paraId="4A115414"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1</w:t>
            </w:r>
          </w:p>
        </w:tc>
        <w:tc>
          <w:tcPr>
            <w:tcW w:w="0" w:type="auto"/>
            <w:tcBorders>
              <w:top w:val="single" w:sz="4" w:space="0" w:color="auto"/>
            </w:tcBorders>
          </w:tcPr>
          <w:p w14:paraId="15D36F17"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99.42</w:t>
            </w:r>
          </w:p>
        </w:tc>
        <w:tc>
          <w:tcPr>
            <w:tcW w:w="0" w:type="auto"/>
            <w:tcBorders>
              <w:top w:val="single" w:sz="4" w:space="0" w:color="auto"/>
            </w:tcBorders>
          </w:tcPr>
          <w:p w14:paraId="6B59877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0.02</w:t>
            </w:r>
          </w:p>
        </w:tc>
      </w:tr>
      <w:tr w:rsidR="0020154A" w:rsidRPr="0020154A" w14:paraId="52E4853B" w14:textId="77777777" w:rsidTr="004F6799">
        <w:tc>
          <w:tcPr>
            <w:tcW w:w="0" w:type="auto"/>
          </w:tcPr>
          <w:p w14:paraId="7CD755DD"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2</w:t>
            </w:r>
          </w:p>
        </w:tc>
        <w:tc>
          <w:tcPr>
            <w:tcW w:w="0" w:type="auto"/>
          </w:tcPr>
          <w:p w14:paraId="6C05F72B"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101.87</w:t>
            </w:r>
          </w:p>
        </w:tc>
        <w:tc>
          <w:tcPr>
            <w:tcW w:w="0" w:type="auto"/>
          </w:tcPr>
          <w:p w14:paraId="3BE81E70"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0.05</w:t>
            </w:r>
          </w:p>
        </w:tc>
      </w:tr>
      <w:tr w:rsidR="0020154A" w:rsidRPr="0020154A" w14:paraId="189111AE" w14:textId="77777777" w:rsidTr="004F6799">
        <w:tc>
          <w:tcPr>
            <w:tcW w:w="0" w:type="auto"/>
          </w:tcPr>
          <w:p w14:paraId="23D7FA68"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3</w:t>
            </w:r>
          </w:p>
        </w:tc>
        <w:tc>
          <w:tcPr>
            <w:tcW w:w="0" w:type="auto"/>
          </w:tcPr>
          <w:p w14:paraId="2FAE36AF"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98.99</w:t>
            </w:r>
          </w:p>
        </w:tc>
        <w:tc>
          <w:tcPr>
            <w:tcW w:w="0" w:type="auto"/>
          </w:tcPr>
          <w:p w14:paraId="4974955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0.02</w:t>
            </w:r>
          </w:p>
        </w:tc>
      </w:tr>
      <w:tr w:rsidR="0020154A" w:rsidRPr="0020154A" w14:paraId="02EE0A3A" w14:textId="77777777" w:rsidTr="004F6799">
        <w:tc>
          <w:tcPr>
            <w:tcW w:w="0" w:type="auto"/>
          </w:tcPr>
          <w:p w14:paraId="105FFE1B"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4</w:t>
            </w:r>
          </w:p>
        </w:tc>
        <w:tc>
          <w:tcPr>
            <w:tcW w:w="0" w:type="auto"/>
          </w:tcPr>
          <w:p w14:paraId="4DA406A2"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99.18</w:t>
            </w:r>
          </w:p>
        </w:tc>
        <w:tc>
          <w:tcPr>
            <w:tcW w:w="0" w:type="auto"/>
          </w:tcPr>
          <w:p w14:paraId="289F50DE"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0.06</w:t>
            </w:r>
          </w:p>
        </w:tc>
      </w:tr>
      <w:tr w:rsidR="0020154A" w:rsidRPr="0020154A" w14:paraId="1AF79DF2" w14:textId="77777777" w:rsidTr="004F6799">
        <w:tc>
          <w:tcPr>
            <w:tcW w:w="0" w:type="auto"/>
          </w:tcPr>
          <w:p w14:paraId="010B01AE"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5</w:t>
            </w:r>
          </w:p>
        </w:tc>
        <w:tc>
          <w:tcPr>
            <w:tcW w:w="0" w:type="auto"/>
          </w:tcPr>
          <w:p w14:paraId="1E4C22F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102.27</w:t>
            </w:r>
          </w:p>
        </w:tc>
        <w:tc>
          <w:tcPr>
            <w:tcW w:w="0" w:type="auto"/>
          </w:tcPr>
          <w:p w14:paraId="69E540E6"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0.08</w:t>
            </w:r>
          </w:p>
        </w:tc>
      </w:tr>
      <w:tr w:rsidR="0020154A" w:rsidRPr="0020154A" w14:paraId="2EF4B790" w14:textId="77777777" w:rsidTr="004F6799">
        <w:tc>
          <w:tcPr>
            <w:tcW w:w="0" w:type="auto"/>
            <w:tcBorders>
              <w:bottom w:val="single" w:sz="4" w:space="0" w:color="auto"/>
            </w:tcBorders>
          </w:tcPr>
          <w:p w14:paraId="28731BBE"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6</w:t>
            </w:r>
          </w:p>
        </w:tc>
        <w:tc>
          <w:tcPr>
            <w:tcW w:w="0" w:type="auto"/>
            <w:tcBorders>
              <w:bottom w:val="single" w:sz="4" w:space="0" w:color="auto"/>
            </w:tcBorders>
          </w:tcPr>
          <w:p w14:paraId="62FBFECB"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101.38</w:t>
            </w:r>
          </w:p>
        </w:tc>
        <w:tc>
          <w:tcPr>
            <w:tcW w:w="0" w:type="auto"/>
            <w:tcBorders>
              <w:bottom w:val="single" w:sz="4" w:space="0" w:color="auto"/>
            </w:tcBorders>
          </w:tcPr>
          <w:p w14:paraId="786AA97A"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0.07</w:t>
            </w:r>
          </w:p>
        </w:tc>
      </w:tr>
      <w:tr w:rsidR="0020154A" w:rsidRPr="0020154A" w14:paraId="6723EEBE" w14:textId="77777777" w:rsidTr="004F6799">
        <w:tc>
          <w:tcPr>
            <w:tcW w:w="0" w:type="auto"/>
            <w:tcBorders>
              <w:top w:val="single" w:sz="4" w:space="0" w:color="auto"/>
            </w:tcBorders>
          </w:tcPr>
          <w:p w14:paraId="7D32EE18" w14:textId="77777777" w:rsidR="0020154A" w:rsidRPr="0020154A" w:rsidRDefault="0020154A" w:rsidP="004F6799">
            <w:pPr>
              <w:spacing w:before="60" w:after="0"/>
              <w:rPr>
                <w:rFonts w:ascii="Times New Roman" w:hAnsi="Times New Roman"/>
                <w:bCs/>
                <w:sz w:val="20"/>
                <w:szCs w:val="20"/>
                <w:lang w:val="en-GB" w:eastAsia="zh-CN"/>
              </w:rPr>
            </w:pPr>
            <w:r w:rsidRPr="0020154A">
              <w:rPr>
                <w:rFonts w:ascii="Times New Roman" w:hAnsi="Times New Roman"/>
                <w:bCs/>
                <w:sz w:val="20"/>
                <w:szCs w:val="20"/>
                <w:lang w:val="en-GB" w:eastAsia="zh-CN"/>
              </w:rPr>
              <w:t>Average</w:t>
            </w:r>
          </w:p>
        </w:tc>
        <w:tc>
          <w:tcPr>
            <w:tcW w:w="0" w:type="auto"/>
            <w:tcBorders>
              <w:top w:val="single" w:sz="4" w:space="0" w:color="auto"/>
            </w:tcBorders>
          </w:tcPr>
          <w:p w14:paraId="25E5064E" w14:textId="77777777" w:rsidR="0020154A" w:rsidRPr="0020154A" w:rsidRDefault="0020154A" w:rsidP="004F6799">
            <w:pPr>
              <w:spacing w:before="6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100.09</w:t>
            </w:r>
          </w:p>
        </w:tc>
        <w:tc>
          <w:tcPr>
            <w:tcW w:w="0" w:type="auto"/>
            <w:tcBorders>
              <w:top w:val="single" w:sz="4" w:space="0" w:color="auto"/>
            </w:tcBorders>
          </w:tcPr>
          <w:p w14:paraId="5E2FB447" w14:textId="77777777" w:rsidR="0020154A" w:rsidRPr="0020154A" w:rsidRDefault="0020154A" w:rsidP="004F6799">
            <w:pPr>
              <w:spacing w:before="6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0.05</w:t>
            </w:r>
          </w:p>
        </w:tc>
      </w:tr>
      <w:tr w:rsidR="0020154A" w:rsidRPr="0020154A" w14:paraId="019AEB89" w14:textId="77777777" w:rsidTr="004F6799">
        <w:tc>
          <w:tcPr>
            <w:tcW w:w="0" w:type="auto"/>
            <w:tcBorders>
              <w:bottom w:val="single" w:sz="4" w:space="0" w:color="auto"/>
            </w:tcBorders>
          </w:tcPr>
          <w:p w14:paraId="688ADEE4" w14:textId="77777777" w:rsidR="0020154A" w:rsidRPr="0020154A" w:rsidRDefault="0020154A" w:rsidP="004F6799">
            <w:pPr>
              <w:spacing w:before="60" w:after="60"/>
              <w:rPr>
                <w:rFonts w:ascii="Times New Roman" w:hAnsi="Times New Roman"/>
                <w:bCs/>
                <w:sz w:val="20"/>
                <w:szCs w:val="20"/>
                <w:lang w:val="en-GB" w:eastAsia="zh-CN"/>
              </w:rPr>
            </w:pPr>
            <w:r w:rsidRPr="0020154A">
              <w:rPr>
                <w:rFonts w:ascii="Times New Roman" w:hAnsi="Times New Roman"/>
                <w:bCs/>
                <w:sz w:val="20"/>
                <w:szCs w:val="20"/>
                <w:lang w:val="en-GB" w:eastAsia="zh-CN"/>
              </w:rPr>
              <w:t>Standard deviation</w:t>
            </w:r>
          </w:p>
        </w:tc>
        <w:tc>
          <w:tcPr>
            <w:tcW w:w="0" w:type="auto"/>
            <w:tcBorders>
              <w:bottom w:val="single" w:sz="4" w:space="0" w:color="auto"/>
            </w:tcBorders>
          </w:tcPr>
          <w:p w14:paraId="3295B1F0" w14:textId="77777777" w:rsidR="0020154A" w:rsidRPr="0020154A" w:rsidRDefault="0020154A" w:rsidP="004F6799">
            <w:pPr>
              <w:spacing w:before="60" w:after="6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1.48</w:t>
            </w:r>
          </w:p>
        </w:tc>
        <w:tc>
          <w:tcPr>
            <w:tcW w:w="0" w:type="auto"/>
            <w:tcBorders>
              <w:bottom w:val="single" w:sz="4" w:space="0" w:color="auto"/>
            </w:tcBorders>
          </w:tcPr>
          <w:p w14:paraId="33D80740" w14:textId="77777777" w:rsidR="0020154A" w:rsidRPr="0020154A" w:rsidRDefault="0020154A" w:rsidP="004F6799">
            <w:pPr>
              <w:spacing w:before="60" w:after="6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0.03</w:t>
            </w:r>
          </w:p>
        </w:tc>
      </w:tr>
    </w:tbl>
    <w:p w14:paraId="2C829276" w14:textId="620E8362" w:rsidR="00336E6E" w:rsidRDefault="004F6799" w:rsidP="0020154A">
      <w:pPr>
        <w:spacing w:after="0"/>
        <w:jc w:val="both"/>
        <w:rPr>
          <w:rFonts w:ascii="Times New Roman" w:hAnsi="Times New Roman"/>
          <w:bCs/>
          <w:sz w:val="20"/>
          <w:szCs w:val="20"/>
          <w:lang w:val="en-GB" w:eastAsia="zh-CN"/>
        </w:rPr>
      </w:pPr>
      <w:r>
        <w:rPr>
          <w:rFonts w:ascii="Times New Roman" w:hAnsi="Times New Roman"/>
          <w:bCs/>
          <w:sz w:val="20"/>
          <w:szCs w:val="20"/>
          <w:lang w:val="en-GB" w:eastAsia="zh-CN"/>
        </w:rPr>
        <w:br w:type="textWrapping" w:clear="all"/>
      </w:r>
    </w:p>
    <w:p w14:paraId="61D344A1" w14:textId="77777777" w:rsidR="008747A4" w:rsidRPr="0020154A" w:rsidRDefault="008747A4" w:rsidP="0020154A">
      <w:pPr>
        <w:spacing w:after="0"/>
        <w:jc w:val="both"/>
        <w:rPr>
          <w:rFonts w:ascii="Times New Roman" w:hAnsi="Times New Roman"/>
          <w:bCs/>
          <w:sz w:val="20"/>
          <w:szCs w:val="20"/>
          <w:lang w:val="en-GB" w:eastAsia="zh-CN"/>
        </w:rPr>
      </w:pPr>
    </w:p>
    <w:p w14:paraId="7433E2A5" w14:textId="65BB80A8" w:rsidR="0020154A" w:rsidRPr="0020154A" w:rsidRDefault="0020154A" w:rsidP="004060C3">
      <w:pPr>
        <w:spacing w:after="120"/>
        <w:ind w:left="706" w:hanging="706"/>
        <w:jc w:val="center"/>
        <w:rPr>
          <w:rFonts w:ascii="Times New Roman" w:hAnsi="Times New Roman"/>
          <w:b/>
          <w:bCs/>
          <w:sz w:val="20"/>
          <w:szCs w:val="20"/>
          <w:lang w:val="en-GB" w:eastAsia="zh-CN"/>
        </w:rPr>
      </w:pPr>
      <w:bookmarkStart w:id="4" w:name="_Ref48341906"/>
      <w:r w:rsidRPr="0020154A">
        <w:rPr>
          <w:rFonts w:ascii="Times New Roman" w:hAnsi="Times New Roman"/>
          <w:bCs/>
          <w:sz w:val="20"/>
          <w:szCs w:val="20"/>
          <w:lang w:val="en-GB" w:eastAsia="zh-CN"/>
        </w:rPr>
        <w:t xml:space="preserve">Table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SEQ Table \* ARABIC </w:instrText>
      </w:r>
      <w:r w:rsidRPr="0020154A">
        <w:rPr>
          <w:rFonts w:ascii="Times New Roman" w:hAnsi="Times New Roman"/>
          <w:bCs/>
          <w:sz w:val="20"/>
          <w:szCs w:val="20"/>
          <w:lang w:val="en-GB" w:eastAsia="zh-CN"/>
        </w:rPr>
        <w:fldChar w:fldCharType="separate"/>
      </w:r>
      <w:r w:rsidR="00D575B6">
        <w:rPr>
          <w:rFonts w:ascii="Times New Roman" w:hAnsi="Times New Roman"/>
          <w:bCs/>
          <w:noProof/>
          <w:sz w:val="20"/>
          <w:szCs w:val="20"/>
          <w:lang w:val="en-GB" w:eastAsia="zh-CN"/>
        </w:rPr>
        <w:t>2</w:t>
      </w:r>
      <w:r w:rsidRPr="0020154A">
        <w:rPr>
          <w:rFonts w:ascii="Times New Roman" w:hAnsi="Times New Roman"/>
          <w:sz w:val="20"/>
          <w:szCs w:val="20"/>
          <w:lang w:eastAsia="zh-CN"/>
        </w:rPr>
        <w:fldChar w:fldCharType="end"/>
      </w:r>
      <w:bookmarkEnd w:id="4"/>
      <w:r w:rsidRPr="0020154A">
        <w:rPr>
          <w:rFonts w:ascii="Times New Roman" w:hAnsi="Times New Roman"/>
          <w:sz w:val="20"/>
          <w:szCs w:val="20"/>
          <w:lang w:val="en-GB" w:eastAsia="zh-CN"/>
        </w:rPr>
        <w:t>.</w:t>
      </w:r>
      <w:r w:rsidR="004060C3">
        <w:rPr>
          <w:rFonts w:ascii="Times New Roman" w:hAnsi="Times New Roman"/>
          <w:b/>
          <w:bCs/>
          <w:sz w:val="20"/>
          <w:szCs w:val="20"/>
          <w:lang w:val="en-GB" w:eastAsia="zh-CN"/>
        </w:rPr>
        <w:t xml:space="preserve">  </w:t>
      </w:r>
      <w:r w:rsidRPr="0020154A">
        <w:rPr>
          <w:rFonts w:ascii="Times New Roman" w:hAnsi="Times New Roman"/>
          <w:bCs/>
          <w:sz w:val="20"/>
          <w:szCs w:val="20"/>
          <w:lang w:val="en-GB" w:eastAsia="zh-CN"/>
        </w:rPr>
        <w:t xml:space="preserve">Measured CPM and TSIE of 7 calibration samples with varying amount of Carbosorb E and with same amount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295"/>
        <w:gridCol w:w="1405"/>
        <w:gridCol w:w="715"/>
        <w:gridCol w:w="1103"/>
        <w:gridCol w:w="956"/>
        <w:gridCol w:w="1056"/>
        <w:gridCol w:w="1103"/>
      </w:tblGrid>
      <w:tr w:rsidR="0020154A" w:rsidRPr="0020154A" w14:paraId="144614B2" w14:textId="77777777" w:rsidTr="00983A6B">
        <w:trPr>
          <w:jc w:val="center"/>
        </w:trPr>
        <w:tc>
          <w:tcPr>
            <w:tcW w:w="693" w:type="dxa"/>
            <w:tcBorders>
              <w:top w:val="single" w:sz="4" w:space="0" w:color="auto"/>
              <w:bottom w:val="single" w:sz="4" w:space="0" w:color="auto"/>
            </w:tcBorders>
            <w:tcMar>
              <w:left w:w="57" w:type="dxa"/>
              <w:right w:w="57" w:type="dxa"/>
            </w:tcMar>
            <w:vAlign w:val="center"/>
          </w:tcPr>
          <w:p w14:paraId="058AD426" w14:textId="77777777" w:rsidR="0020154A" w:rsidRPr="0020154A" w:rsidRDefault="0020154A" w:rsidP="004060C3">
            <w:pPr>
              <w:spacing w:after="0"/>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Vial Label</w:t>
            </w:r>
          </w:p>
        </w:tc>
        <w:tc>
          <w:tcPr>
            <w:tcW w:w="1295" w:type="dxa"/>
            <w:tcBorders>
              <w:top w:val="single" w:sz="4" w:space="0" w:color="auto"/>
              <w:bottom w:val="single" w:sz="4" w:space="0" w:color="auto"/>
            </w:tcBorders>
            <w:tcMar>
              <w:left w:w="57" w:type="dxa"/>
              <w:right w:w="57" w:type="dxa"/>
            </w:tcMar>
            <w:vAlign w:val="center"/>
          </w:tcPr>
          <w:p w14:paraId="39F96130" w14:textId="77777777" w:rsidR="0020154A" w:rsidRPr="0020154A" w:rsidRDefault="0020154A" w:rsidP="004060C3">
            <w:pPr>
              <w:spacing w:after="0"/>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Combustion Time (min)</w:t>
            </w:r>
          </w:p>
        </w:tc>
        <w:tc>
          <w:tcPr>
            <w:tcW w:w="1405" w:type="dxa"/>
            <w:tcBorders>
              <w:top w:val="single" w:sz="4" w:space="0" w:color="auto"/>
              <w:bottom w:val="single" w:sz="4" w:space="0" w:color="auto"/>
            </w:tcBorders>
            <w:tcMar>
              <w:left w:w="57" w:type="dxa"/>
              <w:right w:w="57" w:type="dxa"/>
            </w:tcMar>
            <w:vAlign w:val="center"/>
          </w:tcPr>
          <w:p w14:paraId="2F124ECC"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MY" w:eastAsia="zh-CN"/>
              </w:rPr>
              <w:t>Amount of CarboSorb E (mL)</w:t>
            </w:r>
          </w:p>
        </w:tc>
        <w:tc>
          <w:tcPr>
            <w:tcW w:w="715" w:type="dxa"/>
            <w:tcBorders>
              <w:top w:val="single" w:sz="4" w:space="0" w:color="auto"/>
              <w:bottom w:val="single" w:sz="4" w:space="0" w:color="auto"/>
            </w:tcBorders>
            <w:tcMar>
              <w:left w:w="57" w:type="dxa"/>
              <w:right w:w="57" w:type="dxa"/>
            </w:tcMar>
            <w:vAlign w:val="center"/>
          </w:tcPr>
          <w:p w14:paraId="6C65B236"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Filter Paper (g)</w:t>
            </w:r>
          </w:p>
        </w:tc>
        <w:tc>
          <w:tcPr>
            <w:tcW w:w="1103" w:type="dxa"/>
            <w:tcBorders>
              <w:top w:val="single" w:sz="4" w:space="0" w:color="auto"/>
              <w:bottom w:val="single" w:sz="4" w:space="0" w:color="auto"/>
            </w:tcBorders>
            <w:tcMar>
              <w:left w:w="57" w:type="dxa"/>
              <w:right w:w="57" w:type="dxa"/>
            </w:tcMar>
            <w:vAlign w:val="center"/>
          </w:tcPr>
          <w:p w14:paraId="1472B41C" w14:textId="77777777" w:rsidR="0020154A" w:rsidRPr="0020154A" w:rsidRDefault="0020154A" w:rsidP="004060C3">
            <w:pPr>
              <w:spacing w:after="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Measured CPM</w:t>
            </w:r>
          </w:p>
        </w:tc>
        <w:tc>
          <w:tcPr>
            <w:tcW w:w="956" w:type="dxa"/>
            <w:tcBorders>
              <w:top w:val="single" w:sz="4" w:space="0" w:color="auto"/>
              <w:bottom w:val="single" w:sz="4" w:space="0" w:color="auto"/>
            </w:tcBorders>
            <w:tcMar>
              <w:left w:w="57" w:type="dxa"/>
              <w:right w:w="57" w:type="dxa"/>
            </w:tcMar>
            <w:vAlign w:val="center"/>
          </w:tcPr>
          <w:p w14:paraId="0F745EA1"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Injected Activity DPM</w:t>
            </w:r>
          </w:p>
        </w:tc>
        <w:tc>
          <w:tcPr>
            <w:tcW w:w="1056" w:type="dxa"/>
            <w:tcBorders>
              <w:top w:val="single" w:sz="4" w:space="0" w:color="auto"/>
              <w:bottom w:val="single" w:sz="4" w:space="0" w:color="auto"/>
            </w:tcBorders>
            <w:tcMar>
              <w:left w:w="57" w:type="dxa"/>
              <w:right w:w="57" w:type="dxa"/>
            </w:tcMar>
            <w:vAlign w:val="center"/>
          </w:tcPr>
          <w:p w14:paraId="7E5F12C3"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Counting Efficiency (%)</w:t>
            </w:r>
          </w:p>
        </w:tc>
        <w:tc>
          <w:tcPr>
            <w:tcW w:w="1103" w:type="dxa"/>
            <w:tcBorders>
              <w:top w:val="single" w:sz="4" w:space="0" w:color="auto"/>
              <w:bottom w:val="single" w:sz="4" w:space="0" w:color="auto"/>
            </w:tcBorders>
            <w:tcMar>
              <w:left w:w="57" w:type="dxa"/>
              <w:right w:w="57" w:type="dxa"/>
            </w:tcMar>
            <w:vAlign w:val="center"/>
          </w:tcPr>
          <w:p w14:paraId="205FBF99" w14:textId="77777777" w:rsidR="0020154A" w:rsidRPr="0020154A" w:rsidRDefault="0020154A" w:rsidP="004060C3">
            <w:pPr>
              <w:spacing w:after="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Measured tSIE</w:t>
            </w:r>
          </w:p>
        </w:tc>
      </w:tr>
      <w:tr w:rsidR="0020154A" w:rsidRPr="0020154A" w14:paraId="4E37898A" w14:textId="77777777" w:rsidTr="00983A6B">
        <w:trPr>
          <w:jc w:val="center"/>
        </w:trPr>
        <w:tc>
          <w:tcPr>
            <w:tcW w:w="693" w:type="dxa"/>
            <w:tcBorders>
              <w:top w:val="single" w:sz="4" w:space="0" w:color="auto"/>
            </w:tcBorders>
            <w:tcMar>
              <w:left w:w="57" w:type="dxa"/>
              <w:right w:w="57" w:type="dxa"/>
            </w:tcMar>
            <w:vAlign w:val="center"/>
          </w:tcPr>
          <w:p w14:paraId="5F94A869"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C0</w:t>
            </w:r>
          </w:p>
        </w:tc>
        <w:tc>
          <w:tcPr>
            <w:tcW w:w="1295" w:type="dxa"/>
            <w:tcBorders>
              <w:top w:val="single" w:sz="4" w:space="0" w:color="auto"/>
            </w:tcBorders>
            <w:tcMar>
              <w:left w:w="57" w:type="dxa"/>
              <w:right w:w="57" w:type="dxa"/>
            </w:tcMar>
            <w:vAlign w:val="center"/>
          </w:tcPr>
          <w:p w14:paraId="650DA360"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1405" w:type="dxa"/>
            <w:tcBorders>
              <w:top w:val="single" w:sz="4" w:space="0" w:color="auto"/>
            </w:tcBorders>
            <w:tcMar>
              <w:left w:w="57" w:type="dxa"/>
              <w:right w:w="57" w:type="dxa"/>
            </w:tcMar>
            <w:vAlign w:val="center"/>
          </w:tcPr>
          <w:p w14:paraId="574194E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715" w:type="dxa"/>
            <w:tcBorders>
              <w:top w:val="single" w:sz="4" w:space="0" w:color="auto"/>
            </w:tcBorders>
            <w:tcMar>
              <w:left w:w="57" w:type="dxa"/>
              <w:right w:w="57" w:type="dxa"/>
            </w:tcMar>
            <w:vAlign w:val="center"/>
          </w:tcPr>
          <w:p w14:paraId="09FA6BD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1103" w:type="dxa"/>
            <w:tcBorders>
              <w:top w:val="single" w:sz="4" w:space="0" w:color="auto"/>
            </w:tcBorders>
            <w:tcMar>
              <w:left w:w="57" w:type="dxa"/>
              <w:right w:w="57" w:type="dxa"/>
            </w:tcMar>
            <w:vAlign w:val="center"/>
          </w:tcPr>
          <w:p w14:paraId="6708C01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69631</w:t>
            </w:r>
          </w:p>
        </w:tc>
        <w:tc>
          <w:tcPr>
            <w:tcW w:w="956" w:type="dxa"/>
            <w:tcBorders>
              <w:top w:val="single" w:sz="4" w:space="0" w:color="auto"/>
            </w:tcBorders>
            <w:tcMar>
              <w:left w:w="57" w:type="dxa"/>
              <w:right w:w="57" w:type="dxa"/>
            </w:tcMar>
            <w:vAlign w:val="center"/>
          </w:tcPr>
          <w:p w14:paraId="55BF4000"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Borders>
              <w:top w:val="single" w:sz="4" w:space="0" w:color="auto"/>
            </w:tcBorders>
            <w:tcMar>
              <w:left w:w="57" w:type="dxa"/>
              <w:right w:w="57" w:type="dxa"/>
            </w:tcMar>
            <w:vAlign w:val="center"/>
          </w:tcPr>
          <w:p w14:paraId="25071891"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84.3</w:t>
            </w:r>
          </w:p>
        </w:tc>
        <w:tc>
          <w:tcPr>
            <w:tcW w:w="1103" w:type="dxa"/>
            <w:tcBorders>
              <w:top w:val="single" w:sz="4" w:space="0" w:color="auto"/>
            </w:tcBorders>
            <w:tcMar>
              <w:left w:w="57" w:type="dxa"/>
              <w:right w:w="57" w:type="dxa"/>
            </w:tcMar>
            <w:vAlign w:val="center"/>
          </w:tcPr>
          <w:p w14:paraId="1C4640FA"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794.7</w:t>
            </w:r>
          </w:p>
        </w:tc>
      </w:tr>
      <w:tr w:rsidR="0020154A" w:rsidRPr="0020154A" w14:paraId="422341F6" w14:textId="77777777" w:rsidTr="00F879E7">
        <w:trPr>
          <w:jc w:val="center"/>
        </w:trPr>
        <w:tc>
          <w:tcPr>
            <w:tcW w:w="693" w:type="dxa"/>
            <w:tcMar>
              <w:left w:w="57" w:type="dxa"/>
              <w:right w:w="57" w:type="dxa"/>
            </w:tcMar>
            <w:vAlign w:val="center"/>
          </w:tcPr>
          <w:p w14:paraId="43A4615A"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C1</w:t>
            </w:r>
          </w:p>
        </w:tc>
        <w:tc>
          <w:tcPr>
            <w:tcW w:w="1295" w:type="dxa"/>
            <w:tcMar>
              <w:left w:w="57" w:type="dxa"/>
              <w:right w:w="57" w:type="dxa"/>
            </w:tcMar>
            <w:vAlign w:val="center"/>
          </w:tcPr>
          <w:p w14:paraId="14379AF5"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344053A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2</w:t>
            </w:r>
          </w:p>
        </w:tc>
        <w:tc>
          <w:tcPr>
            <w:tcW w:w="715" w:type="dxa"/>
            <w:tcMar>
              <w:left w:w="57" w:type="dxa"/>
              <w:right w:w="57" w:type="dxa"/>
            </w:tcMar>
            <w:vAlign w:val="center"/>
          </w:tcPr>
          <w:p w14:paraId="22D57B9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0.1</w:t>
            </w:r>
          </w:p>
        </w:tc>
        <w:tc>
          <w:tcPr>
            <w:tcW w:w="1103" w:type="dxa"/>
            <w:tcMar>
              <w:left w:w="57" w:type="dxa"/>
              <w:right w:w="57" w:type="dxa"/>
            </w:tcMar>
            <w:vAlign w:val="center"/>
          </w:tcPr>
          <w:p w14:paraId="72F4295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67783</w:t>
            </w:r>
          </w:p>
        </w:tc>
        <w:tc>
          <w:tcPr>
            <w:tcW w:w="956" w:type="dxa"/>
            <w:tcMar>
              <w:left w:w="57" w:type="dxa"/>
              <w:right w:w="57" w:type="dxa"/>
            </w:tcMar>
            <w:vAlign w:val="center"/>
          </w:tcPr>
          <w:p w14:paraId="1BE32A1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74D206B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82.1</w:t>
            </w:r>
          </w:p>
        </w:tc>
        <w:tc>
          <w:tcPr>
            <w:tcW w:w="1103" w:type="dxa"/>
            <w:tcMar>
              <w:left w:w="57" w:type="dxa"/>
              <w:right w:w="57" w:type="dxa"/>
            </w:tcMar>
            <w:vAlign w:val="center"/>
          </w:tcPr>
          <w:p w14:paraId="3858CFA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363.3</w:t>
            </w:r>
          </w:p>
        </w:tc>
      </w:tr>
      <w:tr w:rsidR="0020154A" w:rsidRPr="0020154A" w14:paraId="7D868BBD" w14:textId="77777777" w:rsidTr="00F879E7">
        <w:trPr>
          <w:jc w:val="center"/>
        </w:trPr>
        <w:tc>
          <w:tcPr>
            <w:tcW w:w="693" w:type="dxa"/>
            <w:tcMar>
              <w:left w:w="57" w:type="dxa"/>
              <w:right w:w="57" w:type="dxa"/>
            </w:tcMar>
            <w:vAlign w:val="center"/>
          </w:tcPr>
          <w:p w14:paraId="5DA663B7"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C2</w:t>
            </w:r>
          </w:p>
        </w:tc>
        <w:tc>
          <w:tcPr>
            <w:tcW w:w="1295" w:type="dxa"/>
            <w:tcMar>
              <w:left w:w="57" w:type="dxa"/>
              <w:right w:w="57" w:type="dxa"/>
            </w:tcMar>
            <w:vAlign w:val="center"/>
          </w:tcPr>
          <w:p w14:paraId="534C4C28"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31126ADB"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4</w:t>
            </w:r>
          </w:p>
        </w:tc>
        <w:tc>
          <w:tcPr>
            <w:tcW w:w="715" w:type="dxa"/>
            <w:tcMar>
              <w:left w:w="57" w:type="dxa"/>
              <w:right w:w="57" w:type="dxa"/>
            </w:tcMar>
            <w:vAlign w:val="center"/>
          </w:tcPr>
          <w:p w14:paraId="2A9A229C"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0.2</w:t>
            </w:r>
          </w:p>
        </w:tc>
        <w:tc>
          <w:tcPr>
            <w:tcW w:w="1103" w:type="dxa"/>
            <w:tcMar>
              <w:left w:w="57" w:type="dxa"/>
              <w:right w:w="57" w:type="dxa"/>
            </w:tcMar>
            <w:vAlign w:val="center"/>
          </w:tcPr>
          <w:p w14:paraId="762E865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71215</w:t>
            </w:r>
          </w:p>
        </w:tc>
        <w:tc>
          <w:tcPr>
            <w:tcW w:w="956" w:type="dxa"/>
            <w:tcMar>
              <w:left w:w="57" w:type="dxa"/>
              <w:right w:w="57" w:type="dxa"/>
            </w:tcMar>
            <w:vAlign w:val="center"/>
          </w:tcPr>
          <w:p w14:paraId="71E4EFB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76CCB17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86.2</w:t>
            </w:r>
          </w:p>
        </w:tc>
        <w:tc>
          <w:tcPr>
            <w:tcW w:w="1103" w:type="dxa"/>
            <w:tcMar>
              <w:left w:w="57" w:type="dxa"/>
              <w:right w:w="57" w:type="dxa"/>
            </w:tcMar>
            <w:vAlign w:val="center"/>
          </w:tcPr>
          <w:p w14:paraId="25C123C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321.3</w:t>
            </w:r>
          </w:p>
        </w:tc>
      </w:tr>
      <w:tr w:rsidR="0020154A" w:rsidRPr="0020154A" w14:paraId="5CE9D5F3" w14:textId="77777777" w:rsidTr="00F879E7">
        <w:trPr>
          <w:jc w:val="center"/>
        </w:trPr>
        <w:tc>
          <w:tcPr>
            <w:tcW w:w="693" w:type="dxa"/>
            <w:tcMar>
              <w:left w:w="57" w:type="dxa"/>
              <w:right w:w="57" w:type="dxa"/>
            </w:tcMar>
            <w:vAlign w:val="center"/>
          </w:tcPr>
          <w:p w14:paraId="2DABDAEE"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C3</w:t>
            </w:r>
          </w:p>
        </w:tc>
        <w:tc>
          <w:tcPr>
            <w:tcW w:w="1295" w:type="dxa"/>
            <w:tcMar>
              <w:left w:w="57" w:type="dxa"/>
              <w:right w:w="57" w:type="dxa"/>
            </w:tcMar>
            <w:vAlign w:val="center"/>
          </w:tcPr>
          <w:p w14:paraId="34FAAD4F"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0FD7892B"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w:t>
            </w:r>
          </w:p>
        </w:tc>
        <w:tc>
          <w:tcPr>
            <w:tcW w:w="715" w:type="dxa"/>
            <w:tcMar>
              <w:left w:w="57" w:type="dxa"/>
              <w:right w:w="57" w:type="dxa"/>
            </w:tcMar>
            <w:vAlign w:val="center"/>
          </w:tcPr>
          <w:p w14:paraId="5AB5E573"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0.4</w:t>
            </w:r>
          </w:p>
        </w:tc>
        <w:tc>
          <w:tcPr>
            <w:tcW w:w="1103" w:type="dxa"/>
            <w:tcMar>
              <w:left w:w="57" w:type="dxa"/>
              <w:right w:w="57" w:type="dxa"/>
            </w:tcMar>
            <w:vAlign w:val="center"/>
          </w:tcPr>
          <w:p w14:paraId="0F305AC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66132</w:t>
            </w:r>
          </w:p>
        </w:tc>
        <w:tc>
          <w:tcPr>
            <w:tcW w:w="956" w:type="dxa"/>
            <w:tcMar>
              <w:left w:w="57" w:type="dxa"/>
              <w:right w:w="57" w:type="dxa"/>
            </w:tcMar>
            <w:vAlign w:val="center"/>
          </w:tcPr>
          <w:p w14:paraId="4D172A4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0CBDE985"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80.1</w:t>
            </w:r>
          </w:p>
        </w:tc>
        <w:tc>
          <w:tcPr>
            <w:tcW w:w="1103" w:type="dxa"/>
            <w:tcMar>
              <w:left w:w="57" w:type="dxa"/>
              <w:right w:w="57" w:type="dxa"/>
            </w:tcMar>
            <w:vAlign w:val="center"/>
          </w:tcPr>
          <w:p w14:paraId="6CB4533A"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243.1</w:t>
            </w:r>
          </w:p>
        </w:tc>
      </w:tr>
      <w:tr w:rsidR="0020154A" w:rsidRPr="0020154A" w14:paraId="25ECCC10" w14:textId="77777777" w:rsidTr="00F879E7">
        <w:trPr>
          <w:jc w:val="center"/>
        </w:trPr>
        <w:tc>
          <w:tcPr>
            <w:tcW w:w="693" w:type="dxa"/>
            <w:tcMar>
              <w:left w:w="57" w:type="dxa"/>
              <w:right w:w="57" w:type="dxa"/>
            </w:tcMar>
            <w:vAlign w:val="center"/>
          </w:tcPr>
          <w:p w14:paraId="11C1AB1D"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C4</w:t>
            </w:r>
          </w:p>
        </w:tc>
        <w:tc>
          <w:tcPr>
            <w:tcW w:w="1295" w:type="dxa"/>
            <w:tcMar>
              <w:left w:w="57" w:type="dxa"/>
              <w:right w:w="57" w:type="dxa"/>
            </w:tcMar>
            <w:vAlign w:val="center"/>
          </w:tcPr>
          <w:p w14:paraId="4DCE3739"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0.5</w:t>
            </w:r>
          </w:p>
        </w:tc>
        <w:tc>
          <w:tcPr>
            <w:tcW w:w="1405" w:type="dxa"/>
            <w:tcMar>
              <w:left w:w="57" w:type="dxa"/>
              <w:right w:w="57" w:type="dxa"/>
            </w:tcMar>
            <w:vAlign w:val="center"/>
          </w:tcPr>
          <w:p w14:paraId="7B296EA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w:t>
            </w:r>
          </w:p>
        </w:tc>
        <w:tc>
          <w:tcPr>
            <w:tcW w:w="715" w:type="dxa"/>
            <w:tcMar>
              <w:left w:w="57" w:type="dxa"/>
              <w:right w:w="57" w:type="dxa"/>
            </w:tcMar>
            <w:vAlign w:val="center"/>
          </w:tcPr>
          <w:p w14:paraId="7F87F56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0.6</w:t>
            </w:r>
          </w:p>
        </w:tc>
        <w:tc>
          <w:tcPr>
            <w:tcW w:w="1103" w:type="dxa"/>
            <w:tcMar>
              <w:left w:w="57" w:type="dxa"/>
              <w:right w:w="57" w:type="dxa"/>
            </w:tcMar>
            <w:vAlign w:val="center"/>
          </w:tcPr>
          <w:p w14:paraId="1DDE7BB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65875</w:t>
            </w:r>
          </w:p>
        </w:tc>
        <w:tc>
          <w:tcPr>
            <w:tcW w:w="956" w:type="dxa"/>
            <w:tcMar>
              <w:left w:w="57" w:type="dxa"/>
              <w:right w:w="57" w:type="dxa"/>
            </w:tcMar>
            <w:vAlign w:val="center"/>
          </w:tcPr>
          <w:p w14:paraId="7B3CC25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64F9746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79.8</w:t>
            </w:r>
          </w:p>
        </w:tc>
        <w:tc>
          <w:tcPr>
            <w:tcW w:w="1103" w:type="dxa"/>
            <w:tcMar>
              <w:left w:w="57" w:type="dxa"/>
              <w:right w:w="57" w:type="dxa"/>
            </w:tcMar>
            <w:vAlign w:val="center"/>
          </w:tcPr>
          <w:p w14:paraId="50F36EC1"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197.5</w:t>
            </w:r>
          </w:p>
        </w:tc>
      </w:tr>
      <w:tr w:rsidR="0020154A" w:rsidRPr="0020154A" w14:paraId="06C9F7F1" w14:textId="77777777" w:rsidTr="00F879E7">
        <w:trPr>
          <w:jc w:val="center"/>
        </w:trPr>
        <w:tc>
          <w:tcPr>
            <w:tcW w:w="693" w:type="dxa"/>
            <w:tcMar>
              <w:left w:w="57" w:type="dxa"/>
              <w:right w:w="57" w:type="dxa"/>
            </w:tcMar>
            <w:vAlign w:val="center"/>
          </w:tcPr>
          <w:p w14:paraId="085D5583"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C5</w:t>
            </w:r>
          </w:p>
        </w:tc>
        <w:tc>
          <w:tcPr>
            <w:tcW w:w="1295" w:type="dxa"/>
            <w:tcMar>
              <w:left w:w="57" w:type="dxa"/>
              <w:right w:w="57" w:type="dxa"/>
            </w:tcMar>
            <w:vAlign w:val="center"/>
          </w:tcPr>
          <w:p w14:paraId="7FA631F1"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0.7</w:t>
            </w:r>
          </w:p>
        </w:tc>
        <w:tc>
          <w:tcPr>
            <w:tcW w:w="1405" w:type="dxa"/>
            <w:tcMar>
              <w:left w:w="57" w:type="dxa"/>
              <w:right w:w="57" w:type="dxa"/>
            </w:tcMar>
            <w:vAlign w:val="center"/>
          </w:tcPr>
          <w:p w14:paraId="25D6E2F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9</w:t>
            </w:r>
          </w:p>
        </w:tc>
        <w:tc>
          <w:tcPr>
            <w:tcW w:w="715" w:type="dxa"/>
            <w:tcMar>
              <w:left w:w="57" w:type="dxa"/>
              <w:right w:w="57" w:type="dxa"/>
            </w:tcMar>
            <w:vAlign w:val="center"/>
          </w:tcPr>
          <w:p w14:paraId="3FCDCD4F"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0.8</w:t>
            </w:r>
          </w:p>
        </w:tc>
        <w:tc>
          <w:tcPr>
            <w:tcW w:w="1103" w:type="dxa"/>
            <w:tcMar>
              <w:left w:w="57" w:type="dxa"/>
              <w:right w:w="57" w:type="dxa"/>
            </w:tcMar>
            <w:vAlign w:val="center"/>
          </w:tcPr>
          <w:p w14:paraId="554A36A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64142</w:t>
            </w:r>
          </w:p>
        </w:tc>
        <w:tc>
          <w:tcPr>
            <w:tcW w:w="956" w:type="dxa"/>
            <w:tcMar>
              <w:left w:w="57" w:type="dxa"/>
              <w:right w:w="57" w:type="dxa"/>
            </w:tcMar>
            <w:vAlign w:val="center"/>
          </w:tcPr>
          <w:p w14:paraId="1B1F6E2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1FD26F1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77.7</w:t>
            </w:r>
          </w:p>
        </w:tc>
        <w:tc>
          <w:tcPr>
            <w:tcW w:w="1103" w:type="dxa"/>
            <w:tcMar>
              <w:left w:w="57" w:type="dxa"/>
              <w:right w:w="57" w:type="dxa"/>
            </w:tcMar>
            <w:vAlign w:val="center"/>
          </w:tcPr>
          <w:p w14:paraId="66FCAEC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180.7</w:t>
            </w:r>
          </w:p>
        </w:tc>
      </w:tr>
      <w:tr w:rsidR="0020154A" w:rsidRPr="0020154A" w14:paraId="51C440EF" w14:textId="77777777" w:rsidTr="00F879E7">
        <w:trPr>
          <w:jc w:val="center"/>
        </w:trPr>
        <w:tc>
          <w:tcPr>
            <w:tcW w:w="693" w:type="dxa"/>
            <w:tcBorders>
              <w:bottom w:val="single" w:sz="4" w:space="0" w:color="auto"/>
            </w:tcBorders>
            <w:tcMar>
              <w:left w:w="57" w:type="dxa"/>
              <w:right w:w="57" w:type="dxa"/>
            </w:tcMar>
            <w:vAlign w:val="center"/>
          </w:tcPr>
          <w:p w14:paraId="0D397E65" w14:textId="77777777" w:rsidR="0020154A" w:rsidRPr="0020154A" w:rsidRDefault="0020154A" w:rsidP="00983A6B">
            <w:pPr>
              <w:spacing w:before="60" w:after="6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C6</w:t>
            </w:r>
          </w:p>
        </w:tc>
        <w:tc>
          <w:tcPr>
            <w:tcW w:w="1295" w:type="dxa"/>
            <w:tcBorders>
              <w:bottom w:val="single" w:sz="4" w:space="0" w:color="auto"/>
            </w:tcBorders>
            <w:tcMar>
              <w:left w:w="57" w:type="dxa"/>
              <w:right w:w="57" w:type="dxa"/>
            </w:tcMar>
            <w:vAlign w:val="center"/>
          </w:tcPr>
          <w:p w14:paraId="71B291C0" w14:textId="77777777" w:rsidR="0020154A" w:rsidRPr="0020154A" w:rsidRDefault="0020154A" w:rsidP="00983A6B">
            <w:pPr>
              <w:spacing w:before="60" w:after="6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1405" w:type="dxa"/>
            <w:tcBorders>
              <w:bottom w:val="single" w:sz="4" w:space="0" w:color="auto"/>
            </w:tcBorders>
            <w:tcMar>
              <w:left w:w="57" w:type="dxa"/>
              <w:right w:w="57" w:type="dxa"/>
            </w:tcMar>
            <w:vAlign w:val="center"/>
          </w:tcPr>
          <w:p w14:paraId="6A8E6144"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715" w:type="dxa"/>
            <w:tcBorders>
              <w:bottom w:val="single" w:sz="4" w:space="0" w:color="auto"/>
            </w:tcBorders>
            <w:tcMar>
              <w:left w:w="57" w:type="dxa"/>
              <w:right w:w="57" w:type="dxa"/>
            </w:tcMar>
            <w:vAlign w:val="center"/>
          </w:tcPr>
          <w:p w14:paraId="73366AE8"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1103" w:type="dxa"/>
            <w:tcBorders>
              <w:bottom w:val="single" w:sz="4" w:space="0" w:color="auto"/>
            </w:tcBorders>
            <w:tcMar>
              <w:left w:w="57" w:type="dxa"/>
              <w:right w:w="57" w:type="dxa"/>
            </w:tcMar>
            <w:vAlign w:val="center"/>
          </w:tcPr>
          <w:p w14:paraId="09B03421"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60410</w:t>
            </w:r>
          </w:p>
        </w:tc>
        <w:tc>
          <w:tcPr>
            <w:tcW w:w="956" w:type="dxa"/>
            <w:tcBorders>
              <w:bottom w:val="single" w:sz="4" w:space="0" w:color="auto"/>
            </w:tcBorders>
            <w:tcMar>
              <w:left w:w="57" w:type="dxa"/>
              <w:right w:w="57" w:type="dxa"/>
            </w:tcMar>
            <w:vAlign w:val="center"/>
          </w:tcPr>
          <w:p w14:paraId="47CC948E"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Borders>
              <w:bottom w:val="single" w:sz="4" w:space="0" w:color="auto"/>
            </w:tcBorders>
            <w:tcMar>
              <w:left w:w="57" w:type="dxa"/>
              <w:right w:w="57" w:type="dxa"/>
            </w:tcMar>
            <w:vAlign w:val="center"/>
          </w:tcPr>
          <w:p w14:paraId="0E6BD8C4"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73.1</w:t>
            </w:r>
          </w:p>
        </w:tc>
        <w:tc>
          <w:tcPr>
            <w:tcW w:w="1103" w:type="dxa"/>
            <w:tcBorders>
              <w:bottom w:val="single" w:sz="4" w:space="0" w:color="auto"/>
            </w:tcBorders>
            <w:tcMar>
              <w:left w:w="57" w:type="dxa"/>
              <w:right w:w="57" w:type="dxa"/>
            </w:tcMar>
            <w:vAlign w:val="center"/>
          </w:tcPr>
          <w:p w14:paraId="5A678E20"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162.7</w:t>
            </w:r>
          </w:p>
        </w:tc>
      </w:tr>
    </w:tbl>
    <w:p w14:paraId="70FBEC75" w14:textId="0950191E" w:rsidR="0020154A" w:rsidRPr="0020154A" w:rsidRDefault="0020154A" w:rsidP="0020154A">
      <w:pPr>
        <w:spacing w:after="0"/>
        <w:jc w:val="both"/>
        <w:rPr>
          <w:rFonts w:ascii="Times New Roman" w:hAnsi="Times New Roman"/>
          <w:bCs/>
          <w:sz w:val="20"/>
          <w:szCs w:val="20"/>
          <w:lang w:val="en-GB" w:eastAsia="zh-CN"/>
        </w:rPr>
      </w:pPr>
      <w:r w:rsidRPr="0020154A">
        <w:rPr>
          <w:rFonts w:ascii="Times New Roman" w:hAnsi="Times New Roman"/>
          <w:noProof/>
          <w:sz w:val="20"/>
          <w:szCs w:val="20"/>
          <w:lang w:val="en-GB" w:eastAsia="en-GB"/>
        </w:rPr>
        <w:lastRenderedPageBreak/>
        <w:drawing>
          <wp:anchor distT="0" distB="0" distL="114300" distR="114300" simplePos="0" relativeHeight="251661824" behindDoc="0" locked="0" layoutInCell="1" allowOverlap="1" wp14:anchorId="475B6D86" wp14:editId="1985977B">
            <wp:simplePos x="0" y="0"/>
            <wp:positionH relativeFrom="column">
              <wp:posOffset>892175</wp:posOffset>
            </wp:positionH>
            <wp:positionV relativeFrom="paragraph">
              <wp:posOffset>170180</wp:posOffset>
            </wp:positionV>
            <wp:extent cx="3964305" cy="2113915"/>
            <wp:effectExtent l="0" t="0" r="17145" b="635"/>
            <wp:wrapSquare wrapText="bothSides"/>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0BAB4A54" w14:textId="77777777" w:rsidR="0020154A" w:rsidRPr="0020154A" w:rsidRDefault="0020154A" w:rsidP="0020154A">
      <w:pPr>
        <w:spacing w:after="0"/>
        <w:jc w:val="both"/>
        <w:rPr>
          <w:rFonts w:ascii="Times New Roman" w:hAnsi="Times New Roman"/>
          <w:sz w:val="20"/>
          <w:szCs w:val="20"/>
          <w:lang w:val="en-GB" w:eastAsia="zh-CN"/>
        </w:rPr>
      </w:pPr>
    </w:p>
    <w:p w14:paraId="454F3BE0" w14:textId="77777777" w:rsidR="0020154A" w:rsidRPr="0020154A" w:rsidRDefault="0020154A" w:rsidP="0020154A">
      <w:pPr>
        <w:spacing w:after="0"/>
        <w:jc w:val="both"/>
        <w:rPr>
          <w:rFonts w:ascii="Times New Roman" w:hAnsi="Times New Roman"/>
          <w:bCs/>
          <w:sz w:val="20"/>
          <w:szCs w:val="20"/>
          <w:lang w:eastAsia="zh-CN"/>
        </w:rPr>
      </w:pPr>
      <w:bookmarkStart w:id="5" w:name="_Ref505783277"/>
      <w:bookmarkStart w:id="6" w:name="_Toc509213704"/>
    </w:p>
    <w:p w14:paraId="0BB8E588" w14:textId="77777777" w:rsidR="0020154A" w:rsidRPr="0020154A" w:rsidRDefault="0020154A" w:rsidP="0020154A">
      <w:pPr>
        <w:spacing w:after="0"/>
        <w:jc w:val="both"/>
        <w:rPr>
          <w:rFonts w:ascii="Times New Roman" w:hAnsi="Times New Roman"/>
          <w:bCs/>
          <w:sz w:val="20"/>
          <w:szCs w:val="20"/>
          <w:lang w:eastAsia="zh-CN"/>
        </w:rPr>
      </w:pPr>
    </w:p>
    <w:p w14:paraId="4F4A4E20" w14:textId="77777777" w:rsidR="0020154A" w:rsidRPr="0020154A" w:rsidRDefault="0020154A" w:rsidP="0020154A">
      <w:pPr>
        <w:spacing w:after="0"/>
        <w:jc w:val="both"/>
        <w:rPr>
          <w:rFonts w:ascii="Times New Roman" w:hAnsi="Times New Roman"/>
          <w:bCs/>
          <w:sz w:val="20"/>
          <w:szCs w:val="20"/>
          <w:lang w:eastAsia="zh-CN"/>
        </w:rPr>
      </w:pPr>
    </w:p>
    <w:p w14:paraId="70A3F28B" w14:textId="77777777" w:rsidR="0020154A" w:rsidRPr="0020154A" w:rsidRDefault="0020154A" w:rsidP="0020154A">
      <w:pPr>
        <w:spacing w:after="0"/>
        <w:jc w:val="both"/>
        <w:rPr>
          <w:rFonts w:ascii="Times New Roman" w:hAnsi="Times New Roman"/>
          <w:bCs/>
          <w:sz w:val="20"/>
          <w:szCs w:val="20"/>
          <w:lang w:eastAsia="zh-CN"/>
        </w:rPr>
      </w:pPr>
    </w:p>
    <w:p w14:paraId="5C9CC54A" w14:textId="77777777" w:rsidR="0020154A" w:rsidRPr="0020154A" w:rsidRDefault="0020154A" w:rsidP="0020154A">
      <w:pPr>
        <w:spacing w:after="0"/>
        <w:jc w:val="both"/>
        <w:rPr>
          <w:rFonts w:ascii="Times New Roman" w:hAnsi="Times New Roman"/>
          <w:bCs/>
          <w:sz w:val="20"/>
          <w:szCs w:val="20"/>
          <w:lang w:eastAsia="zh-CN"/>
        </w:rPr>
      </w:pPr>
    </w:p>
    <w:p w14:paraId="05499F66" w14:textId="77777777" w:rsidR="0020154A" w:rsidRPr="0020154A" w:rsidRDefault="0020154A" w:rsidP="0020154A">
      <w:pPr>
        <w:spacing w:after="0"/>
        <w:jc w:val="both"/>
        <w:rPr>
          <w:rFonts w:ascii="Times New Roman" w:hAnsi="Times New Roman"/>
          <w:bCs/>
          <w:sz w:val="20"/>
          <w:szCs w:val="20"/>
          <w:lang w:eastAsia="zh-CN"/>
        </w:rPr>
      </w:pPr>
    </w:p>
    <w:p w14:paraId="7474B4AA" w14:textId="77777777" w:rsidR="0020154A" w:rsidRPr="0020154A" w:rsidRDefault="0020154A" w:rsidP="0020154A">
      <w:pPr>
        <w:spacing w:after="0"/>
        <w:jc w:val="both"/>
        <w:rPr>
          <w:rFonts w:ascii="Times New Roman" w:hAnsi="Times New Roman"/>
          <w:bCs/>
          <w:sz w:val="20"/>
          <w:szCs w:val="20"/>
          <w:lang w:eastAsia="zh-CN"/>
        </w:rPr>
      </w:pPr>
    </w:p>
    <w:p w14:paraId="3C43C8D5" w14:textId="77777777" w:rsidR="0020154A" w:rsidRPr="0020154A" w:rsidRDefault="0020154A" w:rsidP="0020154A">
      <w:pPr>
        <w:spacing w:after="0"/>
        <w:jc w:val="both"/>
        <w:rPr>
          <w:rFonts w:ascii="Times New Roman" w:hAnsi="Times New Roman"/>
          <w:bCs/>
          <w:sz w:val="20"/>
          <w:szCs w:val="20"/>
          <w:lang w:eastAsia="zh-CN"/>
        </w:rPr>
      </w:pPr>
    </w:p>
    <w:p w14:paraId="0F7C5C96" w14:textId="77777777" w:rsidR="0020154A" w:rsidRPr="0020154A" w:rsidRDefault="0020154A" w:rsidP="0020154A">
      <w:pPr>
        <w:spacing w:after="0"/>
        <w:jc w:val="both"/>
        <w:rPr>
          <w:rFonts w:ascii="Times New Roman" w:hAnsi="Times New Roman"/>
          <w:bCs/>
          <w:sz w:val="20"/>
          <w:szCs w:val="20"/>
          <w:lang w:eastAsia="zh-CN"/>
        </w:rPr>
      </w:pPr>
    </w:p>
    <w:p w14:paraId="30F8ABBA" w14:textId="77777777" w:rsidR="0020154A" w:rsidRPr="0020154A" w:rsidRDefault="0020154A" w:rsidP="0020154A">
      <w:pPr>
        <w:spacing w:after="0"/>
        <w:jc w:val="both"/>
        <w:rPr>
          <w:rFonts w:ascii="Times New Roman" w:hAnsi="Times New Roman"/>
          <w:bCs/>
          <w:sz w:val="20"/>
          <w:szCs w:val="20"/>
          <w:lang w:eastAsia="zh-CN"/>
        </w:rPr>
      </w:pPr>
    </w:p>
    <w:p w14:paraId="4EE0D21D" w14:textId="77777777" w:rsidR="0020154A" w:rsidRPr="0020154A" w:rsidRDefault="0020154A" w:rsidP="0020154A">
      <w:pPr>
        <w:spacing w:after="0"/>
        <w:jc w:val="both"/>
        <w:rPr>
          <w:rFonts w:ascii="Times New Roman" w:hAnsi="Times New Roman"/>
          <w:bCs/>
          <w:sz w:val="20"/>
          <w:szCs w:val="20"/>
          <w:lang w:eastAsia="zh-CN"/>
        </w:rPr>
      </w:pPr>
    </w:p>
    <w:p w14:paraId="3F242C9E" w14:textId="77777777" w:rsidR="0020154A" w:rsidRPr="0020154A" w:rsidRDefault="0020154A" w:rsidP="00983A6B">
      <w:pPr>
        <w:spacing w:after="60"/>
        <w:jc w:val="both"/>
        <w:rPr>
          <w:rFonts w:ascii="Times New Roman" w:hAnsi="Times New Roman"/>
          <w:bCs/>
          <w:sz w:val="20"/>
          <w:szCs w:val="20"/>
          <w:lang w:eastAsia="zh-CN"/>
        </w:rPr>
      </w:pPr>
    </w:p>
    <w:p w14:paraId="69D0906C" w14:textId="0A31E84F" w:rsidR="0020154A" w:rsidRPr="0020154A" w:rsidRDefault="0020154A" w:rsidP="00983A6B">
      <w:pPr>
        <w:spacing w:before="120" w:after="0"/>
        <w:jc w:val="center"/>
        <w:rPr>
          <w:rFonts w:ascii="Times New Roman" w:hAnsi="Times New Roman"/>
          <w:bCs/>
          <w:sz w:val="20"/>
          <w:szCs w:val="20"/>
          <w:lang w:val="en-GB" w:eastAsia="zh-CN"/>
        </w:rPr>
      </w:pPr>
      <w:r w:rsidRPr="0020154A">
        <w:rPr>
          <w:rFonts w:ascii="Times New Roman" w:hAnsi="Times New Roman"/>
          <w:bCs/>
          <w:sz w:val="20"/>
          <w:szCs w:val="20"/>
          <w:lang w:eastAsia="zh-CN"/>
        </w:rPr>
        <w:t>Figure</w:t>
      </w:r>
      <w:r w:rsidRPr="0020154A">
        <w:rPr>
          <w:rFonts w:ascii="Times New Roman" w:hAnsi="Times New Roman"/>
          <w:b/>
          <w:bCs/>
          <w:sz w:val="20"/>
          <w:szCs w:val="20"/>
          <w:lang w:eastAsia="zh-CN"/>
        </w:rPr>
        <w:t xml:space="preserve"> </w:t>
      </w:r>
      <w:r w:rsidRPr="0020154A">
        <w:rPr>
          <w:rFonts w:ascii="Times New Roman" w:hAnsi="Times New Roman"/>
          <w:bCs/>
          <w:sz w:val="20"/>
          <w:szCs w:val="20"/>
          <w:lang w:eastAsia="zh-CN"/>
        </w:rPr>
        <w:fldChar w:fldCharType="begin"/>
      </w:r>
      <w:r w:rsidRPr="0020154A">
        <w:rPr>
          <w:rFonts w:ascii="Times New Roman" w:hAnsi="Times New Roman"/>
          <w:bCs/>
          <w:sz w:val="20"/>
          <w:szCs w:val="20"/>
          <w:lang w:eastAsia="zh-CN"/>
        </w:rPr>
        <w:instrText xml:space="preserve"> SEQ Figure \* ARABIC </w:instrText>
      </w:r>
      <w:r w:rsidRPr="0020154A">
        <w:rPr>
          <w:rFonts w:ascii="Times New Roman" w:hAnsi="Times New Roman"/>
          <w:bCs/>
          <w:sz w:val="20"/>
          <w:szCs w:val="20"/>
          <w:lang w:eastAsia="zh-CN"/>
        </w:rPr>
        <w:fldChar w:fldCharType="separate"/>
      </w:r>
      <w:r w:rsidR="00D575B6">
        <w:rPr>
          <w:rFonts w:ascii="Times New Roman" w:hAnsi="Times New Roman"/>
          <w:bCs/>
          <w:noProof/>
          <w:sz w:val="20"/>
          <w:szCs w:val="20"/>
          <w:lang w:eastAsia="zh-CN"/>
        </w:rPr>
        <w:t>3</w:t>
      </w:r>
      <w:r w:rsidRPr="0020154A">
        <w:rPr>
          <w:rFonts w:ascii="Times New Roman" w:hAnsi="Times New Roman"/>
          <w:sz w:val="20"/>
          <w:szCs w:val="20"/>
          <w:lang w:eastAsia="zh-CN"/>
        </w:rPr>
        <w:fldChar w:fldCharType="end"/>
      </w:r>
      <w:bookmarkEnd w:id="5"/>
      <w:r w:rsidRPr="0020154A">
        <w:rPr>
          <w:rFonts w:ascii="Times New Roman" w:hAnsi="Times New Roman"/>
          <w:bCs/>
          <w:sz w:val="20"/>
          <w:szCs w:val="20"/>
          <w:lang w:eastAsia="zh-CN"/>
        </w:rPr>
        <w:t xml:space="preserve">. </w:t>
      </w:r>
      <w:r w:rsidR="00983A6B">
        <w:rPr>
          <w:rFonts w:ascii="Times New Roman" w:hAnsi="Times New Roman"/>
          <w:bCs/>
          <w:sz w:val="20"/>
          <w:szCs w:val="20"/>
          <w:lang w:eastAsia="zh-CN"/>
        </w:rPr>
        <w:t xml:space="preserve"> </w:t>
      </w:r>
      <w:r w:rsidRPr="0020154A">
        <w:rPr>
          <w:rFonts w:ascii="Times New Roman" w:hAnsi="Times New Roman"/>
          <w:bCs/>
          <w:sz w:val="20"/>
          <w:szCs w:val="20"/>
          <w:lang w:val="en-GB" w:eastAsia="zh-CN"/>
        </w:rPr>
        <w:t xml:space="preserve">Quench curve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related to the usage of Carbosorb E</w:t>
      </w:r>
      <w:bookmarkEnd w:id="6"/>
    </w:p>
    <w:p w14:paraId="42377C44" w14:textId="200B8A85" w:rsidR="0020154A" w:rsidRDefault="0020154A" w:rsidP="0020154A">
      <w:pPr>
        <w:spacing w:after="120"/>
        <w:jc w:val="both"/>
        <w:rPr>
          <w:rFonts w:ascii="Times New Roman" w:hAnsi="Times New Roman"/>
          <w:bCs/>
          <w:sz w:val="20"/>
          <w:szCs w:val="20"/>
          <w:lang w:val="en-GB" w:eastAsia="zh-CN"/>
        </w:rPr>
      </w:pPr>
    </w:p>
    <w:p w14:paraId="4CF36C51" w14:textId="40D94189" w:rsidR="0020154A" w:rsidRPr="00574032" w:rsidRDefault="0020154A" w:rsidP="00983A6B">
      <w:pPr>
        <w:spacing w:after="120"/>
        <w:jc w:val="center"/>
        <w:rPr>
          <w:rFonts w:ascii="Times New Roman" w:hAnsi="Times New Roman"/>
          <w:b/>
          <w:bCs/>
          <w:sz w:val="20"/>
          <w:szCs w:val="20"/>
          <w:lang w:eastAsia="zh-CN"/>
        </w:rPr>
      </w:pPr>
      <w:bookmarkStart w:id="7" w:name="_Ref48341937"/>
      <w:r w:rsidRPr="00267240">
        <w:rPr>
          <w:rFonts w:ascii="Times New Roman" w:hAnsi="Times New Roman"/>
          <w:bCs/>
          <w:sz w:val="20"/>
          <w:szCs w:val="20"/>
          <w:lang w:eastAsia="zh-CN"/>
        </w:rPr>
        <w:t xml:space="preserve">Table </w:t>
      </w:r>
      <w:r w:rsidRPr="00267240">
        <w:rPr>
          <w:rFonts w:ascii="Times New Roman" w:hAnsi="Times New Roman"/>
          <w:bCs/>
          <w:sz w:val="20"/>
          <w:szCs w:val="20"/>
          <w:lang w:eastAsia="zh-CN"/>
        </w:rPr>
        <w:fldChar w:fldCharType="begin"/>
      </w:r>
      <w:r w:rsidRPr="00267240">
        <w:rPr>
          <w:rFonts w:ascii="Times New Roman" w:hAnsi="Times New Roman"/>
          <w:bCs/>
          <w:sz w:val="20"/>
          <w:szCs w:val="20"/>
          <w:lang w:eastAsia="zh-CN"/>
        </w:rPr>
        <w:instrText xml:space="preserve"> SEQ Table \* ARABIC </w:instrText>
      </w:r>
      <w:r w:rsidRPr="00267240">
        <w:rPr>
          <w:rFonts w:ascii="Times New Roman" w:hAnsi="Times New Roman"/>
          <w:bCs/>
          <w:sz w:val="20"/>
          <w:szCs w:val="20"/>
          <w:lang w:eastAsia="zh-CN"/>
        </w:rPr>
        <w:fldChar w:fldCharType="separate"/>
      </w:r>
      <w:r w:rsidR="00D575B6">
        <w:rPr>
          <w:rFonts w:ascii="Times New Roman" w:hAnsi="Times New Roman"/>
          <w:bCs/>
          <w:noProof/>
          <w:sz w:val="20"/>
          <w:szCs w:val="20"/>
          <w:lang w:eastAsia="zh-CN"/>
        </w:rPr>
        <w:t>3</w:t>
      </w:r>
      <w:r w:rsidRPr="00267240">
        <w:rPr>
          <w:rFonts w:ascii="Times New Roman" w:hAnsi="Times New Roman"/>
          <w:bCs/>
          <w:sz w:val="20"/>
          <w:szCs w:val="20"/>
          <w:lang w:eastAsia="zh-CN"/>
        </w:rPr>
        <w:fldChar w:fldCharType="end"/>
      </w:r>
      <w:bookmarkEnd w:id="7"/>
      <w:r w:rsidRPr="00267240">
        <w:rPr>
          <w:rFonts w:ascii="Times New Roman" w:hAnsi="Times New Roman"/>
          <w:bCs/>
          <w:sz w:val="20"/>
          <w:szCs w:val="20"/>
          <w:lang w:eastAsia="zh-CN"/>
        </w:rPr>
        <w:t>.</w:t>
      </w:r>
      <w:r w:rsidRPr="00574032">
        <w:rPr>
          <w:rFonts w:ascii="Times New Roman" w:hAnsi="Times New Roman"/>
          <w:b/>
          <w:bCs/>
          <w:sz w:val="20"/>
          <w:szCs w:val="20"/>
          <w:lang w:eastAsia="zh-CN"/>
        </w:rPr>
        <w:t xml:space="preserve"> </w:t>
      </w:r>
      <w:r w:rsidR="00983A6B">
        <w:rPr>
          <w:rFonts w:ascii="Times New Roman" w:hAnsi="Times New Roman"/>
          <w:b/>
          <w:bCs/>
          <w:sz w:val="20"/>
          <w:szCs w:val="20"/>
          <w:lang w:eastAsia="zh-CN"/>
        </w:rPr>
        <w:t xml:space="preserve">  </w:t>
      </w:r>
      <w:r w:rsidRPr="00574032">
        <w:rPr>
          <w:rFonts w:ascii="Times New Roman" w:hAnsi="Times New Roman"/>
          <w:bCs/>
          <w:sz w:val="20"/>
          <w:szCs w:val="20"/>
          <w:lang w:eastAsia="zh-CN"/>
        </w:rPr>
        <w:t>Effect of Carbosorb E amount on CPM and counting efficiency</w:t>
      </w:r>
    </w:p>
    <w:tbl>
      <w:tblPr>
        <w:tblW w:w="0" w:type="auto"/>
        <w:jc w:val="center"/>
        <w:tblLook w:val="04A0" w:firstRow="1" w:lastRow="0" w:firstColumn="1" w:lastColumn="0" w:noHBand="0" w:noVBand="1"/>
      </w:tblPr>
      <w:tblGrid>
        <w:gridCol w:w="1322"/>
        <w:gridCol w:w="1577"/>
        <w:gridCol w:w="1922"/>
      </w:tblGrid>
      <w:tr w:rsidR="0020154A" w:rsidRPr="00574032" w14:paraId="10718BF4" w14:textId="77777777" w:rsidTr="00983A6B">
        <w:trPr>
          <w:trHeight w:val="255"/>
          <w:jc w:val="center"/>
        </w:trPr>
        <w:tc>
          <w:tcPr>
            <w:tcW w:w="0" w:type="auto"/>
            <w:tcBorders>
              <w:top w:val="single" w:sz="4" w:space="0" w:color="auto"/>
              <w:bottom w:val="single" w:sz="4" w:space="0" w:color="auto"/>
            </w:tcBorders>
            <w:shd w:val="clear" w:color="auto" w:fill="auto"/>
            <w:noWrap/>
            <w:vAlign w:val="center"/>
            <w:hideMark/>
          </w:tcPr>
          <w:p w14:paraId="318F36DE" w14:textId="77777777" w:rsidR="0020154A" w:rsidRDefault="0020154A" w:rsidP="00983A6B">
            <w:pPr>
              <w:spacing w:before="60" w:after="0"/>
              <w:rPr>
                <w:rFonts w:ascii="Times New Roman" w:hAnsi="Times New Roman"/>
                <w:b/>
                <w:bCs/>
                <w:sz w:val="20"/>
                <w:szCs w:val="20"/>
                <w:lang w:val="en-MY" w:eastAsia="zh-CN"/>
              </w:rPr>
            </w:pPr>
            <w:r w:rsidRPr="00574032">
              <w:rPr>
                <w:rFonts w:ascii="Times New Roman" w:hAnsi="Times New Roman"/>
                <w:b/>
                <w:bCs/>
                <w:sz w:val="20"/>
                <w:szCs w:val="20"/>
                <w:lang w:val="en-MY" w:eastAsia="zh-CN"/>
              </w:rPr>
              <w:t xml:space="preserve">Carbosorb E </w:t>
            </w:r>
          </w:p>
          <w:p w14:paraId="5E38BB83" w14:textId="77777777" w:rsidR="0020154A" w:rsidRPr="00574032" w:rsidRDefault="0020154A" w:rsidP="00983A6B">
            <w:pPr>
              <w:spacing w:after="60"/>
              <w:rPr>
                <w:rFonts w:ascii="Times New Roman" w:hAnsi="Times New Roman"/>
                <w:b/>
                <w:bCs/>
                <w:sz w:val="20"/>
                <w:szCs w:val="20"/>
                <w:lang w:val="en-MY" w:eastAsia="zh-CN"/>
              </w:rPr>
            </w:pPr>
            <w:r w:rsidRPr="00574032">
              <w:rPr>
                <w:rFonts w:ascii="Times New Roman" w:hAnsi="Times New Roman"/>
                <w:b/>
                <w:bCs/>
                <w:sz w:val="20"/>
                <w:szCs w:val="20"/>
                <w:lang w:val="en-MY" w:eastAsia="zh-CN"/>
              </w:rPr>
              <w:t>(m</w:t>
            </w:r>
            <w:r>
              <w:rPr>
                <w:rFonts w:ascii="Times New Roman" w:hAnsi="Times New Roman"/>
                <w:b/>
                <w:bCs/>
                <w:sz w:val="20"/>
                <w:szCs w:val="20"/>
                <w:lang w:val="en-MY" w:eastAsia="zh-CN"/>
              </w:rPr>
              <w:t>L</w:t>
            </w:r>
            <w:r w:rsidRPr="00574032">
              <w:rPr>
                <w:rFonts w:ascii="Times New Roman" w:hAnsi="Times New Roman"/>
                <w:b/>
                <w:bCs/>
                <w:sz w:val="20"/>
                <w:szCs w:val="20"/>
                <w:lang w:val="en-MY" w:eastAsia="zh-CN"/>
              </w:rPr>
              <w:t>)</w:t>
            </w:r>
          </w:p>
        </w:tc>
        <w:tc>
          <w:tcPr>
            <w:tcW w:w="0" w:type="auto"/>
            <w:tcBorders>
              <w:top w:val="single" w:sz="4" w:space="0" w:color="auto"/>
              <w:bottom w:val="single" w:sz="4" w:space="0" w:color="auto"/>
            </w:tcBorders>
            <w:shd w:val="clear" w:color="auto" w:fill="auto"/>
            <w:noWrap/>
            <w:vAlign w:val="center"/>
            <w:hideMark/>
          </w:tcPr>
          <w:p w14:paraId="417E7AC3" w14:textId="77777777" w:rsidR="0020154A" w:rsidRPr="00574032" w:rsidRDefault="0020154A" w:rsidP="00983A6B">
            <w:pPr>
              <w:spacing w:after="0"/>
              <w:jc w:val="center"/>
              <w:rPr>
                <w:rFonts w:ascii="Times New Roman" w:hAnsi="Times New Roman"/>
                <w:b/>
                <w:bCs/>
                <w:sz w:val="20"/>
                <w:szCs w:val="20"/>
                <w:lang w:val="en-MY" w:eastAsia="zh-CN"/>
              </w:rPr>
            </w:pPr>
            <w:r w:rsidRPr="00574032">
              <w:rPr>
                <w:rFonts w:ascii="Times New Roman" w:hAnsi="Times New Roman"/>
                <w:b/>
                <w:bCs/>
                <w:sz w:val="20"/>
                <w:szCs w:val="20"/>
                <w:lang w:val="en-GB" w:eastAsia="zh-CN"/>
              </w:rPr>
              <w:t xml:space="preserve">Measured </w:t>
            </w:r>
            <w:r w:rsidRPr="00574032">
              <w:rPr>
                <w:rFonts w:ascii="Times New Roman" w:hAnsi="Times New Roman"/>
                <w:b/>
                <w:bCs/>
                <w:sz w:val="20"/>
                <w:szCs w:val="20"/>
                <w:lang w:val="en-MY" w:eastAsia="zh-CN"/>
              </w:rPr>
              <w:t>CPM</w:t>
            </w:r>
          </w:p>
        </w:tc>
        <w:tc>
          <w:tcPr>
            <w:tcW w:w="0" w:type="auto"/>
            <w:tcBorders>
              <w:top w:val="single" w:sz="4" w:space="0" w:color="auto"/>
              <w:bottom w:val="single" w:sz="4" w:space="0" w:color="auto"/>
            </w:tcBorders>
            <w:shd w:val="clear" w:color="auto" w:fill="auto"/>
            <w:noWrap/>
            <w:vAlign w:val="center"/>
            <w:hideMark/>
          </w:tcPr>
          <w:p w14:paraId="2C387371" w14:textId="61A0A3DF" w:rsidR="0020154A" w:rsidRDefault="0020154A" w:rsidP="00983A6B">
            <w:pPr>
              <w:spacing w:after="0"/>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Counting Efficiency</w:t>
            </w:r>
          </w:p>
          <w:p w14:paraId="0CB17F69" w14:textId="77777777" w:rsidR="0020154A" w:rsidRPr="00574032" w:rsidRDefault="0020154A" w:rsidP="00983A6B">
            <w:pPr>
              <w:spacing w:after="60"/>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w:t>
            </w:r>
          </w:p>
        </w:tc>
      </w:tr>
      <w:tr w:rsidR="0020154A" w:rsidRPr="00574032" w14:paraId="7C801BAA" w14:textId="77777777" w:rsidTr="00983A6B">
        <w:trPr>
          <w:trHeight w:val="255"/>
          <w:jc w:val="center"/>
        </w:trPr>
        <w:tc>
          <w:tcPr>
            <w:tcW w:w="0" w:type="auto"/>
            <w:tcBorders>
              <w:top w:val="single" w:sz="4" w:space="0" w:color="auto"/>
            </w:tcBorders>
            <w:shd w:val="clear" w:color="auto" w:fill="auto"/>
            <w:noWrap/>
            <w:vAlign w:val="center"/>
            <w:hideMark/>
          </w:tcPr>
          <w:p w14:paraId="6F12DAF1"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0</w:t>
            </w:r>
          </w:p>
        </w:tc>
        <w:tc>
          <w:tcPr>
            <w:tcW w:w="0" w:type="auto"/>
            <w:tcBorders>
              <w:top w:val="single" w:sz="4" w:space="0" w:color="auto"/>
            </w:tcBorders>
            <w:shd w:val="clear" w:color="auto" w:fill="auto"/>
            <w:noWrap/>
            <w:vAlign w:val="center"/>
            <w:hideMark/>
          </w:tcPr>
          <w:p w14:paraId="41663E72"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69631</w:t>
            </w:r>
          </w:p>
        </w:tc>
        <w:tc>
          <w:tcPr>
            <w:tcW w:w="0" w:type="auto"/>
            <w:tcBorders>
              <w:top w:val="single" w:sz="4" w:space="0" w:color="auto"/>
            </w:tcBorders>
            <w:shd w:val="clear" w:color="auto" w:fill="auto"/>
            <w:noWrap/>
            <w:vAlign w:val="center"/>
            <w:hideMark/>
          </w:tcPr>
          <w:p w14:paraId="0A766EAA"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84.3</w:t>
            </w:r>
          </w:p>
        </w:tc>
      </w:tr>
      <w:tr w:rsidR="0020154A" w:rsidRPr="00574032" w14:paraId="496FA84E" w14:textId="77777777" w:rsidTr="00F879E7">
        <w:trPr>
          <w:trHeight w:val="255"/>
          <w:jc w:val="center"/>
        </w:trPr>
        <w:tc>
          <w:tcPr>
            <w:tcW w:w="0" w:type="auto"/>
            <w:shd w:val="clear" w:color="auto" w:fill="auto"/>
            <w:noWrap/>
            <w:vAlign w:val="center"/>
            <w:hideMark/>
          </w:tcPr>
          <w:p w14:paraId="59B23388"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2</w:t>
            </w:r>
          </w:p>
        </w:tc>
        <w:tc>
          <w:tcPr>
            <w:tcW w:w="0" w:type="auto"/>
            <w:shd w:val="clear" w:color="auto" w:fill="auto"/>
            <w:noWrap/>
            <w:vAlign w:val="center"/>
            <w:hideMark/>
          </w:tcPr>
          <w:p w14:paraId="246FBC1A"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67783</w:t>
            </w:r>
          </w:p>
        </w:tc>
        <w:tc>
          <w:tcPr>
            <w:tcW w:w="0" w:type="auto"/>
            <w:shd w:val="clear" w:color="auto" w:fill="auto"/>
            <w:noWrap/>
            <w:vAlign w:val="center"/>
            <w:hideMark/>
          </w:tcPr>
          <w:p w14:paraId="6D900729"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82.1</w:t>
            </w:r>
          </w:p>
        </w:tc>
      </w:tr>
      <w:tr w:rsidR="0020154A" w:rsidRPr="00574032" w14:paraId="3DF1F3F0" w14:textId="77777777" w:rsidTr="00F879E7">
        <w:trPr>
          <w:trHeight w:val="255"/>
          <w:jc w:val="center"/>
        </w:trPr>
        <w:tc>
          <w:tcPr>
            <w:tcW w:w="0" w:type="auto"/>
            <w:shd w:val="clear" w:color="auto" w:fill="auto"/>
            <w:noWrap/>
            <w:vAlign w:val="center"/>
            <w:hideMark/>
          </w:tcPr>
          <w:p w14:paraId="5B988E47"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4</w:t>
            </w:r>
          </w:p>
        </w:tc>
        <w:tc>
          <w:tcPr>
            <w:tcW w:w="0" w:type="auto"/>
            <w:shd w:val="clear" w:color="auto" w:fill="auto"/>
            <w:noWrap/>
            <w:vAlign w:val="center"/>
            <w:hideMark/>
          </w:tcPr>
          <w:p w14:paraId="069720C0"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71215</w:t>
            </w:r>
          </w:p>
        </w:tc>
        <w:tc>
          <w:tcPr>
            <w:tcW w:w="0" w:type="auto"/>
            <w:shd w:val="clear" w:color="auto" w:fill="auto"/>
            <w:noWrap/>
            <w:vAlign w:val="center"/>
            <w:hideMark/>
          </w:tcPr>
          <w:p w14:paraId="6ED008E4"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86.2</w:t>
            </w:r>
          </w:p>
        </w:tc>
      </w:tr>
      <w:tr w:rsidR="0020154A" w:rsidRPr="00574032" w14:paraId="7EE0EE18" w14:textId="77777777" w:rsidTr="00F879E7">
        <w:trPr>
          <w:trHeight w:val="255"/>
          <w:jc w:val="center"/>
        </w:trPr>
        <w:tc>
          <w:tcPr>
            <w:tcW w:w="0" w:type="auto"/>
            <w:shd w:val="clear" w:color="auto" w:fill="auto"/>
            <w:noWrap/>
            <w:vAlign w:val="center"/>
            <w:hideMark/>
          </w:tcPr>
          <w:p w14:paraId="06280141"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6</w:t>
            </w:r>
          </w:p>
        </w:tc>
        <w:tc>
          <w:tcPr>
            <w:tcW w:w="0" w:type="auto"/>
            <w:shd w:val="clear" w:color="auto" w:fill="auto"/>
            <w:noWrap/>
            <w:vAlign w:val="center"/>
            <w:hideMark/>
          </w:tcPr>
          <w:p w14:paraId="47C4BD88"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66132</w:t>
            </w:r>
          </w:p>
        </w:tc>
        <w:tc>
          <w:tcPr>
            <w:tcW w:w="0" w:type="auto"/>
            <w:shd w:val="clear" w:color="auto" w:fill="auto"/>
            <w:noWrap/>
            <w:vAlign w:val="center"/>
            <w:hideMark/>
          </w:tcPr>
          <w:p w14:paraId="61A7D69B"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80.1</w:t>
            </w:r>
          </w:p>
        </w:tc>
      </w:tr>
      <w:tr w:rsidR="0020154A" w:rsidRPr="00574032" w14:paraId="28CD6040" w14:textId="77777777" w:rsidTr="00F879E7">
        <w:trPr>
          <w:trHeight w:val="255"/>
          <w:jc w:val="center"/>
        </w:trPr>
        <w:tc>
          <w:tcPr>
            <w:tcW w:w="0" w:type="auto"/>
            <w:shd w:val="clear" w:color="auto" w:fill="auto"/>
            <w:noWrap/>
            <w:vAlign w:val="center"/>
            <w:hideMark/>
          </w:tcPr>
          <w:p w14:paraId="161AFD3E"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8</w:t>
            </w:r>
          </w:p>
        </w:tc>
        <w:tc>
          <w:tcPr>
            <w:tcW w:w="0" w:type="auto"/>
            <w:shd w:val="clear" w:color="auto" w:fill="auto"/>
            <w:noWrap/>
            <w:vAlign w:val="center"/>
            <w:hideMark/>
          </w:tcPr>
          <w:p w14:paraId="2471E401"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65875</w:t>
            </w:r>
          </w:p>
        </w:tc>
        <w:tc>
          <w:tcPr>
            <w:tcW w:w="0" w:type="auto"/>
            <w:shd w:val="clear" w:color="auto" w:fill="auto"/>
            <w:noWrap/>
            <w:vAlign w:val="center"/>
            <w:hideMark/>
          </w:tcPr>
          <w:p w14:paraId="4044C1D8"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79.8</w:t>
            </w:r>
          </w:p>
        </w:tc>
      </w:tr>
      <w:tr w:rsidR="0020154A" w:rsidRPr="00574032" w14:paraId="0E649112" w14:textId="77777777" w:rsidTr="00F879E7">
        <w:trPr>
          <w:trHeight w:val="255"/>
          <w:jc w:val="center"/>
        </w:trPr>
        <w:tc>
          <w:tcPr>
            <w:tcW w:w="0" w:type="auto"/>
            <w:shd w:val="clear" w:color="auto" w:fill="auto"/>
            <w:noWrap/>
            <w:vAlign w:val="center"/>
          </w:tcPr>
          <w:p w14:paraId="69F2367D"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9</w:t>
            </w:r>
          </w:p>
        </w:tc>
        <w:tc>
          <w:tcPr>
            <w:tcW w:w="0" w:type="auto"/>
            <w:shd w:val="clear" w:color="auto" w:fill="auto"/>
            <w:noWrap/>
            <w:vAlign w:val="center"/>
          </w:tcPr>
          <w:p w14:paraId="0C213EF1"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64142</w:t>
            </w:r>
          </w:p>
        </w:tc>
        <w:tc>
          <w:tcPr>
            <w:tcW w:w="0" w:type="auto"/>
            <w:shd w:val="clear" w:color="auto" w:fill="auto"/>
            <w:noWrap/>
            <w:vAlign w:val="center"/>
          </w:tcPr>
          <w:p w14:paraId="72785BBF"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77.7</w:t>
            </w:r>
          </w:p>
        </w:tc>
      </w:tr>
      <w:tr w:rsidR="0020154A" w:rsidRPr="00574032" w14:paraId="78E671DE" w14:textId="77777777" w:rsidTr="00F879E7">
        <w:trPr>
          <w:trHeight w:val="255"/>
          <w:jc w:val="center"/>
        </w:trPr>
        <w:tc>
          <w:tcPr>
            <w:tcW w:w="0" w:type="auto"/>
            <w:tcBorders>
              <w:bottom w:val="single" w:sz="4" w:space="0" w:color="auto"/>
            </w:tcBorders>
            <w:shd w:val="clear" w:color="auto" w:fill="auto"/>
            <w:noWrap/>
            <w:vAlign w:val="center"/>
            <w:hideMark/>
          </w:tcPr>
          <w:p w14:paraId="431E1B8F" w14:textId="77777777" w:rsidR="0020154A" w:rsidRPr="00574032" w:rsidRDefault="0020154A" w:rsidP="00983A6B">
            <w:pPr>
              <w:spacing w:before="60" w:after="60"/>
              <w:rPr>
                <w:rFonts w:ascii="Times New Roman" w:hAnsi="Times New Roman"/>
                <w:sz w:val="20"/>
                <w:szCs w:val="20"/>
                <w:lang w:val="en-MY" w:eastAsia="zh-CN"/>
              </w:rPr>
            </w:pPr>
            <w:r w:rsidRPr="00574032">
              <w:rPr>
                <w:rFonts w:ascii="Times New Roman" w:hAnsi="Times New Roman"/>
                <w:sz w:val="20"/>
                <w:szCs w:val="20"/>
                <w:lang w:val="en-MY" w:eastAsia="zh-CN"/>
              </w:rPr>
              <w:t>10</w:t>
            </w:r>
          </w:p>
        </w:tc>
        <w:tc>
          <w:tcPr>
            <w:tcW w:w="0" w:type="auto"/>
            <w:tcBorders>
              <w:bottom w:val="single" w:sz="4" w:space="0" w:color="auto"/>
            </w:tcBorders>
            <w:shd w:val="clear" w:color="auto" w:fill="auto"/>
            <w:noWrap/>
            <w:vAlign w:val="center"/>
            <w:hideMark/>
          </w:tcPr>
          <w:p w14:paraId="75140361" w14:textId="77777777" w:rsidR="0020154A" w:rsidRPr="00574032" w:rsidRDefault="0020154A" w:rsidP="00983A6B">
            <w:pPr>
              <w:spacing w:before="60" w:after="60"/>
              <w:jc w:val="center"/>
              <w:rPr>
                <w:rFonts w:ascii="Times New Roman" w:hAnsi="Times New Roman"/>
                <w:sz w:val="20"/>
                <w:szCs w:val="20"/>
                <w:lang w:val="en-MY" w:eastAsia="zh-CN"/>
              </w:rPr>
            </w:pPr>
            <w:r w:rsidRPr="00574032">
              <w:rPr>
                <w:rFonts w:ascii="Times New Roman" w:hAnsi="Times New Roman"/>
                <w:sz w:val="20"/>
                <w:szCs w:val="20"/>
                <w:lang w:val="en-GB" w:eastAsia="zh-CN"/>
              </w:rPr>
              <w:t>60410</w:t>
            </w:r>
          </w:p>
        </w:tc>
        <w:tc>
          <w:tcPr>
            <w:tcW w:w="0" w:type="auto"/>
            <w:tcBorders>
              <w:bottom w:val="single" w:sz="4" w:space="0" w:color="auto"/>
            </w:tcBorders>
            <w:shd w:val="clear" w:color="auto" w:fill="auto"/>
            <w:noWrap/>
            <w:vAlign w:val="center"/>
            <w:hideMark/>
          </w:tcPr>
          <w:p w14:paraId="1BD2968D" w14:textId="77777777" w:rsidR="0020154A" w:rsidRPr="00574032" w:rsidRDefault="0020154A" w:rsidP="00983A6B">
            <w:pPr>
              <w:spacing w:before="60" w:after="60"/>
              <w:jc w:val="center"/>
              <w:rPr>
                <w:rFonts w:ascii="Times New Roman" w:hAnsi="Times New Roman"/>
                <w:sz w:val="20"/>
                <w:szCs w:val="20"/>
                <w:lang w:val="en-MY" w:eastAsia="zh-CN"/>
              </w:rPr>
            </w:pPr>
            <w:r w:rsidRPr="00574032">
              <w:rPr>
                <w:rFonts w:ascii="Times New Roman" w:hAnsi="Times New Roman"/>
                <w:sz w:val="20"/>
                <w:szCs w:val="20"/>
                <w:lang w:val="en-GB" w:eastAsia="zh-CN"/>
              </w:rPr>
              <w:t>73.1</w:t>
            </w:r>
          </w:p>
        </w:tc>
      </w:tr>
    </w:tbl>
    <w:p w14:paraId="7F6ABCF7" w14:textId="77777777" w:rsidR="00336E6E" w:rsidRDefault="00336E6E" w:rsidP="0020154A">
      <w:pPr>
        <w:spacing w:after="0"/>
        <w:jc w:val="both"/>
        <w:rPr>
          <w:rFonts w:ascii="Times New Roman" w:hAnsi="Times New Roman"/>
          <w:bCs/>
          <w:sz w:val="20"/>
          <w:szCs w:val="20"/>
          <w:lang w:val="en-GB" w:eastAsia="zh-CN"/>
        </w:rPr>
        <w:sectPr w:rsidR="00336E6E" w:rsidSect="00F879E7">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0"/>
          <w:cols w:space="708"/>
          <w:docGrid w:linePitch="360"/>
        </w:sectPr>
      </w:pPr>
    </w:p>
    <w:p w14:paraId="02988A79" w14:textId="3104E9DF" w:rsidR="00336E6E" w:rsidRDefault="00336E6E" w:rsidP="0020154A">
      <w:pPr>
        <w:spacing w:after="0"/>
        <w:jc w:val="both"/>
        <w:rPr>
          <w:rFonts w:ascii="Times New Roman" w:hAnsi="Times New Roman"/>
          <w:bCs/>
          <w:sz w:val="20"/>
          <w:szCs w:val="20"/>
          <w:lang w:val="en-GB" w:eastAsia="zh-CN"/>
        </w:rPr>
        <w:sectPr w:rsidR="00336E6E" w:rsidSect="00336E6E">
          <w:type w:val="continuous"/>
          <w:pgSz w:w="12240" w:h="15840" w:code="1"/>
          <w:pgMar w:top="1800" w:right="1469" w:bottom="1699" w:left="1440" w:header="706" w:footer="706" w:gutter="0"/>
          <w:pgNumType w:start="0"/>
          <w:cols w:num="2" w:space="403"/>
          <w:docGrid w:linePitch="360"/>
        </w:sectPr>
      </w:pPr>
    </w:p>
    <w:p w14:paraId="478FCDBD" w14:textId="10A2D6C6" w:rsidR="00983A6B" w:rsidRPr="00970AAB" w:rsidRDefault="00983A6B" w:rsidP="001129FB">
      <w:pPr>
        <w:spacing w:after="120"/>
        <w:jc w:val="center"/>
        <w:rPr>
          <w:rFonts w:ascii="Times New Roman" w:hAnsi="Times New Roman"/>
          <w:b/>
          <w:bCs/>
          <w:sz w:val="20"/>
          <w:szCs w:val="20"/>
          <w:lang w:val="en-GB" w:eastAsia="zh-CN"/>
        </w:rPr>
      </w:pPr>
      <w:bookmarkStart w:id="8" w:name="_Ref48341951"/>
      <w:r w:rsidRPr="00970AAB">
        <w:rPr>
          <w:rFonts w:ascii="Times New Roman" w:hAnsi="Times New Roman"/>
          <w:bCs/>
          <w:sz w:val="20"/>
          <w:szCs w:val="20"/>
          <w:lang w:val="en-GB" w:eastAsia="zh-CN"/>
        </w:rPr>
        <w:t xml:space="preserve">Table </w:t>
      </w:r>
      <w:r w:rsidRPr="00970AAB">
        <w:rPr>
          <w:rFonts w:ascii="Times New Roman" w:hAnsi="Times New Roman"/>
          <w:bCs/>
          <w:sz w:val="20"/>
          <w:szCs w:val="20"/>
          <w:lang w:val="en-GB" w:eastAsia="zh-CN"/>
        </w:rPr>
        <w:fldChar w:fldCharType="begin"/>
      </w:r>
      <w:r w:rsidRPr="00970AAB">
        <w:rPr>
          <w:rFonts w:ascii="Times New Roman" w:hAnsi="Times New Roman"/>
          <w:bCs/>
          <w:sz w:val="20"/>
          <w:szCs w:val="20"/>
          <w:lang w:val="en-GB" w:eastAsia="zh-CN"/>
        </w:rPr>
        <w:instrText xml:space="preserve"> SEQ Table \* ARABIC </w:instrText>
      </w:r>
      <w:r w:rsidRPr="00970AAB">
        <w:rPr>
          <w:rFonts w:ascii="Times New Roman" w:hAnsi="Times New Roman"/>
          <w:bCs/>
          <w:sz w:val="20"/>
          <w:szCs w:val="20"/>
          <w:lang w:val="en-GB" w:eastAsia="zh-CN"/>
        </w:rPr>
        <w:fldChar w:fldCharType="separate"/>
      </w:r>
      <w:r w:rsidR="00D575B6">
        <w:rPr>
          <w:rFonts w:ascii="Times New Roman" w:hAnsi="Times New Roman"/>
          <w:bCs/>
          <w:noProof/>
          <w:sz w:val="20"/>
          <w:szCs w:val="20"/>
          <w:lang w:val="en-GB" w:eastAsia="zh-CN"/>
        </w:rPr>
        <w:t>4</w:t>
      </w:r>
      <w:r w:rsidRPr="00970AAB">
        <w:rPr>
          <w:rFonts w:ascii="Times New Roman" w:hAnsi="Times New Roman"/>
          <w:sz w:val="20"/>
          <w:szCs w:val="20"/>
          <w:lang w:eastAsia="zh-CN"/>
        </w:rPr>
        <w:fldChar w:fldCharType="end"/>
      </w:r>
      <w:bookmarkEnd w:id="8"/>
      <w:r w:rsidRPr="00970AAB">
        <w:rPr>
          <w:rFonts w:ascii="Times New Roman" w:hAnsi="Times New Roman"/>
          <w:sz w:val="20"/>
          <w:szCs w:val="20"/>
          <w:lang w:val="en-GB" w:eastAsia="zh-CN"/>
        </w:rPr>
        <w:t xml:space="preserve">. </w:t>
      </w:r>
      <w:r>
        <w:rPr>
          <w:rFonts w:ascii="Times New Roman" w:hAnsi="Times New Roman"/>
          <w:sz w:val="20"/>
          <w:szCs w:val="20"/>
          <w:lang w:val="en-GB" w:eastAsia="zh-CN"/>
        </w:rPr>
        <w:t xml:space="preserve"> </w:t>
      </w:r>
      <w:r w:rsidRPr="00970AAB">
        <w:rPr>
          <w:rFonts w:ascii="Times New Roman" w:hAnsi="Times New Roman"/>
          <w:bCs/>
          <w:sz w:val="20"/>
          <w:szCs w:val="20"/>
          <w:lang w:val="en-GB" w:eastAsia="zh-CN"/>
        </w:rPr>
        <w:t>Reported values of bio-based content by MPOB and an accredited laboratory on two polyol samples</w:t>
      </w:r>
    </w:p>
    <w:tbl>
      <w:tblPr>
        <w:tblW w:w="0" w:type="auto"/>
        <w:jc w:val="center"/>
        <w:tblLook w:val="04A0" w:firstRow="1" w:lastRow="0" w:firstColumn="1" w:lastColumn="0" w:noHBand="0" w:noVBand="1"/>
      </w:tblPr>
      <w:tblGrid>
        <w:gridCol w:w="2468"/>
        <w:gridCol w:w="2183"/>
        <w:gridCol w:w="2628"/>
      </w:tblGrid>
      <w:tr w:rsidR="00983A6B" w:rsidRPr="00970AAB" w14:paraId="04CA3AFA" w14:textId="77777777" w:rsidTr="00960E7B">
        <w:trPr>
          <w:trHeight w:val="255"/>
          <w:jc w:val="center"/>
        </w:trPr>
        <w:tc>
          <w:tcPr>
            <w:tcW w:w="2468" w:type="dxa"/>
            <w:vMerge w:val="restart"/>
            <w:tcBorders>
              <w:top w:val="single" w:sz="4" w:space="0" w:color="auto"/>
            </w:tcBorders>
            <w:shd w:val="clear" w:color="auto" w:fill="auto"/>
            <w:noWrap/>
            <w:vAlign w:val="center"/>
          </w:tcPr>
          <w:p w14:paraId="72D4B861" w14:textId="77777777" w:rsidR="00983A6B" w:rsidRPr="00970AAB" w:rsidRDefault="00983A6B" w:rsidP="00983A6B">
            <w:pPr>
              <w:spacing w:after="0"/>
              <w:rPr>
                <w:rFonts w:ascii="Times New Roman" w:hAnsi="Times New Roman"/>
                <w:b/>
                <w:bCs/>
                <w:sz w:val="20"/>
                <w:szCs w:val="20"/>
                <w:lang w:val="en-GB" w:eastAsia="zh-CN"/>
              </w:rPr>
            </w:pPr>
            <w:r w:rsidRPr="00970AAB">
              <w:rPr>
                <w:rFonts w:ascii="Times New Roman" w:hAnsi="Times New Roman"/>
                <w:b/>
                <w:bCs/>
                <w:sz w:val="20"/>
                <w:szCs w:val="20"/>
                <w:lang w:val="en-GB" w:eastAsia="zh-CN"/>
              </w:rPr>
              <w:t>Sample</w:t>
            </w:r>
          </w:p>
        </w:tc>
        <w:tc>
          <w:tcPr>
            <w:tcW w:w="4811" w:type="dxa"/>
            <w:gridSpan w:val="2"/>
            <w:tcBorders>
              <w:top w:val="single" w:sz="4" w:space="0" w:color="auto"/>
              <w:bottom w:val="single" w:sz="4" w:space="0" w:color="auto"/>
            </w:tcBorders>
            <w:shd w:val="clear" w:color="auto" w:fill="auto"/>
            <w:noWrap/>
            <w:vAlign w:val="bottom"/>
          </w:tcPr>
          <w:p w14:paraId="65B25094" w14:textId="77777777" w:rsidR="00983A6B" w:rsidRPr="00970AAB" w:rsidRDefault="00983A6B" w:rsidP="00983A6B">
            <w:pPr>
              <w:spacing w:before="60" w:after="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Bio-based Content (%)</w:t>
            </w:r>
          </w:p>
        </w:tc>
      </w:tr>
      <w:tr w:rsidR="00983A6B" w:rsidRPr="00970AAB" w14:paraId="5A3E0768" w14:textId="77777777" w:rsidTr="00960E7B">
        <w:trPr>
          <w:trHeight w:val="255"/>
          <w:jc w:val="center"/>
        </w:trPr>
        <w:tc>
          <w:tcPr>
            <w:tcW w:w="2468" w:type="dxa"/>
            <w:vMerge/>
            <w:tcBorders>
              <w:bottom w:val="single" w:sz="4" w:space="0" w:color="auto"/>
            </w:tcBorders>
            <w:shd w:val="clear" w:color="auto" w:fill="auto"/>
            <w:noWrap/>
            <w:vAlign w:val="center"/>
            <w:hideMark/>
          </w:tcPr>
          <w:p w14:paraId="5D4529F0" w14:textId="77777777" w:rsidR="00983A6B" w:rsidRPr="00970AAB" w:rsidRDefault="00983A6B" w:rsidP="00983A6B">
            <w:pPr>
              <w:spacing w:after="0"/>
              <w:rPr>
                <w:rFonts w:ascii="Times New Roman" w:hAnsi="Times New Roman"/>
                <w:b/>
                <w:bCs/>
                <w:sz w:val="20"/>
                <w:szCs w:val="20"/>
                <w:lang w:val="en-MY" w:eastAsia="zh-CN"/>
              </w:rPr>
            </w:pPr>
          </w:p>
        </w:tc>
        <w:tc>
          <w:tcPr>
            <w:tcW w:w="2183" w:type="dxa"/>
            <w:tcBorders>
              <w:top w:val="single" w:sz="4" w:space="0" w:color="auto"/>
              <w:bottom w:val="single" w:sz="4" w:space="0" w:color="auto"/>
            </w:tcBorders>
            <w:shd w:val="clear" w:color="auto" w:fill="auto"/>
            <w:noWrap/>
            <w:vAlign w:val="bottom"/>
            <w:hideMark/>
          </w:tcPr>
          <w:p w14:paraId="4166C0F7" w14:textId="77777777" w:rsidR="00983A6B" w:rsidRPr="00970AAB" w:rsidRDefault="00983A6B" w:rsidP="00983A6B">
            <w:pPr>
              <w:spacing w:after="6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MPOB</w:t>
            </w:r>
          </w:p>
        </w:tc>
        <w:tc>
          <w:tcPr>
            <w:tcW w:w="0" w:type="auto"/>
            <w:tcBorders>
              <w:top w:val="single" w:sz="4" w:space="0" w:color="auto"/>
              <w:bottom w:val="single" w:sz="4" w:space="0" w:color="auto"/>
            </w:tcBorders>
            <w:shd w:val="clear" w:color="auto" w:fill="auto"/>
            <w:noWrap/>
            <w:vAlign w:val="bottom"/>
            <w:hideMark/>
          </w:tcPr>
          <w:p w14:paraId="1E05A956" w14:textId="77777777" w:rsidR="00983A6B" w:rsidRPr="00970AAB" w:rsidRDefault="00983A6B" w:rsidP="00983A6B">
            <w:pPr>
              <w:spacing w:after="6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Accredited Laboratory (US)</w:t>
            </w:r>
          </w:p>
        </w:tc>
      </w:tr>
      <w:tr w:rsidR="00983A6B" w:rsidRPr="00970AAB" w14:paraId="5A39157B" w14:textId="77777777" w:rsidTr="00960E7B">
        <w:trPr>
          <w:trHeight w:val="255"/>
          <w:jc w:val="center"/>
        </w:trPr>
        <w:tc>
          <w:tcPr>
            <w:tcW w:w="2468" w:type="dxa"/>
            <w:tcBorders>
              <w:top w:val="single" w:sz="4" w:space="0" w:color="auto"/>
            </w:tcBorders>
            <w:shd w:val="clear" w:color="auto" w:fill="auto"/>
            <w:noWrap/>
            <w:vAlign w:val="center"/>
            <w:hideMark/>
          </w:tcPr>
          <w:p w14:paraId="18AEFF58" w14:textId="77777777" w:rsidR="00983A6B" w:rsidRPr="00970AAB" w:rsidRDefault="00983A6B" w:rsidP="00983A6B">
            <w:pPr>
              <w:spacing w:before="60" w:after="0"/>
              <w:rPr>
                <w:rFonts w:ascii="Times New Roman" w:hAnsi="Times New Roman"/>
                <w:sz w:val="20"/>
                <w:szCs w:val="20"/>
                <w:lang w:val="en-GB" w:eastAsia="zh-CN"/>
              </w:rPr>
            </w:pPr>
            <w:r w:rsidRPr="00970AAB">
              <w:rPr>
                <w:rFonts w:ascii="Times New Roman" w:hAnsi="Times New Roman"/>
                <w:sz w:val="20"/>
                <w:szCs w:val="20"/>
                <w:lang w:val="en-GB" w:eastAsia="zh-CN"/>
              </w:rPr>
              <w:t>PolyFAME Bio PDO</w:t>
            </w:r>
          </w:p>
        </w:tc>
        <w:tc>
          <w:tcPr>
            <w:tcW w:w="2183" w:type="dxa"/>
            <w:tcBorders>
              <w:top w:val="single" w:sz="4" w:space="0" w:color="auto"/>
            </w:tcBorders>
            <w:shd w:val="clear" w:color="auto" w:fill="auto"/>
            <w:noWrap/>
            <w:vAlign w:val="bottom"/>
            <w:hideMark/>
          </w:tcPr>
          <w:p w14:paraId="0C868F4A" w14:textId="77777777" w:rsidR="00983A6B" w:rsidRPr="00970AAB" w:rsidRDefault="00983A6B" w:rsidP="00983A6B">
            <w:pPr>
              <w:spacing w:before="60" w:after="0"/>
              <w:jc w:val="center"/>
              <w:rPr>
                <w:rFonts w:ascii="Times New Roman" w:hAnsi="Times New Roman"/>
                <w:sz w:val="20"/>
                <w:szCs w:val="20"/>
                <w:lang w:val="en-GB" w:eastAsia="zh-CN"/>
              </w:rPr>
            </w:pPr>
            <w:r w:rsidRPr="00970AAB">
              <w:rPr>
                <w:rFonts w:ascii="Times New Roman" w:hAnsi="Times New Roman"/>
                <w:sz w:val="20"/>
                <w:szCs w:val="20"/>
                <w:lang w:val="en-GB" w:eastAsia="zh-CN"/>
              </w:rPr>
              <w:t>100</w:t>
            </w:r>
          </w:p>
        </w:tc>
        <w:tc>
          <w:tcPr>
            <w:tcW w:w="0" w:type="auto"/>
            <w:tcBorders>
              <w:top w:val="single" w:sz="4" w:space="0" w:color="auto"/>
            </w:tcBorders>
            <w:shd w:val="clear" w:color="auto" w:fill="auto"/>
            <w:noWrap/>
            <w:vAlign w:val="bottom"/>
            <w:hideMark/>
          </w:tcPr>
          <w:p w14:paraId="2133C5D4" w14:textId="77777777" w:rsidR="00983A6B" w:rsidRPr="00970AAB" w:rsidRDefault="00983A6B" w:rsidP="00983A6B">
            <w:pPr>
              <w:spacing w:before="60" w:after="0"/>
              <w:jc w:val="center"/>
              <w:rPr>
                <w:rFonts w:ascii="Times New Roman" w:hAnsi="Times New Roman"/>
                <w:sz w:val="20"/>
                <w:szCs w:val="20"/>
                <w:lang w:val="en-GB" w:eastAsia="zh-CN"/>
              </w:rPr>
            </w:pPr>
            <w:r w:rsidRPr="00970AAB">
              <w:rPr>
                <w:rFonts w:ascii="Times New Roman" w:hAnsi="Times New Roman"/>
                <w:sz w:val="20"/>
                <w:szCs w:val="20"/>
                <w:lang w:val="en-GB" w:eastAsia="zh-CN"/>
              </w:rPr>
              <w:t>98</w:t>
            </w:r>
          </w:p>
        </w:tc>
      </w:tr>
      <w:tr w:rsidR="00983A6B" w:rsidRPr="00970AAB" w14:paraId="1EFD5B9B" w14:textId="77777777" w:rsidTr="00960E7B">
        <w:trPr>
          <w:trHeight w:val="255"/>
          <w:jc w:val="center"/>
        </w:trPr>
        <w:tc>
          <w:tcPr>
            <w:tcW w:w="2468" w:type="dxa"/>
            <w:tcBorders>
              <w:bottom w:val="single" w:sz="4" w:space="0" w:color="auto"/>
            </w:tcBorders>
            <w:shd w:val="clear" w:color="auto" w:fill="auto"/>
            <w:noWrap/>
            <w:vAlign w:val="center"/>
            <w:hideMark/>
          </w:tcPr>
          <w:p w14:paraId="5AF9E3C0" w14:textId="77777777" w:rsidR="00983A6B" w:rsidRPr="00970AAB" w:rsidRDefault="00983A6B" w:rsidP="00D9128E">
            <w:pPr>
              <w:spacing w:before="60" w:after="60"/>
              <w:rPr>
                <w:rFonts w:ascii="Times New Roman" w:hAnsi="Times New Roman"/>
                <w:sz w:val="20"/>
                <w:szCs w:val="20"/>
                <w:lang w:val="en-GB" w:eastAsia="zh-CN"/>
              </w:rPr>
            </w:pPr>
            <w:r w:rsidRPr="00970AAB">
              <w:rPr>
                <w:rFonts w:ascii="Times New Roman" w:hAnsi="Times New Roman"/>
                <w:sz w:val="20"/>
                <w:szCs w:val="20"/>
                <w:lang w:val="en-GB" w:eastAsia="zh-CN"/>
              </w:rPr>
              <w:t>Commercial polyol</w:t>
            </w:r>
          </w:p>
        </w:tc>
        <w:tc>
          <w:tcPr>
            <w:tcW w:w="2183" w:type="dxa"/>
            <w:tcBorders>
              <w:bottom w:val="single" w:sz="4" w:space="0" w:color="auto"/>
            </w:tcBorders>
            <w:shd w:val="clear" w:color="auto" w:fill="auto"/>
            <w:noWrap/>
            <w:vAlign w:val="bottom"/>
            <w:hideMark/>
          </w:tcPr>
          <w:p w14:paraId="3FA3354F" w14:textId="77777777" w:rsidR="00983A6B" w:rsidRPr="00970AAB" w:rsidRDefault="00983A6B" w:rsidP="00D9128E">
            <w:pPr>
              <w:spacing w:before="60" w:after="60"/>
              <w:jc w:val="center"/>
              <w:rPr>
                <w:rFonts w:ascii="Times New Roman" w:hAnsi="Times New Roman"/>
                <w:sz w:val="20"/>
                <w:szCs w:val="20"/>
                <w:lang w:val="en-GB" w:eastAsia="zh-CN"/>
              </w:rPr>
            </w:pPr>
            <w:r w:rsidRPr="00970AAB">
              <w:rPr>
                <w:rFonts w:ascii="Times New Roman" w:hAnsi="Times New Roman"/>
                <w:sz w:val="20"/>
                <w:szCs w:val="20"/>
                <w:lang w:val="en-GB" w:eastAsia="zh-CN"/>
              </w:rPr>
              <w:t>85</w:t>
            </w:r>
          </w:p>
        </w:tc>
        <w:tc>
          <w:tcPr>
            <w:tcW w:w="0" w:type="auto"/>
            <w:tcBorders>
              <w:bottom w:val="single" w:sz="4" w:space="0" w:color="auto"/>
            </w:tcBorders>
            <w:shd w:val="clear" w:color="auto" w:fill="auto"/>
            <w:noWrap/>
            <w:vAlign w:val="bottom"/>
            <w:hideMark/>
          </w:tcPr>
          <w:p w14:paraId="7340FB80" w14:textId="77777777" w:rsidR="00983A6B" w:rsidRPr="00970AAB" w:rsidRDefault="00983A6B" w:rsidP="00D9128E">
            <w:pPr>
              <w:spacing w:before="60" w:after="60"/>
              <w:jc w:val="center"/>
              <w:rPr>
                <w:rFonts w:ascii="Times New Roman" w:hAnsi="Times New Roman"/>
                <w:sz w:val="20"/>
                <w:szCs w:val="20"/>
                <w:lang w:val="en-GB" w:eastAsia="zh-CN"/>
              </w:rPr>
            </w:pPr>
            <w:r w:rsidRPr="00970AAB">
              <w:rPr>
                <w:rFonts w:ascii="Times New Roman" w:hAnsi="Times New Roman"/>
                <w:sz w:val="20"/>
                <w:szCs w:val="20"/>
                <w:lang w:val="en-GB" w:eastAsia="zh-CN"/>
              </w:rPr>
              <w:t>89</w:t>
            </w:r>
          </w:p>
        </w:tc>
      </w:tr>
    </w:tbl>
    <w:p w14:paraId="3839B0B7" w14:textId="5733E408" w:rsidR="006768E9" w:rsidRDefault="006768E9" w:rsidP="0020154A">
      <w:pPr>
        <w:spacing w:after="0"/>
        <w:jc w:val="both"/>
        <w:rPr>
          <w:rFonts w:ascii="Times New Roman" w:hAnsi="Times New Roman"/>
          <w:noProof/>
          <w:sz w:val="20"/>
          <w:szCs w:val="20"/>
          <w:lang w:bidi="ar-SA"/>
        </w:rPr>
      </w:pPr>
    </w:p>
    <w:p w14:paraId="38931473" w14:textId="6B6EB09E" w:rsidR="0020154A" w:rsidRDefault="0020154A" w:rsidP="00D9128E">
      <w:pPr>
        <w:spacing w:after="0"/>
        <w:jc w:val="center"/>
        <w:rPr>
          <w:rFonts w:ascii="Times New Roman" w:hAnsi="Times New Roman"/>
          <w:noProof/>
          <w:sz w:val="20"/>
          <w:szCs w:val="20"/>
          <w:lang w:bidi="ar-SA"/>
        </w:rPr>
      </w:pPr>
    </w:p>
    <w:p w14:paraId="5EFAF644" w14:textId="77777777" w:rsidR="001129FB" w:rsidRDefault="001129FB" w:rsidP="00D9128E">
      <w:pPr>
        <w:spacing w:after="0"/>
        <w:jc w:val="both"/>
        <w:rPr>
          <w:rFonts w:ascii="Times New Roman" w:hAnsi="Times New Roman"/>
          <w:b/>
          <w:sz w:val="20"/>
          <w:szCs w:val="20"/>
          <w:lang w:val="en-GB" w:eastAsia="zh-CN"/>
        </w:rPr>
        <w:sectPr w:rsidR="001129FB" w:rsidSect="00F879E7">
          <w:type w:val="continuous"/>
          <w:pgSz w:w="12240" w:h="15840" w:code="1"/>
          <w:pgMar w:top="1800" w:right="1469" w:bottom="1699" w:left="1440" w:header="706" w:footer="706" w:gutter="0"/>
          <w:pgNumType w:start="0"/>
          <w:cols w:space="708"/>
          <w:docGrid w:linePitch="360"/>
        </w:sectPr>
      </w:pPr>
    </w:p>
    <w:p w14:paraId="14764995" w14:textId="2FC97785" w:rsidR="00D9128E" w:rsidRPr="00970AAB" w:rsidRDefault="00D9128E" w:rsidP="00D9128E">
      <w:pPr>
        <w:spacing w:after="0"/>
        <w:jc w:val="both"/>
        <w:rPr>
          <w:rFonts w:ascii="Times New Roman" w:hAnsi="Times New Roman"/>
          <w:sz w:val="20"/>
          <w:szCs w:val="20"/>
          <w:lang w:val="en-GB" w:eastAsia="zh-CN"/>
        </w:rPr>
      </w:pPr>
      <w:r w:rsidRPr="00970AAB">
        <w:rPr>
          <w:rFonts w:ascii="Times New Roman" w:hAnsi="Times New Roman"/>
          <w:b/>
          <w:sz w:val="20"/>
          <w:szCs w:val="20"/>
          <w:lang w:val="en-GB" w:eastAsia="zh-CN"/>
        </w:rPr>
        <w:t>Analyses of samples</w:t>
      </w:r>
    </w:p>
    <w:p w14:paraId="18F191DA" w14:textId="6F378F9E" w:rsidR="00D9128E" w:rsidRDefault="00D9128E" w:rsidP="00D9128E">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A number of vegetable oils and polyols derived from vegetable oils were analysed to determine the bio-based content. The suitable amount (weight) of sample to be combusted was different for each sample. The weight ranged from 0.05 to 0.1 g. The amount of sample that </w:t>
      </w:r>
      <w:r w:rsidRPr="00970AAB">
        <w:rPr>
          <w:rFonts w:ascii="Times New Roman" w:hAnsi="Times New Roman"/>
          <w:bCs/>
          <w:iCs/>
          <w:sz w:val="20"/>
          <w:szCs w:val="20"/>
          <w:lang w:val="en-GB" w:eastAsia="zh-CN"/>
        </w:rPr>
        <w:t xml:space="preserve">gave counting efficiencies of 75% or higher was used to determine the bio-based content. The bio-based content was calculated according to Equation 3 and the results are tabulated in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REF _Ref48341977  \* MERGEFORMAT </w:instrText>
      </w:r>
      <w:r w:rsidRPr="00970AAB">
        <w:rPr>
          <w:rFonts w:ascii="Times New Roman" w:hAnsi="Times New Roman"/>
          <w:bCs/>
          <w:iCs/>
          <w:sz w:val="20"/>
          <w:szCs w:val="20"/>
          <w:lang w:val="en-GB" w:eastAsia="zh-CN"/>
        </w:rPr>
        <w:fldChar w:fldCharType="separate"/>
      </w:r>
      <w:r w:rsidR="00D575B6" w:rsidRPr="00980B9F">
        <w:rPr>
          <w:rFonts w:ascii="Times New Roman" w:hAnsi="Times New Roman"/>
          <w:bCs/>
          <w:sz w:val="20"/>
          <w:szCs w:val="20"/>
          <w:lang w:val="en-MY" w:eastAsia="zh-CN"/>
        </w:rPr>
        <w:t xml:space="preserve">Table </w:t>
      </w:r>
      <w:r w:rsidR="00D575B6">
        <w:rPr>
          <w:rFonts w:ascii="Times New Roman" w:hAnsi="Times New Roman"/>
          <w:bCs/>
          <w:noProof/>
          <w:sz w:val="20"/>
          <w:szCs w:val="20"/>
          <w:lang w:val="en-MY" w:eastAsia="zh-CN"/>
        </w:rPr>
        <w:t>5</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NIST standard reference material 4990C (oxalic acid) was used as a reference.</w:t>
      </w:r>
    </w:p>
    <w:p w14:paraId="1ECD7F91" w14:textId="77777777" w:rsidR="001129FB" w:rsidRDefault="001129FB" w:rsidP="00D9128E">
      <w:pPr>
        <w:spacing w:after="0"/>
        <w:jc w:val="both"/>
        <w:rPr>
          <w:rFonts w:ascii="Times New Roman" w:hAnsi="Times New Roman"/>
          <w:bCs/>
          <w:iCs/>
          <w:sz w:val="20"/>
          <w:szCs w:val="20"/>
          <w:lang w:val="en-GB" w:eastAsia="zh-CN"/>
        </w:rPr>
      </w:pPr>
    </w:p>
    <w:p w14:paraId="0AB712FF"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lastRenderedPageBreak/>
        <w:t xml:space="preserve">The bio-based content of vegetable oils (palm oil, palm olein, coconut oil, canola oil, soybean oil, olive oil, sunflower oil and castor oil) was 100%. Most of the vegetable oils generally have 100%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 which signifies an entirely modern carbon source, </w:t>
      </w:r>
      <w:r w:rsidRPr="00970AAB">
        <w:rPr>
          <w:rFonts w:ascii="Times New Roman" w:hAnsi="Times New Roman"/>
          <w:bCs/>
          <w:i/>
          <w:iCs/>
          <w:sz w:val="20"/>
          <w:szCs w:val="20"/>
          <w:lang w:val="en-GB" w:eastAsia="zh-CN"/>
        </w:rPr>
        <w:t xml:space="preserve">i.e. </w:t>
      </w:r>
      <w:r w:rsidRPr="00970AAB">
        <w:rPr>
          <w:rFonts w:ascii="Times New Roman" w:hAnsi="Times New Roman"/>
          <w:bCs/>
          <w:iCs/>
          <w:sz w:val="20"/>
          <w:szCs w:val="20"/>
          <w:lang w:val="en-GB" w:eastAsia="zh-CN"/>
        </w:rPr>
        <w:t xml:space="preserve">plants </w:t>
      </w:r>
      <w:r w:rsidRPr="00970AAB">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Pr="00970AAB">
        <w:rPr>
          <w:rFonts w:ascii="Times New Roman" w:hAnsi="Times New Roman"/>
          <w:bCs/>
          <w:iCs/>
          <w:sz w:val="20"/>
          <w:szCs w:val="20"/>
          <w:lang w:val="en-GB" w:eastAsia="zh-CN"/>
        </w:rPr>
        <w:instrText xml:space="preserve"> ADDIN EN.CITE </w:instrText>
      </w:r>
      <w:r w:rsidRPr="00970AAB">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Pr="00970AAB">
        <w:rPr>
          <w:rFonts w:ascii="Times New Roman" w:hAnsi="Times New Roman"/>
          <w:bCs/>
          <w:iCs/>
          <w:sz w:val="20"/>
          <w:szCs w:val="20"/>
          <w:lang w:val="en-GB" w:eastAsia="zh-CN"/>
        </w:rPr>
        <w:instrText xml:space="preserve"> ADDIN EN.CITE.DATA </w:instrText>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[13, 23]</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xml:space="preserve">. Lower percent indicates the presence of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C-depleted carbon, which is likely to be fossil carbon source, </w:t>
      </w:r>
      <w:r w:rsidRPr="00970AAB">
        <w:rPr>
          <w:rFonts w:ascii="Times New Roman" w:hAnsi="Times New Roman"/>
          <w:bCs/>
          <w:i/>
          <w:iCs/>
          <w:sz w:val="20"/>
          <w:szCs w:val="20"/>
          <w:lang w:val="en-GB" w:eastAsia="zh-CN"/>
        </w:rPr>
        <w:t>i.e.</w:t>
      </w:r>
      <w:r w:rsidRPr="00970AAB">
        <w:rPr>
          <w:rFonts w:ascii="Times New Roman" w:hAnsi="Times New Roman"/>
          <w:bCs/>
          <w:iCs/>
          <w:sz w:val="20"/>
          <w:szCs w:val="20"/>
          <w:lang w:val="en-GB" w:eastAsia="zh-CN"/>
        </w:rPr>
        <w:t xml:space="preserve"> petroleum.</w:t>
      </w:r>
    </w:p>
    <w:p w14:paraId="2C6082E0" w14:textId="77777777" w:rsidR="001129FB" w:rsidRPr="00970AAB" w:rsidRDefault="001129FB" w:rsidP="001129FB">
      <w:pPr>
        <w:spacing w:after="0"/>
        <w:jc w:val="both"/>
        <w:rPr>
          <w:rFonts w:ascii="Times New Roman" w:hAnsi="Times New Roman"/>
          <w:bCs/>
          <w:iCs/>
          <w:sz w:val="20"/>
          <w:szCs w:val="20"/>
          <w:lang w:val="en-GB" w:eastAsia="zh-CN"/>
        </w:rPr>
      </w:pPr>
    </w:p>
    <w:p w14:paraId="0D8994BC"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The bio-based content of castor oil-based polyols (HCO-25, CO-25 and CO-5) ranged from 70 to 100%. HCO-25 and CO-25 have lower bio-based content, which can be due to their higher ethylene oxide degree (25 EO) compared to 5 EO for CO-5. Ethylene oxide used in the ethoxylation process is conventionally produced from fossil (petroleum) carbon source. The incorporation of ethylene oxide in the castor oil-based polyols have reduced the bio-based content.</w:t>
      </w:r>
    </w:p>
    <w:p w14:paraId="721B9D1A" w14:textId="77777777" w:rsidR="001129FB" w:rsidRPr="00970AAB" w:rsidRDefault="001129FB" w:rsidP="001129FB">
      <w:pPr>
        <w:spacing w:after="0"/>
        <w:jc w:val="both"/>
        <w:rPr>
          <w:rFonts w:ascii="Times New Roman" w:hAnsi="Times New Roman"/>
          <w:bCs/>
          <w:iCs/>
          <w:sz w:val="20"/>
          <w:szCs w:val="20"/>
          <w:lang w:val="en-GB" w:eastAsia="zh-CN"/>
        </w:rPr>
      </w:pPr>
    </w:p>
    <w:p w14:paraId="2866E01D"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For palm-based polyols (</w:t>
      </w:r>
      <w:r w:rsidRPr="00970AAB">
        <w:rPr>
          <w:rFonts w:ascii="Times New Roman" w:hAnsi="Times New Roman"/>
          <w:bCs/>
          <w:iCs/>
          <w:sz w:val="20"/>
          <w:szCs w:val="20"/>
          <w:lang w:val="en-MY" w:eastAsia="zh-CN"/>
        </w:rPr>
        <w:t>POoP M</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E135</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PG</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PDO</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PTDO</w:t>
      </w:r>
      <w:r w:rsidRPr="00970AAB">
        <w:rPr>
          <w:rFonts w:ascii="Times New Roman" w:hAnsi="Times New Roman"/>
          <w:bCs/>
          <w:iCs/>
          <w:sz w:val="20"/>
          <w:szCs w:val="20"/>
          <w:lang w:val="en-GB" w:eastAsia="zh-CN"/>
        </w:rPr>
        <w:t xml:space="preserve"> and </w:t>
      </w:r>
      <w:r w:rsidRPr="00970AAB">
        <w:rPr>
          <w:rFonts w:ascii="Times New Roman" w:hAnsi="Times New Roman"/>
          <w:bCs/>
          <w:iCs/>
          <w:sz w:val="20"/>
          <w:szCs w:val="20"/>
          <w:lang w:val="en-MY" w:eastAsia="zh-CN"/>
        </w:rPr>
        <w:t>POoP HDO</w:t>
      </w:r>
      <w:r w:rsidRPr="00970AAB">
        <w:rPr>
          <w:rFonts w:ascii="Times New Roman" w:hAnsi="Times New Roman"/>
          <w:bCs/>
          <w:iCs/>
          <w:sz w:val="20"/>
          <w:szCs w:val="20"/>
          <w:lang w:val="en-GB" w:eastAsia="zh-CN"/>
        </w:rPr>
        <w:t xml:space="preserve">), the bio-based content ranged from 81 to 96%. The addition of reactants for ring-opening reaction of EPOo has consequently lowered the bio-based content of the resulting polyols compared to the bio-based content of EPOo and palm oil. All of the reactants, </w:t>
      </w:r>
      <w:r w:rsidRPr="00970AAB">
        <w:rPr>
          <w:rFonts w:ascii="Times New Roman" w:hAnsi="Times New Roman"/>
          <w:bCs/>
          <w:i/>
          <w:iCs/>
          <w:sz w:val="20"/>
          <w:szCs w:val="20"/>
          <w:lang w:val="en-GB" w:eastAsia="zh-CN"/>
        </w:rPr>
        <w:t xml:space="preserve">i.e. </w:t>
      </w:r>
      <w:r w:rsidRPr="00970AAB">
        <w:rPr>
          <w:rFonts w:ascii="Times New Roman" w:hAnsi="Times New Roman"/>
          <w:bCs/>
          <w:iCs/>
          <w:sz w:val="20"/>
          <w:szCs w:val="20"/>
          <w:lang w:val="en-GB" w:eastAsia="zh-CN"/>
        </w:rPr>
        <w:t xml:space="preserve">methanol, 1,2-ethanediol, 1,2-propanediol, 1,3-propanediol, bio-based 1,3-propanediol, 1,5-pentanediol and 1,6-hexanediol, are from fossil carbon source. Meanwhile, </w:t>
      </w:r>
      <w:r w:rsidRPr="00970AAB">
        <w:rPr>
          <w:rFonts w:ascii="Times New Roman" w:hAnsi="Times New Roman"/>
          <w:bCs/>
          <w:iCs/>
          <w:sz w:val="20"/>
          <w:szCs w:val="20"/>
          <w:lang w:val="en-MY" w:eastAsia="zh-CN"/>
        </w:rPr>
        <w:t xml:space="preserve">POoP Bio PDO had 100% </w:t>
      </w:r>
      <w:r w:rsidRPr="00970AAB">
        <w:rPr>
          <w:rFonts w:ascii="Times New Roman" w:hAnsi="Times New Roman"/>
          <w:bCs/>
          <w:iCs/>
          <w:sz w:val="20"/>
          <w:szCs w:val="20"/>
          <w:lang w:val="en-GB" w:eastAsia="zh-CN"/>
        </w:rPr>
        <w:t>bio-based content. This result is expected since the reactant (Susterra® 1,3-propanediol) used for ring-opening is also 100% bio-based.</w:t>
      </w:r>
    </w:p>
    <w:p w14:paraId="0DB08125" w14:textId="77777777" w:rsidR="001129FB" w:rsidRPr="00970AAB" w:rsidRDefault="001129FB" w:rsidP="001129FB">
      <w:pPr>
        <w:spacing w:after="0"/>
        <w:jc w:val="both"/>
        <w:rPr>
          <w:rFonts w:ascii="Times New Roman" w:hAnsi="Times New Roman"/>
          <w:bCs/>
          <w:iCs/>
          <w:sz w:val="20"/>
          <w:szCs w:val="20"/>
          <w:lang w:val="en-GB" w:eastAsia="zh-CN"/>
        </w:rPr>
      </w:pPr>
    </w:p>
    <w:p w14:paraId="47571C4B"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For FAME-based polyols (PolyFAME PDO, PolyFAME BDO, PolyFAME PTDO and PolyFAME HDO), the bio-based content ranged from 71 to 74%. The addition of reactants for ring-opening reaction of E-FAME has consequently lowered the bio-based content of the resulting polyols compared to the bio-based content of E-FAME. All of the reactants are from fossil carbon source. Meanwhile, PolyFAME </w:t>
      </w:r>
      <w:r w:rsidRPr="00970AAB">
        <w:rPr>
          <w:rFonts w:ascii="Times New Roman" w:hAnsi="Times New Roman"/>
          <w:bCs/>
          <w:iCs/>
          <w:sz w:val="20"/>
          <w:szCs w:val="20"/>
          <w:lang w:val="en-MY" w:eastAsia="zh-CN"/>
        </w:rPr>
        <w:t xml:space="preserve">H had 100% </w:t>
      </w:r>
      <w:r w:rsidRPr="00970AAB">
        <w:rPr>
          <w:rFonts w:ascii="Times New Roman" w:hAnsi="Times New Roman"/>
          <w:bCs/>
          <w:iCs/>
          <w:sz w:val="20"/>
          <w:szCs w:val="20"/>
          <w:lang w:val="en-GB" w:eastAsia="zh-CN"/>
        </w:rPr>
        <w:t xml:space="preserve">bio-based content due to the addition of water, which did not contribute any carbon to the resulting polyol. PolyFAME </w:t>
      </w:r>
      <w:r w:rsidRPr="00970AAB">
        <w:rPr>
          <w:rFonts w:ascii="Times New Roman" w:hAnsi="Times New Roman"/>
          <w:bCs/>
          <w:iCs/>
          <w:sz w:val="20"/>
          <w:szCs w:val="20"/>
          <w:lang w:val="en-MY" w:eastAsia="zh-CN"/>
        </w:rPr>
        <w:t xml:space="preserve">Bio PDO had 100% </w:t>
      </w:r>
      <w:r w:rsidRPr="00970AAB">
        <w:rPr>
          <w:rFonts w:ascii="Times New Roman" w:hAnsi="Times New Roman"/>
          <w:bCs/>
          <w:iCs/>
          <w:sz w:val="20"/>
          <w:szCs w:val="20"/>
          <w:lang w:val="en-GB" w:eastAsia="zh-CN"/>
        </w:rPr>
        <w:t>bio-based content. This result is expected since the reactant (Susterra® propanediol) used for ring-opening is also 100% bio-based.</w:t>
      </w:r>
    </w:p>
    <w:p w14:paraId="73E53765" w14:textId="77777777" w:rsidR="001129FB" w:rsidRPr="00970AAB" w:rsidRDefault="001129FB" w:rsidP="001129FB">
      <w:pPr>
        <w:spacing w:after="0"/>
        <w:jc w:val="both"/>
        <w:rPr>
          <w:rFonts w:ascii="Times New Roman" w:hAnsi="Times New Roman"/>
          <w:bCs/>
          <w:iCs/>
          <w:sz w:val="20"/>
          <w:szCs w:val="20"/>
          <w:lang w:val="en-GB" w:eastAsia="zh-CN"/>
        </w:rPr>
      </w:pPr>
    </w:p>
    <w:p w14:paraId="3B8B08D7"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Interestingly, POoP Bio PDO and POoP PDO share the same chemical structure, yet they have significantly different bio-based content. Both polyols showed comparable glass transition temperatures, crystallinity and melt temperatures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[7]</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xml:space="preserve">. Similar findings were also observed on PolyFAME Bio PDO and PolyFAME PDO, whereby the reactants (bio-based Susterra® 1,3-propanediol and 1,3-propanediol, respectively) did not have an impact on their thermal crystallinity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[5]</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w:t>
      </w:r>
    </w:p>
    <w:p w14:paraId="5FDEF05A" w14:textId="77777777" w:rsidR="001129FB" w:rsidRPr="00970AAB" w:rsidRDefault="001129FB" w:rsidP="001129FB">
      <w:pPr>
        <w:spacing w:after="0"/>
        <w:jc w:val="both"/>
        <w:rPr>
          <w:rFonts w:ascii="Times New Roman" w:hAnsi="Times New Roman"/>
          <w:bCs/>
          <w:iCs/>
          <w:sz w:val="20"/>
          <w:szCs w:val="20"/>
          <w:lang w:val="en-GB" w:eastAsia="zh-CN"/>
        </w:rPr>
      </w:pPr>
    </w:p>
    <w:p w14:paraId="06B79B25" w14:textId="77777777" w:rsidR="001129FB" w:rsidRPr="00CE51F9"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Overall, the presented results showed that the determination of bio-based content of products can be estimated using LSC analysis of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 cocktails with great confidence, as reported by others worldwide </w:t>
      </w:r>
      <w:r w:rsidRPr="00970AAB">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Pr="00970AAB">
        <w:rPr>
          <w:rFonts w:ascii="Times New Roman" w:hAnsi="Times New Roman"/>
          <w:bCs/>
          <w:iCs/>
          <w:sz w:val="20"/>
          <w:szCs w:val="20"/>
          <w:lang w:val="en-GB" w:eastAsia="zh-CN"/>
        </w:rPr>
        <w:instrText xml:space="preserve"> ADDIN EN.CITE </w:instrText>
      </w:r>
      <w:r w:rsidRPr="00970AAB">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Pr="00970AAB">
        <w:rPr>
          <w:rFonts w:ascii="Times New Roman" w:hAnsi="Times New Roman"/>
          <w:bCs/>
          <w:iCs/>
          <w:sz w:val="20"/>
          <w:szCs w:val="20"/>
          <w:lang w:val="en-GB" w:eastAsia="zh-CN"/>
        </w:rPr>
        <w:instrText xml:space="preserve"> ADDIN EN.CITE.DATA </w:instrText>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[17, 24-28]</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It is also noteworthy to mention that this method offers reliable results at inexpensive costs which will benefit bio-based material producers in promoting the production of biomass-based products in the commercial market.</w:t>
      </w:r>
    </w:p>
    <w:p w14:paraId="1D1B1360" w14:textId="77777777" w:rsidR="001129FB" w:rsidRDefault="001129FB" w:rsidP="00D9128E">
      <w:pPr>
        <w:spacing w:after="0"/>
        <w:jc w:val="both"/>
        <w:rPr>
          <w:rFonts w:ascii="Times New Roman" w:hAnsi="Times New Roman"/>
          <w:bCs/>
          <w:iCs/>
          <w:sz w:val="20"/>
          <w:szCs w:val="20"/>
          <w:lang w:val="en-GB" w:eastAsia="zh-CN"/>
        </w:rPr>
      </w:pPr>
    </w:p>
    <w:p w14:paraId="45C76A16" w14:textId="4CC783E0" w:rsidR="001129FB" w:rsidRDefault="001129FB" w:rsidP="00D9128E">
      <w:pPr>
        <w:spacing w:after="0"/>
        <w:jc w:val="both"/>
        <w:rPr>
          <w:rFonts w:ascii="Times New Roman" w:hAnsi="Times New Roman"/>
          <w:bCs/>
          <w:iCs/>
          <w:sz w:val="20"/>
          <w:szCs w:val="20"/>
          <w:lang w:val="en-GB" w:eastAsia="zh-CN"/>
        </w:rPr>
        <w:sectPr w:rsidR="001129FB" w:rsidSect="001129FB">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65F55A12" w14:textId="32C30C0A" w:rsidR="00D9128E" w:rsidRDefault="00D9128E" w:rsidP="00D9128E">
      <w:pPr>
        <w:spacing w:after="0"/>
        <w:jc w:val="both"/>
        <w:rPr>
          <w:rFonts w:ascii="Times New Roman" w:hAnsi="Times New Roman"/>
          <w:bCs/>
          <w:iCs/>
          <w:sz w:val="20"/>
          <w:szCs w:val="20"/>
          <w:lang w:val="en-GB" w:eastAsia="zh-CN"/>
        </w:rPr>
      </w:pPr>
    </w:p>
    <w:p w14:paraId="7FB19E04" w14:textId="5C07FD1B" w:rsidR="001129FB" w:rsidRDefault="001129FB" w:rsidP="00D9128E">
      <w:pPr>
        <w:spacing w:after="0"/>
        <w:jc w:val="both"/>
        <w:rPr>
          <w:rFonts w:ascii="Times New Roman" w:hAnsi="Times New Roman"/>
          <w:bCs/>
          <w:iCs/>
          <w:sz w:val="20"/>
          <w:szCs w:val="20"/>
          <w:lang w:val="en-GB" w:eastAsia="zh-CN"/>
        </w:rPr>
      </w:pPr>
    </w:p>
    <w:p w14:paraId="3985E62D" w14:textId="60DC1F5E" w:rsidR="001129FB" w:rsidRDefault="001129FB" w:rsidP="00D9128E">
      <w:pPr>
        <w:spacing w:after="0"/>
        <w:jc w:val="both"/>
        <w:rPr>
          <w:rFonts w:ascii="Times New Roman" w:hAnsi="Times New Roman"/>
          <w:bCs/>
          <w:iCs/>
          <w:sz w:val="20"/>
          <w:szCs w:val="20"/>
          <w:lang w:val="en-GB" w:eastAsia="zh-CN"/>
        </w:rPr>
      </w:pPr>
    </w:p>
    <w:p w14:paraId="77AC3CE0" w14:textId="25A85483" w:rsidR="001129FB" w:rsidRDefault="001129FB" w:rsidP="00D9128E">
      <w:pPr>
        <w:spacing w:after="0"/>
        <w:jc w:val="both"/>
        <w:rPr>
          <w:rFonts w:ascii="Times New Roman" w:hAnsi="Times New Roman"/>
          <w:bCs/>
          <w:iCs/>
          <w:sz w:val="20"/>
          <w:szCs w:val="20"/>
          <w:lang w:val="en-GB" w:eastAsia="zh-CN"/>
        </w:rPr>
      </w:pPr>
    </w:p>
    <w:p w14:paraId="45BEF83C" w14:textId="4A45FD0C" w:rsidR="001129FB" w:rsidRDefault="001129FB" w:rsidP="00D9128E">
      <w:pPr>
        <w:spacing w:after="0"/>
        <w:jc w:val="both"/>
        <w:rPr>
          <w:rFonts w:ascii="Times New Roman" w:hAnsi="Times New Roman"/>
          <w:bCs/>
          <w:iCs/>
          <w:sz w:val="20"/>
          <w:szCs w:val="20"/>
          <w:lang w:val="en-GB" w:eastAsia="zh-CN"/>
        </w:rPr>
      </w:pPr>
    </w:p>
    <w:p w14:paraId="7A099ABC" w14:textId="5D821548" w:rsidR="001129FB" w:rsidRDefault="001129FB" w:rsidP="00D9128E">
      <w:pPr>
        <w:spacing w:after="0"/>
        <w:jc w:val="both"/>
        <w:rPr>
          <w:rFonts w:ascii="Times New Roman" w:hAnsi="Times New Roman"/>
          <w:bCs/>
          <w:iCs/>
          <w:sz w:val="20"/>
          <w:szCs w:val="20"/>
          <w:lang w:val="en-GB" w:eastAsia="zh-CN"/>
        </w:rPr>
      </w:pPr>
    </w:p>
    <w:p w14:paraId="62775614" w14:textId="172E1ED3" w:rsidR="001129FB" w:rsidRDefault="001129FB" w:rsidP="00D9128E">
      <w:pPr>
        <w:spacing w:after="0"/>
        <w:jc w:val="both"/>
        <w:rPr>
          <w:rFonts w:ascii="Times New Roman" w:hAnsi="Times New Roman"/>
          <w:bCs/>
          <w:iCs/>
          <w:sz w:val="20"/>
          <w:szCs w:val="20"/>
          <w:lang w:val="en-GB" w:eastAsia="zh-CN"/>
        </w:rPr>
      </w:pPr>
    </w:p>
    <w:p w14:paraId="5F614B29" w14:textId="328D3AD0" w:rsidR="001129FB" w:rsidRDefault="001129FB" w:rsidP="00D9128E">
      <w:pPr>
        <w:spacing w:after="0"/>
        <w:jc w:val="both"/>
        <w:rPr>
          <w:rFonts w:ascii="Times New Roman" w:hAnsi="Times New Roman"/>
          <w:bCs/>
          <w:iCs/>
          <w:sz w:val="20"/>
          <w:szCs w:val="20"/>
          <w:lang w:val="en-GB" w:eastAsia="zh-CN"/>
        </w:rPr>
      </w:pPr>
    </w:p>
    <w:p w14:paraId="6F160C03" w14:textId="77777777" w:rsidR="001129FB" w:rsidRDefault="001129FB" w:rsidP="00D9128E">
      <w:pPr>
        <w:spacing w:after="0"/>
        <w:jc w:val="both"/>
        <w:rPr>
          <w:rFonts w:ascii="Times New Roman" w:hAnsi="Times New Roman"/>
          <w:bCs/>
          <w:iCs/>
          <w:sz w:val="20"/>
          <w:szCs w:val="20"/>
          <w:lang w:val="en-GB" w:eastAsia="zh-CN"/>
        </w:rPr>
      </w:pPr>
    </w:p>
    <w:p w14:paraId="6923B0C3" w14:textId="19410741" w:rsidR="00D9128E" w:rsidRDefault="00D9128E" w:rsidP="00D9128E">
      <w:pPr>
        <w:spacing w:after="0"/>
        <w:jc w:val="both"/>
        <w:rPr>
          <w:rFonts w:ascii="Times New Roman" w:hAnsi="Times New Roman"/>
          <w:bCs/>
          <w:iCs/>
          <w:sz w:val="20"/>
          <w:szCs w:val="20"/>
          <w:lang w:val="en-GB" w:eastAsia="zh-CN"/>
        </w:rPr>
      </w:pPr>
    </w:p>
    <w:p w14:paraId="557358D2" w14:textId="5E1EC4FE" w:rsidR="00D9128E" w:rsidRPr="00980B9F" w:rsidRDefault="00D9128E" w:rsidP="00D9128E">
      <w:pPr>
        <w:spacing w:after="120"/>
        <w:ind w:left="706" w:hanging="706"/>
        <w:jc w:val="center"/>
        <w:rPr>
          <w:rFonts w:ascii="Times New Roman" w:hAnsi="Times New Roman"/>
          <w:b/>
          <w:bCs/>
          <w:sz w:val="20"/>
          <w:szCs w:val="20"/>
          <w:lang w:val="en-MY" w:eastAsia="zh-CN"/>
        </w:rPr>
      </w:pPr>
      <w:bookmarkStart w:id="9" w:name="_Ref48341977"/>
      <w:r w:rsidRPr="00980B9F">
        <w:rPr>
          <w:rFonts w:ascii="Times New Roman" w:hAnsi="Times New Roman"/>
          <w:bCs/>
          <w:sz w:val="20"/>
          <w:szCs w:val="20"/>
          <w:lang w:val="en-MY" w:eastAsia="zh-CN"/>
        </w:rPr>
        <w:lastRenderedPageBreak/>
        <w:t xml:space="preserve">Table </w:t>
      </w:r>
      <w:r w:rsidRPr="00980B9F">
        <w:rPr>
          <w:rFonts w:ascii="Times New Roman" w:hAnsi="Times New Roman"/>
          <w:bCs/>
          <w:sz w:val="20"/>
          <w:szCs w:val="20"/>
          <w:lang w:val="en-MY" w:eastAsia="zh-CN"/>
        </w:rPr>
        <w:fldChar w:fldCharType="begin"/>
      </w:r>
      <w:r w:rsidRPr="00980B9F">
        <w:rPr>
          <w:rFonts w:ascii="Times New Roman" w:hAnsi="Times New Roman"/>
          <w:bCs/>
          <w:sz w:val="20"/>
          <w:szCs w:val="20"/>
          <w:lang w:val="en-MY" w:eastAsia="zh-CN"/>
        </w:rPr>
        <w:instrText xml:space="preserve"> SEQ Table \* ARABIC </w:instrText>
      </w:r>
      <w:r w:rsidRPr="00980B9F">
        <w:rPr>
          <w:rFonts w:ascii="Times New Roman" w:hAnsi="Times New Roman"/>
          <w:bCs/>
          <w:sz w:val="20"/>
          <w:szCs w:val="20"/>
          <w:lang w:val="en-MY" w:eastAsia="zh-CN"/>
        </w:rPr>
        <w:fldChar w:fldCharType="separate"/>
      </w:r>
      <w:r w:rsidR="00D575B6">
        <w:rPr>
          <w:rFonts w:ascii="Times New Roman" w:hAnsi="Times New Roman"/>
          <w:bCs/>
          <w:noProof/>
          <w:sz w:val="20"/>
          <w:szCs w:val="20"/>
          <w:lang w:val="en-MY" w:eastAsia="zh-CN"/>
        </w:rPr>
        <w:t>5</w:t>
      </w:r>
      <w:r w:rsidRPr="00980B9F">
        <w:rPr>
          <w:rFonts w:ascii="Times New Roman" w:hAnsi="Times New Roman"/>
          <w:sz w:val="20"/>
          <w:szCs w:val="20"/>
          <w:lang w:eastAsia="zh-CN"/>
        </w:rPr>
        <w:fldChar w:fldCharType="end"/>
      </w:r>
      <w:bookmarkEnd w:id="9"/>
      <w:r>
        <w:rPr>
          <w:rFonts w:ascii="Times New Roman" w:hAnsi="Times New Roman"/>
          <w:sz w:val="20"/>
          <w:szCs w:val="20"/>
          <w:lang w:val="en-MY" w:eastAsia="zh-CN"/>
        </w:rPr>
        <w:t xml:space="preserve">.  </w:t>
      </w:r>
      <w:r w:rsidRPr="00980B9F">
        <w:rPr>
          <w:rFonts w:ascii="Times New Roman" w:hAnsi="Times New Roman"/>
          <w:bCs/>
          <w:sz w:val="20"/>
          <w:szCs w:val="20"/>
          <w:lang w:val="en-MY" w:eastAsia="zh-CN"/>
        </w:rPr>
        <w:t>Measured DPM, weight and calculated bio-based content of reference, vegetable oils, castor oil-based polyols, palm-based polyols and FAME-based polyols</w:t>
      </w:r>
    </w:p>
    <w:tbl>
      <w:tblPr>
        <w:tblW w:w="6939" w:type="dxa"/>
        <w:jc w:val="center"/>
        <w:tblCellMar>
          <w:left w:w="28" w:type="dxa"/>
          <w:right w:w="28" w:type="dxa"/>
        </w:tblCellMar>
        <w:tblLook w:val="04A0" w:firstRow="1" w:lastRow="0" w:firstColumn="1" w:lastColumn="0" w:noHBand="0" w:noVBand="1"/>
      </w:tblPr>
      <w:tblGrid>
        <w:gridCol w:w="2268"/>
        <w:gridCol w:w="993"/>
        <w:gridCol w:w="1410"/>
        <w:gridCol w:w="2268"/>
      </w:tblGrid>
      <w:tr w:rsidR="00D9128E" w:rsidRPr="00980B9F" w14:paraId="2119DA99" w14:textId="77777777" w:rsidTr="00D9128E">
        <w:trPr>
          <w:trHeight w:val="315"/>
          <w:jc w:val="center"/>
        </w:trPr>
        <w:tc>
          <w:tcPr>
            <w:tcW w:w="2268" w:type="dxa"/>
            <w:tcBorders>
              <w:top w:val="single" w:sz="4" w:space="0" w:color="auto"/>
              <w:left w:val="nil"/>
              <w:bottom w:val="single" w:sz="4" w:space="0" w:color="auto"/>
              <w:right w:val="nil"/>
            </w:tcBorders>
            <w:shd w:val="clear" w:color="auto" w:fill="auto"/>
            <w:noWrap/>
            <w:vAlign w:val="bottom"/>
            <w:hideMark/>
          </w:tcPr>
          <w:p w14:paraId="45235584" w14:textId="77777777" w:rsidR="00D9128E" w:rsidRPr="00980B9F" w:rsidRDefault="00D9128E" w:rsidP="00D9128E">
            <w:pPr>
              <w:spacing w:before="60" w:after="60"/>
              <w:rPr>
                <w:rFonts w:ascii="Times New Roman" w:hAnsi="Times New Roman"/>
                <w:b/>
                <w:bCs/>
                <w:sz w:val="20"/>
                <w:szCs w:val="20"/>
                <w:lang w:val="en-MY" w:eastAsia="zh-CN"/>
              </w:rPr>
            </w:pPr>
            <w:r w:rsidRPr="00980B9F">
              <w:rPr>
                <w:rFonts w:ascii="Times New Roman" w:hAnsi="Times New Roman"/>
                <w:b/>
                <w:bCs/>
                <w:sz w:val="20"/>
                <w:szCs w:val="20"/>
                <w:lang w:val="en-MY" w:eastAsia="zh-CN"/>
              </w:rPr>
              <w:t>Sample</w:t>
            </w:r>
          </w:p>
        </w:tc>
        <w:tc>
          <w:tcPr>
            <w:tcW w:w="993" w:type="dxa"/>
            <w:tcBorders>
              <w:top w:val="single" w:sz="4" w:space="0" w:color="auto"/>
              <w:left w:val="nil"/>
              <w:bottom w:val="single" w:sz="4" w:space="0" w:color="auto"/>
              <w:right w:val="nil"/>
            </w:tcBorders>
            <w:shd w:val="clear" w:color="auto" w:fill="auto"/>
            <w:noWrap/>
            <w:vAlign w:val="bottom"/>
            <w:hideMark/>
          </w:tcPr>
          <w:p w14:paraId="77949200"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DPM</w:t>
            </w:r>
          </w:p>
        </w:tc>
        <w:tc>
          <w:tcPr>
            <w:tcW w:w="1410" w:type="dxa"/>
            <w:tcBorders>
              <w:top w:val="single" w:sz="4" w:space="0" w:color="auto"/>
              <w:left w:val="nil"/>
              <w:bottom w:val="single" w:sz="4" w:space="0" w:color="auto"/>
              <w:right w:val="nil"/>
            </w:tcBorders>
            <w:shd w:val="clear" w:color="auto" w:fill="auto"/>
            <w:noWrap/>
            <w:vAlign w:val="bottom"/>
            <w:hideMark/>
          </w:tcPr>
          <w:p w14:paraId="19B1FD2B"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Weight (g)</w:t>
            </w:r>
          </w:p>
        </w:tc>
        <w:tc>
          <w:tcPr>
            <w:tcW w:w="2268" w:type="dxa"/>
            <w:tcBorders>
              <w:top w:val="single" w:sz="4" w:space="0" w:color="auto"/>
              <w:left w:val="nil"/>
              <w:bottom w:val="single" w:sz="4" w:space="0" w:color="auto"/>
              <w:right w:val="nil"/>
            </w:tcBorders>
            <w:shd w:val="clear" w:color="auto" w:fill="auto"/>
            <w:noWrap/>
            <w:vAlign w:val="bottom"/>
            <w:hideMark/>
          </w:tcPr>
          <w:p w14:paraId="5C4A1524"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Biobased Content (%)</w:t>
            </w:r>
          </w:p>
        </w:tc>
      </w:tr>
      <w:tr w:rsidR="00D9128E" w:rsidRPr="00980B9F" w14:paraId="27ADFADC" w14:textId="77777777" w:rsidTr="00D9128E">
        <w:trPr>
          <w:trHeight w:val="315"/>
          <w:jc w:val="center"/>
        </w:trPr>
        <w:tc>
          <w:tcPr>
            <w:tcW w:w="2268" w:type="dxa"/>
            <w:tcBorders>
              <w:top w:val="single" w:sz="4" w:space="0" w:color="auto"/>
              <w:left w:val="nil"/>
              <w:bottom w:val="nil"/>
              <w:right w:val="nil"/>
            </w:tcBorders>
            <w:shd w:val="clear" w:color="auto" w:fill="auto"/>
            <w:noWrap/>
            <w:vAlign w:val="bottom"/>
            <w:hideMark/>
          </w:tcPr>
          <w:p w14:paraId="77E3F539"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Reference</w:t>
            </w:r>
          </w:p>
        </w:tc>
        <w:tc>
          <w:tcPr>
            <w:tcW w:w="993" w:type="dxa"/>
            <w:tcBorders>
              <w:top w:val="single" w:sz="4" w:space="0" w:color="auto"/>
              <w:left w:val="nil"/>
              <w:bottom w:val="nil"/>
              <w:right w:val="nil"/>
            </w:tcBorders>
            <w:shd w:val="clear" w:color="auto" w:fill="auto"/>
            <w:noWrap/>
            <w:vAlign w:val="bottom"/>
            <w:hideMark/>
          </w:tcPr>
          <w:p w14:paraId="7F437D2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83</w:t>
            </w:r>
          </w:p>
        </w:tc>
        <w:tc>
          <w:tcPr>
            <w:tcW w:w="1410" w:type="dxa"/>
            <w:tcBorders>
              <w:top w:val="single" w:sz="4" w:space="0" w:color="auto"/>
              <w:left w:val="nil"/>
              <w:bottom w:val="nil"/>
              <w:right w:val="nil"/>
            </w:tcBorders>
            <w:shd w:val="clear" w:color="auto" w:fill="auto"/>
            <w:noWrap/>
            <w:vAlign w:val="bottom"/>
            <w:hideMark/>
          </w:tcPr>
          <w:p w14:paraId="5B24F4F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0.1099</w:t>
            </w:r>
          </w:p>
        </w:tc>
        <w:tc>
          <w:tcPr>
            <w:tcW w:w="2268" w:type="dxa"/>
            <w:tcBorders>
              <w:top w:val="single" w:sz="4" w:space="0" w:color="auto"/>
              <w:left w:val="nil"/>
              <w:bottom w:val="nil"/>
              <w:right w:val="nil"/>
            </w:tcBorders>
            <w:shd w:val="clear" w:color="auto" w:fill="auto"/>
            <w:noWrap/>
            <w:vAlign w:val="bottom"/>
            <w:hideMark/>
          </w:tcPr>
          <w:p w14:paraId="33D5AF2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w:t>
            </w:r>
          </w:p>
        </w:tc>
      </w:tr>
      <w:tr w:rsidR="00D9128E" w:rsidRPr="00980B9F" w14:paraId="224A9DCA"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hideMark/>
          </w:tcPr>
          <w:p w14:paraId="587D9586" w14:textId="2B857E57"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Vegetable oils</w:t>
            </w:r>
          </w:p>
        </w:tc>
        <w:tc>
          <w:tcPr>
            <w:tcW w:w="993" w:type="dxa"/>
            <w:tcBorders>
              <w:top w:val="nil"/>
              <w:left w:val="nil"/>
              <w:bottom w:val="single" w:sz="4" w:space="0" w:color="auto"/>
              <w:right w:val="nil"/>
            </w:tcBorders>
            <w:shd w:val="clear" w:color="auto" w:fill="auto"/>
            <w:noWrap/>
            <w:vAlign w:val="bottom"/>
            <w:hideMark/>
          </w:tcPr>
          <w:p w14:paraId="64DE1A15"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379B80C1"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63A73FE2"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26325091"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23941C4F"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RBDPO</w:t>
            </w:r>
          </w:p>
        </w:tc>
        <w:tc>
          <w:tcPr>
            <w:tcW w:w="993" w:type="dxa"/>
            <w:tcBorders>
              <w:top w:val="nil"/>
              <w:left w:val="nil"/>
              <w:bottom w:val="nil"/>
              <w:right w:val="nil"/>
            </w:tcBorders>
            <w:shd w:val="clear" w:color="auto" w:fill="auto"/>
            <w:noWrap/>
            <w:vAlign w:val="bottom"/>
            <w:hideMark/>
          </w:tcPr>
          <w:p w14:paraId="040ED8F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54</w:t>
            </w:r>
          </w:p>
        </w:tc>
        <w:tc>
          <w:tcPr>
            <w:tcW w:w="1410" w:type="dxa"/>
            <w:tcBorders>
              <w:top w:val="nil"/>
              <w:left w:val="nil"/>
              <w:bottom w:val="nil"/>
              <w:right w:val="nil"/>
            </w:tcBorders>
            <w:shd w:val="clear" w:color="auto" w:fill="auto"/>
            <w:noWrap/>
            <w:vAlign w:val="bottom"/>
            <w:hideMark/>
          </w:tcPr>
          <w:p w14:paraId="48A5720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0.0547</w:t>
            </w:r>
          </w:p>
        </w:tc>
        <w:tc>
          <w:tcPr>
            <w:tcW w:w="2268" w:type="dxa"/>
            <w:tcBorders>
              <w:top w:val="nil"/>
              <w:left w:val="nil"/>
              <w:bottom w:val="nil"/>
              <w:right w:val="nil"/>
            </w:tcBorders>
            <w:shd w:val="clear" w:color="auto" w:fill="auto"/>
            <w:noWrap/>
            <w:vAlign w:val="bottom"/>
            <w:hideMark/>
          </w:tcPr>
          <w:p w14:paraId="0E13BC7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293A4B3" w14:textId="77777777" w:rsidTr="00F879E7">
        <w:trPr>
          <w:trHeight w:val="66"/>
          <w:jc w:val="center"/>
        </w:trPr>
        <w:tc>
          <w:tcPr>
            <w:tcW w:w="2268" w:type="dxa"/>
            <w:tcBorders>
              <w:top w:val="nil"/>
              <w:left w:val="nil"/>
              <w:bottom w:val="nil"/>
              <w:right w:val="nil"/>
            </w:tcBorders>
            <w:shd w:val="clear" w:color="auto" w:fill="auto"/>
            <w:noWrap/>
            <w:vAlign w:val="bottom"/>
          </w:tcPr>
          <w:p w14:paraId="73497FA6"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RBDPOo</w:t>
            </w:r>
          </w:p>
        </w:tc>
        <w:tc>
          <w:tcPr>
            <w:tcW w:w="993" w:type="dxa"/>
            <w:tcBorders>
              <w:top w:val="nil"/>
              <w:left w:val="nil"/>
              <w:bottom w:val="nil"/>
              <w:right w:val="nil"/>
            </w:tcBorders>
            <w:shd w:val="clear" w:color="auto" w:fill="auto"/>
            <w:noWrap/>
            <w:vAlign w:val="bottom"/>
          </w:tcPr>
          <w:p w14:paraId="65B2ED4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tcPr>
          <w:p w14:paraId="1C44AA7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0.0501</w:t>
            </w:r>
          </w:p>
        </w:tc>
        <w:tc>
          <w:tcPr>
            <w:tcW w:w="2268" w:type="dxa"/>
            <w:tcBorders>
              <w:top w:val="nil"/>
              <w:left w:val="nil"/>
              <w:bottom w:val="nil"/>
              <w:right w:val="nil"/>
            </w:tcBorders>
            <w:shd w:val="clear" w:color="auto" w:fill="auto"/>
            <w:noWrap/>
            <w:vAlign w:val="bottom"/>
          </w:tcPr>
          <w:p w14:paraId="114C2E2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72628D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65223DA4"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Canola oil</w:t>
            </w:r>
          </w:p>
        </w:tc>
        <w:tc>
          <w:tcPr>
            <w:tcW w:w="993" w:type="dxa"/>
            <w:tcBorders>
              <w:top w:val="nil"/>
              <w:left w:val="nil"/>
              <w:bottom w:val="nil"/>
              <w:right w:val="nil"/>
            </w:tcBorders>
            <w:shd w:val="clear" w:color="auto" w:fill="auto"/>
            <w:noWrap/>
            <w:vAlign w:val="bottom"/>
            <w:hideMark/>
          </w:tcPr>
          <w:p w14:paraId="6DA3BBE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3D6B97E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0.0500</w:t>
            </w:r>
          </w:p>
        </w:tc>
        <w:tc>
          <w:tcPr>
            <w:tcW w:w="2268" w:type="dxa"/>
            <w:tcBorders>
              <w:top w:val="nil"/>
              <w:left w:val="nil"/>
              <w:bottom w:val="nil"/>
              <w:right w:val="nil"/>
            </w:tcBorders>
            <w:shd w:val="clear" w:color="auto" w:fill="auto"/>
            <w:noWrap/>
            <w:vAlign w:val="bottom"/>
            <w:hideMark/>
          </w:tcPr>
          <w:p w14:paraId="63AE775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4A3F8F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DF8A155"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Soyabean oil</w:t>
            </w:r>
          </w:p>
        </w:tc>
        <w:tc>
          <w:tcPr>
            <w:tcW w:w="993" w:type="dxa"/>
            <w:tcBorders>
              <w:top w:val="nil"/>
              <w:left w:val="nil"/>
              <w:bottom w:val="nil"/>
              <w:right w:val="nil"/>
            </w:tcBorders>
            <w:shd w:val="clear" w:color="auto" w:fill="auto"/>
            <w:noWrap/>
            <w:vAlign w:val="bottom"/>
            <w:hideMark/>
          </w:tcPr>
          <w:p w14:paraId="565217B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53</w:t>
            </w:r>
          </w:p>
        </w:tc>
        <w:tc>
          <w:tcPr>
            <w:tcW w:w="1410" w:type="dxa"/>
            <w:tcBorders>
              <w:top w:val="nil"/>
              <w:left w:val="nil"/>
              <w:bottom w:val="nil"/>
              <w:right w:val="nil"/>
            </w:tcBorders>
            <w:shd w:val="clear" w:color="auto" w:fill="auto"/>
            <w:noWrap/>
            <w:vAlign w:val="bottom"/>
            <w:hideMark/>
          </w:tcPr>
          <w:p w14:paraId="2663A4A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0.0519</w:t>
            </w:r>
          </w:p>
        </w:tc>
        <w:tc>
          <w:tcPr>
            <w:tcW w:w="2268" w:type="dxa"/>
            <w:tcBorders>
              <w:top w:val="nil"/>
              <w:left w:val="nil"/>
              <w:bottom w:val="nil"/>
              <w:right w:val="nil"/>
            </w:tcBorders>
            <w:shd w:val="clear" w:color="auto" w:fill="auto"/>
            <w:noWrap/>
            <w:vAlign w:val="bottom"/>
            <w:hideMark/>
          </w:tcPr>
          <w:p w14:paraId="57B0CC8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267FFE6E"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192067A"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Olive oil</w:t>
            </w:r>
          </w:p>
        </w:tc>
        <w:tc>
          <w:tcPr>
            <w:tcW w:w="993" w:type="dxa"/>
            <w:tcBorders>
              <w:top w:val="nil"/>
              <w:left w:val="nil"/>
              <w:bottom w:val="nil"/>
              <w:right w:val="nil"/>
            </w:tcBorders>
            <w:shd w:val="clear" w:color="auto" w:fill="auto"/>
            <w:noWrap/>
            <w:vAlign w:val="bottom"/>
            <w:hideMark/>
          </w:tcPr>
          <w:p w14:paraId="2A0F306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76</w:t>
            </w:r>
          </w:p>
        </w:tc>
        <w:tc>
          <w:tcPr>
            <w:tcW w:w="1410" w:type="dxa"/>
            <w:tcBorders>
              <w:top w:val="nil"/>
              <w:left w:val="nil"/>
              <w:bottom w:val="nil"/>
              <w:right w:val="nil"/>
            </w:tcBorders>
            <w:shd w:val="clear" w:color="auto" w:fill="auto"/>
            <w:noWrap/>
            <w:vAlign w:val="bottom"/>
            <w:hideMark/>
          </w:tcPr>
          <w:p w14:paraId="23C03D67"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0.0497</w:t>
            </w:r>
          </w:p>
        </w:tc>
        <w:tc>
          <w:tcPr>
            <w:tcW w:w="2268" w:type="dxa"/>
            <w:tcBorders>
              <w:top w:val="nil"/>
              <w:left w:val="nil"/>
              <w:bottom w:val="nil"/>
              <w:right w:val="nil"/>
            </w:tcBorders>
            <w:shd w:val="clear" w:color="auto" w:fill="auto"/>
            <w:noWrap/>
            <w:vAlign w:val="bottom"/>
            <w:hideMark/>
          </w:tcPr>
          <w:p w14:paraId="2100606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48B32BEE"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7508AB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Sunflower oil</w:t>
            </w:r>
          </w:p>
        </w:tc>
        <w:tc>
          <w:tcPr>
            <w:tcW w:w="993" w:type="dxa"/>
            <w:tcBorders>
              <w:top w:val="nil"/>
              <w:left w:val="nil"/>
              <w:bottom w:val="nil"/>
              <w:right w:val="nil"/>
            </w:tcBorders>
            <w:shd w:val="clear" w:color="auto" w:fill="auto"/>
            <w:noWrap/>
            <w:vAlign w:val="bottom"/>
            <w:hideMark/>
          </w:tcPr>
          <w:p w14:paraId="07E676A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2F61EAC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0.0802</w:t>
            </w:r>
          </w:p>
        </w:tc>
        <w:tc>
          <w:tcPr>
            <w:tcW w:w="2268" w:type="dxa"/>
            <w:tcBorders>
              <w:top w:val="nil"/>
              <w:left w:val="nil"/>
              <w:bottom w:val="nil"/>
              <w:right w:val="nil"/>
            </w:tcBorders>
            <w:shd w:val="clear" w:color="auto" w:fill="auto"/>
            <w:noWrap/>
            <w:vAlign w:val="bottom"/>
            <w:hideMark/>
          </w:tcPr>
          <w:p w14:paraId="5A78005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2DC90362" w14:textId="77777777" w:rsidTr="00F879E7">
        <w:trPr>
          <w:trHeight w:val="315"/>
          <w:jc w:val="center"/>
        </w:trPr>
        <w:tc>
          <w:tcPr>
            <w:tcW w:w="2268" w:type="dxa"/>
            <w:tcBorders>
              <w:top w:val="nil"/>
              <w:left w:val="nil"/>
              <w:bottom w:val="nil"/>
              <w:right w:val="nil"/>
            </w:tcBorders>
            <w:shd w:val="clear" w:color="auto" w:fill="auto"/>
            <w:noWrap/>
            <w:vAlign w:val="bottom"/>
            <w:hideMark/>
          </w:tcPr>
          <w:p w14:paraId="1CA92720"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Castor oil</w:t>
            </w:r>
          </w:p>
        </w:tc>
        <w:tc>
          <w:tcPr>
            <w:tcW w:w="993" w:type="dxa"/>
            <w:tcBorders>
              <w:top w:val="nil"/>
              <w:left w:val="nil"/>
              <w:bottom w:val="nil"/>
              <w:right w:val="nil"/>
            </w:tcBorders>
            <w:shd w:val="clear" w:color="auto" w:fill="auto"/>
            <w:noWrap/>
            <w:vAlign w:val="bottom"/>
            <w:hideMark/>
          </w:tcPr>
          <w:p w14:paraId="204EAC0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87</w:t>
            </w:r>
          </w:p>
        </w:tc>
        <w:tc>
          <w:tcPr>
            <w:tcW w:w="1410" w:type="dxa"/>
            <w:tcBorders>
              <w:top w:val="nil"/>
              <w:left w:val="nil"/>
              <w:bottom w:val="nil"/>
              <w:right w:val="nil"/>
            </w:tcBorders>
            <w:shd w:val="clear" w:color="auto" w:fill="auto"/>
            <w:noWrap/>
            <w:vAlign w:val="bottom"/>
            <w:hideMark/>
          </w:tcPr>
          <w:p w14:paraId="052B35C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0.1105</w:t>
            </w:r>
          </w:p>
        </w:tc>
        <w:tc>
          <w:tcPr>
            <w:tcW w:w="2268" w:type="dxa"/>
            <w:tcBorders>
              <w:top w:val="nil"/>
              <w:left w:val="nil"/>
              <w:bottom w:val="nil"/>
              <w:right w:val="nil"/>
            </w:tcBorders>
            <w:shd w:val="clear" w:color="auto" w:fill="auto"/>
            <w:noWrap/>
            <w:vAlign w:val="bottom"/>
            <w:hideMark/>
          </w:tcPr>
          <w:p w14:paraId="65BA0E7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61830585"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3938385"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FAME (Methyl oleate)</w:t>
            </w:r>
          </w:p>
        </w:tc>
        <w:tc>
          <w:tcPr>
            <w:tcW w:w="993" w:type="dxa"/>
            <w:tcBorders>
              <w:top w:val="nil"/>
              <w:left w:val="nil"/>
              <w:bottom w:val="nil"/>
              <w:right w:val="nil"/>
            </w:tcBorders>
            <w:shd w:val="clear" w:color="auto" w:fill="auto"/>
            <w:noWrap/>
            <w:vAlign w:val="bottom"/>
            <w:hideMark/>
          </w:tcPr>
          <w:p w14:paraId="1D2952A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hideMark/>
          </w:tcPr>
          <w:p w14:paraId="555448C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0.0506</w:t>
            </w:r>
          </w:p>
        </w:tc>
        <w:tc>
          <w:tcPr>
            <w:tcW w:w="2268" w:type="dxa"/>
            <w:tcBorders>
              <w:top w:val="nil"/>
              <w:left w:val="nil"/>
              <w:bottom w:val="nil"/>
              <w:right w:val="nil"/>
            </w:tcBorders>
            <w:shd w:val="clear" w:color="auto" w:fill="auto"/>
            <w:noWrap/>
            <w:vAlign w:val="bottom"/>
            <w:hideMark/>
          </w:tcPr>
          <w:p w14:paraId="1D79B78B"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F966873" w14:textId="77777777" w:rsidTr="00F879E7">
        <w:trPr>
          <w:trHeight w:val="66"/>
          <w:jc w:val="center"/>
        </w:trPr>
        <w:tc>
          <w:tcPr>
            <w:tcW w:w="3261" w:type="dxa"/>
            <w:gridSpan w:val="2"/>
            <w:tcBorders>
              <w:top w:val="nil"/>
              <w:left w:val="nil"/>
              <w:bottom w:val="single" w:sz="4" w:space="0" w:color="auto"/>
              <w:right w:val="nil"/>
            </w:tcBorders>
            <w:shd w:val="clear" w:color="auto" w:fill="auto"/>
            <w:noWrap/>
            <w:vAlign w:val="bottom"/>
            <w:hideMark/>
          </w:tcPr>
          <w:p w14:paraId="77737803" w14:textId="77777777"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Castor oil-based polyols</w:t>
            </w:r>
          </w:p>
        </w:tc>
        <w:tc>
          <w:tcPr>
            <w:tcW w:w="1410" w:type="dxa"/>
            <w:tcBorders>
              <w:top w:val="nil"/>
              <w:left w:val="nil"/>
              <w:bottom w:val="single" w:sz="4" w:space="0" w:color="auto"/>
              <w:right w:val="nil"/>
            </w:tcBorders>
            <w:shd w:val="clear" w:color="auto" w:fill="auto"/>
            <w:noWrap/>
            <w:vAlign w:val="bottom"/>
            <w:hideMark/>
          </w:tcPr>
          <w:p w14:paraId="23D01197"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003F8322"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3B72E42F"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6831C6FD"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HCO-25</w:t>
            </w:r>
          </w:p>
        </w:tc>
        <w:tc>
          <w:tcPr>
            <w:tcW w:w="993" w:type="dxa"/>
            <w:tcBorders>
              <w:top w:val="nil"/>
              <w:left w:val="nil"/>
              <w:bottom w:val="nil"/>
              <w:right w:val="nil"/>
            </w:tcBorders>
            <w:shd w:val="clear" w:color="auto" w:fill="auto"/>
            <w:noWrap/>
            <w:vAlign w:val="bottom"/>
            <w:hideMark/>
          </w:tcPr>
          <w:p w14:paraId="58ABBD8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hideMark/>
          </w:tcPr>
          <w:p w14:paraId="4F92301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0.1052</w:t>
            </w:r>
          </w:p>
        </w:tc>
        <w:tc>
          <w:tcPr>
            <w:tcW w:w="2268" w:type="dxa"/>
            <w:tcBorders>
              <w:top w:val="nil"/>
              <w:left w:val="nil"/>
              <w:bottom w:val="nil"/>
              <w:right w:val="nil"/>
            </w:tcBorders>
            <w:shd w:val="clear" w:color="auto" w:fill="auto"/>
            <w:noWrap/>
            <w:vAlign w:val="bottom"/>
            <w:hideMark/>
          </w:tcPr>
          <w:p w14:paraId="364CCD7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70.5</w:t>
            </w:r>
          </w:p>
        </w:tc>
      </w:tr>
      <w:tr w:rsidR="00D9128E" w:rsidRPr="00980B9F" w14:paraId="0CB8937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1A8C161"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CO-25</w:t>
            </w:r>
          </w:p>
        </w:tc>
        <w:tc>
          <w:tcPr>
            <w:tcW w:w="993" w:type="dxa"/>
            <w:tcBorders>
              <w:top w:val="nil"/>
              <w:left w:val="nil"/>
              <w:bottom w:val="nil"/>
              <w:right w:val="nil"/>
            </w:tcBorders>
            <w:shd w:val="clear" w:color="auto" w:fill="auto"/>
            <w:noWrap/>
            <w:vAlign w:val="bottom"/>
            <w:hideMark/>
          </w:tcPr>
          <w:p w14:paraId="020F8C1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297D3C3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0.1048</w:t>
            </w:r>
          </w:p>
        </w:tc>
        <w:tc>
          <w:tcPr>
            <w:tcW w:w="2268" w:type="dxa"/>
            <w:tcBorders>
              <w:top w:val="nil"/>
              <w:left w:val="nil"/>
              <w:bottom w:val="nil"/>
              <w:right w:val="nil"/>
            </w:tcBorders>
            <w:shd w:val="clear" w:color="auto" w:fill="auto"/>
            <w:noWrap/>
            <w:vAlign w:val="bottom"/>
            <w:hideMark/>
          </w:tcPr>
          <w:p w14:paraId="447D0F1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88.4</w:t>
            </w:r>
          </w:p>
        </w:tc>
      </w:tr>
      <w:tr w:rsidR="00D9128E" w:rsidRPr="00980B9F" w14:paraId="4D810CEF"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FFCFE5D"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CO-5</w:t>
            </w:r>
          </w:p>
        </w:tc>
        <w:tc>
          <w:tcPr>
            <w:tcW w:w="993" w:type="dxa"/>
            <w:tcBorders>
              <w:top w:val="nil"/>
              <w:left w:val="nil"/>
              <w:bottom w:val="nil"/>
              <w:right w:val="nil"/>
            </w:tcBorders>
            <w:shd w:val="clear" w:color="auto" w:fill="auto"/>
            <w:noWrap/>
            <w:vAlign w:val="bottom"/>
            <w:hideMark/>
          </w:tcPr>
          <w:p w14:paraId="47B704F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78</w:t>
            </w:r>
          </w:p>
        </w:tc>
        <w:tc>
          <w:tcPr>
            <w:tcW w:w="1410" w:type="dxa"/>
            <w:tcBorders>
              <w:top w:val="nil"/>
              <w:left w:val="nil"/>
              <w:bottom w:val="nil"/>
              <w:right w:val="nil"/>
            </w:tcBorders>
            <w:shd w:val="clear" w:color="auto" w:fill="auto"/>
            <w:noWrap/>
            <w:vAlign w:val="bottom"/>
            <w:hideMark/>
          </w:tcPr>
          <w:p w14:paraId="5347112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0.0849</w:t>
            </w:r>
          </w:p>
        </w:tc>
        <w:tc>
          <w:tcPr>
            <w:tcW w:w="2268" w:type="dxa"/>
            <w:tcBorders>
              <w:top w:val="nil"/>
              <w:left w:val="nil"/>
              <w:bottom w:val="nil"/>
              <w:right w:val="nil"/>
            </w:tcBorders>
            <w:shd w:val="clear" w:color="auto" w:fill="auto"/>
            <w:noWrap/>
            <w:vAlign w:val="bottom"/>
            <w:hideMark/>
          </w:tcPr>
          <w:p w14:paraId="686A350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487320C2"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6AD9F9EC" w14:textId="77777777" w:rsidR="00D9128E" w:rsidRPr="00980B9F" w:rsidRDefault="00D9128E" w:rsidP="00D9128E">
            <w:pPr>
              <w:spacing w:after="0"/>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4755CF6A"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4202F8F0"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0714EA74"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6FB4DFB2" w14:textId="77777777" w:rsidTr="00F879E7">
        <w:trPr>
          <w:trHeight w:val="71"/>
          <w:jc w:val="center"/>
        </w:trPr>
        <w:tc>
          <w:tcPr>
            <w:tcW w:w="2268" w:type="dxa"/>
            <w:tcBorders>
              <w:top w:val="nil"/>
              <w:left w:val="nil"/>
              <w:bottom w:val="nil"/>
              <w:right w:val="nil"/>
            </w:tcBorders>
            <w:shd w:val="clear" w:color="auto" w:fill="auto"/>
            <w:noWrap/>
            <w:vAlign w:val="bottom"/>
            <w:hideMark/>
          </w:tcPr>
          <w:p w14:paraId="73C71D4C"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EPOo</w:t>
            </w:r>
          </w:p>
        </w:tc>
        <w:tc>
          <w:tcPr>
            <w:tcW w:w="993" w:type="dxa"/>
            <w:tcBorders>
              <w:top w:val="nil"/>
              <w:left w:val="nil"/>
              <w:bottom w:val="nil"/>
              <w:right w:val="nil"/>
            </w:tcBorders>
            <w:shd w:val="clear" w:color="auto" w:fill="auto"/>
            <w:noWrap/>
            <w:vAlign w:val="bottom"/>
            <w:hideMark/>
          </w:tcPr>
          <w:p w14:paraId="38BBE86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168</w:t>
            </w:r>
          </w:p>
        </w:tc>
        <w:tc>
          <w:tcPr>
            <w:tcW w:w="1410" w:type="dxa"/>
            <w:tcBorders>
              <w:top w:val="nil"/>
              <w:left w:val="nil"/>
              <w:bottom w:val="nil"/>
              <w:right w:val="nil"/>
            </w:tcBorders>
            <w:shd w:val="clear" w:color="auto" w:fill="auto"/>
            <w:noWrap/>
            <w:vAlign w:val="bottom"/>
            <w:hideMark/>
          </w:tcPr>
          <w:p w14:paraId="1BCF20D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0.1067</w:t>
            </w:r>
          </w:p>
        </w:tc>
        <w:tc>
          <w:tcPr>
            <w:tcW w:w="2268" w:type="dxa"/>
            <w:tcBorders>
              <w:top w:val="nil"/>
              <w:left w:val="nil"/>
              <w:bottom w:val="nil"/>
              <w:right w:val="nil"/>
            </w:tcBorders>
            <w:shd w:val="clear" w:color="auto" w:fill="auto"/>
            <w:noWrap/>
            <w:vAlign w:val="bottom"/>
            <w:hideMark/>
          </w:tcPr>
          <w:p w14:paraId="742CA4A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CDE64BD" w14:textId="77777777" w:rsidTr="00F879E7">
        <w:trPr>
          <w:trHeight w:val="315"/>
          <w:jc w:val="center"/>
        </w:trPr>
        <w:tc>
          <w:tcPr>
            <w:tcW w:w="2268" w:type="dxa"/>
            <w:tcBorders>
              <w:top w:val="nil"/>
              <w:left w:val="nil"/>
              <w:bottom w:val="nil"/>
              <w:right w:val="nil"/>
            </w:tcBorders>
            <w:shd w:val="clear" w:color="auto" w:fill="auto"/>
            <w:noWrap/>
            <w:vAlign w:val="bottom"/>
            <w:hideMark/>
          </w:tcPr>
          <w:p w14:paraId="08F6B1D1"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M</w:t>
            </w:r>
          </w:p>
        </w:tc>
        <w:tc>
          <w:tcPr>
            <w:tcW w:w="993" w:type="dxa"/>
            <w:tcBorders>
              <w:top w:val="nil"/>
              <w:left w:val="nil"/>
              <w:bottom w:val="nil"/>
              <w:right w:val="nil"/>
            </w:tcBorders>
            <w:shd w:val="clear" w:color="auto" w:fill="auto"/>
            <w:noWrap/>
            <w:vAlign w:val="bottom"/>
            <w:hideMark/>
          </w:tcPr>
          <w:p w14:paraId="7B106608"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75</w:t>
            </w:r>
          </w:p>
        </w:tc>
        <w:tc>
          <w:tcPr>
            <w:tcW w:w="1410" w:type="dxa"/>
            <w:tcBorders>
              <w:top w:val="nil"/>
              <w:left w:val="nil"/>
              <w:bottom w:val="nil"/>
              <w:right w:val="nil"/>
            </w:tcBorders>
            <w:shd w:val="clear" w:color="auto" w:fill="auto"/>
            <w:noWrap/>
            <w:vAlign w:val="bottom"/>
            <w:hideMark/>
          </w:tcPr>
          <w:p w14:paraId="3F27293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0.1099</w:t>
            </w:r>
          </w:p>
        </w:tc>
        <w:tc>
          <w:tcPr>
            <w:tcW w:w="2268" w:type="dxa"/>
            <w:tcBorders>
              <w:top w:val="nil"/>
              <w:left w:val="nil"/>
              <w:bottom w:val="nil"/>
              <w:right w:val="nil"/>
            </w:tcBorders>
            <w:shd w:val="clear" w:color="auto" w:fill="auto"/>
            <w:noWrap/>
            <w:vAlign w:val="bottom"/>
            <w:hideMark/>
          </w:tcPr>
          <w:p w14:paraId="5C64AA1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90.4</w:t>
            </w:r>
          </w:p>
        </w:tc>
      </w:tr>
      <w:tr w:rsidR="00D9128E" w:rsidRPr="00980B9F" w14:paraId="26B7AE3C"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ACB707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E135</w:t>
            </w:r>
          </w:p>
        </w:tc>
        <w:tc>
          <w:tcPr>
            <w:tcW w:w="993" w:type="dxa"/>
            <w:tcBorders>
              <w:top w:val="nil"/>
              <w:left w:val="nil"/>
              <w:bottom w:val="nil"/>
              <w:right w:val="nil"/>
            </w:tcBorders>
            <w:shd w:val="clear" w:color="auto" w:fill="auto"/>
            <w:noWrap/>
            <w:vAlign w:val="bottom"/>
            <w:hideMark/>
          </w:tcPr>
          <w:p w14:paraId="09A65BD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69</w:t>
            </w:r>
          </w:p>
        </w:tc>
        <w:tc>
          <w:tcPr>
            <w:tcW w:w="1410" w:type="dxa"/>
            <w:tcBorders>
              <w:top w:val="nil"/>
              <w:left w:val="nil"/>
              <w:bottom w:val="nil"/>
              <w:right w:val="nil"/>
            </w:tcBorders>
            <w:shd w:val="clear" w:color="auto" w:fill="auto"/>
            <w:noWrap/>
            <w:vAlign w:val="bottom"/>
            <w:hideMark/>
          </w:tcPr>
          <w:p w14:paraId="4E1E6CC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0.1085</w:t>
            </w:r>
          </w:p>
        </w:tc>
        <w:tc>
          <w:tcPr>
            <w:tcW w:w="2268" w:type="dxa"/>
            <w:tcBorders>
              <w:top w:val="nil"/>
              <w:left w:val="nil"/>
              <w:bottom w:val="nil"/>
              <w:right w:val="nil"/>
            </w:tcBorders>
            <w:shd w:val="clear" w:color="auto" w:fill="auto"/>
            <w:noWrap/>
            <w:vAlign w:val="bottom"/>
            <w:hideMark/>
          </w:tcPr>
          <w:p w14:paraId="003FB2B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84.2</w:t>
            </w:r>
          </w:p>
        </w:tc>
      </w:tr>
      <w:tr w:rsidR="00D9128E" w:rsidRPr="00980B9F" w14:paraId="6B0DC1B9" w14:textId="77777777" w:rsidTr="00F879E7">
        <w:trPr>
          <w:trHeight w:val="66"/>
          <w:jc w:val="center"/>
        </w:trPr>
        <w:tc>
          <w:tcPr>
            <w:tcW w:w="2268" w:type="dxa"/>
            <w:tcBorders>
              <w:top w:val="nil"/>
              <w:left w:val="nil"/>
              <w:bottom w:val="nil"/>
              <w:right w:val="nil"/>
            </w:tcBorders>
            <w:shd w:val="clear" w:color="auto" w:fill="auto"/>
            <w:noWrap/>
            <w:vAlign w:val="bottom"/>
          </w:tcPr>
          <w:p w14:paraId="6FA3FD86"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PG</w:t>
            </w:r>
          </w:p>
        </w:tc>
        <w:tc>
          <w:tcPr>
            <w:tcW w:w="993" w:type="dxa"/>
            <w:tcBorders>
              <w:top w:val="nil"/>
              <w:left w:val="nil"/>
              <w:bottom w:val="nil"/>
              <w:right w:val="nil"/>
            </w:tcBorders>
            <w:shd w:val="clear" w:color="auto" w:fill="auto"/>
            <w:noWrap/>
            <w:vAlign w:val="bottom"/>
          </w:tcPr>
          <w:p w14:paraId="0142021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tcPr>
          <w:p w14:paraId="5C56919B"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0.0804</w:t>
            </w:r>
          </w:p>
        </w:tc>
        <w:tc>
          <w:tcPr>
            <w:tcW w:w="2268" w:type="dxa"/>
            <w:tcBorders>
              <w:top w:val="nil"/>
              <w:left w:val="nil"/>
              <w:bottom w:val="nil"/>
              <w:right w:val="nil"/>
            </w:tcBorders>
            <w:shd w:val="clear" w:color="auto" w:fill="auto"/>
            <w:noWrap/>
            <w:vAlign w:val="bottom"/>
          </w:tcPr>
          <w:p w14:paraId="001CC71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92.2</w:t>
            </w:r>
          </w:p>
        </w:tc>
      </w:tr>
      <w:tr w:rsidR="00D9128E" w:rsidRPr="00980B9F" w14:paraId="695C84FA"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09CDBB4A"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PDO</w:t>
            </w:r>
          </w:p>
        </w:tc>
        <w:tc>
          <w:tcPr>
            <w:tcW w:w="993" w:type="dxa"/>
            <w:tcBorders>
              <w:top w:val="nil"/>
              <w:left w:val="nil"/>
              <w:bottom w:val="nil"/>
              <w:right w:val="nil"/>
            </w:tcBorders>
            <w:shd w:val="clear" w:color="auto" w:fill="auto"/>
            <w:noWrap/>
            <w:vAlign w:val="bottom"/>
            <w:hideMark/>
          </w:tcPr>
          <w:p w14:paraId="3496C918"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74</w:t>
            </w:r>
          </w:p>
        </w:tc>
        <w:tc>
          <w:tcPr>
            <w:tcW w:w="1410" w:type="dxa"/>
            <w:tcBorders>
              <w:top w:val="nil"/>
              <w:left w:val="nil"/>
              <w:bottom w:val="nil"/>
              <w:right w:val="nil"/>
            </w:tcBorders>
            <w:shd w:val="clear" w:color="auto" w:fill="auto"/>
            <w:noWrap/>
            <w:vAlign w:val="bottom"/>
            <w:hideMark/>
          </w:tcPr>
          <w:p w14:paraId="17AD74F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0.1082</w:t>
            </w:r>
          </w:p>
        </w:tc>
        <w:tc>
          <w:tcPr>
            <w:tcW w:w="2268" w:type="dxa"/>
            <w:tcBorders>
              <w:top w:val="nil"/>
              <w:left w:val="nil"/>
              <w:bottom w:val="nil"/>
              <w:right w:val="nil"/>
            </w:tcBorders>
            <w:shd w:val="clear" w:color="auto" w:fill="auto"/>
            <w:noWrap/>
            <w:vAlign w:val="bottom"/>
            <w:hideMark/>
          </w:tcPr>
          <w:p w14:paraId="746BDF2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90.6</w:t>
            </w:r>
          </w:p>
        </w:tc>
      </w:tr>
      <w:tr w:rsidR="00D9128E" w:rsidRPr="00980B9F" w14:paraId="4BB00770"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D66527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Bio PDO</w:t>
            </w:r>
          </w:p>
        </w:tc>
        <w:tc>
          <w:tcPr>
            <w:tcW w:w="993" w:type="dxa"/>
            <w:tcBorders>
              <w:top w:val="nil"/>
              <w:left w:val="nil"/>
              <w:bottom w:val="nil"/>
              <w:right w:val="nil"/>
            </w:tcBorders>
            <w:shd w:val="clear" w:color="auto" w:fill="auto"/>
            <w:noWrap/>
            <w:vAlign w:val="bottom"/>
            <w:hideMark/>
          </w:tcPr>
          <w:p w14:paraId="7975C14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86</w:t>
            </w:r>
          </w:p>
        </w:tc>
        <w:tc>
          <w:tcPr>
            <w:tcW w:w="1410" w:type="dxa"/>
            <w:tcBorders>
              <w:top w:val="nil"/>
              <w:left w:val="nil"/>
              <w:bottom w:val="nil"/>
              <w:right w:val="nil"/>
            </w:tcBorders>
            <w:shd w:val="clear" w:color="auto" w:fill="auto"/>
            <w:noWrap/>
            <w:vAlign w:val="bottom"/>
            <w:hideMark/>
          </w:tcPr>
          <w:p w14:paraId="3584567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0.1002</w:t>
            </w:r>
          </w:p>
        </w:tc>
        <w:tc>
          <w:tcPr>
            <w:tcW w:w="2268" w:type="dxa"/>
            <w:tcBorders>
              <w:top w:val="nil"/>
              <w:left w:val="nil"/>
              <w:bottom w:val="nil"/>
              <w:right w:val="nil"/>
            </w:tcBorders>
            <w:shd w:val="clear" w:color="auto" w:fill="auto"/>
            <w:noWrap/>
            <w:vAlign w:val="bottom"/>
            <w:hideMark/>
          </w:tcPr>
          <w:p w14:paraId="30F5404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5E7CAB3"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3B1A222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PTDO</w:t>
            </w:r>
          </w:p>
        </w:tc>
        <w:tc>
          <w:tcPr>
            <w:tcW w:w="993" w:type="dxa"/>
            <w:tcBorders>
              <w:top w:val="nil"/>
              <w:left w:val="nil"/>
              <w:bottom w:val="nil"/>
              <w:right w:val="nil"/>
            </w:tcBorders>
            <w:shd w:val="clear" w:color="auto" w:fill="auto"/>
            <w:noWrap/>
            <w:vAlign w:val="bottom"/>
            <w:hideMark/>
          </w:tcPr>
          <w:p w14:paraId="749C795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31E9177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0.1005</w:t>
            </w:r>
          </w:p>
        </w:tc>
        <w:tc>
          <w:tcPr>
            <w:tcW w:w="2268" w:type="dxa"/>
            <w:tcBorders>
              <w:top w:val="nil"/>
              <w:left w:val="nil"/>
              <w:bottom w:val="nil"/>
              <w:right w:val="nil"/>
            </w:tcBorders>
            <w:shd w:val="clear" w:color="auto" w:fill="auto"/>
            <w:noWrap/>
            <w:vAlign w:val="bottom"/>
            <w:hideMark/>
          </w:tcPr>
          <w:p w14:paraId="5636F87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96.2</w:t>
            </w:r>
          </w:p>
        </w:tc>
      </w:tr>
      <w:tr w:rsidR="00D9128E" w:rsidRPr="00980B9F" w14:paraId="4B1BE344"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7857EF1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HDO</w:t>
            </w:r>
          </w:p>
        </w:tc>
        <w:tc>
          <w:tcPr>
            <w:tcW w:w="993" w:type="dxa"/>
            <w:tcBorders>
              <w:top w:val="nil"/>
              <w:left w:val="nil"/>
              <w:bottom w:val="nil"/>
              <w:right w:val="nil"/>
            </w:tcBorders>
            <w:shd w:val="clear" w:color="auto" w:fill="auto"/>
            <w:noWrap/>
            <w:vAlign w:val="bottom"/>
            <w:hideMark/>
          </w:tcPr>
          <w:p w14:paraId="607C6327"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62</w:t>
            </w:r>
          </w:p>
        </w:tc>
        <w:tc>
          <w:tcPr>
            <w:tcW w:w="1410" w:type="dxa"/>
            <w:tcBorders>
              <w:top w:val="nil"/>
              <w:left w:val="nil"/>
              <w:bottom w:val="nil"/>
              <w:right w:val="nil"/>
            </w:tcBorders>
            <w:shd w:val="clear" w:color="auto" w:fill="auto"/>
            <w:noWrap/>
            <w:vAlign w:val="bottom"/>
            <w:hideMark/>
          </w:tcPr>
          <w:p w14:paraId="1EF4BDB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0.1010</w:t>
            </w:r>
          </w:p>
        </w:tc>
        <w:tc>
          <w:tcPr>
            <w:tcW w:w="2268" w:type="dxa"/>
            <w:tcBorders>
              <w:top w:val="nil"/>
              <w:left w:val="nil"/>
              <w:bottom w:val="nil"/>
              <w:right w:val="nil"/>
            </w:tcBorders>
            <w:shd w:val="clear" w:color="auto" w:fill="auto"/>
            <w:noWrap/>
            <w:vAlign w:val="bottom"/>
            <w:hideMark/>
          </w:tcPr>
          <w:p w14:paraId="2E1DDFB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81.3</w:t>
            </w:r>
          </w:p>
        </w:tc>
      </w:tr>
      <w:tr w:rsidR="00D9128E" w:rsidRPr="00980B9F" w14:paraId="24101759"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07EA909B"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Commercial polyol</w:t>
            </w:r>
          </w:p>
        </w:tc>
        <w:tc>
          <w:tcPr>
            <w:tcW w:w="993" w:type="dxa"/>
            <w:tcBorders>
              <w:top w:val="nil"/>
              <w:left w:val="nil"/>
              <w:bottom w:val="nil"/>
              <w:right w:val="nil"/>
            </w:tcBorders>
            <w:shd w:val="clear" w:color="auto" w:fill="auto"/>
            <w:noWrap/>
            <w:vAlign w:val="bottom"/>
            <w:hideMark/>
          </w:tcPr>
          <w:p w14:paraId="4CBA492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67</w:t>
            </w:r>
          </w:p>
        </w:tc>
        <w:tc>
          <w:tcPr>
            <w:tcW w:w="1410" w:type="dxa"/>
            <w:tcBorders>
              <w:top w:val="nil"/>
              <w:left w:val="nil"/>
              <w:bottom w:val="nil"/>
              <w:right w:val="nil"/>
            </w:tcBorders>
            <w:shd w:val="clear" w:color="auto" w:fill="auto"/>
            <w:noWrap/>
            <w:vAlign w:val="bottom"/>
            <w:hideMark/>
          </w:tcPr>
          <w:p w14:paraId="2196060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0.1049</w:t>
            </w:r>
          </w:p>
        </w:tc>
        <w:tc>
          <w:tcPr>
            <w:tcW w:w="2268" w:type="dxa"/>
            <w:tcBorders>
              <w:top w:val="nil"/>
              <w:left w:val="nil"/>
              <w:bottom w:val="nil"/>
              <w:right w:val="nil"/>
            </w:tcBorders>
            <w:shd w:val="clear" w:color="auto" w:fill="auto"/>
            <w:noWrap/>
            <w:vAlign w:val="bottom"/>
            <w:hideMark/>
          </w:tcPr>
          <w:p w14:paraId="1372541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84.6</w:t>
            </w:r>
          </w:p>
        </w:tc>
      </w:tr>
      <w:tr w:rsidR="00D9128E" w:rsidRPr="00980B9F" w14:paraId="1C56A91B"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85C7EE3" w14:textId="77777777" w:rsidR="00D9128E" w:rsidRPr="00980B9F" w:rsidRDefault="00D9128E" w:rsidP="00D9128E">
            <w:pPr>
              <w:spacing w:after="0"/>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2F7C7DDE"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55F5785A"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4516F235"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35056B45"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hideMark/>
          </w:tcPr>
          <w:p w14:paraId="43A24015" w14:textId="6EA77822"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FAME-based polyols</w:t>
            </w:r>
          </w:p>
        </w:tc>
        <w:tc>
          <w:tcPr>
            <w:tcW w:w="993" w:type="dxa"/>
            <w:tcBorders>
              <w:top w:val="nil"/>
              <w:left w:val="nil"/>
              <w:bottom w:val="single" w:sz="4" w:space="0" w:color="auto"/>
              <w:right w:val="nil"/>
            </w:tcBorders>
            <w:shd w:val="clear" w:color="auto" w:fill="auto"/>
            <w:noWrap/>
            <w:vAlign w:val="bottom"/>
            <w:hideMark/>
          </w:tcPr>
          <w:p w14:paraId="42814636"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746F64A0"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70743440"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4748D2F9"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2BF0FED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GB" w:eastAsia="zh-CN"/>
              </w:rPr>
              <w:t>E-FAME</w:t>
            </w:r>
          </w:p>
        </w:tc>
        <w:tc>
          <w:tcPr>
            <w:tcW w:w="993" w:type="dxa"/>
            <w:tcBorders>
              <w:top w:val="nil"/>
              <w:left w:val="nil"/>
              <w:bottom w:val="nil"/>
              <w:right w:val="nil"/>
            </w:tcBorders>
            <w:shd w:val="clear" w:color="auto" w:fill="auto"/>
            <w:noWrap/>
            <w:vAlign w:val="bottom"/>
            <w:hideMark/>
          </w:tcPr>
          <w:p w14:paraId="576CA67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GB" w:eastAsia="zh-CN"/>
              </w:rPr>
              <w:t>85</w:t>
            </w:r>
          </w:p>
        </w:tc>
        <w:tc>
          <w:tcPr>
            <w:tcW w:w="1410" w:type="dxa"/>
            <w:tcBorders>
              <w:top w:val="nil"/>
              <w:left w:val="nil"/>
              <w:bottom w:val="nil"/>
              <w:right w:val="nil"/>
            </w:tcBorders>
            <w:shd w:val="clear" w:color="auto" w:fill="auto"/>
            <w:noWrap/>
            <w:vAlign w:val="bottom"/>
            <w:hideMark/>
          </w:tcPr>
          <w:p w14:paraId="7E3A02F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GB" w:eastAsia="zh-CN"/>
              </w:rPr>
              <w:t>0.1096</w:t>
            </w:r>
          </w:p>
        </w:tc>
        <w:tc>
          <w:tcPr>
            <w:tcW w:w="2268" w:type="dxa"/>
            <w:tcBorders>
              <w:top w:val="nil"/>
              <w:left w:val="nil"/>
              <w:bottom w:val="nil"/>
              <w:right w:val="nil"/>
            </w:tcBorders>
            <w:shd w:val="clear" w:color="auto" w:fill="auto"/>
            <w:noWrap/>
            <w:vAlign w:val="bottom"/>
            <w:hideMark/>
          </w:tcPr>
          <w:p w14:paraId="12905CE7"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197ABC9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FD2781E"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H</w:t>
            </w:r>
          </w:p>
        </w:tc>
        <w:tc>
          <w:tcPr>
            <w:tcW w:w="993" w:type="dxa"/>
            <w:tcBorders>
              <w:top w:val="nil"/>
              <w:left w:val="nil"/>
              <w:bottom w:val="nil"/>
              <w:right w:val="nil"/>
            </w:tcBorders>
            <w:shd w:val="clear" w:color="auto" w:fill="auto"/>
            <w:noWrap/>
            <w:vAlign w:val="bottom"/>
            <w:hideMark/>
          </w:tcPr>
          <w:p w14:paraId="5856F2AF"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90</w:t>
            </w:r>
          </w:p>
        </w:tc>
        <w:tc>
          <w:tcPr>
            <w:tcW w:w="1410" w:type="dxa"/>
            <w:tcBorders>
              <w:top w:val="nil"/>
              <w:left w:val="nil"/>
              <w:bottom w:val="nil"/>
              <w:right w:val="nil"/>
            </w:tcBorders>
            <w:shd w:val="clear" w:color="auto" w:fill="auto"/>
            <w:noWrap/>
            <w:vAlign w:val="bottom"/>
            <w:hideMark/>
          </w:tcPr>
          <w:p w14:paraId="1AA910F9"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0.1001</w:t>
            </w:r>
          </w:p>
        </w:tc>
        <w:tc>
          <w:tcPr>
            <w:tcW w:w="2268" w:type="dxa"/>
            <w:tcBorders>
              <w:top w:val="nil"/>
              <w:left w:val="nil"/>
              <w:bottom w:val="nil"/>
              <w:right w:val="nil"/>
            </w:tcBorders>
            <w:shd w:val="clear" w:color="auto" w:fill="auto"/>
            <w:noWrap/>
            <w:vAlign w:val="bottom"/>
            <w:hideMark/>
          </w:tcPr>
          <w:p w14:paraId="62FCDB6C"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65FED9E6" w14:textId="77777777" w:rsidTr="00F879E7">
        <w:trPr>
          <w:trHeight w:val="66"/>
          <w:jc w:val="center"/>
        </w:trPr>
        <w:tc>
          <w:tcPr>
            <w:tcW w:w="2268" w:type="dxa"/>
            <w:tcBorders>
              <w:top w:val="nil"/>
              <w:left w:val="nil"/>
              <w:bottom w:val="nil"/>
              <w:right w:val="nil"/>
            </w:tcBorders>
            <w:shd w:val="clear" w:color="auto" w:fill="auto"/>
            <w:noWrap/>
            <w:vAlign w:val="bottom"/>
          </w:tcPr>
          <w:p w14:paraId="14A0C398"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PDO</w:t>
            </w:r>
          </w:p>
        </w:tc>
        <w:tc>
          <w:tcPr>
            <w:tcW w:w="993" w:type="dxa"/>
            <w:tcBorders>
              <w:top w:val="nil"/>
              <w:left w:val="nil"/>
              <w:bottom w:val="nil"/>
              <w:right w:val="nil"/>
            </w:tcBorders>
            <w:shd w:val="clear" w:color="auto" w:fill="auto"/>
            <w:noWrap/>
            <w:vAlign w:val="bottom"/>
          </w:tcPr>
          <w:p w14:paraId="767C6B8B"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55</w:t>
            </w:r>
          </w:p>
        </w:tc>
        <w:tc>
          <w:tcPr>
            <w:tcW w:w="1410" w:type="dxa"/>
            <w:tcBorders>
              <w:top w:val="nil"/>
              <w:left w:val="nil"/>
              <w:bottom w:val="nil"/>
              <w:right w:val="nil"/>
            </w:tcBorders>
            <w:shd w:val="clear" w:color="auto" w:fill="auto"/>
            <w:noWrap/>
            <w:vAlign w:val="bottom"/>
          </w:tcPr>
          <w:p w14:paraId="1E369EB9"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0.1006</w:t>
            </w:r>
          </w:p>
        </w:tc>
        <w:tc>
          <w:tcPr>
            <w:tcW w:w="2268" w:type="dxa"/>
            <w:tcBorders>
              <w:top w:val="nil"/>
              <w:left w:val="nil"/>
              <w:bottom w:val="nil"/>
              <w:right w:val="nil"/>
            </w:tcBorders>
            <w:shd w:val="clear" w:color="auto" w:fill="auto"/>
            <w:noWrap/>
            <w:vAlign w:val="bottom"/>
          </w:tcPr>
          <w:p w14:paraId="3073CFFD"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72.4</w:t>
            </w:r>
          </w:p>
        </w:tc>
      </w:tr>
      <w:tr w:rsidR="00D9128E" w:rsidRPr="00980B9F" w14:paraId="1C50C5ED" w14:textId="77777777" w:rsidTr="00F879E7">
        <w:trPr>
          <w:trHeight w:val="66"/>
          <w:jc w:val="center"/>
        </w:trPr>
        <w:tc>
          <w:tcPr>
            <w:tcW w:w="2268" w:type="dxa"/>
            <w:tcBorders>
              <w:top w:val="nil"/>
              <w:left w:val="nil"/>
              <w:bottom w:val="nil"/>
              <w:right w:val="nil"/>
            </w:tcBorders>
            <w:shd w:val="clear" w:color="auto" w:fill="auto"/>
            <w:noWrap/>
            <w:vAlign w:val="bottom"/>
          </w:tcPr>
          <w:p w14:paraId="7CFA4735"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Bio PDO</w:t>
            </w:r>
          </w:p>
        </w:tc>
        <w:tc>
          <w:tcPr>
            <w:tcW w:w="993" w:type="dxa"/>
            <w:tcBorders>
              <w:top w:val="nil"/>
              <w:left w:val="nil"/>
              <w:bottom w:val="nil"/>
              <w:right w:val="nil"/>
            </w:tcBorders>
            <w:shd w:val="clear" w:color="auto" w:fill="auto"/>
            <w:noWrap/>
            <w:vAlign w:val="bottom"/>
          </w:tcPr>
          <w:p w14:paraId="288AC9B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77</w:t>
            </w:r>
          </w:p>
        </w:tc>
        <w:tc>
          <w:tcPr>
            <w:tcW w:w="1410" w:type="dxa"/>
            <w:tcBorders>
              <w:top w:val="nil"/>
              <w:left w:val="nil"/>
              <w:bottom w:val="nil"/>
              <w:right w:val="nil"/>
            </w:tcBorders>
            <w:shd w:val="clear" w:color="auto" w:fill="auto"/>
            <w:noWrap/>
            <w:vAlign w:val="bottom"/>
          </w:tcPr>
          <w:p w14:paraId="6F696F4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0.1010</w:t>
            </w:r>
          </w:p>
        </w:tc>
        <w:tc>
          <w:tcPr>
            <w:tcW w:w="2268" w:type="dxa"/>
            <w:tcBorders>
              <w:top w:val="nil"/>
              <w:left w:val="nil"/>
              <w:bottom w:val="nil"/>
              <w:right w:val="nil"/>
            </w:tcBorders>
            <w:shd w:val="clear" w:color="auto" w:fill="auto"/>
            <w:noWrap/>
            <w:vAlign w:val="bottom"/>
          </w:tcPr>
          <w:p w14:paraId="3ADF1C63"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15026A0A" w14:textId="77777777" w:rsidTr="00F879E7">
        <w:trPr>
          <w:trHeight w:val="66"/>
          <w:jc w:val="center"/>
        </w:trPr>
        <w:tc>
          <w:tcPr>
            <w:tcW w:w="2268" w:type="dxa"/>
            <w:tcBorders>
              <w:top w:val="nil"/>
              <w:left w:val="nil"/>
              <w:bottom w:val="nil"/>
              <w:right w:val="nil"/>
            </w:tcBorders>
            <w:shd w:val="clear" w:color="auto" w:fill="auto"/>
            <w:noWrap/>
            <w:vAlign w:val="bottom"/>
          </w:tcPr>
          <w:p w14:paraId="61C5E545"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BDO</w:t>
            </w:r>
          </w:p>
        </w:tc>
        <w:tc>
          <w:tcPr>
            <w:tcW w:w="993" w:type="dxa"/>
            <w:tcBorders>
              <w:top w:val="nil"/>
              <w:left w:val="nil"/>
              <w:bottom w:val="nil"/>
              <w:right w:val="nil"/>
            </w:tcBorders>
            <w:shd w:val="clear" w:color="auto" w:fill="auto"/>
            <w:noWrap/>
            <w:vAlign w:val="bottom"/>
          </w:tcPr>
          <w:p w14:paraId="7FF96F8A"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58</w:t>
            </w:r>
          </w:p>
        </w:tc>
        <w:tc>
          <w:tcPr>
            <w:tcW w:w="1410" w:type="dxa"/>
            <w:tcBorders>
              <w:top w:val="nil"/>
              <w:left w:val="nil"/>
              <w:bottom w:val="nil"/>
              <w:right w:val="nil"/>
            </w:tcBorders>
            <w:shd w:val="clear" w:color="auto" w:fill="auto"/>
            <w:noWrap/>
            <w:vAlign w:val="bottom"/>
          </w:tcPr>
          <w:p w14:paraId="1F38FB6B"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0.1052</w:t>
            </w:r>
          </w:p>
        </w:tc>
        <w:tc>
          <w:tcPr>
            <w:tcW w:w="2268" w:type="dxa"/>
            <w:tcBorders>
              <w:top w:val="nil"/>
              <w:left w:val="nil"/>
              <w:bottom w:val="nil"/>
              <w:right w:val="nil"/>
            </w:tcBorders>
            <w:shd w:val="clear" w:color="auto" w:fill="auto"/>
            <w:noWrap/>
            <w:vAlign w:val="bottom"/>
          </w:tcPr>
          <w:p w14:paraId="6811FC21"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73.0</w:t>
            </w:r>
          </w:p>
        </w:tc>
      </w:tr>
      <w:tr w:rsidR="00D9128E" w:rsidRPr="00980B9F" w14:paraId="48307689" w14:textId="77777777" w:rsidTr="00F879E7">
        <w:trPr>
          <w:trHeight w:val="66"/>
          <w:jc w:val="center"/>
        </w:trPr>
        <w:tc>
          <w:tcPr>
            <w:tcW w:w="2268" w:type="dxa"/>
            <w:tcBorders>
              <w:top w:val="nil"/>
              <w:left w:val="nil"/>
              <w:right w:val="nil"/>
            </w:tcBorders>
            <w:shd w:val="clear" w:color="auto" w:fill="auto"/>
            <w:noWrap/>
            <w:vAlign w:val="bottom"/>
          </w:tcPr>
          <w:p w14:paraId="18AAB244"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PTDO</w:t>
            </w:r>
          </w:p>
        </w:tc>
        <w:tc>
          <w:tcPr>
            <w:tcW w:w="993" w:type="dxa"/>
            <w:tcBorders>
              <w:top w:val="nil"/>
              <w:left w:val="nil"/>
              <w:right w:val="nil"/>
            </w:tcBorders>
            <w:shd w:val="clear" w:color="auto" w:fill="auto"/>
            <w:noWrap/>
            <w:vAlign w:val="bottom"/>
          </w:tcPr>
          <w:p w14:paraId="678589C2"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55</w:t>
            </w:r>
          </w:p>
        </w:tc>
        <w:tc>
          <w:tcPr>
            <w:tcW w:w="1410" w:type="dxa"/>
            <w:tcBorders>
              <w:top w:val="nil"/>
              <w:left w:val="nil"/>
              <w:right w:val="nil"/>
            </w:tcBorders>
            <w:shd w:val="clear" w:color="auto" w:fill="auto"/>
            <w:noWrap/>
            <w:vAlign w:val="bottom"/>
          </w:tcPr>
          <w:p w14:paraId="0902B404"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0.1019</w:t>
            </w:r>
          </w:p>
        </w:tc>
        <w:tc>
          <w:tcPr>
            <w:tcW w:w="2268" w:type="dxa"/>
            <w:tcBorders>
              <w:top w:val="nil"/>
              <w:left w:val="nil"/>
              <w:right w:val="nil"/>
            </w:tcBorders>
            <w:shd w:val="clear" w:color="auto" w:fill="auto"/>
            <w:noWrap/>
            <w:vAlign w:val="bottom"/>
          </w:tcPr>
          <w:p w14:paraId="47C0BD71"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71.5</w:t>
            </w:r>
          </w:p>
        </w:tc>
      </w:tr>
      <w:tr w:rsidR="00D9128E" w:rsidRPr="00980B9F" w14:paraId="1B95095C"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tcPr>
          <w:p w14:paraId="0640417C"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HDO</w:t>
            </w:r>
          </w:p>
        </w:tc>
        <w:tc>
          <w:tcPr>
            <w:tcW w:w="993" w:type="dxa"/>
            <w:tcBorders>
              <w:top w:val="nil"/>
              <w:left w:val="nil"/>
              <w:bottom w:val="single" w:sz="4" w:space="0" w:color="auto"/>
              <w:right w:val="nil"/>
            </w:tcBorders>
            <w:shd w:val="clear" w:color="auto" w:fill="auto"/>
            <w:noWrap/>
            <w:vAlign w:val="bottom"/>
          </w:tcPr>
          <w:p w14:paraId="6A1CF21C"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56</w:t>
            </w:r>
          </w:p>
        </w:tc>
        <w:tc>
          <w:tcPr>
            <w:tcW w:w="1410" w:type="dxa"/>
            <w:tcBorders>
              <w:top w:val="nil"/>
              <w:left w:val="nil"/>
              <w:bottom w:val="single" w:sz="4" w:space="0" w:color="auto"/>
              <w:right w:val="nil"/>
            </w:tcBorders>
            <w:shd w:val="clear" w:color="auto" w:fill="auto"/>
            <w:noWrap/>
            <w:vAlign w:val="bottom"/>
          </w:tcPr>
          <w:p w14:paraId="7381019F"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0.1005</w:t>
            </w:r>
          </w:p>
        </w:tc>
        <w:tc>
          <w:tcPr>
            <w:tcW w:w="2268" w:type="dxa"/>
            <w:tcBorders>
              <w:top w:val="nil"/>
              <w:left w:val="nil"/>
              <w:bottom w:val="single" w:sz="4" w:space="0" w:color="auto"/>
              <w:right w:val="nil"/>
            </w:tcBorders>
            <w:shd w:val="clear" w:color="auto" w:fill="auto"/>
            <w:noWrap/>
            <w:vAlign w:val="bottom"/>
          </w:tcPr>
          <w:p w14:paraId="37282EB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73.8</w:t>
            </w:r>
          </w:p>
        </w:tc>
      </w:tr>
    </w:tbl>
    <w:p w14:paraId="3F94D0F5" w14:textId="77777777" w:rsidR="00D9128E" w:rsidRPr="00980B9F" w:rsidRDefault="00D9128E" w:rsidP="00D9128E">
      <w:pPr>
        <w:spacing w:after="0"/>
        <w:jc w:val="both"/>
        <w:rPr>
          <w:rFonts w:ascii="Times New Roman" w:hAnsi="Times New Roman"/>
          <w:bCs/>
          <w:iCs/>
          <w:sz w:val="20"/>
          <w:szCs w:val="20"/>
          <w:lang w:val="en-GB" w:eastAsia="zh-CN"/>
        </w:rPr>
      </w:pPr>
    </w:p>
    <w:p w14:paraId="6EBFF6FE" w14:textId="06EA892D" w:rsidR="00D9128E" w:rsidRDefault="00D9128E" w:rsidP="00D9128E">
      <w:pPr>
        <w:spacing w:after="0"/>
        <w:jc w:val="both"/>
        <w:rPr>
          <w:rFonts w:ascii="Times New Roman" w:hAnsi="Times New Roman"/>
          <w:bCs/>
          <w:iCs/>
          <w:sz w:val="20"/>
          <w:szCs w:val="20"/>
          <w:lang w:val="en-GB" w:eastAsia="zh-CN"/>
        </w:rPr>
      </w:pPr>
    </w:p>
    <w:p w14:paraId="6E9D394B" w14:textId="20ABEA0F" w:rsidR="00B26062" w:rsidRDefault="00B26062" w:rsidP="00D9128E">
      <w:pPr>
        <w:spacing w:after="0"/>
        <w:jc w:val="both"/>
        <w:rPr>
          <w:rFonts w:ascii="Times New Roman" w:hAnsi="Times New Roman"/>
          <w:bCs/>
          <w:iCs/>
          <w:sz w:val="20"/>
          <w:szCs w:val="20"/>
          <w:lang w:val="en-GB" w:eastAsia="zh-CN"/>
        </w:rPr>
      </w:pPr>
    </w:p>
    <w:p w14:paraId="49CE8FFA" w14:textId="627AA3F7" w:rsidR="00D9128E" w:rsidRDefault="00D9128E" w:rsidP="00D9128E">
      <w:pPr>
        <w:spacing w:after="0"/>
        <w:jc w:val="center"/>
        <w:rPr>
          <w:rFonts w:ascii="Times New Roman" w:hAnsi="Times New Roman"/>
          <w:noProof/>
          <w:sz w:val="20"/>
          <w:szCs w:val="20"/>
          <w:lang w:bidi="ar-SA"/>
        </w:rPr>
      </w:pPr>
    </w:p>
    <w:p w14:paraId="15F12D9A" w14:textId="77777777" w:rsidR="00480343" w:rsidRPr="00510BA6" w:rsidRDefault="00480343" w:rsidP="00D9128E">
      <w:pPr>
        <w:spacing w:after="0"/>
        <w:jc w:val="center"/>
        <w:rPr>
          <w:rFonts w:ascii="Times New Roman" w:hAnsi="Times New Roman"/>
          <w:noProof/>
          <w:sz w:val="20"/>
          <w:szCs w:val="20"/>
          <w:lang w:bidi="ar-SA"/>
        </w:rPr>
      </w:pPr>
    </w:p>
    <w:p w14:paraId="5C7E1883" w14:textId="77777777" w:rsidR="001129FB" w:rsidRDefault="001129FB" w:rsidP="00510BA6">
      <w:pPr>
        <w:spacing w:after="0"/>
        <w:jc w:val="center"/>
        <w:rPr>
          <w:rFonts w:ascii="Times New Roman" w:hAnsi="Times New Roman"/>
          <w:b/>
          <w:noProof/>
          <w:sz w:val="20"/>
          <w:szCs w:val="20"/>
          <w:lang w:bidi="ar-SA"/>
        </w:rPr>
        <w:sectPr w:rsidR="001129FB" w:rsidSect="00F879E7">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space="708"/>
          <w:docGrid w:linePitch="360"/>
        </w:sectPr>
      </w:pPr>
    </w:p>
    <w:p w14:paraId="183D362C" w14:textId="3BD7AFBF"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CD40565" w14:textId="77777777" w:rsidR="00CE51F9" w:rsidRDefault="00CE51F9" w:rsidP="00CE51F9">
      <w:pPr>
        <w:spacing w:after="0"/>
        <w:jc w:val="both"/>
        <w:rPr>
          <w:rFonts w:ascii="Times New Roman" w:hAnsi="Times New Roman"/>
          <w:bCs/>
          <w:iCs/>
          <w:sz w:val="20"/>
          <w:szCs w:val="20"/>
          <w:lang w:val="en-GB" w:eastAsia="zh-CN"/>
        </w:rPr>
      </w:pPr>
      <w:r w:rsidRPr="00574032">
        <w:rPr>
          <w:rFonts w:ascii="Times New Roman" w:hAnsi="Times New Roman"/>
          <w:sz w:val="20"/>
          <w:szCs w:val="20"/>
          <w:lang w:val="en-GB" w:eastAsia="zh-CN"/>
        </w:rPr>
        <w:t xml:space="preserve">A radiocarbon technique, involving combustion of samples and counting of the resulting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isotope, was successfully developed for the determination of bio-based content of polyols derived from palm oil. The parameters of the Sample Oxidizer, </w:t>
      </w:r>
      <w:r w:rsidRPr="00574032">
        <w:rPr>
          <w:rFonts w:ascii="Times New Roman" w:hAnsi="Times New Roman"/>
          <w:i/>
          <w:sz w:val="20"/>
          <w:szCs w:val="20"/>
          <w:lang w:val="en-GB" w:eastAsia="zh-CN"/>
        </w:rPr>
        <w:t>i.e.</w:t>
      </w:r>
      <w:r w:rsidRPr="00574032">
        <w:rPr>
          <w:rFonts w:ascii="Times New Roman" w:hAnsi="Times New Roman"/>
          <w:sz w:val="20"/>
          <w:szCs w:val="20"/>
          <w:lang w:val="en-GB" w:eastAsia="zh-CN"/>
        </w:rPr>
        <w:t xml:space="preserve"> </w:t>
      </w:r>
      <w:r w:rsidRPr="00574032">
        <w:rPr>
          <w:rFonts w:ascii="Times New Roman" w:hAnsi="Times New Roman"/>
          <w:bCs/>
          <w:iCs/>
          <w:sz w:val="20"/>
          <w:szCs w:val="20"/>
          <w:lang w:val="en-GB" w:eastAsia="zh-CN"/>
        </w:rPr>
        <w:t>amount of sample for combustion, time of combustion and amount of LSC cocktails, were optimized in order to provide sufficient</w:t>
      </w:r>
      <w:r w:rsidRPr="00574032">
        <w:rPr>
          <w:rFonts w:ascii="Times New Roman" w:hAnsi="Times New Roman"/>
          <w:sz w:val="20"/>
          <w:szCs w:val="20"/>
          <w:lang w:val="en-GB" w:eastAsia="zh-CN"/>
        </w:rPr>
        <w:t xml:space="preserve"> amount of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in the form of </w:t>
      </w:r>
      <w:r w:rsidRPr="00574032">
        <w:rPr>
          <w:rFonts w:ascii="Times New Roman" w:hAnsi="Times New Roman"/>
          <w:bCs/>
          <w:iCs/>
          <w:sz w:val="20"/>
          <w:szCs w:val="20"/>
          <w:lang w:val="en-GB" w:eastAsia="zh-CN"/>
        </w:rPr>
        <w:t xml:space="preserve">LSC </w:t>
      </w:r>
      <w:r w:rsidRPr="00574032">
        <w:rPr>
          <w:rFonts w:ascii="Times New Roman" w:hAnsi="Times New Roman"/>
          <w:sz w:val="20"/>
          <w:szCs w:val="20"/>
          <w:lang w:val="en-GB" w:eastAsia="zh-CN"/>
        </w:rPr>
        <w:t xml:space="preserve">cocktails. The cocktails were then analysed using LSC to give the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C radioactivity and subsequently, the bio-based content of the samples.</w:t>
      </w:r>
    </w:p>
    <w:p w14:paraId="4CDFC9B5" w14:textId="77777777" w:rsidR="00CE51F9" w:rsidRDefault="00CE51F9" w:rsidP="00CE51F9">
      <w:pPr>
        <w:spacing w:after="0"/>
        <w:jc w:val="both"/>
        <w:rPr>
          <w:rFonts w:ascii="Times New Roman" w:hAnsi="Times New Roman"/>
          <w:bCs/>
          <w:iCs/>
          <w:sz w:val="20"/>
          <w:szCs w:val="20"/>
          <w:lang w:val="en-GB" w:eastAsia="zh-CN"/>
        </w:rPr>
      </w:pPr>
    </w:p>
    <w:p w14:paraId="404A12AD" w14:textId="77777777" w:rsidR="00CE51F9" w:rsidRDefault="00CE51F9" w:rsidP="00CE51F9">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The optimized method was validated with respect to trueness (recovery and memory tests), linearity (quench curves) and precision.</w:t>
      </w:r>
      <w:r w:rsidRPr="00574032">
        <w:rPr>
          <w:rFonts w:ascii="Times New Roman" w:hAnsi="Times New Roman"/>
          <w:sz w:val="20"/>
          <w:szCs w:val="20"/>
          <w:lang w:val="en-MY" w:eastAsia="zh-CN"/>
        </w:rPr>
        <w:t xml:space="preserve"> Recovery tests using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standard verified the performance of Sample Oxidizer and Liquid Scintillation Counter. The quench curve for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was constructed to take into account chemical quenching effects. </w:t>
      </w:r>
      <w:r w:rsidRPr="00574032">
        <w:rPr>
          <w:rFonts w:ascii="Times New Roman" w:hAnsi="Times New Roman"/>
          <w:bCs/>
          <w:iCs/>
          <w:sz w:val="20"/>
          <w:szCs w:val="20"/>
          <w:lang w:val="en-GB" w:eastAsia="zh-CN"/>
        </w:rPr>
        <w:t xml:space="preserve">A number of vegetable oils and polyols derived from the vegetable oils were analysed using the validated method to determine their bio-based content. All of the vegetable oils have 100%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C, which signifies an entirely modern carbon (biomass) source. Polyols derived from castor oil, palm oil and FAME had lower bio-based content compared to their respective oils. This is due to the addition of reactants, which are from fossil carbon source.</w:t>
      </w:r>
      <w:r>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 xml:space="preserve">This method, based on LSC analysis of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C cocktails, can be used as a tool to determine the bio-based content of palm-based polyols. It has been proven to be able to provide reliable results and is comparable to the more expensive AMS technique.</w:t>
      </w:r>
    </w:p>
    <w:p w14:paraId="74BB3C3A" w14:textId="77777777" w:rsidR="00CE51F9" w:rsidRDefault="00CE51F9" w:rsidP="00CE51F9">
      <w:pPr>
        <w:spacing w:after="0"/>
        <w:jc w:val="center"/>
        <w:rPr>
          <w:rFonts w:ascii="Times New Roman" w:hAnsi="Times New Roman"/>
          <w:bCs/>
          <w:iCs/>
          <w:sz w:val="20"/>
          <w:szCs w:val="20"/>
          <w:lang w:val="en-GB" w:eastAsia="zh-CN"/>
        </w:rPr>
      </w:pPr>
    </w:p>
    <w:p w14:paraId="4E0284EA" w14:textId="77777777" w:rsidR="00CE51F9" w:rsidRDefault="00CE51F9" w:rsidP="00CE51F9">
      <w:pPr>
        <w:spacing w:after="0"/>
        <w:jc w:val="center"/>
        <w:rPr>
          <w:rFonts w:ascii="Times New Roman" w:hAnsi="Times New Roman"/>
          <w:bCs/>
          <w:iCs/>
          <w:sz w:val="20"/>
          <w:szCs w:val="20"/>
          <w:lang w:val="en-GB" w:eastAsia="zh-CN"/>
        </w:rPr>
      </w:pPr>
      <w:r w:rsidRPr="00574032">
        <w:rPr>
          <w:rFonts w:ascii="Times New Roman" w:eastAsia="Calibri" w:hAnsi="Times New Roman"/>
          <w:b/>
          <w:sz w:val="20"/>
          <w:szCs w:val="20"/>
          <w:lang w:val="en-GB"/>
        </w:rPr>
        <w:t>Acknowledgements</w:t>
      </w:r>
    </w:p>
    <w:p w14:paraId="5D215AFF" w14:textId="32AE75D7" w:rsidR="006768E9" w:rsidRPr="00510BA6" w:rsidRDefault="00CE51F9" w:rsidP="00CE51F9">
      <w:pPr>
        <w:spacing w:after="0"/>
        <w:jc w:val="both"/>
        <w:rPr>
          <w:rFonts w:ascii="Times New Roman" w:hAnsi="Times New Roman"/>
          <w:sz w:val="20"/>
          <w:szCs w:val="20"/>
          <w:lang w:eastAsia="zh-CN"/>
        </w:rPr>
      </w:pPr>
      <w:r w:rsidRPr="00574032">
        <w:rPr>
          <w:rFonts w:ascii="Times New Roman" w:hAnsi="Times New Roman"/>
          <w:sz w:val="20"/>
          <w:szCs w:val="20"/>
          <w:lang w:eastAsia="zh-CN"/>
        </w:rPr>
        <w:t>The authors would like to thank MPOB, especially the Director-General of MPOB and the Director of Advanced Oleochemical Technology Division of MPOB, for the support to conduct this research. We would also like to acknowledge Makmor Abd Wahab, Zamiah Hasman, Abd Halim Abd Jalal and the Polymer and Composite Research Group of MPOB for their technical assistance in completing this project.</w:t>
      </w:r>
    </w:p>
    <w:p w14:paraId="0CCAC372" w14:textId="63451B2A" w:rsidR="001129FB" w:rsidRDefault="001129FB" w:rsidP="001129FB">
      <w:pPr>
        <w:spacing w:after="0"/>
        <w:rPr>
          <w:rFonts w:ascii="Times New Roman" w:hAnsi="Times New Roman"/>
          <w:noProof/>
          <w:sz w:val="20"/>
          <w:szCs w:val="20"/>
          <w:lang w:bidi="ar-SA"/>
        </w:rPr>
      </w:pPr>
    </w:p>
    <w:p w14:paraId="6D3003FB" w14:textId="66159956" w:rsidR="001129FB" w:rsidRDefault="001129FB" w:rsidP="001129FB">
      <w:pPr>
        <w:spacing w:after="0"/>
        <w:rPr>
          <w:rFonts w:ascii="Times New Roman" w:hAnsi="Times New Roman"/>
          <w:noProof/>
          <w:sz w:val="20"/>
          <w:szCs w:val="20"/>
          <w:lang w:bidi="ar-SA"/>
        </w:rPr>
      </w:pPr>
    </w:p>
    <w:p w14:paraId="53375FE7" w14:textId="77777777" w:rsidR="001129FB" w:rsidRPr="00510BA6" w:rsidRDefault="001129FB" w:rsidP="001129F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E670E2B"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fldChar w:fldCharType="begin"/>
      </w:r>
      <w:r w:rsidRPr="00F879E7">
        <w:rPr>
          <w:rFonts w:ascii="Times New Roman" w:hAnsi="Times New Roman"/>
          <w:sz w:val="20"/>
          <w:szCs w:val="20"/>
        </w:rPr>
        <w:instrText xml:space="preserve"> ADDIN EN.REFLIST </w:instrText>
      </w:r>
      <w:r w:rsidRPr="00F879E7">
        <w:rPr>
          <w:rFonts w:ascii="Times New Roman" w:hAnsi="Times New Roman"/>
          <w:sz w:val="20"/>
          <w:szCs w:val="20"/>
        </w:rPr>
        <w:fldChar w:fldCharType="separate"/>
      </w:r>
      <w:r w:rsidRPr="00F879E7">
        <w:rPr>
          <w:rFonts w:ascii="Times New Roman" w:hAnsi="Times New Roman"/>
          <w:sz w:val="20"/>
          <w:szCs w:val="20"/>
        </w:rPr>
        <w:t>Ionescu, M. (2005). Chemistry and technology of polyols for polyurethanes. Rapra Technology Limited, Shawbury, Shrewsbury, Shrosphire, SY4 4NR (United Kingdom).</w:t>
      </w:r>
    </w:p>
    <w:p w14:paraId="229734A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Kunioka, M. (2010). Possible incorporation of petroleum-based carbons in biochemicals produced by bioprocess--biomass carbon ratio measured by accelerator mass spectrometry. </w:t>
      </w:r>
      <w:r w:rsidRPr="00F879E7">
        <w:rPr>
          <w:rFonts w:ascii="Times New Roman" w:hAnsi="Times New Roman"/>
          <w:i/>
          <w:sz w:val="20"/>
          <w:szCs w:val="20"/>
        </w:rPr>
        <w:t>Applied Microbiology Biotechnology,</w:t>
      </w:r>
      <w:r w:rsidRPr="00F879E7">
        <w:rPr>
          <w:rFonts w:ascii="Times New Roman" w:hAnsi="Times New Roman"/>
          <w:sz w:val="20"/>
          <w:szCs w:val="20"/>
        </w:rPr>
        <w:t xml:space="preserve"> 87: 491-497.</w:t>
      </w:r>
    </w:p>
    <w:p w14:paraId="1DCBCAE1"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Narine, S. S., Kong, X., Bouzidi, L. and Sporns, P. (2007). Physical properties of polyurethanes produced from polyols from seed oils: I. Elastomers.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84: 55-63.</w:t>
      </w:r>
    </w:p>
    <w:p w14:paraId="2E32D5E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Caillol, S., Desroches, M., Boutevin, G., Loubat, C., Auvergne, R. and Boutevin, B. (2012). Synthesis of new polyester polyols from epoxidized vegetable oils and biobased acids. </w:t>
      </w:r>
      <w:r w:rsidRPr="00F879E7">
        <w:rPr>
          <w:rFonts w:ascii="Times New Roman" w:hAnsi="Times New Roman"/>
          <w:i/>
          <w:sz w:val="20"/>
          <w:szCs w:val="20"/>
        </w:rPr>
        <w:t>European Journal of Lipid Science and Technology,</w:t>
      </w:r>
      <w:r w:rsidRPr="00F879E7">
        <w:rPr>
          <w:rFonts w:ascii="Times New Roman" w:hAnsi="Times New Roman"/>
          <w:sz w:val="20"/>
          <w:szCs w:val="20"/>
        </w:rPr>
        <w:t xml:space="preserve"> 114: 1447-1459.</w:t>
      </w:r>
    </w:p>
    <w:p w14:paraId="6F44F9A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Tuan Ismail, T. N. M., Ibrahim, N. A., Mohd Noor, M. A., Hoong, S. S., Poo Palam, K. D., Yeong, S. K., Idris, Z., Schiffman, C. M., Sendijarevic, I., Abd Malek, E., Zainuddin, N. and Sendijarevic, V. (2018). Oligomeric composition of polyols from fatty acid methyl ester: The effect of ring-opening reactants of epoxide groups.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95: 509-523.</w:t>
      </w:r>
    </w:p>
    <w:p w14:paraId="442A4360" w14:textId="606F2284"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Sendijarevic, V., Hoong, S. S., Sendijarevic, I., Tuan Ismail, T. N. M., Hanzah, N. A., Mohd Noor, N., Poo Palam, K. D., Ghazali, R. and Abu Hassan, H. (2016). Molecular weight determination of palm olein polyols by gel permeation chromatography using polyether polyols calibration.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93: 721-730.</w:t>
      </w:r>
    </w:p>
    <w:p w14:paraId="228C1D4A" w14:textId="45C6141D" w:rsidR="00480343" w:rsidRDefault="00480343" w:rsidP="00480343">
      <w:pPr>
        <w:spacing w:after="0"/>
        <w:jc w:val="both"/>
        <w:rPr>
          <w:rFonts w:ascii="Times New Roman" w:hAnsi="Times New Roman"/>
          <w:sz w:val="20"/>
          <w:szCs w:val="20"/>
        </w:rPr>
      </w:pPr>
    </w:p>
    <w:p w14:paraId="5AFE6AAF" w14:textId="6D4FA6B8" w:rsidR="00480343" w:rsidRDefault="00480343" w:rsidP="00480343">
      <w:pPr>
        <w:spacing w:after="0"/>
        <w:jc w:val="both"/>
        <w:rPr>
          <w:rFonts w:ascii="Times New Roman" w:hAnsi="Times New Roman"/>
          <w:sz w:val="20"/>
          <w:szCs w:val="20"/>
        </w:rPr>
      </w:pPr>
    </w:p>
    <w:p w14:paraId="23BBD74F" w14:textId="783FABEA" w:rsidR="00480343" w:rsidRDefault="00480343" w:rsidP="00480343">
      <w:pPr>
        <w:spacing w:after="0"/>
        <w:jc w:val="both"/>
        <w:rPr>
          <w:rFonts w:ascii="Times New Roman" w:hAnsi="Times New Roman"/>
          <w:sz w:val="20"/>
          <w:szCs w:val="20"/>
        </w:rPr>
      </w:pPr>
    </w:p>
    <w:p w14:paraId="3DB33561" w14:textId="1F13B05E" w:rsidR="00480343" w:rsidRDefault="00480343" w:rsidP="00480343">
      <w:pPr>
        <w:spacing w:after="0"/>
        <w:jc w:val="both"/>
        <w:rPr>
          <w:rFonts w:ascii="Times New Roman" w:hAnsi="Times New Roman"/>
          <w:sz w:val="20"/>
          <w:szCs w:val="20"/>
        </w:rPr>
      </w:pPr>
    </w:p>
    <w:p w14:paraId="5161CFBA" w14:textId="306AFAA6" w:rsidR="00480343" w:rsidRDefault="00480343" w:rsidP="00480343">
      <w:pPr>
        <w:spacing w:after="0"/>
        <w:jc w:val="both"/>
        <w:rPr>
          <w:rFonts w:ascii="Times New Roman" w:hAnsi="Times New Roman"/>
          <w:sz w:val="20"/>
          <w:szCs w:val="20"/>
        </w:rPr>
      </w:pPr>
    </w:p>
    <w:p w14:paraId="131E713F" w14:textId="77777777" w:rsidR="00480343" w:rsidRPr="00480343" w:rsidRDefault="00480343" w:rsidP="00480343">
      <w:pPr>
        <w:spacing w:after="0"/>
        <w:jc w:val="both"/>
        <w:rPr>
          <w:rFonts w:ascii="Times New Roman" w:hAnsi="Times New Roman"/>
          <w:sz w:val="20"/>
          <w:szCs w:val="20"/>
        </w:rPr>
      </w:pPr>
    </w:p>
    <w:p w14:paraId="24678D4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lastRenderedPageBreak/>
        <w:t xml:space="preserve">Tuan Ismail, T. N. M., Ibrahim, N. A., Mohd Noor, M. A., Hoong, S. S., Poo Palam, K. D., Yeong, S. K., Idris, Z., Sendijarevic, C. M. S. I., Abd Malek, E., Zainuddin, N. and Sendijarevic, V. (2018). Oligomeric composition of palm olein-based polyols: The effect of nucleophiles. </w:t>
      </w:r>
      <w:r w:rsidRPr="00F879E7">
        <w:rPr>
          <w:rFonts w:ascii="Times New Roman" w:hAnsi="Times New Roman"/>
          <w:i/>
          <w:sz w:val="20"/>
          <w:szCs w:val="20"/>
        </w:rPr>
        <w:t>European Journal of Lipid Science and Technology,</w:t>
      </w:r>
      <w:r w:rsidRPr="00F879E7">
        <w:rPr>
          <w:rFonts w:ascii="Times New Roman" w:hAnsi="Times New Roman"/>
          <w:sz w:val="20"/>
          <w:szCs w:val="20"/>
        </w:rPr>
        <w:t xml:space="preserve"> 120: 1700354.</w:t>
      </w:r>
    </w:p>
    <w:p w14:paraId="33A37047"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Tuan Ismail, T. N. M., Sendijarevic, V., Schiffman, C. M., Sendijarevic, I., Ghazali, R. and Idris, Z. (2017). Molecular weight distribution of low molecular weight polyols derived from fatty acid methyl esters.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94: 387-395.</w:t>
      </w:r>
    </w:p>
    <w:p w14:paraId="20170FF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Ain, N. H., Tuan Noor, M. T. I., Mohd Noor, M. A., Srihanum, A., Devi, K. P. P., Mohd, N. S., Mohdnoor, N., Kian, Y. S., Hassan, H. A., Campara, I., Schiffman, C. M., Pietrzyk, K., Sendijarevic, V. and Sendijarevic, I. (2016). Structure–property performance of natural palm olein polyol in the viscoelastic polyurethane foam. </w:t>
      </w:r>
      <w:r w:rsidRPr="00F879E7">
        <w:rPr>
          <w:rFonts w:ascii="Times New Roman" w:hAnsi="Times New Roman"/>
          <w:i/>
          <w:sz w:val="20"/>
          <w:szCs w:val="20"/>
        </w:rPr>
        <w:t>Journal of Cellular Plastics,</w:t>
      </w:r>
      <w:r w:rsidRPr="00F879E7">
        <w:rPr>
          <w:rFonts w:ascii="Times New Roman" w:hAnsi="Times New Roman"/>
          <w:sz w:val="20"/>
          <w:szCs w:val="20"/>
        </w:rPr>
        <w:t xml:space="preserve"> 53: 65-81.</w:t>
      </w:r>
    </w:p>
    <w:p w14:paraId="2FCC24B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Prociak, A., Malewska, E., Kurańska, M., Bąk, S. and Budny, P. (2018). Flexible polyurethane foams synthesized with palm oil-based bio-polyols obtained with the use of different oxirane ring opener. </w:t>
      </w:r>
      <w:r w:rsidRPr="00F879E7">
        <w:rPr>
          <w:rFonts w:ascii="Times New Roman" w:hAnsi="Times New Roman"/>
          <w:i/>
          <w:sz w:val="20"/>
          <w:szCs w:val="20"/>
        </w:rPr>
        <w:t>Industrial Crops and Products,</w:t>
      </w:r>
      <w:r w:rsidRPr="00F879E7">
        <w:rPr>
          <w:rFonts w:ascii="Times New Roman" w:hAnsi="Times New Roman"/>
          <w:sz w:val="20"/>
          <w:szCs w:val="20"/>
        </w:rPr>
        <w:t xml:space="preserve"> 115: 69-77.</w:t>
      </w:r>
    </w:p>
    <w:p w14:paraId="45AA2E5E"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Hanzah, N. A., Ghazali, R., Adnan, S., Poo Palam, K. D., Tuan Ismail, T. N. M. and Abu Hassan, H. (2015). Determination of volatile organic compounds in palm-based polyurethane foams using static headspace gas chromatography mass spectrometer. </w:t>
      </w:r>
      <w:r w:rsidRPr="00F879E7">
        <w:rPr>
          <w:rFonts w:ascii="Times New Roman" w:hAnsi="Times New Roman"/>
          <w:i/>
          <w:sz w:val="20"/>
          <w:szCs w:val="20"/>
        </w:rPr>
        <w:t>Journal of Oil Palm Research,</w:t>
      </w:r>
      <w:r w:rsidRPr="00F879E7">
        <w:rPr>
          <w:rFonts w:ascii="Times New Roman" w:hAnsi="Times New Roman"/>
          <w:sz w:val="20"/>
          <w:szCs w:val="20"/>
        </w:rPr>
        <w:t xml:space="preserve"> 27: 273-281.</w:t>
      </w:r>
    </w:p>
    <w:p w14:paraId="2CC19F7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Nurul ‘Ain, H., Maznee, T. I. T. N., Norhayati, M. N., Noor, M. A. M., Adnan, S., Devi, P. P. K., Norhisham, S. M., Yeong, S. K., Hazimah, A. H., Campara, I., Sendijarevic, V. and Sendijarevic, I. (2016). Natural palm olein polyol as a replacement for polyether polyols in viscoelastic polyurethane foam.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93: 983-993.</w:t>
      </w:r>
    </w:p>
    <w:p w14:paraId="1B0F97D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Kunioka, M., Ninomiya, F. and Funabashi, M. (2007). Biobased contents of organic fillers and polycaprolactone composites with cellulose fillers measured by accelerator mass spectrometry based </w:t>
      </w:r>
      <w:r w:rsidRPr="00F879E7">
        <w:rPr>
          <w:rFonts w:ascii="Times New Roman" w:hAnsi="Times New Roman"/>
          <w:sz w:val="20"/>
          <w:szCs w:val="20"/>
        </w:rPr>
        <w:t xml:space="preserve">on ASTM D6866. </w:t>
      </w:r>
      <w:r w:rsidRPr="00F879E7">
        <w:rPr>
          <w:rFonts w:ascii="Times New Roman" w:hAnsi="Times New Roman"/>
          <w:i/>
          <w:sz w:val="20"/>
          <w:szCs w:val="20"/>
        </w:rPr>
        <w:t>Journal of Polymers and the Environment,</w:t>
      </w:r>
      <w:r w:rsidRPr="00F879E7">
        <w:rPr>
          <w:rFonts w:ascii="Times New Roman" w:hAnsi="Times New Roman"/>
          <w:sz w:val="20"/>
          <w:szCs w:val="20"/>
        </w:rPr>
        <w:t xml:space="preserve"> 15: 281-287.</w:t>
      </w:r>
    </w:p>
    <w:p w14:paraId="4040AD0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Norton, G. A. and Devlin, S. L. (2006). Determining the modern carbon content of biobased products using radiocarbon analysis. </w:t>
      </w:r>
      <w:r w:rsidRPr="00F879E7">
        <w:rPr>
          <w:rFonts w:ascii="Times New Roman" w:hAnsi="Times New Roman"/>
          <w:i/>
          <w:sz w:val="20"/>
          <w:szCs w:val="20"/>
        </w:rPr>
        <w:t>Bioresource Technology,</w:t>
      </w:r>
      <w:r w:rsidRPr="00F879E7">
        <w:rPr>
          <w:rFonts w:ascii="Times New Roman" w:hAnsi="Times New Roman"/>
          <w:sz w:val="20"/>
          <w:szCs w:val="20"/>
        </w:rPr>
        <w:t xml:space="preserve"> 97: 2084-2090.</w:t>
      </w:r>
    </w:p>
    <w:p w14:paraId="0C3ADFE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Culp, R., Noakes, J., Cherkinsky, A., Prasad, G. R. and Dvoracek, D. (2013). A decade of AMS at the University of Georgia. </w:t>
      </w:r>
      <w:r w:rsidRPr="00F879E7">
        <w:rPr>
          <w:rFonts w:ascii="Times New Roman" w:hAnsi="Times New Roman"/>
          <w:iCs/>
          <w:sz w:val="20"/>
          <w:szCs w:val="20"/>
        </w:rPr>
        <w:t>Nuclear instruments and methods in physics research section B: Beam interactions with materials and atoms</w:t>
      </w:r>
      <w:r w:rsidRPr="00F879E7">
        <w:rPr>
          <w:rFonts w:ascii="Times New Roman" w:hAnsi="Times New Roman"/>
          <w:sz w:val="20"/>
          <w:szCs w:val="20"/>
        </w:rPr>
        <w:t xml:space="preserve"> 294: pp. 46-49.</w:t>
      </w:r>
    </w:p>
    <w:p w14:paraId="49AC6C25"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Jou, R., Macario, K., Carvalho, C., Dias, R., Brum, M., Cunha, F., Ferreira, C. and Chanca, I. (2015). Biogenic fraction in the synthesis of polyethylene terephthalate. </w:t>
      </w:r>
      <w:r w:rsidRPr="00F879E7">
        <w:rPr>
          <w:rFonts w:ascii="Times New Roman" w:hAnsi="Times New Roman"/>
          <w:i/>
          <w:sz w:val="20"/>
          <w:szCs w:val="20"/>
        </w:rPr>
        <w:t>International Journal of Mass Spectrometry,</w:t>
      </w:r>
      <w:r w:rsidRPr="00F879E7">
        <w:rPr>
          <w:rFonts w:ascii="Times New Roman" w:hAnsi="Times New Roman"/>
          <w:sz w:val="20"/>
          <w:szCs w:val="20"/>
        </w:rPr>
        <w:t xml:space="preserve"> 388: 65-68.</w:t>
      </w:r>
    </w:p>
    <w:p w14:paraId="76BDAF5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Nagakawa, Y., Yunoki, S. and Saito, M. (2014). Liquid scintillation counting of solid-state plastic pellets to distinguish bio-based polyethylene. </w:t>
      </w:r>
      <w:r w:rsidRPr="00F879E7">
        <w:rPr>
          <w:rFonts w:ascii="Times New Roman" w:hAnsi="Times New Roman"/>
          <w:i/>
          <w:sz w:val="20"/>
          <w:szCs w:val="20"/>
        </w:rPr>
        <w:t>Polymer Testing,</w:t>
      </w:r>
      <w:r w:rsidRPr="00F879E7">
        <w:rPr>
          <w:rFonts w:ascii="Times New Roman" w:hAnsi="Times New Roman"/>
          <w:sz w:val="20"/>
          <w:szCs w:val="20"/>
        </w:rPr>
        <w:t xml:space="preserve"> 33: 13-15.</w:t>
      </w:r>
    </w:p>
    <w:p w14:paraId="65FD8083"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Norton, G. A., Hood, D. G. and Devlin, S. L. (2007). Accuracy of radioanalytical procedures used to determine the biobased content of manufactured products. </w:t>
      </w:r>
      <w:r w:rsidRPr="00F879E7">
        <w:rPr>
          <w:rFonts w:ascii="Times New Roman" w:hAnsi="Times New Roman"/>
          <w:i/>
          <w:sz w:val="20"/>
          <w:szCs w:val="20"/>
        </w:rPr>
        <w:t>Bioresource Technology,</w:t>
      </w:r>
      <w:r w:rsidRPr="00F879E7">
        <w:rPr>
          <w:rFonts w:ascii="Times New Roman" w:hAnsi="Times New Roman"/>
          <w:sz w:val="20"/>
          <w:szCs w:val="20"/>
        </w:rPr>
        <w:t xml:space="preserve"> 98: 1052-1056.</w:t>
      </w:r>
    </w:p>
    <w:p w14:paraId="49381A00"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Dijs, I. J., Van der Windt, E., Kaihola, L. and van der Borg, K. (2006). Quantitative determination by </w:t>
      </w:r>
      <w:r w:rsidRPr="00F879E7">
        <w:rPr>
          <w:rFonts w:ascii="Times New Roman" w:hAnsi="Times New Roman"/>
          <w:sz w:val="20"/>
          <w:szCs w:val="20"/>
          <w:vertAlign w:val="superscript"/>
        </w:rPr>
        <w:t>14</w:t>
      </w:r>
      <w:r w:rsidRPr="00F879E7">
        <w:rPr>
          <w:rFonts w:ascii="Times New Roman" w:hAnsi="Times New Roman"/>
          <w:sz w:val="20"/>
          <w:szCs w:val="20"/>
        </w:rPr>
        <w:t xml:space="preserve">C analysis of the biological component in fuels. </w:t>
      </w:r>
      <w:r w:rsidRPr="00F879E7">
        <w:rPr>
          <w:rFonts w:ascii="Times New Roman" w:hAnsi="Times New Roman"/>
          <w:i/>
          <w:sz w:val="20"/>
          <w:szCs w:val="20"/>
        </w:rPr>
        <w:t>Radiocarbon,</w:t>
      </w:r>
      <w:r w:rsidRPr="00F879E7">
        <w:rPr>
          <w:rFonts w:ascii="Times New Roman" w:hAnsi="Times New Roman"/>
          <w:sz w:val="20"/>
          <w:szCs w:val="20"/>
        </w:rPr>
        <w:t xml:space="preserve"> 48: 315-323.</w:t>
      </w:r>
    </w:p>
    <w:p w14:paraId="084A47DF"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Edler, R. and Kaihola, L. (2010). Differentiation between fossil and biofuels by liquid scintillation beta spectrometry-direct method. </w:t>
      </w:r>
      <w:r w:rsidRPr="00F879E7">
        <w:rPr>
          <w:rFonts w:ascii="Times New Roman" w:hAnsi="Times New Roman"/>
          <w:i/>
          <w:sz w:val="20"/>
          <w:szCs w:val="20"/>
        </w:rPr>
        <w:t>Nukleonika,</w:t>
      </w:r>
      <w:r w:rsidRPr="00F879E7">
        <w:rPr>
          <w:rFonts w:ascii="Times New Roman" w:hAnsi="Times New Roman"/>
          <w:sz w:val="20"/>
          <w:szCs w:val="20"/>
        </w:rPr>
        <w:t xml:space="preserve"> 55: 127-131.</w:t>
      </w:r>
    </w:p>
    <w:p w14:paraId="24B3EFA2"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Edler, R. (2008). The use of liquid scintillation counting technology for the determination of biogenic materials. </w:t>
      </w:r>
      <w:r w:rsidRPr="00F879E7">
        <w:rPr>
          <w:rFonts w:ascii="Times New Roman" w:hAnsi="Times New Roman"/>
          <w:i/>
          <w:sz w:val="20"/>
          <w:szCs w:val="20"/>
        </w:rPr>
        <w:t>LSC</w:t>
      </w:r>
      <w:r w:rsidRPr="00F879E7">
        <w:rPr>
          <w:rFonts w:ascii="Times New Roman" w:hAnsi="Times New Roman"/>
          <w:sz w:val="20"/>
          <w:szCs w:val="20"/>
        </w:rPr>
        <w:t>: 261-267.</w:t>
      </w:r>
    </w:p>
    <w:p w14:paraId="25FCE77B" w14:textId="11EB478B"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Krištof, R. and Logar, J. K. (2013). Direct LSC method for measurements of biofuels in fuel. </w:t>
      </w:r>
      <w:r w:rsidRPr="00F879E7">
        <w:rPr>
          <w:rFonts w:ascii="Times New Roman" w:hAnsi="Times New Roman"/>
          <w:i/>
          <w:sz w:val="20"/>
          <w:szCs w:val="20"/>
        </w:rPr>
        <w:t>Talanta,</w:t>
      </w:r>
      <w:r w:rsidRPr="00F879E7">
        <w:rPr>
          <w:rFonts w:ascii="Times New Roman" w:hAnsi="Times New Roman"/>
          <w:sz w:val="20"/>
          <w:szCs w:val="20"/>
        </w:rPr>
        <w:t xml:space="preserve"> 111: 183-188.</w:t>
      </w:r>
    </w:p>
    <w:p w14:paraId="0A24682E" w14:textId="4416DE46" w:rsidR="00480343" w:rsidRDefault="00480343" w:rsidP="00480343">
      <w:pPr>
        <w:spacing w:after="0"/>
        <w:jc w:val="both"/>
        <w:rPr>
          <w:rFonts w:ascii="Times New Roman" w:hAnsi="Times New Roman"/>
          <w:sz w:val="20"/>
          <w:szCs w:val="20"/>
        </w:rPr>
      </w:pPr>
    </w:p>
    <w:p w14:paraId="3C59FC12" w14:textId="632813CE" w:rsidR="00480343" w:rsidRDefault="00480343" w:rsidP="00480343">
      <w:pPr>
        <w:spacing w:after="0"/>
        <w:jc w:val="both"/>
        <w:rPr>
          <w:rFonts w:ascii="Times New Roman" w:hAnsi="Times New Roman"/>
          <w:sz w:val="20"/>
          <w:szCs w:val="20"/>
        </w:rPr>
      </w:pPr>
    </w:p>
    <w:p w14:paraId="138CBACD" w14:textId="18E712B5" w:rsidR="00480343" w:rsidRDefault="00480343" w:rsidP="00480343">
      <w:pPr>
        <w:spacing w:after="0"/>
        <w:jc w:val="both"/>
        <w:rPr>
          <w:rFonts w:ascii="Times New Roman" w:hAnsi="Times New Roman"/>
          <w:sz w:val="20"/>
          <w:szCs w:val="20"/>
        </w:rPr>
      </w:pPr>
    </w:p>
    <w:p w14:paraId="73C56120" w14:textId="762BEB61" w:rsidR="00480343" w:rsidRDefault="00480343" w:rsidP="00480343">
      <w:pPr>
        <w:spacing w:after="0"/>
        <w:jc w:val="both"/>
        <w:rPr>
          <w:rFonts w:ascii="Times New Roman" w:hAnsi="Times New Roman"/>
          <w:sz w:val="20"/>
          <w:szCs w:val="20"/>
        </w:rPr>
      </w:pPr>
    </w:p>
    <w:p w14:paraId="0DF1D1AA" w14:textId="77777777" w:rsidR="00480343" w:rsidRPr="00480343" w:rsidRDefault="00480343" w:rsidP="00480343">
      <w:pPr>
        <w:spacing w:after="0"/>
        <w:jc w:val="both"/>
        <w:rPr>
          <w:rFonts w:ascii="Times New Roman" w:hAnsi="Times New Roman"/>
          <w:sz w:val="20"/>
          <w:szCs w:val="20"/>
        </w:rPr>
      </w:pPr>
    </w:p>
    <w:p w14:paraId="7249140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lastRenderedPageBreak/>
        <w:t xml:space="preserve">Kunioka, M., Inuzuka, Y., Ninomiya, F. and Funabashi, M. (2006). Biobased contents of biodegradable poly(ε-caprolactone) composites polymerized and directly molded using aluminium triflate from caprolactone with cellulose and inorganic filler. </w:t>
      </w:r>
      <w:r w:rsidRPr="00F879E7">
        <w:rPr>
          <w:rFonts w:ascii="Times New Roman" w:hAnsi="Times New Roman"/>
          <w:i/>
          <w:sz w:val="20"/>
          <w:szCs w:val="20"/>
        </w:rPr>
        <w:t>Macromolecular Bioscience,</w:t>
      </w:r>
      <w:r w:rsidRPr="00F879E7">
        <w:rPr>
          <w:rFonts w:ascii="Times New Roman" w:hAnsi="Times New Roman"/>
          <w:sz w:val="20"/>
          <w:szCs w:val="20"/>
        </w:rPr>
        <w:t xml:space="preserve"> 6: 517-523.</w:t>
      </w:r>
    </w:p>
    <w:p w14:paraId="7B49FBE6" w14:textId="03C59F3C" w:rsidR="001129FB" w:rsidRPr="00480343"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Noakes, J., Culp, R., Nigam, M., Dvoracek, D. and Norton, G. (2005). A comparison of analytical methods for the certification of biobased products. </w:t>
      </w:r>
      <w:r w:rsidRPr="00F879E7">
        <w:rPr>
          <w:rFonts w:ascii="Times New Roman" w:hAnsi="Times New Roman"/>
          <w:i/>
          <w:sz w:val="20"/>
          <w:szCs w:val="20"/>
        </w:rPr>
        <w:t>Prace Naukowe GIG. Gornictwo i Srodowisko</w:t>
      </w:r>
      <w:r w:rsidRPr="00F879E7">
        <w:rPr>
          <w:rFonts w:ascii="Times New Roman" w:hAnsi="Times New Roman"/>
          <w:sz w:val="20"/>
          <w:szCs w:val="20"/>
        </w:rPr>
        <w:t>: pp. 19.</w:t>
      </w:r>
    </w:p>
    <w:p w14:paraId="3FCC352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Molnar, M., Svingor, E., Nagy, S. and Svetlik, I. (2005). Refining the CO</w:t>
      </w:r>
      <w:r w:rsidRPr="00F879E7">
        <w:rPr>
          <w:rFonts w:ascii="Times New Roman" w:hAnsi="Times New Roman"/>
          <w:sz w:val="20"/>
          <w:szCs w:val="20"/>
          <w:vertAlign w:val="subscript"/>
        </w:rPr>
        <w:t>2</w:t>
      </w:r>
      <w:r w:rsidRPr="00F879E7">
        <w:rPr>
          <w:rFonts w:ascii="Times New Roman" w:hAnsi="Times New Roman"/>
          <w:sz w:val="20"/>
          <w:szCs w:val="20"/>
        </w:rPr>
        <w:t xml:space="preserve"> absorption method for low level </w:t>
      </w:r>
      <w:r w:rsidRPr="00F879E7">
        <w:rPr>
          <w:rFonts w:ascii="Times New Roman" w:hAnsi="Times New Roman"/>
          <w:sz w:val="20"/>
          <w:szCs w:val="20"/>
          <w:vertAlign w:val="superscript"/>
        </w:rPr>
        <w:t>14</w:t>
      </w:r>
      <w:r w:rsidRPr="00F879E7">
        <w:rPr>
          <w:rFonts w:ascii="Times New Roman" w:hAnsi="Times New Roman"/>
          <w:sz w:val="20"/>
          <w:szCs w:val="20"/>
        </w:rPr>
        <w:t xml:space="preserve">C liquid scintillation counting in the ATOMKI. </w:t>
      </w:r>
      <w:r w:rsidRPr="00F879E7">
        <w:rPr>
          <w:rFonts w:ascii="Times New Roman" w:hAnsi="Times New Roman"/>
          <w:i/>
          <w:sz w:val="20"/>
          <w:szCs w:val="20"/>
        </w:rPr>
        <w:t>ATOMKI Annual Report</w:t>
      </w:r>
      <w:r w:rsidRPr="00F879E7">
        <w:rPr>
          <w:rFonts w:ascii="Times New Roman" w:hAnsi="Times New Roman"/>
          <w:sz w:val="20"/>
          <w:szCs w:val="20"/>
        </w:rPr>
        <w:t>: p.79.</w:t>
      </w:r>
    </w:p>
    <w:p w14:paraId="182017E0"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Culp, R. and Noakes, J. (2009). Evaluation of bio-based content ASTM Method 6866-06A: Improvements revealed by liquid scintillation counting, accelerator mass spectrometry and stable isotopes for products containing inorganic carbon. </w:t>
      </w:r>
      <w:r w:rsidRPr="00F879E7">
        <w:rPr>
          <w:rFonts w:ascii="Times New Roman" w:hAnsi="Times New Roman"/>
          <w:i/>
          <w:iCs/>
          <w:sz w:val="20"/>
          <w:szCs w:val="20"/>
        </w:rPr>
        <w:t>LSC 2008 International Conference on Advances in Liquid Scintillation Spectrometry</w:t>
      </w:r>
      <w:r w:rsidRPr="00F879E7">
        <w:rPr>
          <w:rFonts w:ascii="Times New Roman" w:hAnsi="Times New Roman"/>
          <w:sz w:val="20"/>
          <w:szCs w:val="20"/>
        </w:rPr>
        <w:t>: pp. 269-278.</w:t>
      </w:r>
    </w:p>
    <w:p w14:paraId="2240A5C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Tudyka, K. and Pawlyta, J. (2014). Biocomponent determination in vinegars with the help of </w:t>
      </w:r>
      <w:r w:rsidRPr="00F879E7">
        <w:rPr>
          <w:rFonts w:ascii="Times New Roman" w:hAnsi="Times New Roman"/>
          <w:sz w:val="20"/>
          <w:szCs w:val="20"/>
          <w:vertAlign w:val="superscript"/>
        </w:rPr>
        <w:t>14</w:t>
      </w:r>
      <w:r w:rsidRPr="00F879E7">
        <w:rPr>
          <w:rFonts w:ascii="Times New Roman" w:hAnsi="Times New Roman"/>
          <w:sz w:val="20"/>
          <w:szCs w:val="20"/>
        </w:rPr>
        <w:t xml:space="preserve">C measured by liquid scintillation counting. </w:t>
      </w:r>
      <w:r w:rsidRPr="00F879E7">
        <w:rPr>
          <w:rFonts w:ascii="Times New Roman" w:hAnsi="Times New Roman"/>
          <w:i/>
          <w:sz w:val="20"/>
          <w:szCs w:val="20"/>
        </w:rPr>
        <w:t>Food Chemistry,</w:t>
      </w:r>
      <w:r w:rsidRPr="00F879E7">
        <w:rPr>
          <w:rFonts w:ascii="Times New Roman" w:hAnsi="Times New Roman"/>
          <w:sz w:val="20"/>
          <w:szCs w:val="20"/>
        </w:rPr>
        <w:t xml:space="preserve"> 145: 614-616.</w:t>
      </w:r>
    </w:p>
    <w:p w14:paraId="252455A7" w14:textId="77777777" w:rsidR="001129FB" w:rsidRPr="00F879E7"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Saito, K., Miyatake, H. and Kurihara, N. (1990). A combustion method for the simultaneous determination of </w:t>
      </w:r>
      <w:r w:rsidRPr="00F879E7">
        <w:rPr>
          <w:rFonts w:ascii="Times New Roman" w:hAnsi="Times New Roman"/>
          <w:sz w:val="20"/>
          <w:szCs w:val="20"/>
          <w:vertAlign w:val="superscript"/>
        </w:rPr>
        <w:t>3</w:t>
      </w:r>
      <w:r w:rsidRPr="00F879E7">
        <w:rPr>
          <w:rFonts w:ascii="Times New Roman" w:hAnsi="Times New Roman"/>
          <w:sz w:val="20"/>
          <w:szCs w:val="20"/>
        </w:rPr>
        <w:t xml:space="preserve">H, </w:t>
      </w:r>
      <w:r w:rsidRPr="00F879E7">
        <w:rPr>
          <w:rFonts w:ascii="Times New Roman" w:hAnsi="Times New Roman"/>
          <w:sz w:val="20"/>
          <w:szCs w:val="20"/>
          <w:vertAlign w:val="superscript"/>
        </w:rPr>
        <w:t>14</w:t>
      </w:r>
      <w:r w:rsidRPr="00F879E7">
        <w:rPr>
          <w:rFonts w:ascii="Times New Roman" w:hAnsi="Times New Roman"/>
          <w:sz w:val="20"/>
          <w:szCs w:val="20"/>
        </w:rPr>
        <w:t xml:space="preserve">C, and </w:t>
      </w:r>
      <w:r w:rsidRPr="00F879E7">
        <w:rPr>
          <w:rFonts w:ascii="Times New Roman" w:hAnsi="Times New Roman"/>
          <w:sz w:val="20"/>
          <w:szCs w:val="20"/>
          <w:vertAlign w:val="superscript"/>
        </w:rPr>
        <w:t>35</w:t>
      </w:r>
      <w:r w:rsidRPr="00F879E7">
        <w:rPr>
          <w:rFonts w:ascii="Times New Roman" w:hAnsi="Times New Roman"/>
          <w:sz w:val="20"/>
          <w:szCs w:val="20"/>
        </w:rPr>
        <w:t xml:space="preserve">S in triply labeled organic samples by liquid scintillation counting. </w:t>
      </w:r>
      <w:r w:rsidRPr="00F879E7">
        <w:rPr>
          <w:rFonts w:ascii="Times New Roman" w:hAnsi="Times New Roman"/>
          <w:i/>
          <w:sz w:val="20"/>
          <w:szCs w:val="20"/>
        </w:rPr>
        <w:t>Analytical Biochemistry,</w:t>
      </w:r>
      <w:r w:rsidRPr="00F879E7">
        <w:rPr>
          <w:rFonts w:ascii="Times New Roman" w:hAnsi="Times New Roman"/>
          <w:sz w:val="20"/>
          <w:szCs w:val="20"/>
        </w:rPr>
        <w:t xml:space="preserve"> 190: 276-280.</w:t>
      </w:r>
    </w:p>
    <w:p w14:paraId="6A34CE7B" w14:textId="7DF6AE66" w:rsidR="001129FB" w:rsidRDefault="001129FB" w:rsidP="001129FB">
      <w:pPr>
        <w:spacing w:after="0"/>
        <w:rPr>
          <w:rFonts w:ascii="Times New Roman" w:hAnsi="Times New Roman"/>
          <w:noProof/>
          <w:sz w:val="20"/>
          <w:szCs w:val="20"/>
          <w:lang w:bidi="ar-SA"/>
        </w:rPr>
        <w:sectPr w:rsidR="001129FB" w:rsidSect="001129FB">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F879E7">
        <w:rPr>
          <w:rFonts w:ascii="Times New Roman" w:hAnsi="Times New Roman"/>
          <w:sz w:val="20"/>
          <w:szCs w:val="20"/>
        </w:rPr>
        <w:fldChar w:fldCharType="end"/>
      </w:r>
    </w:p>
    <w:p w14:paraId="63ACC625" w14:textId="6C7F4988" w:rsidR="006768E9" w:rsidRPr="00510BA6" w:rsidRDefault="006768E9" w:rsidP="00510BA6">
      <w:pPr>
        <w:spacing w:after="0"/>
        <w:jc w:val="center"/>
        <w:rPr>
          <w:rFonts w:ascii="Times New Roman" w:hAnsi="Times New Roman"/>
          <w:noProof/>
          <w:sz w:val="20"/>
          <w:szCs w:val="20"/>
          <w:lang w:bidi="ar-SA"/>
        </w:rPr>
      </w:pPr>
    </w:p>
    <w:p w14:paraId="4D8A8F86" w14:textId="06C874D9" w:rsidR="00A74A7E" w:rsidRPr="00F879E7" w:rsidRDefault="00A74A7E" w:rsidP="00F879E7">
      <w:pPr>
        <w:spacing w:after="0"/>
        <w:rPr>
          <w:rFonts w:ascii="Times New Roman" w:hAnsi="Times New Roman"/>
          <w:noProof/>
          <w:sz w:val="20"/>
          <w:szCs w:val="20"/>
          <w:lang w:bidi="ar-SA"/>
        </w:rPr>
      </w:pPr>
    </w:p>
    <w:sectPr w:rsidR="00A74A7E" w:rsidRPr="00F879E7" w:rsidSect="00F879E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4F6799" w:rsidRDefault="004F6799" w:rsidP="00FB4C59">
      <w:pPr>
        <w:spacing w:after="0" w:line="240" w:lineRule="auto"/>
      </w:pPr>
      <w:r>
        <w:separator/>
      </w:r>
    </w:p>
  </w:endnote>
  <w:endnote w:type="continuationSeparator" w:id="0">
    <w:p w14:paraId="1FF78EE3" w14:textId="77777777" w:rsidR="004F6799" w:rsidRDefault="004F679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E460" w14:textId="1032D239" w:rsidR="004F6799" w:rsidRPr="004B43FF" w:rsidRDefault="004F6799">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4085" w14:textId="70EF320A"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E464" w14:textId="2D0275B7" w:rsidR="004F6799" w:rsidRPr="004B43FF" w:rsidRDefault="004F6799">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4F6799" w:rsidRPr="004B43FF" w:rsidRDefault="004F6799">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740D" w14:textId="08DE7905"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16EA" w14:textId="0F84A8E9" w:rsidR="004F6799" w:rsidRPr="004B43FF" w:rsidRDefault="004F6799">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358F" w14:textId="435DD91F"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84F0" w14:textId="5BAFF6EB" w:rsidR="004F6799" w:rsidRPr="004B43FF" w:rsidRDefault="004F6799">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B092" w14:textId="4C01CCCB"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23CF" w14:textId="716D0B5E" w:rsidR="004F6799" w:rsidRPr="004B43FF" w:rsidRDefault="004F6799">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8DA0" w14:textId="4C5C7F2B"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4F6799" w:rsidRDefault="004F6799" w:rsidP="00FB4C59">
      <w:pPr>
        <w:spacing w:after="0" w:line="240" w:lineRule="auto"/>
      </w:pPr>
      <w:r>
        <w:separator/>
      </w:r>
    </w:p>
  </w:footnote>
  <w:footnote w:type="continuationSeparator" w:id="0">
    <w:p w14:paraId="67CF7672" w14:textId="77777777" w:rsidR="004F6799" w:rsidRDefault="004F679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46CC4AF3" w:rsidR="004F6799" w:rsidRDefault="00D575B6" w:rsidP="008E6968">
    <w:pPr>
      <w:pStyle w:val="Header"/>
      <w:jc w:val="right"/>
      <w:rPr>
        <w:rFonts w:ascii="Times New Roman" w:hAnsi="Times New Roman"/>
        <w:i/>
        <w:lang w:val="en-US"/>
      </w:rPr>
    </w:pPr>
    <w:r>
      <w:rPr>
        <w:noProof/>
      </w:rPr>
      <w:pict w14:anchorId="55E4D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3" o:spid="_x0000_s19458"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r w:rsidR="004F6799" w:rsidRPr="00D75B35">
      <w:rPr>
        <w:rFonts w:ascii="Times New Roman" w:hAnsi="Times New Roman"/>
        <w:i/>
      </w:rPr>
      <w:t xml:space="preserve">Malaysian Journal of </w:t>
    </w:r>
    <w:r w:rsidR="004F6799">
      <w:rPr>
        <w:rFonts w:ascii="Times New Roman" w:hAnsi="Times New Roman"/>
        <w:i/>
      </w:rPr>
      <w:t xml:space="preserve">Analytical Sciences, Vol </w:t>
    </w:r>
    <w:r w:rsidR="004F6799">
      <w:rPr>
        <w:rFonts w:ascii="Times New Roman" w:hAnsi="Times New Roman"/>
        <w:i/>
        <w:lang w:val="en-US"/>
      </w:rPr>
      <w:t>24</w:t>
    </w:r>
    <w:r w:rsidR="004F6799">
      <w:rPr>
        <w:rFonts w:ascii="Times New Roman" w:hAnsi="Times New Roman"/>
        <w:i/>
      </w:rPr>
      <w:t xml:space="preserve"> </w:t>
    </w:r>
    <w:r w:rsidR="004F6799">
      <w:rPr>
        <w:rFonts w:ascii="Times New Roman" w:hAnsi="Times New Roman"/>
        <w:i/>
        <w:lang w:val="en-US"/>
      </w:rPr>
      <w:t xml:space="preserve">No 6 </w:t>
    </w:r>
    <w:r w:rsidR="004F6799">
      <w:rPr>
        <w:rFonts w:ascii="Times New Roman" w:hAnsi="Times New Roman"/>
        <w:i/>
      </w:rPr>
      <w:t>(20</w:t>
    </w:r>
    <w:r w:rsidR="004F6799">
      <w:rPr>
        <w:rFonts w:ascii="Times New Roman" w:hAnsi="Times New Roman"/>
        <w:i/>
        <w:lang w:val="en-MY"/>
      </w:rPr>
      <w:t>20</w:t>
    </w:r>
    <w:r w:rsidR="004F6799" w:rsidRPr="00D75B35">
      <w:rPr>
        <w:rFonts w:ascii="Times New Roman" w:hAnsi="Times New Roman"/>
        <w:i/>
      </w:rPr>
      <w:t xml:space="preserve">): </w:t>
    </w:r>
    <w:r w:rsidR="004F6799">
      <w:rPr>
        <w:rFonts w:ascii="Times New Roman" w:hAnsi="Times New Roman"/>
        <w:i/>
        <w:lang w:val="en-US"/>
      </w:rPr>
      <w:t>xxx - xxx</w:t>
    </w:r>
  </w:p>
  <w:p w14:paraId="4533D171" w14:textId="77777777" w:rsidR="004F6799" w:rsidRDefault="004F67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DCF8" w14:textId="558854FF" w:rsidR="0084505C" w:rsidRDefault="00D575B6">
    <w:pPr>
      <w:pStyle w:val="Header"/>
    </w:pPr>
    <w:r>
      <w:rPr>
        <w:noProof/>
      </w:rPr>
      <w:pict w14:anchorId="75A85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2" o:spid="_x0000_s19467" type="#_x0000_t136" style="position:absolute;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83733" w14:textId="615383FA"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Mohd Zamil et al</w:t>
    </w:r>
    <w:r w:rsidRPr="00F557F6">
      <w:rPr>
        <w:sz w:val="20"/>
        <w:szCs w:val="20"/>
        <w:lang w:val="en-US"/>
      </w:rPr>
      <w:t xml:space="preserve">:   </w:t>
    </w:r>
    <w:r>
      <w:rPr>
        <w:sz w:val="20"/>
        <w:szCs w:val="20"/>
        <w:lang w:val="en-US"/>
      </w:rPr>
      <w:tab/>
    </w:r>
    <w:r w:rsidRPr="00F557F6">
      <w:rPr>
        <w:rFonts w:eastAsia="Calibri"/>
        <w:sz w:val="20"/>
        <w:szCs w:val="20"/>
        <w:lang w:val="en-GB"/>
      </w:rPr>
      <w:t>BIO-BASED CONTENT OF OLIGOMERS DERIVED FROM PALM OIL: SAMPLE COMBUSTION AND LIQUID SCINTILLATION COUNTING TECHNIQUE</w:t>
    </w:r>
    <w:r w:rsidR="00D575B6">
      <w:rPr>
        <w:noProof/>
      </w:rPr>
      <w:pict w14:anchorId="7DC76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3" o:spid="_x0000_s19468" type="#_x0000_t136" style="position:absolute;left:0;text-align:left;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05A1" w14:textId="6109D66E" w:rsidR="0084505C" w:rsidRDefault="00D575B6">
    <w:pPr>
      <w:pStyle w:val="Header"/>
    </w:pPr>
    <w:r>
      <w:rPr>
        <w:noProof/>
      </w:rPr>
      <w:pict w14:anchorId="3D4D7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1" o:spid="_x0000_s19466"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6DC3" w14:textId="57969BCB"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732C5302" w14:textId="5CA532D2" w:rsidR="0084505C" w:rsidRDefault="00D575B6">
    <w:pPr>
      <w:pStyle w:val="Header"/>
    </w:pPr>
    <w:r>
      <w:rPr>
        <w:noProof/>
      </w:rPr>
      <w:pict w14:anchorId="2BB51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5" o:spid="_x0000_s19470" type="#_x0000_t136" style="position:absolute;margin-left:0;margin-top:0;width:541.2pt;height:53.4pt;rotation:315;z-index:-25163059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757C" w14:textId="01CFE25D" w:rsidR="0084505C" w:rsidRDefault="00D575B6">
    <w:pPr>
      <w:pStyle w:val="Header"/>
    </w:pPr>
    <w:r>
      <w:rPr>
        <w:noProof/>
      </w:rPr>
      <w:pict w14:anchorId="24879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6" o:spid="_x0000_s19471" type="#_x0000_t136" style="position:absolute;margin-left:0;margin-top:0;width:541.2pt;height:53.4pt;rotation:315;z-index:-25162854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2C1E8" w14:textId="675D6306" w:rsidR="0084505C" w:rsidRDefault="00D575B6">
    <w:pPr>
      <w:pStyle w:val="Header"/>
    </w:pPr>
    <w:r>
      <w:rPr>
        <w:noProof/>
      </w:rPr>
      <w:pict w14:anchorId="3BA5E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4" o:spid="_x0000_s19469" type="#_x0000_t136" style="position:absolute;margin-left:0;margin-top:0;width:541.2pt;height:53.4pt;rotation:315;z-index:-25163264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46EED" w14:textId="3D31FA8C" w:rsidR="0084505C" w:rsidRDefault="00D575B6">
    <w:pPr>
      <w:pStyle w:val="Header"/>
    </w:pPr>
    <w:r>
      <w:rPr>
        <w:noProof/>
      </w:rPr>
      <w:pict w14:anchorId="2BBE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8" o:spid="_x0000_s19473" type="#_x0000_t136" style="position:absolute;margin-left:0;margin-top:0;width:541.2pt;height:53.4pt;rotation:315;z-index:-25162444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9AB24" w14:textId="4841DA44"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Mohd Zamil et al</w:t>
    </w:r>
    <w:r w:rsidRPr="00F557F6">
      <w:rPr>
        <w:sz w:val="20"/>
        <w:szCs w:val="20"/>
        <w:lang w:val="en-US"/>
      </w:rPr>
      <w:t xml:space="preserve">:   </w:t>
    </w:r>
    <w:r>
      <w:rPr>
        <w:sz w:val="20"/>
        <w:szCs w:val="20"/>
        <w:lang w:val="en-US"/>
      </w:rPr>
      <w:tab/>
    </w:r>
    <w:r w:rsidRPr="00F557F6">
      <w:rPr>
        <w:rFonts w:eastAsia="Calibri"/>
        <w:sz w:val="20"/>
        <w:szCs w:val="20"/>
        <w:lang w:val="en-GB"/>
      </w:rPr>
      <w:t>BIO-BASED CONTENT OF OLIGOMERS DERIVED FROM PALM OIL: SAMPLE COMBUSTION AND LIQUID SCINTILLATION COUNTING TECHNIQUE</w:t>
    </w:r>
    <w:r w:rsidR="00D575B6">
      <w:rPr>
        <w:noProof/>
      </w:rPr>
      <w:pict w14:anchorId="668B6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9" o:spid="_x0000_s19474" type="#_x0000_t136" style="position:absolute;left:0;text-align:left;margin-left:0;margin-top:0;width:541.2pt;height:53.4pt;rotation:315;z-index:-25162240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D8EE" w14:textId="52DA34D9" w:rsidR="0084505C" w:rsidRDefault="00D575B6">
    <w:pPr>
      <w:pStyle w:val="Header"/>
    </w:pPr>
    <w:r>
      <w:rPr>
        <w:noProof/>
      </w:rPr>
      <w:pict w14:anchorId="39CEF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7" o:spid="_x0000_s19472" type="#_x0000_t136" style="position:absolute;margin-left:0;margin-top:0;width:541.2pt;height:53.4pt;rotation:315;z-index:-25162649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39F4D" w14:textId="02631DAD"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33BF2A9" w14:textId="2946B79C" w:rsidR="0084505C" w:rsidRDefault="00D575B6">
    <w:pPr>
      <w:pStyle w:val="Header"/>
    </w:pPr>
    <w:r>
      <w:rPr>
        <w:noProof/>
      </w:rPr>
      <w:pict w14:anchorId="14BCC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1" o:spid="_x0000_s19476" type="#_x0000_t136" style="position:absolute;margin-left:0;margin-top:0;width:541.2pt;height:53.4pt;rotation:315;z-index:-25161830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ECB2" w14:textId="39E52C2C" w:rsidR="004F6799" w:rsidRPr="00F557F6" w:rsidRDefault="00D575B6" w:rsidP="00F557F6">
    <w:pPr>
      <w:pStyle w:val="Title"/>
      <w:spacing w:line="276" w:lineRule="auto"/>
      <w:ind w:left="1620" w:hanging="1620"/>
      <w:contextualSpacing w:val="0"/>
      <w:jc w:val="left"/>
      <w:rPr>
        <w:rFonts w:eastAsia="Calibri"/>
        <w:b/>
        <w:sz w:val="20"/>
        <w:szCs w:val="20"/>
        <w:lang w:val="en-GB"/>
      </w:rPr>
    </w:pPr>
    <w:r>
      <w:rPr>
        <w:noProof/>
      </w:rPr>
      <w:pict w14:anchorId="13839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4" o:spid="_x0000_s19459"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r w:rsidR="004F6799" w:rsidRPr="00F557F6">
      <w:rPr>
        <w:caps w:val="0"/>
        <w:sz w:val="20"/>
        <w:szCs w:val="20"/>
        <w:lang w:val="en-US"/>
      </w:rPr>
      <w:t>Mohd Zamil et al</w:t>
    </w:r>
    <w:r w:rsidR="004F6799" w:rsidRPr="00F557F6">
      <w:rPr>
        <w:sz w:val="20"/>
        <w:szCs w:val="20"/>
        <w:lang w:val="en-US"/>
      </w:rPr>
      <w:t xml:space="preserve">:   </w:t>
    </w:r>
    <w:r w:rsidR="004F6799">
      <w:rPr>
        <w:sz w:val="20"/>
        <w:szCs w:val="20"/>
        <w:lang w:val="en-US"/>
      </w:rPr>
      <w:tab/>
    </w:r>
    <w:r w:rsidR="004F6799" w:rsidRPr="00F557F6">
      <w:rPr>
        <w:rFonts w:eastAsia="Calibri"/>
        <w:sz w:val="20"/>
        <w:szCs w:val="20"/>
        <w:lang w:val="en-GB"/>
      </w:rPr>
      <w:t>BIO-BASED CONTENT OF OLIGOMERS DERIVED FROM PALM OIL: SAMPLE COMBUSTION AND LIQUID SCINTILLATION COUNTING TECHNIQUE</w:t>
    </w:r>
  </w:p>
  <w:p w14:paraId="652E6EB3" w14:textId="641D3ADC" w:rsidR="004F6799" w:rsidRPr="00B75BF6" w:rsidRDefault="004F6799"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18E62" w14:textId="5F5D1E40"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Mohd Zamil et al</w:t>
    </w:r>
    <w:r w:rsidRPr="00F557F6">
      <w:rPr>
        <w:sz w:val="20"/>
        <w:szCs w:val="20"/>
        <w:lang w:val="en-US"/>
      </w:rPr>
      <w:t xml:space="preserve">:   </w:t>
    </w:r>
    <w:r>
      <w:rPr>
        <w:sz w:val="20"/>
        <w:szCs w:val="20"/>
        <w:lang w:val="en-US"/>
      </w:rPr>
      <w:tab/>
    </w:r>
    <w:r w:rsidRPr="00F557F6">
      <w:rPr>
        <w:rFonts w:eastAsia="Calibri"/>
        <w:sz w:val="20"/>
        <w:szCs w:val="20"/>
        <w:lang w:val="en-GB"/>
      </w:rPr>
      <w:t>BIO-BASED CONTENT OF OLIGOMERS DERIVED FROM PALM OIL: SAMPLE COMBUSTION AND LIQUID SCINTILLATION COUNTING TECHNIQUE</w:t>
    </w:r>
    <w:r w:rsidR="00D575B6">
      <w:rPr>
        <w:noProof/>
      </w:rPr>
      <w:pict w14:anchorId="2367E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2" o:spid="_x0000_s19477" type="#_x0000_t136" style="position:absolute;left:0;text-align:left;margin-left:0;margin-top:0;width:541.2pt;height:53.4pt;rotation:315;z-index:-25161625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7FE2B" w14:textId="3F3A5885" w:rsidR="0084505C" w:rsidRDefault="00D575B6">
    <w:pPr>
      <w:pStyle w:val="Header"/>
    </w:pPr>
    <w:r>
      <w:rPr>
        <w:noProof/>
      </w:rPr>
      <w:pict w14:anchorId="03932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0" o:spid="_x0000_s19475" type="#_x0000_t136" style="position:absolute;margin-left:0;margin-top:0;width:541.2pt;height:53.4pt;rotation:315;z-index:-25162035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61B03" w14:textId="60F71F87"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CD4C6B5" w14:textId="4AF93866" w:rsidR="0084505C" w:rsidRDefault="00D575B6">
    <w:pPr>
      <w:pStyle w:val="Header"/>
    </w:pPr>
    <w:r>
      <w:rPr>
        <w:noProof/>
      </w:rPr>
      <w:pict w14:anchorId="270D7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4" o:spid="_x0000_s19479" type="#_x0000_t136" style="position:absolute;margin-left:0;margin-top:0;width:541.2pt;height:53.4pt;rotation:315;z-index:-25161216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54420" w14:textId="4ACF418A"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Mohd Zamil et al</w:t>
    </w:r>
    <w:r w:rsidRPr="00F557F6">
      <w:rPr>
        <w:sz w:val="20"/>
        <w:szCs w:val="20"/>
        <w:lang w:val="en-US"/>
      </w:rPr>
      <w:t xml:space="preserve">:   </w:t>
    </w:r>
    <w:r>
      <w:rPr>
        <w:sz w:val="20"/>
        <w:szCs w:val="20"/>
        <w:lang w:val="en-US"/>
      </w:rPr>
      <w:tab/>
    </w:r>
    <w:r w:rsidRPr="00F557F6">
      <w:rPr>
        <w:rFonts w:eastAsia="Calibri"/>
        <w:sz w:val="20"/>
        <w:szCs w:val="20"/>
        <w:lang w:val="en-GB"/>
      </w:rPr>
      <w:t>BIO-BASED CONTENT OF OLIGOMERS DERIVED FROM PALM OIL: SAMPLE COMBUSTION AND LIQUID SCINTILLATION COUNTING TECHNIQUE</w:t>
    </w:r>
    <w:r w:rsidR="00D575B6">
      <w:rPr>
        <w:noProof/>
      </w:rPr>
      <w:pict w14:anchorId="56E95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5" o:spid="_x0000_s19480" type="#_x0000_t136" style="position:absolute;left:0;text-align:left;margin-left:0;margin-top:0;width:541.2pt;height:53.4pt;rotation:315;z-index:-25161011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15EBA" w14:textId="578E5CC1" w:rsidR="0084505C" w:rsidRDefault="00D575B6">
    <w:pPr>
      <w:pStyle w:val="Header"/>
    </w:pPr>
    <w:r>
      <w:rPr>
        <w:noProof/>
      </w:rPr>
      <w:pict w14:anchorId="3DED6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83" o:spid="_x0000_s19478" type="#_x0000_t136" style="position:absolute;margin-left:0;margin-top:0;width:541.2pt;height:53.4pt;rotation:315;z-index:-25161420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E5F6" w14:textId="7ED2D8DD" w:rsidR="004F6799" w:rsidRDefault="00D575B6">
    <w:pPr>
      <w:pStyle w:val="Header"/>
    </w:pPr>
    <w:r>
      <w:rPr>
        <w:noProof/>
      </w:rPr>
      <w:pict w14:anchorId="660F9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2" o:spid="_x0000_s19457"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5548" w14:textId="1203799C"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8279322" w14:textId="57FBB6BB" w:rsidR="0084505C" w:rsidRDefault="00D575B6">
    <w:pPr>
      <w:pStyle w:val="Header"/>
    </w:pPr>
    <w:r>
      <w:rPr>
        <w:noProof/>
      </w:rPr>
      <w:pict w14:anchorId="65ADC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6" o:spid="_x0000_s19461"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DDCF" w14:textId="2F7F4A03"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Mohd Zamil et al</w:t>
    </w:r>
    <w:r w:rsidRPr="00F557F6">
      <w:rPr>
        <w:sz w:val="20"/>
        <w:szCs w:val="20"/>
        <w:lang w:val="en-US"/>
      </w:rPr>
      <w:t xml:space="preserve">:   </w:t>
    </w:r>
    <w:r>
      <w:rPr>
        <w:sz w:val="20"/>
        <w:szCs w:val="20"/>
        <w:lang w:val="en-US"/>
      </w:rPr>
      <w:tab/>
    </w:r>
    <w:r w:rsidRPr="00F557F6">
      <w:rPr>
        <w:rFonts w:eastAsia="Calibri"/>
        <w:sz w:val="20"/>
        <w:szCs w:val="20"/>
        <w:lang w:val="en-GB"/>
      </w:rPr>
      <w:t>BIO-BASED CONTENT OF OLIGOMERS DERIVED FROM PALM OIL: SAMPLE COMBUSTION AND LIQUID SCINTILLATION COUNTING TECHNIQUE</w:t>
    </w:r>
    <w:r w:rsidR="00D575B6">
      <w:rPr>
        <w:noProof/>
      </w:rPr>
      <w:pict w14:anchorId="7032F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7" o:spid="_x0000_s19462" type="#_x0000_t136" style="position:absolute;left:0;text-align:left;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94257" w14:textId="2E4435BF" w:rsidR="0084505C" w:rsidRDefault="00D575B6">
    <w:pPr>
      <w:pStyle w:val="Header"/>
    </w:pPr>
    <w:r>
      <w:rPr>
        <w:noProof/>
      </w:rPr>
      <w:pict w14:anchorId="5E95A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5" o:spid="_x0000_s19460"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D0FF8" w14:textId="4F3A5CB5"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C61D4EF" w14:textId="7D117964" w:rsidR="0084505C" w:rsidRDefault="00D575B6">
    <w:pPr>
      <w:pStyle w:val="Header"/>
    </w:pPr>
    <w:r>
      <w:rPr>
        <w:noProof/>
      </w:rPr>
      <w:pict w14:anchorId="18BF4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9" o:spid="_x0000_s19464" type="#_x0000_t136" style="position:absolute;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6D45" w14:textId="564E874B" w:rsidR="0084505C" w:rsidRDefault="00D575B6">
    <w:pPr>
      <w:pStyle w:val="Header"/>
    </w:pPr>
    <w:r>
      <w:rPr>
        <w:noProof/>
      </w:rPr>
      <w:pict w14:anchorId="6F6A2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70" o:spid="_x0000_s19465" type="#_x0000_t136" style="position:absolute;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80592" w14:textId="1D10418D" w:rsidR="0084505C" w:rsidRDefault="00D575B6">
    <w:pPr>
      <w:pStyle w:val="Header"/>
    </w:pPr>
    <w:r>
      <w:rPr>
        <w:noProof/>
      </w:rPr>
      <w:pict w14:anchorId="3CA1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08068" o:spid="_x0000_s19463"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6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ADE395A"/>
    <w:multiLevelType w:val="hybridMultilevel"/>
    <w:tmpl w:val="A45AA4CA"/>
    <w:lvl w:ilvl="0" w:tplc="51E88786">
      <w:start w:val="1"/>
      <w:numFmt w:val="decimal"/>
      <w:pStyle w:val="1st-level-Heading"/>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61470E"/>
    <w:multiLevelType w:val="hybridMultilevel"/>
    <w:tmpl w:val="2E3AF4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9481"/>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23AC"/>
    <w:rsid w:val="001129FB"/>
    <w:rsid w:val="00117BCD"/>
    <w:rsid w:val="001D035A"/>
    <w:rsid w:val="001D3855"/>
    <w:rsid w:val="001D6F2C"/>
    <w:rsid w:val="001F72B9"/>
    <w:rsid w:val="002004F5"/>
    <w:rsid w:val="0020154A"/>
    <w:rsid w:val="00221D39"/>
    <w:rsid w:val="002752F0"/>
    <w:rsid w:val="002867F0"/>
    <w:rsid w:val="0029079C"/>
    <w:rsid w:val="002A7981"/>
    <w:rsid w:val="002B188F"/>
    <w:rsid w:val="002B3BD8"/>
    <w:rsid w:val="002F0163"/>
    <w:rsid w:val="002F3F91"/>
    <w:rsid w:val="00304767"/>
    <w:rsid w:val="00304B34"/>
    <w:rsid w:val="00312C0E"/>
    <w:rsid w:val="00336E6E"/>
    <w:rsid w:val="00345738"/>
    <w:rsid w:val="00361BAF"/>
    <w:rsid w:val="00367D1F"/>
    <w:rsid w:val="00373A9B"/>
    <w:rsid w:val="00383211"/>
    <w:rsid w:val="0038323C"/>
    <w:rsid w:val="00383F26"/>
    <w:rsid w:val="0039005B"/>
    <w:rsid w:val="003B0AC0"/>
    <w:rsid w:val="003D585B"/>
    <w:rsid w:val="003E7DA6"/>
    <w:rsid w:val="003F12FF"/>
    <w:rsid w:val="004060C3"/>
    <w:rsid w:val="00420074"/>
    <w:rsid w:val="004673AB"/>
    <w:rsid w:val="004760D4"/>
    <w:rsid w:val="00480343"/>
    <w:rsid w:val="00494C46"/>
    <w:rsid w:val="004A12DD"/>
    <w:rsid w:val="004B43FF"/>
    <w:rsid w:val="004F6799"/>
    <w:rsid w:val="00502641"/>
    <w:rsid w:val="00505F7E"/>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8F6"/>
    <w:rsid w:val="00730CB3"/>
    <w:rsid w:val="00735444"/>
    <w:rsid w:val="007703FE"/>
    <w:rsid w:val="007859BE"/>
    <w:rsid w:val="007943F3"/>
    <w:rsid w:val="007A738C"/>
    <w:rsid w:val="007B1349"/>
    <w:rsid w:val="007E25BD"/>
    <w:rsid w:val="007F4ECC"/>
    <w:rsid w:val="00801E18"/>
    <w:rsid w:val="00802C35"/>
    <w:rsid w:val="0082181A"/>
    <w:rsid w:val="0084505C"/>
    <w:rsid w:val="0086622B"/>
    <w:rsid w:val="008747A4"/>
    <w:rsid w:val="008A2F73"/>
    <w:rsid w:val="008B02C7"/>
    <w:rsid w:val="008B470E"/>
    <w:rsid w:val="008C14D6"/>
    <w:rsid w:val="008E1211"/>
    <w:rsid w:val="008E5BBF"/>
    <w:rsid w:val="008E6968"/>
    <w:rsid w:val="008F2DC2"/>
    <w:rsid w:val="009110FB"/>
    <w:rsid w:val="00917637"/>
    <w:rsid w:val="00960E7B"/>
    <w:rsid w:val="00983A6B"/>
    <w:rsid w:val="00992776"/>
    <w:rsid w:val="00A14DB9"/>
    <w:rsid w:val="00A4762A"/>
    <w:rsid w:val="00A74A7E"/>
    <w:rsid w:val="00A87399"/>
    <w:rsid w:val="00AD1B8A"/>
    <w:rsid w:val="00AD76AF"/>
    <w:rsid w:val="00AE713F"/>
    <w:rsid w:val="00B1121C"/>
    <w:rsid w:val="00B25B65"/>
    <w:rsid w:val="00B26062"/>
    <w:rsid w:val="00B2770A"/>
    <w:rsid w:val="00B314AD"/>
    <w:rsid w:val="00B36193"/>
    <w:rsid w:val="00B7255A"/>
    <w:rsid w:val="00B75BF6"/>
    <w:rsid w:val="00BA1F7B"/>
    <w:rsid w:val="00BB223B"/>
    <w:rsid w:val="00BB58AF"/>
    <w:rsid w:val="00BC2DBB"/>
    <w:rsid w:val="00BD2480"/>
    <w:rsid w:val="00BE2D36"/>
    <w:rsid w:val="00BE7C30"/>
    <w:rsid w:val="00C055BF"/>
    <w:rsid w:val="00C0756D"/>
    <w:rsid w:val="00C2226A"/>
    <w:rsid w:val="00C34A9B"/>
    <w:rsid w:val="00C80273"/>
    <w:rsid w:val="00C943DD"/>
    <w:rsid w:val="00C94D92"/>
    <w:rsid w:val="00C97340"/>
    <w:rsid w:val="00CA513F"/>
    <w:rsid w:val="00CC6D67"/>
    <w:rsid w:val="00CD41CA"/>
    <w:rsid w:val="00CE51F9"/>
    <w:rsid w:val="00CF05FF"/>
    <w:rsid w:val="00D33D1A"/>
    <w:rsid w:val="00D340BB"/>
    <w:rsid w:val="00D505D5"/>
    <w:rsid w:val="00D575B6"/>
    <w:rsid w:val="00D63C28"/>
    <w:rsid w:val="00D75B35"/>
    <w:rsid w:val="00D76E09"/>
    <w:rsid w:val="00D9128E"/>
    <w:rsid w:val="00D9736F"/>
    <w:rsid w:val="00D97773"/>
    <w:rsid w:val="00D9792A"/>
    <w:rsid w:val="00DB3753"/>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57F6"/>
    <w:rsid w:val="00F567E6"/>
    <w:rsid w:val="00F879E7"/>
    <w:rsid w:val="00FB2423"/>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8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ListParagraphChar">
    <w:name w:val="List Paragraph Char"/>
    <w:basedOn w:val="DefaultParagraphFont"/>
    <w:link w:val="ListParagraph"/>
    <w:uiPriority w:val="34"/>
    <w:rsid w:val="00F557F6"/>
    <w:rPr>
      <w:rFonts w:eastAsia="Times New Roman"/>
      <w:sz w:val="22"/>
      <w:szCs w:val="22"/>
      <w:lang w:val="en-US" w:eastAsia="en-US" w:bidi="en-US"/>
    </w:rPr>
  </w:style>
  <w:style w:type="table" w:styleId="TableGrid">
    <w:name w:val="Table Grid"/>
    <w:basedOn w:val="TableNormal"/>
    <w:uiPriority w:val="59"/>
    <w:rsid w:val="0020154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level-Heading"/>
    <w:basedOn w:val="Normal"/>
    <w:next w:val="Normal"/>
    <w:rsid w:val="00CE51F9"/>
    <w:pPr>
      <w:keepNext/>
      <w:numPr>
        <w:numId w:val="2"/>
      </w:numPr>
      <w:spacing w:before="280" w:line="240" w:lineRule="auto"/>
      <w:ind w:left="357" w:hanging="357"/>
      <w:outlineLvl w:val="0"/>
    </w:pPr>
    <w:rPr>
      <w:rFonts w:ascii="Calibri" w:hAnsi="Calibri"/>
      <w:b/>
      <w:sz w:val="28"/>
      <w:szCs w:val="24"/>
      <w:lang w:bidi="ar-SA"/>
    </w:rPr>
  </w:style>
  <w:style w:type="paragraph" w:customStyle="1" w:styleId="EndNoteBibliography">
    <w:name w:val="EndNote Bibliography"/>
    <w:basedOn w:val="Normal"/>
    <w:link w:val="EndNoteBibliographyChar"/>
    <w:rsid w:val="00CE51F9"/>
    <w:pPr>
      <w:spacing w:after="0" w:line="240" w:lineRule="auto"/>
    </w:pPr>
    <w:rPr>
      <w:rFonts w:ascii="Calibri" w:hAnsi="Calibri" w:cs="Calibri"/>
      <w:noProof/>
      <w:sz w:val="24"/>
      <w:szCs w:val="24"/>
    </w:rPr>
  </w:style>
  <w:style w:type="character" w:customStyle="1" w:styleId="EndNoteBibliographyChar">
    <w:name w:val="EndNote Bibliography Char"/>
    <w:basedOn w:val="ListParagraphChar"/>
    <w:link w:val="EndNoteBibliography"/>
    <w:rsid w:val="00CE51F9"/>
    <w:rPr>
      <w:rFonts w:ascii="Calibri" w:eastAsia="Times New Roman" w:hAnsi="Calibri" w:cs="Calibri"/>
      <w:noProof/>
      <w:sz w:val="24"/>
      <w:szCs w:val="24"/>
      <w:lang w:val="en-US" w:eastAsia="en-US" w:bidi="en-US"/>
    </w:rPr>
  </w:style>
  <w:style w:type="character" w:styleId="PlaceholderText">
    <w:name w:val="Placeholder Text"/>
    <w:basedOn w:val="DefaultParagraphFont"/>
    <w:uiPriority w:val="99"/>
    <w:semiHidden/>
    <w:rsid w:val="00336E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4.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oter" Target="footer12.xml"/><Relationship Id="rId20" Type="http://schemas.openxmlformats.org/officeDocument/2006/relationships/image" Target="media/image3.jpeg"/><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file:///D:\AOTD%20077%202012\Data\14c%20cpm%20quench%202Feb201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14c quench</c:v>
          </c:tx>
          <c:xVal>
            <c:numRef>
              <c:f>'Quench curves 2Feb2017'!$O$15:$O$20</c:f>
              <c:numCache>
                <c:formatCode>0</c:formatCode>
                <c:ptCount val="6"/>
                <c:pt idx="0">
                  <c:v>794.7</c:v>
                </c:pt>
                <c:pt idx="1">
                  <c:v>363.3</c:v>
                </c:pt>
                <c:pt idx="2">
                  <c:v>243.1</c:v>
                </c:pt>
                <c:pt idx="3">
                  <c:v>197.5</c:v>
                </c:pt>
                <c:pt idx="4">
                  <c:v>180.7</c:v>
                </c:pt>
                <c:pt idx="5">
                  <c:v>162.69999999999999</c:v>
                </c:pt>
              </c:numCache>
            </c:numRef>
          </c:xVal>
          <c:yVal>
            <c:numRef>
              <c:f>'Quench curves 2Feb2017'!$N$15:$N$20</c:f>
              <c:numCache>
                <c:formatCode>0</c:formatCode>
                <c:ptCount val="6"/>
                <c:pt idx="0">
                  <c:v>84.3</c:v>
                </c:pt>
                <c:pt idx="1">
                  <c:v>82.1</c:v>
                </c:pt>
                <c:pt idx="2">
                  <c:v>80.099999999999994</c:v>
                </c:pt>
                <c:pt idx="3">
                  <c:v>79.8</c:v>
                </c:pt>
                <c:pt idx="4">
                  <c:v>77.7</c:v>
                </c:pt>
                <c:pt idx="5">
                  <c:v>73.099999999999994</c:v>
                </c:pt>
              </c:numCache>
            </c:numRef>
          </c:yVal>
          <c:smooth val="1"/>
          <c:extLst>
            <c:ext xmlns:c16="http://schemas.microsoft.com/office/drawing/2014/chart" uri="{C3380CC4-5D6E-409C-BE32-E72D297353CC}">
              <c16:uniqueId val="{00000000-CFAA-450A-BE3E-64AC19CF1ABA}"/>
            </c:ext>
          </c:extLst>
        </c:ser>
        <c:dLbls>
          <c:showLegendKey val="0"/>
          <c:showVal val="0"/>
          <c:showCatName val="0"/>
          <c:showSerName val="0"/>
          <c:showPercent val="0"/>
          <c:showBubbleSize val="0"/>
        </c:dLbls>
        <c:axId val="-228331040"/>
        <c:axId val="-228330496"/>
      </c:scatterChart>
      <c:valAx>
        <c:axId val="-228331040"/>
        <c:scaling>
          <c:orientation val="minMax"/>
          <c:max val="900"/>
          <c:min val="100"/>
        </c:scaling>
        <c:delete val="0"/>
        <c:axPos val="b"/>
        <c:title>
          <c:tx>
            <c:rich>
              <a:bodyPr/>
              <a:lstStyle/>
              <a:p>
                <a:pPr>
                  <a:defRPr sz="900"/>
                </a:pPr>
                <a:r>
                  <a:rPr lang="en-US" sz="900"/>
                  <a:t>tSIE</a:t>
                </a:r>
              </a:p>
            </c:rich>
          </c:tx>
          <c:overlay val="0"/>
        </c:title>
        <c:numFmt formatCode="0" sourceLinked="1"/>
        <c:majorTickMark val="out"/>
        <c:minorTickMark val="none"/>
        <c:tickLblPos val="nextTo"/>
        <c:txPr>
          <a:bodyPr rot="0" vert="horz"/>
          <a:lstStyle/>
          <a:p>
            <a:pPr>
              <a:defRPr sz="900">
                <a:ln>
                  <a:noFill/>
                </a:ln>
              </a:defRPr>
            </a:pPr>
            <a:endParaRPr lang="en-US"/>
          </a:p>
        </c:txPr>
        <c:crossAx val="-228330496"/>
        <c:crosses val="autoZero"/>
        <c:crossBetween val="midCat"/>
      </c:valAx>
      <c:valAx>
        <c:axId val="-228330496"/>
        <c:scaling>
          <c:orientation val="minMax"/>
          <c:max val="100"/>
          <c:min val="40"/>
        </c:scaling>
        <c:delete val="0"/>
        <c:axPos val="l"/>
        <c:majorGridlines>
          <c:spPr>
            <a:ln>
              <a:noFill/>
            </a:ln>
          </c:spPr>
        </c:majorGridlines>
        <c:title>
          <c:tx>
            <c:rich>
              <a:bodyPr rot="-5400000" vert="horz"/>
              <a:lstStyle/>
              <a:p>
                <a:pPr>
                  <a:defRPr sz="900"/>
                </a:pPr>
                <a:r>
                  <a:rPr lang="en-US" sz="900"/>
                  <a:t>Efficiency (%)</a:t>
                </a:r>
              </a:p>
            </c:rich>
          </c:tx>
          <c:overlay val="0"/>
        </c:title>
        <c:numFmt formatCode="0" sourceLinked="1"/>
        <c:majorTickMark val="out"/>
        <c:minorTickMark val="none"/>
        <c:tickLblPos val="nextTo"/>
        <c:txPr>
          <a:bodyPr/>
          <a:lstStyle/>
          <a:p>
            <a:pPr>
              <a:defRPr sz="900"/>
            </a:pPr>
            <a:endParaRPr lang="en-US"/>
          </a:p>
        </c:txPr>
        <c:crossAx val="-228331040"/>
        <c:crosses val="autoZero"/>
        <c:crossBetween val="midCat"/>
      </c:valAx>
      <c:spPr>
        <a:noFill/>
        <a:ln>
          <a:solidFill>
            <a:sysClr val="windowText" lastClr="000000"/>
          </a:solidFill>
        </a:ln>
      </c:spPr>
    </c:plotArea>
    <c:plotVisOnly val="1"/>
    <c:dispBlanksAs val="gap"/>
    <c:showDLblsOverMax val="0"/>
  </c:chart>
  <c:spPr>
    <a:noFill/>
    <a:ln w="6350">
      <a:solidFill>
        <a:sysClr val="windowText" lastClr="000000"/>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10</cp:revision>
  <cp:lastPrinted>2020-11-03T03:35:00Z</cp:lastPrinted>
  <dcterms:created xsi:type="dcterms:W3CDTF">2020-11-03T00:52:00Z</dcterms:created>
  <dcterms:modified xsi:type="dcterms:W3CDTF">2020-11-03T03:37:00Z</dcterms:modified>
</cp:coreProperties>
</file>