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38996CEA"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A22E36">
        <w:rPr>
          <w:rFonts w:ascii="Times New Roman" w:hAnsi="Times New Roman" w:cs="Times New Roman"/>
          <w:b/>
          <w:i/>
          <w:sz w:val="24"/>
          <w:szCs w:val="24"/>
        </w:rPr>
        <w:t>719</w:t>
      </w:r>
      <w:r w:rsidR="003A1F80" w:rsidRPr="006E79D9">
        <w:rPr>
          <w:rFonts w:ascii="Times New Roman" w:hAnsi="Times New Roman" w:cs="Times New Roman"/>
          <w:b/>
          <w:i/>
          <w:sz w:val="24"/>
          <w:szCs w:val="24"/>
        </w:rPr>
        <w:t xml:space="preserve"> - </w:t>
      </w:r>
      <w:r w:rsidR="00A22E36">
        <w:rPr>
          <w:rFonts w:ascii="Times New Roman" w:hAnsi="Times New Roman" w:cs="Times New Roman"/>
          <w:b/>
          <w:i/>
          <w:sz w:val="24"/>
          <w:szCs w:val="24"/>
        </w:rPr>
        <w:t>726</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7835B64" w14:textId="77777777" w:rsidR="00A22E36" w:rsidRDefault="00A22E36" w:rsidP="00A22E36">
      <w:pPr>
        <w:keepLines/>
        <w:topLinePunct/>
        <w:spacing w:after="0"/>
        <w:jc w:val="center"/>
        <w:outlineLvl w:val="0"/>
        <w:rPr>
          <w:rFonts w:ascii="Times New Roman" w:hAnsi="Times New Roman"/>
          <w:sz w:val="28"/>
          <w:szCs w:val="28"/>
        </w:rPr>
      </w:pPr>
      <w:r>
        <w:rPr>
          <w:rFonts w:ascii="Times New Roman" w:hAnsi="Times New Roman"/>
          <w:sz w:val="28"/>
          <w:szCs w:val="28"/>
        </w:rPr>
        <w:t>COMPUTATIONAL STUDIES ON NONLINEAR OPTICAL PROPERTIES OF METAL COMPLEXES CONTAINING AZOBENZENE</w:t>
      </w:r>
    </w:p>
    <w:p w14:paraId="4555DA87" w14:textId="77777777" w:rsidR="00A22E36" w:rsidRDefault="00A22E36" w:rsidP="00A22E36">
      <w:pPr>
        <w:keepLines/>
        <w:topLinePunct/>
        <w:spacing w:after="0"/>
        <w:jc w:val="center"/>
        <w:outlineLvl w:val="0"/>
        <w:rPr>
          <w:rFonts w:ascii="Times New Roman" w:hAnsi="Times New Roman"/>
          <w:sz w:val="24"/>
          <w:szCs w:val="24"/>
        </w:rPr>
      </w:pPr>
    </w:p>
    <w:p w14:paraId="09AD46A9" w14:textId="77777777" w:rsidR="00A22E36" w:rsidRDefault="00A22E36" w:rsidP="00A22E36">
      <w:pPr>
        <w:keepLines/>
        <w:topLinePunct/>
        <w:spacing w:after="0"/>
        <w:jc w:val="center"/>
        <w:outlineLvl w:val="0"/>
        <w:rPr>
          <w:rFonts w:ascii="Times New Roman" w:hAnsi="Times New Roman"/>
          <w:sz w:val="24"/>
          <w:lang w:val="ms-MY"/>
        </w:rPr>
      </w:pPr>
      <w:r>
        <w:rPr>
          <w:rFonts w:ascii="Times New Roman" w:hAnsi="Times New Roman"/>
          <w:sz w:val="24"/>
          <w:lang w:val="en-MY"/>
        </w:rPr>
        <w:t>(</w:t>
      </w:r>
      <w:r>
        <w:rPr>
          <w:rFonts w:ascii="Times New Roman" w:hAnsi="Times New Roman"/>
          <w:sz w:val="24"/>
          <w:lang w:val="ms-MY"/>
        </w:rPr>
        <w:t>Kajian Pengkomputeran Sifat Optik Tidak Linear Terhadap Sebatian Komplek Logam yang Mengandungi Azobenzena</w:t>
      </w:r>
      <w:r>
        <w:rPr>
          <w:rFonts w:ascii="Times New Roman" w:hAnsi="Times New Roman"/>
          <w:sz w:val="24"/>
          <w:lang w:val="en-MY"/>
        </w:rPr>
        <w:t>)</w:t>
      </w:r>
    </w:p>
    <w:p w14:paraId="577C7E29" w14:textId="77777777" w:rsidR="00A22E36" w:rsidRDefault="00A22E36" w:rsidP="00A22E36">
      <w:pPr>
        <w:keepLines/>
        <w:topLinePunct/>
        <w:spacing w:after="0"/>
        <w:jc w:val="center"/>
        <w:outlineLvl w:val="0"/>
        <w:rPr>
          <w:rFonts w:ascii="Times New Roman" w:hAnsi="Times New Roman"/>
          <w:b/>
          <w:sz w:val="20"/>
          <w:szCs w:val="20"/>
        </w:rPr>
      </w:pPr>
    </w:p>
    <w:p w14:paraId="5E00D0A5" w14:textId="77777777" w:rsidR="00A22E36" w:rsidRDefault="00A22E36" w:rsidP="00A22E36">
      <w:pPr>
        <w:keepLines/>
        <w:topLinePunct/>
        <w:spacing w:after="0"/>
        <w:jc w:val="center"/>
        <w:outlineLvl w:val="0"/>
        <w:rPr>
          <w:rFonts w:ascii="Times New Roman" w:hAnsi="Times New Roman"/>
          <w:sz w:val="20"/>
          <w:szCs w:val="20"/>
          <w:lang w:val="en-MY"/>
        </w:rPr>
      </w:pPr>
      <w:r>
        <w:rPr>
          <w:rFonts w:ascii="Times New Roman" w:hAnsi="Times New Roman"/>
          <w:sz w:val="20"/>
          <w:szCs w:val="20"/>
          <w:lang w:val="en-MY"/>
        </w:rPr>
        <w:t xml:space="preserve"> Pang Siew Woon</w:t>
      </w:r>
      <w:r>
        <w:rPr>
          <w:rFonts w:ascii="Times New Roman" w:hAnsi="Times New Roman"/>
          <w:sz w:val="20"/>
          <w:szCs w:val="20"/>
          <w:vertAlign w:val="superscript"/>
        </w:rPr>
        <w:t>1</w:t>
      </w:r>
      <w:r>
        <w:rPr>
          <w:rFonts w:ascii="Times New Roman" w:hAnsi="Times New Roman"/>
          <w:sz w:val="20"/>
          <w:szCs w:val="20"/>
        </w:rPr>
        <w:t xml:space="preserve">, </w:t>
      </w:r>
      <w:r>
        <w:rPr>
          <w:rFonts w:ascii="Times New Roman" w:hAnsi="Times New Roman"/>
          <w:sz w:val="20"/>
          <w:szCs w:val="20"/>
          <w:lang w:val="en-MY"/>
        </w:rPr>
        <w:t>Suhaila Sapari</w:t>
      </w:r>
      <w:r>
        <w:rPr>
          <w:rFonts w:ascii="Times New Roman" w:hAnsi="Times New Roman"/>
          <w:sz w:val="20"/>
          <w:szCs w:val="20"/>
          <w:vertAlign w:val="superscript"/>
          <w:lang w:val="en-MY"/>
        </w:rPr>
        <w:t>2</w:t>
      </w:r>
      <w:r>
        <w:rPr>
          <w:rFonts w:ascii="Times New Roman" w:hAnsi="Times New Roman"/>
          <w:sz w:val="20"/>
          <w:szCs w:val="20"/>
        </w:rPr>
        <w:t xml:space="preserve">, </w:t>
      </w:r>
      <w:r>
        <w:rPr>
          <w:rFonts w:ascii="Times New Roman" w:hAnsi="Times New Roman"/>
          <w:sz w:val="20"/>
          <w:szCs w:val="20"/>
          <w:lang w:val="en-MY"/>
        </w:rPr>
        <w:t>Juan Matmin</w:t>
      </w:r>
      <w:r>
        <w:rPr>
          <w:rFonts w:ascii="Times New Roman" w:hAnsi="Times New Roman"/>
          <w:sz w:val="20"/>
          <w:szCs w:val="20"/>
          <w:vertAlign w:val="superscript"/>
          <w:lang w:val="en-MY"/>
        </w:rPr>
        <w:t>1</w:t>
      </w:r>
      <w:r>
        <w:rPr>
          <w:rFonts w:ascii="Times New Roman" w:hAnsi="Times New Roman"/>
          <w:sz w:val="20"/>
          <w:szCs w:val="20"/>
          <w:lang w:val="en-MY"/>
        </w:rPr>
        <w:t>, Fazira Ilyana Abdul Razak</w:t>
      </w:r>
      <w:r>
        <w:rPr>
          <w:rFonts w:ascii="Times New Roman" w:hAnsi="Times New Roman"/>
          <w:sz w:val="20"/>
          <w:szCs w:val="20"/>
          <w:vertAlign w:val="superscript"/>
        </w:rPr>
        <w:t>1</w:t>
      </w:r>
      <w:r>
        <w:rPr>
          <w:rFonts w:ascii="Times New Roman" w:hAnsi="Times New Roman"/>
          <w:sz w:val="20"/>
          <w:szCs w:val="20"/>
          <w:lang w:val="en-MY"/>
        </w:rPr>
        <w:t>*</w:t>
      </w:r>
    </w:p>
    <w:p w14:paraId="60513D67" w14:textId="77777777" w:rsidR="00A22E36" w:rsidRPr="00A22E36" w:rsidRDefault="00A22E36" w:rsidP="00A22E36">
      <w:pPr>
        <w:keepLines/>
        <w:kinsoku w:val="0"/>
        <w:topLinePunct/>
        <w:spacing w:after="0"/>
        <w:jc w:val="center"/>
        <w:outlineLvl w:val="0"/>
        <w:rPr>
          <w:rFonts w:ascii="Times New Roman" w:hAnsi="Times New Roman"/>
          <w:b/>
          <w:sz w:val="20"/>
          <w:szCs w:val="20"/>
        </w:rPr>
      </w:pPr>
    </w:p>
    <w:p w14:paraId="27AD951A" w14:textId="77777777" w:rsidR="00A22E36" w:rsidRPr="00A22E36" w:rsidRDefault="00A22E36" w:rsidP="00A22E36">
      <w:pPr>
        <w:keepLines/>
        <w:topLinePunct/>
        <w:spacing w:after="0"/>
        <w:jc w:val="center"/>
        <w:outlineLvl w:val="0"/>
        <w:rPr>
          <w:rFonts w:ascii="Times New Roman" w:hAnsi="Times New Roman"/>
          <w:i/>
          <w:sz w:val="20"/>
          <w:szCs w:val="20"/>
          <w:lang w:val="en-MY"/>
        </w:rPr>
      </w:pPr>
      <w:r w:rsidRPr="00A22E36">
        <w:rPr>
          <w:rFonts w:ascii="Times New Roman" w:hAnsi="Times New Roman"/>
          <w:i/>
          <w:sz w:val="20"/>
          <w:szCs w:val="20"/>
          <w:vertAlign w:val="superscript"/>
        </w:rPr>
        <w:t>1</w:t>
      </w:r>
      <w:r w:rsidRPr="00A22E36">
        <w:rPr>
          <w:rFonts w:ascii="Times New Roman" w:hAnsi="Times New Roman"/>
          <w:i/>
          <w:sz w:val="20"/>
          <w:szCs w:val="20"/>
        </w:rPr>
        <w:t xml:space="preserve"> Faculty of Science</w:t>
      </w:r>
      <w:r w:rsidRPr="00A22E36">
        <w:rPr>
          <w:rFonts w:ascii="Times New Roman" w:hAnsi="Times New Roman"/>
          <w:i/>
          <w:sz w:val="20"/>
          <w:szCs w:val="20"/>
          <w:lang w:val="en-MY"/>
        </w:rPr>
        <w:t xml:space="preserve">, </w:t>
      </w:r>
    </w:p>
    <w:p w14:paraId="493DC383" w14:textId="77777777" w:rsidR="00A22E36" w:rsidRPr="00A22E36" w:rsidRDefault="00A22E36" w:rsidP="00A22E36">
      <w:pPr>
        <w:keepLines/>
        <w:topLinePunct/>
        <w:spacing w:after="0"/>
        <w:jc w:val="center"/>
        <w:outlineLvl w:val="0"/>
        <w:rPr>
          <w:rFonts w:ascii="Times New Roman" w:hAnsi="Times New Roman"/>
          <w:i/>
          <w:sz w:val="20"/>
          <w:szCs w:val="20"/>
          <w:lang w:val="en-MY"/>
        </w:rPr>
      </w:pPr>
      <w:r w:rsidRPr="00A22E36">
        <w:rPr>
          <w:rFonts w:ascii="Times New Roman" w:hAnsi="Times New Roman"/>
          <w:i/>
          <w:sz w:val="20"/>
          <w:szCs w:val="20"/>
          <w:lang w:val="en-MY"/>
        </w:rPr>
        <w:t>Universiti Teknologi Malaysia, 81200 Skudai, Johor Bahru, Malaysia</w:t>
      </w:r>
    </w:p>
    <w:p w14:paraId="618253DA" w14:textId="77777777" w:rsidR="00A22E36" w:rsidRPr="00A22E36" w:rsidRDefault="00A22E36" w:rsidP="00A22E36">
      <w:pPr>
        <w:keepLines/>
        <w:topLinePunct/>
        <w:spacing w:after="0"/>
        <w:jc w:val="center"/>
        <w:outlineLvl w:val="0"/>
        <w:rPr>
          <w:rFonts w:ascii="Times New Roman" w:hAnsi="Times New Roman"/>
          <w:i/>
          <w:sz w:val="20"/>
          <w:szCs w:val="20"/>
          <w:lang w:val="en-MY"/>
        </w:rPr>
      </w:pPr>
      <w:r w:rsidRPr="00A22E36">
        <w:rPr>
          <w:rFonts w:ascii="Times New Roman" w:hAnsi="Times New Roman"/>
          <w:i/>
          <w:sz w:val="20"/>
          <w:szCs w:val="20"/>
          <w:vertAlign w:val="superscript"/>
        </w:rPr>
        <w:t>2</w:t>
      </w:r>
      <w:r w:rsidRPr="00A22E36">
        <w:rPr>
          <w:rFonts w:ascii="Times New Roman" w:hAnsi="Times New Roman"/>
          <w:i/>
          <w:sz w:val="20"/>
          <w:szCs w:val="20"/>
          <w:lang w:val="en-MY"/>
        </w:rPr>
        <w:t xml:space="preserve">Centre for Advanced Materials and Renewable Resources, </w:t>
      </w:r>
      <w:r w:rsidRPr="00A22E36">
        <w:rPr>
          <w:rFonts w:ascii="Times New Roman" w:hAnsi="Times New Roman"/>
          <w:i/>
          <w:sz w:val="20"/>
          <w:szCs w:val="20"/>
        </w:rPr>
        <w:t>Faculty of Science and Technology</w:t>
      </w:r>
      <w:r w:rsidRPr="00A22E36">
        <w:rPr>
          <w:rFonts w:ascii="Times New Roman" w:hAnsi="Times New Roman"/>
          <w:i/>
          <w:sz w:val="20"/>
          <w:szCs w:val="20"/>
          <w:lang w:val="en-MY"/>
        </w:rPr>
        <w:t>,</w:t>
      </w:r>
    </w:p>
    <w:p w14:paraId="5FD7B52D" w14:textId="77777777" w:rsidR="00A22E36" w:rsidRPr="00A22E36" w:rsidRDefault="00A22E36" w:rsidP="00A22E36">
      <w:pPr>
        <w:keepLines/>
        <w:topLinePunct/>
        <w:spacing w:after="0"/>
        <w:jc w:val="center"/>
        <w:outlineLvl w:val="0"/>
        <w:rPr>
          <w:rFonts w:ascii="Times New Roman" w:hAnsi="Times New Roman"/>
          <w:i/>
          <w:sz w:val="20"/>
          <w:szCs w:val="20"/>
        </w:rPr>
      </w:pPr>
      <w:r w:rsidRPr="00A22E36">
        <w:rPr>
          <w:rFonts w:ascii="Times New Roman" w:hAnsi="Times New Roman"/>
          <w:i/>
          <w:sz w:val="20"/>
          <w:szCs w:val="20"/>
        </w:rPr>
        <w:t>Universiti Kebangsaan Malaysia, 43600 UKM Bangi, Selangor, Malaysia</w:t>
      </w:r>
    </w:p>
    <w:p w14:paraId="714E5729" w14:textId="77777777" w:rsidR="00A22E36" w:rsidRPr="00A22E36" w:rsidRDefault="00A22E36" w:rsidP="00A22E36">
      <w:pPr>
        <w:keepLines/>
        <w:topLinePunct/>
        <w:spacing w:after="0"/>
        <w:jc w:val="center"/>
        <w:outlineLvl w:val="0"/>
        <w:rPr>
          <w:rFonts w:ascii="Times New Roman" w:hAnsi="Times New Roman"/>
          <w:b/>
          <w:sz w:val="20"/>
          <w:szCs w:val="20"/>
        </w:rPr>
      </w:pPr>
    </w:p>
    <w:p w14:paraId="6572BB99" w14:textId="77777777" w:rsidR="00A22E36" w:rsidRPr="00A22E36" w:rsidRDefault="00A22E36" w:rsidP="00A22E36">
      <w:pPr>
        <w:keepLines/>
        <w:topLinePunct/>
        <w:spacing w:after="0"/>
        <w:jc w:val="center"/>
        <w:outlineLvl w:val="0"/>
        <w:rPr>
          <w:rFonts w:ascii="Times New Roman" w:hAnsi="Times New Roman"/>
          <w:i/>
          <w:sz w:val="20"/>
          <w:szCs w:val="20"/>
        </w:rPr>
      </w:pPr>
      <w:r w:rsidRPr="00A22E36">
        <w:rPr>
          <w:rFonts w:ascii="Times New Roman" w:hAnsi="Times New Roman"/>
          <w:i/>
          <w:sz w:val="20"/>
          <w:szCs w:val="20"/>
        </w:rPr>
        <w:t>*Corresponding author:</w:t>
      </w:r>
      <w:r w:rsidRPr="00A22E36">
        <w:rPr>
          <w:rFonts w:ascii="Times New Roman" w:hAnsi="Times New Roman"/>
          <w:i/>
          <w:sz w:val="20"/>
          <w:szCs w:val="20"/>
          <w:lang w:val="en-MY"/>
        </w:rPr>
        <w:t xml:space="preserve">  fazirailyana@utm.my</w:t>
      </w:r>
    </w:p>
    <w:p w14:paraId="7D93D896" w14:textId="77777777" w:rsidR="00A22E36" w:rsidRPr="00A22E36" w:rsidRDefault="00A22E36" w:rsidP="00A22E36">
      <w:pPr>
        <w:spacing w:after="0"/>
        <w:jc w:val="center"/>
        <w:rPr>
          <w:rFonts w:ascii="Times New Roman" w:hAnsi="Times New Roman"/>
          <w:noProof/>
          <w:sz w:val="20"/>
          <w:szCs w:val="20"/>
        </w:rPr>
      </w:pPr>
    </w:p>
    <w:p w14:paraId="2BE8E3EF" w14:textId="77777777" w:rsidR="00A22E36" w:rsidRPr="00A22E36" w:rsidRDefault="00A22E36" w:rsidP="00A22E36">
      <w:pPr>
        <w:spacing w:after="0"/>
        <w:jc w:val="center"/>
        <w:rPr>
          <w:rFonts w:ascii="Times New Roman" w:hAnsi="Times New Roman"/>
          <w:noProof/>
          <w:sz w:val="20"/>
          <w:szCs w:val="20"/>
        </w:rPr>
      </w:pPr>
    </w:p>
    <w:p w14:paraId="207D21F7" w14:textId="353A894B" w:rsidR="00A22E36" w:rsidRPr="00A22E36" w:rsidRDefault="00A22E36" w:rsidP="00A22E36">
      <w:pPr>
        <w:spacing w:after="0"/>
        <w:jc w:val="center"/>
        <w:rPr>
          <w:rFonts w:ascii="Times New Roman" w:hAnsi="Times New Roman"/>
          <w:noProof/>
          <w:sz w:val="20"/>
          <w:szCs w:val="20"/>
        </w:rPr>
      </w:pPr>
      <w:r w:rsidRPr="00A22E36">
        <w:rPr>
          <w:rFonts w:ascii="Times New Roman" w:hAnsi="Times New Roman"/>
          <w:noProof/>
          <w:sz w:val="20"/>
          <w:szCs w:val="20"/>
        </w:rPr>
        <w:t xml:space="preserve">Received: 13 November 2019; Accepted: 3 September 2020; Published:  </w:t>
      </w:r>
      <w:r w:rsidR="00E025AA">
        <w:rPr>
          <w:rFonts w:ascii="Times New Roman" w:hAnsi="Times New Roman"/>
          <w:noProof/>
          <w:sz w:val="20"/>
          <w:szCs w:val="20"/>
        </w:rPr>
        <w:t>12</w:t>
      </w:r>
      <w:r w:rsidRPr="00A22E36">
        <w:rPr>
          <w:rFonts w:ascii="Times New Roman" w:hAnsi="Times New Roman"/>
          <w:noProof/>
          <w:sz w:val="20"/>
          <w:szCs w:val="20"/>
        </w:rPr>
        <w:t xml:space="preserve"> October 2020</w:t>
      </w:r>
    </w:p>
    <w:p w14:paraId="7B8CC7E9" w14:textId="77777777" w:rsidR="00A22E36" w:rsidRPr="00A22E36" w:rsidRDefault="00A22E36" w:rsidP="00A22E36">
      <w:pPr>
        <w:spacing w:after="0"/>
        <w:jc w:val="center"/>
        <w:rPr>
          <w:rFonts w:ascii="Times New Roman" w:hAnsi="Times New Roman"/>
          <w:noProof/>
          <w:sz w:val="20"/>
          <w:szCs w:val="20"/>
        </w:rPr>
      </w:pPr>
    </w:p>
    <w:p w14:paraId="62DE24E9" w14:textId="77777777" w:rsidR="00A22E36" w:rsidRPr="00A22E36" w:rsidRDefault="00A22E36" w:rsidP="00A22E36">
      <w:pPr>
        <w:spacing w:after="0"/>
        <w:jc w:val="center"/>
        <w:rPr>
          <w:rFonts w:ascii="Times New Roman" w:hAnsi="Times New Roman"/>
          <w:noProof/>
          <w:sz w:val="20"/>
          <w:szCs w:val="20"/>
        </w:rPr>
      </w:pPr>
    </w:p>
    <w:p w14:paraId="7F3AF4CE" w14:textId="77777777" w:rsidR="00A22E36" w:rsidRPr="00A22E36" w:rsidRDefault="00A22E36" w:rsidP="00A22E36">
      <w:pPr>
        <w:spacing w:after="0"/>
        <w:jc w:val="center"/>
        <w:rPr>
          <w:rFonts w:ascii="Times New Roman" w:hAnsi="Times New Roman"/>
          <w:b/>
          <w:noProof/>
          <w:sz w:val="20"/>
          <w:szCs w:val="20"/>
        </w:rPr>
      </w:pPr>
      <w:r w:rsidRPr="00A22E36">
        <w:rPr>
          <w:rFonts w:ascii="Times New Roman" w:hAnsi="Times New Roman"/>
          <w:b/>
          <w:noProof/>
          <w:sz w:val="20"/>
          <w:szCs w:val="20"/>
        </w:rPr>
        <w:t>Abstract</w:t>
      </w:r>
    </w:p>
    <w:p w14:paraId="13CE6DD6" w14:textId="77777777" w:rsidR="00A22E36" w:rsidRPr="00A22E36" w:rsidRDefault="00A22E36" w:rsidP="00A22E36">
      <w:pPr>
        <w:keepLines/>
        <w:topLinePunct/>
        <w:spacing w:after="0"/>
        <w:jc w:val="both"/>
        <w:outlineLvl w:val="0"/>
        <w:rPr>
          <w:rFonts w:ascii="Times New Roman" w:hAnsi="Times New Roman"/>
          <w:sz w:val="20"/>
          <w:szCs w:val="20"/>
          <w:lang w:bidi="en-US"/>
        </w:rPr>
      </w:pPr>
      <w:r w:rsidRPr="00A22E36">
        <w:rPr>
          <w:rFonts w:ascii="Times New Roman" w:hAnsi="Times New Roman"/>
          <w:sz w:val="20"/>
          <w:szCs w:val="20"/>
        </w:rPr>
        <w:t>Ruthenium complexes containing different azobenzene derivatives with different substituents provide different nonlinear optical (NLO) properties. A computational study through the Hartree-Fock (HF) method based on a 3-21G level and the density functional theory (DFT) methods based on LANL2DZ/6-31G level were used in the investigation to reduce cost and time of the experimental investigation. It was discovered that DFT-based calculations were more accurate than the HF method based on the result of bond length and bond angle obtained after the geometry optimization of three ruthenium-azobenzene complexes; complex A, complex B, and complex C. The investigation through the DFT method revealed that the three complexes possess a high NLO property based on the value of total frequency-dependent first hyperpolarizability, β</w:t>
      </w:r>
      <w:r w:rsidRPr="00A22E36">
        <w:rPr>
          <w:rFonts w:ascii="Times New Roman" w:hAnsi="Times New Roman"/>
          <w:sz w:val="20"/>
          <w:szCs w:val="20"/>
          <w:vertAlign w:val="subscript"/>
        </w:rPr>
        <w:t>tot</w:t>
      </w:r>
      <w:r w:rsidRPr="00A22E36">
        <w:rPr>
          <w:rFonts w:ascii="Times New Roman" w:hAnsi="Times New Roman"/>
          <w:sz w:val="20"/>
          <w:szCs w:val="20"/>
        </w:rPr>
        <w:t xml:space="preserve"> obtained at the wavelength of 1064 nm contributed by the electron delocalization effect, due to the presence of a strong electron donating and withdrawing group in the azobenzene derivatives. </w:t>
      </w:r>
      <w:r w:rsidRPr="00A22E36">
        <w:rPr>
          <w:rFonts w:ascii="Times New Roman" w:hAnsi="Times New Roman"/>
          <w:sz w:val="20"/>
          <w:szCs w:val="20"/>
          <w:lang w:val="en-MY"/>
        </w:rPr>
        <w:t>I</w:t>
      </w:r>
      <w:r w:rsidRPr="00A22E36">
        <w:rPr>
          <w:rFonts w:ascii="Times New Roman" w:hAnsi="Times New Roman"/>
          <w:sz w:val="20"/>
          <w:szCs w:val="20"/>
        </w:rPr>
        <w:t>t was revealed that Complex C possessed the highest NLO property with a β</w:t>
      </w:r>
      <w:r w:rsidRPr="00A22E36">
        <w:rPr>
          <w:rFonts w:ascii="Times New Roman" w:hAnsi="Times New Roman"/>
          <w:sz w:val="20"/>
          <w:szCs w:val="20"/>
          <w:vertAlign w:val="subscript"/>
        </w:rPr>
        <w:t>tot</w:t>
      </w:r>
      <w:r w:rsidRPr="00A22E36">
        <w:rPr>
          <w:rFonts w:ascii="Times New Roman" w:hAnsi="Times New Roman"/>
          <w:sz w:val="20"/>
          <w:szCs w:val="20"/>
        </w:rPr>
        <w:t xml:space="preserve"> value of 12414.87</w:t>
      </w:r>
      <w:r w:rsidRPr="00A22E36">
        <w:rPr>
          <w:rFonts w:ascii="Times New Roman" w:hAnsi="Times New Roman"/>
          <w:sz w:val="20"/>
          <w:szCs w:val="20"/>
          <w:lang w:val="en-MY"/>
        </w:rPr>
        <w:t xml:space="preserve"> </w:t>
      </w:r>
      <w:r w:rsidRPr="00A22E36">
        <w:rPr>
          <w:rFonts w:ascii="Times New Roman" w:hAnsi="Times New Roman"/>
          <w:sz w:val="20"/>
          <w:szCs w:val="20"/>
        </w:rPr>
        <w:t>x10</w:t>
      </w:r>
      <w:r w:rsidRPr="00A22E36">
        <w:rPr>
          <w:rFonts w:ascii="Times New Roman" w:hAnsi="Times New Roman"/>
          <w:sz w:val="20"/>
          <w:szCs w:val="20"/>
          <w:vertAlign w:val="superscript"/>
        </w:rPr>
        <w:t>-30</w:t>
      </w:r>
      <w:r w:rsidRPr="00A22E36">
        <w:rPr>
          <w:rFonts w:ascii="Times New Roman" w:hAnsi="Times New Roman"/>
          <w:sz w:val="20"/>
          <w:szCs w:val="20"/>
        </w:rPr>
        <w:t xml:space="preserve"> esu followed by</w:t>
      </w:r>
      <w:r w:rsidRPr="00A22E36">
        <w:rPr>
          <w:rFonts w:ascii="Times New Roman" w:hAnsi="Times New Roman"/>
          <w:sz w:val="20"/>
          <w:szCs w:val="20"/>
          <w:lang w:val="en-MY"/>
        </w:rPr>
        <w:t xml:space="preserve"> complex </w:t>
      </w:r>
      <w:r w:rsidRPr="00A22E36">
        <w:rPr>
          <w:rFonts w:ascii="Times New Roman" w:hAnsi="Times New Roman"/>
          <w:sz w:val="20"/>
          <w:szCs w:val="20"/>
        </w:rPr>
        <w:t>A</w:t>
      </w:r>
      <w:r w:rsidRPr="00A22E36">
        <w:rPr>
          <w:rFonts w:ascii="Times New Roman" w:hAnsi="Times New Roman"/>
          <w:sz w:val="20"/>
          <w:szCs w:val="20"/>
          <w:lang w:val="en-MY"/>
        </w:rPr>
        <w:t xml:space="preserve"> (</w:t>
      </w:r>
      <w:r w:rsidRPr="00A22E36">
        <w:rPr>
          <w:rFonts w:ascii="Times New Roman" w:hAnsi="Times New Roman"/>
          <w:sz w:val="20"/>
          <w:szCs w:val="20"/>
        </w:rPr>
        <w:t>11828.63x10</w:t>
      </w:r>
      <w:r w:rsidRPr="00A22E36">
        <w:rPr>
          <w:rFonts w:ascii="Times New Roman" w:hAnsi="Times New Roman"/>
          <w:sz w:val="20"/>
          <w:szCs w:val="20"/>
          <w:vertAlign w:val="superscript"/>
        </w:rPr>
        <w:t>-30</w:t>
      </w:r>
      <w:r w:rsidRPr="00A22E36">
        <w:rPr>
          <w:rFonts w:ascii="Times New Roman" w:hAnsi="Times New Roman"/>
          <w:sz w:val="20"/>
          <w:szCs w:val="20"/>
        </w:rPr>
        <w:t xml:space="preserve"> esu</w:t>
      </w:r>
      <w:r w:rsidRPr="00A22E36">
        <w:rPr>
          <w:rFonts w:ascii="Times New Roman" w:hAnsi="Times New Roman"/>
          <w:sz w:val="20"/>
          <w:szCs w:val="20"/>
          <w:lang w:val="en-MY"/>
        </w:rPr>
        <w:t xml:space="preserve">) </w:t>
      </w:r>
      <w:r w:rsidRPr="00A22E36">
        <w:rPr>
          <w:rFonts w:ascii="Times New Roman" w:hAnsi="Times New Roman"/>
          <w:sz w:val="20"/>
          <w:szCs w:val="20"/>
        </w:rPr>
        <w:t>and</w:t>
      </w:r>
      <w:r w:rsidRPr="00A22E36">
        <w:rPr>
          <w:rFonts w:ascii="Times New Roman" w:hAnsi="Times New Roman"/>
          <w:sz w:val="20"/>
          <w:szCs w:val="20"/>
          <w:lang w:val="en-MY"/>
        </w:rPr>
        <w:t xml:space="preserve"> Complex </w:t>
      </w:r>
      <w:r w:rsidRPr="00A22E36">
        <w:rPr>
          <w:rFonts w:ascii="Times New Roman" w:hAnsi="Times New Roman"/>
          <w:sz w:val="20"/>
          <w:szCs w:val="20"/>
        </w:rPr>
        <w:t>B</w:t>
      </w:r>
      <w:r w:rsidRPr="00A22E36">
        <w:rPr>
          <w:rFonts w:ascii="Times New Roman" w:hAnsi="Times New Roman"/>
          <w:sz w:val="20"/>
          <w:szCs w:val="20"/>
          <w:lang w:val="en-MY"/>
        </w:rPr>
        <w:t xml:space="preserve"> (</w:t>
      </w:r>
      <w:r w:rsidRPr="00A22E36">
        <w:rPr>
          <w:rFonts w:ascii="Times New Roman" w:hAnsi="Times New Roman"/>
          <w:sz w:val="20"/>
          <w:szCs w:val="20"/>
        </w:rPr>
        <w:t>3372.10</w:t>
      </w:r>
      <w:r w:rsidRPr="00A22E36">
        <w:rPr>
          <w:rFonts w:ascii="Times New Roman" w:hAnsi="Times New Roman"/>
          <w:sz w:val="20"/>
          <w:szCs w:val="20"/>
          <w:lang w:val="en-MY"/>
        </w:rPr>
        <w:t xml:space="preserve"> </w:t>
      </w:r>
      <w:r w:rsidRPr="00A22E36">
        <w:rPr>
          <w:rFonts w:ascii="Times New Roman" w:hAnsi="Times New Roman"/>
          <w:sz w:val="20"/>
          <w:szCs w:val="20"/>
        </w:rPr>
        <w:t>x10</w:t>
      </w:r>
      <w:r w:rsidRPr="00A22E36">
        <w:rPr>
          <w:rFonts w:ascii="Times New Roman" w:hAnsi="Times New Roman"/>
          <w:sz w:val="20"/>
          <w:szCs w:val="20"/>
          <w:vertAlign w:val="superscript"/>
        </w:rPr>
        <w:t>-30</w:t>
      </w:r>
      <w:r w:rsidRPr="00A22E36">
        <w:rPr>
          <w:rFonts w:ascii="Times New Roman" w:hAnsi="Times New Roman"/>
          <w:sz w:val="20"/>
          <w:szCs w:val="20"/>
        </w:rPr>
        <w:t xml:space="preserve"> esu</w:t>
      </w:r>
      <w:r w:rsidRPr="00A22E36">
        <w:rPr>
          <w:rFonts w:ascii="Times New Roman" w:hAnsi="Times New Roman"/>
          <w:sz w:val="20"/>
          <w:szCs w:val="20"/>
          <w:lang w:val="en-MY"/>
        </w:rPr>
        <w:t xml:space="preserve">). The influence of </w:t>
      </w:r>
      <w:r w:rsidRPr="00A22E36">
        <w:rPr>
          <w:rFonts w:ascii="Times New Roman" w:hAnsi="Times New Roman"/>
          <w:sz w:val="20"/>
          <w:szCs w:val="20"/>
        </w:rPr>
        <w:t xml:space="preserve">the </w:t>
      </w:r>
      <w:r w:rsidRPr="00A22E36">
        <w:rPr>
          <w:rFonts w:ascii="Times New Roman" w:hAnsi="Times New Roman"/>
          <w:sz w:val="20"/>
          <w:szCs w:val="20"/>
          <w:lang w:val="en-MY"/>
        </w:rPr>
        <w:t>different structures of azobenzene containing metal to enhance the strength of nonlinear optic</w:t>
      </w:r>
      <w:r w:rsidRPr="00A22E36">
        <w:rPr>
          <w:rFonts w:ascii="Times New Roman" w:hAnsi="Times New Roman"/>
          <w:sz w:val="20"/>
          <w:szCs w:val="20"/>
        </w:rPr>
        <w:t>al</w:t>
      </w:r>
      <w:r w:rsidRPr="00A22E36">
        <w:rPr>
          <w:rFonts w:ascii="Times New Roman" w:hAnsi="Times New Roman"/>
          <w:sz w:val="20"/>
          <w:szCs w:val="20"/>
          <w:lang w:val="en-MY"/>
        </w:rPr>
        <w:t xml:space="preserve"> properties through NLO calculation has been successfully performed by </w:t>
      </w:r>
      <w:r w:rsidRPr="00A22E36">
        <w:rPr>
          <w:rFonts w:ascii="Times New Roman" w:hAnsi="Times New Roman"/>
          <w:sz w:val="20"/>
          <w:szCs w:val="20"/>
        </w:rPr>
        <w:t xml:space="preserve">the </w:t>
      </w:r>
      <w:r w:rsidRPr="00A22E36">
        <w:rPr>
          <w:rFonts w:ascii="Times New Roman" w:hAnsi="Times New Roman"/>
          <w:sz w:val="20"/>
          <w:szCs w:val="20"/>
          <w:lang w:val="en-MY"/>
        </w:rPr>
        <w:t>DFT method</w:t>
      </w:r>
      <w:r w:rsidRPr="00A22E36">
        <w:rPr>
          <w:rFonts w:ascii="Times New Roman" w:hAnsi="Times New Roman"/>
          <w:sz w:val="20"/>
          <w:szCs w:val="20"/>
        </w:rPr>
        <w:t>. The high NLO property of complex C was contributed by the -O(C=O)R group, which is a moderate electron-donating group (EDG) and an amine group, which is a strong EDG especially when its hydrogen group is replaced by the alkyl group.</w:t>
      </w:r>
    </w:p>
    <w:p w14:paraId="71586CE7" w14:textId="77777777" w:rsidR="00A22E36" w:rsidRPr="00A22E36" w:rsidRDefault="00A22E36" w:rsidP="00A22E36">
      <w:pPr>
        <w:keepLines/>
        <w:topLinePunct/>
        <w:spacing w:after="0"/>
        <w:jc w:val="both"/>
        <w:outlineLvl w:val="0"/>
        <w:rPr>
          <w:rFonts w:ascii="Times New Roman" w:hAnsi="Times New Roman"/>
          <w:sz w:val="20"/>
          <w:szCs w:val="20"/>
        </w:rPr>
      </w:pPr>
    </w:p>
    <w:p w14:paraId="6856C2AA" w14:textId="77777777" w:rsidR="00A22E36" w:rsidRPr="00A22E36" w:rsidRDefault="00A22E36" w:rsidP="00A22E36">
      <w:pPr>
        <w:keepLines/>
        <w:topLinePunct/>
        <w:spacing w:after="0"/>
        <w:jc w:val="both"/>
        <w:outlineLvl w:val="0"/>
        <w:rPr>
          <w:rFonts w:ascii="Times New Roman" w:hAnsi="Times New Roman"/>
          <w:sz w:val="20"/>
          <w:szCs w:val="20"/>
        </w:rPr>
      </w:pPr>
      <w:r w:rsidRPr="00A22E36">
        <w:rPr>
          <w:rFonts w:ascii="Times New Roman" w:hAnsi="Times New Roman"/>
          <w:b/>
          <w:bCs/>
          <w:iCs/>
          <w:sz w:val="20"/>
          <w:szCs w:val="20"/>
        </w:rPr>
        <w:t>Keywords</w:t>
      </w:r>
      <w:r w:rsidRPr="00A22E36">
        <w:rPr>
          <w:rFonts w:ascii="Times New Roman" w:hAnsi="Times New Roman"/>
          <w:b/>
          <w:sz w:val="20"/>
          <w:szCs w:val="20"/>
        </w:rPr>
        <w:t>:</w:t>
      </w:r>
      <w:r w:rsidRPr="00A22E36">
        <w:rPr>
          <w:rFonts w:ascii="Times New Roman" w:hAnsi="Times New Roman"/>
          <w:sz w:val="20"/>
          <w:szCs w:val="20"/>
        </w:rPr>
        <w:t xml:space="preserve">  nonlinear optic property, ruthenium complex, azobenzene, Hartree Fock, density functional theory</w:t>
      </w:r>
    </w:p>
    <w:p w14:paraId="6376F190" w14:textId="77777777" w:rsidR="00A22E36" w:rsidRPr="00A22E36" w:rsidRDefault="00A22E36" w:rsidP="00A22E36">
      <w:pPr>
        <w:keepLines/>
        <w:topLinePunct/>
        <w:spacing w:after="0"/>
        <w:jc w:val="center"/>
        <w:outlineLvl w:val="0"/>
        <w:rPr>
          <w:rFonts w:ascii="Times New Roman" w:hAnsi="Times New Roman"/>
          <w:b/>
          <w:sz w:val="20"/>
          <w:szCs w:val="20"/>
        </w:rPr>
      </w:pPr>
    </w:p>
    <w:p w14:paraId="651DFA2D" w14:textId="77777777" w:rsidR="00A22E36" w:rsidRPr="00A22E36" w:rsidRDefault="00A22E36" w:rsidP="00A22E36">
      <w:pPr>
        <w:spacing w:after="0"/>
        <w:jc w:val="center"/>
        <w:rPr>
          <w:rFonts w:ascii="Times New Roman" w:hAnsi="Times New Roman"/>
          <w:b/>
          <w:bCs/>
          <w:sz w:val="20"/>
          <w:szCs w:val="20"/>
          <w:lang w:val="ms-MY"/>
        </w:rPr>
      </w:pPr>
      <w:r w:rsidRPr="00A22E36">
        <w:rPr>
          <w:rFonts w:ascii="Times New Roman" w:hAnsi="Times New Roman"/>
          <w:b/>
          <w:bCs/>
          <w:sz w:val="20"/>
          <w:szCs w:val="20"/>
          <w:lang w:val="ms-MY"/>
        </w:rPr>
        <w:lastRenderedPageBreak/>
        <w:t>Abstrak</w:t>
      </w:r>
    </w:p>
    <w:p w14:paraId="4A137A85" w14:textId="77777777" w:rsidR="00A22E36" w:rsidRPr="00A22E36" w:rsidRDefault="00A22E36" w:rsidP="00A22E36">
      <w:pPr>
        <w:spacing w:after="0"/>
        <w:jc w:val="both"/>
        <w:rPr>
          <w:rFonts w:ascii="Times New Roman" w:hAnsi="Times New Roman"/>
          <w:sz w:val="20"/>
          <w:szCs w:val="20"/>
          <w:lang w:val="ms-MY"/>
        </w:rPr>
      </w:pPr>
      <w:r w:rsidRPr="00A22E36">
        <w:rPr>
          <w:rFonts w:ascii="Times New Roman" w:hAnsi="Times New Roman"/>
          <w:sz w:val="20"/>
          <w:szCs w:val="20"/>
          <w:lang w:val="ms-MY"/>
        </w:rPr>
        <w:t>Komplek ruthenium yang mengandungi terbitan azobenzena pada kumpulan  pembolehubah yang pelbagai memberikan sifatoptik tidak linear yang berbeza. Kajian pengkomputeran menggunakan kaedah Hartee-Fock (HF) dengan set asas 3-21G dan teori fungsi ketumpatan (DFT) dengan set asas LANL2DZ/6-31G telah dijalankan bagi mengurangkan kos dan masa yang digunakan dalam kaedah experimen. Hasil pengiraan menunjukkan pengiraan menggunakan kaedah DFT adalah lebih tepat berbanding menggunakan kaedah HF, berdasarkan nilai panjang ikatan dan sudut ikatan yang diperolehi untuk tiga sebatian komplek ruthenium-azobenzena; komplek A, B, dan C. Pengiraan menggunakan DFT menunjukkan ketiga-tiga sebatian ini memberikan sifat optik tidak linear (NLO) yang tinggi berdasarkan nilai jumlah dinamik kebergantungan frekuensi pertama, β</w:t>
      </w:r>
      <w:r w:rsidRPr="00A22E36">
        <w:rPr>
          <w:rFonts w:ascii="Times New Roman" w:hAnsi="Times New Roman"/>
          <w:sz w:val="20"/>
          <w:szCs w:val="20"/>
          <w:vertAlign w:val="subscript"/>
          <w:lang w:val="ms-MY"/>
        </w:rPr>
        <w:t xml:space="preserve">tot  </w:t>
      </w:r>
      <w:r w:rsidRPr="00A22E36">
        <w:rPr>
          <w:rFonts w:ascii="Times New Roman" w:hAnsi="Times New Roman"/>
          <w:sz w:val="20"/>
          <w:szCs w:val="20"/>
          <w:lang w:val="ms-MY"/>
        </w:rPr>
        <w:t>pada panjang gelombang 1064 nm yang berpunca daripada kesan penyahsetempatan elektron dengan kehadiran kumpulan penderma yang kuat dan kumpulan penarik yang kuat pada terbitan azobenzena. Sebatian komplek C memberikan nilai  β</w:t>
      </w:r>
      <w:r w:rsidRPr="00A22E36">
        <w:rPr>
          <w:rFonts w:ascii="Times New Roman" w:hAnsi="Times New Roman"/>
          <w:sz w:val="20"/>
          <w:szCs w:val="20"/>
          <w:vertAlign w:val="subscript"/>
          <w:lang w:val="ms-MY"/>
        </w:rPr>
        <w:t>tot</w:t>
      </w:r>
      <w:r w:rsidRPr="00A22E36">
        <w:rPr>
          <w:rFonts w:ascii="Times New Roman" w:hAnsi="Times New Roman"/>
          <w:sz w:val="20"/>
          <w:szCs w:val="20"/>
          <w:lang w:val="ms-MY"/>
        </w:rPr>
        <w:t xml:space="preserve"> tertinggi iaitu 12414.87x10</w:t>
      </w:r>
      <w:r w:rsidRPr="00A22E36">
        <w:rPr>
          <w:rFonts w:ascii="Times New Roman" w:hAnsi="Times New Roman"/>
          <w:sz w:val="20"/>
          <w:szCs w:val="20"/>
          <w:vertAlign w:val="superscript"/>
          <w:lang w:val="ms-MY"/>
        </w:rPr>
        <w:t>-30</w:t>
      </w:r>
      <w:r w:rsidRPr="00A22E36">
        <w:rPr>
          <w:rFonts w:ascii="Times New Roman" w:hAnsi="Times New Roman"/>
          <w:sz w:val="20"/>
          <w:szCs w:val="20"/>
          <w:lang w:val="ms-MY"/>
        </w:rPr>
        <w:t xml:space="preserve"> esu diikuti dengan sebatian A (11828.63x10</w:t>
      </w:r>
      <w:r w:rsidRPr="00A22E36">
        <w:rPr>
          <w:rFonts w:ascii="Times New Roman" w:hAnsi="Times New Roman"/>
          <w:sz w:val="20"/>
          <w:szCs w:val="20"/>
          <w:vertAlign w:val="superscript"/>
          <w:lang w:val="ms-MY"/>
        </w:rPr>
        <w:t>-30</w:t>
      </w:r>
      <w:r w:rsidRPr="00A22E36">
        <w:rPr>
          <w:rFonts w:ascii="Times New Roman" w:hAnsi="Times New Roman"/>
          <w:sz w:val="20"/>
          <w:szCs w:val="20"/>
          <w:lang w:val="ms-MY"/>
        </w:rPr>
        <w:t xml:space="preserve"> esu)  dan B (3372.10 x10</w:t>
      </w:r>
      <w:r w:rsidRPr="00A22E36">
        <w:rPr>
          <w:rFonts w:ascii="Times New Roman" w:hAnsi="Times New Roman"/>
          <w:sz w:val="20"/>
          <w:szCs w:val="20"/>
          <w:vertAlign w:val="superscript"/>
          <w:lang w:val="ms-MY"/>
        </w:rPr>
        <w:t>-30</w:t>
      </w:r>
      <w:r w:rsidRPr="00A22E36">
        <w:rPr>
          <w:rFonts w:ascii="Times New Roman" w:hAnsi="Times New Roman"/>
          <w:sz w:val="20"/>
          <w:szCs w:val="20"/>
          <w:lang w:val="ms-MY"/>
        </w:rPr>
        <w:t xml:space="preserve"> esu). Perubahan pada perbezaan struktur terbitan azobenzene yang mengandungi logam dapat dilihat meningkatkan sifat optik tidak linear sebatian berdasarkan pengiraan NLO yang telah dijalankan menggunakan kaedah DFT. Dapat dilihat sebatian komplek C menunjukkan sifat optik tidak linear (NLO) yang tinggi disebabkan kehadiran kumpulan -O(C=O)R yang merupakan kumpulan penderma elektron dan kumpulan amina sebagai kumpulan penderma eletron yang kuat terutamanya setelah kumpulan hidrogen digantikan dengan kumpulan alkil.</w:t>
      </w:r>
    </w:p>
    <w:p w14:paraId="685028EA" w14:textId="77777777" w:rsidR="00A22E36" w:rsidRPr="00A22E36" w:rsidRDefault="00A22E36" w:rsidP="00A22E36">
      <w:pPr>
        <w:keepLines/>
        <w:topLinePunct/>
        <w:spacing w:after="0"/>
        <w:jc w:val="both"/>
        <w:outlineLvl w:val="0"/>
        <w:rPr>
          <w:rFonts w:ascii="Times New Roman" w:hAnsi="Times New Roman"/>
          <w:sz w:val="20"/>
          <w:szCs w:val="20"/>
          <w:lang w:val="ms-MY"/>
        </w:rPr>
      </w:pPr>
    </w:p>
    <w:p w14:paraId="663E88B9" w14:textId="77777777" w:rsidR="00A22E36" w:rsidRPr="00A22E36" w:rsidRDefault="00A22E36" w:rsidP="00A22E36">
      <w:pPr>
        <w:spacing w:after="0"/>
        <w:jc w:val="both"/>
        <w:rPr>
          <w:rFonts w:ascii="Times New Roman" w:hAnsi="Times New Roman"/>
          <w:noProof/>
          <w:sz w:val="20"/>
          <w:szCs w:val="20"/>
        </w:rPr>
      </w:pPr>
      <w:r w:rsidRPr="00A22E36">
        <w:rPr>
          <w:rFonts w:ascii="Times New Roman" w:hAnsi="Times New Roman"/>
          <w:b/>
          <w:bCs/>
          <w:iCs/>
          <w:sz w:val="20"/>
          <w:szCs w:val="20"/>
          <w:lang w:val="ms-MY"/>
        </w:rPr>
        <w:t>Kata kunci:</w:t>
      </w:r>
      <w:r w:rsidRPr="00A22E36">
        <w:rPr>
          <w:rFonts w:ascii="Times New Roman" w:hAnsi="Times New Roman"/>
          <w:bCs/>
          <w:i/>
          <w:iCs/>
          <w:sz w:val="20"/>
          <w:szCs w:val="20"/>
          <w:lang w:val="ms-MY"/>
        </w:rPr>
        <w:t xml:space="preserve">  </w:t>
      </w:r>
      <w:r w:rsidRPr="00A22E36">
        <w:rPr>
          <w:rFonts w:ascii="Times New Roman" w:hAnsi="Times New Roman"/>
          <w:sz w:val="20"/>
          <w:szCs w:val="20"/>
          <w:lang w:val="ms-MY"/>
        </w:rPr>
        <w:t>sifat optik tidak linear, komplek ruthinium, azobenzena, Hartree Fock, teori fungi ketumpatan</w:t>
      </w:r>
    </w:p>
    <w:p w14:paraId="5FF4CF21" w14:textId="5583FFD9" w:rsidR="003A1F80" w:rsidRDefault="003A1F80" w:rsidP="00A22E36">
      <w:pPr>
        <w:spacing w:after="0"/>
        <w:rPr>
          <w:rFonts w:ascii="Times New Roman" w:hAnsi="Times New Roman" w:cs="Times New Roman"/>
          <w:sz w:val="20"/>
          <w:szCs w:val="20"/>
        </w:rPr>
      </w:pPr>
    </w:p>
    <w:p w14:paraId="4F9A616D" w14:textId="77777777" w:rsidR="00752230" w:rsidRPr="00752230" w:rsidRDefault="00752230" w:rsidP="00752230">
      <w:pPr>
        <w:keepLines/>
        <w:topLinePunct/>
        <w:spacing w:after="0"/>
        <w:jc w:val="center"/>
        <w:outlineLvl w:val="0"/>
        <w:rPr>
          <w:rFonts w:ascii="Times New Roman" w:hAnsi="Times New Roman" w:cs="Times New Roman"/>
          <w:b/>
          <w:sz w:val="20"/>
          <w:szCs w:val="20"/>
        </w:rPr>
      </w:pPr>
      <w:r w:rsidRPr="00752230">
        <w:rPr>
          <w:rFonts w:ascii="Times New Roman" w:hAnsi="Times New Roman" w:cs="Times New Roman"/>
          <w:b/>
          <w:sz w:val="20"/>
          <w:szCs w:val="20"/>
        </w:rPr>
        <w:t>References</w:t>
      </w:r>
    </w:p>
    <w:p w14:paraId="709875E0"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 xml:space="preserve">Lind, P. </w:t>
      </w:r>
      <w:r w:rsidRPr="00752230">
        <w:rPr>
          <w:sz w:val="20"/>
          <w:szCs w:val="20"/>
          <w:lang w:val="en-MY"/>
        </w:rPr>
        <w:t>(</w:t>
      </w:r>
      <w:r w:rsidRPr="00752230">
        <w:rPr>
          <w:sz w:val="20"/>
          <w:szCs w:val="20"/>
        </w:rPr>
        <w:t>2007</w:t>
      </w:r>
      <w:r w:rsidRPr="00752230">
        <w:rPr>
          <w:sz w:val="20"/>
          <w:szCs w:val="20"/>
          <w:lang w:val="en-MY"/>
        </w:rPr>
        <w:t>)</w:t>
      </w:r>
      <w:r w:rsidRPr="00752230">
        <w:rPr>
          <w:sz w:val="20"/>
          <w:szCs w:val="20"/>
        </w:rPr>
        <w:t>. Organic and organometallic compounds for nonlinear absorption of light. Phd Thesis, Umeå University, Sweden.</w:t>
      </w:r>
    </w:p>
    <w:p w14:paraId="23EF0611"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Suresh, S., Ramanand, A., Jayaraman, D. and Mani, P</w:t>
      </w:r>
      <w:r w:rsidRPr="00752230">
        <w:rPr>
          <w:sz w:val="20"/>
          <w:szCs w:val="20"/>
          <w:lang w:val="en-MY"/>
        </w:rPr>
        <w:t>. (</w:t>
      </w:r>
      <w:r w:rsidRPr="00752230">
        <w:rPr>
          <w:sz w:val="20"/>
          <w:szCs w:val="20"/>
        </w:rPr>
        <w:t>2012</w:t>
      </w:r>
      <w:r w:rsidRPr="00752230">
        <w:rPr>
          <w:sz w:val="20"/>
          <w:szCs w:val="20"/>
          <w:lang w:val="en-MY"/>
        </w:rPr>
        <w:t>)</w:t>
      </w:r>
      <w:r w:rsidRPr="00752230">
        <w:rPr>
          <w:sz w:val="20"/>
          <w:szCs w:val="20"/>
        </w:rPr>
        <w:t xml:space="preserve">. Review on theoretical aspect of nonlinear optics. </w:t>
      </w:r>
      <w:r w:rsidRPr="00752230">
        <w:rPr>
          <w:i/>
          <w:sz w:val="20"/>
          <w:szCs w:val="20"/>
        </w:rPr>
        <w:t>Review Advance Material Sciences</w:t>
      </w:r>
      <w:r w:rsidRPr="00752230">
        <w:rPr>
          <w:i/>
          <w:sz w:val="20"/>
          <w:szCs w:val="20"/>
          <w:lang w:val="en-MY"/>
        </w:rPr>
        <w:t xml:space="preserve">, </w:t>
      </w:r>
      <w:r w:rsidRPr="00752230">
        <w:rPr>
          <w:iCs/>
          <w:sz w:val="20"/>
          <w:szCs w:val="20"/>
        </w:rPr>
        <w:t>30</w:t>
      </w:r>
      <w:r w:rsidRPr="00752230">
        <w:rPr>
          <w:iCs/>
          <w:sz w:val="20"/>
          <w:szCs w:val="20"/>
          <w:lang w:val="en-MY"/>
        </w:rPr>
        <w:t>:</w:t>
      </w:r>
      <w:r w:rsidRPr="00752230">
        <w:rPr>
          <w:iCs/>
          <w:sz w:val="20"/>
          <w:szCs w:val="20"/>
        </w:rPr>
        <w:t xml:space="preserve"> 1</w:t>
      </w:r>
      <w:r w:rsidRPr="00752230">
        <w:rPr>
          <w:sz w:val="20"/>
          <w:szCs w:val="20"/>
        </w:rPr>
        <w:t>75-183.</w:t>
      </w:r>
    </w:p>
    <w:p w14:paraId="23C87F09"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Adur, J., Carvalho, H. F., Cesar, C. L., and Casco, V. H.</w:t>
      </w:r>
      <w:r w:rsidRPr="00752230">
        <w:rPr>
          <w:sz w:val="20"/>
          <w:szCs w:val="20"/>
          <w:lang w:val="en-MY"/>
        </w:rPr>
        <w:t xml:space="preserve"> (</w:t>
      </w:r>
      <w:r w:rsidRPr="00752230">
        <w:rPr>
          <w:sz w:val="20"/>
          <w:szCs w:val="20"/>
        </w:rPr>
        <w:t>2014</w:t>
      </w:r>
      <w:r w:rsidRPr="00752230">
        <w:rPr>
          <w:sz w:val="20"/>
          <w:szCs w:val="20"/>
          <w:lang w:val="en-MY"/>
        </w:rPr>
        <w:t>)</w:t>
      </w:r>
      <w:r w:rsidRPr="00752230">
        <w:rPr>
          <w:sz w:val="20"/>
          <w:szCs w:val="20"/>
        </w:rPr>
        <w:t xml:space="preserve">. Nonlinear optical microscopy signal processing strategies in cancer. </w:t>
      </w:r>
      <w:r w:rsidRPr="00752230">
        <w:rPr>
          <w:i/>
          <w:sz w:val="20"/>
          <w:szCs w:val="20"/>
        </w:rPr>
        <w:t>Cancer Informatic</w:t>
      </w:r>
      <w:r w:rsidRPr="00752230">
        <w:rPr>
          <w:i/>
          <w:sz w:val="20"/>
          <w:szCs w:val="20"/>
          <w:lang w:val="en-MY"/>
        </w:rPr>
        <w:t>,</w:t>
      </w:r>
      <w:r w:rsidRPr="00752230">
        <w:rPr>
          <w:iCs/>
          <w:sz w:val="20"/>
          <w:szCs w:val="20"/>
        </w:rPr>
        <w:t>13</w:t>
      </w:r>
      <w:r w:rsidRPr="00752230">
        <w:rPr>
          <w:iCs/>
          <w:sz w:val="20"/>
          <w:szCs w:val="20"/>
          <w:lang w:val="en-MY"/>
        </w:rPr>
        <w:t>:</w:t>
      </w:r>
      <w:r w:rsidRPr="00752230">
        <w:rPr>
          <w:iCs/>
          <w:sz w:val="20"/>
          <w:szCs w:val="20"/>
        </w:rPr>
        <w:t xml:space="preserve"> 67-76.</w:t>
      </w:r>
    </w:p>
    <w:p w14:paraId="5DBE5356"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b/>
          <w:sz w:val="20"/>
          <w:szCs w:val="20"/>
        </w:rPr>
        <w:fldChar w:fldCharType="begin" w:fldLock="1"/>
      </w:r>
      <w:r w:rsidRPr="00752230">
        <w:rPr>
          <w:b/>
          <w:sz w:val="20"/>
          <w:szCs w:val="20"/>
        </w:rPr>
        <w:instrText xml:space="preserve">ADDIN Mendeley Bibliography CSL_BIBLIOGRAPHY </w:instrText>
      </w:r>
      <w:r w:rsidRPr="00752230">
        <w:rPr>
          <w:b/>
          <w:sz w:val="20"/>
          <w:szCs w:val="20"/>
        </w:rPr>
        <w:fldChar w:fldCharType="separate"/>
      </w:r>
      <w:r w:rsidRPr="00752230">
        <w:rPr>
          <w:sz w:val="20"/>
          <w:szCs w:val="20"/>
        </w:rPr>
        <w:t xml:space="preserve">Li, A. D. and Liu, W. C (2010). Optical properties of ferroelectric nanocrystal/polymer composites. </w:t>
      </w:r>
      <w:r w:rsidRPr="00752230">
        <w:rPr>
          <w:i/>
          <w:iCs/>
          <w:sz w:val="20"/>
          <w:szCs w:val="20"/>
        </w:rPr>
        <w:t>Physical Properties and Applications of Polymer Nanocomposites,</w:t>
      </w:r>
      <w:r w:rsidRPr="00752230">
        <w:rPr>
          <w:sz w:val="20"/>
          <w:szCs w:val="20"/>
        </w:rPr>
        <w:t xml:space="preserve"> 108-158. </w:t>
      </w:r>
      <w:r w:rsidRPr="00752230">
        <w:rPr>
          <w:b/>
          <w:sz w:val="20"/>
          <w:szCs w:val="20"/>
        </w:rPr>
        <w:fldChar w:fldCharType="end"/>
      </w:r>
    </w:p>
    <w:p w14:paraId="698FE6A0"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Sahraoui, B., Luc, J., Meghea, A., Czaplicki, R., Fillaut, J. L. and Migalska-Zalas, A.</w:t>
      </w:r>
      <w:r w:rsidRPr="00752230">
        <w:rPr>
          <w:sz w:val="20"/>
          <w:szCs w:val="20"/>
          <w:lang w:val="en-MY"/>
        </w:rPr>
        <w:t xml:space="preserve"> (</w:t>
      </w:r>
      <w:r w:rsidRPr="00752230">
        <w:rPr>
          <w:sz w:val="20"/>
          <w:szCs w:val="20"/>
        </w:rPr>
        <w:t>2009</w:t>
      </w:r>
      <w:r w:rsidRPr="00752230">
        <w:rPr>
          <w:sz w:val="20"/>
          <w:szCs w:val="20"/>
          <w:lang w:val="en-MY"/>
        </w:rPr>
        <w:t>)</w:t>
      </w:r>
      <w:r w:rsidRPr="00752230">
        <w:rPr>
          <w:sz w:val="20"/>
          <w:szCs w:val="20"/>
        </w:rPr>
        <w:t xml:space="preserve">. Nonlinear optics and surface relief gratings in alkynyl–ruthenium complexes. </w:t>
      </w:r>
      <w:r w:rsidRPr="00752230">
        <w:rPr>
          <w:i/>
          <w:sz w:val="20"/>
          <w:szCs w:val="20"/>
        </w:rPr>
        <w:t>Journal of Optics A: Pure and Applied Optics</w:t>
      </w:r>
      <w:r w:rsidRPr="00752230">
        <w:rPr>
          <w:i/>
          <w:sz w:val="20"/>
          <w:szCs w:val="20"/>
          <w:lang w:val="en-MY"/>
        </w:rPr>
        <w:t xml:space="preserve">, </w:t>
      </w:r>
      <w:r w:rsidRPr="00752230">
        <w:rPr>
          <w:iCs/>
          <w:sz w:val="20"/>
          <w:szCs w:val="20"/>
        </w:rPr>
        <w:t>11(2)</w:t>
      </w:r>
      <w:r w:rsidRPr="00752230">
        <w:rPr>
          <w:iCs/>
          <w:sz w:val="20"/>
          <w:szCs w:val="20"/>
          <w:lang w:val="en-MY"/>
        </w:rPr>
        <w:t xml:space="preserve"> :</w:t>
      </w:r>
      <w:r w:rsidRPr="00752230">
        <w:rPr>
          <w:iCs/>
          <w:sz w:val="20"/>
          <w:szCs w:val="20"/>
        </w:rPr>
        <w:t>1-26.</w:t>
      </w:r>
    </w:p>
    <w:p w14:paraId="508F86E7"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Papadopoulos, M. G., Sadlej, A. J. and Leszczynski, J.</w:t>
      </w:r>
      <w:r w:rsidRPr="00752230">
        <w:rPr>
          <w:sz w:val="20"/>
          <w:szCs w:val="20"/>
          <w:lang w:val="en-MY"/>
        </w:rPr>
        <w:t xml:space="preserve"> (</w:t>
      </w:r>
      <w:r w:rsidRPr="00752230">
        <w:rPr>
          <w:sz w:val="20"/>
          <w:szCs w:val="20"/>
        </w:rPr>
        <w:t>2006</w:t>
      </w:r>
      <w:r w:rsidRPr="00752230">
        <w:rPr>
          <w:sz w:val="20"/>
          <w:szCs w:val="20"/>
          <w:lang w:val="en-MY"/>
        </w:rPr>
        <w:t>)</w:t>
      </w:r>
      <w:r w:rsidRPr="00752230">
        <w:rPr>
          <w:sz w:val="20"/>
          <w:szCs w:val="20"/>
        </w:rPr>
        <w:t>. Non-linear optical properties of matter. Springer, Dordrecht.</w:t>
      </w:r>
    </w:p>
    <w:p w14:paraId="2D3732A5"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Foresman, J. B. and Frisch Æ</w:t>
      </w:r>
      <w:r w:rsidRPr="00752230">
        <w:rPr>
          <w:sz w:val="20"/>
          <w:szCs w:val="20"/>
          <w:lang w:val="en-MY"/>
        </w:rPr>
        <w:t>. (</w:t>
      </w:r>
      <w:r w:rsidRPr="00752230">
        <w:rPr>
          <w:sz w:val="20"/>
          <w:szCs w:val="20"/>
        </w:rPr>
        <w:t>2015</w:t>
      </w:r>
      <w:r w:rsidRPr="00752230">
        <w:rPr>
          <w:sz w:val="20"/>
          <w:szCs w:val="20"/>
          <w:lang w:val="en-MY"/>
        </w:rPr>
        <w:t>)</w:t>
      </w:r>
      <w:r w:rsidRPr="00752230">
        <w:rPr>
          <w:sz w:val="20"/>
          <w:szCs w:val="20"/>
        </w:rPr>
        <w:t>. Exploring chemistry with electronic structure methods. Gaussian Inc., Wallingford, CT.</w:t>
      </w:r>
    </w:p>
    <w:p w14:paraId="399EBEE8"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Baseia, B., Osório, F., Lima, L., and Valverde, C.</w:t>
      </w:r>
      <w:r w:rsidRPr="00752230">
        <w:rPr>
          <w:sz w:val="20"/>
          <w:szCs w:val="20"/>
          <w:lang w:val="en-MY"/>
        </w:rPr>
        <w:t xml:space="preserve"> (</w:t>
      </w:r>
      <w:r w:rsidRPr="00752230">
        <w:rPr>
          <w:sz w:val="20"/>
          <w:szCs w:val="20"/>
        </w:rPr>
        <w:t>2017</w:t>
      </w:r>
      <w:r w:rsidRPr="00752230">
        <w:rPr>
          <w:sz w:val="20"/>
          <w:szCs w:val="20"/>
          <w:lang w:val="en-MY"/>
        </w:rPr>
        <w:t>)</w:t>
      </w:r>
      <w:r w:rsidRPr="00752230">
        <w:rPr>
          <w:sz w:val="20"/>
          <w:szCs w:val="20"/>
        </w:rPr>
        <w:t xml:space="preserve">. Effects of changing substituents on the non-linear optical properties of two coumarin derivatives. </w:t>
      </w:r>
      <w:r w:rsidRPr="00752230">
        <w:rPr>
          <w:i/>
          <w:sz w:val="20"/>
          <w:szCs w:val="20"/>
        </w:rPr>
        <w:t>Crystals</w:t>
      </w:r>
      <w:r w:rsidRPr="00752230">
        <w:rPr>
          <w:i/>
          <w:sz w:val="20"/>
          <w:szCs w:val="20"/>
          <w:lang w:val="en-MY"/>
        </w:rPr>
        <w:t xml:space="preserve">, </w:t>
      </w:r>
      <w:r w:rsidRPr="00752230">
        <w:rPr>
          <w:iCs/>
          <w:sz w:val="20"/>
          <w:szCs w:val="20"/>
        </w:rPr>
        <w:t>7(6)</w:t>
      </w:r>
      <w:r w:rsidRPr="00752230">
        <w:rPr>
          <w:iCs/>
          <w:sz w:val="20"/>
          <w:szCs w:val="20"/>
          <w:lang w:val="en-MY"/>
        </w:rPr>
        <w:t>:</w:t>
      </w:r>
      <w:r w:rsidRPr="00752230">
        <w:rPr>
          <w:iCs/>
          <w:sz w:val="20"/>
          <w:szCs w:val="20"/>
        </w:rPr>
        <w:t xml:space="preserve"> </w:t>
      </w:r>
      <w:r w:rsidRPr="00752230">
        <w:rPr>
          <w:sz w:val="20"/>
          <w:szCs w:val="20"/>
        </w:rPr>
        <w:t xml:space="preserve">158-172.  </w:t>
      </w:r>
    </w:p>
    <w:p w14:paraId="1A0E9164"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 xml:space="preserve">Jamaludin, R. (2018). </w:t>
      </w:r>
      <w:r w:rsidRPr="00752230">
        <w:rPr>
          <w:iCs/>
          <w:sz w:val="20"/>
          <w:szCs w:val="20"/>
        </w:rPr>
        <w:t>Nonlinear optical properties investigation of ruthenium arylalkynyl complexes via Hartree-Fock and density functional theory methods.</w:t>
      </w:r>
      <w:r w:rsidRPr="00752230">
        <w:rPr>
          <w:sz w:val="20"/>
          <w:szCs w:val="20"/>
        </w:rPr>
        <w:t xml:space="preserve"> PhD Thesis, Universiti Teknologi Malaysia, Skudai. </w:t>
      </w:r>
    </w:p>
    <w:p w14:paraId="3BEC6B44"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Younus, M., Long, N. J., Raithby, P. R., Lewis, J., Page, N. A., White, A. J., Williams, D. J., Colbert, M. C.B., Hodge A. J., Khan, M. S. and Parker, D. J.</w:t>
      </w:r>
      <w:r w:rsidRPr="00752230">
        <w:rPr>
          <w:sz w:val="20"/>
          <w:szCs w:val="20"/>
          <w:lang w:val="en-MY"/>
        </w:rPr>
        <w:t xml:space="preserve"> (</w:t>
      </w:r>
      <w:r w:rsidRPr="00752230">
        <w:rPr>
          <w:sz w:val="20"/>
          <w:szCs w:val="20"/>
        </w:rPr>
        <w:t>1999</w:t>
      </w:r>
      <w:r w:rsidRPr="00752230">
        <w:rPr>
          <w:sz w:val="20"/>
          <w:szCs w:val="20"/>
          <w:lang w:val="en-MY"/>
        </w:rPr>
        <w:t>)</w:t>
      </w:r>
      <w:r w:rsidRPr="00752230">
        <w:rPr>
          <w:sz w:val="20"/>
          <w:szCs w:val="20"/>
        </w:rPr>
        <w:t>. Synthesis and characterisation of mono-acetylide and unsymmetrical bis-acetylide complexes of ruthenium and osmium: X-ray structure determinations on [(dppe)</w:t>
      </w:r>
      <w:r w:rsidRPr="00752230">
        <w:rPr>
          <w:sz w:val="20"/>
          <w:szCs w:val="20"/>
          <w:vertAlign w:val="subscript"/>
        </w:rPr>
        <w:t>2</w:t>
      </w:r>
      <w:r w:rsidRPr="00752230">
        <w:rPr>
          <w:sz w:val="20"/>
          <w:szCs w:val="20"/>
        </w:rPr>
        <w:t>Ru(Cl)(C≡C–C</w:t>
      </w:r>
      <w:r w:rsidRPr="00752230">
        <w:rPr>
          <w:sz w:val="20"/>
          <w:szCs w:val="20"/>
          <w:vertAlign w:val="subscript"/>
        </w:rPr>
        <w:t>6</w:t>
      </w:r>
      <w:r w:rsidRPr="00752230">
        <w:rPr>
          <w:sz w:val="20"/>
          <w:szCs w:val="20"/>
        </w:rPr>
        <w:t>H</w:t>
      </w:r>
      <w:r w:rsidRPr="00752230">
        <w:rPr>
          <w:sz w:val="20"/>
          <w:szCs w:val="20"/>
          <w:vertAlign w:val="subscript"/>
        </w:rPr>
        <w:t>4</w:t>
      </w:r>
      <w:r w:rsidRPr="00752230">
        <w:rPr>
          <w:sz w:val="20"/>
          <w:szCs w:val="20"/>
        </w:rPr>
        <w:t>-p-NO</w:t>
      </w:r>
      <w:r w:rsidRPr="00752230">
        <w:rPr>
          <w:sz w:val="20"/>
          <w:szCs w:val="20"/>
          <w:vertAlign w:val="subscript"/>
        </w:rPr>
        <w:t>2</w:t>
      </w:r>
      <w:r w:rsidRPr="00752230">
        <w:rPr>
          <w:sz w:val="20"/>
          <w:szCs w:val="20"/>
        </w:rPr>
        <w:t>)],[(dppe)</w:t>
      </w:r>
      <w:r w:rsidRPr="00752230">
        <w:rPr>
          <w:sz w:val="20"/>
          <w:szCs w:val="20"/>
          <w:vertAlign w:val="subscript"/>
        </w:rPr>
        <w:t>2</w:t>
      </w:r>
      <w:r w:rsidRPr="00752230">
        <w:rPr>
          <w:sz w:val="20"/>
          <w:szCs w:val="20"/>
        </w:rPr>
        <w:t>Ru(Cl)(C≡C–C</w:t>
      </w:r>
      <w:r w:rsidRPr="00752230">
        <w:rPr>
          <w:sz w:val="20"/>
          <w:szCs w:val="20"/>
          <w:vertAlign w:val="subscript"/>
        </w:rPr>
        <w:t>6</w:t>
      </w:r>
      <w:r w:rsidRPr="00752230">
        <w:rPr>
          <w:sz w:val="20"/>
          <w:szCs w:val="20"/>
        </w:rPr>
        <w:t>H</w:t>
      </w:r>
      <w:r w:rsidRPr="00752230">
        <w:rPr>
          <w:sz w:val="20"/>
          <w:szCs w:val="20"/>
          <w:vertAlign w:val="subscript"/>
        </w:rPr>
        <w:t>3</w:t>
      </w:r>
      <w:r w:rsidRPr="00752230">
        <w:rPr>
          <w:sz w:val="20"/>
          <w:szCs w:val="20"/>
        </w:rPr>
        <w:t>-o-CH</w:t>
      </w:r>
      <w:r w:rsidRPr="00752230">
        <w:rPr>
          <w:sz w:val="20"/>
          <w:szCs w:val="20"/>
          <w:vertAlign w:val="subscript"/>
        </w:rPr>
        <w:t>3</w:t>
      </w:r>
      <w:r w:rsidRPr="00752230">
        <w:rPr>
          <w:sz w:val="20"/>
          <w:szCs w:val="20"/>
        </w:rPr>
        <w:t>-p-NO</w:t>
      </w:r>
      <w:r w:rsidRPr="00752230">
        <w:rPr>
          <w:sz w:val="20"/>
          <w:szCs w:val="20"/>
          <w:vertAlign w:val="subscript"/>
        </w:rPr>
        <w:t>2</w:t>
      </w:r>
      <w:r w:rsidRPr="00752230">
        <w:rPr>
          <w:sz w:val="20"/>
          <w:szCs w:val="20"/>
        </w:rPr>
        <w:t>)] and [(dppm)</w:t>
      </w:r>
      <w:r w:rsidRPr="00752230">
        <w:rPr>
          <w:sz w:val="20"/>
          <w:szCs w:val="20"/>
          <w:vertAlign w:val="subscript"/>
        </w:rPr>
        <w:t>2</w:t>
      </w:r>
      <w:r w:rsidRPr="00752230">
        <w:rPr>
          <w:sz w:val="20"/>
          <w:szCs w:val="20"/>
        </w:rPr>
        <w:t>Os (C≡C–C</w:t>
      </w:r>
      <w:r w:rsidRPr="00752230">
        <w:rPr>
          <w:sz w:val="20"/>
          <w:szCs w:val="20"/>
          <w:vertAlign w:val="subscript"/>
        </w:rPr>
        <w:t>6</w:t>
      </w:r>
      <w:r w:rsidRPr="00752230">
        <w:rPr>
          <w:sz w:val="20"/>
          <w:szCs w:val="20"/>
        </w:rPr>
        <w:t>H</w:t>
      </w:r>
      <w:r w:rsidRPr="00752230">
        <w:rPr>
          <w:sz w:val="20"/>
          <w:szCs w:val="20"/>
          <w:vertAlign w:val="subscript"/>
        </w:rPr>
        <w:t>4</w:t>
      </w:r>
      <w:r w:rsidRPr="00752230">
        <w:rPr>
          <w:sz w:val="20"/>
          <w:szCs w:val="20"/>
        </w:rPr>
        <w:t>-p-CH</w:t>
      </w:r>
      <w:r w:rsidRPr="00752230">
        <w:rPr>
          <w:sz w:val="20"/>
          <w:szCs w:val="20"/>
          <w:vertAlign w:val="subscript"/>
        </w:rPr>
        <w:t>3</w:t>
      </w:r>
      <w:r w:rsidRPr="00752230">
        <w:rPr>
          <w:sz w:val="20"/>
          <w:szCs w:val="20"/>
        </w:rPr>
        <w:t>)(C≡C–C</w:t>
      </w:r>
      <w:r w:rsidRPr="00752230">
        <w:rPr>
          <w:sz w:val="20"/>
          <w:szCs w:val="20"/>
          <w:vertAlign w:val="subscript"/>
        </w:rPr>
        <w:t>6</w:t>
      </w:r>
      <w:r w:rsidRPr="00752230">
        <w:rPr>
          <w:sz w:val="20"/>
          <w:szCs w:val="20"/>
        </w:rPr>
        <w:t>H</w:t>
      </w:r>
      <w:r w:rsidRPr="00752230">
        <w:rPr>
          <w:sz w:val="20"/>
          <w:szCs w:val="20"/>
          <w:vertAlign w:val="subscript"/>
        </w:rPr>
        <w:t>4</w:t>
      </w:r>
      <w:r w:rsidRPr="00752230">
        <w:rPr>
          <w:sz w:val="20"/>
          <w:szCs w:val="20"/>
        </w:rPr>
        <w:t>-p-NO</w:t>
      </w:r>
      <w:r w:rsidRPr="00752230">
        <w:rPr>
          <w:sz w:val="20"/>
          <w:szCs w:val="20"/>
          <w:vertAlign w:val="subscript"/>
        </w:rPr>
        <w:t>2</w:t>
      </w:r>
      <w:r w:rsidRPr="00752230">
        <w:rPr>
          <w:sz w:val="20"/>
          <w:szCs w:val="20"/>
        </w:rPr>
        <w:t xml:space="preserve">)]. </w:t>
      </w:r>
      <w:r w:rsidRPr="00752230">
        <w:rPr>
          <w:i/>
          <w:sz w:val="20"/>
          <w:szCs w:val="20"/>
        </w:rPr>
        <w:t>Journal of Organometallic Chemistry</w:t>
      </w:r>
      <w:r w:rsidRPr="00752230">
        <w:rPr>
          <w:i/>
          <w:sz w:val="20"/>
          <w:szCs w:val="20"/>
          <w:lang w:val="en-MY"/>
        </w:rPr>
        <w:t xml:space="preserve">, </w:t>
      </w:r>
      <w:r w:rsidRPr="00752230">
        <w:rPr>
          <w:iCs/>
          <w:sz w:val="20"/>
          <w:szCs w:val="20"/>
        </w:rPr>
        <w:t>578(</w:t>
      </w:r>
      <w:r w:rsidRPr="00752230">
        <w:rPr>
          <w:sz w:val="20"/>
          <w:szCs w:val="20"/>
        </w:rPr>
        <w:t>1-2)</w:t>
      </w:r>
      <w:r w:rsidRPr="00752230">
        <w:rPr>
          <w:sz w:val="20"/>
          <w:szCs w:val="20"/>
          <w:lang w:val="en-MY"/>
        </w:rPr>
        <w:t xml:space="preserve"> :</w:t>
      </w:r>
      <w:r w:rsidRPr="00752230">
        <w:rPr>
          <w:sz w:val="20"/>
          <w:szCs w:val="20"/>
        </w:rPr>
        <w:t>198-209.</w:t>
      </w:r>
    </w:p>
    <w:p w14:paraId="77DBE38B"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lastRenderedPageBreak/>
        <w:t xml:space="preserve">Lewars, E. G. (2010). </w:t>
      </w:r>
      <w:r w:rsidRPr="00752230">
        <w:rPr>
          <w:iCs/>
          <w:sz w:val="20"/>
          <w:szCs w:val="20"/>
        </w:rPr>
        <w:t>Computational chemistry: Introduction to the theory and applications of molecular and quantum mechanics</w:t>
      </w:r>
      <w:r w:rsidRPr="00752230">
        <w:rPr>
          <w:sz w:val="20"/>
          <w:szCs w:val="20"/>
        </w:rPr>
        <w:t>. New York: Springer Science &amp; Business Media.</w:t>
      </w:r>
    </w:p>
    <w:p w14:paraId="49B55584"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 xml:space="preserve">Oprea, C. I. (2007). Density functional response theory with applications to electron and nuclear magnetic resonance. Doctoral dissertation. KTH Royal Institute of Technology, Sweden. </w:t>
      </w:r>
    </w:p>
    <w:p w14:paraId="4C9E72E8"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Chachiyo, T. and Chachiyo, H.</w:t>
      </w:r>
      <w:r w:rsidRPr="00752230">
        <w:rPr>
          <w:sz w:val="20"/>
          <w:szCs w:val="20"/>
          <w:lang w:val="en-MY"/>
        </w:rPr>
        <w:t xml:space="preserve"> (</w:t>
      </w:r>
      <w:r w:rsidRPr="00752230">
        <w:rPr>
          <w:sz w:val="20"/>
          <w:szCs w:val="20"/>
        </w:rPr>
        <w:t>2017</w:t>
      </w:r>
      <w:r w:rsidRPr="00752230">
        <w:rPr>
          <w:sz w:val="20"/>
          <w:szCs w:val="20"/>
          <w:lang w:val="en-MY"/>
        </w:rPr>
        <w:t>)</w:t>
      </w:r>
      <w:r w:rsidRPr="00752230">
        <w:rPr>
          <w:sz w:val="20"/>
          <w:szCs w:val="20"/>
        </w:rPr>
        <w:t>. Simple and accurate exchange energy for density functional theory.</w:t>
      </w:r>
      <w:r w:rsidRPr="00752230">
        <w:rPr>
          <w:i/>
          <w:sz w:val="20"/>
          <w:szCs w:val="20"/>
        </w:rPr>
        <w:t xml:space="preserve"> </w:t>
      </w:r>
      <w:r w:rsidRPr="00752230">
        <w:rPr>
          <w:sz w:val="20"/>
          <w:szCs w:val="20"/>
        </w:rPr>
        <w:t>Cornell University, New York.</w:t>
      </w:r>
    </w:p>
    <w:p w14:paraId="75AB12D5"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 xml:space="preserve">Bartashevich, E. and Tsirelson, V. (2013). Atomic dipole polarization in charge-transfer complexes with halogen bonding. </w:t>
      </w:r>
      <w:r w:rsidRPr="00752230">
        <w:rPr>
          <w:i/>
          <w:iCs/>
          <w:sz w:val="20"/>
          <w:szCs w:val="20"/>
        </w:rPr>
        <w:t xml:space="preserve">Physical Chemistry Chemical Physics, </w:t>
      </w:r>
      <w:r w:rsidRPr="00752230">
        <w:rPr>
          <w:sz w:val="20"/>
          <w:szCs w:val="20"/>
        </w:rPr>
        <w:t xml:space="preserve">15(7): 2530-2538. </w:t>
      </w:r>
    </w:p>
    <w:p w14:paraId="3EFE6C71" w14:textId="77777777"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Karakas, A., Dag, T., Taser, M., Fillaut, J., Migalska-Zalas, A. and Sahraoui, B. (2013). Second-order hyperpolarizability and susceptibility calculations of a series of ruthenium complexes. 15</w:t>
      </w:r>
      <w:r w:rsidRPr="00752230">
        <w:rPr>
          <w:sz w:val="20"/>
          <w:szCs w:val="20"/>
          <w:vertAlign w:val="superscript"/>
        </w:rPr>
        <w:t>th</w:t>
      </w:r>
      <w:r w:rsidRPr="00752230">
        <w:rPr>
          <w:sz w:val="20"/>
          <w:szCs w:val="20"/>
        </w:rPr>
        <w:t xml:space="preserve"> International Conference on Transparent Optical Networks (ICTON). 23-27 June. Cartagena, Spain: ICTON, pp. 1-4.</w:t>
      </w:r>
    </w:p>
    <w:p w14:paraId="43FB0378" w14:textId="2AC55A14" w:rsidR="00752230" w:rsidRPr="00752230" w:rsidRDefault="00752230" w:rsidP="00752230">
      <w:pPr>
        <w:pStyle w:val="ref"/>
        <w:keepLines/>
        <w:numPr>
          <w:ilvl w:val="0"/>
          <w:numId w:val="6"/>
        </w:numPr>
        <w:tabs>
          <w:tab w:val="clear" w:pos="284"/>
          <w:tab w:val="left" w:pos="0"/>
        </w:tabs>
        <w:topLinePunct/>
        <w:spacing w:after="0" w:line="276" w:lineRule="auto"/>
        <w:ind w:left="360"/>
        <w:contextualSpacing w:val="0"/>
        <w:rPr>
          <w:sz w:val="20"/>
          <w:szCs w:val="20"/>
        </w:rPr>
      </w:pPr>
      <w:r w:rsidRPr="00752230">
        <w:rPr>
          <w:sz w:val="20"/>
          <w:szCs w:val="20"/>
        </w:rPr>
        <w:t>Chatt, J.</w:t>
      </w:r>
      <w:r w:rsidRPr="00752230">
        <w:rPr>
          <w:sz w:val="20"/>
          <w:szCs w:val="20"/>
          <w:lang w:val="en-MY"/>
        </w:rPr>
        <w:t xml:space="preserve"> (</w:t>
      </w:r>
      <w:r w:rsidRPr="00752230">
        <w:rPr>
          <w:sz w:val="20"/>
          <w:szCs w:val="20"/>
        </w:rPr>
        <w:t>1969</w:t>
      </w:r>
      <w:r w:rsidRPr="00752230">
        <w:rPr>
          <w:sz w:val="20"/>
          <w:szCs w:val="20"/>
          <w:lang w:val="en-MY"/>
        </w:rPr>
        <w:t>)</w:t>
      </w:r>
      <w:r w:rsidRPr="00752230">
        <w:rPr>
          <w:sz w:val="20"/>
          <w:szCs w:val="20"/>
        </w:rPr>
        <w:t xml:space="preserve">. Nitrogen complexes of the platinum metals. </w:t>
      </w:r>
      <w:r w:rsidRPr="00752230">
        <w:rPr>
          <w:i/>
          <w:sz w:val="20"/>
          <w:szCs w:val="20"/>
        </w:rPr>
        <w:t>Platinum Metals Review</w:t>
      </w:r>
      <w:r w:rsidRPr="00752230">
        <w:rPr>
          <w:i/>
          <w:sz w:val="20"/>
          <w:szCs w:val="20"/>
          <w:lang w:val="en-MY"/>
        </w:rPr>
        <w:t>,</w:t>
      </w:r>
      <w:r w:rsidRPr="00752230">
        <w:rPr>
          <w:sz w:val="20"/>
          <w:szCs w:val="20"/>
        </w:rPr>
        <w:t>13</w:t>
      </w:r>
      <w:r w:rsidRPr="00752230">
        <w:rPr>
          <w:sz w:val="20"/>
          <w:szCs w:val="20"/>
          <w:lang w:val="en-MY"/>
        </w:rPr>
        <w:t>:</w:t>
      </w:r>
      <w:r w:rsidRPr="00752230">
        <w:rPr>
          <w:sz w:val="20"/>
          <w:szCs w:val="20"/>
        </w:rPr>
        <w:t xml:space="preserve"> 9-14.</w:t>
      </w:r>
    </w:p>
    <w:sectPr w:rsidR="00752230" w:rsidRPr="00752230"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E02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E02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B941AE"/>
    <w:multiLevelType w:val="hybridMultilevel"/>
    <w:tmpl w:val="D2545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52230"/>
    <w:rsid w:val="007D0E7F"/>
    <w:rsid w:val="007F7EB3"/>
    <w:rsid w:val="00832F59"/>
    <w:rsid w:val="00834CDE"/>
    <w:rsid w:val="00900BAC"/>
    <w:rsid w:val="00975E1A"/>
    <w:rsid w:val="009A4A79"/>
    <w:rsid w:val="009A5A4D"/>
    <w:rsid w:val="00A22E36"/>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025AA"/>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ref">
    <w:name w:val="ref"/>
    <w:basedOn w:val="Normal"/>
    <w:qFormat/>
    <w:rsid w:val="00752230"/>
    <w:pPr>
      <w:tabs>
        <w:tab w:val="left" w:pos="284"/>
      </w:tabs>
      <w:spacing w:after="160" w:line="259" w:lineRule="auto"/>
      <w:ind w:left="284" w:hanging="284"/>
      <w:contextualSpacing/>
      <w:jc w:val="both"/>
    </w:pPr>
    <w:rPr>
      <w:rFonts w:ascii="Times New Roman" w:eastAsia="Batang"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37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4</cp:revision>
  <cp:lastPrinted>2020-04-01T04:48:00Z</cp:lastPrinted>
  <dcterms:created xsi:type="dcterms:W3CDTF">2020-09-28T23:42:00Z</dcterms:created>
  <dcterms:modified xsi:type="dcterms:W3CDTF">2020-09-30T07:19:00Z</dcterms:modified>
</cp:coreProperties>
</file>