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4707142A"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A1675">
        <w:rPr>
          <w:rFonts w:ascii="Times New Roman" w:hAnsi="Times New Roman" w:cs="Times New Roman"/>
          <w:b/>
          <w:i/>
          <w:sz w:val="24"/>
          <w:szCs w:val="24"/>
        </w:rPr>
        <w:t>6</w:t>
      </w:r>
      <w:r w:rsidR="00ED1D0E">
        <w:rPr>
          <w:rFonts w:ascii="Times New Roman" w:hAnsi="Times New Roman" w:cs="Times New Roman"/>
          <w:b/>
          <w:i/>
          <w:sz w:val="24"/>
          <w:szCs w:val="24"/>
        </w:rPr>
        <w:t>49</w:t>
      </w:r>
      <w:r w:rsidR="003A1F80" w:rsidRPr="006E79D9">
        <w:rPr>
          <w:rFonts w:ascii="Times New Roman" w:hAnsi="Times New Roman" w:cs="Times New Roman"/>
          <w:b/>
          <w:i/>
          <w:sz w:val="24"/>
          <w:szCs w:val="24"/>
        </w:rPr>
        <w:t xml:space="preserve"> - </w:t>
      </w:r>
      <w:r w:rsidR="00ED1D0E">
        <w:rPr>
          <w:rFonts w:ascii="Times New Roman" w:hAnsi="Times New Roman" w:cs="Times New Roman"/>
          <w:b/>
          <w:i/>
          <w:sz w:val="24"/>
          <w:szCs w:val="24"/>
        </w:rPr>
        <w:t>656</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13974489" w14:textId="77777777" w:rsidR="00ED1D0E" w:rsidRDefault="00ED1D0E" w:rsidP="00ED1D0E">
      <w:pPr>
        <w:tabs>
          <w:tab w:val="left" w:pos="5231"/>
        </w:tabs>
        <w:adjustRightInd w:val="0"/>
        <w:spacing w:after="0"/>
        <w:jc w:val="center"/>
        <w:rPr>
          <w:rFonts w:ascii="Times New Roman" w:eastAsia="Calibri" w:hAnsi="Times New Roman"/>
          <w:bCs/>
          <w:sz w:val="28"/>
          <w:szCs w:val="28"/>
          <w:lang w:val="en-GB"/>
        </w:rPr>
      </w:pPr>
      <w:r>
        <w:rPr>
          <w:rFonts w:ascii="Times New Roman" w:eastAsia="Calibri" w:hAnsi="Times New Roman"/>
          <w:bCs/>
          <w:sz w:val="28"/>
          <w:szCs w:val="28"/>
          <w:lang w:val="en-GB"/>
        </w:rPr>
        <w:t>ANALYSES ON TOXICITY OF Pb</w:t>
      </w:r>
      <w:r>
        <w:rPr>
          <w:rFonts w:ascii="Times New Roman" w:eastAsia="Calibri" w:hAnsi="Times New Roman"/>
          <w:bCs/>
          <w:sz w:val="28"/>
          <w:szCs w:val="28"/>
          <w:vertAlign w:val="superscript"/>
          <w:lang w:val="en-GB"/>
        </w:rPr>
        <w:t>2+</w:t>
      </w:r>
      <w:r>
        <w:rPr>
          <w:rFonts w:ascii="Times New Roman" w:eastAsia="Calibri" w:hAnsi="Times New Roman"/>
          <w:bCs/>
          <w:sz w:val="28"/>
          <w:szCs w:val="28"/>
          <w:lang w:val="en-GB"/>
        </w:rPr>
        <w:t xml:space="preserve"> TOWARDS CHLOROPHYLL A, TOTAL SOLUBLE PROTEIN AND CASPASE-3-LIKE ENZYME ACTIVITY OF</w:t>
      </w:r>
      <w:r>
        <w:rPr>
          <w:rFonts w:ascii="Times New Roman" w:eastAsia="Calibri" w:hAnsi="Times New Roman"/>
          <w:bCs/>
          <w:i/>
          <w:sz w:val="28"/>
          <w:szCs w:val="28"/>
          <w:lang w:val="en-GB"/>
        </w:rPr>
        <w:t xml:space="preserve"> Scenedesmus regularis</w:t>
      </w:r>
    </w:p>
    <w:p w14:paraId="2D2CFE28" w14:textId="77777777" w:rsidR="00ED1D0E" w:rsidRDefault="00ED1D0E" w:rsidP="00ED1D0E">
      <w:pPr>
        <w:tabs>
          <w:tab w:val="left" w:pos="5231"/>
        </w:tabs>
        <w:adjustRightInd w:val="0"/>
        <w:spacing w:after="0"/>
        <w:jc w:val="center"/>
        <w:rPr>
          <w:rFonts w:ascii="Times New Roman" w:eastAsia="Calibri" w:hAnsi="Times New Roman"/>
          <w:b/>
          <w:sz w:val="24"/>
          <w:szCs w:val="24"/>
          <w:lang w:val="en-GB"/>
        </w:rPr>
      </w:pPr>
    </w:p>
    <w:p w14:paraId="321F1BD3" w14:textId="77777777" w:rsidR="00ED1D0E" w:rsidRDefault="00ED1D0E" w:rsidP="00ED1D0E">
      <w:pPr>
        <w:spacing w:after="0"/>
        <w:jc w:val="center"/>
        <w:outlineLvl w:val="0"/>
        <w:rPr>
          <w:rFonts w:ascii="Times New Roman" w:eastAsia="Times New Roman" w:hAnsi="Times New Roman"/>
          <w:sz w:val="24"/>
          <w:szCs w:val="24"/>
        </w:rPr>
      </w:pPr>
      <w:r>
        <w:rPr>
          <w:rFonts w:ascii="Times New Roman" w:hAnsi="Times New Roman"/>
          <w:sz w:val="24"/>
          <w:szCs w:val="24"/>
        </w:rPr>
        <w:t>(Analisa Kesan Ketoksikan Pb</w:t>
      </w:r>
      <w:r>
        <w:rPr>
          <w:rFonts w:ascii="Times New Roman" w:hAnsi="Times New Roman"/>
          <w:sz w:val="24"/>
          <w:szCs w:val="24"/>
          <w:vertAlign w:val="superscript"/>
        </w:rPr>
        <w:t>2+</w:t>
      </w:r>
      <w:r>
        <w:rPr>
          <w:rFonts w:ascii="Times New Roman" w:hAnsi="Times New Roman"/>
          <w:sz w:val="24"/>
          <w:szCs w:val="24"/>
        </w:rPr>
        <w:t xml:space="preserve"> Terhadap Klorofil A, Jumlah Protein Terlarut dan Aktiviti  Enzim Bak Kaspase-3 </w:t>
      </w:r>
      <w:r>
        <w:rPr>
          <w:rFonts w:ascii="Times New Roman" w:hAnsi="Times New Roman"/>
          <w:i/>
          <w:sz w:val="24"/>
          <w:szCs w:val="24"/>
        </w:rPr>
        <w:t>Scenedesmus regularis</w:t>
      </w:r>
      <w:r>
        <w:rPr>
          <w:rFonts w:ascii="Times New Roman" w:hAnsi="Times New Roman"/>
          <w:iCs/>
          <w:sz w:val="24"/>
          <w:szCs w:val="24"/>
        </w:rPr>
        <w:t>)</w:t>
      </w:r>
      <w:r>
        <w:rPr>
          <w:rFonts w:ascii="Times New Roman" w:hAnsi="Times New Roman"/>
          <w:sz w:val="24"/>
          <w:szCs w:val="24"/>
        </w:rPr>
        <w:t xml:space="preserve"> </w:t>
      </w:r>
    </w:p>
    <w:p w14:paraId="6E7B3894" w14:textId="77777777" w:rsidR="00ED1D0E" w:rsidRDefault="00ED1D0E" w:rsidP="00ED1D0E">
      <w:pPr>
        <w:spacing w:after="0"/>
        <w:jc w:val="center"/>
        <w:outlineLvl w:val="0"/>
        <w:rPr>
          <w:rFonts w:ascii="Times New Roman" w:hAnsi="Times New Roman"/>
          <w:sz w:val="20"/>
          <w:szCs w:val="20"/>
        </w:rPr>
      </w:pPr>
    </w:p>
    <w:p w14:paraId="0836782F" w14:textId="77777777" w:rsidR="00ED1D0E" w:rsidRDefault="00ED1D0E" w:rsidP="00ED1D0E">
      <w:pPr>
        <w:spacing w:after="0"/>
        <w:jc w:val="center"/>
        <w:rPr>
          <w:rFonts w:ascii="Times New Roman" w:hAnsi="Times New Roman"/>
          <w:sz w:val="20"/>
          <w:szCs w:val="20"/>
          <w:lang w:bidi="ar-JO"/>
        </w:rPr>
      </w:pPr>
      <w:r>
        <w:rPr>
          <w:rFonts w:ascii="Times New Roman" w:eastAsia="Cambria" w:hAnsi="Times New Roman"/>
          <w:bCs/>
          <w:sz w:val="20"/>
          <w:szCs w:val="20"/>
          <w:lang w:bidi="fa-IR"/>
        </w:rPr>
        <w:t>Hazlina Ahamad Zakeri</w:t>
      </w:r>
      <w:r>
        <w:rPr>
          <w:rFonts w:ascii="Times New Roman" w:eastAsia="Cambria" w:hAnsi="Times New Roman"/>
          <w:bCs/>
          <w:sz w:val="20"/>
          <w:szCs w:val="20"/>
          <w:vertAlign w:val="superscript"/>
          <w:lang w:bidi="fa-IR"/>
        </w:rPr>
        <w:t>1, 3</w:t>
      </w:r>
      <w:r>
        <w:rPr>
          <w:rFonts w:ascii="Times New Roman" w:eastAsia="Cambria" w:hAnsi="Times New Roman"/>
          <w:bCs/>
          <w:sz w:val="20"/>
          <w:szCs w:val="20"/>
          <w:lang w:bidi="fa-IR"/>
        </w:rPr>
        <w:t>, Nakisah Mat Amin</w:t>
      </w:r>
      <w:r>
        <w:rPr>
          <w:rFonts w:ascii="Times New Roman" w:eastAsia="Cambria" w:hAnsi="Times New Roman"/>
          <w:bCs/>
          <w:sz w:val="20"/>
          <w:szCs w:val="20"/>
          <w:vertAlign w:val="superscript"/>
          <w:lang w:bidi="fa-IR"/>
        </w:rPr>
        <w:t>1</w:t>
      </w:r>
      <w:r>
        <w:rPr>
          <w:rFonts w:ascii="Times New Roman" w:eastAsia="Cambria" w:hAnsi="Times New Roman"/>
          <w:bCs/>
          <w:sz w:val="20"/>
          <w:szCs w:val="20"/>
          <w:lang w:bidi="fa-IR"/>
        </w:rPr>
        <w:t>, Nur Hidayah Kamilia Rassman</w:t>
      </w:r>
      <w:r>
        <w:rPr>
          <w:rFonts w:ascii="Times New Roman" w:eastAsia="Cambria" w:hAnsi="Times New Roman"/>
          <w:bCs/>
          <w:sz w:val="20"/>
          <w:szCs w:val="20"/>
          <w:vertAlign w:val="superscript"/>
          <w:lang w:bidi="fa-IR"/>
        </w:rPr>
        <w:t>1</w:t>
      </w:r>
      <w:r>
        <w:rPr>
          <w:rFonts w:ascii="Times New Roman" w:eastAsia="Cambria" w:hAnsi="Times New Roman"/>
          <w:bCs/>
          <w:sz w:val="20"/>
          <w:szCs w:val="20"/>
          <w:lang w:bidi="fa-IR"/>
        </w:rPr>
        <w:t>, Wan Bayani Wan Omar</w:t>
      </w:r>
      <w:r>
        <w:rPr>
          <w:rFonts w:ascii="Times New Roman" w:eastAsia="Cambria" w:hAnsi="Times New Roman"/>
          <w:bCs/>
          <w:sz w:val="20"/>
          <w:szCs w:val="20"/>
          <w:vertAlign w:val="superscript"/>
          <w:lang w:bidi="fa-IR"/>
        </w:rPr>
        <w:t>1, 2</w:t>
      </w:r>
      <w:r>
        <w:rPr>
          <w:rFonts w:ascii="Times New Roman" w:eastAsia="Cambria" w:hAnsi="Times New Roman"/>
          <w:bCs/>
          <w:sz w:val="20"/>
          <w:szCs w:val="20"/>
          <w:lang w:bidi="fa-IR"/>
        </w:rPr>
        <w:t>*</w:t>
      </w:r>
    </w:p>
    <w:p w14:paraId="2CAD64A3" w14:textId="77777777" w:rsidR="00ED1D0E" w:rsidRPr="00ED1D0E" w:rsidRDefault="00ED1D0E" w:rsidP="00ED1D0E">
      <w:pPr>
        <w:spacing w:after="0"/>
        <w:jc w:val="center"/>
        <w:outlineLvl w:val="0"/>
        <w:rPr>
          <w:rFonts w:ascii="Times New Roman" w:hAnsi="Times New Roman"/>
          <w:sz w:val="20"/>
          <w:szCs w:val="20"/>
          <w:vertAlign w:val="superscript"/>
          <w:lang w:bidi="en-US"/>
        </w:rPr>
      </w:pPr>
    </w:p>
    <w:p w14:paraId="12FA9896" w14:textId="77777777" w:rsidR="00ED1D0E" w:rsidRPr="00ED1D0E" w:rsidRDefault="00ED1D0E" w:rsidP="00ED1D0E">
      <w:pPr>
        <w:spacing w:after="0"/>
        <w:jc w:val="center"/>
        <w:rPr>
          <w:rFonts w:ascii="Times New Roman" w:eastAsia="Cambria" w:hAnsi="Times New Roman"/>
          <w:i/>
          <w:iCs/>
          <w:sz w:val="20"/>
          <w:szCs w:val="20"/>
          <w:lang w:bidi="fa-IR"/>
        </w:rPr>
      </w:pPr>
      <w:r w:rsidRPr="00ED1D0E">
        <w:rPr>
          <w:rFonts w:ascii="Times New Roman" w:eastAsia="Cambria" w:hAnsi="Times New Roman"/>
          <w:i/>
          <w:iCs/>
          <w:sz w:val="20"/>
          <w:szCs w:val="20"/>
          <w:vertAlign w:val="superscript"/>
          <w:lang w:bidi="fa-IR"/>
        </w:rPr>
        <w:t>1</w:t>
      </w:r>
      <w:r w:rsidRPr="00ED1D0E">
        <w:rPr>
          <w:rFonts w:ascii="Times New Roman" w:eastAsia="Cambria" w:hAnsi="Times New Roman"/>
          <w:i/>
          <w:iCs/>
          <w:sz w:val="20"/>
          <w:szCs w:val="20"/>
          <w:lang w:bidi="fa-IR"/>
        </w:rPr>
        <w:t>Faculty of Science and Marine Environment,</w:t>
      </w:r>
    </w:p>
    <w:p w14:paraId="32BC5E07" w14:textId="77777777" w:rsidR="00ED1D0E" w:rsidRPr="00ED1D0E" w:rsidRDefault="00ED1D0E" w:rsidP="00ED1D0E">
      <w:pPr>
        <w:spacing w:after="0"/>
        <w:jc w:val="center"/>
        <w:rPr>
          <w:rFonts w:ascii="Times New Roman" w:eastAsia="Cambria" w:hAnsi="Times New Roman"/>
          <w:i/>
          <w:iCs/>
          <w:sz w:val="20"/>
          <w:szCs w:val="20"/>
          <w:lang w:bidi="fa-IR"/>
        </w:rPr>
      </w:pPr>
      <w:r w:rsidRPr="00ED1D0E">
        <w:rPr>
          <w:rFonts w:ascii="Times New Roman" w:eastAsia="Cambria" w:hAnsi="Times New Roman"/>
          <w:i/>
          <w:iCs/>
          <w:sz w:val="20"/>
          <w:szCs w:val="20"/>
          <w:vertAlign w:val="superscript"/>
          <w:lang w:bidi="fa-IR"/>
        </w:rPr>
        <w:t>2</w:t>
      </w:r>
      <w:r w:rsidRPr="00ED1D0E">
        <w:rPr>
          <w:rFonts w:ascii="Times New Roman" w:eastAsia="Cambria" w:hAnsi="Times New Roman"/>
          <w:i/>
          <w:iCs/>
          <w:sz w:val="20"/>
          <w:szCs w:val="20"/>
          <w:lang w:bidi="fa-IR"/>
        </w:rPr>
        <w:t>Institute of Marine Biotechnology,</w:t>
      </w:r>
    </w:p>
    <w:p w14:paraId="7F6FFA78" w14:textId="77777777" w:rsidR="00ED1D0E" w:rsidRPr="00ED1D0E" w:rsidRDefault="00ED1D0E" w:rsidP="00ED1D0E">
      <w:pPr>
        <w:pStyle w:val="Default"/>
        <w:spacing w:line="276" w:lineRule="auto"/>
        <w:jc w:val="center"/>
        <w:rPr>
          <w:rFonts w:ascii="Times New Roman" w:hAnsi="Times New Roman" w:cs="Times New Roman"/>
          <w:i/>
          <w:color w:val="auto"/>
          <w:sz w:val="20"/>
          <w:szCs w:val="20"/>
        </w:rPr>
      </w:pPr>
      <w:r w:rsidRPr="00ED1D0E">
        <w:rPr>
          <w:rFonts w:ascii="Times New Roman" w:hAnsi="Times New Roman" w:cs="Times New Roman"/>
          <w:i/>
          <w:color w:val="auto"/>
          <w:sz w:val="20"/>
          <w:szCs w:val="20"/>
          <w:vertAlign w:val="superscript"/>
          <w:lang w:val="en-MY"/>
        </w:rPr>
        <w:t>3</w:t>
      </w:r>
      <w:r w:rsidRPr="00ED1D0E">
        <w:rPr>
          <w:rFonts w:ascii="Times New Roman" w:hAnsi="Times New Roman" w:cs="Times New Roman"/>
          <w:i/>
          <w:color w:val="auto"/>
          <w:sz w:val="20"/>
          <w:szCs w:val="20"/>
        </w:rPr>
        <w:t xml:space="preserve">Biological Security and Sustainability (BioSeS) Research Group, </w:t>
      </w:r>
    </w:p>
    <w:p w14:paraId="05E8DC30" w14:textId="77777777" w:rsidR="00ED1D0E" w:rsidRPr="00ED1D0E" w:rsidRDefault="00ED1D0E" w:rsidP="00ED1D0E">
      <w:pPr>
        <w:pStyle w:val="Default"/>
        <w:spacing w:line="276" w:lineRule="auto"/>
        <w:jc w:val="center"/>
        <w:rPr>
          <w:rFonts w:ascii="Times New Roman" w:hAnsi="Times New Roman" w:cs="Times New Roman"/>
          <w:i/>
          <w:color w:val="auto"/>
          <w:sz w:val="20"/>
          <w:szCs w:val="20"/>
        </w:rPr>
      </w:pPr>
      <w:r w:rsidRPr="00ED1D0E">
        <w:rPr>
          <w:rFonts w:ascii="Times New Roman" w:hAnsi="Times New Roman" w:cs="Times New Roman"/>
          <w:i/>
          <w:color w:val="auto"/>
          <w:sz w:val="20"/>
          <w:szCs w:val="20"/>
        </w:rPr>
        <w:t>Faculty of Science and Marine Environment,</w:t>
      </w:r>
    </w:p>
    <w:p w14:paraId="5153C406" w14:textId="77777777" w:rsidR="00ED1D0E" w:rsidRPr="00ED1D0E" w:rsidRDefault="00ED1D0E" w:rsidP="00ED1D0E">
      <w:pPr>
        <w:pStyle w:val="Default"/>
        <w:spacing w:line="276" w:lineRule="auto"/>
        <w:jc w:val="center"/>
        <w:rPr>
          <w:rFonts w:ascii="Times New Roman" w:hAnsi="Times New Roman" w:cs="Times New Roman"/>
          <w:i/>
          <w:color w:val="auto"/>
          <w:sz w:val="20"/>
          <w:szCs w:val="20"/>
        </w:rPr>
      </w:pPr>
      <w:r w:rsidRPr="00ED1D0E">
        <w:rPr>
          <w:rFonts w:ascii="Times New Roman" w:hAnsi="Times New Roman" w:cs="Times New Roman"/>
          <w:i/>
          <w:color w:val="auto"/>
          <w:sz w:val="20"/>
          <w:szCs w:val="20"/>
        </w:rPr>
        <w:t>Universiti Malaysia Terengganu, 21030 Kuala Nerus, Terengganu, Malaysia</w:t>
      </w:r>
    </w:p>
    <w:p w14:paraId="159408ED" w14:textId="77777777" w:rsidR="00ED1D0E" w:rsidRPr="00ED1D0E" w:rsidRDefault="00ED1D0E" w:rsidP="00ED1D0E">
      <w:pPr>
        <w:spacing w:after="0"/>
        <w:jc w:val="center"/>
        <w:rPr>
          <w:rFonts w:ascii="Times New Roman" w:eastAsia="Cambria" w:hAnsi="Times New Roman" w:cs="Times New Roman"/>
          <w:i/>
          <w:iCs/>
          <w:sz w:val="20"/>
          <w:szCs w:val="20"/>
          <w:lang w:bidi="fa-IR"/>
        </w:rPr>
      </w:pPr>
    </w:p>
    <w:p w14:paraId="6B273167" w14:textId="77777777" w:rsidR="00ED1D0E" w:rsidRPr="00ED1D0E" w:rsidRDefault="00ED1D0E" w:rsidP="00ED1D0E">
      <w:pPr>
        <w:spacing w:after="0"/>
        <w:jc w:val="center"/>
        <w:outlineLvl w:val="0"/>
        <w:rPr>
          <w:rFonts w:ascii="Times New Roman" w:eastAsia="Times New Roman" w:hAnsi="Times New Roman"/>
          <w:b/>
          <w:sz w:val="20"/>
          <w:szCs w:val="20"/>
          <w:lang w:bidi="en-US"/>
        </w:rPr>
      </w:pPr>
      <w:r w:rsidRPr="00ED1D0E">
        <w:rPr>
          <w:rFonts w:ascii="Times New Roman" w:hAnsi="Times New Roman"/>
          <w:i/>
          <w:sz w:val="20"/>
          <w:szCs w:val="20"/>
        </w:rPr>
        <w:t xml:space="preserve">*Corresponding author:  </w:t>
      </w:r>
      <w:r w:rsidRPr="00ED1D0E">
        <w:rPr>
          <w:rFonts w:ascii="Times New Roman" w:hAnsi="Times New Roman"/>
          <w:bCs/>
          <w:i/>
          <w:sz w:val="20"/>
          <w:szCs w:val="20"/>
          <w:lang w:bidi="fa-IR"/>
        </w:rPr>
        <w:t>bayani@umt.edu.my</w:t>
      </w:r>
      <w:r w:rsidRPr="00ED1D0E">
        <w:rPr>
          <w:rFonts w:ascii="Times New Roman" w:hAnsi="Times New Roman"/>
          <w:i/>
          <w:sz w:val="20"/>
          <w:szCs w:val="20"/>
        </w:rPr>
        <w:t xml:space="preserve"> </w:t>
      </w:r>
    </w:p>
    <w:p w14:paraId="599F3D4B" w14:textId="77777777" w:rsidR="00ED1D0E" w:rsidRPr="00ED1D0E" w:rsidRDefault="00ED1D0E" w:rsidP="00ED1D0E">
      <w:pPr>
        <w:spacing w:after="0" w:line="240" w:lineRule="auto"/>
        <w:jc w:val="center"/>
        <w:rPr>
          <w:rFonts w:ascii="Times New Roman" w:hAnsi="Times New Roman"/>
          <w:noProof/>
          <w:sz w:val="20"/>
          <w:szCs w:val="20"/>
        </w:rPr>
      </w:pPr>
    </w:p>
    <w:p w14:paraId="4CFF5045" w14:textId="77777777" w:rsidR="00ED1D0E" w:rsidRPr="00ED1D0E" w:rsidRDefault="00ED1D0E" w:rsidP="00ED1D0E">
      <w:pPr>
        <w:spacing w:after="0" w:line="240" w:lineRule="auto"/>
        <w:jc w:val="center"/>
        <w:rPr>
          <w:rFonts w:ascii="Times New Roman" w:hAnsi="Times New Roman"/>
          <w:noProof/>
          <w:sz w:val="20"/>
          <w:szCs w:val="20"/>
        </w:rPr>
      </w:pPr>
    </w:p>
    <w:p w14:paraId="79B741BA" w14:textId="77777777" w:rsidR="00ED1D0E" w:rsidRPr="00ED1D0E" w:rsidRDefault="00ED1D0E" w:rsidP="00ED1D0E">
      <w:pPr>
        <w:spacing w:after="0" w:line="240" w:lineRule="auto"/>
        <w:jc w:val="center"/>
        <w:rPr>
          <w:rFonts w:ascii="Times New Roman" w:hAnsi="Times New Roman"/>
          <w:noProof/>
          <w:sz w:val="20"/>
          <w:szCs w:val="20"/>
        </w:rPr>
      </w:pPr>
      <w:r w:rsidRPr="00ED1D0E">
        <w:rPr>
          <w:rFonts w:ascii="Times New Roman" w:hAnsi="Times New Roman"/>
          <w:noProof/>
          <w:sz w:val="20"/>
          <w:szCs w:val="20"/>
        </w:rPr>
        <w:t>Received: 24 December 2019; Accepted: 28 July 2020; Published:  xx October 2020</w:t>
      </w:r>
    </w:p>
    <w:p w14:paraId="06617489" w14:textId="77777777" w:rsidR="00ED1D0E" w:rsidRPr="00ED1D0E" w:rsidRDefault="00ED1D0E" w:rsidP="00ED1D0E">
      <w:pPr>
        <w:spacing w:after="0"/>
        <w:jc w:val="center"/>
        <w:rPr>
          <w:rFonts w:ascii="Times New Roman" w:hAnsi="Times New Roman"/>
          <w:noProof/>
          <w:sz w:val="20"/>
          <w:szCs w:val="20"/>
        </w:rPr>
      </w:pPr>
    </w:p>
    <w:p w14:paraId="63C057E7" w14:textId="77777777" w:rsidR="00ED1D0E" w:rsidRPr="00ED1D0E" w:rsidRDefault="00ED1D0E" w:rsidP="00ED1D0E">
      <w:pPr>
        <w:spacing w:after="0" w:line="240" w:lineRule="auto"/>
        <w:jc w:val="center"/>
        <w:rPr>
          <w:rFonts w:ascii="Times New Roman" w:hAnsi="Times New Roman"/>
          <w:noProof/>
          <w:sz w:val="20"/>
          <w:szCs w:val="20"/>
        </w:rPr>
      </w:pPr>
    </w:p>
    <w:p w14:paraId="64F9123B" w14:textId="77777777" w:rsidR="00ED1D0E" w:rsidRPr="00ED1D0E" w:rsidRDefault="00ED1D0E" w:rsidP="00ED1D0E">
      <w:pPr>
        <w:spacing w:after="0"/>
        <w:jc w:val="center"/>
        <w:rPr>
          <w:rFonts w:ascii="Times New Roman" w:hAnsi="Times New Roman"/>
          <w:b/>
          <w:noProof/>
          <w:sz w:val="20"/>
          <w:szCs w:val="20"/>
        </w:rPr>
      </w:pPr>
      <w:r w:rsidRPr="00ED1D0E">
        <w:rPr>
          <w:rFonts w:ascii="Times New Roman" w:hAnsi="Times New Roman"/>
          <w:b/>
          <w:noProof/>
          <w:sz w:val="20"/>
          <w:szCs w:val="20"/>
        </w:rPr>
        <w:t>Abstract</w:t>
      </w:r>
    </w:p>
    <w:p w14:paraId="423D4F0E" w14:textId="77777777" w:rsidR="00ED1D0E" w:rsidRPr="00ED1D0E" w:rsidRDefault="00ED1D0E" w:rsidP="00ED1D0E">
      <w:pPr>
        <w:tabs>
          <w:tab w:val="left" w:pos="5231"/>
        </w:tabs>
        <w:adjustRightInd w:val="0"/>
        <w:spacing w:after="0"/>
        <w:jc w:val="both"/>
        <w:rPr>
          <w:rFonts w:ascii="Times New Roman" w:eastAsia="Calibri" w:hAnsi="Times New Roman"/>
          <w:sz w:val="20"/>
          <w:szCs w:val="20"/>
          <w:lang w:val="en-GB" w:bidi="en-US"/>
        </w:rPr>
      </w:pPr>
      <w:r w:rsidRPr="00ED1D0E">
        <w:rPr>
          <w:rFonts w:ascii="Times New Roman" w:eastAsia="Calibri" w:hAnsi="Times New Roman"/>
          <w:sz w:val="20"/>
          <w:szCs w:val="20"/>
          <w:lang w:val="en-GB"/>
        </w:rPr>
        <w:t>Heavy metal pollutions, including lead (Pb), has become an increasing concern</w:t>
      </w:r>
      <w:r w:rsidRPr="00ED1D0E">
        <w:rPr>
          <w:rFonts w:ascii="Times New Roman" w:eastAsia="Calibri" w:hAnsi="Times New Roman"/>
          <w:sz w:val="20"/>
          <w:szCs w:val="20"/>
          <w:lang w:val="en-MY"/>
        </w:rPr>
        <w:t xml:space="preserve"> </w:t>
      </w:r>
      <w:r w:rsidRPr="00ED1D0E">
        <w:rPr>
          <w:rFonts w:ascii="Times New Roman" w:eastAsia="Calibri" w:hAnsi="Times New Roman"/>
          <w:sz w:val="20"/>
          <w:szCs w:val="20"/>
          <w:lang w:val="en-GB"/>
        </w:rPr>
        <w:t xml:space="preserve">to humans due to their adverse effects and the fact that they are not easily degraded or destroyed. Microalgae are aquatic organisms that can be used in metal bioremediation since they can accumulate and detoxify metals. This study reported on the responses of a freshwater microalga, which was </w:t>
      </w:r>
      <w:r w:rsidRPr="00ED1D0E">
        <w:rPr>
          <w:rFonts w:ascii="Times New Roman" w:eastAsia="Calibri" w:hAnsi="Times New Roman"/>
          <w:i/>
          <w:sz w:val="20"/>
          <w:szCs w:val="20"/>
          <w:lang w:val="en-GB"/>
        </w:rPr>
        <w:t>Scenedesmus regularis</w:t>
      </w:r>
      <w:r w:rsidRPr="00ED1D0E">
        <w:rPr>
          <w:rFonts w:ascii="Times New Roman" w:eastAsia="Calibri" w:hAnsi="Times New Roman"/>
          <w:sz w:val="20"/>
          <w:szCs w:val="20"/>
          <w:lang w:val="en-GB"/>
        </w:rPr>
        <w:t>,</w:t>
      </w:r>
      <w:r w:rsidRPr="00ED1D0E">
        <w:rPr>
          <w:rFonts w:ascii="Times New Roman" w:eastAsia="Calibri" w:hAnsi="Times New Roman"/>
          <w:i/>
          <w:sz w:val="20"/>
          <w:szCs w:val="20"/>
          <w:lang w:val="en-GB"/>
        </w:rPr>
        <w:t xml:space="preserve"> </w:t>
      </w:r>
      <w:r w:rsidRPr="00ED1D0E">
        <w:rPr>
          <w:rFonts w:ascii="Times New Roman" w:eastAsia="Calibri" w:hAnsi="Times New Roman"/>
          <w:sz w:val="20"/>
          <w:szCs w:val="20"/>
          <w:lang w:val="en-GB"/>
        </w:rPr>
        <w:t>when exposed to the inhibitory concentrations (IC) of Pb</w:t>
      </w:r>
      <w:r w:rsidRPr="00ED1D0E">
        <w:rPr>
          <w:rFonts w:ascii="Times New Roman" w:eastAsia="Calibri" w:hAnsi="Times New Roman"/>
          <w:sz w:val="20"/>
          <w:szCs w:val="20"/>
          <w:vertAlign w:val="superscript"/>
          <w:lang w:val="en-GB"/>
        </w:rPr>
        <w:t xml:space="preserve">2+ </w:t>
      </w:r>
      <w:r w:rsidRPr="00ED1D0E">
        <w:rPr>
          <w:rFonts w:ascii="Times New Roman" w:eastAsia="Calibri" w:hAnsi="Times New Roman"/>
          <w:sz w:val="20"/>
          <w:szCs w:val="20"/>
          <w:lang w:val="en-GB"/>
        </w:rPr>
        <w:t xml:space="preserve">at 25%, 50% and 75%. The tolerance level of </w:t>
      </w:r>
      <w:r w:rsidRPr="00ED1D0E">
        <w:rPr>
          <w:rFonts w:ascii="Times New Roman" w:eastAsia="Calibri" w:hAnsi="Times New Roman"/>
          <w:i/>
          <w:sz w:val="20"/>
          <w:szCs w:val="20"/>
          <w:lang w:val="en-GB"/>
        </w:rPr>
        <w:t>S. regularis</w:t>
      </w:r>
      <w:r w:rsidRPr="00ED1D0E">
        <w:rPr>
          <w:rFonts w:ascii="Times New Roman" w:eastAsia="Calibri" w:hAnsi="Times New Roman"/>
          <w:sz w:val="20"/>
          <w:szCs w:val="20"/>
          <w:lang w:val="en-GB"/>
        </w:rPr>
        <w:t xml:space="preserve"> against Pb</w:t>
      </w:r>
      <w:r w:rsidRPr="00ED1D0E">
        <w:rPr>
          <w:rFonts w:ascii="Times New Roman" w:eastAsia="Calibri" w:hAnsi="Times New Roman"/>
          <w:sz w:val="20"/>
          <w:szCs w:val="20"/>
          <w:vertAlign w:val="superscript"/>
          <w:lang w:val="en-GB"/>
        </w:rPr>
        <w:t xml:space="preserve">2+ </w:t>
      </w:r>
      <w:r w:rsidRPr="00ED1D0E">
        <w:rPr>
          <w:rFonts w:ascii="Times New Roman" w:eastAsia="Calibri" w:hAnsi="Times New Roman"/>
          <w:sz w:val="20"/>
          <w:szCs w:val="20"/>
          <w:lang w:val="en-GB"/>
        </w:rPr>
        <w:t>at IC</w:t>
      </w:r>
      <w:r w:rsidRPr="00ED1D0E">
        <w:rPr>
          <w:rFonts w:ascii="Times New Roman" w:eastAsia="Calibri" w:hAnsi="Times New Roman"/>
          <w:sz w:val="20"/>
          <w:szCs w:val="20"/>
          <w:vertAlign w:val="subscript"/>
          <w:lang w:val="en-GB"/>
        </w:rPr>
        <w:t>25</w:t>
      </w:r>
      <w:r w:rsidRPr="00ED1D0E">
        <w:rPr>
          <w:rFonts w:ascii="Times New Roman" w:eastAsia="Calibri" w:hAnsi="Times New Roman"/>
          <w:sz w:val="20"/>
          <w:szCs w:val="20"/>
          <w:lang w:val="en-GB"/>
        </w:rPr>
        <w:t>, IC</w:t>
      </w:r>
      <w:r w:rsidRPr="00ED1D0E">
        <w:rPr>
          <w:rFonts w:ascii="Times New Roman" w:eastAsia="Calibri" w:hAnsi="Times New Roman"/>
          <w:sz w:val="20"/>
          <w:szCs w:val="20"/>
          <w:vertAlign w:val="subscript"/>
          <w:lang w:val="en-GB"/>
        </w:rPr>
        <w:t>50</w:t>
      </w:r>
      <w:r w:rsidRPr="00ED1D0E">
        <w:rPr>
          <w:rFonts w:ascii="Times New Roman" w:eastAsia="Calibri" w:hAnsi="Times New Roman"/>
          <w:sz w:val="20"/>
          <w:szCs w:val="20"/>
          <w:lang w:val="en-GB"/>
        </w:rPr>
        <w:t xml:space="preserve"> and IC</w:t>
      </w:r>
      <w:r w:rsidRPr="00ED1D0E">
        <w:rPr>
          <w:rFonts w:ascii="Times New Roman" w:eastAsia="Calibri" w:hAnsi="Times New Roman"/>
          <w:sz w:val="20"/>
          <w:szCs w:val="20"/>
          <w:vertAlign w:val="subscript"/>
          <w:lang w:val="en-GB"/>
        </w:rPr>
        <w:t>75</w:t>
      </w:r>
      <w:r w:rsidRPr="00ED1D0E">
        <w:rPr>
          <w:rFonts w:ascii="Times New Roman" w:eastAsia="Calibri" w:hAnsi="Times New Roman"/>
          <w:sz w:val="20"/>
          <w:szCs w:val="20"/>
          <w:lang w:val="en-GB"/>
        </w:rPr>
        <w:t xml:space="preserve"> was determined to be 3.5 mg/L, 7.2 mg/L and 10.9 mg/L, respectively. Then, the microalga was treated with these inhibitory concentrations. The concentration of Chlorophyll A (Chl A) and total soluble protein (TSP), as well as caspase-3-like enzyme activity of the alga were analysed. It was observed that Chl A concentration of the alga significantly decreased as more cells were inhibited by Pb</w:t>
      </w:r>
      <w:r w:rsidRPr="00ED1D0E">
        <w:rPr>
          <w:rFonts w:ascii="Times New Roman" w:eastAsia="Calibri" w:hAnsi="Times New Roman"/>
          <w:sz w:val="20"/>
          <w:szCs w:val="20"/>
          <w:vertAlign w:val="superscript"/>
          <w:lang w:val="en-GB"/>
        </w:rPr>
        <w:t>2+</w:t>
      </w:r>
      <w:r w:rsidRPr="00ED1D0E">
        <w:rPr>
          <w:rFonts w:ascii="Times New Roman" w:eastAsia="Calibri" w:hAnsi="Times New Roman"/>
          <w:sz w:val="20"/>
          <w:szCs w:val="20"/>
          <w:lang w:val="en-GB"/>
        </w:rPr>
        <w:t>. The highest concentration of Pb</w:t>
      </w:r>
      <w:r w:rsidRPr="00ED1D0E">
        <w:rPr>
          <w:rFonts w:ascii="Times New Roman" w:eastAsia="Calibri" w:hAnsi="Times New Roman"/>
          <w:sz w:val="20"/>
          <w:szCs w:val="20"/>
          <w:vertAlign w:val="superscript"/>
          <w:lang w:val="en-GB"/>
        </w:rPr>
        <w:t xml:space="preserve">2+ </w:t>
      </w:r>
      <w:r w:rsidRPr="00ED1D0E">
        <w:rPr>
          <w:rFonts w:ascii="Times New Roman" w:eastAsia="Calibri" w:hAnsi="Times New Roman"/>
          <w:sz w:val="20"/>
          <w:szCs w:val="20"/>
          <w:lang w:val="en-GB"/>
        </w:rPr>
        <w:t>significantly reduced the TSP concentration of the alga. However, no changes were observed amongst the concentrations of Pb</w:t>
      </w:r>
      <w:r w:rsidRPr="00ED1D0E">
        <w:rPr>
          <w:rFonts w:ascii="Times New Roman" w:eastAsia="Calibri" w:hAnsi="Times New Roman"/>
          <w:sz w:val="20"/>
          <w:szCs w:val="20"/>
          <w:vertAlign w:val="superscript"/>
          <w:lang w:val="en-GB"/>
        </w:rPr>
        <w:t>2+</w:t>
      </w:r>
      <w:r w:rsidRPr="00ED1D0E">
        <w:rPr>
          <w:rFonts w:ascii="Times New Roman" w:eastAsia="Calibri" w:hAnsi="Times New Roman"/>
          <w:sz w:val="20"/>
          <w:szCs w:val="20"/>
          <w:lang w:val="en-GB"/>
        </w:rPr>
        <w:t>,</w:t>
      </w:r>
      <w:r w:rsidRPr="00ED1D0E">
        <w:rPr>
          <w:rFonts w:ascii="Times New Roman" w:eastAsia="Calibri" w:hAnsi="Times New Roman"/>
          <w:sz w:val="20"/>
          <w:szCs w:val="20"/>
          <w:vertAlign w:val="subscript"/>
          <w:lang w:val="en-GB"/>
        </w:rPr>
        <w:t xml:space="preserve"> </w:t>
      </w:r>
      <w:r w:rsidRPr="00ED1D0E">
        <w:rPr>
          <w:rFonts w:ascii="Times New Roman" w:eastAsia="Calibri" w:hAnsi="Times New Roman"/>
          <w:sz w:val="20"/>
          <w:szCs w:val="20"/>
          <w:lang w:val="en-GB"/>
        </w:rPr>
        <w:t xml:space="preserve">which inhibited 25% and 50% of the alga population. Activity of caspase-3-like enzyme was significantly induced </w:t>
      </w:r>
      <w:r w:rsidRPr="00ED1D0E">
        <w:rPr>
          <w:rFonts w:ascii="Times New Roman" w:eastAsia="Calibri" w:hAnsi="Times New Roman"/>
          <w:sz w:val="20"/>
          <w:szCs w:val="20"/>
          <w:lang w:val="en-MY"/>
        </w:rPr>
        <w:t>by</w:t>
      </w:r>
      <w:r w:rsidRPr="00ED1D0E">
        <w:rPr>
          <w:rFonts w:ascii="Times New Roman" w:eastAsia="Calibri" w:hAnsi="Times New Roman"/>
          <w:sz w:val="20"/>
          <w:szCs w:val="20"/>
          <w:lang w:val="en-GB"/>
        </w:rPr>
        <w:t xml:space="preserve"> more than 3-fold of control in IC</w:t>
      </w:r>
      <w:r w:rsidRPr="00ED1D0E">
        <w:rPr>
          <w:rFonts w:ascii="Times New Roman" w:eastAsia="Calibri" w:hAnsi="Times New Roman"/>
          <w:sz w:val="20"/>
          <w:szCs w:val="20"/>
          <w:vertAlign w:val="subscript"/>
          <w:lang w:val="en-GB"/>
        </w:rPr>
        <w:t>25</w:t>
      </w:r>
      <w:r w:rsidRPr="00ED1D0E">
        <w:rPr>
          <w:rFonts w:ascii="Times New Roman" w:eastAsia="Calibri" w:hAnsi="Times New Roman"/>
          <w:sz w:val="20"/>
          <w:szCs w:val="20"/>
          <w:lang w:val="en-GB"/>
        </w:rPr>
        <w:t xml:space="preserve"> of Pb</w:t>
      </w:r>
      <w:r w:rsidRPr="00ED1D0E">
        <w:rPr>
          <w:rFonts w:ascii="Times New Roman" w:eastAsia="Calibri" w:hAnsi="Times New Roman"/>
          <w:sz w:val="20"/>
          <w:szCs w:val="20"/>
          <w:vertAlign w:val="superscript"/>
          <w:lang w:val="en-GB"/>
        </w:rPr>
        <w:t>2+</w:t>
      </w:r>
      <w:r w:rsidRPr="00ED1D0E">
        <w:rPr>
          <w:rFonts w:ascii="Times New Roman" w:eastAsia="Calibri" w:hAnsi="Times New Roman"/>
          <w:sz w:val="20"/>
          <w:szCs w:val="20"/>
          <w:lang w:val="en-GB"/>
        </w:rPr>
        <w:t>, while the activity of this enzyme was observed to be supressed in both the IC</w:t>
      </w:r>
      <w:r w:rsidRPr="00ED1D0E">
        <w:rPr>
          <w:rFonts w:ascii="Times New Roman" w:eastAsia="Calibri" w:hAnsi="Times New Roman"/>
          <w:sz w:val="20"/>
          <w:szCs w:val="20"/>
          <w:vertAlign w:val="subscript"/>
          <w:lang w:val="en-GB"/>
        </w:rPr>
        <w:t>50</w:t>
      </w:r>
      <w:r w:rsidRPr="00ED1D0E">
        <w:rPr>
          <w:rFonts w:ascii="Times New Roman" w:eastAsia="Calibri" w:hAnsi="Times New Roman"/>
          <w:sz w:val="20"/>
          <w:szCs w:val="20"/>
          <w:lang w:val="en-GB"/>
        </w:rPr>
        <w:t xml:space="preserve"> and IC</w:t>
      </w:r>
      <w:r w:rsidRPr="00ED1D0E">
        <w:rPr>
          <w:rFonts w:ascii="Times New Roman" w:eastAsia="Calibri" w:hAnsi="Times New Roman"/>
          <w:sz w:val="20"/>
          <w:szCs w:val="20"/>
          <w:vertAlign w:val="subscript"/>
          <w:lang w:val="en-GB"/>
        </w:rPr>
        <w:t>75</w:t>
      </w:r>
      <w:r w:rsidRPr="00ED1D0E">
        <w:rPr>
          <w:rFonts w:ascii="Times New Roman" w:eastAsia="Calibri" w:hAnsi="Times New Roman"/>
          <w:sz w:val="20"/>
          <w:szCs w:val="20"/>
          <w:lang w:val="en-GB"/>
        </w:rPr>
        <w:t xml:space="preserve">. In conclusion, the alga has the potential to be a good </w:t>
      </w:r>
      <w:r w:rsidRPr="00ED1D0E">
        <w:rPr>
          <w:rFonts w:ascii="Times New Roman" w:eastAsia="Calibri" w:hAnsi="Times New Roman"/>
          <w:sz w:val="20"/>
          <w:szCs w:val="20"/>
          <w:lang w:val="en-MY"/>
        </w:rPr>
        <w:t>indicator for</w:t>
      </w:r>
      <w:r w:rsidRPr="00ED1D0E">
        <w:rPr>
          <w:rFonts w:ascii="Times New Roman" w:eastAsia="Calibri" w:hAnsi="Times New Roman"/>
          <w:sz w:val="20"/>
          <w:szCs w:val="20"/>
          <w:lang w:val="en-GB"/>
        </w:rPr>
        <w:t xml:space="preserve"> Pb</w:t>
      </w:r>
      <w:r w:rsidRPr="00ED1D0E">
        <w:rPr>
          <w:rFonts w:ascii="Times New Roman" w:eastAsia="Calibri" w:hAnsi="Times New Roman"/>
          <w:sz w:val="20"/>
          <w:szCs w:val="20"/>
          <w:vertAlign w:val="superscript"/>
          <w:lang w:val="en-GB"/>
        </w:rPr>
        <w:t>2+</w:t>
      </w:r>
      <w:r w:rsidRPr="00ED1D0E">
        <w:rPr>
          <w:rFonts w:ascii="Times New Roman" w:eastAsia="Calibri" w:hAnsi="Times New Roman"/>
          <w:sz w:val="20"/>
          <w:szCs w:val="20"/>
          <w:lang w:val="en-GB"/>
        </w:rPr>
        <w:t xml:space="preserve"> toxicity and the Chl A concentration and caspase-3-like enzyme activity can be applied as biomarkers.</w:t>
      </w:r>
    </w:p>
    <w:p w14:paraId="450E9BF6" w14:textId="77777777" w:rsidR="00ED1D0E" w:rsidRPr="00ED1D0E" w:rsidRDefault="00ED1D0E" w:rsidP="00ED1D0E">
      <w:pPr>
        <w:spacing w:after="0"/>
        <w:jc w:val="both"/>
        <w:outlineLvl w:val="0"/>
        <w:rPr>
          <w:rFonts w:ascii="Times New Roman" w:eastAsia="Times New Roman" w:hAnsi="Times New Roman"/>
          <w:b/>
          <w:sz w:val="20"/>
          <w:szCs w:val="20"/>
        </w:rPr>
      </w:pPr>
    </w:p>
    <w:p w14:paraId="5C81F7F8" w14:textId="77777777" w:rsidR="00ED1D0E" w:rsidRPr="00ED1D0E" w:rsidRDefault="00ED1D0E" w:rsidP="00ED1D0E">
      <w:pPr>
        <w:spacing w:after="0"/>
        <w:jc w:val="both"/>
        <w:outlineLvl w:val="0"/>
        <w:rPr>
          <w:rFonts w:ascii="Times New Roman" w:hAnsi="Times New Roman"/>
          <w:b/>
          <w:sz w:val="20"/>
          <w:szCs w:val="20"/>
        </w:rPr>
      </w:pPr>
      <w:r w:rsidRPr="00ED1D0E">
        <w:rPr>
          <w:rFonts w:ascii="Times New Roman" w:hAnsi="Times New Roman"/>
          <w:b/>
          <w:bCs/>
          <w:sz w:val="20"/>
          <w:szCs w:val="20"/>
        </w:rPr>
        <w:t xml:space="preserve">Keywords: </w:t>
      </w:r>
      <w:r w:rsidRPr="00ED1D0E">
        <w:rPr>
          <w:rFonts w:ascii="Times New Roman" w:hAnsi="Times New Roman"/>
          <w:sz w:val="20"/>
          <w:szCs w:val="20"/>
        </w:rPr>
        <w:t xml:space="preserve"> lead(II) ion</w:t>
      </w:r>
      <w:r w:rsidRPr="00ED1D0E">
        <w:rPr>
          <w:rFonts w:ascii="Times New Roman" w:eastAsia="Calibri" w:hAnsi="Times New Roman"/>
          <w:sz w:val="20"/>
          <w:szCs w:val="20"/>
          <w:lang w:val="en-GB"/>
        </w:rPr>
        <w:t xml:space="preserve">, metal toxicity, microalgae, biochemical analyses, inhibitory concentration </w:t>
      </w:r>
      <w:r w:rsidRPr="00ED1D0E">
        <w:rPr>
          <w:rFonts w:ascii="Times New Roman" w:hAnsi="Times New Roman"/>
          <w:b/>
          <w:sz w:val="20"/>
          <w:szCs w:val="20"/>
          <w:lang w:val="en-GB"/>
        </w:rPr>
        <w:t xml:space="preserve"> </w:t>
      </w:r>
    </w:p>
    <w:p w14:paraId="0112C980" w14:textId="77777777" w:rsidR="00ED1D0E" w:rsidRPr="00ED1D0E" w:rsidRDefault="00ED1D0E" w:rsidP="00ED1D0E">
      <w:pPr>
        <w:spacing w:after="0"/>
        <w:jc w:val="center"/>
        <w:outlineLvl w:val="0"/>
        <w:rPr>
          <w:rFonts w:ascii="Times New Roman" w:hAnsi="Times New Roman"/>
          <w:b/>
          <w:sz w:val="20"/>
          <w:szCs w:val="20"/>
        </w:rPr>
      </w:pPr>
    </w:p>
    <w:p w14:paraId="48C8F643" w14:textId="77777777" w:rsidR="00ED1D0E" w:rsidRPr="00ED1D0E" w:rsidRDefault="00ED1D0E" w:rsidP="00ED1D0E">
      <w:pPr>
        <w:spacing w:after="0"/>
        <w:jc w:val="center"/>
        <w:outlineLvl w:val="0"/>
        <w:rPr>
          <w:rFonts w:ascii="Times New Roman" w:hAnsi="Times New Roman"/>
          <w:b/>
          <w:sz w:val="20"/>
          <w:szCs w:val="20"/>
        </w:rPr>
      </w:pPr>
      <w:r w:rsidRPr="00ED1D0E">
        <w:rPr>
          <w:rFonts w:ascii="Times New Roman" w:hAnsi="Times New Roman"/>
          <w:b/>
          <w:sz w:val="20"/>
          <w:szCs w:val="20"/>
        </w:rPr>
        <w:t>Abstrak</w:t>
      </w:r>
    </w:p>
    <w:p w14:paraId="609C3C1C" w14:textId="77777777" w:rsidR="00ED1D0E" w:rsidRPr="00ED1D0E" w:rsidRDefault="00ED1D0E" w:rsidP="00ED1D0E">
      <w:pPr>
        <w:spacing w:after="0"/>
        <w:jc w:val="both"/>
        <w:rPr>
          <w:rFonts w:ascii="Times New Roman" w:hAnsi="Times New Roman"/>
          <w:sz w:val="20"/>
          <w:szCs w:val="20"/>
          <w:lang w:val="en-MY" w:eastAsia="en-MY"/>
        </w:rPr>
      </w:pPr>
      <w:r w:rsidRPr="00ED1D0E">
        <w:rPr>
          <w:rFonts w:ascii="Times New Roman" w:hAnsi="Times New Roman"/>
          <w:sz w:val="20"/>
          <w:szCs w:val="20"/>
        </w:rPr>
        <w:t xml:space="preserve">Pencemaran logam berat termasuk plumbum </w:t>
      </w:r>
      <w:r w:rsidRPr="00ED1D0E">
        <w:rPr>
          <w:rFonts w:ascii="Times New Roman" w:hAnsi="Times New Roman"/>
          <w:sz w:val="20"/>
          <w:szCs w:val="20"/>
          <w:lang w:val="ms-MY" w:eastAsia="en-MY"/>
        </w:rPr>
        <w:t xml:space="preserve">menjadi semakin menarik perhatian manusia akibat kesan buruknya dan hakikat bahawa ia tidak mudah diurai atau dimusnah. Mikroalga ialah organisma akuatik yang boleh digunakan dalam bioremediasi logam kerana ia boleh mengumpul dan menyahtoksik logam. Kajian ini melaporkan tentang tindak balas mikroalga air tawar, iaitu </w:t>
      </w:r>
      <w:r w:rsidRPr="00ED1D0E">
        <w:rPr>
          <w:rFonts w:ascii="Times New Roman" w:hAnsi="Times New Roman"/>
          <w:i/>
          <w:sz w:val="20"/>
          <w:szCs w:val="20"/>
          <w:lang w:val="ms-MY" w:eastAsia="en-MY"/>
        </w:rPr>
        <w:t>Scenedesmus regularis</w:t>
      </w:r>
      <w:r w:rsidRPr="00ED1D0E">
        <w:rPr>
          <w:rFonts w:ascii="Times New Roman" w:hAnsi="Times New Roman"/>
          <w:sz w:val="20"/>
          <w:szCs w:val="20"/>
          <w:lang w:val="ms-MY" w:eastAsia="en-MY"/>
        </w:rPr>
        <w:t xml:space="preserve"> apabila didedahkan kepada ujian toksik </w:t>
      </w:r>
      <w:r w:rsidRPr="00ED1D0E">
        <w:rPr>
          <w:rFonts w:ascii="Times New Roman" w:eastAsia="Calibri" w:hAnsi="Times New Roman"/>
          <w:sz w:val="20"/>
          <w:szCs w:val="20"/>
          <w:lang w:val="en-GB"/>
        </w:rPr>
        <w:t>Pb</w:t>
      </w:r>
      <w:r w:rsidRPr="00ED1D0E">
        <w:rPr>
          <w:rFonts w:ascii="Times New Roman" w:eastAsia="Calibri" w:hAnsi="Times New Roman"/>
          <w:sz w:val="20"/>
          <w:szCs w:val="20"/>
          <w:vertAlign w:val="superscript"/>
          <w:lang w:val="en-GB"/>
        </w:rPr>
        <w:t xml:space="preserve">2+  </w:t>
      </w:r>
      <w:r w:rsidRPr="00ED1D0E">
        <w:rPr>
          <w:rFonts w:ascii="Times New Roman" w:eastAsia="Calibri" w:hAnsi="Times New Roman"/>
          <w:sz w:val="20"/>
          <w:szCs w:val="20"/>
          <w:lang w:val="en-GB"/>
        </w:rPr>
        <w:t xml:space="preserve">pada kepekatan rencatan (IC) 25%, 50% dan  75%. </w:t>
      </w:r>
      <w:r w:rsidRPr="00ED1D0E">
        <w:rPr>
          <w:rFonts w:ascii="Times New Roman" w:hAnsi="Times New Roman"/>
          <w:sz w:val="20"/>
          <w:szCs w:val="20"/>
          <w:lang w:val="ms-MY" w:eastAsia="en-MY"/>
        </w:rPr>
        <w:t xml:space="preserve">Tahap toleransi </w:t>
      </w:r>
      <w:r w:rsidRPr="00ED1D0E">
        <w:rPr>
          <w:rFonts w:ascii="Times New Roman" w:hAnsi="Times New Roman"/>
          <w:i/>
          <w:sz w:val="20"/>
          <w:szCs w:val="20"/>
          <w:lang w:val="ms-MY" w:eastAsia="en-MY"/>
        </w:rPr>
        <w:t>S. regularis</w:t>
      </w:r>
      <w:r w:rsidRPr="00ED1D0E">
        <w:rPr>
          <w:rFonts w:ascii="Times New Roman" w:hAnsi="Times New Roman"/>
          <w:sz w:val="20"/>
          <w:szCs w:val="20"/>
          <w:lang w:val="ms-MY" w:eastAsia="en-MY"/>
        </w:rPr>
        <w:t xml:space="preserve"> terhadap Pb</w:t>
      </w:r>
      <w:r w:rsidRPr="00ED1D0E">
        <w:rPr>
          <w:rFonts w:ascii="Times New Roman" w:hAnsi="Times New Roman"/>
          <w:sz w:val="20"/>
          <w:szCs w:val="20"/>
          <w:vertAlign w:val="superscript"/>
          <w:lang w:val="ms-MY" w:eastAsia="en-MY"/>
        </w:rPr>
        <w:t>2+</w:t>
      </w:r>
      <w:r w:rsidRPr="00ED1D0E">
        <w:rPr>
          <w:rFonts w:ascii="Times New Roman" w:hAnsi="Times New Roman"/>
          <w:sz w:val="20"/>
          <w:szCs w:val="20"/>
          <w:lang w:val="ms-MY" w:eastAsia="en-MY"/>
        </w:rPr>
        <w:t xml:space="preserve"> pada IC</w:t>
      </w:r>
      <w:r w:rsidRPr="00ED1D0E">
        <w:rPr>
          <w:rFonts w:ascii="Times New Roman" w:hAnsi="Times New Roman"/>
          <w:sz w:val="20"/>
          <w:szCs w:val="20"/>
          <w:vertAlign w:val="subscript"/>
          <w:lang w:val="ms-MY" w:eastAsia="en-MY"/>
        </w:rPr>
        <w:t>25</w:t>
      </w:r>
      <w:r w:rsidRPr="00ED1D0E">
        <w:rPr>
          <w:rFonts w:ascii="Times New Roman" w:hAnsi="Times New Roman"/>
          <w:sz w:val="20"/>
          <w:szCs w:val="20"/>
          <w:lang w:val="ms-MY" w:eastAsia="en-MY"/>
        </w:rPr>
        <w:t>, IC</w:t>
      </w:r>
      <w:r w:rsidRPr="00ED1D0E">
        <w:rPr>
          <w:rFonts w:ascii="Times New Roman" w:hAnsi="Times New Roman"/>
          <w:sz w:val="20"/>
          <w:szCs w:val="20"/>
          <w:vertAlign w:val="subscript"/>
          <w:lang w:val="ms-MY" w:eastAsia="en-MY"/>
        </w:rPr>
        <w:t>50</w:t>
      </w:r>
      <w:r w:rsidRPr="00ED1D0E">
        <w:rPr>
          <w:rFonts w:ascii="Times New Roman" w:hAnsi="Times New Roman"/>
          <w:sz w:val="20"/>
          <w:szCs w:val="20"/>
          <w:lang w:val="ms-MY" w:eastAsia="en-MY"/>
        </w:rPr>
        <w:t xml:space="preserve"> dan IC</w:t>
      </w:r>
      <w:r w:rsidRPr="00ED1D0E">
        <w:rPr>
          <w:rFonts w:ascii="Times New Roman" w:hAnsi="Times New Roman"/>
          <w:sz w:val="20"/>
          <w:szCs w:val="20"/>
          <w:vertAlign w:val="subscript"/>
          <w:lang w:val="ms-MY" w:eastAsia="en-MY"/>
        </w:rPr>
        <w:t>75</w:t>
      </w:r>
      <w:r w:rsidRPr="00ED1D0E">
        <w:rPr>
          <w:rFonts w:ascii="Times New Roman" w:hAnsi="Times New Roman"/>
          <w:sz w:val="20"/>
          <w:szCs w:val="20"/>
          <w:lang w:val="ms-MY" w:eastAsia="en-MY"/>
        </w:rPr>
        <w:t xml:space="preserve"> ialah masing-masing pada 3.5 mg/L, 7.2 mg/L dan 10.9 mg/L. Kemudian mikroalga dirawat dengan kepekatan ini dan kepekatan Klorofil A. Jumlah protein terlarut (TSP) serta aktiviti enzim bak kaspase-3 dianalisis. Didapati bahawa kepekatan Klorofil A alga berkurangan apabila sel-sel lebih banyak direncat oleh Pb</w:t>
      </w:r>
      <w:r w:rsidRPr="00ED1D0E">
        <w:rPr>
          <w:rFonts w:ascii="Times New Roman" w:hAnsi="Times New Roman"/>
          <w:sz w:val="20"/>
          <w:szCs w:val="20"/>
          <w:vertAlign w:val="superscript"/>
          <w:lang w:val="ms-MY" w:eastAsia="en-MY"/>
        </w:rPr>
        <w:t>2+</w:t>
      </w:r>
      <w:r w:rsidRPr="00ED1D0E">
        <w:rPr>
          <w:rFonts w:ascii="Times New Roman" w:hAnsi="Times New Roman"/>
          <w:sz w:val="20"/>
          <w:szCs w:val="20"/>
          <w:lang w:val="ms-MY" w:eastAsia="en-MY"/>
        </w:rPr>
        <w:t>. Kepekatan tertinggi Pb</w:t>
      </w:r>
      <w:r w:rsidRPr="00ED1D0E">
        <w:rPr>
          <w:rFonts w:ascii="Times New Roman" w:hAnsi="Times New Roman"/>
          <w:sz w:val="20"/>
          <w:szCs w:val="20"/>
          <w:vertAlign w:val="superscript"/>
          <w:lang w:val="ms-MY" w:eastAsia="en-MY"/>
        </w:rPr>
        <w:t>2+</w:t>
      </w:r>
      <w:r w:rsidRPr="00ED1D0E">
        <w:rPr>
          <w:rFonts w:ascii="Times New Roman" w:hAnsi="Times New Roman"/>
          <w:sz w:val="20"/>
          <w:szCs w:val="20"/>
          <w:lang w:val="ms-MY" w:eastAsia="en-MY"/>
        </w:rPr>
        <w:t xml:space="preserve"> mengurangkan kepekatan TSP alga dengan ketara. Namun, tiada perubahan diperhatikan antara kepekatan Pb</w:t>
      </w:r>
      <w:r w:rsidRPr="00ED1D0E">
        <w:rPr>
          <w:rFonts w:ascii="Times New Roman" w:hAnsi="Times New Roman"/>
          <w:sz w:val="20"/>
          <w:szCs w:val="20"/>
          <w:vertAlign w:val="superscript"/>
          <w:lang w:val="ms-MY" w:eastAsia="en-MY"/>
        </w:rPr>
        <w:t>2+</w:t>
      </w:r>
      <w:r w:rsidRPr="00ED1D0E">
        <w:rPr>
          <w:rFonts w:ascii="Times New Roman" w:hAnsi="Times New Roman"/>
          <w:sz w:val="20"/>
          <w:szCs w:val="20"/>
          <w:lang w:val="ms-MY" w:eastAsia="en-MY"/>
        </w:rPr>
        <w:t xml:space="preserve"> yang merencat 25% dan 50% populasi alga. Aktiviti enzim bak kaspase-3 telah meningkat lebih daripada tiga kali ganda dalam IC</w:t>
      </w:r>
      <w:r w:rsidRPr="00ED1D0E">
        <w:rPr>
          <w:rFonts w:ascii="Times New Roman" w:hAnsi="Times New Roman"/>
          <w:sz w:val="20"/>
          <w:szCs w:val="20"/>
          <w:vertAlign w:val="subscript"/>
          <w:lang w:val="ms-MY" w:eastAsia="en-MY"/>
        </w:rPr>
        <w:t>25</w:t>
      </w:r>
      <w:r w:rsidRPr="00ED1D0E">
        <w:rPr>
          <w:rFonts w:ascii="Times New Roman" w:hAnsi="Times New Roman"/>
          <w:sz w:val="20"/>
          <w:szCs w:val="20"/>
          <w:lang w:val="ms-MY" w:eastAsia="en-MY"/>
        </w:rPr>
        <w:t xml:space="preserve"> Pb</w:t>
      </w:r>
      <w:r w:rsidRPr="00ED1D0E">
        <w:rPr>
          <w:rFonts w:ascii="Times New Roman" w:hAnsi="Times New Roman"/>
          <w:sz w:val="20"/>
          <w:szCs w:val="20"/>
          <w:vertAlign w:val="superscript"/>
          <w:lang w:val="ms-MY" w:eastAsia="en-MY"/>
        </w:rPr>
        <w:t>2+</w:t>
      </w:r>
      <w:r w:rsidRPr="00ED1D0E">
        <w:rPr>
          <w:rFonts w:ascii="Times New Roman" w:hAnsi="Times New Roman"/>
          <w:sz w:val="20"/>
          <w:szCs w:val="20"/>
          <w:lang w:val="ms-MY" w:eastAsia="en-MY"/>
        </w:rPr>
        <w:t xml:space="preserve"> berbanding kawalan, manakala aktiviti enzim ini berkurangan pada IC</w:t>
      </w:r>
      <w:r w:rsidRPr="00ED1D0E">
        <w:rPr>
          <w:rFonts w:ascii="Times New Roman" w:hAnsi="Times New Roman"/>
          <w:sz w:val="20"/>
          <w:szCs w:val="20"/>
          <w:vertAlign w:val="subscript"/>
          <w:lang w:val="ms-MY" w:eastAsia="en-MY"/>
        </w:rPr>
        <w:t>50</w:t>
      </w:r>
      <w:r w:rsidRPr="00ED1D0E">
        <w:rPr>
          <w:rFonts w:ascii="Times New Roman" w:hAnsi="Times New Roman"/>
          <w:sz w:val="20"/>
          <w:szCs w:val="20"/>
          <w:lang w:val="ms-MY" w:eastAsia="en-MY"/>
        </w:rPr>
        <w:t xml:space="preserve"> dan IC</w:t>
      </w:r>
      <w:r w:rsidRPr="00ED1D0E">
        <w:rPr>
          <w:rFonts w:ascii="Times New Roman" w:hAnsi="Times New Roman"/>
          <w:sz w:val="20"/>
          <w:szCs w:val="20"/>
          <w:vertAlign w:val="subscript"/>
          <w:lang w:val="ms-MY" w:eastAsia="en-MY"/>
        </w:rPr>
        <w:t>75</w:t>
      </w:r>
      <w:r w:rsidRPr="00ED1D0E">
        <w:rPr>
          <w:rFonts w:ascii="Times New Roman" w:hAnsi="Times New Roman"/>
          <w:sz w:val="20"/>
          <w:szCs w:val="20"/>
          <w:lang w:val="ms-MY" w:eastAsia="en-MY"/>
        </w:rPr>
        <w:t>. Kesimpulannya, alga mempunyai potensi untuk menjadi petunjuk yang baik untuk ketoksikan Pb</w:t>
      </w:r>
      <w:r w:rsidRPr="00ED1D0E">
        <w:rPr>
          <w:rFonts w:ascii="Times New Roman" w:hAnsi="Times New Roman"/>
          <w:sz w:val="20"/>
          <w:szCs w:val="20"/>
          <w:vertAlign w:val="superscript"/>
          <w:lang w:val="ms-MY" w:eastAsia="en-MY"/>
        </w:rPr>
        <w:t>2+</w:t>
      </w:r>
      <w:r w:rsidRPr="00ED1D0E">
        <w:rPr>
          <w:rFonts w:ascii="Times New Roman" w:hAnsi="Times New Roman"/>
          <w:sz w:val="20"/>
          <w:szCs w:val="20"/>
          <w:lang w:val="ms-MY" w:eastAsia="en-MY"/>
        </w:rPr>
        <w:t xml:space="preserve"> manakala kepekatan Klorofil A dan aktiviti enzim bak kaspase-3 boleh digunakan sebagai biopenanda.</w:t>
      </w:r>
    </w:p>
    <w:p w14:paraId="64BAE652" w14:textId="77777777" w:rsidR="00ED1D0E" w:rsidRPr="00ED1D0E" w:rsidRDefault="00ED1D0E" w:rsidP="00ED1D0E">
      <w:pPr>
        <w:spacing w:after="0"/>
        <w:jc w:val="both"/>
        <w:rPr>
          <w:rFonts w:ascii="Times New Roman" w:hAnsi="Times New Roman"/>
          <w:sz w:val="20"/>
          <w:szCs w:val="20"/>
          <w:lang w:val="en-MY" w:eastAsia="en-MY"/>
        </w:rPr>
      </w:pPr>
    </w:p>
    <w:p w14:paraId="5FF4CF21" w14:textId="278AC7B7" w:rsidR="003A1F80" w:rsidRDefault="00ED1D0E" w:rsidP="00ED1D0E">
      <w:pPr>
        <w:pStyle w:val="HTMLPreformatted"/>
        <w:wordWrap/>
        <w:spacing w:line="276" w:lineRule="auto"/>
        <w:rPr>
          <w:rFonts w:ascii="Times New Roman" w:eastAsia="Times New Roman" w:hAnsi="Times New Roman" w:cs="Times New Roman"/>
          <w:kern w:val="0"/>
          <w:lang w:val="ms-MY" w:eastAsia="en-MY"/>
        </w:rPr>
      </w:pPr>
      <w:r w:rsidRPr="00ED1D0E">
        <w:rPr>
          <w:rFonts w:ascii="Times New Roman" w:hAnsi="Times New Roman" w:cs="Times New Roman"/>
          <w:b/>
          <w:bCs/>
        </w:rPr>
        <w:t>Kata kunci:</w:t>
      </w:r>
      <w:r w:rsidRPr="00ED1D0E">
        <w:rPr>
          <w:rFonts w:ascii="Times New Roman" w:hAnsi="Times New Roman" w:cs="Times New Roman"/>
          <w:b/>
        </w:rPr>
        <w:t xml:space="preserve">  </w:t>
      </w:r>
      <w:r w:rsidRPr="00ED1D0E">
        <w:rPr>
          <w:rFonts w:ascii="Times New Roman" w:hAnsi="Times New Roman" w:cs="Times New Roman"/>
        </w:rPr>
        <w:t xml:space="preserve">ion plumbum(II), ketoksikan logam, </w:t>
      </w:r>
      <w:r w:rsidRPr="00ED1D0E">
        <w:rPr>
          <w:rFonts w:ascii="Times New Roman" w:eastAsia="Times New Roman" w:hAnsi="Times New Roman" w:cs="Times New Roman"/>
          <w:kern w:val="0"/>
          <w:lang w:val="ms-MY" w:eastAsia="en-MY"/>
        </w:rPr>
        <w:t>mikroalga, analisa biokimia, kepekatan rencatan</w:t>
      </w:r>
    </w:p>
    <w:p w14:paraId="121C8B2E" w14:textId="6C141310" w:rsidR="00ED1D0E" w:rsidRDefault="00ED1D0E" w:rsidP="00ED1D0E">
      <w:pPr>
        <w:pStyle w:val="HTMLPreformatted"/>
        <w:wordWrap/>
        <w:spacing w:line="276" w:lineRule="auto"/>
        <w:rPr>
          <w:rFonts w:ascii="Times New Roman" w:eastAsia="Times New Roman" w:hAnsi="Times New Roman" w:cs="Times New Roman"/>
          <w:kern w:val="0"/>
          <w:lang w:val="ms-MY" w:eastAsia="en-MY"/>
        </w:rPr>
      </w:pPr>
    </w:p>
    <w:p w14:paraId="5152547F" w14:textId="77777777" w:rsidR="00ED1D0E" w:rsidRPr="00ED1D0E" w:rsidRDefault="00ED1D0E" w:rsidP="00ED1D0E">
      <w:pPr>
        <w:adjustRightInd w:val="0"/>
        <w:spacing w:after="0"/>
        <w:jc w:val="center"/>
        <w:rPr>
          <w:rFonts w:ascii="Times New Roman" w:eastAsia="Cambria,Cambria,TimesNewRomanPS" w:hAnsi="Times New Roman" w:cs="Times New Roman"/>
          <w:sz w:val="20"/>
          <w:szCs w:val="20"/>
        </w:rPr>
      </w:pPr>
      <w:r w:rsidRPr="00ED1D0E">
        <w:rPr>
          <w:rFonts w:ascii="Times New Roman" w:hAnsi="Times New Roman" w:cs="Times New Roman"/>
          <w:b/>
          <w:sz w:val="20"/>
          <w:szCs w:val="20"/>
        </w:rPr>
        <w:t>References</w:t>
      </w:r>
    </w:p>
    <w:p w14:paraId="5E807855" w14:textId="77777777" w:rsidR="00ED1D0E" w:rsidRPr="00ED1D0E" w:rsidRDefault="00ED1D0E" w:rsidP="00ED1D0E">
      <w:pPr>
        <w:pStyle w:val="Heading1"/>
        <w:numPr>
          <w:ilvl w:val="0"/>
          <w:numId w:val="3"/>
        </w:numPr>
        <w:shd w:val="clear" w:color="auto" w:fill="FFFFFF"/>
        <w:spacing w:before="0" w:after="0" w:line="276" w:lineRule="auto"/>
        <w:ind w:left="360"/>
        <w:jc w:val="both"/>
        <w:textAlignment w:val="baseline"/>
        <w:rPr>
          <w:rFonts w:ascii="Times New Roman" w:hAnsi="Times New Roman"/>
          <w:b w:val="0"/>
          <w:bCs w:val="0"/>
          <w:sz w:val="20"/>
          <w:szCs w:val="20"/>
        </w:rPr>
      </w:pPr>
      <w:r w:rsidRPr="00ED1D0E">
        <w:rPr>
          <w:rFonts w:ascii="Times New Roman" w:hAnsi="Times New Roman"/>
          <w:b w:val="0"/>
          <w:bCs w:val="0"/>
          <w:sz w:val="20"/>
          <w:szCs w:val="20"/>
        </w:rPr>
        <w:t xml:space="preserve">Kumar, K. S., Dahms, H-U., Won, E. J., Lee, J. S. and Shin, K-H. (2015). Microalgae - a promising tool for heavy metal remediation. </w:t>
      </w:r>
      <w:r w:rsidRPr="00ED1D0E">
        <w:rPr>
          <w:rFonts w:ascii="Times New Roman" w:hAnsi="Times New Roman"/>
          <w:b w:val="0"/>
          <w:bCs w:val="0"/>
          <w:i/>
          <w:iCs/>
          <w:sz w:val="20"/>
          <w:szCs w:val="20"/>
          <w:shd w:val="clear" w:color="auto" w:fill="FFFFFF"/>
        </w:rPr>
        <w:t xml:space="preserve">Ecotoxicology and Environmental Safety, </w:t>
      </w:r>
      <w:r w:rsidRPr="00ED1D0E">
        <w:rPr>
          <w:rFonts w:ascii="Times New Roman" w:hAnsi="Times New Roman"/>
          <w:b w:val="0"/>
          <w:bCs w:val="0"/>
          <w:sz w:val="20"/>
          <w:szCs w:val="20"/>
        </w:rPr>
        <w:t>113: 329-352.</w:t>
      </w:r>
    </w:p>
    <w:p w14:paraId="019539D0" w14:textId="77777777" w:rsidR="00ED1D0E" w:rsidRPr="00ED1D0E" w:rsidRDefault="00ED1D0E" w:rsidP="00ED1D0E">
      <w:pPr>
        <w:pStyle w:val="Heading1"/>
        <w:numPr>
          <w:ilvl w:val="0"/>
          <w:numId w:val="3"/>
        </w:numPr>
        <w:shd w:val="clear" w:color="auto" w:fill="FFFFFF"/>
        <w:spacing w:before="0" w:after="0" w:line="276" w:lineRule="auto"/>
        <w:ind w:left="360"/>
        <w:jc w:val="both"/>
        <w:textAlignment w:val="baseline"/>
        <w:rPr>
          <w:rFonts w:ascii="Times New Roman" w:hAnsi="Times New Roman"/>
          <w:b w:val="0"/>
          <w:bCs w:val="0"/>
          <w:sz w:val="20"/>
          <w:szCs w:val="20"/>
        </w:rPr>
      </w:pPr>
      <w:r w:rsidRPr="00ED1D0E">
        <w:rPr>
          <w:rFonts w:ascii="Times New Roman" w:hAnsi="Times New Roman"/>
          <w:b w:val="0"/>
          <w:bCs w:val="0"/>
          <w:sz w:val="20"/>
          <w:szCs w:val="20"/>
          <w:shd w:val="clear" w:color="auto" w:fill="FFFFFF"/>
        </w:rPr>
        <w:t xml:space="preserve">Cao, D.J., Shi, X.D., Li, H., Xie, P.P., Zhang, H.M., Deng, J.W. and Liang, Y.G. (2015). Effects of lead on tolerance, bioaccumulation, and antioxidative defense system of green algae, </w:t>
      </w:r>
      <w:r w:rsidRPr="00ED1D0E">
        <w:rPr>
          <w:rFonts w:ascii="Times New Roman" w:hAnsi="Times New Roman"/>
          <w:b w:val="0"/>
          <w:bCs w:val="0"/>
          <w:i/>
          <w:sz w:val="20"/>
          <w:szCs w:val="20"/>
          <w:shd w:val="clear" w:color="auto" w:fill="FFFFFF"/>
        </w:rPr>
        <w:t>Cladophora</w:t>
      </w:r>
      <w:r w:rsidRPr="00ED1D0E">
        <w:rPr>
          <w:rFonts w:ascii="Times New Roman" w:hAnsi="Times New Roman"/>
          <w:b w:val="0"/>
          <w:bCs w:val="0"/>
          <w:sz w:val="20"/>
          <w:szCs w:val="20"/>
          <w:shd w:val="clear" w:color="auto" w:fill="FFFFFF"/>
        </w:rPr>
        <w:t>.</w:t>
      </w:r>
      <w:r w:rsidRPr="00ED1D0E">
        <w:rPr>
          <w:rStyle w:val="apple-converted-space"/>
          <w:rFonts w:ascii="Times New Roman" w:hAnsi="Times New Roman"/>
          <w:b w:val="0"/>
          <w:bCs w:val="0"/>
          <w:sz w:val="20"/>
          <w:szCs w:val="20"/>
          <w:shd w:val="clear" w:color="auto" w:fill="FFFFFF"/>
        </w:rPr>
        <w:t> </w:t>
      </w:r>
      <w:r w:rsidRPr="00ED1D0E">
        <w:rPr>
          <w:rFonts w:ascii="Times New Roman" w:hAnsi="Times New Roman"/>
          <w:b w:val="0"/>
          <w:bCs w:val="0"/>
          <w:i/>
          <w:iCs/>
          <w:sz w:val="20"/>
          <w:szCs w:val="20"/>
          <w:shd w:val="clear" w:color="auto" w:fill="FFFFFF"/>
        </w:rPr>
        <w:t>Ecotoxicology and Environmental Safety,</w:t>
      </w:r>
      <w:r w:rsidRPr="00ED1D0E">
        <w:rPr>
          <w:rStyle w:val="apple-converted-space"/>
          <w:rFonts w:ascii="Times New Roman" w:hAnsi="Times New Roman"/>
          <w:b w:val="0"/>
          <w:bCs w:val="0"/>
          <w:i/>
          <w:sz w:val="20"/>
          <w:szCs w:val="20"/>
          <w:shd w:val="clear" w:color="auto" w:fill="FFFFFF"/>
        </w:rPr>
        <w:t> </w:t>
      </w:r>
      <w:r w:rsidRPr="00ED1D0E">
        <w:rPr>
          <w:rFonts w:ascii="Times New Roman" w:hAnsi="Times New Roman"/>
          <w:b w:val="0"/>
          <w:bCs w:val="0"/>
          <w:iCs/>
          <w:sz w:val="20"/>
          <w:szCs w:val="20"/>
          <w:shd w:val="clear" w:color="auto" w:fill="FFFFFF"/>
        </w:rPr>
        <w:t>112:</w:t>
      </w:r>
      <w:r w:rsidRPr="00ED1D0E">
        <w:rPr>
          <w:rFonts w:ascii="Times New Roman" w:hAnsi="Times New Roman"/>
          <w:b w:val="0"/>
          <w:bCs w:val="0"/>
          <w:sz w:val="20"/>
          <w:szCs w:val="20"/>
          <w:shd w:val="clear" w:color="auto" w:fill="FFFFFF"/>
        </w:rPr>
        <w:t xml:space="preserve"> 231-237.</w:t>
      </w:r>
    </w:p>
    <w:p w14:paraId="54D78760" w14:textId="77777777" w:rsidR="00ED1D0E" w:rsidRPr="00ED1D0E" w:rsidRDefault="00ED1D0E" w:rsidP="00ED1D0E">
      <w:pPr>
        <w:pStyle w:val="ListParagraph"/>
        <w:widowControl w:val="0"/>
        <w:numPr>
          <w:ilvl w:val="0"/>
          <w:numId w:val="3"/>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ED1D0E">
        <w:rPr>
          <w:rStyle w:val="authors"/>
          <w:rFonts w:ascii="Times New Roman" w:hAnsi="Times New Roman"/>
          <w:sz w:val="20"/>
          <w:szCs w:val="20"/>
        </w:rPr>
        <w:t xml:space="preserve">Piotrowska-Niczyporuk, A., Bajguz, A., Talarek, M., </w:t>
      </w:r>
      <w:r w:rsidRPr="00ED1D0E">
        <w:rPr>
          <w:rStyle w:val="all-authors"/>
          <w:rFonts w:ascii="Times New Roman" w:hAnsi="Times New Roman"/>
          <w:sz w:val="20"/>
          <w:szCs w:val="20"/>
        </w:rPr>
        <w:t xml:space="preserve">Bralska, M. and Zambrzycka, E. (2015). </w:t>
      </w:r>
      <w:r w:rsidRPr="00ED1D0E">
        <w:rPr>
          <w:rFonts w:ascii="Times New Roman" w:hAnsi="Times New Roman"/>
          <w:bCs/>
          <w:sz w:val="20"/>
          <w:szCs w:val="20"/>
        </w:rPr>
        <w:t xml:space="preserve">The effect of lead on the growth, content of primary metabolites, and antioxidant response of green alga </w:t>
      </w:r>
      <w:r w:rsidRPr="00ED1D0E">
        <w:rPr>
          <w:rFonts w:ascii="Times New Roman" w:hAnsi="Times New Roman"/>
          <w:bCs/>
          <w:i/>
          <w:sz w:val="20"/>
          <w:szCs w:val="20"/>
        </w:rPr>
        <w:t>Acutodesmus obliquus</w:t>
      </w:r>
      <w:r w:rsidRPr="00ED1D0E">
        <w:rPr>
          <w:rFonts w:ascii="Times New Roman" w:hAnsi="Times New Roman"/>
          <w:bCs/>
          <w:sz w:val="20"/>
          <w:szCs w:val="20"/>
        </w:rPr>
        <w:t xml:space="preserve"> (Chlorophyceae).</w:t>
      </w:r>
      <w:r w:rsidRPr="00ED1D0E">
        <w:rPr>
          <w:rFonts w:ascii="Times New Roman" w:hAnsi="Times New Roman"/>
          <w:bCs/>
          <w:i/>
          <w:sz w:val="20"/>
          <w:szCs w:val="20"/>
        </w:rPr>
        <w:t xml:space="preserve"> </w:t>
      </w:r>
      <w:r w:rsidRPr="00ED1D0E">
        <w:rPr>
          <w:rFonts w:ascii="Times New Roman" w:hAnsi="Times New Roman"/>
          <w:i/>
          <w:sz w:val="20"/>
          <w:szCs w:val="20"/>
        </w:rPr>
        <w:t>Environmental Science and Pollution Research,</w:t>
      </w:r>
      <w:r w:rsidRPr="00ED1D0E">
        <w:rPr>
          <w:rFonts w:ascii="Times New Roman" w:hAnsi="Times New Roman"/>
          <w:sz w:val="20"/>
          <w:szCs w:val="20"/>
        </w:rPr>
        <w:t xml:space="preserve"> 22: 19112-19123.</w:t>
      </w:r>
    </w:p>
    <w:p w14:paraId="6B714B29"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ED1D0E">
        <w:rPr>
          <w:rFonts w:ascii="Times New Roman" w:hAnsi="Times New Roman"/>
          <w:sz w:val="20"/>
          <w:szCs w:val="20"/>
        </w:rPr>
        <w:t xml:space="preserve">Luqman, A. B. and Hazlina, A. Z. (2015). Accumulation of Cu(II) and Pb(II) in three rhodophytes of the genus </w:t>
      </w:r>
      <w:r w:rsidRPr="00ED1D0E">
        <w:rPr>
          <w:rFonts w:ascii="Times New Roman" w:hAnsi="Times New Roman"/>
          <w:i/>
          <w:iCs/>
          <w:sz w:val="20"/>
          <w:szCs w:val="20"/>
        </w:rPr>
        <w:t>Gracilaria</w:t>
      </w:r>
      <w:r w:rsidRPr="00ED1D0E">
        <w:rPr>
          <w:rFonts w:ascii="Times New Roman" w:hAnsi="Times New Roman"/>
          <w:sz w:val="20"/>
          <w:szCs w:val="20"/>
        </w:rPr>
        <w:t xml:space="preserve"> and the impact of the metals on the algae physiology. </w:t>
      </w:r>
      <w:r w:rsidRPr="00ED1D0E">
        <w:rPr>
          <w:rFonts w:ascii="Times New Roman" w:hAnsi="Times New Roman"/>
          <w:i/>
          <w:sz w:val="20"/>
          <w:szCs w:val="20"/>
        </w:rPr>
        <w:t xml:space="preserve">Bioscience and Bioengineering, </w:t>
      </w:r>
      <w:r w:rsidRPr="00ED1D0E">
        <w:rPr>
          <w:rFonts w:ascii="Times New Roman" w:hAnsi="Times New Roman"/>
          <w:sz w:val="20"/>
          <w:szCs w:val="20"/>
        </w:rPr>
        <w:t>1: 106-111.</w:t>
      </w:r>
    </w:p>
    <w:p w14:paraId="745D4EAA" w14:textId="77777777" w:rsidR="00ED1D0E" w:rsidRPr="00ED1D0E" w:rsidRDefault="00ED1D0E" w:rsidP="00ED1D0E">
      <w:pPr>
        <w:pStyle w:val="Heading1"/>
        <w:numPr>
          <w:ilvl w:val="0"/>
          <w:numId w:val="3"/>
        </w:numPr>
        <w:shd w:val="clear" w:color="auto" w:fill="FFFFFF"/>
        <w:spacing w:before="0" w:after="0" w:line="276" w:lineRule="auto"/>
        <w:ind w:left="360"/>
        <w:jc w:val="both"/>
        <w:rPr>
          <w:rFonts w:ascii="Times New Roman" w:hAnsi="Times New Roman"/>
          <w:b w:val="0"/>
          <w:sz w:val="20"/>
          <w:szCs w:val="20"/>
        </w:rPr>
      </w:pPr>
      <w:r w:rsidRPr="00ED1D0E">
        <w:rPr>
          <w:rFonts w:ascii="Times New Roman" w:hAnsi="Times New Roman"/>
          <w:b w:val="0"/>
          <w:sz w:val="20"/>
          <w:szCs w:val="20"/>
        </w:rPr>
        <w:t xml:space="preserve">Dao, L. H. and Beardall, J. (2016). Effects of lead on growth, photosynthetic characteristics and production of reactive oxygen species of two freshwater green algae. </w:t>
      </w:r>
      <w:r w:rsidRPr="00ED1D0E">
        <w:rPr>
          <w:rFonts w:ascii="Times New Roman" w:hAnsi="Times New Roman"/>
          <w:b w:val="0"/>
          <w:i/>
          <w:sz w:val="20"/>
          <w:szCs w:val="20"/>
        </w:rPr>
        <w:t xml:space="preserve">Chemosphere, </w:t>
      </w:r>
      <w:r w:rsidRPr="00ED1D0E">
        <w:rPr>
          <w:rFonts w:ascii="Times New Roman" w:hAnsi="Times New Roman"/>
          <w:b w:val="0"/>
          <w:sz w:val="20"/>
          <w:szCs w:val="20"/>
        </w:rPr>
        <w:t xml:space="preserve">147: 420-429. </w:t>
      </w:r>
    </w:p>
    <w:p w14:paraId="3A9FC9D1"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ED1D0E">
        <w:rPr>
          <w:rFonts w:ascii="Times New Roman" w:hAnsi="Times New Roman"/>
          <w:sz w:val="20"/>
          <w:szCs w:val="20"/>
        </w:rPr>
        <w:t xml:space="preserve">Saleh, B. (2016). Lead (Pb) heavy metal impacts in the green </w:t>
      </w:r>
      <w:r w:rsidRPr="00ED1D0E">
        <w:rPr>
          <w:rFonts w:ascii="Times New Roman" w:hAnsi="Times New Roman"/>
          <w:i/>
          <w:sz w:val="20"/>
          <w:szCs w:val="20"/>
        </w:rPr>
        <w:t>Ulva lactuca</w:t>
      </w:r>
      <w:r w:rsidRPr="00ED1D0E">
        <w:rPr>
          <w:rFonts w:ascii="Times New Roman" w:hAnsi="Times New Roman"/>
          <w:sz w:val="20"/>
          <w:szCs w:val="20"/>
        </w:rPr>
        <w:t xml:space="preserve"> (Chlorophyceae) marine algae. </w:t>
      </w:r>
      <w:r w:rsidRPr="00ED1D0E">
        <w:rPr>
          <w:rFonts w:ascii="Times New Roman" w:hAnsi="Times New Roman"/>
          <w:i/>
          <w:sz w:val="20"/>
          <w:szCs w:val="20"/>
        </w:rPr>
        <w:t>Journal of Stress Physiology and Biochemistry,</w:t>
      </w:r>
      <w:r w:rsidRPr="00ED1D0E">
        <w:rPr>
          <w:rFonts w:ascii="Times New Roman" w:hAnsi="Times New Roman"/>
          <w:sz w:val="20"/>
          <w:szCs w:val="20"/>
        </w:rPr>
        <w:t xml:space="preserve"> 12: 62-71.</w:t>
      </w:r>
    </w:p>
    <w:p w14:paraId="1F0E2CB9" w14:textId="77777777" w:rsidR="00ED1D0E" w:rsidRPr="00ED1D0E" w:rsidRDefault="00ED1D0E" w:rsidP="00ED1D0E">
      <w:pPr>
        <w:pStyle w:val="ListParagraph"/>
        <w:widowControl w:val="0"/>
        <w:numPr>
          <w:ilvl w:val="0"/>
          <w:numId w:val="3"/>
        </w:numPr>
        <w:shd w:val="clear" w:color="auto" w:fill="FFFFFF"/>
        <w:autoSpaceDE w:val="0"/>
        <w:autoSpaceDN w:val="0"/>
        <w:spacing w:after="0"/>
        <w:ind w:left="360"/>
        <w:contextualSpacing w:val="0"/>
        <w:jc w:val="both"/>
        <w:rPr>
          <w:rFonts w:ascii="Times New Roman" w:hAnsi="Times New Roman"/>
          <w:sz w:val="20"/>
          <w:szCs w:val="20"/>
        </w:rPr>
      </w:pPr>
      <w:r w:rsidRPr="00ED1D0E">
        <w:rPr>
          <w:rFonts w:ascii="Times New Roman" w:hAnsi="Times New Roman"/>
          <w:sz w:val="20"/>
          <w:szCs w:val="20"/>
        </w:rPr>
        <w:t>Carfagna, S., Giovanna, N. L., Adriana, S., Sorbo, B. S. and</w:t>
      </w:r>
      <w:r w:rsidRPr="00ED1D0E">
        <w:rPr>
          <w:rStyle w:val="apple-converted-space"/>
          <w:rFonts w:ascii="Times New Roman" w:hAnsi="Times New Roman"/>
          <w:sz w:val="20"/>
          <w:szCs w:val="20"/>
        </w:rPr>
        <w:t xml:space="preserve"> </w:t>
      </w:r>
      <w:r w:rsidRPr="00ED1D0E">
        <w:rPr>
          <w:rFonts w:ascii="Times New Roman" w:hAnsi="Times New Roman"/>
          <w:sz w:val="20"/>
          <w:szCs w:val="20"/>
        </w:rPr>
        <w:t xml:space="preserve">Vona, V. (2013). Physiological and morphological responses of lead or cadmium exposed </w:t>
      </w:r>
      <w:r w:rsidRPr="00ED1D0E">
        <w:rPr>
          <w:rStyle w:val="Emphasis"/>
          <w:rFonts w:ascii="Times New Roman" w:hAnsi="Times New Roman"/>
          <w:sz w:val="20"/>
          <w:szCs w:val="20"/>
        </w:rPr>
        <w:t>Chlorella sorokiniana</w:t>
      </w:r>
      <w:r w:rsidRPr="00ED1D0E">
        <w:rPr>
          <w:rStyle w:val="apple-converted-space"/>
          <w:rFonts w:ascii="Times New Roman" w:hAnsi="Times New Roman"/>
          <w:sz w:val="20"/>
          <w:szCs w:val="20"/>
        </w:rPr>
        <w:t> </w:t>
      </w:r>
      <w:r w:rsidRPr="00ED1D0E">
        <w:rPr>
          <w:rFonts w:ascii="Times New Roman" w:hAnsi="Times New Roman"/>
          <w:sz w:val="20"/>
          <w:szCs w:val="20"/>
        </w:rPr>
        <w:t xml:space="preserve">211-8K (Chlorophyceae). </w:t>
      </w:r>
      <w:r w:rsidRPr="00ED1D0E">
        <w:rPr>
          <w:rFonts w:ascii="Times New Roman" w:hAnsi="Times New Roman"/>
          <w:i/>
          <w:sz w:val="20"/>
          <w:szCs w:val="20"/>
        </w:rPr>
        <w:t xml:space="preserve">SpingerPlus, </w:t>
      </w:r>
      <w:r w:rsidRPr="00ED1D0E">
        <w:rPr>
          <w:rFonts w:ascii="Times New Roman" w:hAnsi="Times New Roman"/>
          <w:sz w:val="20"/>
          <w:szCs w:val="20"/>
        </w:rPr>
        <w:t>2: 147-152.</w:t>
      </w:r>
    </w:p>
    <w:p w14:paraId="7DD667DB" w14:textId="739F0863" w:rsidR="00ED1D0E" w:rsidRPr="00ED1D0E" w:rsidRDefault="00ED1D0E" w:rsidP="00ED1D0E">
      <w:pPr>
        <w:pStyle w:val="ListParagraph"/>
        <w:widowControl w:val="0"/>
        <w:numPr>
          <w:ilvl w:val="0"/>
          <w:numId w:val="3"/>
        </w:numPr>
        <w:shd w:val="clear" w:color="auto" w:fill="FFFFFF"/>
        <w:tabs>
          <w:tab w:val="left" w:pos="426"/>
        </w:tabs>
        <w:autoSpaceDE w:val="0"/>
        <w:autoSpaceDN w:val="0"/>
        <w:spacing w:after="0"/>
        <w:ind w:left="360"/>
        <w:contextualSpacing w:val="0"/>
        <w:jc w:val="both"/>
        <w:textAlignment w:val="baseline"/>
        <w:rPr>
          <w:rFonts w:ascii="Times New Roman" w:hAnsi="Times New Roman"/>
          <w:sz w:val="20"/>
          <w:szCs w:val="20"/>
        </w:rPr>
      </w:pPr>
      <w:r w:rsidRPr="00ED1D0E">
        <w:rPr>
          <w:rFonts w:ascii="Times New Roman" w:hAnsi="Times New Roman"/>
          <w:sz w:val="20"/>
          <w:szCs w:val="20"/>
        </w:rPr>
        <w:t xml:space="preserve">  Szivák, I.,</w:t>
      </w:r>
      <w:r w:rsidRPr="00ED1D0E">
        <w:rPr>
          <w:rStyle w:val="apple-converted-space"/>
          <w:rFonts w:ascii="Times New Roman" w:hAnsi="Times New Roman"/>
          <w:sz w:val="20"/>
          <w:szCs w:val="20"/>
        </w:rPr>
        <w:t> </w:t>
      </w:r>
      <w:r w:rsidRPr="00ED1D0E">
        <w:rPr>
          <w:rFonts w:ascii="Times New Roman" w:hAnsi="Times New Roman"/>
          <w:sz w:val="20"/>
          <w:szCs w:val="20"/>
        </w:rPr>
        <w:t xml:space="preserve">Behra, R. and Sigg, L. (2009). </w:t>
      </w:r>
      <w:r w:rsidRPr="00ED1D0E">
        <w:rPr>
          <w:rStyle w:val="maintitle"/>
          <w:rFonts w:ascii="Times New Roman" w:hAnsi="Times New Roman"/>
          <w:sz w:val="20"/>
          <w:szCs w:val="20"/>
        </w:rPr>
        <w:t xml:space="preserve">Metal-induced reactive oxygen species production in </w:t>
      </w:r>
      <w:r w:rsidRPr="00ED1D0E">
        <w:rPr>
          <w:rStyle w:val="maintitle"/>
          <w:rFonts w:ascii="Times New Roman" w:hAnsi="Times New Roman"/>
          <w:i/>
          <w:sz w:val="20"/>
          <w:szCs w:val="20"/>
        </w:rPr>
        <w:t>C</w:t>
      </w:r>
      <w:r w:rsidRPr="00ED1D0E">
        <w:rPr>
          <w:rStyle w:val="Emphasis"/>
          <w:rFonts w:ascii="Times New Roman" w:hAnsi="Times New Roman"/>
          <w:sz w:val="20"/>
          <w:szCs w:val="20"/>
        </w:rPr>
        <w:t>hlamydomonas reinhardtii</w:t>
      </w:r>
      <w:r w:rsidRPr="00ED1D0E">
        <w:rPr>
          <w:rStyle w:val="apple-converted-space"/>
          <w:rFonts w:ascii="Times New Roman" w:hAnsi="Times New Roman"/>
          <w:sz w:val="20"/>
          <w:szCs w:val="20"/>
        </w:rPr>
        <w:t> </w:t>
      </w:r>
      <w:r w:rsidRPr="00ED1D0E">
        <w:rPr>
          <w:rStyle w:val="maintitle"/>
          <w:rFonts w:ascii="Times New Roman" w:hAnsi="Times New Roman"/>
          <w:sz w:val="20"/>
          <w:szCs w:val="20"/>
        </w:rPr>
        <w:t xml:space="preserve">(Chlorophyceae). </w:t>
      </w:r>
      <w:r w:rsidRPr="00ED1D0E">
        <w:rPr>
          <w:rFonts w:ascii="Times New Roman" w:hAnsi="Times New Roman"/>
          <w:sz w:val="20"/>
          <w:szCs w:val="20"/>
          <w:lang w:val="ms-MY" w:eastAsia="ms-MY"/>
        </w:rPr>
        <w:t xml:space="preserve"> </w:t>
      </w:r>
      <w:r w:rsidRPr="00ED1D0E">
        <w:rPr>
          <w:rFonts w:ascii="Times New Roman" w:hAnsi="Times New Roman"/>
          <w:i/>
          <w:sz w:val="20"/>
          <w:szCs w:val="20"/>
        </w:rPr>
        <w:t xml:space="preserve">Journal of Phycology, </w:t>
      </w:r>
      <w:r w:rsidRPr="00ED1D0E">
        <w:rPr>
          <w:rFonts w:ascii="Times New Roman" w:hAnsi="Times New Roman"/>
          <w:bCs/>
          <w:sz w:val="20"/>
          <w:szCs w:val="20"/>
        </w:rPr>
        <w:t xml:space="preserve">45: </w:t>
      </w:r>
      <w:r w:rsidRPr="00ED1D0E">
        <w:rPr>
          <w:rFonts w:ascii="Times New Roman" w:hAnsi="Times New Roman"/>
          <w:sz w:val="20"/>
          <w:szCs w:val="20"/>
        </w:rPr>
        <w:t>427-435.</w:t>
      </w:r>
    </w:p>
    <w:p w14:paraId="255B34AC" w14:textId="77777777" w:rsidR="00ED1D0E" w:rsidRPr="00ED1D0E" w:rsidRDefault="00ED1D0E" w:rsidP="00ED1D0E">
      <w:pPr>
        <w:pStyle w:val="Heading1"/>
        <w:numPr>
          <w:ilvl w:val="0"/>
          <w:numId w:val="3"/>
        </w:numPr>
        <w:shd w:val="clear" w:color="auto" w:fill="FFFFFF"/>
        <w:spacing w:before="0" w:after="0" w:line="276" w:lineRule="auto"/>
        <w:ind w:left="360"/>
        <w:jc w:val="both"/>
        <w:rPr>
          <w:rFonts w:ascii="Times New Roman" w:hAnsi="Times New Roman"/>
          <w:b w:val="0"/>
          <w:sz w:val="20"/>
          <w:szCs w:val="20"/>
        </w:rPr>
      </w:pPr>
      <w:r w:rsidRPr="00ED1D0E">
        <w:rPr>
          <w:rFonts w:ascii="Times New Roman" w:hAnsi="Times New Roman"/>
          <w:b w:val="0"/>
          <w:sz w:val="20"/>
          <w:szCs w:val="20"/>
        </w:rPr>
        <w:t xml:space="preserve">Sui, L., Zhang, R-H., Zhang, P., Yun, K-L., Zhang, H-C., Liu, L. and Hu, M-X. (2015). Lead toxicity induces autophagy to protect against cell death through mTORC1 pathway in cardiofibroblasts. </w:t>
      </w:r>
      <w:r w:rsidRPr="00ED1D0E">
        <w:rPr>
          <w:rFonts w:ascii="Times New Roman" w:hAnsi="Times New Roman"/>
          <w:b w:val="0"/>
          <w:i/>
          <w:sz w:val="20"/>
          <w:szCs w:val="20"/>
        </w:rPr>
        <w:t xml:space="preserve">Bioscience Reports, </w:t>
      </w:r>
      <w:r w:rsidRPr="00ED1D0E">
        <w:rPr>
          <w:rFonts w:ascii="Times New Roman" w:hAnsi="Times New Roman"/>
          <w:b w:val="0"/>
          <w:sz w:val="20"/>
          <w:szCs w:val="20"/>
        </w:rPr>
        <w:t>35:</w:t>
      </w:r>
      <w:r w:rsidRPr="00ED1D0E">
        <w:rPr>
          <w:rFonts w:ascii="Times New Roman" w:hAnsi="Times New Roman"/>
          <w:b w:val="0"/>
          <w:i/>
          <w:sz w:val="20"/>
          <w:szCs w:val="20"/>
        </w:rPr>
        <w:t xml:space="preserve"> </w:t>
      </w:r>
      <w:r w:rsidRPr="00ED1D0E">
        <w:rPr>
          <w:rFonts w:ascii="Times New Roman" w:hAnsi="Times New Roman"/>
          <w:b w:val="0"/>
          <w:sz w:val="20"/>
          <w:szCs w:val="20"/>
        </w:rPr>
        <w:t>1-9.</w:t>
      </w:r>
    </w:p>
    <w:p w14:paraId="3700648E"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lang w:eastAsia="en-MY"/>
        </w:rPr>
      </w:pPr>
      <w:r w:rsidRPr="00ED1D0E">
        <w:rPr>
          <w:rFonts w:ascii="Times New Roman" w:hAnsi="Times New Roman"/>
          <w:sz w:val="20"/>
          <w:szCs w:val="20"/>
          <w:lang w:eastAsia="en-MY"/>
        </w:rPr>
        <w:t xml:space="preserve">Chatterjee, S., Sarkar, S. and Bhattacharya, S. (2014). Toxic metals and autophagy. </w:t>
      </w:r>
      <w:r w:rsidRPr="00ED1D0E">
        <w:rPr>
          <w:rFonts w:ascii="Times New Roman" w:hAnsi="Times New Roman"/>
          <w:i/>
          <w:sz w:val="20"/>
          <w:szCs w:val="20"/>
          <w:lang w:eastAsia="en-MY"/>
        </w:rPr>
        <w:t xml:space="preserve">Chemical Research in Toxicology, </w:t>
      </w:r>
      <w:r w:rsidRPr="00ED1D0E">
        <w:rPr>
          <w:rFonts w:ascii="Times New Roman" w:hAnsi="Times New Roman"/>
          <w:sz w:val="20"/>
          <w:szCs w:val="20"/>
          <w:lang w:eastAsia="en-MY"/>
        </w:rPr>
        <w:t>27: 1887-1900.</w:t>
      </w:r>
    </w:p>
    <w:p w14:paraId="251E6CA9"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ED1D0E">
        <w:rPr>
          <w:rFonts w:ascii="Times New Roman" w:hAnsi="Times New Roman"/>
          <w:sz w:val="20"/>
          <w:szCs w:val="20"/>
        </w:rPr>
        <w:t xml:space="preserve">Darehshouri, A., Affenzeller, M. and Lütz-Meindl, U. (2008). Cell death in unicellular green alga </w:t>
      </w:r>
      <w:r w:rsidRPr="00ED1D0E">
        <w:rPr>
          <w:rFonts w:ascii="Times New Roman" w:hAnsi="Times New Roman"/>
          <w:i/>
          <w:sz w:val="20"/>
          <w:szCs w:val="20"/>
        </w:rPr>
        <w:t>Micrasterias</w:t>
      </w:r>
      <w:r w:rsidRPr="00ED1D0E">
        <w:rPr>
          <w:rFonts w:ascii="Times New Roman" w:hAnsi="Times New Roman"/>
          <w:sz w:val="20"/>
          <w:szCs w:val="20"/>
        </w:rPr>
        <w:t xml:space="preserve"> upon H</w:t>
      </w:r>
      <w:r w:rsidRPr="00ED1D0E">
        <w:rPr>
          <w:rFonts w:ascii="Times New Roman" w:hAnsi="Times New Roman"/>
          <w:sz w:val="20"/>
          <w:szCs w:val="20"/>
          <w:vertAlign w:val="subscript"/>
        </w:rPr>
        <w:t>2</w:t>
      </w:r>
      <w:r w:rsidRPr="00ED1D0E">
        <w:rPr>
          <w:rFonts w:ascii="Times New Roman" w:hAnsi="Times New Roman"/>
          <w:sz w:val="20"/>
          <w:szCs w:val="20"/>
        </w:rPr>
        <w:t>O</w:t>
      </w:r>
      <w:r w:rsidRPr="00ED1D0E">
        <w:rPr>
          <w:rFonts w:ascii="Times New Roman" w:hAnsi="Times New Roman"/>
          <w:sz w:val="20"/>
          <w:szCs w:val="20"/>
          <w:vertAlign w:val="subscript"/>
        </w:rPr>
        <w:t>2</w:t>
      </w:r>
      <w:r w:rsidRPr="00ED1D0E">
        <w:rPr>
          <w:rFonts w:ascii="Times New Roman" w:hAnsi="Times New Roman"/>
          <w:sz w:val="20"/>
          <w:szCs w:val="20"/>
        </w:rPr>
        <w:t xml:space="preserve"> induction. </w:t>
      </w:r>
      <w:r w:rsidRPr="00ED1D0E">
        <w:rPr>
          <w:rFonts w:ascii="Times New Roman" w:hAnsi="Times New Roman"/>
          <w:i/>
          <w:sz w:val="20"/>
          <w:szCs w:val="20"/>
        </w:rPr>
        <w:t xml:space="preserve">Plant Biology, </w:t>
      </w:r>
      <w:r w:rsidRPr="00ED1D0E">
        <w:rPr>
          <w:rFonts w:ascii="Times New Roman" w:hAnsi="Times New Roman"/>
          <w:sz w:val="20"/>
          <w:szCs w:val="20"/>
        </w:rPr>
        <w:t>10: 732-745.</w:t>
      </w:r>
    </w:p>
    <w:p w14:paraId="1B3B5767"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ED1D0E">
        <w:rPr>
          <w:rFonts w:ascii="Times New Roman" w:hAnsi="Times New Roman"/>
          <w:sz w:val="20"/>
          <w:szCs w:val="20"/>
        </w:rPr>
        <w:t xml:space="preserve">Segovia, M. and Berges, J. A. (2009). Inhibition of caspase-like activities prevents the appearance of reactive oxygen species and dark-induced apoptosis in the unicellular chlorophyte </w:t>
      </w:r>
      <w:r w:rsidRPr="00ED1D0E">
        <w:rPr>
          <w:rFonts w:ascii="Times New Roman" w:hAnsi="Times New Roman"/>
          <w:i/>
          <w:sz w:val="20"/>
          <w:szCs w:val="20"/>
        </w:rPr>
        <w:t>Dunaliella tertiolecta</w:t>
      </w:r>
      <w:r w:rsidRPr="00ED1D0E">
        <w:rPr>
          <w:rFonts w:ascii="Times New Roman" w:hAnsi="Times New Roman"/>
          <w:sz w:val="20"/>
          <w:szCs w:val="20"/>
        </w:rPr>
        <w:t xml:space="preserve">. </w:t>
      </w:r>
      <w:r w:rsidRPr="00ED1D0E">
        <w:rPr>
          <w:rFonts w:ascii="Times New Roman" w:hAnsi="Times New Roman"/>
          <w:i/>
          <w:sz w:val="20"/>
          <w:szCs w:val="20"/>
        </w:rPr>
        <w:t xml:space="preserve">Journal of </w:t>
      </w:r>
      <w:r w:rsidRPr="00ED1D0E">
        <w:rPr>
          <w:rFonts w:ascii="Times New Roman" w:hAnsi="Times New Roman"/>
          <w:i/>
          <w:sz w:val="20"/>
          <w:szCs w:val="20"/>
        </w:rPr>
        <w:lastRenderedPageBreak/>
        <w:t xml:space="preserve">Phycology, </w:t>
      </w:r>
      <w:r w:rsidRPr="00ED1D0E">
        <w:rPr>
          <w:rFonts w:ascii="Times New Roman" w:hAnsi="Times New Roman"/>
          <w:sz w:val="20"/>
          <w:szCs w:val="20"/>
        </w:rPr>
        <w:t xml:space="preserve">45: 1-11. </w:t>
      </w:r>
    </w:p>
    <w:p w14:paraId="4E94D33F" w14:textId="77777777" w:rsidR="00ED1D0E" w:rsidRPr="00ED1D0E" w:rsidRDefault="00ED1D0E" w:rsidP="00ED1D0E">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lang w:eastAsia="en-MY"/>
        </w:rPr>
      </w:pPr>
      <w:r w:rsidRPr="00ED1D0E">
        <w:rPr>
          <w:rFonts w:ascii="Times New Roman" w:hAnsi="Times New Roman"/>
          <w:sz w:val="20"/>
          <w:szCs w:val="20"/>
          <w:lang w:eastAsia="en-MY"/>
        </w:rPr>
        <w:t xml:space="preserve">Johnson, J. G., Janech, M. G. and Van Dolah, F. M. (2014). Caspase-like activity during aging and cell death in the toxic dinoflagellate </w:t>
      </w:r>
      <w:r w:rsidRPr="00ED1D0E">
        <w:rPr>
          <w:rFonts w:ascii="Times New Roman" w:hAnsi="Times New Roman"/>
          <w:i/>
          <w:iCs/>
          <w:sz w:val="20"/>
          <w:szCs w:val="20"/>
          <w:lang w:eastAsia="en-MY"/>
        </w:rPr>
        <w:t xml:space="preserve">Karenia brevis. </w:t>
      </w:r>
      <w:r w:rsidRPr="00ED1D0E">
        <w:rPr>
          <w:rFonts w:ascii="Times New Roman" w:hAnsi="Times New Roman"/>
          <w:i/>
          <w:sz w:val="20"/>
          <w:szCs w:val="20"/>
          <w:lang w:eastAsia="en-MY"/>
        </w:rPr>
        <w:t xml:space="preserve">Harmful Algae, </w:t>
      </w:r>
      <w:r w:rsidRPr="00ED1D0E">
        <w:rPr>
          <w:rFonts w:ascii="Times New Roman" w:hAnsi="Times New Roman"/>
          <w:sz w:val="20"/>
          <w:szCs w:val="20"/>
          <w:lang w:eastAsia="en-MY"/>
        </w:rPr>
        <w:t>31: 41-53.</w:t>
      </w:r>
    </w:p>
    <w:p w14:paraId="3E790701" w14:textId="77777777" w:rsidR="00ED1D0E" w:rsidRPr="00ED1D0E" w:rsidRDefault="00ED1D0E" w:rsidP="00ED1D0E">
      <w:pPr>
        <w:pStyle w:val="ListParagraph"/>
        <w:widowControl w:val="0"/>
        <w:numPr>
          <w:ilvl w:val="0"/>
          <w:numId w:val="3"/>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ED1D0E">
        <w:rPr>
          <w:rStyle w:val="normaltextrun"/>
          <w:rFonts w:ascii="Times New Roman" w:hAnsi="Times New Roman"/>
          <w:sz w:val="20"/>
          <w:szCs w:val="20"/>
          <w:shd w:val="clear" w:color="auto" w:fill="FFFFFF"/>
        </w:rPr>
        <w:t>Hii, Y. S., Shia, K. L., Chuah, T. S. and Hing, L. S. (2009). Physiological responses of</w:t>
      </w:r>
      <w:r w:rsidRPr="00ED1D0E">
        <w:rPr>
          <w:rStyle w:val="apple-converted-space"/>
          <w:rFonts w:ascii="Times New Roman" w:hAnsi="Times New Roman"/>
          <w:sz w:val="20"/>
          <w:szCs w:val="20"/>
          <w:shd w:val="clear" w:color="auto" w:fill="FFFFFF"/>
        </w:rPr>
        <w:t> </w:t>
      </w:r>
      <w:r w:rsidRPr="00ED1D0E">
        <w:rPr>
          <w:rStyle w:val="normaltextrun"/>
          <w:rFonts w:ascii="Times New Roman" w:hAnsi="Times New Roman"/>
          <w:sz w:val="20"/>
          <w:szCs w:val="20"/>
          <w:shd w:val="clear" w:color="auto" w:fill="FFFFFF"/>
        </w:rPr>
        <w:t>Chaetoceros</w:t>
      </w:r>
      <w:r w:rsidRPr="00ED1D0E">
        <w:rPr>
          <w:rStyle w:val="apple-converted-space"/>
          <w:rFonts w:ascii="Times New Roman" w:hAnsi="Times New Roman"/>
          <w:i/>
          <w:iCs/>
          <w:sz w:val="20"/>
          <w:szCs w:val="20"/>
          <w:shd w:val="clear" w:color="auto" w:fill="FFFFFF"/>
        </w:rPr>
        <w:t> </w:t>
      </w:r>
      <w:r w:rsidRPr="00ED1D0E">
        <w:rPr>
          <w:rStyle w:val="normaltextrun"/>
          <w:rFonts w:ascii="Times New Roman" w:hAnsi="Times New Roman"/>
          <w:sz w:val="20"/>
          <w:szCs w:val="20"/>
          <w:shd w:val="clear" w:color="auto" w:fill="FFFFFF"/>
        </w:rPr>
        <w:t>sp. and</w:t>
      </w:r>
      <w:r w:rsidRPr="00ED1D0E">
        <w:rPr>
          <w:rStyle w:val="apple-converted-space"/>
          <w:rFonts w:ascii="Times New Roman" w:hAnsi="Times New Roman"/>
          <w:sz w:val="20"/>
          <w:szCs w:val="20"/>
          <w:shd w:val="clear" w:color="auto" w:fill="FFFFFF"/>
        </w:rPr>
        <w:t> </w:t>
      </w:r>
      <w:r w:rsidRPr="00ED1D0E">
        <w:rPr>
          <w:rStyle w:val="normaltextrun"/>
          <w:rFonts w:ascii="Times New Roman" w:hAnsi="Times New Roman"/>
          <w:sz w:val="20"/>
          <w:szCs w:val="20"/>
          <w:shd w:val="clear" w:color="auto" w:fill="FFFFFF"/>
        </w:rPr>
        <w:t>Nannochloropsis</w:t>
      </w:r>
      <w:r w:rsidRPr="00ED1D0E">
        <w:rPr>
          <w:rStyle w:val="apple-converted-space"/>
          <w:rFonts w:ascii="Times New Roman" w:hAnsi="Times New Roman"/>
          <w:i/>
          <w:iCs/>
          <w:sz w:val="20"/>
          <w:szCs w:val="20"/>
          <w:shd w:val="clear" w:color="auto" w:fill="FFFFFF"/>
        </w:rPr>
        <w:t> </w:t>
      </w:r>
      <w:r w:rsidRPr="00ED1D0E">
        <w:rPr>
          <w:rStyle w:val="normaltextrun"/>
          <w:rFonts w:ascii="Times New Roman" w:hAnsi="Times New Roman"/>
          <w:sz w:val="20"/>
          <w:szCs w:val="20"/>
          <w:shd w:val="clear" w:color="auto" w:fill="FFFFFF"/>
        </w:rPr>
        <w:t>sp. to short-term 2,4-D, Dimethylamine and Endosulfan exposure. Aquatic Ecosystem &amp; Health Management, 12: 375-389.</w:t>
      </w:r>
    </w:p>
    <w:p w14:paraId="440E9984" w14:textId="77777777" w:rsidR="00ED1D0E" w:rsidRPr="00ED1D0E" w:rsidRDefault="00ED1D0E" w:rsidP="00ED1D0E">
      <w:pPr>
        <w:pStyle w:val="ListParagraph"/>
        <w:widowControl w:val="0"/>
        <w:numPr>
          <w:ilvl w:val="0"/>
          <w:numId w:val="3"/>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ED1D0E">
        <w:rPr>
          <w:rFonts w:ascii="Times New Roman" w:hAnsi="Times New Roman"/>
          <w:sz w:val="20"/>
          <w:szCs w:val="20"/>
        </w:rPr>
        <w:t xml:space="preserve">Ritchie, R. J. (2008). Universal chlorophyll equations for estimating chlorophylls a, b, c, and d and total chlorophylls in natural assemblages of photosynthetic organisms using acetone, methanol, or ethanol solvents. </w:t>
      </w:r>
      <w:r w:rsidRPr="00ED1D0E">
        <w:rPr>
          <w:rFonts w:ascii="Times New Roman" w:hAnsi="Times New Roman"/>
          <w:i/>
          <w:sz w:val="20"/>
          <w:szCs w:val="20"/>
        </w:rPr>
        <w:t xml:space="preserve">Photosynthetica, </w:t>
      </w:r>
      <w:r w:rsidRPr="00ED1D0E">
        <w:rPr>
          <w:rFonts w:ascii="Times New Roman" w:hAnsi="Times New Roman"/>
          <w:sz w:val="20"/>
          <w:szCs w:val="20"/>
        </w:rPr>
        <w:t>46: 115-126.</w:t>
      </w:r>
    </w:p>
    <w:p w14:paraId="7F2422DC"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lang w:eastAsia="en-MY"/>
        </w:rPr>
      </w:pPr>
      <w:r w:rsidRPr="00ED1D0E">
        <w:rPr>
          <w:rFonts w:ascii="Times New Roman" w:hAnsi="Times New Roman"/>
          <w:sz w:val="20"/>
          <w:szCs w:val="20"/>
          <w:lang w:eastAsia="en-MY"/>
        </w:rPr>
        <w:t xml:space="preserve">Faurobert, M., Mihr, C., Bertin, N., Pawlowski, T., Negroni, L., Sommerer, N. and Causse, M. (2007). Major proteome variations associated with cherry tomato pericarp development and ripening. </w:t>
      </w:r>
      <w:r w:rsidRPr="00ED1D0E">
        <w:rPr>
          <w:rFonts w:ascii="Times New Roman" w:hAnsi="Times New Roman"/>
          <w:i/>
          <w:sz w:val="20"/>
          <w:szCs w:val="20"/>
          <w:lang w:eastAsia="en-MY"/>
        </w:rPr>
        <w:t xml:space="preserve">Plant Physiology, </w:t>
      </w:r>
      <w:r w:rsidRPr="00ED1D0E">
        <w:rPr>
          <w:rFonts w:ascii="Times New Roman" w:hAnsi="Times New Roman"/>
          <w:sz w:val="20"/>
          <w:szCs w:val="20"/>
          <w:lang w:eastAsia="en-MY"/>
        </w:rPr>
        <w:t>143: 1327-1346.</w:t>
      </w:r>
    </w:p>
    <w:p w14:paraId="285A3DD2" w14:textId="77777777" w:rsidR="00ED1D0E" w:rsidRPr="00ED1D0E" w:rsidRDefault="00ED1D0E" w:rsidP="00ED1D0E">
      <w:pPr>
        <w:pStyle w:val="ListParagraph"/>
        <w:widowControl w:val="0"/>
        <w:numPr>
          <w:ilvl w:val="0"/>
          <w:numId w:val="3"/>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ED1D0E">
        <w:rPr>
          <w:rStyle w:val="normaltextrun"/>
          <w:rFonts w:ascii="Times New Roman" w:hAnsi="Times New Roman"/>
          <w:sz w:val="20"/>
          <w:szCs w:val="20"/>
          <w:shd w:val="clear" w:color="auto" w:fill="FFFFFF"/>
        </w:rPr>
        <w:t>Bradford, M. M. (1976). A rapid and sensitive method for the</w:t>
      </w:r>
      <w:r w:rsidRPr="00ED1D0E">
        <w:rPr>
          <w:rStyle w:val="apple-converted-space"/>
          <w:rFonts w:ascii="Times New Roman" w:hAnsi="Times New Roman"/>
          <w:sz w:val="20"/>
          <w:szCs w:val="20"/>
          <w:shd w:val="clear" w:color="auto" w:fill="FFFFFF"/>
        </w:rPr>
        <w:t> q</w:t>
      </w:r>
      <w:r w:rsidRPr="00ED1D0E">
        <w:rPr>
          <w:rStyle w:val="spellingerror"/>
          <w:rFonts w:ascii="Times New Roman" w:hAnsi="Times New Roman"/>
          <w:sz w:val="20"/>
          <w:szCs w:val="20"/>
          <w:shd w:val="clear" w:color="auto" w:fill="FFFFFF"/>
        </w:rPr>
        <w:t>uantitation</w:t>
      </w:r>
      <w:r w:rsidRPr="00ED1D0E">
        <w:rPr>
          <w:rStyle w:val="apple-converted-space"/>
          <w:rFonts w:ascii="Times New Roman" w:hAnsi="Times New Roman"/>
          <w:sz w:val="20"/>
          <w:szCs w:val="20"/>
          <w:shd w:val="clear" w:color="auto" w:fill="FFFFFF"/>
        </w:rPr>
        <w:t> </w:t>
      </w:r>
      <w:r w:rsidRPr="00ED1D0E">
        <w:rPr>
          <w:rStyle w:val="normaltextrun"/>
          <w:rFonts w:ascii="Times New Roman" w:hAnsi="Times New Roman"/>
          <w:sz w:val="20"/>
          <w:szCs w:val="20"/>
          <w:shd w:val="clear" w:color="auto" w:fill="FFFFFF"/>
        </w:rPr>
        <w:t>of microgram quantities of protein utilizing the principle of protein-dye binding. Analytical Biochemistry, 72: 248-254. </w:t>
      </w:r>
    </w:p>
    <w:p w14:paraId="29026A59" w14:textId="77777777" w:rsidR="00ED1D0E" w:rsidRPr="00ED1D0E" w:rsidRDefault="00ED1D0E" w:rsidP="00ED1D0E">
      <w:pPr>
        <w:pStyle w:val="ListParagraph"/>
        <w:widowControl w:val="0"/>
        <w:numPr>
          <w:ilvl w:val="0"/>
          <w:numId w:val="3"/>
        </w:numPr>
        <w:autoSpaceDE w:val="0"/>
        <w:autoSpaceDN w:val="0"/>
        <w:spacing w:after="0"/>
        <w:ind w:left="360"/>
        <w:contextualSpacing w:val="0"/>
        <w:jc w:val="both"/>
        <w:rPr>
          <w:rStyle w:val="normaltextrun"/>
          <w:rFonts w:ascii="Times New Roman" w:hAnsi="Times New Roman"/>
          <w:sz w:val="20"/>
          <w:szCs w:val="20"/>
          <w:shd w:val="clear" w:color="auto" w:fill="FFFFFF"/>
        </w:rPr>
      </w:pPr>
      <w:r w:rsidRPr="00ED1D0E">
        <w:rPr>
          <w:rStyle w:val="normaltextrun"/>
          <w:rFonts w:ascii="Times New Roman" w:hAnsi="Times New Roman"/>
          <w:sz w:val="20"/>
          <w:szCs w:val="20"/>
          <w:shd w:val="clear" w:color="auto" w:fill="FFFFFF"/>
        </w:rPr>
        <w:t>Bouchard, J. N. and Yamasaki, H. (2009). Implication of nitric oxide in the heat-stress-induced cell death of the symbiotic</w:t>
      </w:r>
      <w:r w:rsidRPr="00ED1D0E">
        <w:rPr>
          <w:rStyle w:val="apple-converted-space"/>
          <w:rFonts w:ascii="Times New Roman" w:hAnsi="Times New Roman"/>
          <w:sz w:val="20"/>
          <w:szCs w:val="20"/>
          <w:shd w:val="clear" w:color="auto" w:fill="FFFFFF"/>
        </w:rPr>
        <w:t> a</w:t>
      </w:r>
      <w:r w:rsidRPr="00ED1D0E">
        <w:rPr>
          <w:rStyle w:val="spellingerror"/>
          <w:rFonts w:ascii="Times New Roman" w:hAnsi="Times New Roman"/>
          <w:sz w:val="20"/>
          <w:szCs w:val="20"/>
          <w:shd w:val="clear" w:color="auto" w:fill="FFFFFF"/>
        </w:rPr>
        <w:t>lga</w:t>
      </w:r>
      <w:r w:rsidRPr="00ED1D0E">
        <w:rPr>
          <w:rStyle w:val="apple-converted-space"/>
          <w:rFonts w:ascii="Times New Roman" w:hAnsi="Times New Roman"/>
          <w:sz w:val="20"/>
          <w:szCs w:val="20"/>
          <w:shd w:val="clear" w:color="auto" w:fill="FFFFFF"/>
        </w:rPr>
        <w:t> </w:t>
      </w:r>
      <w:r w:rsidRPr="00ED1D0E">
        <w:rPr>
          <w:rStyle w:val="normaltextrun"/>
          <w:rFonts w:ascii="Times New Roman" w:hAnsi="Times New Roman"/>
          <w:sz w:val="20"/>
          <w:szCs w:val="20"/>
          <w:shd w:val="clear" w:color="auto" w:fill="FFFFFF"/>
        </w:rPr>
        <w:t>Symbiodinium microadriaticum. Marine Biology, 156: 2209-2220.</w:t>
      </w:r>
    </w:p>
    <w:p w14:paraId="5CB68FA1"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ED1D0E">
        <w:rPr>
          <w:rFonts w:ascii="Times New Roman" w:eastAsia="TimesNewRoman" w:hAnsi="Times New Roman"/>
          <w:sz w:val="20"/>
          <w:szCs w:val="20"/>
          <w:lang w:val="ms-MY" w:eastAsia="ms-MY"/>
        </w:rPr>
        <w:t xml:space="preserve">Cenkci, S., Cigerci, I. H., YildIz, M., Ozay, C., Bozdag, A. and Terzi, H. (2010). Lead contamination reduces chlorophyll biosynthesis and genomic template stability in </w:t>
      </w:r>
      <w:r w:rsidRPr="00ED1D0E">
        <w:rPr>
          <w:rFonts w:ascii="Times New Roman" w:eastAsia="TimesNewRoman" w:hAnsi="Times New Roman"/>
          <w:i/>
          <w:iCs/>
          <w:sz w:val="20"/>
          <w:szCs w:val="20"/>
          <w:lang w:val="ms-MY" w:eastAsia="ms-MY"/>
        </w:rPr>
        <w:t xml:space="preserve">Brassica rapa </w:t>
      </w:r>
      <w:r w:rsidRPr="00ED1D0E">
        <w:rPr>
          <w:rFonts w:ascii="Times New Roman" w:eastAsia="TimesNewRoman" w:hAnsi="Times New Roman"/>
          <w:sz w:val="20"/>
          <w:szCs w:val="20"/>
          <w:lang w:val="ms-MY" w:eastAsia="ms-MY"/>
        </w:rPr>
        <w:t xml:space="preserve">L. </w:t>
      </w:r>
      <w:r w:rsidRPr="00ED1D0E">
        <w:rPr>
          <w:rFonts w:ascii="Times New Roman" w:eastAsia="TimesNewRoman" w:hAnsi="Times New Roman"/>
          <w:i/>
          <w:iCs/>
          <w:sz w:val="20"/>
          <w:szCs w:val="20"/>
          <w:lang w:val="ms-MY" w:eastAsia="ms-MY"/>
        </w:rPr>
        <w:t>Environmental and Experimental Botany,</w:t>
      </w:r>
      <w:r w:rsidRPr="00ED1D0E">
        <w:rPr>
          <w:rFonts w:ascii="Times New Roman" w:eastAsia="TimesNewRoman" w:hAnsi="Times New Roman"/>
          <w:i/>
          <w:sz w:val="20"/>
          <w:szCs w:val="20"/>
          <w:lang w:val="ms-MY" w:eastAsia="ms-MY"/>
        </w:rPr>
        <w:t xml:space="preserve"> </w:t>
      </w:r>
      <w:r w:rsidRPr="00ED1D0E">
        <w:rPr>
          <w:rFonts w:ascii="Times New Roman" w:eastAsia="TimesNewRoman" w:hAnsi="Times New Roman"/>
          <w:sz w:val="20"/>
          <w:szCs w:val="20"/>
          <w:lang w:val="ms-MY" w:eastAsia="ms-MY"/>
        </w:rPr>
        <w:t>67: 467-473.</w:t>
      </w:r>
    </w:p>
    <w:p w14:paraId="62B0EF46"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ED1D0E">
        <w:rPr>
          <w:rFonts w:ascii="Times New Roman" w:eastAsia="TimesNewRoman" w:hAnsi="Times New Roman"/>
          <w:sz w:val="20"/>
          <w:szCs w:val="20"/>
          <w:lang w:val="ms-MY" w:eastAsia="ms-MY"/>
        </w:rPr>
        <w:t xml:space="preserve">Pourraut, B., Shahid, M., Dumat, C., Winterton, P. and Pinelli, E. (2011). Lead uptake, toxicity and detoxification in plants. </w:t>
      </w:r>
      <w:r w:rsidRPr="00ED1D0E">
        <w:rPr>
          <w:rFonts w:ascii="Times New Roman" w:eastAsia="TimesNewRoman" w:hAnsi="Times New Roman"/>
          <w:i/>
          <w:iCs/>
          <w:sz w:val="20"/>
          <w:szCs w:val="20"/>
          <w:lang w:val="ms-MY" w:eastAsia="ms-MY"/>
        </w:rPr>
        <w:t>Reviews of Environmental Contamination and Toxicology,</w:t>
      </w:r>
      <w:r w:rsidRPr="00ED1D0E">
        <w:rPr>
          <w:rFonts w:ascii="Times New Roman" w:eastAsia="TimesNewRoman" w:hAnsi="Times New Roman"/>
          <w:i/>
          <w:sz w:val="20"/>
          <w:szCs w:val="20"/>
          <w:lang w:val="ms-MY" w:eastAsia="ms-MY"/>
        </w:rPr>
        <w:t xml:space="preserve"> </w:t>
      </w:r>
      <w:r w:rsidRPr="00ED1D0E">
        <w:rPr>
          <w:rFonts w:ascii="Times New Roman" w:eastAsia="TimesNewRoman" w:hAnsi="Times New Roman"/>
          <w:sz w:val="20"/>
          <w:szCs w:val="20"/>
          <w:lang w:val="ms-MY" w:eastAsia="ms-MY"/>
        </w:rPr>
        <w:t>213: 113-136.</w:t>
      </w:r>
    </w:p>
    <w:p w14:paraId="38D83DD3"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eastAsia="TimesNewRoman" w:hAnsi="Times New Roman"/>
          <w:sz w:val="20"/>
          <w:szCs w:val="20"/>
          <w:lang w:val="ms-MY" w:eastAsia="ms-MY"/>
        </w:rPr>
      </w:pPr>
      <w:r w:rsidRPr="00ED1D0E">
        <w:rPr>
          <w:rFonts w:ascii="Times New Roman" w:eastAsia="TimesNewRoman" w:hAnsi="Times New Roman"/>
          <w:sz w:val="20"/>
          <w:szCs w:val="20"/>
          <w:lang w:val="ms-MY" w:eastAsia="ms-MY"/>
        </w:rPr>
        <w:t xml:space="preserve">Shakya, K., Chettri, M. K. and Sawidis, T. (2008). Impact of heavy metals (copper, zinc and lead) on the chlorophyll content of some mosses. </w:t>
      </w:r>
      <w:r w:rsidRPr="00ED1D0E">
        <w:rPr>
          <w:rFonts w:ascii="Times New Roman" w:eastAsia="TimesNewRoman" w:hAnsi="Times New Roman"/>
          <w:i/>
          <w:iCs/>
          <w:sz w:val="20"/>
          <w:szCs w:val="20"/>
          <w:lang w:val="ms-MY" w:eastAsia="ms-MY"/>
        </w:rPr>
        <w:t>Environmental Contamination and Toxicology,</w:t>
      </w:r>
      <w:r w:rsidRPr="00ED1D0E">
        <w:rPr>
          <w:rFonts w:ascii="Times New Roman" w:eastAsia="TimesNewRoman" w:hAnsi="Times New Roman"/>
          <w:i/>
          <w:sz w:val="20"/>
          <w:szCs w:val="20"/>
          <w:lang w:val="ms-MY" w:eastAsia="ms-MY"/>
        </w:rPr>
        <w:t xml:space="preserve"> </w:t>
      </w:r>
      <w:r w:rsidRPr="00ED1D0E">
        <w:rPr>
          <w:rFonts w:ascii="Times New Roman" w:eastAsia="TimesNewRoman" w:hAnsi="Times New Roman"/>
          <w:sz w:val="20"/>
          <w:szCs w:val="20"/>
          <w:lang w:val="ms-MY" w:eastAsia="ms-MY"/>
        </w:rPr>
        <w:t>54: 412-421.</w:t>
      </w:r>
    </w:p>
    <w:p w14:paraId="5AC8A8FC" w14:textId="77777777" w:rsidR="00ED1D0E" w:rsidRPr="00ED1D0E" w:rsidRDefault="00ED1D0E" w:rsidP="00ED1D0E">
      <w:pPr>
        <w:pStyle w:val="ListParagraph"/>
        <w:widowControl w:val="0"/>
        <w:numPr>
          <w:ilvl w:val="0"/>
          <w:numId w:val="3"/>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ED1D0E">
        <w:rPr>
          <w:rFonts w:ascii="Times New Roman" w:hAnsi="Times New Roman"/>
          <w:sz w:val="20"/>
          <w:szCs w:val="20"/>
        </w:rPr>
        <w:t xml:space="preserve">Drazkiewicz, M. (1994). </w:t>
      </w:r>
      <w:r w:rsidRPr="00ED1D0E">
        <w:rPr>
          <w:rFonts w:ascii="Times New Roman" w:hAnsi="Times New Roman"/>
          <w:bCs/>
          <w:sz w:val="20"/>
          <w:szCs w:val="20"/>
        </w:rPr>
        <w:t xml:space="preserve">Chlorophyllase: occurrence, functions, mechanism of action, effects of external and internal factors. </w:t>
      </w:r>
      <w:r w:rsidRPr="00ED1D0E">
        <w:rPr>
          <w:rFonts w:ascii="Times New Roman" w:hAnsi="Times New Roman"/>
          <w:i/>
          <w:sz w:val="20"/>
          <w:szCs w:val="20"/>
        </w:rPr>
        <w:t xml:space="preserve">Photosynthetica, </w:t>
      </w:r>
      <w:r w:rsidRPr="00ED1D0E">
        <w:rPr>
          <w:rFonts w:ascii="Times New Roman" w:hAnsi="Times New Roman"/>
          <w:sz w:val="20"/>
          <w:szCs w:val="20"/>
        </w:rPr>
        <w:t>30: 321-331.</w:t>
      </w:r>
    </w:p>
    <w:p w14:paraId="5F07A383" w14:textId="77777777" w:rsidR="00ED1D0E" w:rsidRPr="00ED1D0E" w:rsidRDefault="00ED1D0E" w:rsidP="00ED1D0E">
      <w:pPr>
        <w:pStyle w:val="ListParagraph"/>
        <w:widowControl w:val="0"/>
        <w:numPr>
          <w:ilvl w:val="0"/>
          <w:numId w:val="3"/>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ED1D0E">
        <w:rPr>
          <w:rFonts w:ascii="Times New Roman" w:hAnsi="Times New Roman"/>
          <w:sz w:val="20"/>
          <w:szCs w:val="20"/>
        </w:rPr>
        <w:t xml:space="preserve">Gill, M. (2014). Heavy metal stress in plants: A review. </w:t>
      </w:r>
      <w:r w:rsidRPr="00ED1D0E">
        <w:rPr>
          <w:rFonts w:ascii="Times New Roman" w:hAnsi="Times New Roman"/>
          <w:i/>
          <w:sz w:val="20"/>
          <w:szCs w:val="20"/>
        </w:rPr>
        <w:t xml:space="preserve">International Journal of Advanced Research, </w:t>
      </w:r>
      <w:r w:rsidRPr="00ED1D0E">
        <w:rPr>
          <w:rFonts w:ascii="Times New Roman" w:hAnsi="Times New Roman"/>
          <w:sz w:val="20"/>
          <w:szCs w:val="20"/>
        </w:rPr>
        <w:t>2: 1043-1055.</w:t>
      </w:r>
    </w:p>
    <w:p w14:paraId="4318BBDF"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ED1D0E">
        <w:rPr>
          <w:rFonts w:ascii="Times New Roman" w:hAnsi="Times New Roman"/>
          <w:sz w:val="20"/>
          <w:szCs w:val="20"/>
        </w:rPr>
        <w:t xml:space="preserve">Villiers, F., Ducruix, C., Hugouvieux, V., Jarno, N., Ezan, E. and Garin, J. (2011). Investigating the plant response to cadmium exposure by proteomic and metabolomic approaches. </w:t>
      </w:r>
      <w:r w:rsidRPr="00ED1D0E">
        <w:rPr>
          <w:rFonts w:ascii="Times New Roman" w:hAnsi="Times New Roman"/>
          <w:i/>
          <w:sz w:val="20"/>
          <w:szCs w:val="20"/>
        </w:rPr>
        <w:t xml:space="preserve">Proteomics, </w:t>
      </w:r>
      <w:r w:rsidRPr="00ED1D0E">
        <w:rPr>
          <w:rFonts w:ascii="Times New Roman" w:hAnsi="Times New Roman"/>
          <w:sz w:val="20"/>
          <w:szCs w:val="20"/>
        </w:rPr>
        <w:t>11: 1650-1663.</w:t>
      </w:r>
    </w:p>
    <w:p w14:paraId="26EC2757" w14:textId="77777777" w:rsidR="00ED1D0E" w:rsidRPr="00ED1D0E" w:rsidRDefault="00ED1D0E" w:rsidP="00ED1D0E">
      <w:pPr>
        <w:pStyle w:val="ListParagraph"/>
        <w:widowControl w:val="0"/>
        <w:numPr>
          <w:ilvl w:val="0"/>
          <w:numId w:val="3"/>
        </w:numPr>
        <w:shd w:val="clear" w:color="auto" w:fill="FFFFFF"/>
        <w:autoSpaceDE w:val="0"/>
        <w:autoSpaceDN w:val="0"/>
        <w:spacing w:after="0"/>
        <w:ind w:left="360"/>
        <w:contextualSpacing w:val="0"/>
        <w:jc w:val="both"/>
        <w:textAlignment w:val="baseline"/>
        <w:rPr>
          <w:rFonts w:ascii="Times New Roman" w:hAnsi="Times New Roman"/>
          <w:sz w:val="20"/>
          <w:szCs w:val="20"/>
        </w:rPr>
      </w:pPr>
      <w:r w:rsidRPr="00ED1D0E">
        <w:rPr>
          <w:rFonts w:ascii="Times New Roman" w:hAnsi="Times New Roman"/>
          <w:sz w:val="20"/>
          <w:szCs w:val="20"/>
        </w:rPr>
        <w:t xml:space="preserve">Cryns, V. and Yuan, J. (1998). </w:t>
      </w:r>
      <w:r w:rsidRPr="00ED1D0E">
        <w:rPr>
          <w:rFonts w:ascii="Times New Roman" w:hAnsi="Times New Roman"/>
          <w:bCs/>
          <w:sz w:val="20"/>
          <w:szCs w:val="20"/>
        </w:rPr>
        <w:t xml:space="preserve">Proteases to die for. </w:t>
      </w:r>
      <w:r w:rsidRPr="00ED1D0E">
        <w:rPr>
          <w:rFonts w:ascii="Times New Roman" w:hAnsi="Times New Roman"/>
          <w:i/>
          <w:sz w:val="20"/>
          <w:szCs w:val="20"/>
        </w:rPr>
        <w:t xml:space="preserve">Genes &amp; Development, </w:t>
      </w:r>
      <w:r w:rsidRPr="00ED1D0E">
        <w:rPr>
          <w:rFonts w:ascii="Times New Roman" w:hAnsi="Times New Roman"/>
          <w:sz w:val="20"/>
          <w:szCs w:val="20"/>
        </w:rPr>
        <w:t>12: 1551-1570.</w:t>
      </w:r>
    </w:p>
    <w:p w14:paraId="4CADF977"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ED1D0E">
        <w:rPr>
          <w:rFonts w:ascii="Times New Roman" w:hAnsi="Times New Roman"/>
          <w:sz w:val="20"/>
          <w:szCs w:val="20"/>
          <w:lang w:val="en-MY"/>
        </w:rPr>
        <w:t xml:space="preserve">Wan Bayani, W. O., Hazlina, A. Z., Nakisah, M. A. and Nur Hidayah, K. R. (2017). Responses of a freshwater microalga, </w:t>
      </w:r>
      <w:r w:rsidRPr="00ED1D0E">
        <w:rPr>
          <w:rFonts w:ascii="Times New Roman" w:hAnsi="Times New Roman"/>
          <w:i/>
          <w:sz w:val="20"/>
          <w:szCs w:val="20"/>
          <w:lang w:val="en-MY"/>
        </w:rPr>
        <w:t>Scenedesmus regularis</w:t>
      </w:r>
      <w:r w:rsidRPr="00ED1D0E">
        <w:rPr>
          <w:rFonts w:ascii="Times New Roman" w:hAnsi="Times New Roman"/>
          <w:sz w:val="20"/>
          <w:szCs w:val="20"/>
          <w:lang w:val="en-MY"/>
        </w:rPr>
        <w:t xml:space="preserve"> exposed to 50% inhibition concentration of Pb</w:t>
      </w:r>
      <w:r w:rsidRPr="00ED1D0E">
        <w:rPr>
          <w:rFonts w:ascii="Times New Roman" w:hAnsi="Times New Roman"/>
          <w:sz w:val="20"/>
          <w:szCs w:val="20"/>
          <w:vertAlign w:val="superscript"/>
          <w:lang w:val="en-MY"/>
        </w:rPr>
        <w:t xml:space="preserve">2+ </w:t>
      </w:r>
      <w:r w:rsidRPr="00ED1D0E">
        <w:rPr>
          <w:rFonts w:ascii="Times New Roman" w:hAnsi="Times New Roman"/>
          <w:sz w:val="20"/>
          <w:szCs w:val="20"/>
          <w:lang w:val="en-MY"/>
        </w:rPr>
        <w:t>and Hg</w:t>
      </w:r>
      <w:r w:rsidRPr="00ED1D0E">
        <w:rPr>
          <w:rFonts w:ascii="Times New Roman" w:hAnsi="Times New Roman"/>
          <w:sz w:val="20"/>
          <w:szCs w:val="20"/>
          <w:vertAlign w:val="superscript"/>
          <w:lang w:val="en-MY"/>
        </w:rPr>
        <w:t xml:space="preserve">2+. </w:t>
      </w:r>
      <w:r w:rsidRPr="00ED1D0E">
        <w:rPr>
          <w:rFonts w:ascii="Times New Roman" w:hAnsi="Times New Roman"/>
          <w:i/>
          <w:sz w:val="20"/>
          <w:szCs w:val="20"/>
          <w:lang w:val="en-MY"/>
        </w:rPr>
        <w:t>Malaysian Applied Biology</w:t>
      </w:r>
      <w:r w:rsidRPr="00ED1D0E">
        <w:rPr>
          <w:rFonts w:ascii="Times New Roman" w:hAnsi="Times New Roman"/>
          <w:sz w:val="20"/>
          <w:szCs w:val="20"/>
          <w:lang w:val="en-MY"/>
        </w:rPr>
        <w:t xml:space="preserve">, 46(4):213-220.  </w:t>
      </w:r>
    </w:p>
    <w:p w14:paraId="4948214C"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ED1D0E">
        <w:rPr>
          <w:rStyle w:val="cit"/>
          <w:rFonts w:ascii="Times New Roman" w:hAnsi="Times New Roman"/>
          <w:sz w:val="20"/>
          <w:szCs w:val="20"/>
        </w:rPr>
        <w:t>Yedjou, C. G., Milner, J. N., Howard, C. B. and Tchounwou, P. B. (2010). B</w:t>
      </w:r>
      <w:r w:rsidRPr="00ED1D0E">
        <w:rPr>
          <w:rFonts w:ascii="Times New Roman" w:hAnsi="Times New Roman"/>
          <w:sz w:val="20"/>
          <w:szCs w:val="20"/>
        </w:rPr>
        <w:t>asic apoptotic mechanisms of lead toxicity in human leukemia (HL-60) cells</w:t>
      </w:r>
      <w:r w:rsidRPr="00ED1D0E">
        <w:rPr>
          <w:rFonts w:ascii="Times New Roman" w:hAnsi="Times New Roman"/>
          <w:i/>
          <w:sz w:val="20"/>
          <w:szCs w:val="20"/>
        </w:rPr>
        <w:t xml:space="preserve">. </w:t>
      </w:r>
      <w:r w:rsidRPr="00ED1D0E">
        <w:rPr>
          <w:rStyle w:val="cit"/>
          <w:rFonts w:ascii="Times New Roman" w:hAnsi="Times New Roman"/>
          <w:i/>
          <w:sz w:val="20"/>
          <w:szCs w:val="20"/>
        </w:rPr>
        <w:t>International Journal of Environmental Research and Public Health</w:t>
      </w:r>
      <w:r w:rsidRPr="00ED1D0E">
        <w:rPr>
          <w:rStyle w:val="cit"/>
          <w:rFonts w:ascii="Times New Roman" w:hAnsi="Times New Roman"/>
          <w:sz w:val="20"/>
          <w:szCs w:val="20"/>
        </w:rPr>
        <w:t>, 7: 2008-2017.</w:t>
      </w:r>
    </w:p>
    <w:p w14:paraId="6F323CFE"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lang w:eastAsia="en-MY"/>
        </w:rPr>
      </w:pPr>
      <w:r w:rsidRPr="00ED1D0E">
        <w:rPr>
          <w:rFonts w:ascii="Times New Roman" w:hAnsi="Times New Roman"/>
          <w:sz w:val="20"/>
          <w:szCs w:val="20"/>
          <w:lang w:eastAsia="en-MY"/>
        </w:rPr>
        <w:t xml:space="preserve">Wu, H., Che, X., Zheng, Q., Wu, A., Pan, K., Shao, A., Wu, Q., Zhang, J. and Hong, Y. (2014). Caspases: a molecular switch node in the crosstalk between autophagy and apoptosis. </w:t>
      </w:r>
      <w:r w:rsidRPr="00ED1D0E">
        <w:rPr>
          <w:rFonts w:ascii="Times New Roman" w:hAnsi="Times New Roman"/>
          <w:i/>
          <w:sz w:val="20"/>
          <w:szCs w:val="20"/>
          <w:lang w:eastAsia="en-MY"/>
        </w:rPr>
        <w:t xml:space="preserve">International Journal of Biological Sciences, </w:t>
      </w:r>
      <w:r w:rsidRPr="00ED1D0E">
        <w:rPr>
          <w:rFonts w:ascii="Times New Roman" w:hAnsi="Times New Roman"/>
          <w:sz w:val="20"/>
          <w:szCs w:val="20"/>
          <w:lang w:eastAsia="en-MY"/>
        </w:rPr>
        <w:t>10: 1072-1083.</w:t>
      </w:r>
    </w:p>
    <w:p w14:paraId="755ADB0D"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lang w:eastAsia="en-MY"/>
        </w:rPr>
      </w:pPr>
      <w:r w:rsidRPr="00ED1D0E">
        <w:rPr>
          <w:rFonts w:ascii="Times New Roman" w:hAnsi="Times New Roman"/>
          <w:sz w:val="20"/>
          <w:szCs w:val="20"/>
          <w:lang w:eastAsia="en-MY"/>
        </w:rPr>
        <w:t xml:space="preserve">Yu, L., Wan, F., Dutta, S., Welsh, S., Liu, Z. H., Freundt, E., Baehrecke, E. H. and Lenardo, M. (2006). Autophagic programmed cell death by selective catalase degradation. </w:t>
      </w:r>
      <w:r w:rsidRPr="00ED1D0E">
        <w:rPr>
          <w:rFonts w:ascii="Times New Roman" w:hAnsi="Times New Roman"/>
          <w:i/>
          <w:sz w:val="20"/>
          <w:szCs w:val="20"/>
          <w:lang w:eastAsia="en-MY"/>
        </w:rPr>
        <w:t xml:space="preserve">Proceedings of the National Academy of Sciences of the United States of America, </w:t>
      </w:r>
      <w:r w:rsidRPr="00ED1D0E">
        <w:rPr>
          <w:rFonts w:ascii="Times New Roman" w:hAnsi="Times New Roman"/>
          <w:sz w:val="20"/>
          <w:szCs w:val="20"/>
          <w:lang w:eastAsia="en-MY"/>
        </w:rPr>
        <w:t>103:</w:t>
      </w:r>
      <w:r w:rsidRPr="00ED1D0E">
        <w:rPr>
          <w:rFonts w:ascii="Times New Roman" w:hAnsi="Times New Roman"/>
          <w:i/>
          <w:sz w:val="20"/>
          <w:szCs w:val="20"/>
          <w:lang w:eastAsia="en-MY"/>
        </w:rPr>
        <w:t xml:space="preserve"> </w:t>
      </w:r>
      <w:r w:rsidRPr="00ED1D0E">
        <w:rPr>
          <w:rFonts w:ascii="Times New Roman" w:hAnsi="Times New Roman"/>
          <w:sz w:val="20"/>
          <w:szCs w:val="20"/>
          <w:lang w:eastAsia="en-MY"/>
        </w:rPr>
        <w:t>4952-4957.</w:t>
      </w:r>
    </w:p>
    <w:p w14:paraId="39926873" w14:textId="77777777" w:rsidR="00ED1D0E" w:rsidRPr="00ED1D0E"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lang w:eastAsia="en-MY"/>
        </w:rPr>
      </w:pPr>
      <w:r w:rsidRPr="00ED1D0E">
        <w:rPr>
          <w:rFonts w:ascii="Times New Roman" w:hAnsi="Times New Roman"/>
          <w:sz w:val="20"/>
          <w:szCs w:val="20"/>
          <w:lang w:eastAsia="en-MY"/>
        </w:rPr>
        <w:t xml:space="preserve">Kroemer, G. and Levine, B. (2008). Autophagic cell death: the story of a misnomer. </w:t>
      </w:r>
      <w:r w:rsidRPr="00ED1D0E">
        <w:rPr>
          <w:rFonts w:ascii="Times New Roman" w:hAnsi="Times New Roman"/>
          <w:i/>
          <w:sz w:val="20"/>
          <w:szCs w:val="20"/>
          <w:lang w:eastAsia="en-MY"/>
        </w:rPr>
        <w:t xml:space="preserve">Nature Reviews Molecular Cell Biology, </w:t>
      </w:r>
      <w:r w:rsidRPr="00ED1D0E">
        <w:rPr>
          <w:rFonts w:ascii="Times New Roman" w:hAnsi="Times New Roman"/>
          <w:sz w:val="20"/>
          <w:szCs w:val="20"/>
          <w:lang w:eastAsia="en-MY"/>
        </w:rPr>
        <w:t xml:space="preserve">9: 1004-1010. </w:t>
      </w:r>
    </w:p>
    <w:p w14:paraId="40BDDED1" w14:textId="77777777" w:rsidR="00ED1D0E" w:rsidRPr="00ED1D0E" w:rsidRDefault="00ED1D0E" w:rsidP="00ED1D0E">
      <w:pPr>
        <w:pStyle w:val="Heading1"/>
        <w:numPr>
          <w:ilvl w:val="0"/>
          <w:numId w:val="3"/>
        </w:numPr>
        <w:shd w:val="clear" w:color="auto" w:fill="FCFCFC"/>
        <w:spacing w:before="0" w:after="0" w:line="276" w:lineRule="auto"/>
        <w:ind w:left="360"/>
        <w:jc w:val="both"/>
        <w:rPr>
          <w:rFonts w:ascii="Times New Roman" w:hAnsi="Times New Roman"/>
          <w:b w:val="0"/>
          <w:spacing w:val="4"/>
          <w:sz w:val="20"/>
          <w:szCs w:val="20"/>
          <w:shd w:val="clear" w:color="auto" w:fill="FCFCFC"/>
        </w:rPr>
      </w:pPr>
      <w:r w:rsidRPr="00ED1D0E">
        <w:rPr>
          <w:rFonts w:ascii="Times New Roman" w:hAnsi="Times New Roman"/>
          <w:b w:val="0"/>
          <w:spacing w:val="4"/>
          <w:sz w:val="20"/>
          <w:szCs w:val="20"/>
          <w:shd w:val="clear" w:color="auto" w:fill="FCFCFC"/>
        </w:rPr>
        <w:lastRenderedPageBreak/>
        <w:t>Thorburn, A. (2008).</w:t>
      </w:r>
      <w:r w:rsidRPr="00ED1D0E">
        <w:rPr>
          <w:rFonts w:ascii="Times New Roman" w:hAnsi="Times New Roman"/>
          <w:spacing w:val="4"/>
          <w:sz w:val="20"/>
          <w:szCs w:val="20"/>
          <w:shd w:val="clear" w:color="auto" w:fill="FCFCFC"/>
        </w:rPr>
        <w:t xml:space="preserve"> </w:t>
      </w:r>
      <w:r w:rsidRPr="00ED1D0E">
        <w:rPr>
          <w:rFonts w:ascii="Times New Roman" w:hAnsi="Times New Roman"/>
          <w:b w:val="0"/>
          <w:bCs w:val="0"/>
          <w:spacing w:val="2"/>
          <w:sz w:val="20"/>
          <w:szCs w:val="20"/>
          <w:lang w:val="en"/>
        </w:rPr>
        <w:t xml:space="preserve">Apoptosis and autophagy: regulatory connections between two supposedly different processes. </w:t>
      </w:r>
      <w:r w:rsidRPr="00ED1D0E">
        <w:rPr>
          <w:rFonts w:ascii="Times New Roman" w:hAnsi="Times New Roman"/>
          <w:b w:val="0"/>
          <w:i/>
          <w:spacing w:val="4"/>
          <w:sz w:val="20"/>
          <w:szCs w:val="20"/>
          <w:shd w:val="clear" w:color="auto" w:fill="FCFCFC"/>
        </w:rPr>
        <w:t xml:space="preserve">Apoptosis, </w:t>
      </w:r>
      <w:r w:rsidRPr="00ED1D0E">
        <w:rPr>
          <w:rFonts w:ascii="Times New Roman" w:hAnsi="Times New Roman"/>
          <w:b w:val="0"/>
          <w:spacing w:val="4"/>
          <w:sz w:val="20"/>
          <w:szCs w:val="20"/>
          <w:shd w:val="clear" w:color="auto" w:fill="FCFCFC"/>
        </w:rPr>
        <w:t>13: 1-9.</w:t>
      </w:r>
    </w:p>
    <w:p w14:paraId="4F19C600" w14:textId="77777777" w:rsidR="00ED1D0E" w:rsidRPr="0032750F" w:rsidRDefault="00ED1D0E" w:rsidP="00ED1D0E">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Cs w:val="20"/>
          <w:lang w:eastAsia="en-MY"/>
        </w:rPr>
      </w:pPr>
      <w:r w:rsidRPr="00ED1D0E">
        <w:rPr>
          <w:rFonts w:ascii="Times New Roman" w:hAnsi="Times New Roman"/>
          <w:sz w:val="20"/>
          <w:szCs w:val="20"/>
          <w:lang w:eastAsia="en-MY"/>
        </w:rPr>
        <w:t xml:space="preserve">Majno, G.and Joris, I. (1995). Apotosis, oncosis and necrosis: an overview of cell death. </w:t>
      </w:r>
      <w:r w:rsidRPr="00ED1D0E">
        <w:rPr>
          <w:rFonts w:ascii="Times New Roman" w:hAnsi="Times New Roman"/>
          <w:i/>
          <w:sz w:val="20"/>
          <w:szCs w:val="20"/>
          <w:lang w:eastAsia="en-MY"/>
        </w:rPr>
        <w:t xml:space="preserve">American Journal of Pathology, </w:t>
      </w:r>
      <w:r w:rsidRPr="00ED1D0E">
        <w:rPr>
          <w:rFonts w:ascii="Times New Roman" w:hAnsi="Times New Roman"/>
          <w:sz w:val="20"/>
          <w:szCs w:val="20"/>
          <w:lang w:eastAsia="en-MY"/>
        </w:rPr>
        <w:t>146: 3-15.</w:t>
      </w:r>
    </w:p>
    <w:p w14:paraId="592C4539" w14:textId="77777777" w:rsidR="00ED1D0E" w:rsidRPr="00ED1D0E" w:rsidRDefault="00ED1D0E" w:rsidP="00ED1D0E">
      <w:pPr>
        <w:pStyle w:val="HTMLPreformatted"/>
        <w:wordWrap/>
        <w:spacing w:line="276" w:lineRule="auto"/>
        <w:rPr>
          <w:rFonts w:ascii="Times New Roman" w:eastAsia="Times New Roman" w:hAnsi="Times New Roman" w:cs="Times New Roman"/>
          <w:kern w:val="0"/>
          <w:lang w:val="ms-MY" w:eastAsia="en-MY"/>
        </w:rPr>
      </w:pPr>
    </w:p>
    <w:sectPr w:rsidR="00ED1D0E" w:rsidRPr="00ED1D0E"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Cambria,TimesNewRomanPS">
    <w:altName w:val="Times New Roman"/>
    <w:charset w:val="00"/>
    <w:family w:val="roman"/>
    <w:pitch w:val="default"/>
    <w:sig w:usb0="00000000" w:usb1="00000000" w:usb2="00000000" w:usb3="00000000" w:csb0="00040001" w:csb1="00000000"/>
  </w:font>
  <w:font w:name="TimesNewRoman">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E90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E90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90C5B"/>
    <w:rsid w:val="00EA6DE5"/>
    <w:rsid w:val="00ED1D0E"/>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1D0E"/>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HTMLPreformatted">
    <w:name w:val="HTML Preformatted"/>
    <w:basedOn w:val="Normal"/>
    <w:link w:val="HTMLPreformattedChar"/>
    <w:uiPriority w:val="99"/>
    <w:unhideWhenUsed/>
    <w:rsid w:val="00ED1D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val="0"/>
      <w:autoSpaceDN w:val="0"/>
      <w:spacing w:after="0" w:line="240" w:lineRule="auto"/>
      <w:jc w:val="both"/>
    </w:pPr>
    <w:rPr>
      <w:rFonts w:ascii="Consolas" w:eastAsiaTheme="minorEastAsia" w:hAnsi="Consolas"/>
      <w:kern w:val="2"/>
      <w:sz w:val="20"/>
      <w:szCs w:val="20"/>
      <w:lang w:eastAsia="ko-KR"/>
    </w:rPr>
  </w:style>
  <w:style w:type="character" w:customStyle="1" w:styleId="HTMLPreformattedChar">
    <w:name w:val="HTML Preformatted Char"/>
    <w:basedOn w:val="DefaultParagraphFont"/>
    <w:link w:val="HTMLPreformatted"/>
    <w:uiPriority w:val="99"/>
    <w:rsid w:val="00ED1D0E"/>
    <w:rPr>
      <w:rFonts w:ascii="Consolas" w:eastAsiaTheme="minorEastAsia" w:hAnsi="Consolas"/>
      <w:kern w:val="2"/>
      <w:sz w:val="20"/>
      <w:szCs w:val="20"/>
      <w:lang w:eastAsia="ko-KR"/>
    </w:rPr>
  </w:style>
  <w:style w:type="paragraph" w:customStyle="1" w:styleId="Default">
    <w:name w:val="Default"/>
    <w:rsid w:val="00ED1D0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rsid w:val="00ED1D0E"/>
    <w:rPr>
      <w:rFonts w:ascii="Calibri Light" w:eastAsia="Times New Roman" w:hAnsi="Calibri Light" w:cs="Times New Roman"/>
      <w:b/>
      <w:bCs/>
      <w:kern w:val="32"/>
      <w:sz w:val="32"/>
      <w:szCs w:val="32"/>
    </w:rPr>
  </w:style>
  <w:style w:type="character" w:styleId="Emphasis">
    <w:name w:val="Emphasis"/>
    <w:uiPriority w:val="20"/>
    <w:qFormat/>
    <w:rsid w:val="00ED1D0E"/>
    <w:rPr>
      <w:rFonts w:cs="Times New Roman"/>
      <w:i/>
      <w:iCs/>
    </w:rPr>
  </w:style>
  <w:style w:type="character" w:customStyle="1" w:styleId="apple-converted-space">
    <w:name w:val="apple-converted-space"/>
    <w:basedOn w:val="DefaultParagraphFont"/>
    <w:rsid w:val="00ED1D0E"/>
  </w:style>
  <w:style w:type="character" w:customStyle="1" w:styleId="normaltextrun">
    <w:name w:val="normaltextrun"/>
    <w:basedOn w:val="DefaultParagraphFont"/>
    <w:rsid w:val="00ED1D0E"/>
  </w:style>
  <w:style w:type="character" w:customStyle="1" w:styleId="spellingerror">
    <w:name w:val="spellingerror"/>
    <w:basedOn w:val="DefaultParagraphFont"/>
    <w:rsid w:val="00ED1D0E"/>
  </w:style>
  <w:style w:type="character" w:customStyle="1" w:styleId="authors">
    <w:name w:val="authors"/>
    <w:rsid w:val="00ED1D0E"/>
  </w:style>
  <w:style w:type="character" w:customStyle="1" w:styleId="all-authors">
    <w:name w:val="all-authors"/>
    <w:rsid w:val="00ED1D0E"/>
  </w:style>
  <w:style w:type="character" w:customStyle="1" w:styleId="maintitle">
    <w:name w:val="maintitle"/>
    <w:rsid w:val="00ED1D0E"/>
  </w:style>
  <w:style w:type="character" w:customStyle="1" w:styleId="cit">
    <w:name w:val="cit"/>
    <w:rsid w:val="00ED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9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2</cp:revision>
  <cp:lastPrinted>2020-04-01T04:48:00Z</cp:lastPrinted>
  <dcterms:created xsi:type="dcterms:W3CDTF">2020-09-12T09:43:00Z</dcterms:created>
  <dcterms:modified xsi:type="dcterms:W3CDTF">2020-09-12T09:43:00Z</dcterms:modified>
</cp:coreProperties>
</file>