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66A783A1"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FA1675">
        <w:rPr>
          <w:rFonts w:ascii="Times New Roman" w:hAnsi="Times New Roman" w:cs="Times New Roman"/>
          <w:b/>
          <w:i/>
          <w:sz w:val="24"/>
          <w:szCs w:val="24"/>
        </w:rPr>
        <w:t>63</w:t>
      </w:r>
      <w:r w:rsidR="00140A5F">
        <w:rPr>
          <w:rFonts w:ascii="Times New Roman" w:hAnsi="Times New Roman" w:cs="Times New Roman"/>
          <w:b/>
          <w:i/>
          <w:sz w:val="24"/>
          <w:szCs w:val="24"/>
        </w:rPr>
        <w:t>6</w:t>
      </w:r>
      <w:r w:rsidR="003A1F80" w:rsidRPr="006E79D9">
        <w:rPr>
          <w:rFonts w:ascii="Times New Roman" w:hAnsi="Times New Roman" w:cs="Times New Roman"/>
          <w:b/>
          <w:i/>
          <w:sz w:val="24"/>
          <w:szCs w:val="24"/>
        </w:rPr>
        <w:t xml:space="preserve"> - </w:t>
      </w:r>
      <w:r w:rsidR="00140A5F">
        <w:rPr>
          <w:rFonts w:ascii="Times New Roman" w:hAnsi="Times New Roman" w:cs="Times New Roman"/>
          <w:b/>
          <w:i/>
          <w:sz w:val="24"/>
          <w:szCs w:val="24"/>
        </w:rPr>
        <w:t>648</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0AB5B3D8" w14:textId="77777777" w:rsidR="00140A5F" w:rsidRDefault="00140A5F" w:rsidP="00140A5F">
      <w:pPr>
        <w:spacing w:after="0"/>
        <w:jc w:val="center"/>
        <w:outlineLvl w:val="0"/>
        <w:rPr>
          <w:rFonts w:ascii="Times New Roman" w:hAnsi="Times New Roman"/>
          <w:sz w:val="28"/>
          <w:lang w:val="en-GB"/>
        </w:rPr>
      </w:pPr>
      <w:r>
        <w:rPr>
          <w:rFonts w:ascii="Times New Roman" w:hAnsi="Times New Roman"/>
          <w:sz w:val="28"/>
          <w:lang w:val="en-GB"/>
        </w:rPr>
        <w:t>LINKING OF SHOOTER AND SHOOTING: DETECTION OF GUNSHOT RESIDUE ON SHOOTER’S HANDS USING MICROSCOPY AND SCANNING ELECTRON MICROSCOPE-ENERGY DISPERSIVE X-RAY METHODS</w:t>
      </w:r>
    </w:p>
    <w:p w14:paraId="77C11FAF" w14:textId="77777777" w:rsidR="00140A5F" w:rsidRDefault="00140A5F" w:rsidP="00140A5F">
      <w:pPr>
        <w:spacing w:after="0"/>
        <w:jc w:val="center"/>
        <w:outlineLvl w:val="0"/>
        <w:rPr>
          <w:rFonts w:ascii="Times New Roman" w:hAnsi="Times New Roman"/>
          <w:b/>
          <w:sz w:val="24"/>
          <w:szCs w:val="20"/>
          <w:lang w:val="en-GB"/>
        </w:rPr>
      </w:pPr>
    </w:p>
    <w:p w14:paraId="46E981F2" w14:textId="77777777" w:rsidR="00140A5F" w:rsidRDefault="00140A5F" w:rsidP="00140A5F">
      <w:pPr>
        <w:spacing w:after="0"/>
        <w:jc w:val="center"/>
        <w:outlineLvl w:val="0"/>
        <w:rPr>
          <w:rFonts w:ascii="Times New Roman" w:hAnsi="Times New Roman"/>
          <w:sz w:val="24"/>
          <w:lang w:val="sv-SE"/>
        </w:rPr>
      </w:pPr>
      <w:r>
        <w:rPr>
          <w:rFonts w:ascii="Times New Roman" w:hAnsi="Times New Roman"/>
          <w:sz w:val="24"/>
          <w:lang w:val="sv-SE"/>
        </w:rPr>
        <w:t>(Perkaitan Antara Penembak dan Penembakan: Pengesanan Sisa Tembakan pada Tangan Penembak Menggunakan Kaedah Mikroskop dan Kaedah Mikroskop Pengimbas Elektron-Sebaran Sinaran-X Bertenaga)</w:t>
      </w:r>
    </w:p>
    <w:p w14:paraId="072B070C" w14:textId="77777777" w:rsidR="00140A5F" w:rsidRDefault="00140A5F" w:rsidP="00140A5F">
      <w:pPr>
        <w:spacing w:after="0"/>
        <w:jc w:val="center"/>
        <w:outlineLvl w:val="0"/>
        <w:rPr>
          <w:rFonts w:ascii="Times New Roman" w:hAnsi="Times New Roman"/>
          <w:b/>
          <w:sz w:val="20"/>
          <w:szCs w:val="20"/>
          <w:lang w:val="sv-SE"/>
        </w:rPr>
      </w:pPr>
    </w:p>
    <w:p w14:paraId="18B9FA94" w14:textId="77777777" w:rsidR="00140A5F" w:rsidRDefault="00140A5F" w:rsidP="00140A5F">
      <w:pPr>
        <w:spacing w:after="0"/>
        <w:jc w:val="center"/>
        <w:outlineLvl w:val="0"/>
        <w:rPr>
          <w:rFonts w:ascii="Times New Roman" w:hAnsi="Times New Roman"/>
          <w:sz w:val="20"/>
          <w:szCs w:val="20"/>
          <w:lang w:val="en-GB"/>
        </w:rPr>
      </w:pPr>
      <w:r>
        <w:rPr>
          <w:rFonts w:ascii="Times New Roman" w:hAnsi="Times New Roman"/>
          <w:sz w:val="20"/>
          <w:szCs w:val="20"/>
          <w:lang w:val="en-GB"/>
        </w:rPr>
        <w:t>Farah Ad-din Nordin</w:t>
      </w:r>
      <w:r>
        <w:rPr>
          <w:rFonts w:ascii="Times New Roman" w:hAnsi="Times New Roman"/>
          <w:sz w:val="20"/>
          <w:szCs w:val="20"/>
          <w:vertAlign w:val="superscript"/>
          <w:lang w:val="en-GB"/>
        </w:rPr>
        <w:t>1, 2</w:t>
      </w:r>
      <w:r>
        <w:rPr>
          <w:rFonts w:ascii="Times New Roman" w:hAnsi="Times New Roman"/>
          <w:sz w:val="20"/>
          <w:szCs w:val="20"/>
          <w:lang w:val="en-GB"/>
        </w:rPr>
        <w:t>, Ahmad Fahmi Lim Abdullah</w:t>
      </w:r>
      <w:r>
        <w:rPr>
          <w:rFonts w:ascii="Times New Roman" w:hAnsi="Times New Roman"/>
          <w:sz w:val="20"/>
          <w:szCs w:val="20"/>
          <w:vertAlign w:val="superscript"/>
          <w:lang w:val="en-GB"/>
        </w:rPr>
        <w:t>1</w:t>
      </w:r>
      <w:r>
        <w:rPr>
          <w:rFonts w:ascii="Times New Roman" w:hAnsi="Times New Roman"/>
          <w:sz w:val="20"/>
          <w:szCs w:val="20"/>
          <w:lang w:val="en-GB"/>
        </w:rPr>
        <w:t>, Kah Haw Chang</w:t>
      </w:r>
      <w:r>
        <w:rPr>
          <w:rFonts w:ascii="Times New Roman" w:hAnsi="Times New Roman"/>
          <w:sz w:val="20"/>
          <w:szCs w:val="20"/>
          <w:vertAlign w:val="superscript"/>
          <w:lang w:val="en-GB"/>
        </w:rPr>
        <w:t>1</w:t>
      </w:r>
      <w:r>
        <w:rPr>
          <w:rFonts w:ascii="Times New Roman" w:hAnsi="Times New Roman"/>
          <w:sz w:val="20"/>
          <w:szCs w:val="20"/>
          <w:lang w:val="en-GB"/>
        </w:rPr>
        <w:t>*</w:t>
      </w:r>
    </w:p>
    <w:p w14:paraId="31CEC17B" w14:textId="77777777" w:rsidR="00140A5F" w:rsidRPr="00140A5F" w:rsidRDefault="00140A5F" w:rsidP="00140A5F">
      <w:pPr>
        <w:spacing w:after="0"/>
        <w:jc w:val="center"/>
        <w:outlineLvl w:val="0"/>
        <w:rPr>
          <w:rFonts w:ascii="Times New Roman" w:hAnsi="Times New Roman"/>
          <w:b/>
          <w:sz w:val="20"/>
          <w:szCs w:val="20"/>
          <w:lang w:val="en-GB"/>
        </w:rPr>
      </w:pPr>
    </w:p>
    <w:p w14:paraId="63E14A9F" w14:textId="77777777" w:rsidR="00140A5F" w:rsidRPr="00140A5F" w:rsidRDefault="00140A5F" w:rsidP="00140A5F">
      <w:pPr>
        <w:spacing w:after="0"/>
        <w:jc w:val="center"/>
        <w:outlineLvl w:val="0"/>
        <w:rPr>
          <w:rFonts w:ascii="Times New Roman" w:hAnsi="Times New Roman"/>
          <w:i/>
          <w:sz w:val="20"/>
          <w:szCs w:val="20"/>
          <w:lang w:val="en-GB"/>
        </w:rPr>
      </w:pPr>
      <w:r w:rsidRPr="00140A5F">
        <w:rPr>
          <w:rFonts w:ascii="Times New Roman" w:hAnsi="Times New Roman"/>
          <w:i/>
          <w:sz w:val="20"/>
          <w:szCs w:val="20"/>
          <w:vertAlign w:val="superscript"/>
          <w:lang w:val="en-GB"/>
        </w:rPr>
        <w:t>1</w:t>
      </w:r>
      <w:r w:rsidRPr="00140A5F">
        <w:rPr>
          <w:rFonts w:ascii="Times New Roman" w:hAnsi="Times New Roman"/>
          <w:i/>
          <w:sz w:val="20"/>
          <w:szCs w:val="20"/>
          <w:lang w:val="en-GB"/>
        </w:rPr>
        <w:t xml:space="preserve">Forensic Science Programme, School of Health Sciences, </w:t>
      </w:r>
    </w:p>
    <w:p w14:paraId="54F8A5C7" w14:textId="77777777" w:rsidR="00140A5F" w:rsidRPr="00140A5F" w:rsidRDefault="00140A5F" w:rsidP="00140A5F">
      <w:pPr>
        <w:spacing w:after="0"/>
        <w:jc w:val="center"/>
        <w:outlineLvl w:val="0"/>
        <w:rPr>
          <w:rFonts w:ascii="Times New Roman" w:hAnsi="Times New Roman"/>
          <w:i/>
          <w:sz w:val="20"/>
          <w:szCs w:val="20"/>
          <w:lang w:val="en-GB"/>
        </w:rPr>
      </w:pPr>
      <w:r w:rsidRPr="00140A5F">
        <w:rPr>
          <w:rFonts w:ascii="Times New Roman" w:hAnsi="Times New Roman"/>
          <w:i/>
          <w:sz w:val="20"/>
          <w:szCs w:val="20"/>
          <w:lang w:val="en-GB"/>
        </w:rPr>
        <w:t xml:space="preserve">Universiti Sains Malaysia, 16150 Kubang Kerian, Kelantan, Malaysia </w:t>
      </w:r>
    </w:p>
    <w:p w14:paraId="61FCB256" w14:textId="77777777" w:rsidR="00140A5F" w:rsidRPr="00140A5F" w:rsidRDefault="00140A5F" w:rsidP="00140A5F">
      <w:pPr>
        <w:spacing w:after="0"/>
        <w:jc w:val="center"/>
        <w:outlineLvl w:val="0"/>
        <w:rPr>
          <w:rFonts w:ascii="Times New Roman" w:hAnsi="Times New Roman"/>
          <w:i/>
          <w:sz w:val="20"/>
          <w:szCs w:val="20"/>
          <w:lang w:val="en-GB"/>
        </w:rPr>
      </w:pPr>
      <w:r w:rsidRPr="00140A5F">
        <w:rPr>
          <w:rFonts w:ascii="Times New Roman" w:hAnsi="Times New Roman"/>
          <w:i/>
          <w:sz w:val="20"/>
          <w:szCs w:val="20"/>
          <w:vertAlign w:val="superscript"/>
          <w:lang w:val="en-GB"/>
        </w:rPr>
        <w:t>2</w:t>
      </w:r>
      <w:r w:rsidRPr="00140A5F">
        <w:rPr>
          <w:rFonts w:ascii="Times New Roman" w:hAnsi="Times New Roman"/>
          <w:i/>
          <w:sz w:val="20"/>
          <w:szCs w:val="20"/>
          <w:lang w:val="en-GB"/>
        </w:rPr>
        <w:t xml:space="preserve">Criminalistic Section, Forensic Division, </w:t>
      </w:r>
    </w:p>
    <w:p w14:paraId="36526E6D" w14:textId="77777777" w:rsidR="00140A5F" w:rsidRPr="00140A5F" w:rsidRDefault="00140A5F" w:rsidP="00140A5F">
      <w:pPr>
        <w:spacing w:after="0"/>
        <w:jc w:val="center"/>
        <w:outlineLvl w:val="0"/>
        <w:rPr>
          <w:rFonts w:ascii="Times New Roman" w:hAnsi="Times New Roman"/>
          <w:i/>
          <w:sz w:val="20"/>
          <w:szCs w:val="20"/>
          <w:lang w:val="en-GB"/>
        </w:rPr>
      </w:pPr>
      <w:r w:rsidRPr="00140A5F">
        <w:rPr>
          <w:rFonts w:ascii="Times New Roman" w:hAnsi="Times New Roman"/>
          <w:i/>
          <w:sz w:val="20"/>
          <w:szCs w:val="20"/>
          <w:lang w:val="en-GB"/>
        </w:rPr>
        <w:t>Department of Chemistry, Jalan Sultan, 46661 Petaling Jaya, Kuala Lumpur, Malaysia</w:t>
      </w:r>
    </w:p>
    <w:p w14:paraId="136315A1" w14:textId="77777777" w:rsidR="00140A5F" w:rsidRPr="00140A5F" w:rsidRDefault="00140A5F" w:rsidP="00140A5F">
      <w:pPr>
        <w:spacing w:after="0"/>
        <w:jc w:val="center"/>
        <w:outlineLvl w:val="0"/>
        <w:rPr>
          <w:rFonts w:ascii="Times New Roman" w:hAnsi="Times New Roman"/>
          <w:b/>
          <w:sz w:val="20"/>
          <w:szCs w:val="20"/>
          <w:lang w:val="en-GB"/>
        </w:rPr>
      </w:pPr>
    </w:p>
    <w:p w14:paraId="5B4186A5" w14:textId="77777777" w:rsidR="00140A5F" w:rsidRPr="00140A5F" w:rsidRDefault="00140A5F" w:rsidP="00140A5F">
      <w:pPr>
        <w:spacing w:after="0"/>
        <w:jc w:val="center"/>
        <w:outlineLvl w:val="0"/>
        <w:rPr>
          <w:rFonts w:ascii="Times New Roman" w:hAnsi="Times New Roman"/>
          <w:i/>
          <w:sz w:val="20"/>
          <w:szCs w:val="20"/>
          <w:lang w:val="en-GB"/>
        </w:rPr>
      </w:pPr>
      <w:r w:rsidRPr="00140A5F">
        <w:rPr>
          <w:rFonts w:ascii="Times New Roman" w:hAnsi="Times New Roman"/>
          <w:i/>
          <w:sz w:val="20"/>
          <w:szCs w:val="20"/>
          <w:lang w:val="en-GB"/>
        </w:rPr>
        <w:t>*Corresponding author:  changkh@usm.my</w:t>
      </w:r>
    </w:p>
    <w:p w14:paraId="7BD75AE1" w14:textId="77777777" w:rsidR="00140A5F" w:rsidRPr="00140A5F" w:rsidRDefault="00140A5F" w:rsidP="00140A5F">
      <w:pPr>
        <w:spacing w:after="0"/>
        <w:jc w:val="center"/>
        <w:rPr>
          <w:rFonts w:ascii="Times New Roman" w:hAnsi="Times New Roman"/>
          <w:noProof/>
          <w:sz w:val="20"/>
          <w:szCs w:val="20"/>
        </w:rPr>
      </w:pPr>
    </w:p>
    <w:p w14:paraId="0FC65C02" w14:textId="77777777" w:rsidR="00140A5F" w:rsidRPr="00140A5F" w:rsidRDefault="00140A5F" w:rsidP="00140A5F">
      <w:pPr>
        <w:spacing w:after="0"/>
        <w:jc w:val="center"/>
        <w:rPr>
          <w:rFonts w:ascii="Times New Roman" w:hAnsi="Times New Roman"/>
          <w:noProof/>
          <w:sz w:val="20"/>
          <w:szCs w:val="20"/>
        </w:rPr>
      </w:pPr>
    </w:p>
    <w:p w14:paraId="47C46C5A" w14:textId="5A90B243" w:rsidR="00140A5F" w:rsidRPr="00140A5F" w:rsidRDefault="00140A5F" w:rsidP="00140A5F">
      <w:pPr>
        <w:spacing w:after="0"/>
        <w:jc w:val="center"/>
        <w:rPr>
          <w:rFonts w:ascii="Times New Roman" w:hAnsi="Times New Roman"/>
          <w:noProof/>
          <w:sz w:val="20"/>
          <w:szCs w:val="20"/>
        </w:rPr>
      </w:pPr>
      <w:r w:rsidRPr="00140A5F">
        <w:rPr>
          <w:rFonts w:ascii="Times New Roman" w:hAnsi="Times New Roman"/>
          <w:noProof/>
          <w:sz w:val="20"/>
          <w:szCs w:val="20"/>
        </w:rPr>
        <w:t xml:space="preserve">Received: 10 March 2020; Accepted: 5 August 2020; Published: </w:t>
      </w:r>
      <w:r w:rsidR="00523FAC">
        <w:rPr>
          <w:rFonts w:ascii="Times New Roman" w:hAnsi="Times New Roman"/>
          <w:noProof/>
          <w:sz w:val="20"/>
          <w:szCs w:val="20"/>
        </w:rPr>
        <w:t>12</w:t>
      </w:r>
      <w:r w:rsidRPr="00140A5F">
        <w:rPr>
          <w:rFonts w:ascii="Times New Roman" w:hAnsi="Times New Roman"/>
          <w:noProof/>
          <w:sz w:val="20"/>
          <w:szCs w:val="20"/>
        </w:rPr>
        <w:t xml:space="preserve"> October 2020</w:t>
      </w:r>
    </w:p>
    <w:p w14:paraId="557D984E" w14:textId="77777777" w:rsidR="00140A5F" w:rsidRPr="00140A5F" w:rsidRDefault="00140A5F" w:rsidP="00140A5F">
      <w:pPr>
        <w:spacing w:after="0"/>
        <w:jc w:val="center"/>
        <w:rPr>
          <w:rFonts w:ascii="Times New Roman" w:hAnsi="Times New Roman"/>
          <w:noProof/>
          <w:sz w:val="20"/>
          <w:szCs w:val="20"/>
        </w:rPr>
      </w:pPr>
    </w:p>
    <w:p w14:paraId="4E48B97C" w14:textId="77777777" w:rsidR="00140A5F" w:rsidRPr="00140A5F" w:rsidRDefault="00140A5F" w:rsidP="00140A5F">
      <w:pPr>
        <w:spacing w:after="0"/>
        <w:jc w:val="center"/>
        <w:rPr>
          <w:rFonts w:ascii="Times New Roman" w:hAnsi="Times New Roman"/>
          <w:noProof/>
          <w:sz w:val="20"/>
          <w:szCs w:val="20"/>
        </w:rPr>
      </w:pPr>
    </w:p>
    <w:p w14:paraId="57009905" w14:textId="77777777" w:rsidR="00140A5F" w:rsidRPr="00140A5F" w:rsidRDefault="00140A5F" w:rsidP="00140A5F">
      <w:pPr>
        <w:spacing w:after="0"/>
        <w:jc w:val="center"/>
        <w:rPr>
          <w:rFonts w:ascii="Times New Roman" w:hAnsi="Times New Roman"/>
          <w:b/>
          <w:noProof/>
          <w:sz w:val="20"/>
          <w:szCs w:val="20"/>
        </w:rPr>
      </w:pPr>
      <w:r w:rsidRPr="00140A5F">
        <w:rPr>
          <w:rFonts w:ascii="Times New Roman" w:hAnsi="Times New Roman"/>
          <w:b/>
          <w:noProof/>
          <w:sz w:val="20"/>
          <w:szCs w:val="20"/>
        </w:rPr>
        <w:t>Abstract</w:t>
      </w:r>
    </w:p>
    <w:p w14:paraId="4CFB3FE3" w14:textId="77777777" w:rsidR="00140A5F" w:rsidRPr="00140A5F" w:rsidRDefault="00140A5F" w:rsidP="00140A5F">
      <w:pPr>
        <w:spacing w:after="0"/>
        <w:jc w:val="both"/>
        <w:outlineLvl w:val="0"/>
        <w:rPr>
          <w:rFonts w:ascii="Times New Roman" w:hAnsi="Times New Roman"/>
          <w:sz w:val="20"/>
          <w:szCs w:val="20"/>
          <w:lang w:val="en-GB" w:bidi="en-US"/>
        </w:rPr>
      </w:pPr>
      <w:r w:rsidRPr="00140A5F">
        <w:rPr>
          <w:rFonts w:ascii="Times New Roman" w:hAnsi="Times New Roman"/>
          <w:sz w:val="20"/>
          <w:szCs w:val="20"/>
          <w:lang w:val="en-GB"/>
        </w:rPr>
        <w:t>One important link in the chain of proof during investigation of shooting cases is the evidence to prove a person had fired a firearm, or somehow was connected with the firing activity. Gunshot residues (GSR), particularly on shooter’s hand, could provide significant aid in such investigation. Therefore, this study was aimed to investigate the detection of GSR particles recovered from the hands of shooter using two sampling methods, namely stubbing and swabbing, on the basis of the types of firearms and ammunitions, as well as the varying sampling sites. By considering lead, barium and antimony as the criterion to definitely confirm the presence of GSR, the experimental results revealed that greater number of GSR particles were shown in those samples subjected to firing by using revolver with .38 SPL ammunition compared to semi-automatic pistol with 9 mm ammunition (</w:t>
      </w:r>
      <w:r w:rsidRPr="00140A5F">
        <w:rPr>
          <w:rFonts w:ascii="Times New Roman" w:hAnsi="Times New Roman"/>
          <w:i/>
          <w:sz w:val="20"/>
          <w:szCs w:val="20"/>
          <w:lang w:val="en-GB"/>
        </w:rPr>
        <w:t xml:space="preserve">p </w:t>
      </w:r>
      <w:r w:rsidRPr="00140A5F">
        <w:rPr>
          <w:rFonts w:ascii="Times New Roman" w:hAnsi="Times New Roman"/>
          <w:sz w:val="20"/>
          <w:szCs w:val="20"/>
          <w:lang w:val="en-GB"/>
        </w:rPr>
        <w:t>= 0.034). Based on Kruskal-Wallis test, there was no statistically significant association shown between the sampling sites and number of GSR particles detected (</w:t>
      </w:r>
      <w:r w:rsidRPr="00140A5F">
        <w:rPr>
          <w:rFonts w:ascii="Times New Roman" w:hAnsi="Times New Roman"/>
          <w:i/>
          <w:sz w:val="20"/>
          <w:szCs w:val="20"/>
          <w:lang w:val="en-GB"/>
        </w:rPr>
        <w:t>p</w:t>
      </w:r>
      <w:r w:rsidRPr="00140A5F">
        <w:rPr>
          <w:rFonts w:ascii="Times New Roman" w:hAnsi="Times New Roman"/>
          <w:sz w:val="20"/>
          <w:szCs w:val="20"/>
          <w:lang w:val="en-GB"/>
        </w:rPr>
        <w:t xml:space="preserve">= 0.545 for semi-automatic pistol; </w:t>
      </w:r>
      <w:r w:rsidRPr="00140A5F">
        <w:rPr>
          <w:rFonts w:ascii="Times New Roman" w:hAnsi="Times New Roman"/>
          <w:i/>
          <w:sz w:val="20"/>
          <w:szCs w:val="20"/>
          <w:lang w:val="en-GB"/>
        </w:rPr>
        <w:t xml:space="preserve">p </w:t>
      </w:r>
      <w:r w:rsidRPr="00140A5F">
        <w:rPr>
          <w:rFonts w:ascii="Times New Roman" w:hAnsi="Times New Roman"/>
          <w:sz w:val="20"/>
          <w:szCs w:val="20"/>
          <w:lang w:val="en-GB"/>
        </w:rPr>
        <w:t>= 0.218 for revolver). All stub samples demonstrated positive detection of GSR particles, but only one single characteristic GSR particle was detected on swab samples. Further examination on the collection efficiency of respective sampling methods demonstrated with no significant association between the types of firearms and number of GSR particles detected from the respective cartridge cases (</w:t>
      </w:r>
      <w:r w:rsidRPr="00140A5F">
        <w:rPr>
          <w:rFonts w:ascii="Times New Roman" w:hAnsi="Times New Roman"/>
          <w:i/>
          <w:sz w:val="20"/>
          <w:szCs w:val="20"/>
          <w:lang w:val="en-GB"/>
        </w:rPr>
        <w:t xml:space="preserve">p </w:t>
      </w:r>
      <w:r w:rsidRPr="00140A5F">
        <w:rPr>
          <w:rFonts w:ascii="Times New Roman" w:hAnsi="Times New Roman"/>
          <w:sz w:val="20"/>
          <w:szCs w:val="20"/>
          <w:lang w:val="en-GB"/>
        </w:rPr>
        <w:t>= 0.568). The number of swabbing from spent cartridge case gave almost similar testing result (</w:t>
      </w:r>
      <w:r w:rsidRPr="00140A5F">
        <w:rPr>
          <w:rFonts w:ascii="Times New Roman" w:hAnsi="Times New Roman"/>
          <w:i/>
          <w:sz w:val="20"/>
          <w:szCs w:val="20"/>
          <w:lang w:val="en-GB"/>
        </w:rPr>
        <w:t xml:space="preserve">p </w:t>
      </w:r>
      <w:r w:rsidRPr="00140A5F">
        <w:rPr>
          <w:rFonts w:ascii="Times New Roman" w:hAnsi="Times New Roman"/>
          <w:sz w:val="20"/>
          <w:szCs w:val="20"/>
          <w:lang w:val="en-GB"/>
        </w:rPr>
        <w:t>= 0.561). This study has successfully detected the presence of GSR particles, which could serve as a supporting evidence to relate a suspect to a shooting case. Although swabbing has limited ability in recovering GSR samples from the hands of shooter, it is useful whenever a stub is not available or to recover GSR particle from a place where could not be reached by a stub to avoid the loss of trace particles.</w:t>
      </w:r>
    </w:p>
    <w:p w14:paraId="5DCED6F5" w14:textId="77777777" w:rsidR="00140A5F" w:rsidRPr="00140A5F" w:rsidRDefault="00140A5F" w:rsidP="00140A5F">
      <w:pPr>
        <w:spacing w:after="0"/>
        <w:jc w:val="both"/>
        <w:outlineLvl w:val="0"/>
        <w:rPr>
          <w:rFonts w:ascii="Times New Roman" w:hAnsi="Times New Roman"/>
          <w:sz w:val="20"/>
          <w:szCs w:val="20"/>
          <w:lang w:val="en-GB"/>
        </w:rPr>
      </w:pPr>
    </w:p>
    <w:p w14:paraId="0239A305" w14:textId="6A4960D8" w:rsidR="00140A5F" w:rsidRPr="00140A5F" w:rsidRDefault="00140A5F" w:rsidP="00140A5F">
      <w:pPr>
        <w:spacing w:after="0"/>
        <w:jc w:val="both"/>
        <w:outlineLvl w:val="0"/>
        <w:rPr>
          <w:rFonts w:ascii="Times New Roman" w:hAnsi="Times New Roman"/>
          <w:sz w:val="20"/>
          <w:szCs w:val="20"/>
          <w:lang w:val="en-GB"/>
        </w:rPr>
      </w:pPr>
      <w:r w:rsidRPr="00140A5F">
        <w:rPr>
          <w:rFonts w:ascii="Times New Roman" w:hAnsi="Times New Roman"/>
          <w:b/>
          <w:sz w:val="20"/>
          <w:szCs w:val="20"/>
          <w:lang w:val="en-GB"/>
        </w:rPr>
        <w:t>Keywords</w:t>
      </w:r>
      <w:r w:rsidRPr="00140A5F">
        <w:rPr>
          <w:rFonts w:ascii="Times New Roman" w:hAnsi="Times New Roman"/>
          <w:b/>
          <w:bCs/>
          <w:sz w:val="20"/>
          <w:szCs w:val="20"/>
          <w:lang w:val="en-GB"/>
        </w:rPr>
        <w:t xml:space="preserve">:  </w:t>
      </w:r>
      <w:r w:rsidRPr="00140A5F">
        <w:rPr>
          <w:rFonts w:ascii="Times New Roman" w:hAnsi="Times New Roman"/>
          <w:sz w:val="20"/>
          <w:szCs w:val="20"/>
          <w:lang w:val="en-GB"/>
        </w:rPr>
        <w:t>forensic science, firearm, gunshot residue, stub, swab, shooter</w:t>
      </w:r>
    </w:p>
    <w:p w14:paraId="7DD18788" w14:textId="77777777" w:rsidR="00140A5F" w:rsidRPr="00140A5F" w:rsidRDefault="00140A5F" w:rsidP="00140A5F">
      <w:pPr>
        <w:spacing w:after="0"/>
        <w:jc w:val="both"/>
        <w:outlineLvl w:val="0"/>
        <w:rPr>
          <w:rFonts w:ascii="Times New Roman" w:hAnsi="Times New Roman"/>
          <w:b/>
          <w:sz w:val="20"/>
          <w:szCs w:val="20"/>
          <w:lang w:val="en-GB"/>
        </w:rPr>
      </w:pPr>
    </w:p>
    <w:p w14:paraId="782FBA2D" w14:textId="77777777" w:rsidR="00140A5F" w:rsidRPr="00140A5F" w:rsidRDefault="00140A5F" w:rsidP="00140A5F">
      <w:pPr>
        <w:spacing w:after="0"/>
        <w:jc w:val="center"/>
        <w:outlineLvl w:val="0"/>
        <w:rPr>
          <w:rFonts w:ascii="Times New Roman" w:hAnsi="Times New Roman"/>
          <w:b/>
          <w:noProof/>
          <w:sz w:val="20"/>
          <w:szCs w:val="20"/>
          <w:lang w:val="ms-MY"/>
        </w:rPr>
      </w:pPr>
      <w:r w:rsidRPr="00140A5F">
        <w:rPr>
          <w:rFonts w:ascii="Times New Roman" w:hAnsi="Times New Roman"/>
          <w:b/>
          <w:noProof/>
          <w:sz w:val="20"/>
          <w:szCs w:val="20"/>
          <w:lang w:val="ms-MY"/>
        </w:rPr>
        <w:t>Abstrak</w:t>
      </w:r>
    </w:p>
    <w:p w14:paraId="5A063580" w14:textId="77777777" w:rsidR="00140A5F" w:rsidRPr="00140A5F" w:rsidRDefault="00140A5F" w:rsidP="00140A5F">
      <w:pPr>
        <w:spacing w:after="0"/>
        <w:jc w:val="both"/>
        <w:outlineLvl w:val="0"/>
        <w:rPr>
          <w:rFonts w:ascii="Times New Roman" w:hAnsi="Times New Roman"/>
          <w:noProof/>
          <w:sz w:val="20"/>
          <w:szCs w:val="20"/>
          <w:lang w:val="ms-MY"/>
        </w:rPr>
      </w:pPr>
      <w:r w:rsidRPr="00140A5F">
        <w:rPr>
          <w:rFonts w:ascii="Times New Roman" w:hAnsi="Times New Roman"/>
          <w:noProof/>
          <w:sz w:val="20"/>
          <w:szCs w:val="20"/>
          <w:lang w:val="ms-MY"/>
        </w:rPr>
        <w:t>Satu perkaitan penting dalam rantaian bukti ketika penyiasatan kes penembakan adalah bahan bukti yang dapat membuktikan seseorang individu telah melepaskan suatu tembakan atau dikaitkan dengan aktiviti penembakan tersebut. Sisa tembakan (GSR) yang lazimnya pada tangan penembak boleh memberikan bantuan bererti dalam penyiasatan kes-kes sedemikian. Justeru, kajian ini bertujuan menyiasat pengesanan zarah GSR yang dipulihkan daripada tangan penembak menggunakan dua kaedah pensampelan, iaitu dengan puntung dan kesatan, berdasarkan jenis senjata api dan amunisi serta pelbagai tapak pensampelan. Dengan mengambil kira plumbum, barium dan antimoni sebagai kriteria untuk mengesahkan kehadiran GSR secara jelas, keputusan eksperimen telah menunjukkan bahawa bilangan zarah GSR yang lebih banyak telah ditunjukkan pada sampel-sampel yang ditembak menggunakan revolver bersama dengan amunisi .38 SPL berbanding pistol semi-automatik dengan amunisi 9 mm (</w:t>
      </w:r>
      <w:r w:rsidRPr="00140A5F">
        <w:rPr>
          <w:rFonts w:ascii="Times New Roman" w:hAnsi="Times New Roman"/>
          <w:i/>
          <w:noProof/>
          <w:sz w:val="20"/>
          <w:szCs w:val="20"/>
          <w:lang w:val="ms-MY"/>
        </w:rPr>
        <w:t xml:space="preserve">p </w:t>
      </w:r>
      <w:r w:rsidRPr="00140A5F">
        <w:rPr>
          <w:rFonts w:ascii="Times New Roman" w:hAnsi="Times New Roman"/>
          <w:noProof/>
          <w:sz w:val="20"/>
          <w:szCs w:val="20"/>
          <w:lang w:val="ms-MY"/>
        </w:rPr>
        <w:t>= 0.034). Berdasarkan ujian Kruskal-Wallis, tiada perkaitan statistik bererti yang terbukti antara tapak-tapak pensampelan dan bilangan zarah GSR yang dikesan (</w:t>
      </w:r>
      <w:r w:rsidRPr="00140A5F">
        <w:rPr>
          <w:rFonts w:ascii="Times New Roman" w:hAnsi="Times New Roman"/>
          <w:i/>
          <w:noProof/>
          <w:sz w:val="20"/>
          <w:szCs w:val="20"/>
          <w:lang w:val="ms-MY"/>
        </w:rPr>
        <w:t xml:space="preserve">p </w:t>
      </w:r>
      <w:r w:rsidRPr="00140A5F">
        <w:rPr>
          <w:rFonts w:ascii="Times New Roman" w:hAnsi="Times New Roman"/>
          <w:noProof/>
          <w:sz w:val="20"/>
          <w:szCs w:val="20"/>
          <w:lang w:val="ms-MY"/>
        </w:rPr>
        <w:t xml:space="preserve">= 0.545 bagi pistol semi-automatik; </w:t>
      </w:r>
      <w:r w:rsidRPr="00140A5F">
        <w:rPr>
          <w:rFonts w:ascii="Times New Roman" w:hAnsi="Times New Roman"/>
          <w:i/>
          <w:noProof/>
          <w:sz w:val="20"/>
          <w:szCs w:val="20"/>
          <w:lang w:val="ms-MY"/>
        </w:rPr>
        <w:t>p</w:t>
      </w:r>
      <w:r w:rsidRPr="00140A5F">
        <w:rPr>
          <w:rFonts w:ascii="Times New Roman" w:hAnsi="Times New Roman"/>
          <w:noProof/>
          <w:sz w:val="20"/>
          <w:szCs w:val="20"/>
          <w:lang w:val="ms-MY"/>
        </w:rPr>
        <w:t>= 0.218 bagi revolver). Kesemua sampel puntung menunjukkan pengesanan positif bagi zarah GSR tetapi hanya satu zarah berciri GSR sahaja yang dikesan pada sampel kesatan. Pemeriksaan seterusnya pada keberkesanan pengumpulan bagi kedua-dua kaedah pensampelan tidak menunjukkan perkaitan yang bererti antara jenis senjata api dan bilangan zarah GSR yang dikesan daripada kelongsong peluru masing-masing (</w:t>
      </w:r>
      <w:r w:rsidRPr="00140A5F">
        <w:rPr>
          <w:rFonts w:ascii="Times New Roman" w:hAnsi="Times New Roman"/>
          <w:i/>
          <w:noProof/>
          <w:sz w:val="20"/>
          <w:szCs w:val="20"/>
          <w:lang w:val="ms-MY"/>
        </w:rPr>
        <w:t xml:space="preserve">p </w:t>
      </w:r>
      <w:r w:rsidRPr="00140A5F">
        <w:rPr>
          <w:rFonts w:ascii="Times New Roman" w:hAnsi="Times New Roman"/>
          <w:noProof/>
          <w:sz w:val="20"/>
          <w:szCs w:val="20"/>
          <w:lang w:val="ms-MY"/>
        </w:rPr>
        <w:t>= 0.568). Bilangan kesatan daripada kelongsong peluru tertembak memberikan keputusan yang lebih kurang sama (</w:t>
      </w:r>
      <w:r w:rsidRPr="00140A5F">
        <w:rPr>
          <w:rFonts w:ascii="Times New Roman" w:hAnsi="Times New Roman"/>
          <w:i/>
          <w:noProof/>
          <w:sz w:val="20"/>
          <w:szCs w:val="20"/>
          <w:lang w:val="ms-MY"/>
        </w:rPr>
        <w:t xml:space="preserve">p </w:t>
      </w:r>
      <w:r w:rsidRPr="00140A5F">
        <w:rPr>
          <w:rFonts w:ascii="Times New Roman" w:hAnsi="Times New Roman"/>
          <w:noProof/>
          <w:sz w:val="20"/>
          <w:szCs w:val="20"/>
          <w:lang w:val="ms-MY"/>
        </w:rPr>
        <w:t xml:space="preserve">= 0.561). Kajian ini telah berjaya mengesan kehadiran zarah-zarah GSR yang boleh berfungsi sebagai bahan bukti sokongan dalam mengaitkan seseorang suspek kepada suatu kes penembakan. Sungguhpun kaedah kesatan mempunyai kekangan dalam memulihkan sampel GSR daripada tangan penembak, kaedah ini adalah berguna apabila suatu puntung tidak tersedia atau untuk memulihkan zarah GSR daripada sesuatu tempat tidak dapat dicapai oleh sesuatu puntung demi mengelakkan kehilangan zarah-zarah surih. </w:t>
      </w:r>
    </w:p>
    <w:p w14:paraId="3B3F68A9" w14:textId="77777777" w:rsidR="00140A5F" w:rsidRPr="00140A5F" w:rsidRDefault="00140A5F" w:rsidP="00140A5F">
      <w:pPr>
        <w:spacing w:after="0"/>
        <w:jc w:val="both"/>
        <w:outlineLvl w:val="0"/>
        <w:rPr>
          <w:rFonts w:ascii="Times New Roman" w:hAnsi="Times New Roman"/>
          <w:sz w:val="20"/>
          <w:szCs w:val="20"/>
          <w:lang w:val="sv-SE"/>
        </w:rPr>
      </w:pPr>
    </w:p>
    <w:p w14:paraId="0A9EEA39" w14:textId="43AD97CD" w:rsidR="00140A5F" w:rsidRDefault="00140A5F" w:rsidP="00140A5F">
      <w:pPr>
        <w:spacing w:after="0"/>
        <w:jc w:val="both"/>
        <w:outlineLvl w:val="0"/>
        <w:rPr>
          <w:rFonts w:ascii="Times New Roman" w:hAnsi="Times New Roman"/>
          <w:sz w:val="20"/>
          <w:szCs w:val="20"/>
          <w:lang w:val="sv-SE"/>
        </w:rPr>
      </w:pPr>
      <w:r w:rsidRPr="00140A5F">
        <w:rPr>
          <w:rFonts w:ascii="Times New Roman" w:hAnsi="Times New Roman"/>
          <w:b/>
          <w:sz w:val="20"/>
          <w:szCs w:val="20"/>
          <w:lang w:val="sv-SE"/>
        </w:rPr>
        <w:t xml:space="preserve">Kata kunci:  </w:t>
      </w:r>
      <w:r w:rsidRPr="00140A5F">
        <w:rPr>
          <w:rFonts w:ascii="Times New Roman" w:hAnsi="Times New Roman"/>
          <w:sz w:val="20"/>
          <w:szCs w:val="20"/>
          <w:lang w:val="sv-SE"/>
        </w:rPr>
        <w:t>sains forensik, senjata api, sisa tembakan, puntung, kesatan, penembak</w:t>
      </w:r>
    </w:p>
    <w:p w14:paraId="75A55ACD" w14:textId="639967AD" w:rsidR="00140A5F" w:rsidRDefault="00140A5F" w:rsidP="00140A5F">
      <w:pPr>
        <w:spacing w:after="0"/>
        <w:jc w:val="both"/>
        <w:outlineLvl w:val="0"/>
        <w:rPr>
          <w:rFonts w:ascii="Times New Roman" w:hAnsi="Times New Roman"/>
          <w:sz w:val="20"/>
          <w:szCs w:val="20"/>
          <w:lang w:val="sv-SE"/>
        </w:rPr>
      </w:pPr>
    </w:p>
    <w:p w14:paraId="41E15182" w14:textId="25A0B995" w:rsidR="00140A5F" w:rsidRDefault="00140A5F" w:rsidP="00140A5F">
      <w:pPr>
        <w:adjustRightInd w:val="0"/>
        <w:spacing w:after="0"/>
        <w:jc w:val="center"/>
        <w:rPr>
          <w:rFonts w:ascii="Times New Roman" w:hAnsi="Times New Roman" w:cs="Times New Roman"/>
          <w:b/>
          <w:sz w:val="20"/>
          <w:szCs w:val="20"/>
        </w:rPr>
      </w:pPr>
      <w:r w:rsidRPr="00140A5F">
        <w:rPr>
          <w:rFonts w:ascii="Times New Roman" w:hAnsi="Times New Roman" w:cs="Times New Roman"/>
          <w:b/>
          <w:sz w:val="20"/>
          <w:szCs w:val="20"/>
        </w:rPr>
        <w:t>References</w:t>
      </w:r>
    </w:p>
    <w:p w14:paraId="205A3200"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SWGGSR (2011). Guide for primer gunshot residue analysis by scanning electron microscopy/energy dispersive X‐ray spectrometry. Scientific Working Group for Gunshot Residue, Cincinnati.</w:t>
      </w:r>
    </w:p>
    <w:p w14:paraId="3F3CE977"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Chang, K. H., Jayaprakash, P. T., Yew, C. H. and Abdullah, A. F. L. (2013). Gunshot residue analysis and its evidential values: A review. </w:t>
      </w:r>
      <w:r w:rsidRPr="00940A65">
        <w:rPr>
          <w:rFonts w:ascii="Times New Roman" w:hAnsi="Times New Roman"/>
          <w:i/>
          <w:sz w:val="20"/>
          <w:szCs w:val="20"/>
          <w:lang w:val="en-GB"/>
        </w:rPr>
        <w:t>Australian Journal of Forensic Sciences</w:t>
      </w:r>
      <w:r w:rsidRPr="00940A65">
        <w:rPr>
          <w:rFonts w:ascii="Times New Roman" w:hAnsi="Times New Roman"/>
          <w:sz w:val="20"/>
          <w:szCs w:val="20"/>
          <w:lang w:val="en-GB"/>
        </w:rPr>
        <w:t xml:space="preserve">, 45 (1): 3-23. </w:t>
      </w:r>
    </w:p>
    <w:p w14:paraId="1ED54E4D"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Blakey, L. S., Sharples, G. P., Chana, K. and Birkett, J. W. (2018). Fate and behavior of gunshot residue-A review.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xml:space="preserve">, 63(1): 9-19. </w:t>
      </w:r>
    </w:p>
    <w:p w14:paraId="7829B22A"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Dalby, O., Butler, D. and Birkett, J. W. (2010). Analysis of gunshot residue and associated materials – a review.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55(4): 924-943.</w:t>
      </w:r>
    </w:p>
    <w:p w14:paraId="72A4FF6C"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Costa, R. A., Motta, L. C., Destefani, C. A., Rodrigues, R. R. T., do Espirito Santo, K. S., Aquije, G. M. F. V., Boldrini, R., Athayde, G. P. B., Carneiro, M. T. W. D. and Ramao, W. (2016). Gunshot residue (GSR) analysis of clean range ammunition using SEM/EDX, colorimetric test and ICP-MS: A comparative approach between the analytical techniques. </w:t>
      </w:r>
      <w:r w:rsidRPr="00940A65">
        <w:rPr>
          <w:rFonts w:ascii="Times New Roman" w:hAnsi="Times New Roman"/>
          <w:i/>
          <w:sz w:val="20"/>
          <w:szCs w:val="20"/>
          <w:lang w:val="en-GB"/>
        </w:rPr>
        <w:t>Microchemical Journal</w:t>
      </w:r>
      <w:r w:rsidRPr="00940A65">
        <w:rPr>
          <w:rFonts w:ascii="Times New Roman" w:hAnsi="Times New Roman"/>
          <w:sz w:val="20"/>
          <w:szCs w:val="20"/>
          <w:lang w:val="en-GB"/>
        </w:rPr>
        <w:t xml:space="preserve">, 129: 339-347. </w:t>
      </w:r>
    </w:p>
    <w:p w14:paraId="3EE7D057"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ASTM (2016). Standard guide for gunshot residue analysis by scanning electron microscopy/energy dispersive X-ray spectrometry E1588-16. American Society for Testing and Materials International, Pennsylvania.</w:t>
      </w:r>
    </w:p>
    <w:p w14:paraId="5E30680E"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Wolten, G. M., Nesbitt, R. S., Calloway, A. R., Loper, G. L. and Jones, P. F. (1979). Particle analysis for the detection of gunshot residue I: Scanning electron microscopy/energy dispersive X-ray characterization of hand deposits from firing.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24(2): 409-422.</w:t>
      </w:r>
    </w:p>
    <w:p w14:paraId="0214C1BF"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Wallace, J. S. and McQuillain, J. (1984). Discharge residues from cartridge-operated industrial tools. </w:t>
      </w:r>
      <w:r w:rsidRPr="00940A65">
        <w:rPr>
          <w:rFonts w:ascii="Times New Roman" w:hAnsi="Times New Roman"/>
          <w:i/>
          <w:sz w:val="20"/>
          <w:szCs w:val="20"/>
          <w:lang w:val="en-GB"/>
        </w:rPr>
        <w:t>Journal of the Forensic Science Society</w:t>
      </w:r>
      <w:r w:rsidRPr="00940A65">
        <w:rPr>
          <w:rFonts w:ascii="Times New Roman" w:hAnsi="Times New Roman"/>
          <w:sz w:val="20"/>
          <w:szCs w:val="20"/>
          <w:lang w:val="en-GB"/>
        </w:rPr>
        <w:t xml:space="preserve">, 24(5): 495-508. </w:t>
      </w:r>
    </w:p>
    <w:p w14:paraId="71597C00"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Kilty, J. W. (1975). Activity after shooting and its effects on the retention of primer residue.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20(2): 219-230.</w:t>
      </w:r>
    </w:p>
    <w:p w14:paraId="10F6EE03"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Krishnan, S. S. (1977). Detection of gunshot residue on the hands by trace element analysis.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22(2): 304-324.</w:t>
      </w:r>
    </w:p>
    <w:p w14:paraId="6C15A3C2"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Mastruko, V. (2003). Detection of GSR particles on clothing of suspects. </w:t>
      </w:r>
      <w:r w:rsidRPr="00940A65">
        <w:rPr>
          <w:rFonts w:ascii="Times New Roman" w:hAnsi="Times New Roman"/>
          <w:i/>
          <w:sz w:val="20"/>
          <w:szCs w:val="20"/>
          <w:lang w:val="en-GB"/>
        </w:rPr>
        <w:t>Forensic Science International</w:t>
      </w:r>
      <w:r w:rsidRPr="00940A65">
        <w:rPr>
          <w:rFonts w:ascii="Times New Roman" w:hAnsi="Times New Roman"/>
          <w:sz w:val="20"/>
          <w:szCs w:val="20"/>
          <w:lang w:val="en-GB"/>
        </w:rPr>
        <w:t>, 136 (Suppl. 1): 153-154.</w:t>
      </w:r>
    </w:p>
    <w:p w14:paraId="15382BEF"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Jalanti, T., Henchoz, P., Gallusser, A. and Bonfanti, M. S. (1999). The persistence of gunshot residue on shooters’ hands. </w:t>
      </w:r>
      <w:r w:rsidRPr="00940A65">
        <w:rPr>
          <w:rFonts w:ascii="Times New Roman" w:hAnsi="Times New Roman"/>
          <w:i/>
          <w:sz w:val="20"/>
          <w:szCs w:val="20"/>
          <w:lang w:val="en-GB"/>
        </w:rPr>
        <w:t>Science &amp; Justice</w:t>
      </w:r>
      <w:r w:rsidRPr="00940A65">
        <w:rPr>
          <w:rFonts w:ascii="Times New Roman" w:hAnsi="Times New Roman"/>
          <w:sz w:val="20"/>
          <w:szCs w:val="20"/>
          <w:lang w:val="en-GB"/>
        </w:rPr>
        <w:t>, 39(1): 48-52.</w:t>
      </w:r>
    </w:p>
    <w:p w14:paraId="26FA3D60"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Meng, H-H. and Caddy, B. (1997). Gunshot residue analysis—A review.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42 (4): 553-570.</w:t>
      </w:r>
    </w:p>
    <w:p w14:paraId="691165A3"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Mohd Rafae, A. A., Mohd Ali, S. F., Abdullah, A. F. L. and Chang, K. H. (2019). Colourimetric based detection of gunshot residue on gloves worn during shooting. </w:t>
      </w:r>
      <w:r w:rsidRPr="00940A65">
        <w:rPr>
          <w:rFonts w:ascii="Times New Roman" w:hAnsi="Times New Roman"/>
          <w:i/>
          <w:sz w:val="20"/>
          <w:szCs w:val="20"/>
          <w:lang w:val="en-GB"/>
        </w:rPr>
        <w:t>Malaysian Journal of Analytical Sciences</w:t>
      </w:r>
      <w:r w:rsidRPr="00940A65">
        <w:rPr>
          <w:rFonts w:ascii="Times New Roman" w:hAnsi="Times New Roman"/>
          <w:sz w:val="20"/>
          <w:szCs w:val="20"/>
          <w:lang w:val="en-GB"/>
        </w:rPr>
        <w:t xml:space="preserve">, 23(2): 229-236. </w:t>
      </w:r>
    </w:p>
    <w:p w14:paraId="5B750F48"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Zeichner A. and Eldar B. (2004). A novel method for extraction and analysis of gunpowder residues on double-side adhesive coated stubs.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xml:space="preserve">, 49(6): 1194-1206. </w:t>
      </w:r>
    </w:p>
    <w:p w14:paraId="34D81AAB"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Reid, L., Chana, K., Bond, J. W., Almond, M. J. and Black, S. (2010). Stubs versus swabs? A comparison of gunshot residue collection techniques.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55(3): 753-756.</w:t>
      </w:r>
    </w:p>
    <w:p w14:paraId="6183DFF8"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Koons, R., Havekost, D. and Peters, C. (1987). Analysis of gunshot primer residue collection swabs using flameless atomic absorption spectrophotometry: A re-examination of extraction and instrument procedures.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32(4): 846-865.</w:t>
      </w:r>
    </w:p>
    <w:p w14:paraId="1B3422BC"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Schwoeble, A. J. and Exline, D. L. (2000). Current methods in forensic gunshot residue analysis. CRC Press, Boca Raton.</w:t>
      </w:r>
    </w:p>
    <w:p w14:paraId="3A254084"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MY"/>
        </w:rPr>
        <w:t xml:space="preserve">Brozek-Mucha, Z. (2009). Distribution and properties of gunshot residue originating from a Luger 9 mm ammunition in the vicinity of the shooting gun. </w:t>
      </w:r>
      <w:r w:rsidRPr="00940A65">
        <w:rPr>
          <w:rFonts w:ascii="Times New Roman" w:hAnsi="Times New Roman"/>
          <w:i/>
          <w:sz w:val="20"/>
          <w:szCs w:val="20"/>
          <w:lang w:val="en-MY"/>
        </w:rPr>
        <w:t>Forensic Science International</w:t>
      </w:r>
      <w:r w:rsidRPr="00940A65">
        <w:rPr>
          <w:rFonts w:ascii="Times New Roman" w:hAnsi="Times New Roman"/>
          <w:sz w:val="20"/>
          <w:szCs w:val="20"/>
          <w:lang w:val="en-MY"/>
        </w:rPr>
        <w:t>, 183(1-3): 33-44.</w:t>
      </w:r>
    </w:p>
    <w:p w14:paraId="4228E6F6"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Ditrich, H. (2012). Distribution of gunshot residue – the influence of weapon type. </w:t>
      </w:r>
      <w:r w:rsidRPr="00940A65">
        <w:rPr>
          <w:rFonts w:ascii="Times New Roman" w:hAnsi="Times New Roman"/>
          <w:i/>
          <w:sz w:val="20"/>
          <w:szCs w:val="20"/>
          <w:lang w:val="en-GB"/>
        </w:rPr>
        <w:t>Forensic Science International</w:t>
      </w:r>
      <w:r w:rsidRPr="00940A65">
        <w:rPr>
          <w:rFonts w:ascii="Times New Roman" w:hAnsi="Times New Roman"/>
          <w:sz w:val="20"/>
          <w:szCs w:val="20"/>
          <w:lang w:val="en-GB"/>
        </w:rPr>
        <w:t>, 220: 85-90.</w:t>
      </w:r>
    </w:p>
    <w:p w14:paraId="3631517F"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sv-SE"/>
        </w:rPr>
        <w:t xml:space="preserve">Kara, I., Sarikavak, Y., Lisesivdin, S. B. and Kasap, M. (2016). </w:t>
      </w:r>
      <w:r w:rsidRPr="00940A65">
        <w:rPr>
          <w:rFonts w:ascii="Times New Roman" w:hAnsi="Times New Roman"/>
          <w:sz w:val="20"/>
          <w:szCs w:val="20"/>
          <w:lang w:val="en-GB"/>
        </w:rPr>
        <w:t xml:space="preserve">Evaluation of morphological and chemical differences of gunshot residues in different ammunitions using SEM/EDS technique. </w:t>
      </w:r>
      <w:r w:rsidRPr="00940A65">
        <w:rPr>
          <w:rFonts w:ascii="Times New Roman" w:hAnsi="Times New Roman"/>
          <w:i/>
          <w:sz w:val="20"/>
          <w:szCs w:val="20"/>
          <w:lang w:val="en-GB"/>
        </w:rPr>
        <w:t>Environmental Forensics</w:t>
      </w:r>
      <w:r w:rsidRPr="00940A65">
        <w:rPr>
          <w:rFonts w:ascii="Times New Roman" w:hAnsi="Times New Roman"/>
          <w:sz w:val="20"/>
          <w:szCs w:val="20"/>
          <w:lang w:val="en-GB"/>
        </w:rPr>
        <w:t xml:space="preserve">, 17(1): 68-79. </w:t>
      </w:r>
    </w:p>
    <w:p w14:paraId="1D103EB8"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hint="eastAsia"/>
          <w:sz w:val="20"/>
          <w:szCs w:val="20"/>
          <w:lang w:val="en-GB"/>
        </w:rPr>
        <w:t>Wolten</w:t>
      </w:r>
      <w:r w:rsidRPr="00940A65">
        <w:rPr>
          <w:rFonts w:ascii="Times New Roman" w:hAnsi="Times New Roman"/>
          <w:sz w:val="20"/>
          <w:szCs w:val="20"/>
          <w:lang w:val="en-GB"/>
        </w:rPr>
        <w:t>,</w:t>
      </w:r>
      <w:r w:rsidRPr="00940A65">
        <w:rPr>
          <w:rFonts w:ascii="Times New Roman" w:hAnsi="Times New Roman" w:hint="eastAsia"/>
          <w:sz w:val="20"/>
          <w:szCs w:val="20"/>
          <w:lang w:val="en-GB"/>
        </w:rPr>
        <w:t xml:space="preserve"> G</w:t>
      </w:r>
      <w:r w:rsidRPr="00940A65">
        <w:rPr>
          <w:rFonts w:ascii="Times New Roman" w:hAnsi="Times New Roman"/>
          <w:sz w:val="20"/>
          <w:szCs w:val="20"/>
          <w:lang w:val="en-GB"/>
        </w:rPr>
        <w:t xml:space="preserve">. </w:t>
      </w:r>
      <w:r w:rsidRPr="00940A65">
        <w:rPr>
          <w:rFonts w:ascii="Times New Roman" w:hAnsi="Times New Roman" w:hint="eastAsia"/>
          <w:sz w:val="20"/>
          <w:szCs w:val="20"/>
          <w:lang w:val="en-GB"/>
        </w:rPr>
        <w:t>M</w:t>
      </w:r>
      <w:r w:rsidRPr="00940A65">
        <w:rPr>
          <w:rFonts w:ascii="Times New Roman" w:hAnsi="Times New Roman"/>
          <w:sz w:val="20"/>
          <w:szCs w:val="20"/>
          <w:lang w:val="en-GB"/>
        </w:rPr>
        <w:t>.</w:t>
      </w:r>
      <w:r w:rsidRPr="00940A65">
        <w:rPr>
          <w:rFonts w:ascii="Times New Roman" w:hAnsi="Times New Roman" w:hint="eastAsia"/>
          <w:sz w:val="20"/>
          <w:szCs w:val="20"/>
          <w:lang w:val="en-GB"/>
        </w:rPr>
        <w:t>, Nesbitt</w:t>
      </w:r>
      <w:r w:rsidRPr="00940A65">
        <w:rPr>
          <w:rFonts w:ascii="Times New Roman" w:hAnsi="Times New Roman"/>
          <w:sz w:val="20"/>
          <w:szCs w:val="20"/>
          <w:lang w:val="en-GB"/>
        </w:rPr>
        <w:t>,</w:t>
      </w:r>
      <w:r w:rsidRPr="00940A65">
        <w:rPr>
          <w:rFonts w:ascii="Times New Roman" w:hAnsi="Times New Roman" w:hint="eastAsia"/>
          <w:sz w:val="20"/>
          <w:szCs w:val="20"/>
          <w:lang w:val="en-GB"/>
        </w:rPr>
        <w:t xml:space="preserve"> R</w:t>
      </w:r>
      <w:r w:rsidRPr="00940A65">
        <w:rPr>
          <w:rFonts w:ascii="Times New Roman" w:hAnsi="Times New Roman"/>
          <w:sz w:val="20"/>
          <w:szCs w:val="20"/>
          <w:lang w:val="en-GB"/>
        </w:rPr>
        <w:t xml:space="preserve">. </w:t>
      </w:r>
      <w:r w:rsidRPr="00940A65">
        <w:rPr>
          <w:rFonts w:ascii="Times New Roman" w:hAnsi="Times New Roman" w:hint="eastAsia"/>
          <w:sz w:val="20"/>
          <w:szCs w:val="20"/>
          <w:lang w:val="en-GB"/>
        </w:rPr>
        <w:t>S</w:t>
      </w:r>
      <w:r w:rsidRPr="00940A65">
        <w:rPr>
          <w:rFonts w:ascii="Times New Roman" w:hAnsi="Times New Roman"/>
          <w:sz w:val="20"/>
          <w:szCs w:val="20"/>
          <w:lang w:val="en-GB"/>
        </w:rPr>
        <w:t>.</w:t>
      </w:r>
      <w:r w:rsidRPr="00940A65">
        <w:rPr>
          <w:rFonts w:ascii="Times New Roman" w:hAnsi="Times New Roman" w:hint="eastAsia"/>
          <w:sz w:val="20"/>
          <w:szCs w:val="20"/>
          <w:lang w:val="en-GB"/>
        </w:rPr>
        <w:t>, Calloway</w:t>
      </w:r>
      <w:r w:rsidRPr="00940A65">
        <w:rPr>
          <w:rFonts w:ascii="Times New Roman" w:hAnsi="Times New Roman"/>
          <w:sz w:val="20"/>
          <w:szCs w:val="20"/>
          <w:lang w:val="en-GB"/>
        </w:rPr>
        <w:t>,</w:t>
      </w:r>
      <w:r w:rsidRPr="00940A65">
        <w:rPr>
          <w:rFonts w:ascii="Times New Roman" w:hAnsi="Times New Roman" w:hint="eastAsia"/>
          <w:sz w:val="20"/>
          <w:szCs w:val="20"/>
          <w:lang w:val="en-GB"/>
        </w:rPr>
        <w:t xml:space="preserve"> A</w:t>
      </w:r>
      <w:r w:rsidRPr="00940A65">
        <w:rPr>
          <w:rFonts w:ascii="Times New Roman" w:hAnsi="Times New Roman"/>
          <w:sz w:val="20"/>
          <w:szCs w:val="20"/>
          <w:lang w:val="en-GB"/>
        </w:rPr>
        <w:t xml:space="preserve">. </w:t>
      </w:r>
      <w:r w:rsidRPr="00940A65">
        <w:rPr>
          <w:rFonts w:ascii="Times New Roman" w:hAnsi="Times New Roman" w:hint="eastAsia"/>
          <w:sz w:val="20"/>
          <w:szCs w:val="20"/>
          <w:lang w:val="en-GB"/>
        </w:rPr>
        <w:t>R</w:t>
      </w:r>
      <w:r w:rsidRPr="00940A65">
        <w:rPr>
          <w:rFonts w:ascii="Times New Roman" w:hAnsi="Times New Roman"/>
          <w:sz w:val="20"/>
          <w:szCs w:val="20"/>
          <w:lang w:val="en-GB"/>
        </w:rPr>
        <w:t>.</w:t>
      </w:r>
      <w:r w:rsidRPr="00940A65">
        <w:rPr>
          <w:rFonts w:ascii="Times New Roman" w:hAnsi="Times New Roman" w:hint="eastAsia"/>
          <w:sz w:val="20"/>
          <w:szCs w:val="20"/>
          <w:lang w:val="en-GB"/>
        </w:rPr>
        <w:t>, Loper</w:t>
      </w:r>
      <w:r w:rsidRPr="00940A65">
        <w:rPr>
          <w:rFonts w:ascii="Times New Roman" w:hAnsi="Times New Roman"/>
          <w:sz w:val="20"/>
          <w:szCs w:val="20"/>
          <w:lang w:val="en-GB"/>
        </w:rPr>
        <w:t>,</w:t>
      </w:r>
      <w:r w:rsidRPr="00940A65">
        <w:rPr>
          <w:rFonts w:ascii="Times New Roman" w:hAnsi="Times New Roman" w:hint="eastAsia"/>
          <w:sz w:val="20"/>
          <w:szCs w:val="20"/>
          <w:lang w:val="en-GB"/>
        </w:rPr>
        <w:t xml:space="preserve"> G</w:t>
      </w:r>
      <w:r w:rsidRPr="00940A65">
        <w:rPr>
          <w:rFonts w:ascii="Times New Roman" w:hAnsi="Times New Roman"/>
          <w:sz w:val="20"/>
          <w:szCs w:val="20"/>
          <w:lang w:val="en-GB"/>
        </w:rPr>
        <w:t xml:space="preserve">. </w:t>
      </w:r>
      <w:r w:rsidRPr="00940A65">
        <w:rPr>
          <w:rFonts w:ascii="Times New Roman" w:hAnsi="Times New Roman" w:hint="eastAsia"/>
          <w:sz w:val="20"/>
          <w:szCs w:val="20"/>
          <w:lang w:val="en-GB"/>
        </w:rPr>
        <w:t>L</w:t>
      </w:r>
      <w:r w:rsidRPr="00940A65">
        <w:rPr>
          <w:rFonts w:ascii="Times New Roman" w:hAnsi="Times New Roman"/>
          <w:sz w:val="20"/>
          <w:szCs w:val="20"/>
          <w:lang w:val="en-GB"/>
        </w:rPr>
        <w:t>. and</w:t>
      </w:r>
      <w:r w:rsidRPr="00940A65">
        <w:rPr>
          <w:rFonts w:ascii="Times New Roman" w:hAnsi="Times New Roman" w:hint="eastAsia"/>
          <w:sz w:val="20"/>
          <w:szCs w:val="20"/>
          <w:lang w:val="en-GB"/>
        </w:rPr>
        <w:t xml:space="preserve"> Jones</w:t>
      </w:r>
      <w:r w:rsidRPr="00940A65">
        <w:rPr>
          <w:rFonts w:ascii="Times New Roman" w:hAnsi="Times New Roman"/>
          <w:sz w:val="20"/>
          <w:szCs w:val="20"/>
          <w:lang w:val="en-GB"/>
        </w:rPr>
        <w:t>,</w:t>
      </w:r>
      <w:r w:rsidRPr="00940A65">
        <w:rPr>
          <w:rFonts w:ascii="Times New Roman" w:hAnsi="Times New Roman" w:hint="eastAsia"/>
          <w:sz w:val="20"/>
          <w:szCs w:val="20"/>
          <w:lang w:val="en-GB"/>
        </w:rPr>
        <w:t xml:space="preserve"> P</w:t>
      </w:r>
      <w:r w:rsidRPr="00940A65">
        <w:rPr>
          <w:rFonts w:ascii="Times New Roman" w:hAnsi="Times New Roman"/>
          <w:sz w:val="20"/>
          <w:szCs w:val="20"/>
          <w:lang w:val="en-GB"/>
        </w:rPr>
        <w:t xml:space="preserve">. </w:t>
      </w:r>
      <w:r w:rsidRPr="00940A65">
        <w:rPr>
          <w:rFonts w:ascii="Times New Roman" w:hAnsi="Times New Roman" w:hint="eastAsia"/>
          <w:sz w:val="20"/>
          <w:szCs w:val="20"/>
          <w:lang w:val="en-GB"/>
        </w:rPr>
        <w:t xml:space="preserve">F. </w:t>
      </w:r>
      <w:r w:rsidRPr="00940A65">
        <w:rPr>
          <w:rFonts w:ascii="Times New Roman" w:hAnsi="Times New Roman"/>
          <w:sz w:val="20"/>
          <w:szCs w:val="20"/>
          <w:lang w:val="en-GB"/>
        </w:rPr>
        <w:t xml:space="preserve">(1977). </w:t>
      </w:r>
      <w:r w:rsidRPr="00940A65">
        <w:rPr>
          <w:rFonts w:ascii="Times New Roman" w:hAnsi="Times New Roman" w:hint="eastAsia"/>
          <w:sz w:val="20"/>
          <w:szCs w:val="20"/>
          <w:lang w:val="en-GB"/>
        </w:rPr>
        <w:t>Final report on particle analysis for gunshot residue detection</w:t>
      </w:r>
      <w:r w:rsidRPr="00940A65">
        <w:rPr>
          <w:rFonts w:ascii="Times New Roman" w:hAnsi="Times New Roman"/>
          <w:sz w:val="20"/>
          <w:szCs w:val="20"/>
          <w:lang w:val="en-GB"/>
        </w:rPr>
        <w:t xml:space="preserve">. </w:t>
      </w:r>
      <w:r w:rsidRPr="00940A65">
        <w:rPr>
          <w:rFonts w:ascii="Times New Roman" w:hAnsi="Times New Roman" w:hint="eastAsia"/>
          <w:sz w:val="20"/>
          <w:szCs w:val="20"/>
          <w:lang w:val="en-GB"/>
        </w:rPr>
        <w:t>The Aerospace Corp</w:t>
      </w:r>
      <w:r w:rsidRPr="00940A65">
        <w:rPr>
          <w:rFonts w:ascii="Times New Roman" w:hAnsi="Times New Roman"/>
          <w:sz w:val="20"/>
          <w:szCs w:val="20"/>
          <w:lang w:val="en-GB"/>
        </w:rPr>
        <w:t>,</w:t>
      </w:r>
      <w:r w:rsidRPr="00940A65">
        <w:rPr>
          <w:rFonts w:ascii="Times New Roman" w:hAnsi="Times New Roman" w:hint="eastAsia"/>
          <w:sz w:val="20"/>
          <w:szCs w:val="20"/>
          <w:lang w:val="en-GB"/>
        </w:rPr>
        <w:t xml:space="preserve"> Segundo</w:t>
      </w:r>
      <w:r w:rsidRPr="00940A65">
        <w:rPr>
          <w:rFonts w:ascii="Times New Roman" w:hAnsi="Times New Roman"/>
          <w:sz w:val="20"/>
          <w:szCs w:val="20"/>
          <w:lang w:val="en-GB"/>
        </w:rPr>
        <w:t>.</w:t>
      </w:r>
    </w:p>
    <w:p w14:paraId="1342DA8F"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Wallace, J. S. (1990) Chemical aspects of firearms ammunition. </w:t>
      </w:r>
      <w:r w:rsidRPr="00940A65">
        <w:rPr>
          <w:rFonts w:ascii="Times New Roman" w:hAnsi="Times New Roman"/>
          <w:i/>
          <w:sz w:val="20"/>
          <w:szCs w:val="20"/>
          <w:lang w:val="en-GB"/>
        </w:rPr>
        <w:t>AFTE Journal</w:t>
      </w:r>
      <w:r w:rsidRPr="00940A65">
        <w:rPr>
          <w:rFonts w:ascii="Times New Roman" w:hAnsi="Times New Roman"/>
          <w:sz w:val="20"/>
          <w:szCs w:val="20"/>
          <w:lang w:val="en-GB"/>
        </w:rPr>
        <w:t xml:space="preserve">, 22(4): 364-389. </w:t>
      </w:r>
    </w:p>
    <w:p w14:paraId="06C75EE5"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Warlow, T. A. (1996). Firearms, the laws and forensic ballistics. Routledge, United Kingdom.</w:t>
      </w:r>
    </w:p>
    <w:p w14:paraId="29901A7C"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Wallace, J. S. (2008). Chemical analysis of firearm, ammunition, and gunshot residue. CRC Press, Boca Raton.</w:t>
      </w:r>
    </w:p>
    <w:p w14:paraId="1854CFBB"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Zeichner, A. (2009). Firearm discharge residue: Analysis of. In: Wiley encyclopedia of forensic science. John Wiley &amp; Sons, Ltd., New York.</w:t>
      </w:r>
    </w:p>
    <w:p w14:paraId="08B1F3C2"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rPr>
        <w:t xml:space="preserve">Meng, H-H. and Lee, H-C. </w:t>
      </w:r>
      <w:r w:rsidRPr="00940A65">
        <w:rPr>
          <w:rFonts w:ascii="Times New Roman" w:hAnsi="Times New Roman"/>
          <w:sz w:val="20"/>
          <w:szCs w:val="20"/>
          <w:lang w:val="en-MY"/>
        </w:rPr>
        <w:t xml:space="preserve">(2007). Elemental analysis of primer mixtures and gunshot residues from handgun cartridges commonly encountered in Taiwan. </w:t>
      </w:r>
      <w:r w:rsidRPr="00940A65">
        <w:rPr>
          <w:rFonts w:ascii="Times New Roman" w:hAnsi="Times New Roman"/>
          <w:i/>
          <w:sz w:val="20"/>
          <w:szCs w:val="20"/>
          <w:lang w:val="en-MY"/>
        </w:rPr>
        <w:t>Forensic Science Journal</w:t>
      </w:r>
      <w:r w:rsidRPr="00940A65">
        <w:rPr>
          <w:rFonts w:ascii="Times New Roman" w:hAnsi="Times New Roman"/>
          <w:sz w:val="20"/>
          <w:szCs w:val="20"/>
          <w:lang w:val="en-MY"/>
        </w:rPr>
        <w:t xml:space="preserve">, 6 (1): 39-54. </w:t>
      </w:r>
    </w:p>
    <w:p w14:paraId="2DE0FD25"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MY"/>
        </w:rPr>
        <w:t xml:space="preserve">Gunaratnam, L. and Himberg, K. (1994). The identification of gunshot residue particles from lead-free Sintox ammunition. </w:t>
      </w:r>
      <w:r w:rsidRPr="00940A65">
        <w:rPr>
          <w:rFonts w:ascii="Times New Roman" w:hAnsi="Times New Roman"/>
          <w:i/>
          <w:sz w:val="20"/>
          <w:szCs w:val="20"/>
          <w:lang w:val="en-MY"/>
        </w:rPr>
        <w:t>Journal of Forensic Sciences</w:t>
      </w:r>
      <w:r w:rsidRPr="00940A65">
        <w:rPr>
          <w:rFonts w:ascii="Times New Roman" w:hAnsi="Times New Roman"/>
          <w:sz w:val="20"/>
          <w:szCs w:val="20"/>
          <w:lang w:val="en-MY"/>
        </w:rPr>
        <w:t>, 39(2): 532-536.</w:t>
      </w:r>
    </w:p>
    <w:p w14:paraId="2B5C399A"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Zeichner, A. and Levin, N. (1995). Casework experience of GSR detection in Israel, on samples from hands, hair, and clothing using an Autosearch SEM-EDX System.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xml:space="preserve">, 22(2): 288-322. </w:t>
      </w:r>
    </w:p>
    <w:p w14:paraId="0C1A9587"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rPr>
        <w:t xml:space="preserve">Rijnders, M. R., Stamouli, A. and Bolck, A. (2010). </w:t>
      </w:r>
      <w:r w:rsidRPr="00940A65">
        <w:rPr>
          <w:rFonts w:ascii="Times New Roman" w:hAnsi="Times New Roman"/>
          <w:sz w:val="20"/>
          <w:szCs w:val="20"/>
          <w:lang w:val="en-GB"/>
        </w:rPr>
        <w:t xml:space="preserve">Comparison of GSR composition occurring at different locations around the firing position.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55(3): 616-623.</w:t>
      </w:r>
    </w:p>
    <w:p w14:paraId="72E70194"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rPr>
        <w:t xml:space="preserve">Wrobel, H. A., Millar, J. J. and Kijek, M. (1998). </w:t>
      </w:r>
      <w:r w:rsidRPr="00940A65">
        <w:rPr>
          <w:rFonts w:ascii="Times New Roman" w:hAnsi="Times New Roman"/>
          <w:sz w:val="20"/>
          <w:szCs w:val="20"/>
          <w:lang w:val="en-GB"/>
        </w:rPr>
        <w:t xml:space="preserve">Comparison of properties of adhesive tapes, tabs and liquids used for the collection of gunshot residue and other trace materials for SEM analysis. </w:t>
      </w:r>
      <w:r w:rsidRPr="00940A65">
        <w:rPr>
          <w:rFonts w:ascii="Times New Roman" w:hAnsi="Times New Roman"/>
          <w:i/>
          <w:sz w:val="20"/>
          <w:szCs w:val="20"/>
          <w:lang w:val="en-GB"/>
        </w:rPr>
        <w:t>Journal of Forensic Sciences</w:t>
      </w:r>
      <w:r w:rsidRPr="00940A65">
        <w:rPr>
          <w:rFonts w:ascii="Times New Roman" w:hAnsi="Times New Roman"/>
          <w:sz w:val="20"/>
          <w:szCs w:val="20"/>
          <w:lang w:val="en-GB"/>
        </w:rPr>
        <w:t xml:space="preserve">, 43(1): 178-181. </w:t>
      </w:r>
    </w:p>
    <w:p w14:paraId="23348B0C" w14:textId="77777777"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GB"/>
        </w:rPr>
        <w:t xml:space="preserve">Kara, I. (2017). The influence of different skin types on GSR sampling by tape lifting for SEM analysis. </w:t>
      </w:r>
      <w:r w:rsidRPr="00940A65">
        <w:rPr>
          <w:rFonts w:ascii="Times New Roman" w:hAnsi="Times New Roman"/>
          <w:i/>
          <w:sz w:val="20"/>
          <w:szCs w:val="20"/>
          <w:lang w:val="en-GB"/>
        </w:rPr>
        <w:t>Microscopy Research and Technique</w:t>
      </w:r>
      <w:r w:rsidRPr="00940A65">
        <w:rPr>
          <w:rFonts w:ascii="Times New Roman" w:hAnsi="Times New Roman"/>
          <w:sz w:val="20"/>
          <w:szCs w:val="20"/>
          <w:lang w:val="en-GB"/>
        </w:rPr>
        <w:t>, 80(12): 1-5.</w:t>
      </w:r>
    </w:p>
    <w:p w14:paraId="21FC4D8A" w14:textId="699EFC5D" w:rsidR="00940A65" w:rsidRPr="00940A65" w:rsidRDefault="00940A65" w:rsidP="00940A65">
      <w:pPr>
        <w:pStyle w:val="ListParagraph"/>
        <w:widowControl w:val="0"/>
        <w:numPr>
          <w:ilvl w:val="0"/>
          <w:numId w:val="6"/>
        </w:numPr>
        <w:wordWrap w:val="0"/>
        <w:autoSpaceDE w:val="0"/>
        <w:autoSpaceDN w:val="0"/>
        <w:spacing w:after="0"/>
        <w:ind w:left="360"/>
        <w:contextualSpacing w:val="0"/>
        <w:jc w:val="both"/>
        <w:outlineLvl w:val="0"/>
        <w:rPr>
          <w:rFonts w:ascii="Times New Roman" w:hAnsi="Times New Roman"/>
          <w:sz w:val="20"/>
          <w:szCs w:val="20"/>
          <w:lang w:val="en-GB"/>
        </w:rPr>
      </w:pPr>
      <w:r w:rsidRPr="00940A65">
        <w:rPr>
          <w:rFonts w:ascii="Times New Roman" w:hAnsi="Times New Roman"/>
          <w:sz w:val="20"/>
          <w:szCs w:val="20"/>
          <w:lang w:val="en-MY"/>
        </w:rPr>
        <w:t xml:space="preserve">Merli, D., Amadasi, A., Mazzarelli, D., Cappella, A., Castoldi, E., Ripa, S., Cucca, L., Cattaneo, C. and Profumo, A. (2019). Comparison of different swabs for sampling inorganic gunshot residue from gunshot wounds: applicability and reliability for the determination of firing distance. </w:t>
      </w:r>
      <w:r w:rsidRPr="00940A65">
        <w:rPr>
          <w:rFonts w:ascii="Times New Roman" w:hAnsi="Times New Roman"/>
          <w:i/>
          <w:sz w:val="20"/>
          <w:szCs w:val="20"/>
          <w:lang w:val="en-MY"/>
        </w:rPr>
        <w:t>Journal of Forensic Sciences</w:t>
      </w:r>
      <w:r w:rsidRPr="00940A65">
        <w:rPr>
          <w:rFonts w:ascii="Times New Roman" w:hAnsi="Times New Roman"/>
          <w:sz w:val="20"/>
          <w:szCs w:val="20"/>
          <w:lang w:val="en-MY"/>
        </w:rPr>
        <w:t>, 64(2): 558-564.</w:t>
      </w:r>
    </w:p>
    <w:sectPr w:rsidR="00940A65" w:rsidRPr="00940A65"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523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523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7796E"/>
    <w:multiLevelType w:val="hybridMultilevel"/>
    <w:tmpl w:val="A8DC94B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40A5F"/>
    <w:rsid w:val="001573E3"/>
    <w:rsid w:val="00226372"/>
    <w:rsid w:val="002B425B"/>
    <w:rsid w:val="002F626B"/>
    <w:rsid w:val="003A1F80"/>
    <w:rsid w:val="0044292C"/>
    <w:rsid w:val="00460C95"/>
    <w:rsid w:val="00473CD4"/>
    <w:rsid w:val="00487993"/>
    <w:rsid w:val="00523FAC"/>
    <w:rsid w:val="005644C8"/>
    <w:rsid w:val="005F401D"/>
    <w:rsid w:val="006E79D9"/>
    <w:rsid w:val="007D0E7F"/>
    <w:rsid w:val="007F7EB3"/>
    <w:rsid w:val="00832F59"/>
    <w:rsid w:val="00834CDE"/>
    <w:rsid w:val="00900BAC"/>
    <w:rsid w:val="00940A65"/>
    <w:rsid w:val="00975E1A"/>
    <w:rsid w:val="009A4A79"/>
    <w:rsid w:val="009A5A4D"/>
    <w:rsid w:val="00A23F0F"/>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40A5F"/>
    <w:pPr>
      <w:keepNext/>
      <w:spacing w:before="240" w:after="60" w:line="240" w:lineRule="auto"/>
      <w:outlineLvl w:val="0"/>
    </w:pPr>
    <w:rPr>
      <w:rFonts w:ascii="Calibri Light" w:eastAsia="Times New Roman" w:hAnsi="Calibri Light"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Heading1Char">
    <w:name w:val="Heading 1 Char"/>
    <w:basedOn w:val="DefaultParagraphFont"/>
    <w:link w:val="Heading1"/>
    <w:rsid w:val="00140A5F"/>
    <w:rPr>
      <w:rFonts w:ascii="Calibri Light" w:eastAsia="Times New Roman" w:hAnsi="Calibri Light" w:cs="Times New Roman"/>
      <w:b/>
      <w:bCs/>
      <w:kern w:val="32"/>
      <w:sz w:val="32"/>
      <w:szCs w:val="32"/>
    </w:rPr>
  </w:style>
  <w:style w:type="character" w:styleId="Emphasis">
    <w:name w:val="Emphasis"/>
    <w:uiPriority w:val="20"/>
    <w:qFormat/>
    <w:rsid w:val="00140A5F"/>
    <w:rPr>
      <w:rFonts w:cs="Times New Roman"/>
      <w:i/>
      <w:iCs/>
    </w:rPr>
  </w:style>
  <w:style w:type="character" w:customStyle="1" w:styleId="apple-converted-space">
    <w:name w:val="apple-converted-space"/>
    <w:basedOn w:val="DefaultParagraphFont"/>
    <w:rsid w:val="00140A5F"/>
  </w:style>
  <w:style w:type="character" w:customStyle="1" w:styleId="normaltextrun">
    <w:name w:val="normaltextrun"/>
    <w:basedOn w:val="DefaultParagraphFont"/>
    <w:rsid w:val="00140A5F"/>
  </w:style>
  <w:style w:type="character" w:customStyle="1" w:styleId="spellingerror">
    <w:name w:val="spellingerror"/>
    <w:basedOn w:val="DefaultParagraphFont"/>
    <w:rsid w:val="00140A5F"/>
  </w:style>
  <w:style w:type="character" w:customStyle="1" w:styleId="authors">
    <w:name w:val="authors"/>
    <w:rsid w:val="00140A5F"/>
  </w:style>
  <w:style w:type="character" w:customStyle="1" w:styleId="all-authors">
    <w:name w:val="all-authors"/>
    <w:rsid w:val="00140A5F"/>
  </w:style>
  <w:style w:type="character" w:customStyle="1" w:styleId="maintitle">
    <w:name w:val="maintitle"/>
    <w:rsid w:val="00140A5F"/>
  </w:style>
  <w:style w:type="character" w:customStyle="1" w:styleId="cit">
    <w:name w:val="cit"/>
    <w:rsid w:val="0014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4</cp:revision>
  <cp:lastPrinted>2020-04-01T04:48:00Z</cp:lastPrinted>
  <dcterms:created xsi:type="dcterms:W3CDTF">2020-09-10T16:19:00Z</dcterms:created>
  <dcterms:modified xsi:type="dcterms:W3CDTF">2020-10-01T02:16:00Z</dcterms:modified>
</cp:coreProperties>
</file>