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9B0F4A">
      <w:pPr>
        <w:spacing w:after="0" w:line="240" w:lineRule="auto"/>
        <w:jc w:val="center"/>
        <w:rPr>
          <w:rFonts w:ascii="Times New Roman" w:hAnsi="Times New Roman"/>
          <w:noProof/>
          <w:sz w:val="20"/>
          <w:szCs w:val="20"/>
          <w:lang w:bidi="ar-SA"/>
        </w:rPr>
      </w:pPr>
    </w:p>
    <w:p w14:paraId="655F05AD" w14:textId="375A4CF9" w:rsidR="001C1CE1" w:rsidRPr="00F95A0D" w:rsidRDefault="001C1CE1" w:rsidP="001C1CE1">
      <w:pPr>
        <w:tabs>
          <w:tab w:val="left" w:pos="5231"/>
        </w:tabs>
        <w:adjustRightInd w:val="0"/>
        <w:spacing w:after="0"/>
        <w:jc w:val="center"/>
        <w:rPr>
          <w:rFonts w:ascii="Times New Roman" w:eastAsia="Calibri" w:hAnsi="Times New Roman"/>
          <w:bCs/>
          <w:sz w:val="28"/>
          <w:szCs w:val="28"/>
          <w:lang w:val="en-GB"/>
        </w:rPr>
      </w:pPr>
      <w:r w:rsidRPr="00F95A0D">
        <w:rPr>
          <w:rFonts w:ascii="Times New Roman" w:eastAsia="Calibri" w:hAnsi="Times New Roman"/>
          <w:bCs/>
          <w:sz w:val="28"/>
          <w:szCs w:val="28"/>
          <w:lang w:val="en-GB"/>
        </w:rPr>
        <w:t>ANALYSES ON TOXICITY OF Pb</w:t>
      </w:r>
      <w:r w:rsidRPr="00F95A0D">
        <w:rPr>
          <w:rFonts w:ascii="Times New Roman" w:eastAsia="Calibri" w:hAnsi="Times New Roman"/>
          <w:bCs/>
          <w:sz w:val="28"/>
          <w:szCs w:val="28"/>
          <w:vertAlign w:val="superscript"/>
          <w:lang w:val="en-GB"/>
        </w:rPr>
        <w:t>2+</w:t>
      </w:r>
      <w:r w:rsidRPr="00F95A0D">
        <w:rPr>
          <w:rFonts w:ascii="Times New Roman" w:eastAsia="Calibri" w:hAnsi="Times New Roman"/>
          <w:bCs/>
          <w:sz w:val="28"/>
          <w:szCs w:val="28"/>
          <w:lang w:val="en-GB"/>
        </w:rPr>
        <w:t xml:space="preserve"> TOWARDS CHLOROPHYLL A, TOTAL SOLUBLE PROTEIN AND CASPASE-3-LIKE ENZYME ACTIVITY OF</w:t>
      </w:r>
      <w:r w:rsidRPr="00F95A0D">
        <w:rPr>
          <w:rFonts w:ascii="Times New Roman" w:eastAsia="Calibri" w:hAnsi="Times New Roman"/>
          <w:bCs/>
          <w:i/>
          <w:sz w:val="28"/>
          <w:szCs w:val="28"/>
          <w:lang w:val="en-GB"/>
        </w:rPr>
        <w:t xml:space="preserve"> Scenedesmus regularis</w:t>
      </w:r>
    </w:p>
    <w:p w14:paraId="096997EA" w14:textId="77777777" w:rsidR="001C1CE1" w:rsidRPr="00F95A0D" w:rsidRDefault="001C1CE1" w:rsidP="001C1CE1">
      <w:pPr>
        <w:tabs>
          <w:tab w:val="left" w:pos="5231"/>
        </w:tabs>
        <w:adjustRightInd w:val="0"/>
        <w:spacing w:after="0"/>
        <w:jc w:val="center"/>
        <w:rPr>
          <w:rFonts w:ascii="Times New Roman" w:eastAsia="Calibri" w:hAnsi="Times New Roman"/>
          <w:b/>
          <w:sz w:val="24"/>
          <w:szCs w:val="24"/>
          <w:lang w:val="en-GB"/>
        </w:rPr>
      </w:pPr>
    </w:p>
    <w:p w14:paraId="32F5AC39" w14:textId="77777777" w:rsidR="001C1CE1" w:rsidRPr="00F95A0D" w:rsidRDefault="001C1CE1" w:rsidP="001C1CE1">
      <w:pPr>
        <w:spacing w:after="0"/>
        <w:jc w:val="center"/>
        <w:outlineLvl w:val="0"/>
        <w:rPr>
          <w:rFonts w:ascii="Times New Roman" w:hAnsi="Times New Roman"/>
          <w:sz w:val="24"/>
          <w:szCs w:val="24"/>
        </w:rPr>
      </w:pPr>
      <w:r>
        <w:rPr>
          <w:rFonts w:ascii="Times New Roman" w:hAnsi="Times New Roman"/>
          <w:sz w:val="24"/>
          <w:szCs w:val="24"/>
        </w:rPr>
        <w:t>(</w:t>
      </w:r>
      <w:r w:rsidRPr="00F95A0D">
        <w:rPr>
          <w:rFonts w:ascii="Times New Roman" w:hAnsi="Times New Roman"/>
          <w:sz w:val="24"/>
          <w:szCs w:val="24"/>
        </w:rPr>
        <w:t>Analisa Kesan Ketoksikan Pb</w:t>
      </w:r>
      <w:r w:rsidRPr="00F95A0D">
        <w:rPr>
          <w:rFonts w:ascii="Times New Roman" w:hAnsi="Times New Roman"/>
          <w:sz w:val="24"/>
          <w:szCs w:val="24"/>
          <w:vertAlign w:val="superscript"/>
        </w:rPr>
        <w:t>2+</w:t>
      </w:r>
      <w:r w:rsidRPr="00F95A0D">
        <w:rPr>
          <w:rFonts w:ascii="Times New Roman" w:hAnsi="Times New Roman"/>
          <w:sz w:val="24"/>
          <w:szCs w:val="24"/>
        </w:rPr>
        <w:t xml:space="preserve"> Terhadap Klorofil A, Jumlah Protein Terlarut dan Aktiviti  Enzim Bak Kaspase-3 </w:t>
      </w:r>
      <w:r w:rsidRPr="00F95A0D">
        <w:rPr>
          <w:rFonts w:ascii="Times New Roman" w:hAnsi="Times New Roman"/>
          <w:i/>
          <w:sz w:val="24"/>
          <w:szCs w:val="24"/>
        </w:rPr>
        <w:t>Scenedesmus regularis</w:t>
      </w:r>
      <w:r>
        <w:rPr>
          <w:rFonts w:ascii="Times New Roman" w:hAnsi="Times New Roman"/>
          <w:iCs/>
          <w:sz w:val="24"/>
          <w:szCs w:val="24"/>
        </w:rPr>
        <w:t>)</w:t>
      </w:r>
      <w:r w:rsidRPr="00F95A0D">
        <w:rPr>
          <w:rFonts w:ascii="Times New Roman" w:hAnsi="Times New Roman"/>
          <w:sz w:val="24"/>
          <w:szCs w:val="24"/>
        </w:rPr>
        <w:t xml:space="preserve"> </w:t>
      </w:r>
    </w:p>
    <w:p w14:paraId="15DCD3BC" w14:textId="77777777" w:rsidR="001C1CE1" w:rsidRPr="001C1CE1" w:rsidRDefault="001C1CE1" w:rsidP="001C1CE1">
      <w:pPr>
        <w:spacing w:after="0"/>
        <w:jc w:val="center"/>
        <w:outlineLvl w:val="0"/>
        <w:rPr>
          <w:rFonts w:ascii="Times New Roman" w:hAnsi="Times New Roman"/>
          <w:sz w:val="20"/>
          <w:szCs w:val="20"/>
        </w:rPr>
      </w:pPr>
    </w:p>
    <w:p w14:paraId="53B3A2A5" w14:textId="77777777" w:rsidR="001C1CE1" w:rsidRPr="001C1CE1" w:rsidRDefault="001C1CE1" w:rsidP="001C1CE1">
      <w:pPr>
        <w:spacing w:after="0"/>
        <w:jc w:val="center"/>
        <w:rPr>
          <w:rFonts w:ascii="Times New Roman" w:hAnsi="Times New Roman"/>
          <w:sz w:val="20"/>
          <w:szCs w:val="20"/>
          <w:lang w:bidi="ar-JO"/>
        </w:rPr>
      </w:pPr>
      <w:r w:rsidRPr="001C1CE1">
        <w:rPr>
          <w:rFonts w:ascii="Times New Roman" w:eastAsia="Cambria" w:hAnsi="Times New Roman"/>
          <w:bCs/>
          <w:sz w:val="20"/>
          <w:szCs w:val="20"/>
          <w:lang w:bidi="fa-IR"/>
        </w:rPr>
        <w:t>Hazlina Ahamad Zakeri</w:t>
      </w:r>
      <w:r w:rsidRPr="001C1CE1">
        <w:rPr>
          <w:rFonts w:ascii="Times New Roman" w:eastAsia="Cambria" w:hAnsi="Times New Roman"/>
          <w:bCs/>
          <w:sz w:val="20"/>
          <w:szCs w:val="20"/>
          <w:vertAlign w:val="superscript"/>
          <w:lang w:bidi="fa-IR"/>
        </w:rPr>
        <w:t>1, 3</w:t>
      </w:r>
      <w:r w:rsidRPr="001C1CE1">
        <w:rPr>
          <w:rFonts w:ascii="Times New Roman" w:eastAsia="Cambria" w:hAnsi="Times New Roman"/>
          <w:bCs/>
          <w:sz w:val="20"/>
          <w:szCs w:val="20"/>
          <w:lang w:bidi="fa-IR"/>
        </w:rPr>
        <w:t>, Nakisah Mat Amin</w:t>
      </w:r>
      <w:r w:rsidRPr="001C1CE1">
        <w:rPr>
          <w:rFonts w:ascii="Times New Roman" w:eastAsia="Cambria" w:hAnsi="Times New Roman"/>
          <w:bCs/>
          <w:sz w:val="20"/>
          <w:szCs w:val="20"/>
          <w:vertAlign w:val="superscript"/>
          <w:lang w:bidi="fa-IR"/>
        </w:rPr>
        <w:t>1</w:t>
      </w:r>
      <w:r w:rsidRPr="001C1CE1">
        <w:rPr>
          <w:rFonts w:ascii="Times New Roman" w:eastAsia="Cambria" w:hAnsi="Times New Roman"/>
          <w:bCs/>
          <w:sz w:val="20"/>
          <w:szCs w:val="20"/>
          <w:lang w:bidi="fa-IR"/>
        </w:rPr>
        <w:t>, Nur Hidayah Kamilia Rassman</w:t>
      </w:r>
      <w:r w:rsidRPr="001C1CE1">
        <w:rPr>
          <w:rFonts w:ascii="Times New Roman" w:eastAsia="Cambria" w:hAnsi="Times New Roman"/>
          <w:bCs/>
          <w:sz w:val="20"/>
          <w:szCs w:val="20"/>
          <w:vertAlign w:val="superscript"/>
          <w:lang w:bidi="fa-IR"/>
        </w:rPr>
        <w:t>1</w:t>
      </w:r>
      <w:r w:rsidRPr="001C1CE1">
        <w:rPr>
          <w:rFonts w:ascii="Times New Roman" w:eastAsia="Cambria" w:hAnsi="Times New Roman"/>
          <w:bCs/>
          <w:sz w:val="20"/>
          <w:szCs w:val="20"/>
          <w:lang w:bidi="fa-IR"/>
        </w:rPr>
        <w:t>, Wan Bayani Wan Omar</w:t>
      </w:r>
      <w:r w:rsidRPr="001C1CE1">
        <w:rPr>
          <w:rFonts w:ascii="Times New Roman" w:eastAsia="Cambria" w:hAnsi="Times New Roman"/>
          <w:bCs/>
          <w:sz w:val="20"/>
          <w:szCs w:val="20"/>
          <w:vertAlign w:val="superscript"/>
          <w:lang w:bidi="fa-IR"/>
        </w:rPr>
        <w:t>1, 2</w:t>
      </w:r>
      <w:r w:rsidRPr="001C1CE1">
        <w:rPr>
          <w:rFonts w:ascii="Times New Roman" w:eastAsia="Cambria" w:hAnsi="Times New Roman"/>
          <w:bCs/>
          <w:sz w:val="20"/>
          <w:szCs w:val="20"/>
          <w:lang w:bidi="fa-IR"/>
        </w:rPr>
        <w:t>*</w:t>
      </w:r>
    </w:p>
    <w:p w14:paraId="2D737B7E" w14:textId="77777777" w:rsidR="001C1CE1" w:rsidRPr="001C1CE1" w:rsidRDefault="001C1CE1" w:rsidP="001C1CE1">
      <w:pPr>
        <w:spacing w:after="0"/>
        <w:jc w:val="center"/>
        <w:outlineLvl w:val="0"/>
        <w:rPr>
          <w:rFonts w:ascii="Times New Roman" w:hAnsi="Times New Roman"/>
          <w:sz w:val="18"/>
          <w:szCs w:val="18"/>
          <w:vertAlign w:val="superscript"/>
        </w:rPr>
      </w:pPr>
    </w:p>
    <w:p w14:paraId="42556BA9" w14:textId="77777777" w:rsidR="001C1CE1" w:rsidRPr="001C1CE1" w:rsidRDefault="001C1CE1" w:rsidP="001C1CE1">
      <w:pPr>
        <w:spacing w:after="0"/>
        <w:jc w:val="center"/>
        <w:rPr>
          <w:rFonts w:ascii="Times New Roman" w:eastAsia="Cambria" w:hAnsi="Times New Roman"/>
          <w:i/>
          <w:iCs/>
          <w:sz w:val="18"/>
          <w:szCs w:val="18"/>
          <w:lang w:bidi="fa-IR"/>
        </w:rPr>
      </w:pPr>
      <w:r w:rsidRPr="001C1CE1">
        <w:rPr>
          <w:rFonts w:ascii="Times New Roman" w:eastAsia="Cambria" w:hAnsi="Times New Roman"/>
          <w:i/>
          <w:iCs/>
          <w:sz w:val="18"/>
          <w:szCs w:val="18"/>
          <w:vertAlign w:val="superscript"/>
          <w:lang w:bidi="fa-IR"/>
        </w:rPr>
        <w:t>1</w:t>
      </w:r>
      <w:r w:rsidRPr="001C1CE1">
        <w:rPr>
          <w:rFonts w:ascii="Times New Roman" w:eastAsia="Cambria" w:hAnsi="Times New Roman"/>
          <w:i/>
          <w:iCs/>
          <w:sz w:val="18"/>
          <w:szCs w:val="18"/>
          <w:lang w:bidi="fa-IR"/>
        </w:rPr>
        <w:t>Faculty of Science and Marine Environment,</w:t>
      </w:r>
    </w:p>
    <w:p w14:paraId="621018E5" w14:textId="77777777" w:rsidR="001C1CE1" w:rsidRPr="001C1CE1" w:rsidRDefault="001C1CE1" w:rsidP="001C1CE1">
      <w:pPr>
        <w:spacing w:after="0"/>
        <w:jc w:val="center"/>
        <w:rPr>
          <w:rFonts w:ascii="Times New Roman" w:eastAsia="Cambria" w:hAnsi="Times New Roman"/>
          <w:i/>
          <w:iCs/>
          <w:sz w:val="18"/>
          <w:szCs w:val="18"/>
          <w:lang w:bidi="fa-IR"/>
        </w:rPr>
      </w:pPr>
      <w:r w:rsidRPr="001C1CE1">
        <w:rPr>
          <w:rFonts w:ascii="Times New Roman" w:eastAsia="Cambria" w:hAnsi="Times New Roman"/>
          <w:i/>
          <w:iCs/>
          <w:sz w:val="18"/>
          <w:szCs w:val="18"/>
          <w:vertAlign w:val="superscript"/>
          <w:lang w:bidi="fa-IR"/>
        </w:rPr>
        <w:t>2</w:t>
      </w:r>
      <w:r w:rsidRPr="001C1CE1">
        <w:rPr>
          <w:rFonts w:ascii="Times New Roman" w:eastAsia="Cambria" w:hAnsi="Times New Roman"/>
          <w:i/>
          <w:iCs/>
          <w:sz w:val="18"/>
          <w:szCs w:val="18"/>
          <w:lang w:bidi="fa-IR"/>
        </w:rPr>
        <w:t>Institute of Marine Biotechnology,</w:t>
      </w:r>
    </w:p>
    <w:p w14:paraId="1E97F59D" w14:textId="77777777" w:rsidR="001C1CE1" w:rsidRPr="001C1CE1" w:rsidRDefault="001C1CE1" w:rsidP="001C1CE1">
      <w:pPr>
        <w:pStyle w:val="Default"/>
        <w:spacing w:line="276" w:lineRule="auto"/>
        <w:jc w:val="center"/>
        <w:rPr>
          <w:rFonts w:ascii="Times New Roman" w:hAnsi="Times New Roman" w:cs="Times New Roman"/>
          <w:i/>
          <w:color w:val="auto"/>
          <w:sz w:val="18"/>
          <w:szCs w:val="18"/>
        </w:rPr>
      </w:pPr>
      <w:r w:rsidRPr="001C1CE1">
        <w:rPr>
          <w:rFonts w:ascii="Times New Roman" w:hAnsi="Times New Roman" w:cs="Times New Roman"/>
          <w:i/>
          <w:color w:val="auto"/>
          <w:sz w:val="18"/>
          <w:szCs w:val="18"/>
          <w:vertAlign w:val="superscript"/>
          <w:lang w:val="en-MY"/>
        </w:rPr>
        <w:t>3</w:t>
      </w:r>
      <w:r w:rsidRPr="001C1CE1">
        <w:rPr>
          <w:rFonts w:ascii="Times New Roman" w:hAnsi="Times New Roman" w:cs="Times New Roman"/>
          <w:i/>
          <w:color w:val="auto"/>
          <w:sz w:val="18"/>
          <w:szCs w:val="18"/>
        </w:rPr>
        <w:t xml:space="preserve">Biological Security and Sustainability (BioSeS) Research Group, </w:t>
      </w:r>
    </w:p>
    <w:p w14:paraId="46B65B81" w14:textId="77777777" w:rsidR="001C1CE1" w:rsidRPr="001C1CE1" w:rsidRDefault="001C1CE1" w:rsidP="001C1CE1">
      <w:pPr>
        <w:pStyle w:val="Default"/>
        <w:spacing w:line="276" w:lineRule="auto"/>
        <w:jc w:val="center"/>
        <w:rPr>
          <w:rFonts w:ascii="Times New Roman" w:hAnsi="Times New Roman" w:cs="Times New Roman"/>
          <w:i/>
          <w:color w:val="auto"/>
          <w:sz w:val="18"/>
          <w:szCs w:val="18"/>
        </w:rPr>
      </w:pPr>
      <w:r w:rsidRPr="001C1CE1">
        <w:rPr>
          <w:rFonts w:ascii="Times New Roman" w:hAnsi="Times New Roman" w:cs="Times New Roman"/>
          <w:i/>
          <w:color w:val="auto"/>
          <w:sz w:val="18"/>
          <w:szCs w:val="18"/>
        </w:rPr>
        <w:t>Faculty of Science and Marine Environment,</w:t>
      </w:r>
    </w:p>
    <w:p w14:paraId="5CE14B0A" w14:textId="77777777" w:rsidR="001C1CE1" w:rsidRPr="001C1CE1" w:rsidRDefault="001C1CE1" w:rsidP="001C1CE1">
      <w:pPr>
        <w:pStyle w:val="Default"/>
        <w:spacing w:line="276" w:lineRule="auto"/>
        <w:jc w:val="center"/>
        <w:rPr>
          <w:rFonts w:ascii="Times New Roman" w:hAnsi="Times New Roman" w:cs="Times New Roman"/>
          <w:i/>
          <w:color w:val="auto"/>
          <w:sz w:val="18"/>
          <w:szCs w:val="18"/>
        </w:rPr>
      </w:pPr>
      <w:r w:rsidRPr="001C1CE1">
        <w:rPr>
          <w:rFonts w:ascii="Times New Roman" w:hAnsi="Times New Roman" w:cs="Times New Roman"/>
          <w:i/>
          <w:color w:val="auto"/>
          <w:sz w:val="18"/>
          <w:szCs w:val="18"/>
        </w:rPr>
        <w:t>Universiti Malaysia Terengganu, 21030 Kuala Nerus, Terengganu, Malaysia</w:t>
      </w:r>
    </w:p>
    <w:p w14:paraId="4A089D0B" w14:textId="77777777" w:rsidR="001C1CE1" w:rsidRPr="001C1CE1" w:rsidRDefault="001C1CE1" w:rsidP="001C1CE1">
      <w:pPr>
        <w:spacing w:after="0"/>
        <w:jc w:val="center"/>
        <w:rPr>
          <w:rFonts w:ascii="Times New Roman" w:eastAsia="Cambria" w:hAnsi="Times New Roman"/>
          <w:i/>
          <w:iCs/>
          <w:sz w:val="18"/>
          <w:szCs w:val="18"/>
          <w:lang w:bidi="fa-IR"/>
        </w:rPr>
      </w:pPr>
    </w:p>
    <w:p w14:paraId="477D83BD" w14:textId="77777777" w:rsidR="001C1CE1" w:rsidRPr="001C1CE1" w:rsidRDefault="001C1CE1" w:rsidP="001C1CE1">
      <w:pPr>
        <w:spacing w:after="0"/>
        <w:jc w:val="center"/>
        <w:outlineLvl w:val="0"/>
        <w:rPr>
          <w:rFonts w:ascii="Times New Roman" w:hAnsi="Times New Roman"/>
          <w:b/>
          <w:sz w:val="18"/>
          <w:szCs w:val="18"/>
        </w:rPr>
      </w:pPr>
      <w:r w:rsidRPr="001C1CE1">
        <w:rPr>
          <w:rFonts w:ascii="Times New Roman" w:hAnsi="Times New Roman"/>
          <w:i/>
          <w:sz w:val="18"/>
          <w:szCs w:val="18"/>
        </w:rPr>
        <w:t xml:space="preserve">*Corresponding author:  </w:t>
      </w:r>
      <w:r w:rsidRPr="001C1CE1">
        <w:rPr>
          <w:rFonts w:ascii="Times New Roman" w:hAnsi="Times New Roman"/>
          <w:bCs/>
          <w:i/>
          <w:sz w:val="18"/>
          <w:szCs w:val="18"/>
          <w:lang w:bidi="fa-IR"/>
        </w:rPr>
        <w:t>bayani@umt.edu.my</w:t>
      </w:r>
      <w:r w:rsidRPr="001C1CE1">
        <w:rPr>
          <w:rFonts w:ascii="Times New Roman" w:hAnsi="Times New Roman"/>
          <w:i/>
          <w:sz w:val="18"/>
          <w:szCs w:val="18"/>
        </w:rPr>
        <w:t xml:space="preserve"> </w:t>
      </w:r>
    </w:p>
    <w:p w14:paraId="605ADCCB" w14:textId="77777777" w:rsidR="006768E9" w:rsidRPr="00F447A7" w:rsidRDefault="006768E9" w:rsidP="00F447A7">
      <w:pPr>
        <w:spacing w:after="0" w:line="240" w:lineRule="auto"/>
        <w:jc w:val="center"/>
        <w:rPr>
          <w:rFonts w:ascii="Times New Roman" w:hAnsi="Times New Roman"/>
          <w:noProof/>
          <w:sz w:val="18"/>
          <w:szCs w:val="18"/>
          <w:lang w:bidi="ar-SA"/>
        </w:rPr>
      </w:pPr>
    </w:p>
    <w:p w14:paraId="18D54BE3" w14:textId="77777777" w:rsidR="006768E9" w:rsidRDefault="006768E9" w:rsidP="00F447A7">
      <w:pPr>
        <w:spacing w:after="0" w:line="240" w:lineRule="auto"/>
        <w:jc w:val="center"/>
        <w:rPr>
          <w:rFonts w:ascii="Times New Roman" w:hAnsi="Times New Roman"/>
          <w:noProof/>
          <w:sz w:val="18"/>
          <w:szCs w:val="18"/>
          <w:lang w:bidi="ar-SA"/>
        </w:rPr>
      </w:pPr>
    </w:p>
    <w:p w14:paraId="49CD0BC5" w14:textId="57D03C28"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B0E34">
        <w:rPr>
          <w:rFonts w:ascii="Times New Roman" w:hAnsi="Times New Roman"/>
          <w:noProof/>
          <w:sz w:val="18"/>
          <w:szCs w:val="18"/>
          <w:lang w:bidi="ar-SA"/>
        </w:rPr>
        <w:t>24 December 2019</w:t>
      </w:r>
      <w:r>
        <w:rPr>
          <w:rFonts w:ascii="Times New Roman" w:hAnsi="Times New Roman"/>
          <w:noProof/>
          <w:sz w:val="18"/>
          <w:szCs w:val="18"/>
          <w:lang w:bidi="ar-SA"/>
        </w:rPr>
        <w:t xml:space="preserve">; Accepted: </w:t>
      </w:r>
      <w:r w:rsidR="002B0E34">
        <w:rPr>
          <w:rFonts w:ascii="Times New Roman" w:hAnsi="Times New Roman"/>
          <w:noProof/>
          <w:sz w:val="18"/>
          <w:szCs w:val="18"/>
          <w:lang w:bidi="ar-SA"/>
        </w:rPr>
        <w:t>28 July 2020</w:t>
      </w:r>
      <w:r w:rsidR="00F82059">
        <w:rPr>
          <w:rFonts w:ascii="Times New Roman" w:hAnsi="Times New Roman"/>
          <w:noProof/>
          <w:sz w:val="18"/>
          <w:szCs w:val="18"/>
          <w:lang w:bidi="ar-SA"/>
        </w:rPr>
        <w:t xml:space="preserve">; Published:  </w:t>
      </w:r>
      <w:r w:rsidR="002B0E34">
        <w:rPr>
          <w:rFonts w:ascii="Times New Roman" w:hAnsi="Times New Roman"/>
          <w:noProof/>
          <w:sz w:val="18"/>
          <w:szCs w:val="18"/>
          <w:lang w:bidi="ar-SA"/>
        </w:rPr>
        <w:t>xx October 2020</w:t>
      </w:r>
    </w:p>
    <w:p w14:paraId="5A496945" w14:textId="77777777" w:rsidR="00BA1F7B" w:rsidRDefault="00BA1F7B" w:rsidP="001C1CE1">
      <w:pPr>
        <w:spacing w:after="0"/>
        <w:jc w:val="center"/>
        <w:rPr>
          <w:rFonts w:ascii="Times New Roman" w:hAnsi="Times New Roman"/>
          <w:noProof/>
          <w:sz w:val="18"/>
          <w:szCs w:val="18"/>
          <w:lang w:bidi="ar-SA"/>
        </w:rPr>
      </w:pPr>
    </w:p>
    <w:p w14:paraId="4D585AB3" w14:textId="77777777" w:rsidR="00BA1F7B" w:rsidRPr="00F447A7" w:rsidRDefault="00BA1F7B" w:rsidP="00F447A7">
      <w:pPr>
        <w:spacing w:after="0" w:line="240" w:lineRule="auto"/>
        <w:jc w:val="center"/>
        <w:rPr>
          <w:rFonts w:ascii="Times New Roman" w:hAnsi="Times New Roman"/>
          <w:noProof/>
          <w:sz w:val="18"/>
          <w:szCs w:val="18"/>
          <w:lang w:bidi="ar-SA"/>
        </w:rPr>
      </w:pPr>
    </w:p>
    <w:p w14:paraId="519C6EAD" w14:textId="77777777" w:rsidR="006768E9" w:rsidRPr="00F447A7" w:rsidRDefault="006768E9" w:rsidP="001C1CE1">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3C0C0B6E" w14:textId="77777777" w:rsidR="001C1CE1" w:rsidRPr="00F95A0D" w:rsidRDefault="001C1CE1" w:rsidP="001C1CE1">
      <w:pPr>
        <w:tabs>
          <w:tab w:val="left" w:pos="5231"/>
        </w:tabs>
        <w:adjustRightInd w:val="0"/>
        <w:spacing w:after="0"/>
        <w:jc w:val="both"/>
        <w:rPr>
          <w:rFonts w:ascii="Times New Roman" w:eastAsia="Calibri" w:hAnsi="Times New Roman"/>
          <w:sz w:val="18"/>
          <w:szCs w:val="18"/>
          <w:lang w:val="en-GB"/>
        </w:rPr>
      </w:pPr>
      <w:r w:rsidRPr="00F95A0D">
        <w:rPr>
          <w:rFonts w:ascii="Times New Roman" w:eastAsia="Calibri" w:hAnsi="Times New Roman"/>
          <w:sz w:val="18"/>
          <w:szCs w:val="18"/>
          <w:lang w:val="en-GB"/>
        </w:rPr>
        <w:t>Heavy metal pollutions, including lead (Pb), has become an increasing concern</w:t>
      </w:r>
      <w:r w:rsidRPr="00F95A0D">
        <w:rPr>
          <w:rFonts w:ascii="Times New Roman" w:eastAsia="Calibri" w:hAnsi="Times New Roman"/>
          <w:sz w:val="18"/>
          <w:szCs w:val="18"/>
          <w:lang w:val="en-MY"/>
        </w:rPr>
        <w:t xml:space="preserve"> </w:t>
      </w:r>
      <w:r w:rsidRPr="00F95A0D">
        <w:rPr>
          <w:rFonts w:ascii="Times New Roman" w:eastAsia="Calibri" w:hAnsi="Times New Roman"/>
          <w:sz w:val="18"/>
          <w:szCs w:val="18"/>
          <w:lang w:val="en-GB"/>
        </w:rPr>
        <w:t xml:space="preserve">to humans due to their adverse effects and the fact that they are not easily degraded or destroyed. Microalgae are aquatic organisms that can be used in metal bioremediation since they can accumulate and detoxify metals. This study reported on the responses of a freshwater microalga, which was </w:t>
      </w:r>
      <w:r w:rsidRPr="00F95A0D">
        <w:rPr>
          <w:rFonts w:ascii="Times New Roman" w:eastAsia="Calibri" w:hAnsi="Times New Roman"/>
          <w:i/>
          <w:sz w:val="18"/>
          <w:szCs w:val="18"/>
          <w:lang w:val="en-GB"/>
        </w:rPr>
        <w:t>Scenedesmus regularis</w:t>
      </w:r>
      <w:r w:rsidRPr="00F95A0D">
        <w:rPr>
          <w:rFonts w:ascii="Times New Roman" w:eastAsia="Calibri" w:hAnsi="Times New Roman"/>
          <w:sz w:val="18"/>
          <w:szCs w:val="18"/>
          <w:lang w:val="en-GB"/>
        </w:rPr>
        <w:t>,</w:t>
      </w:r>
      <w:r w:rsidRPr="00F95A0D">
        <w:rPr>
          <w:rFonts w:ascii="Times New Roman" w:eastAsia="Calibri" w:hAnsi="Times New Roman"/>
          <w:i/>
          <w:sz w:val="18"/>
          <w:szCs w:val="18"/>
          <w:lang w:val="en-GB"/>
        </w:rPr>
        <w:t xml:space="preserve"> </w:t>
      </w:r>
      <w:r w:rsidRPr="00F95A0D">
        <w:rPr>
          <w:rFonts w:ascii="Times New Roman" w:eastAsia="Calibri" w:hAnsi="Times New Roman"/>
          <w:sz w:val="18"/>
          <w:szCs w:val="18"/>
          <w:lang w:val="en-GB"/>
        </w:rPr>
        <w:t>when exposed to the inhibitory concentrations (IC) of Pb</w:t>
      </w:r>
      <w:r w:rsidRPr="00F95A0D">
        <w:rPr>
          <w:rFonts w:ascii="Times New Roman" w:eastAsia="Calibri" w:hAnsi="Times New Roman"/>
          <w:sz w:val="18"/>
          <w:szCs w:val="18"/>
          <w:vertAlign w:val="superscript"/>
          <w:lang w:val="en-GB"/>
        </w:rPr>
        <w:t xml:space="preserve">2+ </w:t>
      </w:r>
      <w:r w:rsidRPr="00F95A0D">
        <w:rPr>
          <w:rFonts w:ascii="Times New Roman" w:eastAsia="Calibri" w:hAnsi="Times New Roman"/>
          <w:sz w:val="18"/>
          <w:szCs w:val="18"/>
          <w:lang w:val="en-GB"/>
        </w:rPr>
        <w:t xml:space="preserve">at 25%, 50% and 75%. The tolerance level of </w:t>
      </w:r>
      <w:r w:rsidRPr="00F95A0D">
        <w:rPr>
          <w:rFonts w:ascii="Times New Roman" w:eastAsia="Calibri" w:hAnsi="Times New Roman"/>
          <w:i/>
          <w:sz w:val="18"/>
          <w:szCs w:val="18"/>
          <w:lang w:val="en-GB"/>
        </w:rPr>
        <w:t>S. regularis</w:t>
      </w:r>
      <w:r w:rsidRPr="00F95A0D">
        <w:rPr>
          <w:rFonts w:ascii="Times New Roman" w:eastAsia="Calibri" w:hAnsi="Times New Roman"/>
          <w:sz w:val="18"/>
          <w:szCs w:val="18"/>
          <w:lang w:val="en-GB"/>
        </w:rPr>
        <w:t xml:space="preserve"> against Pb</w:t>
      </w:r>
      <w:r w:rsidRPr="00F95A0D">
        <w:rPr>
          <w:rFonts w:ascii="Times New Roman" w:eastAsia="Calibri" w:hAnsi="Times New Roman"/>
          <w:sz w:val="18"/>
          <w:szCs w:val="18"/>
          <w:vertAlign w:val="superscript"/>
          <w:lang w:val="en-GB"/>
        </w:rPr>
        <w:t xml:space="preserve">2+ </w:t>
      </w:r>
      <w:r w:rsidRPr="00F95A0D">
        <w:rPr>
          <w:rFonts w:ascii="Times New Roman" w:eastAsia="Calibri" w:hAnsi="Times New Roman"/>
          <w:sz w:val="18"/>
          <w:szCs w:val="18"/>
          <w:lang w:val="en-GB"/>
        </w:rPr>
        <w:t>at IC</w:t>
      </w:r>
      <w:r w:rsidRPr="00F95A0D">
        <w:rPr>
          <w:rFonts w:ascii="Times New Roman" w:eastAsia="Calibri" w:hAnsi="Times New Roman"/>
          <w:sz w:val="18"/>
          <w:szCs w:val="18"/>
          <w:vertAlign w:val="subscript"/>
          <w:lang w:val="en-GB"/>
        </w:rPr>
        <w:t>25</w:t>
      </w:r>
      <w:r w:rsidRPr="00F95A0D">
        <w:rPr>
          <w:rFonts w:ascii="Times New Roman" w:eastAsia="Calibri" w:hAnsi="Times New Roman"/>
          <w:sz w:val="18"/>
          <w:szCs w:val="18"/>
          <w:lang w:val="en-GB"/>
        </w:rPr>
        <w:t>, IC</w:t>
      </w:r>
      <w:r w:rsidRPr="00F95A0D">
        <w:rPr>
          <w:rFonts w:ascii="Times New Roman" w:eastAsia="Calibri" w:hAnsi="Times New Roman"/>
          <w:sz w:val="18"/>
          <w:szCs w:val="18"/>
          <w:vertAlign w:val="subscript"/>
          <w:lang w:val="en-GB"/>
        </w:rPr>
        <w:t>50</w:t>
      </w:r>
      <w:r w:rsidRPr="00F95A0D">
        <w:rPr>
          <w:rFonts w:ascii="Times New Roman" w:eastAsia="Calibri" w:hAnsi="Times New Roman"/>
          <w:sz w:val="18"/>
          <w:szCs w:val="18"/>
          <w:lang w:val="en-GB"/>
        </w:rPr>
        <w:t xml:space="preserve"> and IC</w:t>
      </w:r>
      <w:r w:rsidRPr="00F95A0D">
        <w:rPr>
          <w:rFonts w:ascii="Times New Roman" w:eastAsia="Calibri" w:hAnsi="Times New Roman"/>
          <w:sz w:val="18"/>
          <w:szCs w:val="18"/>
          <w:vertAlign w:val="subscript"/>
          <w:lang w:val="en-GB"/>
        </w:rPr>
        <w:t>75</w:t>
      </w:r>
      <w:r w:rsidRPr="00F95A0D">
        <w:rPr>
          <w:rFonts w:ascii="Times New Roman" w:eastAsia="Calibri" w:hAnsi="Times New Roman"/>
          <w:sz w:val="18"/>
          <w:szCs w:val="18"/>
          <w:lang w:val="en-GB"/>
        </w:rPr>
        <w:t xml:space="preserve"> was determined to be 3.5 mg/L, 7.2 mg/L and 10.9 mg/L, respectively. Then, the microalga was treated with these inhibitory concentrations. The concentration of Chlorophyll A (Chl A) and total soluble protein (TSP), as well as caspase-3-like enzyme activity of the alga were analysed. It was observed that Chl A concentration of the alga significantly decreased as more cells were inhibited by Pb</w:t>
      </w:r>
      <w:r w:rsidRPr="00F95A0D">
        <w:rPr>
          <w:rFonts w:ascii="Times New Roman" w:eastAsia="Calibri" w:hAnsi="Times New Roman"/>
          <w:sz w:val="18"/>
          <w:szCs w:val="18"/>
          <w:vertAlign w:val="superscript"/>
          <w:lang w:val="en-GB"/>
        </w:rPr>
        <w:t>2+</w:t>
      </w:r>
      <w:r w:rsidRPr="00F95A0D">
        <w:rPr>
          <w:rFonts w:ascii="Times New Roman" w:eastAsia="Calibri" w:hAnsi="Times New Roman"/>
          <w:sz w:val="18"/>
          <w:szCs w:val="18"/>
          <w:lang w:val="en-GB"/>
        </w:rPr>
        <w:t>. The highest concentration of Pb</w:t>
      </w:r>
      <w:r w:rsidRPr="00F95A0D">
        <w:rPr>
          <w:rFonts w:ascii="Times New Roman" w:eastAsia="Calibri" w:hAnsi="Times New Roman"/>
          <w:sz w:val="18"/>
          <w:szCs w:val="18"/>
          <w:vertAlign w:val="superscript"/>
          <w:lang w:val="en-GB"/>
        </w:rPr>
        <w:t xml:space="preserve">2+ </w:t>
      </w:r>
      <w:r w:rsidRPr="00F95A0D">
        <w:rPr>
          <w:rFonts w:ascii="Times New Roman" w:eastAsia="Calibri" w:hAnsi="Times New Roman"/>
          <w:sz w:val="18"/>
          <w:szCs w:val="18"/>
          <w:lang w:val="en-GB"/>
        </w:rPr>
        <w:t>significantly reduced the TSP concentration of the alga. However, no changes were observed amongst the concentrations of Pb</w:t>
      </w:r>
      <w:r w:rsidRPr="00F95A0D">
        <w:rPr>
          <w:rFonts w:ascii="Times New Roman" w:eastAsia="Calibri" w:hAnsi="Times New Roman"/>
          <w:sz w:val="18"/>
          <w:szCs w:val="18"/>
          <w:vertAlign w:val="superscript"/>
          <w:lang w:val="en-GB"/>
        </w:rPr>
        <w:t>2+</w:t>
      </w:r>
      <w:r w:rsidRPr="00F95A0D">
        <w:rPr>
          <w:rFonts w:ascii="Times New Roman" w:eastAsia="Calibri" w:hAnsi="Times New Roman"/>
          <w:sz w:val="18"/>
          <w:szCs w:val="18"/>
          <w:lang w:val="en-GB"/>
        </w:rPr>
        <w:t>,</w:t>
      </w:r>
      <w:r w:rsidRPr="00F95A0D">
        <w:rPr>
          <w:rFonts w:ascii="Times New Roman" w:eastAsia="Calibri" w:hAnsi="Times New Roman"/>
          <w:sz w:val="18"/>
          <w:szCs w:val="18"/>
          <w:vertAlign w:val="subscript"/>
          <w:lang w:val="en-GB"/>
        </w:rPr>
        <w:t xml:space="preserve"> </w:t>
      </w:r>
      <w:r w:rsidRPr="00F95A0D">
        <w:rPr>
          <w:rFonts w:ascii="Times New Roman" w:eastAsia="Calibri" w:hAnsi="Times New Roman"/>
          <w:sz w:val="18"/>
          <w:szCs w:val="18"/>
          <w:lang w:val="en-GB"/>
        </w:rPr>
        <w:t xml:space="preserve">which inhibited 25% and 50% of the alga population. Activity of caspase-3-like enzyme was significantly induced </w:t>
      </w:r>
      <w:r w:rsidRPr="00F95A0D">
        <w:rPr>
          <w:rFonts w:ascii="Times New Roman" w:eastAsia="Calibri" w:hAnsi="Times New Roman"/>
          <w:sz w:val="18"/>
          <w:szCs w:val="18"/>
          <w:lang w:val="en-MY"/>
        </w:rPr>
        <w:t>by</w:t>
      </w:r>
      <w:r w:rsidRPr="00F95A0D">
        <w:rPr>
          <w:rFonts w:ascii="Times New Roman" w:eastAsia="Calibri" w:hAnsi="Times New Roman"/>
          <w:sz w:val="18"/>
          <w:szCs w:val="18"/>
          <w:lang w:val="en-GB"/>
        </w:rPr>
        <w:t xml:space="preserve"> more than 3-fold of control in IC</w:t>
      </w:r>
      <w:r w:rsidRPr="00F95A0D">
        <w:rPr>
          <w:rFonts w:ascii="Times New Roman" w:eastAsia="Calibri" w:hAnsi="Times New Roman"/>
          <w:sz w:val="18"/>
          <w:szCs w:val="18"/>
          <w:vertAlign w:val="subscript"/>
          <w:lang w:val="en-GB"/>
        </w:rPr>
        <w:t>25</w:t>
      </w:r>
      <w:r w:rsidRPr="00F95A0D">
        <w:rPr>
          <w:rFonts w:ascii="Times New Roman" w:eastAsia="Calibri" w:hAnsi="Times New Roman"/>
          <w:sz w:val="18"/>
          <w:szCs w:val="18"/>
          <w:lang w:val="en-GB"/>
        </w:rPr>
        <w:t xml:space="preserve"> of Pb</w:t>
      </w:r>
      <w:r w:rsidRPr="00F95A0D">
        <w:rPr>
          <w:rFonts w:ascii="Times New Roman" w:eastAsia="Calibri" w:hAnsi="Times New Roman"/>
          <w:sz w:val="18"/>
          <w:szCs w:val="18"/>
          <w:vertAlign w:val="superscript"/>
          <w:lang w:val="en-GB"/>
        </w:rPr>
        <w:t>2+</w:t>
      </w:r>
      <w:r w:rsidRPr="00F95A0D">
        <w:rPr>
          <w:rFonts w:ascii="Times New Roman" w:eastAsia="Calibri" w:hAnsi="Times New Roman"/>
          <w:sz w:val="18"/>
          <w:szCs w:val="18"/>
          <w:lang w:val="en-GB"/>
        </w:rPr>
        <w:t>, while the activity of this enzyme was observed to be supressed in both the IC</w:t>
      </w:r>
      <w:r w:rsidRPr="00F95A0D">
        <w:rPr>
          <w:rFonts w:ascii="Times New Roman" w:eastAsia="Calibri" w:hAnsi="Times New Roman"/>
          <w:sz w:val="18"/>
          <w:szCs w:val="18"/>
          <w:vertAlign w:val="subscript"/>
          <w:lang w:val="en-GB"/>
        </w:rPr>
        <w:t>50</w:t>
      </w:r>
      <w:r w:rsidRPr="00F95A0D">
        <w:rPr>
          <w:rFonts w:ascii="Times New Roman" w:eastAsia="Calibri" w:hAnsi="Times New Roman"/>
          <w:sz w:val="18"/>
          <w:szCs w:val="18"/>
          <w:lang w:val="en-GB"/>
        </w:rPr>
        <w:t xml:space="preserve"> and IC</w:t>
      </w:r>
      <w:r w:rsidRPr="00F95A0D">
        <w:rPr>
          <w:rFonts w:ascii="Times New Roman" w:eastAsia="Calibri" w:hAnsi="Times New Roman"/>
          <w:sz w:val="18"/>
          <w:szCs w:val="18"/>
          <w:vertAlign w:val="subscript"/>
          <w:lang w:val="en-GB"/>
        </w:rPr>
        <w:t>75</w:t>
      </w:r>
      <w:r w:rsidRPr="00F95A0D">
        <w:rPr>
          <w:rFonts w:ascii="Times New Roman" w:eastAsia="Calibri" w:hAnsi="Times New Roman"/>
          <w:sz w:val="18"/>
          <w:szCs w:val="18"/>
          <w:lang w:val="en-GB"/>
        </w:rPr>
        <w:t xml:space="preserve">. In conclusion, the alga has the potential to be a good </w:t>
      </w:r>
      <w:r w:rsidRPr="00F95A0D">
        <w:rPr>
          <w:rFonts w:ascii="Times New Roman" w:eastAsia="Calibri" w:hAnsi="Times New Roman"/>
          <w:sz w:val="18"/>
          <w:szCs w:val="18"/>
          <w:lang w:val="en-MY"/>
        </w:rPr>
        <w:t>indicator for</w:t>
      </w:r>
      <w:r w:rsidRPr="00F95A0D">
        <w:rPr>
          <w:rFonts w:ascii="Times New Roman" w:eastAsia="Calibri" w:hAnsi="Times New Roman"/>
          <w:sz w:val="18"/>
          <w:szCs w:val="18"/>
          <w:lang w:val="en-GB"/>
        </w:rPr>
        <w:t xml:space="preserve"> Pb</w:t>
      </w:r>
      <w:r w:rsidRPr="00F95A0D">
        <w:rPr>
          <w:rFonts w:ascii="Times New Roman" w:eastAsia="Calibri" w:hAnsi="Times New Roman"/>
          <w:sz w:val="18"/>
          <w:szCs w:val="18"/>
          <w:vertAlign w:val="superscript"/>
          <w:lang w:val="en-GB"/>
        </w:rPr>
        <w:t>2+</w:t>
      </w:r>
      <w:r w:rsidRPr="00F95A0D">
        <w:rPr>
          <w:rFonts w:ascii="Times New Roman" w:eastAsia="Calibri" w:hAnsi="Times New Roman"/>
          <w:sz w:val="18"/>
          <w:szCs w:val="18"/>
          <w:lang w:val="en-GB"/>
        </w:rPr>
        <w:t xml:space="preserve"> toxicity and the Chl A concentration and caspase-3-like enzyme activity can be applied as biomarkers.</w:t>
      </w:r>
    </w:p>
    <w:p w14:paraId="351F4524" w14:textId="77777777" w:rsidR="001C1CE1" w:rsidRPr="00F95A0D" w:rsidRDefault="001C1CE1" w:rsidP="001C1CE1">
      <w:pPr>
        <w:spacing w:after="0"/>
        <w:jc w:val="both"/>
        <w:outlineLvl w:val="0"/>
        <w:rPr>
          <w:rFonts w:ascii="Times New Roman" w:hAnsi="Times New Roman"/>
          <w:b/>
          <w:sz w:val="18"/>
          <w:szCs w:val="18"/>
        </w:rPr>
      </w:pPr>
    </w:p>
    <w:p w14:paraId="0BAC492D" w14:textId="57AD887F" w:rsidR="001C1CE1" w:rsidRDefault="001C1CE1" w:rsidP="001C1CE1">
      <w:pPr>
        <w:spacing w:after="0"/>
        <w:jc w:val="both"/>
        <w:outlineLvl w:val="0"/>
        <w:rPr>
          <w:rFonts w:ascii="Times New Roman" w:hAnsi="Times New Roman"/>
          <w:b/>
          <w:sz w:val="18"/>
          <w:szCs w:val="18"/>
        </w:rPr>
      </w:pPr>
      <w:r w:rsidRPr="00F95A0D">
        <w:rPr>
          <w:rFonts w:ascii="Times New Roman" w:hAnsi="Times New Roman"/>
          <w:b/>
          <w:bCs/>
          <w:sz w:val="18"/>
          <w:szCs w:val="18"/>
        </w:rPr>
        <w:t>Keyword</w:t>
      </w:r>
      <w:r>
        <w:rPr>
          <w:rFonts w:ascii="Times New Roman" w:hAnsi="Times New Roman"/>
          <w:b/>
          <w:bCs/>
          <w:sz w:val="18"/>
          <w:szCs w:val="18"/>
        </w:rPr>
        <w:t>s</w:t>
      </w:r>
      <w:r w:rsidRPr="00F95A0D">
        <w:rPr>
          <w:rFonts w:ascii="Times New Roman" w:hAnsi="Times New Roman"/>
          <w:b/>
          <w:bCs/>
          <w:sz w:val="18"/>
          <w:szCs w:val="18"/>
        </w:rPr>
        <w:t>:</w:t>
      </w:r>
      <w:r>
        <w:rPr>
          <w:rFonts w:ascii="Times New Roman" w:hAnsi="Times New Roman"/>
          <w:b/>
          <w:bCs/>
          <w:sz w:val="18"/>
          <w:szCs w:val="18"/>
        </w:rPr>
        <w:t xml:space="preserve"> </w:t>
      </w:r>
      <w:r w:rsidRPr="00F95A0D">
        <w:rPr>
          <w:rFonts w:ascii="Times New Roman" w:hAnsi="Times New Roman"/>
          <w:sz w:val="18"/>
          <w:szCs w:val="18"/>
        </w:rPr>
        <w:t xml:space="preserve"> </w:t>
      </w:r>
      <w:r>
        <w:rPr>
          <w:rFonts w:ascii="Times New Roman" w:hAnsi="Times New Roman"/>
          <w:sz w:val="18"/>
          <w:szCs w:val="18"/>
        </w:rPr>
        <w:t>l</w:t>
      </w:r>
      <w:r w:rsidRPr="00F95A0D">
        <w:rPr>
          <w:rFonts w:ascii="Times New Roman" w:hAnsi="Times New Roman"/>
          <w:sz w:val="18"/>
          <w:szCs w:val="18"/>
        </w:rPr>
        <w:t>ead(II) ion</w:t>
      </w:r>
      <w:r w:rsidRPr="00F95A0D">
        <w:rPr>
          <w:rFonts w:ascii="Times New Roman" w:eastAsia="Calibri" w:hAnsi="Times New Roman"/>
          <w:sz w:val="18"/>
          <w:szCs w:val="18"/>
          <w:lang w:val="en-GB"/>
        </w:rPr>
        <w:t xml:space="preserve">, metal toxicity, microalgae, biochemical analyses, inhibitory concentration </w:t>
      </w:r>
      <w:r w:rsidRPr="00F95A0D">
        <w:rPr>
          <w:rFonts w:ascii="Times New Roman" w:hAnsi="Times New Roman"/>
          <w:b/>
          <w:sz w:val="18"/>
          <w:szCs w:val="18"/>
        </w:rPr>
        <w:t xml:space="preserve"> </w:t>
      </w:r>
    </w:p>
    <w:p w14:paraId="6B8007AE" w14:textId="77777777" w:rsidR="001C1CE1" w:rsidRPr="00F95A0D" w:rsidRDefault="001C1CE1" w:rsidP="001C1CE1">
      <w:pPr>
        <w:spacing w:after="0"/>
        <w:jc w:val="center"/>
        <w:outlineLvl w:val="0"/>
        <w:rPr>
          <w:rFonts w:ascii="Times New Roman" w:hAnsi="Times New Roman"/>
          <w:b/>
          <w:sz w:val="18"/>
          <w:szCs w:val="18"/>
        </w:rPr>
      </w:pPr>
    </w:p>
    <w:p w14:paraId="29B3913A" w14:textId="77777777" w:rsidR="001C1CE1" w:rsidRPr="00F95A0D" w:rsidRDefault="001C1CE1" w:rsidP="001C1CE1">
      <w:pPr>
        <w:spacing w:after="0"/>
        <w:jc w:val="center"/>
        <w:outlineLvl w:val="0"/>
        <w:rPr>
          <w:rFonts w:ascii="Times New Roman" w:hAnsi="Times New Roman"/>
          <w:b/>
          <w:sz w:val="18"/>
          <w:szCs w:val="18"/>
        </w:rPr>
      </w:pPr>
      <w:r w:rsidRPr="00F95A0D">
        <w:rPr>
          <w:rFonts w:ascii="Times New Roman" w:hAnsi="Times New Roman"/>
          <w:b/>
          <w:sz w:val="18"/>
          <w:szCs w:val="18"/>
        </w:rPr>
        <w:t>Abstrak</w:t>
      </w:r>
    </w:p>
    <w:p w14:paraId="68D73104" w14:textId="4B21B44D" w:rsidR="001C1CE1" w:rsidRPr="00F95A0D" w:rsidRDefault="001C1CE1" w:rsidP="001C1CE1">
      <w:pPr>
        <w:spacing w:after="0"/>
        <w:jc w:val="both"/>
        <w:rPr>
          <w:rFonts w:ascii="Times New Roman" w:hAnsi="Times New Roman"/>
          <w:sz w:val="18"/>
          <w:szCs w:val="18"/>
          <w:lang w:val="en-MY" w:eastAsia="en-MY"/>
        </w:rPr>
      </w:pPr>
      <w:r w:rsidRPr="00F95A0D">
        <w:rPr>
          <w:rFonts w:ascii="Times New Roman" w:hAnsi="Times New Roman"/>
          <w:sz w:val="18"/>
          <w:szCs w:val="18"/>
        </w:rPr>
        <w:t xml:space="preserve">Pencemaran logam berat termasuk plumbum </w:t>
      </w:r>
      <w:r w:rsidRPr="00F95A0D">
        <w:rPr>
          <w:rFonts w:ascii="Times New Roman" w:hAnsi="Times New Roman"/>
          <w:sz w:val="18"/>
          <w:szCs w:val="18"/>
          <w:lang w:val="ms-MY" w:eastAsia="en-MY"/>
        </w:rPr>
        <w:t xml:space="preserve">menjadi semakin menarik perhatian manusia akibat kesan buruknya dan hakikat bahawa ia tidak mudah diurai atau dimusnah. Mikroalga ialah organisma akuatik yang boleh digunakan dalam bioremediasi logam kerana ia boleh mengumpul dan menyahtoksik logam. Kajian ini melaporkan tentang tindak balas mikroalga air tawar, iaitu </w:t>
      </w:r>
      <w:r w:rsidRPr="00F95A0D">
        <w:rPr>
          <w:rFonts w:ascii="Times New Roman" w:hAnsi="Times New Roman"/>
          <w:i/>
          <w:sz w:val="18"/>
          <w:szCs w:val="18"/>
          <w:lang w:val="ms-MY" w:eastAsia="en-MY"/>
        </w:rPr>
        <w:t>Scenedesmus regularis</w:t>
      </w:r>
      <w:r w:rsidRPr="00F95A0D">
        <w:rPr>
          <w:rFonts w:ascii="Times New Roman" w:hAnsi="Times New Roman"/>
          <w:sz w:val="18"/>
          <w:szCs w:val="18"/>
          <w:lang w:val="ms-MY" w:eastAsia="en-MY"/>
        </w:rPr>
        <w:t xml:space="preserve"> apabila didedahkan kepada ujian toksik </w:t>
      </w:r>
      <w:r w:rsidRPr="00F95A0D">
        <w:rPr>
          <w:rFonts w:ascii="Times New Roman" w:eastAsia="Calibri" w:hAnsi="Times New Roman"/>
          <w:sz w:val="18"/>
          <w:szCs w:val="18"/>
          <w:lang w:val="en-GB"/>
        </w:rPr>
        <w:t>Pb</w:t>
      </w:r>
      <w:r w:rsidRPr="00F95A0D">
        <w:rPr>
          <w:rFonts w:ascii="Times New Roman" w:eastAsia="Calibri" w:hAnsi="Times New Roman"/>
          <w:sz w:val="18"/>
          <w:szCs w:val="18"/>
          <w:vertAlign w:val="superscript"/>
          <w:lang w:val="en-GB"/>
        </w:rPr>
        <w:t xml:space="preserve">2+  </w:t>
      </w:r>
      <w:r w:rsidRPr="00F95A0D">
        <w:rPr>
          <w:rFonts w:ascii="Times New Roman" w:eastAsia="Calibri" w:hAnsi="Times New Roman"/>
          <w:sz w:val="18"/>
          <w:szCs w:val="18"/>
          <w:lang w:val="en-GB"/>
        </w:rPr>
        <w:t xml:space="preserve">pada kepekatan rencatan (IC) 25%, 50% dan  75%. </w:t>
      </w:r>
      <w:r w:rsidRPr="00F95A0D">
        <w:rPr>
          <w:rFonts w:ascii="Times New Roman" w:hAnsi="Times New Roman"/>
          <w:sz w:val="18"/>
          <w:szCs w:val="18"/>
          <w:lang w:val="ms-MY" w:eastAsia="en-MY"/>
        </w:rPr>
        <w:t xml:space="preserve">Tahap toleransi </w:t>
      </w:r>
      <w:r w:rsidRPr="00F95A0D">
        <w:rPr>
          <w:rFonts w:ascii="Times New Roman" w:hAnsi="Times New Roman"/>
          <w:i/>
          <w:sz w:val="18"/>
          <w:szCs w:val="18"/>
          <w:lang w:val="ms-MY" w:eastAsia="en-MY"/>
        </w:rPr>
        <w:t>S. regularis</w:t>
      </w:r>
      <w:r w:rsidRPr="00F95A0D">
        <w:rPr>
          <w:rFonts w:ascii="Times New Roman" w:hAnsi="Times New Roman"/>
          <w:sz w:val="18"/>
          <w:szCs w:val="18"/>
          <w:lang w:val="ms-MY" w:eastAsia="en-MY"/>
        </w:rPr>
        <w:t xml:space="preserve"> terhadap Pb</w:t>
      </w:r>
      <w:r w:rsidRPr="00F95A0D">
        <w:rPr>
          <w:rFonts w:ascii="Times New Roman" w:hAnsi="Times New Roman"/>
          <w:sz w:val="18"/>
          <w:szCs w:val="18"/>
          <w:vertAlign w:val="superscript"/>
          <w:lang w:val="ms-MY" w:eastAsia="en-MY"/>
        </w:rPr>
        <w:t>2+</w:t>
      </w:r>
      <w:r w:rsidRPr="00F95A0D">
        <w:rPr>
          <w:rFonts w:ascii="Times New Roman" w:hAnsi="Times New Roman"/>
          <w:sz w:val="18"/>
          <w:szCs w:val="18"/>
          <w:lang w:val="ms-MY" w:eastAsia="en-MY"/>
        </w:rPr>
        <w:t xml:space="preserve"> pada IC</w:t>
      </w:r>
      <w:r w:rsidRPr="00F95A0D">
        <w:rPr>
          <w:rFonts w:ascii="Times New Roman" w:hAnsi="Times New Roman"/>
          <w:sz w:val="18"/>
          <w:szCs w:val="18"/>
          <w:vertAlign w:val="subscript"/>
          <w:lang w:val="ms-MY" w:eastAsia="en-MY"/>
        </w:rPr>
        <w:t>25</w:t>
      </w:r>
      <w:r w:rsidRPr="00F95A0D">
        <w:rPr>
          <w:rFonts w:ascii="Times New Roman" w:hAnsi="Times New Roman"/>
          <w:sz w:val="18"/>
          <w:szCs w:val="18"/>
          <w:lang w:val="ms-MY" w:eastAsia="en-MY"/>
        </w:rPr>
        <w:t>, IC</w:t>
      </w:r>
      <w:r w:rsidRPr="00F95A0D">
        <w:rPr>
          <w:rFonts w:ascii="Times New Roman" w:hAnsi="Times New Roman"/>
          <w:sz w:val="18"/>
          <w:szCs w:val="18"/>
          <w:vertAlign w:val="subscript"/>
          <w:lang w:val="ms-MY" w:eastAsia="en-MY"/>
        </w:rPr>
        <w:t>50</w:t>
      </w:r>
      <w:r w:rsidRPr="00F95A0D">
        <w:rPr>
          <w:rFonts w:ascii="Times New Roman" w:hAnsi="Times New Roman"/>
          <w:sz w:val="18"/>
          <w:szCs w:val="18"/>
          <w:lang w:val="ms-MY" w:eastAsia="en-MY"/>
        </w:rPr>
        <w:t xml:space="preserve"> dan IC</w:t>
      </w:r>
      <w:r w:rsidRPr="00F95A0D">
        <w:rPr>
          <w:rFonts w:ascii="Times New Roman" w:hAnsi="Times New Roman"/>
          <w:sz w:val="18"/>
          <w:szCs w:val="18"/>
          <w:vertAlign w:val="subscript"/>
          <w:lang w:val="ms-MY" w:eastAsia="en-MY"/>
        </w:rPr>
        <w:t>75</w:t>
      </w:r>
      <w:r w:rsidRPr="00F95A0D">
        <w:rPr>
          <w:rFonts w:ascii="Times New Roman" w:hAnsi="Times New Roman"/>
          <w:sz w:val="18"/>
          <w:szCs w:val="18"/>
          <w:lang w:val="ms-MY" w:eastAsia="en-MY"/>
        </w:rPr>
        <w:t xml:space="preserve"> ialah masing-masing pada 3.5 mg/L, 7.2 mg/L dan 10.9 mg/L. Kemudian mikroalga dirawat dengan kepekatan ini dan kepekatan Klorofil A. Jumlah protein terlarut (TSP) serta aktiviti enzim </w:t>
      </w:r>
      <w:r w:rsidRPr="00F95A0D">
        <w:rPr>
          <w:rFonts w:ascii="Times New Roman" w:hAnsi="Times New Roman"/>
          <w:sz w:val="18"/>
          <w:szCs w:val="18"/>
          <w:lang w:val="ms-MY" w:eastAsia="en-MY"/>
        </w:rPr>
        <w:lastRenderedPageBreak/>
        <w:t>bak kaspase-3 dianalis</w:t>
      </w:r>
      <w:r>
        <w:rPr>
          <w:rFonts w:ascii="Times New Roman" w:hAnsi="Times New Roman"/>
          <w:sz w:val="18"/>
          <w:szCs w:val="18"/>
          <w:lang w:val="ms-MY" w:eastAsia="en-MY"/>
        </w:rPr>
        <w:t>is</w:t>
      </w:r>
      <w:r w:rsidRPr="00F95A0D">
        <w:rPr>
          <w:rFonts w:ascii="Times New Roman" w:hAnsi="Times New Roman"/>
          <w:sz w:val="18"/>
          <w:szCs w:val="18"/>
          <w:lang w:val="ms-MY" w:eastAsia="en-MY"/>
        </w:rPr>
        <w:t>. Didapati bahawa kepekatan Klorofil A alga berkurangan apabila sel-sel lebih banyak direncat oleh Pb</w:t>
      </w:r>
      <w:r w:rsidRPr="00F95A0D">
        <w:rPr>
          <w:rFonts w:ascii="Times New Roman" w:hAnsi="Times New Roman"/>
          <w:sz w:val="18"/>
          <w:szCs w:val="18"/>
          <w:vertAlign w:val="superscript"/>
          <w:lang w:val="ms-MY" w:eastAsia="en-MY"/>
        </w:rPr>
        <w:t>2+</w:t>
      </w:r>
      <w:r w:rsidRPr="00F95A0D">
        <w:rPr>
          <w:rFonts w:ascii="Times New Roman" w:hAnsi="Times New Roman"/>
          <w:sz w:val="18"/>
          <w:szCs w:val="18"/>
          <w:lang w:val="ms-MY" w:eastAsia="en-MY"/>
        </w:rPr>
        <w:t>. Kepekatan tertinggi Pb</w:t>
      </w:r>
      <w:r w:rsidRPr="00F95A0D">
        <w:rPr>
          <w:rFonts w:ascii="Times New Roman" w:hAnsi="Times New Roman"/>
          <w:sz w:val="18"/>
          <w:szCs w:val="18"/>
          <w:vertAlign w:val="superscript"/>
          <w:lang w:val="ms-MY" w:eastAsia="en-MY"/>
        </w:rPr>
        <w:t>2+</w:t>
      </w:r>
      <w:r w:rsidRPr="00F95A0D">
        <w:rPr>
          <w:rFonts w:ascii="Times New Roman" w:hAnsi="Times New Roman"/>
          <w:sz w:val="18"/>
          <w:szCs w:val="18"/>
          <w:lang w:val="ms-MY" w:eastAsia="en-MY"/>
        </w:rPr>
        <w:t xml:space="preserve"> mengurangkan kepekatan TSP alga dengan ketara. Namun, tiada perubahan diperhatikan antara kepekatan Pb</w:t>
      </w:r>
      <w:r w:rsidRPr="00F95A0D">
        <w:rPr>
          <w:rFonts w:ascii="Times New Roman" w:hAnsi="Times New Roman"/>
          <w:sz w:val="18"/>
          <w:szCs w:val="18"/>
          <w:vertAlign w:val="superscript"/>
          <w:lang w:val="ms-MY" w:eastAsia="en-MY"/>
        </w:rPr>
        <w:t>2+</w:t>
      </w:r>
      <w:r w:rsidRPr="00F95A0D">
        <w:rPr>
          <w:rFonts w:ascii="Times New Roman" w:hAnsi="Times New Roman"/>
          <w:sz w:val="18"/>
          <w:szCs w:val="18"/>
          <w:lang w:val="ms-MY" w:eastAsia="en-MY"/>
        </w:rPr>
        <w:t xml:space="preserve"> yang merencat 25% dan 50% populasi alga. Aktiviti enzim bak kaspase-3 telah meningkat lebih daripada tiga kali ganda dalam IC</w:t>
      </w:r>
      <w:r w:rsidRPr="00F95A0D">
        <w:rPr>
          <w:rFonts w:ascii="Times New Roman" w:hAnsi="Times New Roman"/>
          <w:sz w:val="18"/>
          <w:szCs w:val="18"/>
          <w:vertAlign w:val="subscript"/>
          <w:lang w:val="ms-MY" w:eastAsia="en-MY"/>
        </w:rPr>
        <w:t>25</w:t>
      </w:r>
      <w:r w:rsidRPr="00F95A0D">
        <w:rPr>
          <w:rFonts w:ascii="Times New Roman" w:hAnsi="Times New Roman"/>
          <w:sz w:val="18"/>
          <w:szCs w:val="18"/>
          <w:lang w:val="ms-MY" w:eastAsia="en-MY"/>
        </w:rPr>
        <w:t xml:space="preserve"> Pb</w:t>
      </w:r>
      <w:r w:rsidRPr="00F95A0D">
        <w:rPr>
          <w:rFonts w:ascii="Times New Roman" w:hAnsi="Times New Roman"/>
          <w:sz w:val="18"/>
          <w:szCs w:val="18"/>
          <w:vertAlign w:val="superscript"/>
          <w:lang w:val="ms-MY" w:eastAsia="en-MY"/>
        </w:rPr>
        <w:t>2+</w:t>
      </w:r>
      <w:r w:rsidRPr="00F95A0D">
        <w:rPr>
          <w:rFonts w:ascii="Times New Roman" w:hAnsi="Times New Roman"/>
          <w:sz w:val="18"/>
          <w:szCs w:val="18"/>
          <w:lang w:val="ms-MY" w:eastAsia="en-MY"/>
        </w:rPr>
        <w:t xml:space="preserve"> berbanding kawalan, manakala aktiviti enzim ini berkurangan pada IC</w:t>
      </w:r>
      <w:r w:rsidRPr="00F95A0D">
        <w:rPr>
          <w:rFonts w:ascii="Times New Roman" w:hAnsi="Times New Roman"/>
          <w:sz w:val="18"/>
          <w:szCs w:val="18"/>
          <w:vertAlign w:val="subscript"/>
          <w:lang w:val="ms-MY" w:eastAsia="en-MY"/>
        </w:rPr>
        <w:t>50</w:t>
      </w:r>
      <w:r w:rsidRPr="00F95A0D">
        <w:rPr>
          <w:rFonts w:ascii="Times New Roman" w:hAnsi="Times New Roman"/>
          <w:sz w:val="18"/>
          <w:szCs w:val="18"/>
          <w:lang w:val="ms-MY" w:eastAsia="en-MY"/>
        </w:rPr>
        <w:t xml:space="preserve"> dan IC</w:t>
      </w:r>
      <w:r w:rsidRPr="00F95A0D">
        <w:rPr>
          <w:rFonts w:ascii="Times New Roman" w:hAnsi="Times New Roman"/>
          <w:sz w:val="18"/>
          <w:szCs w:val="18"/>
          <w:vertAlign w:val="subscript"/>
          <w:lang w:val="ms-MY" w:eastAsia="en-MY"/>
        </w:rPr>
        <w:t>75</w:t>
      </w:r>
      <w:r w:rsidRPr="00F95A0D">
        <w:rPr>
          <w:rFonts w:ascii="Times New Roman" w:hAnsi="Times New Roman"/>
          <w:sz w:val="18"/>
          <w:szCs w:val="18"/>
          <w:lang w:val="ms-MY" w:eastAsia="en-MY"/>
        </w:rPr>
        <w:t>. Kesimpulannya, alga mempunyai potensi untuk menjadi petunjuk yang baik untuk ketoksikan Pb</w:t>
      </w:r>
      <w:r w:rsidRPr="00F95A0D">
        <w:rPr>
          <w:rFonts w:ascii="Times New Roman" w:hAnsi="Times New Roman"/>
          <w:sz w:val="18"/>
          <w:szCs w:val="18"/>
          <w:vertAlign w:val="superscript"/>
          <w:lang w:val="ms-MY" w:eastAsia="en-MY"/>
        </w:rPr>
        <w:t>2+</w:t>
      </w:r>
      <w:r w:rsidRPr="00F95A0D">
        <w:rPr>
          <w:rFonts w:ascii="Times New Roman" w:hAnsi="Times New Roman"/>
          <w:sz w:val="18"/>
          <w:szCs w:val="18"/>
          <w:lang w:val="ms-MY" w:eastAsia="en-MY"/>
        </w:rPr>
        <w:t xml:space="preserve"> manakala kepekatan Klorofil A dan aktiviti enzim bak kaspase-3 boleh digunakan sebagai biopenanda.</w:t>
      </w:r>
    </w:p>
    <w:p w14:paraId="22804337" w14:textId="77777777" w:rsidR="001C1CE1" w:rsidRPr="00F95A0D" w:rsidRDefault="001C1CE1" w:rsidP="001C1CE1">
      <w:pPr>
        <w:spacing w:after="0"/>
        <w:jc w:val="both"/>
        <w:rPr>
          <w:rFonts w:ascii="Times New Roman" w:hAnsi="Times New Roman"/>
          <w:sz w:val="18"/>
          <w:szCs w:val="18"/>
          <w:lang w:val="en-MY" w:eastAsia="en-MY"/>
        </w:rPr>
      </w:pPr>
    </w:p>
    <w:p w14:paraId="2D9F69E0" w14:textId="0A39FDAC" w:rsidR="001C1CE1" w:rsidRDefault="001C1CE1" w:rsidP="001C1CE1">
      <w:pPr>
        <w:pStyle w:val="HTMLPreformatted"/>
        <w:wordWrap/>
        <w:spacing w:line="276" w:lineRule="auto"/>
        <w:rPr>
          <w:rFonts w:ascii="Times New Roman" w:eastAsia="Times New Roman" w:hAnsi="Times New Roman" w:cs="Times New Roman"/>
          <w:kern w:val="0"/>
          <w:sz w:val="18"/>
          <w:szCs w:val="18"/>
          <w:lang w:val="ms-MY" w:eastAsia="en-MY"/>
        </w:rPr>
      </w:pPr>
      <w:r w:rsidRPr="00F95A0D">
        <w:rPr>
          <w:rFonts w:ascii="Times New Roman" w:hAnsi="Times New Roman" w:cs="Times New Roman"/>
          <w:b/>
          <w:bCs/>
          <w:sz w:val="18"/>
          <w:szCs w:val="18"/>
        </w:rPr>
        <w:t>Kata kunci:</w:t>
      </w:r>
      <w:r w:rsidRPr="00F95A0D">
        <w:rPr>
          <w:rFonts w:ascii="Times New Roman" w:hAnsi="Times New Roman" w:cs="Times New Roman"/>
          <w:b/>
          <w:sz w:val="18"/>
          <w:szCs w:val="18"/>
        </w:rPr>
        <w:t xml:space="preserve"> </w:t>
      </w:r>
      <w:r w:rsidR="00947BD9">
        <w:rPr>
          <w:rFonts w:ascii="Times New Roman" w:hAnsi="Times New Roman" w:cs="Times New Roman"/>
          <w:b/>
          <w:sz w:val="18"/>
          <w:szCs w:val="18"/>
        </w:rPr>
        <w:t xml:space="preserve"> </w:t>
      </w:r>
      <w:r>
        <w:rPr>
          <w:rFonts w:ascii="Times New Roman" w:hAnsi="Times New Roman" w:cs="Times New Roman"/>
          <w:sz w:val="18"/>
          <w:szCs w:val="18"/>
        </w:rPr>
        <w:t>i</w:t>
      </w:r>
      <w:r w:rsidRPr="00F95A0D">
        <w:rPr>
          <w:rFonts w:ascii="Times New Roman" w:hAnsi="Times New Roman" w:cs="Times New Roman"/>
          <w:sz w:val="18"/>
          <w:szCs w:val="18"/>
        </w:rPr>
        <w:t xml:space="preserve">on plumbum(II), ketoksikan logam, </w:t>
      </w:r>
      <w:r w:rsidRPr="00F95A0D">
        <w:rPr>
          <w:rFonts w:ascii="Times New Roman" w:eastAsia="Times New Roman" w:hAnsi="Times New Roman" w:cs="Times New Roman"/>
          <w:kern w:val="0"/>
          <w:sz w:val="18"/>
          <w:szCs w:val="18"/>
          <w:lang w:val="ms-MY" w:eastAsia="en-MY"/>
        </w:rPr>
        <w:t>mikroalga, analisa biokimia, kepekatan rencatan</w:t>
      </w:r>
    </w:p>
    <w:p w14:paraId="15FFFF64" w14:textId="77777777" w:rsidR="006768E9" w:rsidRDefault="006768E9" w:rsidP="001C1CE1">
      <w:pPr>
        <w:spacing w:after="0"/>
        <w:jc w:val="center"/>
        <w:rPr>
          <w:rFonts w:ascii="Times New Roman" w:hAnsi="Times New Roman"/>
          <w:noProof/>
          <w:sz w:val="20"/>
          <w:szCs w:val="20"/>
          <w:lang w:bidi="ar-SA"/>
        </w:rPr>
      </w:pPr>
    </w:p>
    <w:p w14:paraId="18F54A31" w14:textId="77777777" w:rsidR="00494C46" w:rsidRPr="00BE7C30" w:rsidRDefault="00494C46" w:rsidP="001C1CE1">
      <w:pPr>
        <w:spacing w:after="0"/>
        <w:jc w:val="center"/>
        <w:rPr>
          <w:rFonts w:ascii="Times New Roman" w:hAnsi="Times New Roman"/>
          <w:noProof/>
          <w:sz w:val="20"/>
          <w:szCs w:val="20"/>
          <w:lang w:bidi="ar-SA"/>
        </w:rPr>
      </w:pPr>
    </w:p>
    <w:p w14:paraId="232E5FB6" w14:textId="77777777" w:rsidR="004E7EC9" w:rsidRDefault="004E7EC9" w:rsidP="00F447A7">
      <w:pPr>
        <w:spacing w:after="0" w:line="240" w:lineRule="auto"/>
        <w:jc w:val="center"/>
        <w:rPr>
          <w:rFonts w:ascii="Times New Roman" w:hAnsi="Times New Roman"/>
          <w:b/>
          <w:noProof/>
          <w:sz w:val="20"/>
          <w:szCs w:val="20"/>
          <w:lang w:bidi="ar-SA"/>
        </w:rPr>
        <w:sectPr w:rsidR="004E7EC9"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29685916"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17CE12C5" w14:textId="77777777" w:rsidR="00947BD9" w:rsidRPr="001C1CE1" w:rsidRDefault="00947BD9" w:rsidP="00947BD9">
      <w:pPr>
        <w:pStyle w:val="Default"/>
        <w:tabs>
          <w:tab w:val="left" w:pos="284"/>
        </w:tabs>
        <w:spacing w:line="276" w:lineRule="auto"/>
        <w:jc w:val="both"/>
        <w:rPr>
          <w:rFonts w:ascii="Times New Roman" w:hAnsi="Times New Roman" w:cs="Times New Roman"/>
          <w:iCs/>
          <w:color w:val="auto"/>
          <w:sz w:val="20"/>
          <w:szCs w:val="20"/>
        </w:rPr>
      </w:pPr>
      <w:r w:rsidRPr="001C1CE1">
        <w:rPr>
          <w:rFonts w:ascii="Times New Roman" w:hAnsi="Times New Roman" w:cs="Times New Roman"/>
          <w:iCs/>
          <w:color w:val="auto"/>
          <w:sz w:val="20"/>
          <w:szCs w:val="20"/>
        </w:rPr>
        <w:t xml:space="preserve">Heavy metals, such as copper (Cu), zinc (Zn), cadmium (Cd), chromium (Cr), mercury (Hg) and lead (Pb), are major environmental pollutants particularly in industrial areas. When discharged into the aquatic ecosystem, they will pose threats to organisms that live in the ecosystem. This will become a serious concern since the metals can accumulate in organisms and eventually reach the primary consumers, which are humans. The metals are toxic to all organisms since they can exert adverse effects. They are not easily degraded nor destroyed. However, they can be removed from polluted areas through phytoremediation which </w:t>
      </w:r>
      <w:r w:rsidRPr="001C1CE1">
        <w:rPr>
          <w:rFonts w:ascii="Times New Roman" w:eastAsiaTheme="minorEastAsia" w:hAnsi="Times New Roman" w:cs="Times New Roman"/>
          <w:iCs/>
          <w:color w:val="auto"/>
          <w:kern w:val="2"/>
          <w:sz w:val="20"/>
          <w:szCs w:val="20"/>
          <w:lang w:eastAsia="ko-KR"/>
        </w:rPr>
        <w:t>include</w:t>
      </w:r>
      <w:r w:rsidRPr="001C1CE1">
        <w:rPr>
          <w:rFonts w:ascii="Times New Roman" w:hAnsi="Times New Roman" w:cs="Times New Roman"/>
          <w:iCs/>
          <w:color w:val="auto"/>
          <w:sz w:val="20"/>
          <w:szCs w:val="20"/>
        </w:rPr>
        <w:t xml:space="preserve"> the application of microalgae [1].</w:t>
      </w:r>
    </w:p>
    <w:p w14:paraId="57B2BB40" w14:textId="77777777" w:rsidR="00947BD9" w:rsidRPr="001C1CE1" w:rsidRDefault="00947BD9" w:rsidP="00947BD9">
      <w:pPr>
        <w:pStyle w:val="Default"/>
        <w:tabs>
          <w:tab w:val="left" w:pos="284"/>
        </w:tabs>
        <w:spacing w:line="276" w:lineRule="auto"/>
        <w:jc w:val="both"/>
        <w:rPr>
          <w:rFonts w:ascii="Times New Roman" w:hAnsi="Times New Roman" w:cs="Times New Roman"/>
          <w:iCs/>
          <w:color w:val="auto"/>
          <w:sz w:val="20"/>
          <w:szCs w:val="20"/>
        </w:rPr>
      </w:pPr>
    </w:p>
    <w:p w14:paraId="7EC65C1D" w14:textId="77777777" w:rsidR="00947BD9" w:rsidRPr="001C1CE1" w:rsidRDefault="00947BD9" w:rsidP="00947BD9">
      <w:pPr>
        <w:pStyle w:val="Default"/>
        <w:tabs>
          <w:tab w:val="left" w:pos="284"/>
        </w:tabs>
        <w:spacing w:line="276" w:lineRule="auto"/>
        <w:jc w:val="both"/>
        <w:rPr>
          <w:rFonts w:ascii="Times New Roman" w:hAnsi="Times New Roman" w:cs="Times New Roman"/>
          <w:color w:val="auto"/>
          <w:sz w:val="20"/>
          <w:szCs w:val="20"/>
        </w:rPr>
      </w:pPr>
      <w:r w:rsidRPr="001C1CE1">
        <w:rPr>
          <w:rFonts w:ascii="Times New Roman" w:eastAsiaTheme="minorEastAsia" w:hAnsi="Times New Roman" w:cs="Times New Roman"/>
          <w:color w:val="auto"/>
          <w:kern w:val="2"/>
          <w:sz w:val="20"/>
          <w:szCs w:val="20"/>
          <w:lang w:eastAsia="ko-KR"/>
        </w:rPr>
        <w:t>Microalgae are ubiquitous</w:t>
      </w:r>
      <w:r w:rsidRPr="001C1CE1">
        <w:rPr>
          <w:rFonts w:ascii="Times New Roman" w:hAnsi="Times New Roman" w:cs="Times New Roman"/>
          <w:color w:val="auto"/>
          <w:sz w:val="20"/>
          <w:szCs w:val="20"/>
        </w:rPr>
        <w:t xml:space="preserve"> organisms that can be found anywhere, whether in the terrestrial or aquatic ecosystems. Due to their photoautotrophic nature, microalgae are able to uptake metals into their cells and detoxify them. Therefore, they can be used as bioremediation tools to clean up metal contaminants. However, since some metals are non-essential and are not useful to them, these metals can exert toxicity effects to the algae. In fact Pb</w:t>
      </w:r>
      <w:r w:rsidRPr="001C1CE1">
        <w:rPr>
          <w:rFonts w:ascii="Times New Roman" w:hAnsi="Times New Roman" w:cs="Times New Roman"/>
          <w:color w:val="auto"/>
          <w:sz w:val="20"/>
          <w:szCs w:val="20"/>
          <w:vertAlign w:val="superscript"/>
        </w:rPr>
        <w:t>2+</w:t>
      </w:r>
      <w:r w:rsidRPr="001C1CE1">
        <w:rPr>
          <w:rFonts w:ascii="Times New Roman" w:hAnsi="Times New Roman" w:cs="Times New Roman"/>
          <w:color w:val="auto"/>
          <w:sz w:val="20"/>
          <w:szCs w:val="20"/>
        </w:rPr>
        <w:t>, as one  the non-essential and most toxic metals, was proven to affect amongst others, the cell growth [2, 3], photosynthetic rate</w:t>
      </w:r>
      <w:r w:rsidRPr="001C1CE1">
        <w:rPr>
          <w:rFonts w:ascii="Times New Roman" w:hAnsi="Times New Roman" w:cs="Times New Roman"/>
          <w:color w:val="auto"/>
          <w:sz w:val="20"/>
          <w:szCs w:val="20"/>
          <w:vertAlign w:val="superscript"/>
        </w:rPr>
        <w:t xml:space="preserve">  </w:t>
      </w:r>
      <w:r w:rsidRPr="001C1CE1">
        <w:rPr>
          <w:rFonts w:ascii="Times New Roman" w:hAnsi="Times New Roman" w:cs="Times New Roman"/>
          <w:color w:val="auto"/>
          <w:sz w:val="20"/>
          <w:szCs w:val="20"/>
        </w:rPr>
        <w:t xml:space="preserve">[4, 5], pigment contents [6] and cell morphology [7] in algae. The non-redox active metal </w:t>
      </w:r>
      <w:r w:rsidRPr="001C1CE1">
        <w:rPr>
          <w:rFonts w:ascii="Times New Roman" w:eastAsia="Calibri" w:hAnsi="Times New Roman" w:cs="Times New Roman"/>
          <w:color w:val="auto"/>
          <w:sz w:val="20"/>
          <w:szCs w:val="20"/>
          <w:lang w:val="en-GB"/>
        </w:rPr>
        <w:t>Pb</w:t>
      </w:r>
      <w:r w:rsidRPr="001C1CE1">
        <w:rPr>
          <w:rFonts w:ascii="Times New Roman" w:eastAsia="Calibri" w:hAnsi="Times New Roman" w:cs="Times New Roman"/>
          <w:color w:val="auto"/>
          <w:sz w:val="20"/>
          <w:szCs w:val="20"/>
          <w:vertAlign w:val="superscript"/>
          <w:lang w:val="en-GB"/>
        </w:rPr>
        <w:t>2+</w:t>
      </w:r>
      <w:r w:rsidRPr="001C1CE1">
        <w:rPr>
          <w:rFonts w:ascii="Times New Roman" w:hAnsi="Times New Roman" w:cs="Times New Roman"/>
          <w:color w:val="auto"/>
          <w:sz w:val="20"/>
          <w:szCs w:val="20"/>
        </w:rPr>
        <w:t xml:space="preserve"> can also induce the generation of reactive oxygen species (ROS) which can lead to damages to important biomolecules such as proteins [8]. In addition, the metals may trigger some sort of intercellular defense mechanisms which can help the algae to protect themselves from the toxicity effect for survival [2, 3, 9].</w:t>
      </w:r>
    </w:p>
    <w:p w14:paraId="1AC8CAE2" w14:textId="77777777" w:rsidR="00947BD9" w:rsidRPr="001C1CE1" w:rsidRDefault="00947BD9" w:rsidP="00947BD9">
      <w:pPr>
        <w:pStyle w:val="Default"/>
        <w:tabs>
          <w:tab w:val="left" w:pos="284"/>
        </w:tabs>
        <w:spacing w:line="276" w:lineRule="auto"/>
        <w:jc w:val="both"/>
        <w:rPr>
          <w:rFonts w:ascii="Times New Roman" w:hAnsi="Times New Roman" w:cs="Times New Roman"/>
          <w:color w:val="auto"/>
          <w:sz w:val="20"/>
          <w:szCs w:val="20"/>
        </w:rPr>
      </w:pPr>
    </w:p>
    <w:p w14:paraId="241C0DCE" w14:textId="77777777" w:rsidR="00947BD9" w:rsidRPr="001C1CE1" w:rsidRDefault="00947BD9" w:rsidP="00947BD9">
      <w:pPr>
        <w:pStyle w:val="Default"/>
        <w:tabs>
          <w:tab w:val="left" w:pos="284"/>
        </w:tabs>
        <w:spacing w:line="276" w:lineRule="auto"/>
        <w:jc w:val="both"/>
        <w:rPr>
          <w:rFonts w:ascii="Times New Roman" w:hAnsi="Times New Roman" w:cs="Times New Roman"/>
          <w:color w:val="auto"/>
          <w:sz w:val="20"/>
          <w:szCs w:val="20"/>
        </w:rPr>
      </w:pPr>
      <w:r w:rsidRPr="001C1CE1">
        <w:rPr>
          <w:rFonts w:ascii="Times New Roman" w:hAnsi="Times New Roman" w:cs="Times New Roman"/>
          <w:color w:val="auto"/>
          <w:sz w:val="20"/>
          <w:szCs w:val="20"/>
        </w:rPr>
        <w:t>This includes the</w:t>
      </w:r>
      <w:r w:rsidRPr="001C1CE1">
        <w:rPr>
          <w:rFonts w:ascii="Times New Roman" w:eastAsia="Calibri" w:hAnsi="Times New Roman" w:cs="Times New Roman"/>
          <w:color w:val="auto"/>
          <w:sz w:val="20"/>
          <w:szCs w:val="20"/>
          <w:lang w:val="en-MY" w:eastAsia="en-MY"/>
        </w:rPr>
        <w:t xml:space="preserve"> trigger of cellular signalling pathways that can either be death or survival signals, leading to the </w:t>
      </w:r>
      <w:r w:rsidRPr="001C1CE1">
        <w:rPr>
          <w:rFonts w:ascii="Times New Roman" w:eastAsia="Calibri" w:hAnsi="Times New Roman" w:cs="Times New Roman"/>
          <w:color w:val="auto"/>
          <w:sz w:val="20"/>
          <w:szCs w:val="20"/>
          <w:lang w:val="en-MY" w:eastAsia="en-MY"/>
        </w:rPr>
        <w:t xml:space="preserve">programmed cell death (PCD) modes which are ‘self-suicidal’ apoptosis, ‘self-eating’ autophagy and necrosis [10]. Studies by many researchers </w:t>
      </w:r>
      <w:r w:rsidRPr="001C1CE1">
        <w:rPr>
          <w:rFonts w:ascii="Times New Roman" w:eastAsia="Calibri" w:hAnsi="Times New Roman" w:cs="Times New Roman"/>
          <w:color w:val="auto"/>
          <w:sz w:val="20"/>
          <w:szCs w:val="20"/>
          <w:lang w:eastAsia="en-MY"/>
        </w:rPr>
        <w:t xml:space="preserve">have </w:t>
      </w:r>
      <w:r w:rsidRPr="001C1CE1">
        <w:rPr>
          <w:rFonts w:ascii="Times New Roman" w:eastAsia="Calibri" w:hAnsi="Times New Roman" w:cs="Times New Roman"/>
          <w:color w:val="auto"/>
          <w:sz w:val="20"/>
          <w:szCs w:val="20"/>
          <w:lang w:val="en-MY" w:eastAsia="en-MY"/>
        </w:rPr>
        <w:t xml:space="preserve">found several species of microalgae, for example, </w:t>
      </w:r>
      <w:r w:rsidRPr="001C1CE1">
        <w:rPr>
          <w:rFonts w:ascii="Times New Roman" w:eastAsia="Calibri" w:hAnsi="Times New Roman" w:cs="Times New Roman"/>
          <w:i/>
          <w:color w:val="auto"/>
          <w:sz w:val="20"/>
          <w:szCs w:val="20"/>
          <w:lang w:val="en-MY" w:eastAsia="en-MY"/>
        </w:rPr>
        <w:t>Micrasterias denticulata</w:t>
      </w:r>
      <w:r w:rsidRPr="001C1CE1">
        <w:rPr>
          <w:rFonts w:ascii="Times New Roman" w:eastAsia="Calibri" w:hAnsi="Times New Roman" w:cs="Times New Roman"/>
          <w:color w:val="auto"/>
          <w:sz w:val="20"/>
          <w:szCs w:val="20"/>
          <w:lang w:val="en-MY" w:eastAsia="en-MY"/>
        </w:rPr>
        <w:t xml:space="preserve"> [11], </w:t>
      </w:r>
      <w:r w:rsidRPr="001C1CE1">
        <w:rPr>
          <w:rFonts w:ascii="Times New Roman" w:eastAsia="Calibri" w:hAnsi="Times New Roman" w:cs="Times New Roman"/>
          <w:i/>
          <w:color w:val="auto"/>
          <w:sz w:val="20"/>
          <w:szCs w:val="20"/>
          <w:lang w:val="en-MY" w:eastAsia="en-MY"/>
        </w:rPr>
        <w:t>Dunaliella tertiolecta</w:t>
      </w:r>
      <w:r w:rsidRPr="001C1CE1">
        <w:rPr>
          <w:rFonts w:ascii="Times New Roman" w:eastAsia="Calibri" w:hAnsi="Times New Roman" w:cs="Times New Roman"/>
          <w:color w:val="auto"/>
          <w:sz w:val="20"/>
          <w:szCs w:val="20"/>
          <w:lang w:val="en-MY" w:eastAsia="en-MY"/>
        </w:rPr>
        <w:t xml:space="preserve"> [12] and </w:t>
      </w:r>
      <w:r w:rsidRPr="001C1CE1">
        <w:rPr>
          <w:rFonts w:ascii="Times New Roman" w:eastAsia="Calibri" w:hAnsi="Times New Roman" w:cs="Times New Roman"/>
          <w:i/>
          <w:color w:val="auto"/>
          <w:sz w:val="20"/>
          <w:szCs w:val="20"/>
          <w:lang w:val="en-MY" w:eastAsia="en-MY"/>
        </w:rPr>
        <w:t xml:space="preserve">Karenia brevis </w:t>
      </w:r>
      <w:r w:rsidRPr="001C1CE1">
        <w:rPr>
          <w:rFonts w:ascii="Times New Roman" w:eastAsia="Calibri" w:hAnsi="Times New Roman" w:cs="Times New Roman"/>
          <w:color w:val="auto"/>
          <w:sz w:val="20"/>
          <w:szCs w:val="20"/>
          <w:lang w:val="en-MY" w:eastAsia="en-MY"/>
        </w:rPr>
        <w:t>[13]</w:t>
      </w:r>
      <w:r w:rsidRPr="001C1CE1">
        <w:rPr>
          <w:rFonts w:ascii="Times New Roman" w:eastAsia="Calibri" w:hAnsi="Times New Roman" w:cs="Times New Roman"/>
          <w:color w:val="auto"/>
          <w:sz w:val="20"/>
          <w:szCs w:val="20"/>
          <w:lang w:eastAsia="en-MY"/>
        </w:rPr>
        <w:t>,</w:t>
      </w:r>
      <w:r w:rsidRPr="001C1CE1">
        <w:rPr>
          <w:rFonts w:ascii="Times New Roman" w:eastAsia="Calibri" w:hAnsi="Times New Roman" w:cs="Times New Roman"/>
          <w:color w:val="auto"/>
          <w:sz w:val="20"/>
          <w:szCs w:val="20"/>
          <w:lang w:val="en-MY" w:eastAsia="en-MY"/>
        </w:rPr>
        <w:t xml:space="preserve"> which can undergo PCD coordinated by caspases, a family of cysteine proteases</w:t>
      </w:r>
      <w:r w:rsidRPr="001C1CE1">
        <w:rPr>
          <w:rFonts w:ascii="Times New Roman" w:eastAsia="Calibri" w:hAnsi="Times New Roman" w:cs="Times New Roman"/>
          <w:color w:val="auto"/>
          <w:sz w:val="20"/>
          <w:szCs w:val="20"/>
          <w:lang w:eastAsia="en-MY"/>
        </w:rPr>
        <w:t xml:space="preserve">. </w:t>
      </w:r>
      <w:r w:rsidRPr="001C1CE1">
        <w:rPr>
          <w:rFonts w:ascii="Times New Roman" w:hAnsi="Times New Roman" w:cs="Times New Roman"/>
          <w:color w:val="auto"/>
          <w:sz w:val="20"/>
          <w:szCs w:val="20"/>
        </w:rPr>
        <w:t xml:space="preserve">According to </w:t>
      </w:r>
      <w:r w:rsidRPr="001C1CE1">
        <w:rPr>
          <w:rFonts w:ascii="Times New Roman" w:eastAsia="Calibri" w:hAnsi="Times New Roman" w:cs="Times New Roman"/>
          <w:color w:val="auto"/>
          <w:sz w:val="20"/>
          <w:szCs w:val="20"/>
          <w:lang w:val="en-MY" w:eastAsia="en-MY"/>
        </w:rPr>
        <w:t xml:space="preserve">Segovia and Berges [12], there </w:t>
      </w:r>
      <w:r w:rsidRPr="001C1CE1">
        <w:rPr>
          <w:rFonts w:ascii="Times New Roman" w:eastAsia="Calibri" w:hAnsi="Times New Roman" w:cs="Times New Roman"/>
          <w:color w:val="auto"/>
          <w:sz w:val="20"/>
          <w:szCs w:val="20"/>
          <w:lang w:eastAsia="en-MY"/>
        </w:rPr>
        <w:t>is</w:t>
      </w:r>
      <w:r w:rsidRPr="001C1CE1">
        <w:rPr>
          <w:rFonts w:ascii="Times New Roman" w:eastAsia="Calibri" w:hAnsi="Times New Roman" w:cs="Times New Roman"/>
          <w:color w:val="auto"/>
          <w:sz w:val="20"/>
          <w:szCs w:val="20"/>
          <w:lang w:val="en-MY" w:eastAsia="en-MY"/>
        </w:rPr>
        <w:t xml:space="preserve"> a link between cell death and ROS which involve caspase-like enzymes, as observed in the microalga, </w:t>
      </w:r>
      <w:r w:rsidRPr="001C1CE1">
        <w:rPr>
          <w:rFonts w:ascii="Times New Roman" w:eastAsia="Calibri" w:hAnsi="Times New Roman" w:cs="Times New Roman"/>
          <w:i/>
          <w:color w:val="auto"/>
          <w:sz w:val="20"/>
          <w:szCs w:val="20"/>
          <w:lang w:val="en-MY" w:eastAsia="en-MY"/>
        </w:rPr>
        <w:t>Dunaliela tertiolecta</w:t>
      </w:r>
      <w:r w:rsidRPr="001C1CE1">
        <w:rPr>
          <w:rFonts w:ascii="Times New Roman" w:eastAsia="Calibri" w:hAnsi="Times New Roman" w:cs="Times New Roman"/>
          <w:color w:val="auto"/>
          <w:sz w:val="20"/>
          <w:szCs w:val="20"/>
          <w:lang w:val="en-MY" w:eastAsia="en-MY"/>
        </w:rPr>
        <w:t xml:space="preserve">. All the above-mentioned </w:t>
      </w:r>
      <w:r w:rsidRPr="001C1CE1">
        <w:rPr>
          <w:rFonts w:ascii="Times New Roman" w:hAnsi="Times New Roman" w:cs="Times New Roman"/>
          <w:color w:val="auto"/>
          <w:sz w:val="20"/>
          <w:szCs w:val="20"/>
        </w:rPr>
        <w:t>responses may be used as biomarkers for Pb</w:t>
      </w:r>
      <w:r w:rsidRPr="001C1CE1">
        <w:rPr>
          <w:rFonts w:ascii="Times New Roman" w:hAnsi="Times New Roman" w:cs="Times New Roman"/>
          <w:color w:val="auto"/>
          <w:sz w:val="20"/>
          <w:szCs w:val="20"/>
          <w:vertAlign w:val="superscript"/>
        </w:rPr>
        <w:t>2+</w:t>
      </w:r>
      <w:r w:rsidRPr="001C1CE1">
        <w:rPr>
          <w:rFonts w:ascii="Times New Roman" w:hAnsi="Times New Roman" w:cs="Times New Roman"/>
          <w:color w:val="auto"/>
          <w:sz w:val="20"/>
          <w:szCs w:val="20"/>
        </w:rPr>
        <w:t xml:space="preserve"> contamination.</w:t>
      </w:r>
    </w:p>
    <w:p w14:paraId="634A592C" w14:textId="77777777" w:rsidR="00947BD9" w:rsidRPr="001C1CE1" w:rsidRDefault="00947BD9" w:rsidP="00947BD9">
      <w:pPr>
        <w:pStyle w:val="Default"/>
        <w:tabs>
          <w:tab w:val="left" w:pos="284"/>
        </w:tabs>
        <w:spacing w:line="276" w:lineRule="auto"/>
        <w:jc w:val="both"/>
        <w:rPr>
          <w:rFonts w:ascii="Times New Roman" w:hAnsi="Times New Roman" w:cs="Times New Roman"/>
          <w:color w:val="auto"/>
          <w:sz w:val="20"/>
          <w:szCs w:val="20"/>
        </w:rPr>
      </w:pPr>
    </w:p>
    <w:p w14:paraId="364BD5CF" w14:textId="77777777" w:rsidR="00947BD9" w:rsidRPr="001C1CE1" w:rsidRDefault="00947BD9" w:rsidP="00947BD9">
      <w:pPr>
        <w:pStyle w:val="Default"/>
        <w:tabs>
          <w:tab w:val="left" w:pos="284"/>
        </w:tabs>
        <w:spacing w:line="276" w:lineRule="auto"/>
        <w:jc w:val="both"/>
        <w:rPr>
          <w:rFonts w:ascii="Times New Roman" w:hAnsi="Times New Roman" w:cs="Times New Roman"/>
          <w:color w:val="auto"/>
          <w:sz w:val="20"/>
          <w:szCs w:val="20"/>
        </w:rPr>
      </w:pPr>
      <w:r w:rsidRPr="001C1CE1">
        <w:rPr>
          <w:rFonts w:ascii="Times New Roman" w:hAnsi="Times New Roman" w:cs="Times New Roman"/>
          <w:color w:val="auto"/>
          <w:sz w:val="20"/>
          <w:szCs w:val="20"/>
        </w:rPr>
        <w:t xml:space="preserve">In this study, </w:t>
      </w:r>
      <w:r w:rsidRPr="001C1CE1">
        <w:rPr>
          <w:rFonts w:ascii="Times New Roman" w:hAnsi="Times New Roman" w:cs="Times New Roman"/>
          <w:i/>
          <w:color w:val="auto"/>
          <w:sz w:val="20"/>
          <w:szCs w:val="20"/>
        </w:rPr>
        <w:t>Scenedesmus regularis</w:t>
      </w:r>
      <w:r w:rsidRPr="001C1CE1">
        <w:rPr>
          <w:rFonts w:ascii="Times New Roman" w:hAnsi="Times New Roman" w:cs="Times New Roman"/>
          <w:color w:val="auto"/>
          <w:sz w:val="20"/>
          <w:szCs w:val="20"/>
        </w:rPr>
        <w:t xml:space="preserve"> which is a freshwater microalga</w:t>
      </w:r>
      <w:r w:rsidRPr="001C1CE1">
        <w:rPr>
          <w:rFonts w:ascii="Times New Roman" w:hAnsi="Times New Roman" w:cs="Times New Roman"/>
          <w:i/>
          <w:color w:val="auto"/>
          <w:sz w:val="20"/>
          <w:szCs w:val="20"/>
        </w:rPr>
        <w:t xml:space="preserve"> </w:t>
      </w:r>
      <w:r w:rsidRPr="001C1CE1">
        <w:rPr>
          <w:rFonts w:ascii="Times New Roman" w:hAnsi="Times New Roman" w:cs="Times New Roman"/>
          <w:color w:val="auto"/>
          <w:sz w:val="20"/>
          <w:szCs w:val="20"/>
        </w:rPr>
        <w:t>was treated with Pb</w:t>
      </w:r>
      <w:r w:rsidRPr="001C1CE1">
        <w:rPr>
          <w:rFonts w:ascii="Times New Roman" w:hAnsi="Times New Roman" w:cs="Times New Roman"/>
          <w:color w:val="auto"/>
          <w:sz w:val="20"/>
          <w:szCs w:val="20"/>
          <w:vertAlign w:val="superscript"/>
        </w:rPr>
        <w:t>2+</w:t>
      </w:r>
      <w:r w:rsidRPr="001C1CE1">
        <w:rPr>
          <w:rFonts w:ascii="Times New Roman" w:hAnsi="Times New Roman" w:cs="Times New Roman"/>
          <w:color w:val="auto"/>
          <w:sz w:val="20"/>
          <w:szCs w:val="20"/>
        </w:rPr>
        <w:t xml:space="preserve"> to determine the inhibitory concentration (IC) at 25%, 50% and 75% of the algae cell populations. </w:t>
      </w:r>
      <w:r w:rsidRPr="001C1CE1">
        <w:rPr>
          <w:rFonts w:ascii="Times New Roman" w:hAnsi="Times New Roman" w:cs="Times New Roman"/>
          <w:i/>
          <w:color w:val="auto"/>
          <w:sz w:val="20"/>
          <w:szCs w:val="20"/>
        </w:rPr>
        <w:t xml:space="preserve">Scenedesmus </w:t>
      </w:r>
      <w:r w:rsidRPr="001C1CE1">
        <w:rPr>
          <w:rFonts w:ascii="Times New Roman" w:hAnsi="Times New Roman" w:cs="Times New Roman"/>
          <w:color w:val="auto"/>
          <w:sz w:val="20"/>
          <w:szCs w:val="20"/>
        </w:rPr>
        <w:t>algae</w:t>
      </w:r>
      <w:r w:rsidRPr="001C1CE1">
        <w:rPr>
          <w:rFonts w:ascii="Times New Roman" w:hAnsi="Times New Roman" w:cs="Times New Roman"/>
          <w:i/>
          <w:color w:val="auto"/>
          <w:sz w:val="20"/>
          <w:szCs w:val="20"/>
        </w:rPr>
        <w:t xml:space="preserve"> </w:t>
      </w:r>
      <w:r w:rsidRPr="001C1CE1">
        <w:rPr>
          <w:rFonts w:ascii="Times New Roman" w:hAnsi="Times New Roman" w:cs="Times New Roman"/>
          <w:color w:val="auto"/>
          <w:sz w:val="20"/>
          <w:szCs w:val="20"/>
        </w:rPr>
        <w:t xml:space="preserve">are known to have high biomass productivity and strong tolerability amongst green algae. Therefore, this genus of algae is a suitable material for toxicity test. The findings from this study can be cross-referenced against other experiments, whereby different species of </w:t>
      </w:r>
      <w:r w:rsidRPr="001C1CE1">
        <w:rPr>
          <w:rFonts w:ascii="Times New Roman" w:hAnsi="Times New Roman" w:cs="Times New Roman"/>
          <w:i/>
          <w:color w:val="auto"/>
          <w:sz w:val="20"/>
          <w:szCs w:val="20"/>
        </w:rPr>
        <w:t>Scenedesmus</w:t>
      </w:r>
      <w:r w:rsidRPr="001C1CE1">
        <w:rPr>
          <w:rFonts w:ascii="Times New Roman" w:hAnsi="Times New Roman" w:cs="Times New Roman"/>
          <w:color w:val="auto"/>
          <w:sz w:val="20"/>
          <w:szCs w:val="20"/>
        </w:rPr>
        <w:t xml:space="preserve"> have been used as test algae. This study aims to assess the responses of the algae towards these three concentrations of Pb</w:t>
      </w:r>
      <w:r w:rsidRPr="001C1CE1">
        <w:rPr>
          <w:rFonts w:ascii="Times New Roman" w:hAnsi="Times New Roman" w:cs="Times New Roman"/>
          <w:color w:val="auto"/>
          <w:sz w:val="20"/>
          <w:szCs w:val="20"/>
          <w:vertAlign w:val="superscript"/>
        </w:rPr>
        <w:t>2+</w:t>
      </w:r>
      <w:r w:rsidRPr="001C1CE1">
        <w:rPr>
          <w:rFonts w:ascii="Times New Roman" w:hAnsi="Times New Roman" w:cs="Times New Roman"/>
          <w:color w:val="auto"/>
          <w:sz w:val="20"/>
          <w:szCs w:val="20"/>
        </w:rPr>
        <w:t xml:space="preserve"> in terms of its Chlorophyll A and total soluble protein (TSP) concentrations as well as the activity of caspase-3-like enzyme. From these observations, it can be concluded if the alga was suitable to be used as a bioindication tool for Pb</w:t>
      </w:r>
      <w:r w:rsidRPr="001C1CE1">
        <w:rPr>
          <w:rFonts w:ascii="Times New Roman" w:hAnsi="Times New Roman" w:cs="Times New Roman"/>
          <w:color w:val="auto"/>
          <w:sz w:val="20"/>
          <w:szCs w:val="20"/>
          <w:vertAlign w:val="superscript"/>
        </w:rPr>
        <w:t>2+</w:t>
      </w:r>
      <w:r w:rsidRPr="001C1CE1">
        <w:rPr>
          <w:rFonts w:ascii="Times New Roman" w:hAnsi="Times New Roman" w:cs="Times New Roman"/>
          <w:color w:val="auto"/>
          <w:sz w:val="20"/>
          <w:szCs w:val="20"/>
        </w:rPr>
        <w:t xml:space="preserve"> contamination in an aquatic ecosystem or not.</w:t>
      </w:r>
    </w:p>
    <w:p w14:paraId="607B5F22" w14:textId="77777777" w:rsidR="004E7EC9" w:rsidRDefault="004E7EC9" w:rsidP="004E7EC9">
      <w:pPr>
        <w:pStyle w:val="Default"/>
        <w:tabs>
          <w:tab w:val="left" w:pos="284"/>
        </w:tabs>
        <w:spacing w:line="276" w:lineRule="auto"/>
        <w:rPr>
          <w:rFonts w:ascii="Times New Roman" w:hAnsi="Times New Roman" w:cs="Times New Roman"/>
          <w:color w:val="auto"/>
          <w:sz w:val="20"/>
          <w:szCs w:val="20"/>
        </w:rPr>
      </w:pPr>
    </w:p>
    <w:p w14:paraId="7F791C20" w14:textId="77777777" w:rsidR="004E7EC9" w:rsidRPr="001C1CE1" w:rsidRDefault="004E7EC9" w:rsidP="004E7EC9">
      <w:pPr>
        <w:pStyle w:val="Default"/>
        <w:tabs>
          <w:tab w:val="left" w:pos="284"/>
        </w:tabs>
        <w:spacing w:line="276" w:lineRule="auto"/>
        <w:jc w:val="center"/>
        <w:rPr>
          <w:rFonts w:ascii="Times New Roman" w:hAnsi="Times New Roman" w:cs="Times New Roman"/>
          <w:iCs/>
          <w:color w:val="auto"/>
          <w:sz w:val="20"/>
          <w:szCs w:val="20"/>
        </w:rPr>
      </w:pPr>
      <w:r w:rsidRPr="001C1CE1">
        <w:rPr>
          <w:rFonts w:ascii="Times New Roman" w:hAnsi="Times New Roman" w:cs="Times New Roman"/>
          <w:b/>
          <w:color w:val="auto"/>
          <w:sz w:val="20"/>
          <w:szCs w:val="20"/>
        </w:rPr>
        <w:t>Materials and Methods</w:t>
      </w:r>
    </w:p>
    <w:p w14:paraId="6438F8B9" w14:textId="77777777" w:rsidR="004E7EC9" w:rsidRPr="001C1CE1" w:rsidRDefault="004E7EC9" w:rsidP="004E7EC9">
      <w:pPr>
        <w:pStyle w:val="paragraph"/>
        <w:spacing w:before="0" w:beforeAutospacing="0" w:after="0" w:afterAutospacing="0" w:line="276" w:lineRule="auto"/>
        <w:jc w:val="both"/>
        <w:textAlignment w:val="baseline"/>
        <w:rPr>
          <w:rStyle w:val="normaltextrun"/>
          <w:rFonts w:eastAsiaTheme="minorEastAsia"/>
          <w:b/>
          <w:iCs/>
          <w:sz w:val="20"/>
          <w:szCs w:val="20"/>
        </w:rPr>
      </w:pPr>
      <w:r w:rsidRPr="001C1CE1">
        <w:rPr>
          <w:rStyle w:val="normaltextrun"/>
          <w:rFonts w:eastAsiaTheme="minorEastAsia"/>
          <w:b/>
          <w:iCs/>
          <w:sz w:val="20"/>
          <w:szCs w:val="20"/>
        </w:rPr>
        <w:t xml:space="preserve">Culture of microalga sample </w:t>
      </w:r>
    </w:p>
    <w:p w14:paraId="78AAD035" w14:textId="77777777" w:rsidR="004E7EC9" w:rsidRPr="001C1CE1" w:rsidRDefault="004E7EC9" w:rsidP="004E7EC9">
      <w:pPr>
        <w:pStyle w:val="paragraph"/>
        <w:spacing w:before="0" w:beforeAutospacing="0" w:after="0" w:afterAutospacing="0" w:line="276" w:lineRule="auto"/>
        <w:jc w:val="both"/>
        <w:textAlignment w:val="baseline"/>
        <w:rPr>
          <w:rStyle w:val="normaltextrun"/>
          <w:rFonts w:eastAsiaTheme="minorEastAsia"/>
          <w:sz w:val="20"/>
          <w:szCs w:val="20"/>
        </w:rPr>
      </w:pPr>
      <w:r w:rsidRPr="001C1CE1">
        <w:rPr>
          <w:rStyle w:val="normaltextrun"/>
          <w:rFonts w:eastAsiaTheme="minorEastAsia"/>
          <w:sz w:val="20"/>
          <w:szCs w:val="20"/>
        </w:rPr>
        <w:t xml:space="preserve">The algae stock culture of </w:t>
      </w:r>
      <w:r w:rsidRPr="001C1CE1">
        <w:rPr>
          <w:rStyle w:val="normaltextrun"/>
          <w:rFonts w:eastAsiaTheme="minorEastAsia"/>
          <w:i/>
          <w:sz w:val="20"/>
          <w:szCs w:val="20"/>
        </w:rPr>
        <w:t>Scenedesmus</w:t>
      </w:r>
      <w:r w:rsidRPr="001C1CE1">
        <w:rPr>
          <w:rStyle w:val="normaltextrun"/>
          <w:rFonts w:eastAsiaTheme="minorEastAsia"/>
          <w:sz w:val="20"/>
          <w:szCs w:val="20"/>
        </w:rPr>
        <w:t xml:space="preserve"> </w:t>
      </w:r>
      <w:r w:rsidRPr="001C1CE1">
        <w:rPr>
          <w:i/>
          <w:sz w:val="20"/>
          <w:szCs w:val="20"/>
        </w:rPr>
        <w:t xml:space="preserve">regularis </w:t>
      </w:r>
      <w:r w:rsidRPr="001C1CE1">
        <w:rPr>
          <w:sz w:val="20"/>
          <w:szCs w:val="20"/>
        </w:rPr>
        <w:t xml:space="preserve">was </w:t>
      </w:r>
      <w:r w:rsidRPr="001C1CE1">
        <w:rPr>
          <w:rStyle w:val="normaltextrun"/>
          <w:rFonts w:eastAsiaTheme="minorEastAsia"/>
          <w:sz w:val="20"/>
          <w:szCs w:val="20"/>
        </w:rPr>
        <w:t xml:space="preserve">provided by the Institute of Marine Biotechnology, Universiti Malaysia Terengganu. The algae were cultured in f/2 medium in filtered seawater at 5 ppt. The </w:t>
      </w:r>
      <w:r w:rsidRPr="001C1CE1">
        <w:rPr>
          <w:rStyle w:val="normaltextrun"/>
          <w:rFonts w:eastAsiaTheme="minorEastAsia"/>
          <w:sz w:val="20"/>
          <w:szCs w:val="20"/>
        </w:rPr>
        <w:lastRenderedPageBreak/>
        <w:t xml:space="preserve">algae were aerated at 25 °C and under the light intensity of 17 µmol </w:t>
      </w:r>
      <w:r w:rsidRPr="001C1CE1">
        <w:rPr>
          <w:rStyle w:val="normaltextrun"/>
          <w:rFonts w:eastAsiaTheme="minorEastAsia"/>
          <w:sz w:val="20"/>
          <w:szCs w:val="20"/>
          <w:lang w:val="en-US" w:eastAsia="en-US"/>
        </w:rPr>
        <w:t>photon m</w:t>
      </w:r>
      <w:r w:rsidRPr="001C1CE1">
        <w:rPr>
          <w:rStyle w:val="normaltextrun"/>
          <w:rFonts w:eastAsiaTheme="minorEastAsia"/>
          <w:sz w:val="20"/>
          <w:szCs w:val="20"/>
          <w:vertAlign w:val="superscript"/>
        </w:rPr>
        <w:t>-2</w:t>
      </w:r>
      <w:r w:rsidRPr="001C1CE1">
        <w:rPr>
          <w:rStyle w:val="apple-converted-space"/>
          <w:rFonts w:eastAsiaTheme="minorEastAsia"/>
          <w:sz w:val="20"/>
          <w:szCs w:val="20"/>
          <w:vertAlign w:val="superscript"/>
        </w:rPr>
        <w:t> </w:t>
      </w:r>
      <w:r w:rsidRPr="001C1CE1">
        <w:rPr>
          <w:rStyle w:val="normaltextrun"/>
          <w:rFonts w:eastAsiaTheme="minorEastAsia"/>
          <w:sz w:val="20"/>
          <w:szCs w:val="20"/>
        </w:rPr>
        <w:t>s</w:t>
      </w:r>
      <w:r w:rsidRPr="001C1CE1">
        <w:rPr>
          <w:rStyle w:val="normaltextrun"/>
          <w:rFonts w:eastAsiaTheme="minorEastAsia"/>
          <w:sz w:val="20"/>
          <w:szCs w:val="20"/>
          <w:vertAlign w:val="superscript"/>
        </w:rPr>
        <w:t>-1</w:t>
      </w:r>
      <w:r w:rsidRPr="001C1CE1">
        <w:rPr>
          <w:rStyle w:val="apple-converted-space"/>
          <w:rFonts w:eastAsiaTheme="minorEastAsia"/>
          <w:sz w:val="20"/>
          <w:szCs w:val="20"/>
        </w:rPr>
        <w:t> </w:t>
      </w:r>
      <w:r w:rsidRPr="001C1CE1">
        <w:rPr>
          <w:rStyle w:val="normaltextrun"/>
          <w:rFonts w:eastAsiaTheme="minorEastAsia"/>
          <w:sz w:val="20"/>
          <w:szCs w:val="20"/>
        </w:rPr>
        <w:t xml:space="preserve">until it reached the middle of the exponential growth phase, whereby they were harvested by centrifugation for treatment. </w:t>
      </w:r>
    </w:p>
    <w:p w14:paraId="4C027CE3" w14:textId="77777777" w:rsidR="004E7EC9" w:rsidRPr="001C1CE1" w:rsidRDefault="004E7EC9" w:rsidP="004E7EC9">
      <w:pPr>
        <w:pStyle w:val="paragraph"/>
        <w:spacing w:before="0" w:beforeAutospacing="0" w:after="0" w:afterAutospacing="0" w:line="276" w:lineRule="auto"/>
        <w:jc w:val="both"/>
        <w:textAlignment w:val="baseline"/>
        <w:rPr>
          <w:rStyle w:val="normaltextrun"/>
          <w:rFonts w:eastAsiaTheme="minorEastAsia"/>
          <w:sz w:val="20"/>
          <w:szCs w:val="20"/>
        </w:rPr>
      </w:pPr>
    </w:p>
    <w:p w14:paraId="167DDF38" w14:textId="77777777" w:rsidR="004E7EC9" w:rsidRPr="001C1CE1" w:rsidRDefault="004E7EC9" w:rsidP="004E7EC9">
      <w:pPr>
        <w:pStyle w:val="paragraph"/>
        <w:spacing w:before="0" w:beforeAutospacing="0" w:after="0" w:afterAutospacing="0" w:line="276" w:lineRule="auto"/>
        <w:jc w:val="both"/>
        <w:textAlignment w:val="baseline"/>
        <w:rPr>
          <w:rStyle w:val="eop"/>
          <w:sz w:val="20"/>
          <w:szCs w:val="20"/>
        </w:rPr>
      </w:pPr>
      <w:r w:rsidRPr="001C1CE1">
        <w:rPr>
          <w:rStyle w:val="normaltextrun"/>
          <w:rFonts w:eastAsiaTheme="minorEastAsia"/>
          <w:b/>
          <w:iCs/>
          <w:sz w:val="20"/>
          <w:szCs w:val="20"/>
        </w:rPr>
        <w:t>Inhibitory concentrations and treatments of Pb</w:t>
      </w:r>
      <w:r w:rsidRPr="001C1CE1">
        <w:rPr>
          <w:rStyle w:val="normaltextrun"/>
          <w:rFonts w:eastAsiaTheme="minorEastAsia"/>
          <w:b/>
          <w:iCs/>
          <w:sz w:val="20"/>
          <w:szCs w:val="20"/>
          <w:vertAlign w:val="superscript"/>
        </w:rPr>
        <w:t>2+</w:t>
      </w:r>
      <w:r w:rsidRPr="001C1CE1">
        <w:rPr>
          <w:rStyle w:val="normaltextrun"/>
          <w:rFonts w:eastAsiaTheme="minorEastAsia"/>
          <w:b/>
          <w:iCs/>
          <w:sz w:val="20"/>
          <w:szCs w:val="20"/>
        </w:rPr>
        <w:t xml:space="preserve"> on </w:t>
      </w:r>
      <w:r w:rsidRPr="001C1CE1">
        <w:rPr>
          <w:rStyle w:val="normaltextrun"/>
          <w:rFonts w:eastAsiaTheme="minorEastAsia"/>
          <w:b/>
          <w:i/>
          <w:iCs/>
          <w:sz w:val="20"/>
          <w:szCs w:val="20"/>
        </w:rPr>
        <w:t>S. regularis</w:t>
      </w:r>
      <w:r w:rsidRPr="001C1CE1">
        <w:rPr>
          <w:rStyle w:val="normaltextrun"/>
          <w:rFonts w:eastAsiaTheme="minorEastAsia"/>
          <w:b/>
          <w:iCs/>
          <w:sz w:val="20"/>
          <w:szCs w:val="20"/>
        </w:rPr>
        <w:t xml:space="preserve"> </w:t>
      </w:r>
      <w:r w:rsidRPr="001C1CE1">
        <w:rPr>
          <w:rStyle w:val="eop"/>
          <w:sz w:val="20"/>
          <w:szCs w:val="20"/>
        </w:rPr>
        <w:t> </w:t>
      </w:r>
    </w:p>
    <w:p w14:paraId="75E91725" w14:textId="77777777" w:rsidR="004E7EC9" w:rsidRPr="001C1CE1" w:rsidRDefault="004E7EC9" w:rsidP="004E7EC9">
      <w:pPr>
        <w:pStyle w:val="paragraph"/>
        <w:spacing w:before="0" w:beforeAutospacing="0" w:after="0" w:afterAutospacing="0" w:line="276" w:lineRule="auto"/>
        <w:jc w:val="both"/>
        <w:textAlignment w:val="baseline"/>
        <w:rPr>
          <w:rStyle w:val="normaltextrun"/>
          <w:rFonts w:eastAsiaTheme="minorEastAsia"/>
          <w:sz w:val="20"/>
          <w:szCs w:val="20"/>
        </w:rPr>
      </w:pPr>
      <w:r w:rsidRPr="001C1CE1">
        <w:rPr>
          <w:rStyle w:val="normaltextrun"/>
          <w:rFonts w:eastAsiaTheme="minorEastAsia"/>
          <w:sz w:val="20"/>
          <w:szCs w:val="20"/>
        </w:rPr>
        <w:t>Tolerance assay was done to determine the inhibitory concentration (IC) based on number of cells response for</w:t>
      </w:r>
      <w:r w:rsidRPr="001C1CE1">
        <w:rPr>
          <w:rStyle w:val="apple-converted-space"/>
          <w:rFonts w:eastAsiaTheme="minorEastAsia"/>
          <w:sz w:val="20"/>
          <w:szCs w:val="20"/>
        </w:rPr>
        <w:t> </w:t>
      </w:r>
      <w:r w:rsidRPr="001C1CE1">
        <w:rPr>
          <w:rStyle w:val="normaltextrun"/>
          <w:rFonts w:eastAsiaTheme="minorEastAsia"/>
          <w:i/>
          <w:iCs/>
          <w:sz w:val="20"/>
          <w:szCs w:val="20"/>
        </w:rPr>
        <w:t xml:space="preserve">S.regularis </w:t>
      </w:r>
      <w:r w:rsidRPr="001C1CE1">
        <w:rPr>
          <w:rStyle w:val="normaltextrun"/>
          <w:rFonts w:eastAsiaTheme="minorEastAsia"/>
          <w:iCs/>
          <w:sz w:val="20"/>
          <w:szCs w:val="20"/>
        </w:rPr>
        <w:t>against</w:t>
      </w:r>
      <w:r w:rsidRPr="001C1CE1">
        <w:rPr>
          <w:rStyle w:val="apple-converted-space"/>
          <w:rFonts w:eastAsiaTheme="minorEastAsia"/>
          <w:sz w:val="20"/>
          <w:szCs w:val="20"/>
        </w:rPr>
        <w:t> Pb</w:t>
      </w:r>
      <w:r w:rsidRPr="001C1CE1">
        <w:rPr>
          <w:rStyle w:val="apple-converted-space"/>
          <w:rFonts w:eastAsiaTheme="minorEastAsia"/>
          <w:sz w:val="20"/>
          <w:szCs w:val="20"/>
          <w:vertAlign w:val="superscript"/>
        </w:rPr>
        <w:t>2+</w:t>
      </w:r>
      <w:r w:rsidRPr="001C1CE1">
        <w:rPr>
          <w:rStyle w:val="apple-converted-space"/>
          <w:rFonts w:eastAsiaTheme="minorEastAsia"/>
          <w:sz w:val="20"/>
          <w:szCs w:val="20"/>
        </w:rPr>
        <w:t xml:space="preserve"> in the form of </w:t>
      </w:r>
      <w:r w:rsidRPr="001C1CE1">
        <w:rPr>
          <w:rStyle w:val="normaltextrun"/>
          <w:rFonts w:eastAsiaTheme="minorEastAsia"/>
          <w:sz w:val="20"/>
          <w:szCs w:val="20"/>
        </w:rPr>
        <w:t>lead(II) nitrate,</w:t>
      </w:r>
      <w:r w:rsidRPr="001C1CE1">
        <w:rPr>
          <w:rStyle w:val="apple-converted-space"/>
          <w:rFonts w:eastAsiaTheme="minorEastAsia"/>
          <w:sz w:val="20"/>
          <w:szCs w:val="20"/>
        </w:rPr>
        <w:t> </w:t>
      </w:r>
      <w:r w:rsidRPr="001C1CE1">
        <w:rPr>
          <w:rStyle w:val="normaltextrun"/>
          <w:rFonts w:eastAsiaTheme="minorEastAsia"/>
          <w:sz w:val="20"/>
          <w:szCs w:val="20"/>
        </w:rPr>
        <w:t>Pb(NO</w:t>
      </w:r>
      <w:r w:rsidRPr="001C1CE1">
        <w:rPr>
          <w:rStyle w:val="normaltextrun"/>
          <w:rFonts w:eastAsiaTheme="minorEastAsia"/>
          <w:sz w:val="20"/>
          <w:szCs w:val="20"/>
          <w:vertAlign w:val="subscript"/>
        </w:rPr>
        <w:t>3</w:t>
      </w:r>
      <w:r w:rsidRPr="001C1CE1">
        <w:rPr>
          <w:rStyle w:val="normaltextrun"/>
          <w:rFonts w:eastAsiaTheme="minorEastAsia"/>
          <w:sz w:val="20"/>
          <w:szCs w:val="20"/>
        </w:rPr>
        <w:t>)</w:t>
      </w:r>
      <w:r w:rsidRPr="001C1CE1">
        <w:rPr>
          <w:rStyle w:val="normaltextrun"/>
          <w:rFonts w:eastAsiaTheme="minorEastAsia"/>
          <w:sz w:val="20"/>
          <w:szCs w:val="20"/>
          <w:vertAlign w:val="subscript"/>
        </w:rPr>
        <w:t>2</w:t>
      </w:r>
      <w:r w:rsidRPr="001C1CE1">
        <w:rPr>
          <w:rStyle w:val="apple-converted-space"/>
          <w:rFonts w:eastAsiaTheme="minorEastAsia"/>
          <w:sz w:val="20"/>
          <w:szCs w:val="20"/>
        </w:rPr>
        <w:t> </w:t>
      </w:r>
      <w:r w:rsidRPr="001C1CE1">
        <w:rPr>
          <w:rStyle w:val="normaltextrun"/>
          <w:rFonts w:eastAsiaTheme="minorEastAsia"/>
          <w:sz w:val="20"/>
          <w:szCs w:val="20"/>
        </w:rPr>
        <w:t>toxification. A 24-well plate was filled with f/2 medium at initial cell density of 10</w:t>
      </w:r>
      <w:r w:rsidRPr="001C1CE1">
        <w:rPr>
          <w:rStyle w:val="normaltextrun"/>
          <w:rFonts w:eastAsiaTheme="minorEastAsia"/>
          <w:sz w:val="20"/>
          <w:szCs w:val="20"/>
          <w:vertAlign w:val="superscript"/>
        </w:rPr>
        <w:t>6</w:t>
      </w:r>
      <w:r w:rsidRPr="001C1CE1">
        <w:rPr>
          <w:rStyle w:val="apple-converted-space"/>
          <w:rFonts w:eastAsiaTheme="minorEastAsia"/>
          <w:sz w:val="20"/>
          <w:szCs w:val="20"/>
        </w:rPr>
        <w:t> </w:t>
      </w:r>
      <w:r w:rsidRPr="001C1CE1">
        <w:rPr>
          <w:rStyle w:val="normaltextrun"/>
          <w:rFonts w:eastAsiaTheme="minorEastAsia"/>
          <w:sz w:val="20"/>
          <w:szCs w:val="20"/>
        </w:rPr>
        <w:t>and six different Pb(NO</w:t>
      </w:r>
      <w:r w:rsidRPr="001C1CE1">
        <w:rPr>
          <w:rStyle w:val="normaltextrun"/>
          <w:rFonts w:eastAsiaTheme="minorEastAsia"/>
          <w:sz w:val="20"/>
          <w:szCs w:val="20"/>
          <w:vertAlign w:val="subscript"/>
        </w:rPr>
        <w:t>3</w:t>
      </w:r>
      <w:r w:rsidRPr="001C1CE1">
        <w:rPr>
          <w:rStyle w:val="normaltextrun"/>
          <w:rFonts w:eastAsiaTheme="minorEastAsia"/>
          <w:sz w:val="20"/>
          <w:szCs w:val="20"/>
        </w:rPr>
        <w:t>)</w:t>
      </w:r>
      <w:r w:rsidRPr="001C1CE1">
        <w:rPr>
          <w:rStyle w:val="normaltextrun"/>
          <w:rFonts w:eastAsiaTheme="minorEastAsia"/>
          <w:sz w:val="20"/>
          <w:szCs w:val="20"/>
          <w:vertAlign w:val="subscript"/>
        </w:rPr>
        <w:t>2</w:t>
      </w:r>
      <w:r w:rsidRPr="001C1CE1">
        <w:rPr>
          <w:rStyle w:val="apple-converted-space"/>
          <w:rFonts w:eastAsiaTheme="minorEastAsia"/>
          <w:sz w:val="20"/>
          <w:szCs w:val="20"/>
        </w:rPr>
        <w:t> </w:t>
      </w:r>
      <w:r w:rsidRPr="001C1CE1">
        <w:rPr>
          <w:rStyle w:val="normaltextrun"/>
          <w:rFonts w:eastAsiaTheme="minorEastAsia"/>
          <w:sz w:val="20"/>
          <w:szCs w:val="20"/>
        </w:rPr>
        <w:t>concentrations (i.e. ranging from 0</w:t>
      </w:r>
      <w:r w:rsidRPr="001C1CE1">
        <w:rPr>
          <w:rFonts w:asciiTheme="minorHAnsi" w:eastAsiaTheme="minorEastAsia" w:hAnsiTheme="minorHAnsi" w:cstheme="minorBidi"/>
          <w:kern w:val="2"/>
          <w:sz w:val="20"/>
          <w:szCs w:val="20"/>
          <w:lang w:val="en-US" w:eastAsia="ko-KR"/>
        </w:rPr>
        <w:t xml:space="preserve"> </w:t>
      </w:r>
      <w:r w:rsidRPr="001C1CE1">
        <w:rPr>
          <w:rFonts w:eastAsiaTheme="minorEastAsia"/>
          <w:sz w:val="20"/>
          <w:szCs w:val="20"/>
          <w:lang w:val="en-US"/>
        </w:rPr>
        <w:t>mg/L</w:t>
      </w:r>
      <w:r w:rsidRPr="001C1CE1">
        <w:rPr>
          <w:rStyle w:val="normaltextrun"/>
          <w:rFonts w:eastAsiaTheme="minorEastAsia"/>
          <w:sz w:val="20"/>
          <w:szCs w:val="20"/>
        </w:rPr>
        <w:t xml:space="preserve"> to 30 mg/L). Treatment was done for 24 hours under light intensity of</w:t>
      </w:r>
      <w:r w:rsidRPr="001C1CE1">
        <w:rPr>
          <w:rStyle w:val="apple-converted-space"/>
          <w:rFonts w:eastAsiaTheme="minorEastAsia"/>
          <w:sz w:val="20"/>
          <w:szCs w:val="20"/>
        </w:rPr>
        <w:t> </w:t>
      </w:r>
      <w:r w:rsidRPr="001C1CE1">
        <w:rPr>
          <w:rStyle w:val="normaltextrun"/>
          <w:rFonts w:eastAsiaTheme="minorEastAsia"/>
          <w:sz w:val="20"/>
          <w:szCs w:val="20"/>
        </w:rPr>
        <w:t>17 µmol photon m</w:t>
      </w:r>
      <w:r w:rsidRPr="001C1CE1">
        <w:rPr>
          <w:rStyle w:val="normaltextrun"/>
          <w:rFonts w:eastAsiaTheme="minorEastAsia"/>
          <w:sz w:val="20"/>
          <w:szCs w:val="20"/>
          <w:vertAlign w:val="superscript"/>
        </w:rPr>
        <w:t>-2</w:t>
      </w:r>
      <w:r w:rsidRPr="001C1CE1">
        <w:rPr>
          <w:rStyle w:val="apple-converted-space"/>
          <w:rFonts w:eastAsiaTheme="minorEastAsia"/>
          <w:sz w:val="20"/>
          <w:szCs w:val="20"/>
          <w:vertAlign w:val="superscript"/>
        </w:rPr>
        <w:t> </w:t>
      </w:r>
      <w:r w:rsidRPr="001C1CE1">
        <w:rPr>
          <w:rStyle w:val="normaltextrun"/>
          <w:rFonts w:eastAsiaTheme="minorEastAsia"/>
          <w:sz w:val="20"/>
          <w:szCs w:val="20"/>
        </w:rPr>
        <w:t>s</w:t>
      </w:r>
      <w:r w:rsidRPr="001C1CE1">
        <w:rPr>
          <w:rStyle w:val="normaltextrun"/>
          <w:rFonts w:eastAsiaTheme="minorEastAsia"/>
          <w:sz w:val="20"/>
          <w:szCs w:val="20"/>
          <w:vertAlign w:val="superscript"/>
        </w:rPr>
        <w:t>-1</w:t>
      </w:r>
      <w:r w:rsidRPr="001C1CE1">
        <w:rPr>
          <w:rStyle w:val="normaltextrun"/>
          <w:rFonts w:eastAsiaTheme="minorEastAsia"/>
          <w:sz w:val="20"/>
          <w:szCs w:val="20"/>
        </w:rPr>
        <w:t xml:space="preserve"> and 25°C, and the number of live cells were counted at 0, 12  and 24 hours by using a haemocytometer. To differentiate between live and dead cells, trypan blue was used to stain the dead cells. The concentrations of</w:t>
      </w:r>
      <w:r w:rsidRPr="001C1CE1">
        <w:rPr>
          <w:rStyle w:val="apple-converted-space"/>
          <w:rFonts w:eastAsiaTheme="minorEastAsia"/>
          <w:sz w:val="20"/>
          <w:szCs w:val="20"/>
        </w:rPr>
        <w:t> </w:t>
      </w:r>
      <w:r w:rsidRPr="001C1CE1">
        <w:rPr>
          <w:rStyle w:val="normaltextrun"/>
          <w:rFonts w:eastAsiaTheme="minorEastAsia"/>
          <w:sz w:val="20"/>
          <w:szCs w:val="20"/>
        </w:rPr>
        <w:t>Pb</w:t>
      </w:r>
      <w:r w:rsidRPr="001C1CE1">
        <w:rPr>
          <w:rStyle w:val="normaltextrun"/>
          <w:rFonts w:eastAsiaTheme="minorEastAsia"/>
          <w:sz w:val="20"/>
          <w:szCs w:val="20"/>
          <w:vertAlign w:val="superscript"/>
        </w:rPr>
        <w:t>2+</w:t>
      </w:r>
      <w:r w:rsidRPr="001C1CE1">
        <w:rPr>
          <w:rStyle w:val="apple-converted-space"/>
          <w:rFonts w:eastAsiaTheme="minorEastAsia"/>
          <w:sz w:val="20"/>
          <w:szCs w:val="20"/>
        </w:rPr>
        <w:t> which inhibited 25% (IC</w:t>
      </w:r>
      <w:r w:rsidRPr="001C1CE1">
        <w:rPr>
          <w:rStyle w:val="apple-converted-space"/>
          <w:rFonts w:eastAsiaTheme="minorEastAsia"/>
          <w:sz w:val="20"/>
          <w:szCs w:val="20"/>
          <w:vertAlign w:val="subscript"/>
        </w:rPr>
        <w:t>25</w:t>
      </w:r>
      <w:r w:rsidRPr="001C1CE1">
        <w:rPr>
          <w:rStyle w:val="apple-converted-space"/>
          <w:rFonts w:eastAsiaTheme="minorEastAsia"/>
          <w:sz w:val="20"/>
          <w:szCs w:val="20"/>
        </w:rPr>
        <w:t>), 50% (IC</w:t>
      </w:r>
      <w:r w:rsidRPr="001C1CE1">
        <w:rPr>
          <w:rStyle w:val="apple-converted-space"/>
          <w:rFonts w:eastAsiaTheme="minorEastAsia"/>
          <w:sz w:val="20"/>
          <w:szCs w:val="20"/>
          <w:vertAlign w:val="subscript"/>
        </w:rPr>
        <w:t>50</w:t>
      </w:r>
      <w:r w:rsidRPr="001C1CE1">
        <w:rPr>
          <w:rStyle w:val="apple-converted-space"/>
          <w:rFonts w:eastAsiaTheme="minorEastAsia"/>
          <w:sz w:val="20"/>
          <w:szCs w:val="20"/>
        </w:rPr>
        <w:t>) and 75% (IC</w:t>
      </w:r>
      <w:r w:rsidRPr="001C1CE1">
        <w:rPr>
          <w:rStyle w:val="apple-converted-space"/>
          <w:rFonts w:eastAsiaTheme="minorEastAsia"/>
          <w:sz w:val="20"/>
          <w:szCs w:val="20"/>
          <w:vertAlign w:val="subscript"/>
        </w:rPr>
        <w:t>75</w:t>
      </w:r>
      <w:r w:rsidRPr="001C1CE1">
        <w:rPr>
          <w:rStyle w:val="apple-converted-space"/>
          <w:rFonts w:eastAsiaTheme="minorEastAsia"/>
          <w:sz w:val="20"/>
          <w:szCs w:val="20"/>
        </w:rPr>
        <w:t xml:space="preserve">) of </w:t>
      </w:r>
      <w:r w:rsidRPr="001C1CE1">
        <w:rPr>
          <w:rStyle w:val="apple-converted-space"/>
          <w:rFonts w:eastAsiaTheme="minorEastAsia"/>
          <w:i/>
          <w:sz w:val="20"/>
          <w:szCs w:val="20"/>
        </w:rPr>
        <w:t>S. regularis</w:t>
      </w:r>
      <w:r w:rsidRPr="001C1CE1">
        <w:rPr>
          <w:rStyle w:val="apple-converted-space"/>
          <w:rFonts w:eastAsiaTheme="minorEastAsia"/>
          <w:sz w:val="20"/>
          <w:szCs w:val="20"/>
        </w:rPr>
        <w:t xml:space="preserve"> cells were then </w:t>
      </w:r>
      <w:r w:rsidRPr="001C1CE1">
        <w:rPr>
          <w:rStyle w:val="normaltextrun"/>
          <w:rFonts w:eastAsiaTheme="minorEastAsia"/>
          <w:sz w:val="20"/>
          <w:szCs w:val="20"/>
        </w:rPr>
        <w:t xml:space="preserve">calculated based on probit analysis [14]. </w:t>
      </w:r>
    </w:p>
    <w:p w14:paraId="0A29E24D" w14:textId="77777777" w:rsidR="004E7EC9" w:rsidRPr="001C1CE1" w:rsidRDefault="004E7EC9" w:rsidP="004E7EC9">
      <w:pPr>
        <w:pStyle w:val="paragraph"/>
        <w:spacing w:before="0" w:beforeAutospacing="0" w:after="0" w:afterAutospacing="0" w:line="276" w:lineRule="auto"/>
        <w:jc w:val="both"/>
        <w:textAlignment w:val="baseline"/>
        <w:rPr>
          <w:rStyle w:val="normaltextrun"/>
          <w:rFonts w:eastAsiaTheme="minorEastAsia"/>
          <w:sz w:val="20"/>
          <w:szCs w:val="20"/>
        </w:rPr>
      </w:pPr>
    </w:p>
    <w:p w14:paraId="03DB6131" w14:textId="77777777" w:rsidR="004E7EC9" w:rsidRPr="001C1CE1" w:rsidRDefault="004E7EC9" w:rsidP="004E7EC9">
      <w:pPr>
        <w:pStyle w:val="paragraph"/>
        <w:tabs>
          <w:tab w:val="left" w:pos="426"/>
        </w:tabs>
        <w:spacing w:before="0" w:beforeAutospacing="0" w:after="0" w:afterAutospacing="0" w:line="276" w:lineRule="auto"/>
        <w:jc w:val="both"/>
        <w:textAlignment w:val="baseline"/>
        <w:rPr>
          <w:rStyle w:val="normaltextrun"/>
          <w:rFonts w:eastAsiaTheme="minorEastAsia"/>
          <w:sz w:val="20"/>
          <w:szCs w:val="20"/>
        </w:rPr>
      </w:pPr>
      <w:r w:rsidRPr="001C1CE1">
        <w:rPr>
          <w:rStyle w:val="normaltextrun"/>
          <w:rFonts w:eastAsiaTheme="minorEastAsia"/>
          <w:i/>
          <w:sz w:val="20"/>
          <w:szCs w:val="20"/>
        </w:rPr>
        <w:t>S. regularis</w:t>
      </w:r>
      <w:r w:rsidRPr="001C1CE1">
        <w:rPr>
          <w:rStyle w:val="normaltextrun"/>
          <w:rFonts w:eastAsiaTheme="minorEastAsia"/>
          <w:sz w:val="20"/>
          <w:szCs w:val="20"/>
        </w:rPr>
        <w:t xml:space="preserve"> was then treated with the IC</w:t>
      </w:r>
      <w:r w:rsidRPr="001C1CE1">
        <w:rPr>
          <w:rStyle w:val="normaltextrun"/>
          <w:rFonts w:eastAsiaTheme="minorEastAsia"/>
          <w:sz w:val="20"/>
          <w:szCs w:val="20"/>
          <w:vertAlign w:val="subscript"/>
        </w:rPr>
        <w:t xml:space="preserve">25, </w:t>
      </w:r>
      <w:r w:rsidRPr="001C1CE1">
        <w:rPr>
          <w:rStyle w:val="normaltextrun"/>
          <w:rFonts w:eastAsiaTheme="minorEastAsia"/>
          <w:sz w:val="20"/>
          <w:szCs w:val="20"/>
        </w:rPr>
        <w:t>IC</w:t>
      </w:r>
      <w:r w:rsidRPr="001C1CE1">
        <w:rPr>
          <w:rStyle w:val="normaltextrun"/>
          <w:rFonts w:eastAsiaTheme="minorEastAsia"/>
          <w:sz w:val="20"/>
          <w:szCs w:val="20"/>
          <w:vertAlign w:val="subscript"/>
        </w:rPr>
        <w:t xml:space="preserve">50, </w:t>
      </w:r>
      <w:r w:rsidRPr="001C1CE1">
        <w:rPr>
          <w:rStyle w:val="normaltextrun"/>
          <w:rFonts w:eastAsiaTheme="minorEastAsia"/>
          <w:sz w:val="20"/>
          <w:szCs w:val="20"/>
        </w:rPr>
        <w:t>and IC</w:t>
      </w:r>
      <w:r w:rsidRPr="001C1CE1">
        <w:rPr>
          <w:rStyle w:val="normaltextrun"/>
          <w:rFonts w:eastAsiaTheme="minorEastAsia"/>
          <w:sz w:val="20"/>
          <w:szCs w:val="20"/>
          <w:vertAlign w:val="subscript"/>
        </w:rPr>
        <w:t xml:space="preserve">75 </w:t>
      </w:r>
      <w:r w:rsidRPr="001C1CE1">
        <w:rPr>
          <w:rStyle w:val="normaltextrun"/>
          <w:rFonts w:eastAsiaTheme="minorEastAsia"/>
          <w:sz w:val="20"/>
          <w:szCs w:val="20"/>
        </w:rPr>
        <w:t>of Pb</w:t>
      </w:r>
      <w:r w:rsidRPr="001C1CE1">
        <w:rPr>
          <w:rStyle w:val="normaltextrun"/>
          <w:rFonts w:eastAsiaTheme="minorEastAsia"/>
          <w:sz w:val="20"/>
          <w:szCs w:val="20"/>
          <w:vertAlign w:val="superscript"/>
        </w:rPr>
        <w:t>2+</w:t>
      </w:r>
      <w:r w:rsidRPr="001C1CE1">
        <w:rPr>
          <w:rStyle w:val="normaltextrun"/>
          <w:rFonts w:eastAsiaTheme="minorEastAsia"/>
          <w:sz w:val="20"/>
          <w:szCs w:val="20"/>
        </w:rPr>
        <w:t xml:space="preserve">, as determined above. Treatments were done for </w:t>
      </w:r>
      <w:r w:rsidRPr="001C1CE1">
        <w:rPr>
          <w:rStyle w:val="normaltextrun"/>
          <w:rFonts w:eastAsiaTheme="minorEastAsia"/>
          <w:sz w:val="20"/>
          <w:szCs w:val="20"/>
        </w:rPr>
        <w:t xml:space="preserve">24h </w:t>
      </w:r>
      <w:r w:rsidRPr="001C1CE1">
        <w:rPr>
          <w:rStyle w:val="spellingerror"/>
          <w:sz w:val="20"/>
          <w:szCs w:val="20"/>
        </w:rPr>
        <w:t>at</w:t>
      </w:r>
      <w:r w:rsidRPr="001C1CE1">
        <w:rPr>
          <w:rStyle w:val="apple-converted-space"/>
          <w:rFonts w:eastAsiaTheme="minorEastAsia"/>
          <w:sz w:val="20"/>
          <w:szCs w:val="20"/>
        </w:rPr>
        <w:t xml:space="preserve"> an initial </w:t>
      </w:r>
      <w:r w:rsidRPr="001C1CE1">
        <w:rPr>
          <w:rStyle w:val="normaltextrun"/>
          <w:rFonts w:eastAsiaTheme="minorEastAsia"/>
          <w:sz w:val="20"/>
          <w:szCs w:val="20"/>
        </w:rPr>
        <w:t>cell density of 10</w:t>
      </w:r>
      <w:r w:rsidRPr="001C1CE1">
        <w:rPr>
          <w:rStyle w:val="normaltextrun"/>
          <w:rFonts w:eastAsiaTheme="minorEastAsia"/>
          <w:sz w:val="20"/>
          <w:szCs w:val="20"/>
          <w:vertAlign w:val="superscript"/>
        </w:rPr>
        <w:t>6</w:t>
      </w:r>
      <w:r w:rsidRPr="001C1CE1">
        <w:rPr>
          <w:rStyle w:val="normaltextrun"/>
          <w:rFonts w:eastAsiaTheme="minorEastAsia"/>
          <w:sz w:val="20"/>
          <w:szCs w:val="20"/>
        </w:rPr>
        <w:t xml:space="preserve"> in similar conditions as the tolerance assay. The number of cells was counted at the end of treatment by using a haemocytometer (Merck, </w:t>
      </w:r>
      <w:r w:rsidRPr="001C1CE1">
        <w:rPr>
          <w:kern w:val="36"/>
          <w:sz w:val="20"/>
          <w:szCs w:val="20"/>
        </w:rPr>
        <w:t>BLAUBRAND</w:t>
      </w:r>
      <w:r w:rsidRPr="001C1CE1">
        <w:rPr>
          <w:kern w:val="36"/>
          <w:sz w:val="20"/>
          <w:szCs w:val="20"/>
          <w:vertAlign w:val="superscript"/>
        </w:rPr>
        <w:t>®</w:t>
      </w:r>
      <w:r w:rsidRPr="001C1CE1">
        <w:rPr>
          <w:kern w:val="36"/>
          <w:sz w:val="20"/>
          <w:szCs w:val="20"/>
        </w:rPr>
        <w:t xml:space="preserve"> Neubauer</w:t>
      </w:r>
      <w:r w:rsidRPr="001C1CE1">
        <w:rPr>
          <w:rStyle w:val="normaltextrun"/>
          <w:rFonts w:eastAsiaTheme="minorEastAsia"/>
          <w:sz w:val="20"/>
          <w:szCs w:val="20"/>
        </w:rPr>
        <w:t>). The treated algae aliquots were pelleted in falcon tubes via centrifugation</w:t>
      </w:r>
      <w:r w:rsidRPr="001C1CE1">
        <w:rPr>
          <w:rStyle w:val="apple-converted-space"/>
          <w:rFonts w:eastAsiaTheme="minorEastAsia"/>
          <w:sz w:val="20"/>
          <w:szCs w:val="20"/>
        </w:rPr>
        <w:t> </w:t>
      </w:r>
      <w:r w:rsidRPr="001C1CE1">
        <w:rPr>
          <w:rStyle w:val="normaltextrun"/>
          <w:rFonts w:eastAsiaTheme="minorEastAsia"/>
          <w:sz w:val="20"/>
          <w:szCs w:val="20"/>
        </w:rPr>
        <w:t xml:space="preserve">at 15000 xg and 4°C for 15 min. The pellets were then stored at -80 </w:t>
      </w:r>
      <w:r w:rsidRPr="001C1CE1">
        <w:rPr>
          <w:rStyle w:val="normaltextrun"/>
          <w:rFonts w:eastAsiaTheme="minorEastAsia"/>
          <w:sz w:val="20"/>
          <w:szCs w:val="20"/>
        </w:rPr>
        <w:sym w:font="Symbol" w:char="F0B0"/>
      </w:r>
      <w:r w:rsidRPr="001C1CE1">
        <w:rPr>
          <w:rStyle w:val="normaltextrun"/>
          <w:rFonts w:eastAsiaTheme="minorEastAsia"/>
          <w:sz w:val="20"/>
          <w:szCs w:val="20"/>
        </w:rPr>
        <w:t>C before further analyses. </w:t>
      </w:r>
    </w:p>
    <w:p w14:paraId="122C57A4" w14:textId="77777777" w:rsidR="004E7EC9" w:rsidRPr="001C1CE1" w:rsidRDefault="004E7EC9" w:rsidP="004E7EC9">
      <w:pPr>
        <w:pStyle w:val="paragraph"/>
        <w:tabs>
          <w:tab w:val="left" w:pos="426"/>
        </w:tabs>
        <w:spacing w:before="0" w:beforeAutospacing="0" w:after="0" w:afterAutospacing="0" w:line="276" w:lineRule="auto"/>
        <w:jc w:val="both"/>
        <w:textAlignment w:val="baseline"/>
        <w:rPr>
          <w:rStyle w:val="normaltextrun"/>
          <w:rFonts w:eastAsiaTheme="minorEastAsia"/>
          <w:sz w:val="20"/>
          <w:szCs w:val="20"/>
        </w:rPr>
      </w:pPr>
      <w:r w:rsidRPr="001C1CE1">
        <w:rPr>
          <w:rStyle w:val="normaltextrun"/>
          <w:rFonts w:eastAsiaTheme="minorEastAsia"/>
          <w:sz w:val="20"/>
          <w:szCs w:val="20"/>
        </w:rPr>
        <w:t> </w:t>
      </w:r>
    </w:p>
    <w:p w14:paraId="4A2AE2F4" w14:textId="77777777" w:rsidR="004E7EC9" w:rsidRPr="001C1CE1" w:rsidRDefault="004E7EC9" w:rsidP="004E7EC9">
      <w:pPr>
        <w:pStyle w:val="paragraph"/>
        <w:spacing w:before="0" w:beforeAutospacing="0" w:after="0" w:afterAutospacing="0" w:line="276" w:lineRule="auto"/>
        <w:jc w:val="both"/>
        <w:textAlignment w:val="baseline"/>
        <w:rPr>
          <w:rStyle w:val="normaltextrun"/>
          <w:rFonts w:eastAsiaTheme="minorEastAsia"/>
          <w:b/>
          <w:iCs/>
          <w:sz w:val="20"/>
          <w:szCs w:val="20"/>
        </w:rPr>
      </w:pPr>
      <w:r w:rsidRPr="001C1CE1">
        <w:rPr>
          <w:rStyle w:val="normaltextrun"/>
          <w:rFonts w:eastAsiaTheme="minorEastAsia"/>
          <w:b/>
          <w:iCs/>
          <w:sz w:val="20"/>
          <w:szCs w:val="20"/>
        </w:rPr>
        <w:t xml:space="preserve">Parameters analysed </w:t>
      </w:r>
    </w:p>
    <w:p w14:paraId="245B82B2" w14:textId="5423568E" w:rsidR="004E7EC9" w:rsidRPr="004E7EC9" w:rsidRDefault="004E7EC9" w:rsidP="004E7EC9">
      <w:pPr>
        <w:pStyle w:val="paragraph"/>
        <w:spacing w:before="0" w:beforeAutospacing="0" w:after="0" w:afterAutospacing="0" w:line="276" w:lineRule="auto"/>
        <w:jc w:val="both"/>
        <w:textAlignment w:val="baseline"/>
        <w:rPr>
          <w:rFonts w:eastAsiaTheme="minorEastAsia"/>
          <w:sz w:val="20"/>
          <w:szCs w:val="20"/>
        </w:rPr>
        <w:sectPr w:rsidR="004E7EC9" w:rsidRPr="004E7EC9" w:rsidSect="004E7EC9">
          <w:headerReference w:type="even" r:id="rId13"/>
          <w:headerReference w:type="default" r:id="rId14"/>
          <w:footerReference w:type="default" r:id="rId15"/>
          <w:headerReference w:type="first" r:id="rId16"/>
          <w:type w:val="continuous"/>
          <w:pgSz w:w="12240" w:h="15840" w:code="1"/>
          <w:pgMar w:top="1800" w:right="1469" w:bottom="1699" w:left="1440" w:header="706" w:footer="706" w:gutter="0"/>
          <w:pgNumType w:start="1"/>
          <w:cols w:num="2" w:space="403"/>
          <w:docGrid w:linePitch="360"/>
        </w:sectPr>
      </w:pPr>
      <w:r w:rsidRPr="001C1CE1">
        <w:rPr>
          <w:rStyle w:val="normaltextrun"/>
          <w:rFonts w:eastAsiaTheme="minorEastAsia"/>
          <w:sz w:val="20"/>
          <w:szCs w:val="20"/>
        </w:rPr>
        <w:t>After treatments, the algae Chlorophyll A (Chl A) concentration, total soluble protein (TSP) concentrations and activity of caspase-3-like enzyme were studied. The Chl A was extracted following a method by Ritchie [15] with some modifications. The pellet obtained earlier was suspended in acetone and homogenised for 10 s. The mixture was then left overnight in the dark at -20 °C. Prior to the absorbance reading, the extract was centrifuged at 15000 xg and 4 °C for 10 minutes. Absorbance was then read at 630 nm, 647 nm, 664 nm, and 691 nm by using a UV-Vis spectrophotometer (Shimadzu, UV-1800)) and the content of Chl A was calculated by using this formula (Equation 1) [15]:</w:t>
      </w:r>
    </w:p>
    <w:p w14:paraId="61FB6FB9" w14:textId="1E54110F" w:rsidR="00947BD9" w:rsidRDefault="00947BD9" w:rsidP="004E7EC9">
      <w:pPr>
        <w:pStyle w:val="paragraph"/>
        <w:tabs>
          <w:tab w:val="left" w:pos="426"/>
        </w:tabs>
        <w:spacing w:before="0" w:beforeAutospacing="0" w:after="0" w:afterAutospacing="0" w:line="276" w:lineRule="auto"/>
        <w:jc w:val="both"/>
        <w:textAlignment w:val="baseline"/>
        <w:rPr>
          <w:rStyle w:val="normaltextrun"/>
          <w:rFonts w:eastAsiaTheme="minorEastAsia"/>
          <w:sz w:val="20"/>
          <w:szCs w:val="20"/>
        </w:rPr>
      </w:pPr>
    </w:p>
    <w:p w14:paraId="1A1F209A" w14:textId="77777777" w:rsidR="000268CA" w:rsidRPr="001C1CE1" w:rsidRDefault="000268CA" w:rsidP="004E7EC9">
      <w:pPr>
        <w:pStyle w:val="paragraph"/>
        <w:tabs>
          <w:tab w:val="left" w:pos="426"/>
        </w:tabs>
        <w:spacing w:before="0" w:beforeAutospacing="0" w:after="0" w:afterAutospacing="0" w:line="276" w:lineRule="auto"/>
        <w:jc w:val="both"/>
        <w:textAlignment w:val="baseline"/>
        <w:rPr>
          <w:rStyle w:val="normaltextrun"/>
          <w:rFonts w:eastAsiaTheme="minorEastAsia"/>
          <w:sz w:val="20"/>
          <w:szCs w:val="20"/>
        </w:rPr>
      </w:pPr>
    </w:p>
    <w:p w14:paraId="05F9E48D" w14:textId="77777777" w:rsidR="00947BD9" w:rsidRPr="001C1CE1" w:rsidRDefault="00947BD9" w:rsidP="00947BD9">
      <w:pPr>
        <w:spacing w:after="0"/>
        <w:jc w:val="both"/>
        <w:rPr>
          <w:rFonts w:ascii="Times New Roman" w:hAnsi="Times New Roman"/>
          <w:sz w:val="20"/>
          <w:szCs w:val="20"/>
        </w:rPr>
      </w:pPr>
      <w:r w:rsidRPr="001C1CE1">
        <w:rPr>
          <w:rFonts w:ascii="Times New Roman" w:hAnsi="Times New Roman"/>
          <w:sz w:val="20"/>
          <w:szCs w:val="20"/>
        </w:rPr>
        <w:t xml:space="preserve">  Chl A</w:t>
      </w:r>
      <w:r w:rsidRPr="001C1CE1">
        <w:rPr>
          <w:rFonts w:ascii="Times New Roman" w:hAnsi="Times New Roman"/>
          <w:i/>
          <w:sz w:val="20"/>
          <w:szCs w:val="20"/>
        </w:rPr>
        <w:t xml:space="preserve"> </w:t>
      </w:r>
      <w:r w:rsidRPr="001C1CE1">
        <w:rPr>
          <w:rFonts w:ascii="Times New Roman" w:hAnsi="Times New Roman"/>
          <w:sz w:val="20"/>
          <w:szCs w:val="20"/>
        </w:rPr>
        <w:t>content (mg/mL) = [(-0.3319*A</w:t>
      </w:r>
      <w:r w:rsidRPr="001C1CE1">
        <w:rPr>
          <w:rFonts w:ascii="Times New Roman" w:hAnsi="Times New Roman"/>
          <w:sz w:val="20"/>
          <w:szCs w:val="20"/>
          <w:vertAlign w:val="subscript"/>
        </w:rPr>
        <w:t>630nm</w:t>
      </w:r>
      <w:r w:rsidRPr="001C1CE1">
        <w:rPr>
          <w:rFonts w:ascii="Times New Roman" w:hAnsi="Times New Roman"/>
          <w:sz w:val="20"/>
          <w:szCs w:val="20"/>
        </w:rPr>
        <w:t>) – (1.7485*A</w:t>
      </w:r>
      <w:r w:rsidRPr="001C1CE1">
        <w:rPr>
          <w:rFonts w:ascii="Times New Roman" w:hAnsi="Times New Roman"/>
          <w:sz w:val="20"/>
          <w:szCs w:val="20"/>
          <w:vertAlign w:val="subscript"/>
        </w:rPr>
        <w:t>647nm</w:t>
      </w:r>
      <w:r w:rsidRPr="001C1CE1">
        <w:rPr>
          <w:rFonts w:ascii="Times New Roman" w:hAnsi="Times New Roman"/>
          <w:sz w:val="20"/>
          <w:szCs w:val="20"/>
        </w:rPr>
        <w:t>) + (11.9442*A</w:t>
      </w:r>
      <w:r w:rsidRPr="001C1CE1">
        <w:rPr>
          <w:rFonts w:ascii="Times New Roman" w:hAnsi="Times New Roman"/>
          <w:sz w:val="20"/>
          <w:szCs w:val="20"/>
          <w:vertAlign w:val="subscript"/>
        </w:rPr>
        <w:t>664nm</w:t>
      </w:r>
      <w:r w:rsidRPr="001C1CE1">
        <w:rPr>
          <w:rFonts w:ascii="Times New Roman" w:hAnsi="Times New Roman"/>
          <w:sz w:val="20"/>
          <w:szCs w:val="20"/>
        </w:rPr>
        <w:t>) – (1.4306*A</w:t>
      </w:r>
      <w:r w:rsidRPr="001C1CE1">
        <w:rPr>
          <w:rFonts w:ascii="Times New Roman" w:hAnsi="Times New Roman"/>
          <w:sz w:val="20"/>
          <w:szCs w:val="20"/>
          <w:vertAlign w:val="subscript"/>
        </w:rPr>
        <w:t>691nm</w:t>
      </w:r>
      <w:r w:rsidRPr="001C1CE1">
        <w:rPr>
          <w:rFonts w:ascii="Times New Roman" w:hAnsi="Times New Roman"/>
          <w:sz w:val="20"/>
          <w:szCs w:val="20"/>
        </w:rPr>
        <w:t>)]                 (1)</w:t>
      </w:r>
    </w:p>
    <w:p w14:paraId="5EC1AE9E" w14:textId="77777777" w:rsidR="00947BD9" w:rsidRPr="001C1CE1" w:rsidRDefault="00947BD9" w:rsidP="00947BD9">
      <w:pPr>
        <w:spacing w:after="0"/>
        <w:jc w:val="both"/>
        <w:rPr>
          <w:rFonts w:ascii="Times New Roman" w:hAnsi="Times New Roman"/>
          <w:sz w:val="20"/>
          <w:szCs w:val="20"/>
        </w:rPr>
      </w:pPr>
    </w:p>
    <w:p w14:paraId="26234FF9" w14:textId="77777777" w:rsidR="004E7EC9" w:rsidRDefault="004E7EC9" w:rsidP="00947BD9">
      <w:pPr>
        <w:pStyle w:val="paragraph"/>
        <w:spacing w:before="0" w:beforeAutospacing="0" w:after="0" w:afterAutospacing="0" w:line="276" w:lineRule="auto"/>
        <w:jc w:val="both"/>
        <w:textAlignment w:val="baseline"/>
        <w:rPr>
          <w:rStyle w:val="normaltextrun"/>
          <w:rFonts w:eastAsiaTheme="minorEastAsia"/>
          <w:sz w:val="20"/>
          <w:szCs w:val="20"/>
        </w:rPr>
      </w:pPr>
    </w:p>
    <w:p w14:paraId="2EF784CE" w14:textId="3732779B" w:rsidR="000268CA" w:rsidRDefault="000268CA" w:rsidP="00947BD9">
      <w:pPr>
        <w:pStyle w:val="paragraph"/>
        <w:spacing w:before="0" w:beforeAutospacing="0" w:after="0" w:afterAutospacing="0" w:line="276" w:lineRule="auto"/>
        <w:jc w:val="both"/>
        <w:textAlignment w:val="baseline"/>
        <w:rPr>
          <w:rStyle w:val="normaltextrun"/>
          <w:rFonts w:eastAsiaTheme="minorEastAsia"/>
          <w:sz w:val="20"/>
          <w:szCs w:val="20"/>
        </w:rPr>
        <w:sectPr w:rsidR="000268CA" w:rsidSect="004E7EC9">
          <w:type w:val="continuous"/>
          <w:pgSz w:w="12240" w:h="15840" w:code="1"/>
          <w:pgMar w:top="1800" w:right="1469" w:bottom="1699" w:left="1440" w:header="706" w:footer="706" w:gutter="0"/>
          <w:pgNumType w:start="1"/>
          <w:cols w:space="708"/>
          <w:docGrid w:linePitch="360"/>
        </w:sectPr>
      </w:pPr>
    </w:p>
    <w:p w14:paraId="4754C27B" w14:textId="74F325A1" w:rsidR="00947BD9" w:rsidRPr="004E7EC9" w:rsidRDefault="00947BD9" w:rsidP="00947BD9">
      <w:pPr>
        <w:pStyle w:val="paragraph"/>
        <w:spacing w:before="0" w:beforeAutospacing="0" w:after="0" w:afterAutospacing="0" w:line="276" w:lineRule="auto"/>
        <w:jc w:val="both"/>
        <w:textAlignment w:val="baseline"/>
        <w:rPr>
          <w:rStyle w:val="normaltextrun"/>
          <w:rFonts w:eastAsiaTheme="minorEastAsia"/>
          <w:sz w:val="20"/>
          <w:szCs w:val="20"/>
        </w:rPr>
      </w:pPr>
      <w:r w:rsidRPr="004E7EC9">
        <w:rPr>
          <w:rStyle w:val="normaltextrun"/>
          <w:rFonts w:eastAsiaTheme="minorEastAsia"/>
          <w:sz w:val="20"/>
          <w:szCs w:val="20"/>
        </w:rPr>
        <w:t xml:space="preserve">Extraction of proteins was done according to a method described by Faurobert et al. [16] with some modifications. The pellet obtained earlier was ground with liquid nitrogen into fine powder. The powder was added to a cold extraction buffer (i.e. stored at 4 °C), which contained 500 mM Tris-HCl, 50 mM EDTA, 700 mM sucrose, 100 mM KCl, 2% β-mercaptoethanol, 1 mM </w:t>
      </w:r>
      <w:r w:rsidRPr="004E7EC9">
        <w:rPr>
          <w:rFonts w:eastAsia="Calibri"/>
          <w:sz w:val="20"/>
          <w:szCs w:val="20"/>
          <w:lang w:val="ms-MY" w:eastAsia="ms-MY"/>
        </w:rPr>
        <w:t>phenylmethylsulfonyl fluoride</w:t>
      </w:r>
      <w:r w:rsidRPr="004E7EC9">
        <w:rPr>
          <w:rStyle w:val="normaltextrun"/>
          <w:rFonts w:eastAsiaTheme="minorEastAsia"/>
          <w:sz w:val="20"/>
          <w:szCs w:val="20"/>
        </w:rPr>
        <w:t xml:space="preserve"> and 0.001 mg/mL protease inhibitor cocktail at pH 8.5. The extract was then vortexed and incubated on ice for 10 minutes. </w:t>
      </w:r>
      <w:r w:rsidRPr="004E7EC9">
        <w:rPr>
          <w:rFonts w:eastAsia="Calibri"/>
          <w:sz w:val="20"/>
          <w:szCs w:val="20"/>
          <w:lang w:val="ms-MY" w:eastAsia="ms-MY"/>
        </w:rPr>
        <w:t xml:space="preserve">Next, an equal volume of Tris-saturated phenol was added. </w:t>
      </w:r>
      <w:r w:rsidRPr="004E7EC9">
        <w:rPr>
          <w:rStyle w:val="normaltextrun"/>
          <w:rFonts w:eastAsiaTheme="minorEastAsia"/>
          <w:sz w:val="20"/>
          <w:szCs w:val="20"/>
        </w:rPr>
        <w:t xml:space="preserve">Samples were vortexed for 10 minutes at room temperature and then centrifuged at 13000 xg and 4 °C for 20 minutes. </w:t>
      </w:r>
      <w:r w:rsidRPr="004E7EC9">
        <w:rPr>
          <w:rFonts w:eastAsia="Calibri"/>
          <w:sz w:val="20"/>
          <w:szCs w:val="20"/>
          <w:lang w:val="ms-MY" w:eastAsia="ms-MY"/>
        </w:rPr>
        <w:t xml:space="preserve">The phenolic phase was recovered and reextracted with the same volume of extraction buffer. Subsequently, centrifugation was repeated and acetone </w:t>
      </w:r>
      <w:r w:rsidRPr="004E7EC9">
        <w:rPr>
          <w:rFonts w:eastAsia="Calibri"/>
          <w:sz w:val="20"/>
          <w:szCs w:val="20"/>
          <w:lang w:val="ms-MY" w:eastAsia="ms-MY"/>
        </w:rPr>
        <w:t xml:space="preserve">was added to the recovered phenolic phase. Proteins were allowed to precipitate overnight. After centrifugating for 20 minutes at </w:t>
      </w:r>
      <w:r w:rsidRPr="004E7EC9">
        <w:rPr>
          <w:rStyle w:val="normaltextrun"/>
          <w:rFonts w:eastAsiaTheme="minorEastAsia"/>
          <w:sz w:val="20"/>
          <w:szCs w:val="20"/>
        </w:rPr>
        <w:t xml:space="preserve">13000 xg and 4 °C, </w:t>
      </w:r>
      <w:r w:rsidRPr="004E7EC9">
        <w:rPr>
          <w:rFonts w:eastAsia="Calibri"/>
          <w:sz w:val="20"/>
          <w:szCs w:val="20"/>
          <w:lang w:val="ms-MY" w:eastAsia="ms-MY"/>
        </w:rPr>
        <w:t xml:space="preserve">the pellet was washed three times with the precipitation solution and once with acetone. Each washing step was followed by 5 minutes of centrifugation, as described above. After being dried under vacuum, the pellet was resuspended in lysis buffer which </w:t>
      </w:r>
      <w:r w:rsidRPr="004E7EC9">
        <w:rPr>
          <w:rStyle w:val="normaltextrun"/>
          <w:rFonts w:eastAsiaTheme="minorEastAsia"/>
          <w:sz w:val="20"/>
          <w:szCs w:val="20"/>
        </w:rPr>
        <w:t xml:space="preserve">contained 7 M urea, 2 M thiourea, 2% CHAPS, 2% Triton X, 1% DTT and </w:t>
      </w:r>
      <w:r w:rsidRPr="004E7EC9">
        <w:rPr>
          <w:sz w:val="20"/>
          <w:szCs w:val="20"/>
        </w:rPr>
        <w:t>0.001 mg/ml of protease inhibitor cocktail at pH 8.0</w:t>
      </w:r>
      <w:r w:rsidRPr="004E7EC9">
        <w:rPr>
          <w:rStyle w:val="normaltextrun"/>
          <w:rFonts w:eastAsiaTheme="minorEastAsia"/>
          <w:sz w:val="20"/>
          <w:szCs w:val="20"/>
        </w:rPr>
        <w:t>. Total soluble protein (TSP) content of the extract was then determined by using the method reported by Bradford [17].</w:t>
      </w:r>
    </w:p>
    <w:p w14:paraId="19B5D5C8" w14:textId="77777777" w:rsidR="00947BD9" w:rsidRPr="004E7EC9" w:rsidRDefault="00947BD9" w:rsidP="00947BD9">
      <w:pPr>
        <w:pStyle w:val="paragraph"/>
        <w:spacing w:before="0" w:beforeAutospacing="0" w:after="0" w:afterAutospacing="0" w:line="276" w:lineRule="auto"/>
        <w:jc w:val="both"/>
        <w:textAlignment w:val="baseline"/>
        <w:rPr>
          <w:rStyle w:val="normaltextrun"/>
          <w:rFonts w:eastAsiaTheme="minorEastAsia"/>
          <w:sz w:val="20"/>
          <w:szCs w:val="20"/>
        </w:rPr>
      </w:pPr>
    </w:p>
    <w:p w14:paraId="6FD71F1D" w14:textId="77777777" w:rsidR="00947BD9" w:rsidRPr="004E7EC9" w:rsidRDefault="00947BD9" w:rsidP="00947BD9">
      <w:pPr>
        <w:pStyle w:val="paragraph"/>
        <w:spacing w:before="0" w:beforeAutospacing="0" w:after="0" w:afterAutospacing="0" w:line="276" w:lineRule="auto"/>
        <w:jc w:val="both"/>
        <w:textAlignment w:val="baseline"/>
        <w:rPr>
          <w:rStyle w:val="eop"/>
          <w:sz w:val="20"/>
          <w:szCs w:val="20"/>
        </w:rPr>
      </w:pPr>
      <w:r w:rsidRPr="004E7EC9">
        <w:rPr>
          <w:rStyle w:val="normaltextrun"/>
          <w:rFonts w:eastAsiaTheme="minorEastAsia"/>
          <w:sz w:val="20"/>
          <w:szCs w:val="20"/>
        </w:rPr>
        <w:t xml:space="preserve">To quantify the caspase-3-like activity, Enzchek® Caspase-3 Assay Kit #2 (Invitrogen, USA) was used </w:t>
      </w:r>
      <w:r w:rsidRPr="004E7EC9">
        <w:rPr>
          <w:rStyle w:val="normaltextrun"/>
          <w:rFonts w:eastAsiaTheme="minorEastAsia"/>
          <w:sz w:val="20"/>
          <w:szCs w:val="20"/>
        </w:rPr>
        <w:lastRenderedPageBreak/>
        <w:t>following the method by Bouchard and Yamasaki [18]. The protein extract obtained above was mixed with 2x reaction buffer (Caspase 3 Assay Kit #2, Invitrogen) and Z-DEVD-R110 substrate. Sample was then incubated in the dark at room temperature for 4 hours. The fluorescence was detected by using Varioskan™ Flash Multimode Reader (Thermo Scientific). The excitation and detection wavelength used were 496 nm and</w:t>
      </w:r>
      <w:r w:rsidRPr="004E7EC9">
        <w:rPr>
          <w:rStyle w:val="apple-converted-space"/>
          <w:rFonts w:eastAsiaTheme="minorEastAsia"/>
          <w:sz w:val="20"/>
          <w:szCs w:val="20"/>
        </w:rPr>
        <w:t> </w:t>
      </w:r>
      <w:r w:rsidRPr="004E7EC9">
        <w:rPr>
          <w:rStyle w:val="spellingerror"/>
          <w:sz w:val="20"/>
          <w:szCs w:val="20"/>
        </w:rPr>
        <w:t>520 nm</w:t>
      </w:r>
      <w:r w:rsidRPr="004E7EC9">
        <w:rPr>
          <w:rStyle w:val="normaltextrun"/>
          <w:rFonts w:eastAsiaTheme="minorEastAsia"/>
          <w:sz w:val="20"/>
          <w:szCs w:val="20"/>
        </w:rPr>
        <w:t>, respectively. Rhodamine 110 (R110) was used to generate a standard curve in the range of 0.002</w:t>
      </w:r>
      <w:r w:rsidRPr="004E7EC9">
        <w:rPr>
          <w:rFonts w:eastAsiaTheme="minorEastAsia"/>
          <w:kern w:val="2"/>
          <w:sz w:val="20"/>
          <w:szCs w:val="20"/>
          <w:lang w:val="en-US" w:eastAsia="ko-KR"/>
        </w:rPr>
        <w:t xml:space="preserve"> </w:t>
      </w:r>
      <w:r w:rsidRPr="004E7EC9">
        <w:rPr>
          <w:rFonts w:eastAsiaTheme="minorEastAsia"/>
          <w:sz w:val="20"/>
          <w:szCs w:val="20"/>
          <w:lang w:val="en-US"/>
        </w:rPr>
        <w:t>µM</w:t>
      </w:r>
      <w:r w:rsidRPr="004E7EC9">
        <w:rPr>
          <w:rStyle w:val="normaltextrun"/>
          <w:rFonts w:eastAsiaTheme="minorEastAsia"/>
          <w:sz w:val="20"/>
          <w:szCs w:val="20"/>
        </w:rPr>
        <w:t xml:space="preserve"> to 0.01 µM to quantify the caspase activity.</w:t>
      </w:r>
      <w:r w:rsidRPr="004E7EC9">
        <w:rPr>
          <w:rStyle w:val="eop"/>
          <w:sz w:val="20"/>
          <w:szCs w:val="20"/>
        </w:rPr>
        <w:t> </w:t>
      </w:r>
    </w:p>
    <w:p w14:paraId="2AD183FD" w14:textId="77777777" w:rsidR="00947BD9" w:rsidRPr="004E7EC9" w:rsidRDefault="00947BD9" w:rsidP="00947BD9">
      <w:pPr>
        <w:pStyle w:val="paragraph"/>
        <w:spacing w:before="0" w:beforeAutospacing="0" w:after="0" w:afterAutospacing="0" w:line="276" w:lineRule="auto"/>
        <w:jc w:val="both"/>
        <w:textAlignment w:val="baseline"/>
        <w:rPr>
          <w:sz w:val="20"/>
          <w:szCs w:val="20"/>
        </w:rPr>
      </w:pPr>
    </w:p>
    <w:p w14:paraId="3BCA3ADF" w14:textId="1A4ACAB3" w:rsidR="004E7EC9" w:rsidRPr="004E7EC9" w:rsidRDefault="00947BD9" w:rsidP="00C30FE4">
      <w:pPr>
        <w:spacing w:after="0"/>
        <w:jc w:val="both"/>
        <w:rPr>
          <w:rFonts w:ascii="Times New Roman" w:hAnsi="Times New Roman"/>
          <w:noProof/>
          <w:sz w:val="20"/>
          <w:szCs w:val="20"/>
          <w:lang w:bidi="ar-SA"/>
        </w:rPr>
      </w:pPr>
      <w:r w:rsidRPr="004E7EC9">
        <w:rPr>
          <w:rFonts w:ascii="Times New Roman" w:hAnsi="Times New Roman"/>
          <w:sz w:val="20"/>
          <w:szCs w:val="20"/>
        </w:rPr>
        <w:t>Mean values and standard errors were determined from three replicates of each treatment. The statistically significant differences between treatments were analyzed by using a one-way ANOVA followed by Tukey HSD post-hoc test at probability level of 0.05. The statistical software used was Daniel’s XL Toolbox v. 6.60 Add-in for Microsoft Excel.</w:t>
      </w:r>
    </w:p>
    <w:p w14:paraId="5CD90FE6" w14:textId="77777777" w:rsidR="004E7EC9" w:rsidRPr="004E7EC9" w:rsidRDefault="004E7EC9" w:rsidP="00C30FE4">
      <w:pPr>
        <w:spacing w:after="0"/>
        <w:jc w:val="center"/>
        <w:rPr>
          <w:rFonts w:ascii="Times New Roman" w:hAnsi="Times New Roman"/>
          <w:b/>
          <w:noProof/>
          <w:sz w:val="20"/>
          <w:szCs w:val="20"/>
          <w:lang w:bidi="ar-SA"/>
        </w:rPr>
      </w:pPr>
    </w:p>
    <w:p w14:paraId="4792DC26" w14:textId="3371A699" w:rsidR="006768E9" w:rsidRPr="004E7EC9" w:rsidRDefault="006768E9" w:rsidP="00947BD9">
      <w:pPr>
        <w:spacing w:after="0"/>
        <w:jc w:val="center"/>
        <w:rPr>
          <w:rFonts w:ascii="Times New Roman" w:hAnsi="Times New Roman"/>
          <w:b/>
          <w:noProof/>
          <w:sz w:val="20"/>
          <w:szCs w:val="20"/>
          <w:lang w:bidi="ar-SA"/>
        </w:rPr>
      </w:pPr>
      <w:r w:rsidRPr="004E7EC9">
        <w:rPr>
          <w:rFonts w:ascii="Times New Roman" w:hAnsi="Times New Roman"/>
          <w:b/>
          <w:noProof/>
          <w:sz w:val="20"/>
          <w:szCs w:val="20"/>
          <w:lang w:bidi="ar-SA"/>
        </w:rPr>
        <w:t>Results and Discussion</w:t>
      </w:r>
    </w:p>
    <w:p w14:paraId="3DFB9A64" w14:textId="77777777" w:rsidR="004E7EC9" w:rsidRDefault="00947BD9" w:rsidP="00947BD9">
      <w:pPr>
        <w:adjustRightInd w:val="0"/>
        <w:spacing w:after="0"/>
        <w:jc w:val="both"/>
        <w:rPr>
          <w:rFonts w:ascii="Times New Roman" w:hAnsi="Times New Roman"/>
          <w:sz w:val="20"/>
          <w:szCs w:val="20"/>
        </w:rPr>
      </w:pPr>
      <w:r w:rsidRPr="004E7EC9">
        <w:rPr>
          <w:rFonts w:ascii="Times New Roman" w:hAnsi="Times New Roman"/>
          <w:sz w:val="20"/>
          <w:szCs w:val="20"/>
        </w:rPr>
        <w:t>From Figure 1, it was determined that the concentrations of Pb</w:t>
      </w:r>
      <w:r w:rsidRPr="004E7EC9">
        <w:rPr>
          <w:rFonts w:ascii="Times New Roman" w:hAnsi="Times New Roman"/>
          <w:sz w:val="20"/>
          <w:szCs w:val="20"/>
          <w:vertAlign w:val="superscript"/>
        </w:rPr>
        <w:t>2+</w:t>
      </w:r>
      <w:r w:rsidRPr="004E7EC9">
        <w:rPr>
          <w:rFonts w:ascii="Times New Roman" w:hAnsi="Times New Roman"/>
          <w:sz w:val="20"/>
          <w:szCs w:val="20"/>
        </w:rPr>
        <w:t xml:space="preserve"> needed to inhibit 25%, 50% and 75% of </w:t>
      </w:r>
      <w:r w:rsidRPr="004E7EC9">
        <w:rPr>
          <w:rFonts w:ascii="Times New Roman" w:hAnsi="Times New Roman"/>
          <w:i/>
          <w:sz w:val="20"/>
          <w:szCs w:val="20"/>
        </w:rPr>
        <w:t>S. regularis</w:t>
      </w:r>
      <w:r w:rsidRPr="004E7EC9">
        <w:rPr>
          <w:rFonts w:ascii="Times New Roman" w:hAnsi="Times New Roman"/>
          <w:sz w:val="20"/>
          <w:szCs w:val="20"/>
        </w:rPr>
        <w:t xml:space="preserve"> populations were 3.5 mg/L, 7.2 mg/L and 10.9 mg/L, respectively. Inhibitory concentration (IC) value is often used to determine the effectiveness of any substance in inhibiting a specific biological or biochemical function. It also can also indicate how well the organism can tolerate any foreign substances that they encounter in their cells. In this study, presence of Pb</w:t>
      </w:r>
      <w:r w:rsidRPr="004E7EC9">
        <w:rPr>
          <w:rFonts w:ascii="Times New Roman" w:hAnsi="Times New Roman"/>
          <w:sz w:val="20"/>
          <w:szCs w:val="20"/>
          <w:vertAlign w:val="superscript"/>
        </w:rPr>
        <w:t>2+</w:t>
      </w:r>
      <w:r w:rsidRPr="004E7EC9">
        <w:rPr>
          <w:rFonts w:ascii="Times New Roman" w:hAnsi="Times New Roman"/>
          <w:sz w:val="20"/>
          <w:szCs w:val="20"/>
        </w:rPr>
        <w:t xml:space="preserve"> in the form of Pb(NO</w:t>
      </w:r>
      <w:r w:rsidRPr="004E7EC9">
        <w:rPr>
          <w:rFonts w:ascii="Times New Roman" w:hAnsi="Times New Roman"/>
          <w:sz w:val="20"/>
          <w:szCs w:val="20"/>
          <w:vertAlign w:val="subscript"/>
        </w:rPr>
        <w:t>3</w:t>
      </w:r>
      <w:r w:rsidRPr="004E7EC9">
        <w:rPr>
          <w:rFonts w:ascii="Times New Roman" w:hAnsi="Times New Roman"/>
          <w:sz w:val="20"/>
          <w:szCs w:val="20"/>
        </w:rPr>
        <w:t>)</w:t>
      </w:r>
      <w:r w:rsidRPr="004E7EC9">
        <w:rPr>
          <w:rFonts w:ascii="Times New Roman" w:hAnsi="Times New Roman"/>
          <w:sz w:val="20"/>
          <w:szCs w:val="20"/>
          <w:vertAlign w:val="subscript"/>
        </w:rPr>
        <w:t>2</w:t>
      </w:r>
      <w:r w:rsidRPr="004E7EC9">
        <w:rPr>
          <w:rFonts w:ascii="Times New Roman" w:hAnsi="Times New Roman"/>
          <w:sz w:val="20"/>
          <w:szCs w:val="20"/>
        </w:rPr>
        <w:t xml:space="preserve"> interfered with the survivality of </w:t>
      </w:r>
      <w:r w:rsidRPr="004E7EC9">
        <w:rPr>
          <w:rFonts w:ascii="Times New Roman" w:hAnsi="Times New Roman"/>
          <w:i/>
          <w:sz w:val="20"/>
          <w:szCs w:val="20"/>
        </w:rPr>
        <w:t>S. regularis</w:t>
      </w:r>
      <w:r w:rsidRPr="004E7EC9">
        <w:rPr>
          <w:rFonts w:ascii="Times New Roman" w:hAnsi="Times New Roman"/>
          <w:sz w:val="20"/>
          <w:szCs w:val="20"/>
        </w:rPr>
        <w:t xml:space="preserve"> and low level of Pb</w:t>
      </w:r>
      <w:r w:rsidRPr="004E7EC9">
        <w:rPr>
          <w:rFonts w:ascii="Times New Roman" w:hAnsi="Times New Roman"/>
          <w:sz w:val="20"/>
          <w:szCs w:val="20"/>
          <w:vertAlign w:val="superscript"/>
        </w:rPr>
        <w:t>2+</w:t>
      </w:r>
      <w:r w:rsidRPr="004E7EC9">
        <w:rPr>
          <w:rFonts w:ascii="Times New Roman" w:hAnsi="Times New Roman"/>
          <w:sz w:val="20"/>
          <w:szCs w:val="20"/>
        </w:rPr>
        <w:t xml:space="preserve"> indeed can become toxic to this alga as 10.9 mg/L was needed to reduce the population of the alga by 75%. This was expected as Pb</w:t>
      </w:r>
      <w:r w:rsidRPr="004E7EC9">
        <w:rPr>
          <w:rFonts w:ascii="Times New Roman" w:hAnsi="Times New Roman"/>
          <w:sz w:val="20"/>
          <w:szCs w:val="20"/>
          <w:vertAlign w:val="superscript"/>
        </w:rPr>
        <w:t>2+</w:t>
      </w:r>
      <w:r w:rsidRPr="004E7EC9">
        <w:rPr>
          <w:rFonts w:ascii="Times New Roman" w:hAnsi="Times New Roman"/>
          <w:sz w:val="20"/>
          <w:szCs w:val="20"/>
        </w:rPr>
        <w:t xml:space="preserve"> is known to inhibit the growth of many organisms, including three green unicellular algae, namely </w:t>
      </w:r>
      <w:r w:rsidRPr="004E7EC9">
        <w:rPr>
          <w:rFonts w:ascii="Times New Roman" w:hAnsi="Times New Roman"/>
          <w:i/>
          <w:sz w:val="20"/>
          <w:szCs w:val="20"/>
        </w:rPr>
        <w:t xml:space="preserve">Cladophora </w:t>
      </w:r>
      <w:r w:rsidRPr="004E7EC9">
        <w:rPr>
          <w:rFonts w:ascii="Times New Roman" w:hAnsi="Times New Roman"/>
          <w:iCs/>
          <w:sz w:val="20"/>
          <w:szCs w:val="20"/>
          <w:lang w:val="en-MY"/>
        </w:rPr>
        <w:t>[2]</w:t>
      </w:r>
      <w:r w:rsidRPr="004E7EC9">
        <w:rPr>
          <w:rFonts w:ascii="Times New Roman" w:hAnsi="Times New Roman"/>
          <w:sz w:val="20"/>
          <w:szCs w:val="20"/>
        </w:rPr>
        <w:t xml:space="preserve">, </w:t>
      </w:r>
      <w:r w:rsidRPr="004E7EC9">
        <w:rPr>
          <w:rFonts w:ascii="Times New Roman" w:hAnsi="Times New Roman"/>
          <w:i/>
          <w:sz w:val="20"/>
          <w:szCs w:val="20"/>
        </w:rPr>
        <w:t xml:space="preserve">Acutodesmus obliquus </w:t>
      </w:r>
      <w:r w:rsidRPr="004E7EC9">
        <w:rPr>
          <w:rFonts w:ascii="Times New Roman" w:hAnsi="Times New Roman"/>
          <w:iCs/>
          <w:sz w:val="20"/>
          <w:szCs w:val="20"/>
          <w:lang w:val="en-MY"/>
        </w:rPr>
        <w:t>[3]</w:t>
      </w:r>
      <w:r w:rsidRPr="004E7EC9">
        <w:rPr>
          <w:rFonts w:ascii="Times New Roman" w:hAnsi="Times New Roman"/>
          <w:sz w:val="20"/>
          <w:szCs w:val="20"/>
        </w:rPr>
        <w:t xml:space="preserve"> and </w:t>
      </w:r>
      <w:r w:rsidRPr="004E7EC9">
        <w:rPr>
          <w:rFonts w:ascii="Times New Roman" w:hAnsi="Times New Roman"/>
          <w:i/>
          <w:sz w:val="20"/>
          <w:szCs w:val="20"/>
        </w:rPr>
        <w:t xml:space="preserve">Chlorella sorokiniana </w:t>
      </w:r>
      <w:r w:rsidRPr="004E7EC9">
        <w:rPr>
          <w:rFonts w:ascii="Times New Roman" w:hAnsi="Times New Roman"/>
          <w:iCs/>
          <w:sz w:val="20"/>
          <w:szCs w:val="20"/>
          <w:lang w:val="en-MY"/>
        </w:rPr>
        <w:t>[7]</w:t>
      </w:r>
      <w:r w:rsidRPr="004E7EC9">
        <w:rPr>
          <w:rFonts w:ascii="Times New Roman" w:hAnsi="Times New Roman"/>
          <w:sz w:val="20"/>
          <w:szCs w:val="20"/>
        </w:rPr>
        <w:t>.</w:t>
      </w:r>
    </w:p>
    <w:p w14:paraId="5EF683C3" w14:textId="5D025820" w:rsidR="00947BD9" w:rsidRPr="004E7EC9" w:rsidRDefault="00947BD9" w:rsidP="00947BD9">
      <w:pPr>
        <w:adjustRightInd w:val="0"/>
        <w:spacing w:after="0"/>
        <w:jc w:val="both"/>
        <w:rPr>
          <w:rFonts w:ascii="Times New Roman" w:hAnsi="Times New Roman"/>
          <w:sz w:val="20"/>
          <w:szCs w:val="20"/>
        </w:rPr>
      </w:pPr>
      <w:r w:rsidRPr="004E7EC9">
        <w:rPr>
          <w:rFonts w:ascii="Times New Roman" w:hAnsi="Times New Roman"/>
          <w:sz w:val="20"/>
          <w:szCs w:val="20"/>
        </w:rPr>
        <w:t xml:space="preserve"> </w:t>
      </w:r>
    </w:p>
    <w:p w14:paraId="6B9F64D9" w14:textId="77777777" w:rsidR="004E7EC9" w:rsidRDefault="004E7EC9" w:rsidP="004E7EC9">
      <w:pPr>
        <w:adjustRightInd w:val="0"/>
        <w:spacing w:after="0"/>
        <w:jc w:val="both"/>
        <w:rPr>
          <w:rFonts w:ascii="Times New Roman" w:hAnsi="Times New Roman"/>
          <w:sz w:val="20"/>
          <w:szCs w:val="20"/>
          <w:shd w:val="clear" w:color="auto" w:fill="FFFFFF"/>
        </w:rPr>
      </w:pPr>
      <w:r w:rsidRPr="00947BD9">
        <w:rPr>
          <w:rFonts w:ascii="Times New Roman" w:hAnsi="Times New Roman"/>
          <w:sz w:val="20"/>
          <w:szCs w:val="20"/>
        </w:rPr>
        <w:t>Presence of Pb</w:t>
      </w:r>
      <w:r w:rsidRPr="00947BD9">
        <w:rPr>
          <w:rFonts w:ascii="Times New Roman" w:hAnsi="Times New Roman"/>
          <w:sz w:val="20"/>
          <w:szCs w:val="20"/>
          <w:vertAlign w:val="superscript"/>
        </w:rPr>
        <w:t>2+</w:t>
      </w:r>
      <w:r w:rsidRPr="00947BD9">
        <w:rPr>
          <w:rFonts w:ascii="Times New Roman" w:hAnsi="Times New Roman"/>
          <w:sz w:val="20"/>
          <w:szCs w:val="20"/>
        </w:rPr>
        <w:t xml:space="preserve"> did not only affect the growth of </w:t>
      </w:r>
      <w:r w:rsidRPr="00947BD9">
        <w:rPr>
          <w:rFonts w:ascii="Times New Roman" w:hAnsi="Times New Roman"/>
          <w:i/>
          <w:sz w:val="20"/>
          <w:szCs w:val="20"/>
        </w:rPr>
        <w:t>S. regularis</w:t>
      </w:r>
      <w:r w:rsidRPr="00947BD9">
        <w:rPr>
          <w:rFonts w:ascii="Times New Roman" w:hAnsi="Times New Roman"/>
          <w:sz w:val="20"/>
          <w:szCs w:val="20"/>
        </w:rPr>
        <w:t>, but also significantly reduced the algae Chl A concentration when the concentration of Pb</w:t>
      </w:r>
      <w:r w:rsidRPr="00947BD9">
        <w:rPr>
          <w:rFonts w:ascii="Times New Roman" w:hAnsi="Times New Roman"/>
          <w:sz w:val="20"/>
          <w:szCs w:val="20"/>
          <w:vertAlign w:val="superscript"/>
        </w:rPr>
        <w:t>2+</w:t>
      </w:r>
      <w:r w:rsidRPr="00947BD9">
        <w:rPr>
          <w:rFonts w:ascii="Times New Roman" w:hAnsi="Times New Roman"/>
          <w:sz w:val="20"/>
          <w:szCs w:val="20"/>
        </w:rPr>
        <w:t xml:space="preserve"> increased the reduction was found to be the highest in IC</w:t>
      </w:r>
      <w:r w:rsidRPr="00947BD9">
        <w:rPr>
          <w:rFonts w:ascii="Times New Roman" w:hAnsi="Times New Roman"/>
          <w:sz w:val="20"/>
          <w:szCs w:val="20"/>
          <w:vertAlign w:val="subscript"/>
        </w:rPr>
        <w:t xml:space="preserve">75 </w:t>
      </w:r>
      <w:r w:rsidRPr="00947BD9">
        <w:rPr>
          <w:rFonts w:ascii="Times New Roman" w:hAnsi="Times New Roman"/>
          <w:sz w:val="20"/>
          <w:szCs w:val="20"/>
        </w:rPr>
        <w:t xml:space="preserve">by about 70% (Figure 2a). Chl A is the primary pigment found mainly in Photosystem I and Photosystems II of the photosynthetic machinery. Therefore, the reduction </w:t>
      </w:r>
      <w:r w:rsidRPr="00947BD9">
        <w:rPr>
          <w:rFonts w:ascii="Times New Roman" w:hAnsi="Times New Roman"/>
          <w:sz w:val="20"/>
          <w:szCs w:val="20"/>
        </w:rPr>
        <w:t xml:space="preserve">in Chl A concentration of </w:t>
      </w:r>
      <w:r w:rsidRPr="00947BD9">
        <w:rPr>
          <w:rFonts w:ascii="Times New Roman" w:hAnsi="Times New Roman"/>
          <w:i/>
          <w:sz w:val="20"/>
          <w:szCs w:val="20"/>
        </w:rPr>
        <w:t>S. regularis</w:t>
      </w:r>
      <w:r w:rsidRPr="00947BD9">
        <w:rPr>
          <w:rFonts w:ascii="Times New Roman" w:hAnsi="Times New Roman"/>
          <w:sz w:val="20"/>
          <w:szCs w:val="20"/>
        </w:rPr>
        <w:t xml:space="preserve"> after Pb</w:t>
      </w:r>
      <w:r w:rsidRPr="00947BD9">
        <w:rPr>
          <w:rFonts w:ascii="Times New Roman" w:hAnsi="Times New Roman"/>
          <w:sz w:val="20"/>
          <w:szCs w:val="20"/>
          <w:vertAlign w:val="superscript"/>
        </w:rPr>
        <w:t>2+</w:t>
      </w:r>
      <w:r w:rsidRPr="00947BD9">
        <w:rPr>
          <w:rFonts w:ascii="Times New Roman" w:hAnsi="Times New Roman"/>
          <w:sz w:val="20"/>
          <w:szCs w:val="20"/>
        </w:rPr>
        <w:t xml:space="preserve"> exposure can suggests that there are detrimental effects on the core complexes of the photosystems. This will lead to the inhibition of photosynthetic processes and eventually affects the growth and development of the alga. Pb</w:t>
      </w:r>
      <w:r w:rsidRPr="00947BD9">
        <w:rPr>
          <w:rFonts w:ascii="Times New Roman" w:hAnsi="Times New Roman"/>
          <w:sz w:val="20"/>
          <w:szCs w:val="20"/>
          <w:vertAlign w:val="superscript"/>
        </w:rPr>
        <w:t>2+</w:t>
      </w:r>
      <w:r w:rsidRPr="00947BD9">
        <w:rPr>
          <w:rFonts w:ascii="Times New Roman" w:hAnsi="Times New Roman"/>
          <w:sz w:val="20"/>
          <w:szCs w:val="20"/>
        </w:rPr>
        <w:t xml:space="preserve"> can also affect the synthesis and degradation of chlorophylls through various mechanisms. For example, Pb</w:t>
      </w:r>
      <w:r w:rsidRPr="00947BD9">
        <w:rPr>
          <w:rFonts w:ascii="Times New Roman" w:hAnsi="Times New Roman"/>
          <w:sz w:val="20"/>
          <w:szCs w:val="20"/>
          <w:vertAlign w:val="superscript"/>
        </w:rPr>
        <w:t>2+</w:t>
      </w:r>
      <w:r w:rsidRPr="00947BD9">
        <w:rPr>
          <w:rFonts w:ascii="Times New Roman" w:hAnsi="Times New Roman"/>
          <w:sz w:val="20"/>
          <w:szCs w:val="20"/>
        </w:rPr>
        <w:t xml:space="preserve"> affects the synthesis of chlorophylls </w:t>
      </w:r>
      <w:r w:rsidRPr="00947BD9">
        <w:rPr>
          <w:rFonts w:ascii="Times New Roman" w:hAnsi="Times New Roman"/>
          <w:sz w:val="20"/>
          <w:szCs w:val="20"/>
          <w:shd w:val="clear" w:color="auto" w:fill="FFFFFF"/>
        </w:rPr>
        <w:t xml:space="preserve">by inhibiting the activity of essential enzymes involved in the pathway </w:t>
      </w:r>
      <w:r w:rsidRPr="00947BD9">
        <w:rPr>
          <w:rFonts w:ascii="Times New Roman" w:hAnsi="Times New Roman"/>
          <w:sz w:val="20"/>
          <w:szCs w:val="20"/>
          <w:shd w:val="clear" w:color="auto" w:fill="FFFFFF"/>
          <w:lang w:val="en-MY"/>
        </w:rPr>
        <w:t>[19]</w:t>
      </w:r>
      <w:r w:rsidRPr="00947BD9">
        <w:rPr>
          <w:rFonts w:ascii="Times New Roman" w:hAnsi="Times New Roman"/>
          <w:sz w:val="20"/>
          <w:szCs w:val="20"/>
          <w:shd w:val="clear" w:color="auto" w:fill="FFFFFF"/>
        </w:rPr>
        <w:t xml:space="preserve"> or through the substitution of the central Mg ion </w:t>
      </w:r>
      <w:r w:rsidRPr="00947BD9">
        <w:rPr>
          <w:rFonts w:ascii="Times New Roman" w:hAnsi="Times New Roman"/>
          <w:sz w:val="20"/>
          <w:szCs w:val="20"/>
          <w:shd w:val="clear" w:color="auto" w:fill="FFFFFF"/>
          <w:lang w:val="en-MY"/>
        </w:rPr>
        <w:t>[20]</w:t>
      </w:r>
      <w:r w:rsidRPr="00947BD9">
        <w:rPr>
          <w:rFonts w:ascii="Times New Roman" w:hAnsi="Times New Roman"/>
          <w:sz w:val="20"/>
          <w:szCs w:val="20"/>
          <w:shd w:val="clear" w:color="auto" w:fill="FFFFFF"/>
        </w:rPr>
        <w:t xml:space="preserve">. In addition, metals affect chlorophylls degradation via the synthesis of reactive oxygen species (ROS) </w:t>
      </w:r>
      <w:r w:rsidRPr="00947BD9">
        <w:rPr>
          <w:rFonts w:ascii="Times New Roman" w:hAnsi="Times New Roman"/>
          <w:sz w:val="20"/>
          <w:szCs w:val="20"/>
          <w:shd w:val="clear" w:color="auto" w:fill="FFFFFF"/>
          <w:lang w:val="en-MY"/>
        </w:rPr>
        <w:t>[21]</w:t>
      </w:r>
      <w:r w:rsidRPr="00947BD9">
        <w:rPr>
          <w:rFonts w:ascii="Times New Roman" w:hAnsi="Times New Roman"/>
          <w:sz w:val="20"/>
          <w:szCs w:val="20"/>
          <w:shd w:val="clear" w:color="auto" w:fill="FFFFFF"/>
        </w:rPr>
        <w:t xml:space="preserve"> or by enhancing activity of the enzyme chlorophyllase which triggers the breakdown of chlorophylls </w:t>
      </w:r>
      <w:r w:rsidRPr="00947BD9">
        <w:rPr>
          <w:rFonts w:ascii="Times New Roman" w:hAnsi="Times New Roman"/>
          <w:sz w:val="20"/>
          <w:szCs w:val="20"/>
          <w:shd w:val="clear" w:color="auto" w:fill="FFFFFF"/>
          <w:lang w:val="en-MY"/>
        </w:rPr>
        <w:t>[22]</w:t>
      </w:r>
      <w:r w:rsidRPr="00947BD9">
        <w:rPr>
          <w:rFonts w:ascii="Times New Roman" w:hAnsi="Times New Roman"/>
          <w:sz w:val="20"/>
          <w:szCs w:val="20"/>
          <w:shd w:val="clear" w:color="auto" w:fill="FFFFFF"/>
        </w:rPr>
        <w:t>. Furthermore, the colour of the algae culture was observed to change from bright green in the control to colourless in IC</w:t>
      </w:r>
      <w:r w:rsidRPr="00947BD9">
        <w:rPr>
          <w:rFonts w:ascii="Times New Roman" w:hAnsi="Times New Roman"/>
          <w:sz w:val="20"/>
          <w:szCs w:val="20"/>
          <w:shd w:val="clear" w:color="auto" w:fill="FFFFFF"/>
          <w:vertAlign w:val="subscript"/>
        </w:rPr>
        <w:t>75</w:t>
      </w:r>
      <w:r w:rsidRPr="00947BD9">
        <w:rPr>
          <w:rFonts w:ascii="Times New Roman" w:hAnsi="Times New Roman"/>
          <w:sz w:val="20"/>
          <w:szCs w:val="20"/>
          <w:shd w:val="clear" w:color="auto" w:fill="FFFFFF"/>
        </w:rPr>
        <w:t xml:space="preserve"> Pb</w:t>
      </w:r>
      <w:r w:rsidRPr="00947BD9">
        <w:rPr>
          <w:rFonts w:ascii="Times New Roman" w:hAnsi="Times New Roman"/>
          <w:sz w:val="20"/>
          <w:szCs w:val="20"/>
          <w:shd w:val="clear" w:color="auto" w:fill="FFFFFF"/>
          <w:vertAlign w:val="superscript"/>
        </w:rPr>
        <w:t>2+</w:t>
      </w:r>
      <w:r w:rsidRPr="00947BD9">
        <w:rPr>
          <w:rFonts w:ascii="Times New Roman" w:hAnsi="Times New Roman"/>
          <w:sz w:val="20"/>
          <w:szCs w:val="20"/>
          <w:shd w:val="clear" w:color="auto" w:fill="FFFFFF"/>
        </w:rPr>
        <w:t xml:space="preserve">. This phenomenon is normal to metal-stressed photosynthetic organisms, whereby metals can cause chlorosis in them </w:t>
      </w:r>
      <w:r w:rsidRPr="00947BD9">
        <w:rPr>
          <w:rFonts w:ascii="Times New Roman" w:hAnsi="Times New Roman"/>
          <w:sz w:val="20"/>
          <w:szCs w:val="20"/>
          <w:shd w:val="clear" w:color="auto" w:fill="FFFFFF"/>
          <w:lang w:val="en-MY"/>
        </w:rPr>
        <w:t>[23]</w:t>
      </w:r>
      <w:r w:rsidRPr="00947BD9">
        <w:rPr>
          <w:rFonts w:ascii="Times New Roman" w:hAnsi="Times New Roman"/>
          <w:sz w:val="20"/>
          <w:szCs w:val="20"/>
          <w:shd w:val="clear" w:color="auto" w:fill="FFFFFF"/>
        </w:rPr>
        <w:t xml:space="preserve">. </w:t>
      </w:r>
    </w:p>
    <w:p w14:paraId="0024BB83" w14:textId="77777777" w:rsidR="004E7EC9" w:rsidRDefault="004E7EC9" w:rsidP="004E7EC9">
      <w:pPr>
        <w:adjustRightInd w:val="0"/>
        <w:spacing w:after="0"/>
        <w:jc w:val="both"/>
        <w:rPr>
          <w:rFonts w:ascii="Times New Roman" w:hAnsi="Times New Roman"/>
          <w:sz w:val="20"/>
          <w:szCs w:val="20"/>
          <w:shd w:val="clear" w:color="auto" w:fill="FFFFFF"/>
        </w:rPr>
      </w:pPr>
    </w:p>
    <w:p w14:paraId="19FDF09B" w14:textId="77777777" w:rsidR="004E7EC9" w:rsidRPr="00947BD9" w:rsidRDefault="004E7EC9" w:rsidP="004E7EC9">
      <w:pPr>
        <w:spacing w:after="0"/>
        <w:jc w:val="both"/>
        <w:rPr>
          <w:rFonts w:ascii="Times New Roman" w:hAnsi="Times New Roman"/>
          <w:sz w:val="20"/>
          <w:szCs w:val="20"/>
          <w:shd w:val="clear" w:color="auto" w:fill="FFFFFF"/>
        </w:rPr>
      </w:pPr>
      <w:r w:rsidRPr="00947BD9">
        <w:rPr>
          <w:rFonts w:ascii="Times New Roman" w:hAnsi="Times New Roman"/>
          <w:sz w:val="20"/>
          <w:szCs w:val="20"/>
        </w:rPr>
        <w:t xml:space="preserve">Total soluble protein (TSP) content of </w:t>
      </w:r>
      <w:r w:rsidRPr="00947BD9">
        <w:rPr>
          <w:rFonts w:ascii="Times New Roman" w:hAnsi="Times New Roman"/>
          <w:i/>
          <w:sz w:val="20"/>
          <w:szCs w:val="20"/>
        </w:rPr>
        <w:t>S. regularis</w:t>
      </w:r>
      <w:r w:rsidRPr="00947BD9">
        <w:rPr>
          <w:rFonts w:ascii="Times New Roman" w:hAnsi="Times New Roman"/>
          <w:sz w:val="20"/>
          <w:szCs w:val="20"/>
        </w:rPr>
        <w:t xml:space="preserve"> was also observed to be significantly reduced in Pb</w:t>
      </w:r>
      <w:r w:rsidRPr="00947BD9">
        <w:rPr>
          <w:rFonts w:ascii="Times New Roman" w:hAnsi="Times New Roman"/>
          <w:sz w:val="20"/>
          <w:szCs w:val="20"/>
          <w:vertAlign w:val="superscript"/>
        </w:rPr>
        <w:t>2+</w:t>
      </w:r>
      <w:r w:rsidRPr="00947BD9">
        <w:rPr>
          <w:rFonts w:ascii="Times New Roman" w:hAnsi="Times New Roman"/>
          <w:sz w:val="20"/>
          <w:szCs w:val="20"/>
        </w:rPr>
        <w:t xml:space="preserve"> (Figure 2b). However, the impact was in smaller scale as compared to Chl A. While IC</w:t>
      </w:r>
      <w:r w:rsidRPr="00947BD9">
        <w:rPr>
          <w:rFonts w:ascii="Times New Roman" w:hAnsi="Times New Roman"/>
          <w:sz w:val="20"/>
          <w:szCs w:val="20"/>
          <w:vertAlign w:val="subscript"/>
        </w:rPr>
        <w:t>75</w:t>
      </w:r>
      <w:r w:rsidRPr="00947BD9">
        <w:rPr>
          <w:rFonts w:ascii="Times New Roman" w:hAnsi="Times New Roman"/>
          <w:sz w:val="20"/>
          <w:szCs w:val="20"/>
        </w:rPr>
        <w:t xml:space="preserve"> Pb</w:t>
      </w:r>
      <w:r w:rsidRPr="00947BD9">
        <w:rPr>
          <w:rFonts w:ascii="Times New Roman" w:hAnsi="Times New Roman"/>
          <w:sz w:val="20"/>
          <w:szCs w:val="20"/>
          <w:vertAlign w:val="superscript"/>
        </w:rPr>
        <w:t>2+</w:t>
      </w:r>
      <w:r w:rsidRPr="00947BD9">
        <w:rPr>
          <w:rFonts w:ascii="Times New Roman" w:hAnsi="Times New Roman"/>
          <w:sz w:val="20"/>
          <w:szCs w:val="20"/>
        </w:rPr>
        <w:t xml:space="preserve"> decreased the TSP content to 85%, there was a 10-11% reduction in IC</w:t>
      </w:r>
      <w:r w:rsidRPr="00947BD9">
        <w:rPr>
          <w:rFonts w:ascii="Times New Roman" w:hAnsi="Times New Roman"/>
          <w:sz w:val="20"/>
          <w:szCs w:val="20"/>
          <w:vertAlign w:val="subscript"/>
        </w:rPr>
        <w:t>25</w:t>
      </w:r>
      <w:r w:rsidRPr="00947BD9">
        <w:rPr>
          <w:rFonts w:ascii="Times New Roman" w:hAnsi="Times New Roman"/>
          <w:sz w:val="20"/>
          <w:szCs w:val="20"/>
        </w:rPr>
        <w:t xml:space="preserve"> and IC</w:t>
      </w:r>
      <w:r w:rsidRPr="00947BD9">
        <w:rPr>
          <w:rFonts w:ascii="Times New Roman" w:hAnsi="Times New Roman"/>
          <w:sz w:val="20"/>
          <w:szCs w:val="20"/>
          <w:vertAlign w:val="subscript"/>
        </w:rPr>
        <w:t>50</w:t>
      </w:r>
      <w:r w:rsidRPr="00947BD9">
        <w:rPr>
          <w:rFonts w:ascii="Times New Roman" w:hAnsi="Times New Roman"/>
          <w:sz w:val="20"/>
          <w:szCs w:val="20"/>
        </w:rPr>
        <w:t xml:space="preserve"> with no significant changes observed among these two concentrations. The reduction in TSP observed in the alga may be explained by several factors. Firstly, exposure to heavy metals stress, including that of non redox active metal Pb</w:t>
      </w:r>
      <w:r w:rsidRPr="00947BD9">
        <w:rPr>
          <w:rFonts w:ascii="Times New Roman" w:hAnsi="Times New Roman"/>
          <w:sz w:val="20"/>
          <w:szCs w:val="20"/>
          <w:vertAlign w:val="superscript"/>
        </w:rPr>
        <w:t>2+</w:t>
      </w:r>
      <w:r w:rsidRPr="00947BD9">
        <w:rPr>
          <w:rFonts w:ascii="Times New Roman" w:hAnsi="Times New Roman"/>
          <w:sz w:val="20"/>
          <w:szCs w:val="20"/>
        </w:rPr>
        <w:t xml:space="preserve">, can induce the generation of cellular ROS </w:t>
      </w:r>
      <w:r w:rsidRPr="00947BD9">
        <w:rPr>
          <w:rFonts w:ascii="Times New Roman" w:hAnsi="Times New Roman"/>
          <w:sz w:val="20"/>
          <w:szCs w:val="20"/>
          <w:lang w:val="en-MY"/>
        </w:rPr>
        <w:t>[8]</w:t>
      </w:r>
      <w:r w:rsidRPr="00947BD9">
        <w:rPr>
          <w:rFonts w:ascii="Times New Roman" w:hAnsi="Times New Roman"/>
          <w:sz w:val="20"/>
          <w:szCs w:val="20"/>
        </w:rPr>
        <w:t xml:space="preserve">. According to Villiers </w:t>
      </w:r>
      <w:r w:rsidRPr="00947BD9">
        <w:rPr>
          <w:rFonts w:ascii="Times New Roman" w:hAnsi="Times New Roman"/>
          <w:sz w:val="20"/>
          <w:szCs w:val="20"/>
          <w:lang w:val="en-MY"/>
        </w:rPr>
        <w:t>e</w:t>
      </w:r>
      <w:r w:rsidRPr="00947BD9">
        <w:rPr>
          <w:rFonts w:ascii="Times New Roman" w:hAnsi="Times New Roman"/>
          <w:sz w:val="20"/>
          <w:szCs w:val="20"/>
        </w:rPr>
        <w:t xml:space="preserve">t al. </w:t>
      </w:r>
      <w:r w:rsidRPr="00947BD9">
        <w:rPr>
          <w:rFonts w:ascii="Times New Roman" w:hAnsi="Times New Roman"/>
          <w:sz w:val="20"/>
          <w:szCs w:val="20"/>
          <w:lang w:val="en-MY"/>
        </w:rPr>
        <w:t>[24]</w:t>
      </w:r>
      <w:r w:rsidRPr="00947BD9">
        <w:rPr>
          <w:rFonts w:ascii="Times New Roman" w:hAnsi="Times New Roman"/>
          <w:sz w:val="20"/>
          <w:szCs w:val="20"/>
        </w:rPr>
        <w:t>, excess ROS level alters the protein structure by inducing oxidation of both protein backbone and amino acid side chain residues. Secondly, Pb</w:t>
      </w:r>
      <w:r w:rsidRPr="00947BD9">
        <w:rPr>
          <w:rFonts w:ascii="Times New Roman" w:hAnsi="Times New Roman"/>
          <w:sz w:val="20"/>
          <w:szCs w:val="20"/>
          <w:vertAlign w:val="superscript"/>
        </w:rPr>
        <w:t>2+</w:t>
      </w:r>
      <w:r w:rsidRPr="00947BD9">
        <w:rPr>
          <w:rFonts w:ascii="Times New Roman" w:hAnsi="Times New Roman"/>
          <w:sz w:val="20"/>
          <w:szCs w:val="20"/>
        </w:rPr>
        <w:t xml:space="preserve"> has the ability to react with the N and S elements in amino acids [</w:t>
      </w:r>
      <w:r w:rsidRPr="00947BD9">
        <w:rPr>
          <w:rFonts w:ascii="Times New Roman" w:hAnsi="Times New Roman"/>
          <w:sz w:val="20"/>
          <w:szCs w:val="20"/>
          <w:lang w:val="en-MY"/>
        </w:rPr>
        <w:t>5]</w:t>
      </w:r>
      <w:r w:rsidRPr="00947BD9">
        <w:rPr>
          <w:rFonts w:ascii="Times New Roman" w:eastAsia="Arial Unicode MS" w:hAnsi="Times New Roman"/>
          <w:sz w:val="20"/>
          <w:szCs w:val="20"/>
        </w:rPr>
        <w:t xml:space="preserve"> and can render the proteins dysfunction</w:t>
      </w:r>
      <w:r w:rsidRPr="00947BD9">
        <w:rPr>
          <w:rFonts w:ascii="Times New Roman" w:hAnsi="Times New Roman"/>
          <w:sz w:val="20"/>
          <w:szCs w:val="20"/>
        </w:rPr>
        <w:t xml:space="preserve">. Thirdly, Pb can also inhibit the activity of proteins at cellular level by reacting with their sulfhydryl groups </w:t>
      </w:r>
      <w:r w:rsidRPr="00947BD9">
        <w:rPr>
          <w:rFonts w:ascii="Times New Roman" w:hAnsi="Times New Roman"/>
          <w:sz w:val="20"/>
          <w:szCs w:val="20"/>
          <w:lang w:val="en-MY"/>
        </w:rPr>
        <w:t>[23]</w:t>
      </w:r>
      <w:r w:rsidRPr="00947BD9">
        <w:rPr>
          <w:rFonts w:ascii="Times New Roman" w:hAnsi="Times New Roman"/>
          <w:sz w:val="20"/>
          <w:szCs w:val="20"/>
        </w:rPr>
        <w:t>. Lastly, to ensure cell growth during the metal-stress, the alga used the</w:t>
      </w:r>
      <w:r w:rsidRPr="00947BD9">
        <w:rPr>
          <w:rFonts w:ascii="Times New Roman" w:hAnsi="Times New Roman"/>
          <w:sz w:val="20"/>
          <w:szCs w:val="20"/>
          <w:shd w:val="clear" w:color="auto" w:fill="FFFFFF"/>
        </w:rPr>
        <w:t xml:space="preserve"> proteins as emergency sources of N and S and to supply carbon skeletons which resulted from the low photosynthetic rate</w:t>
      </w:r>
      <w:r w:rsidRPr="00947BD9">
        <w:rPr>
          <w:rFonts w:ascii="Times New Roman" w:hAnsi="Times New Roman"/>
          <w:sz w:val="20"/>
          <w:szCs w:val="20"/>
          <w:shd w:val="clear" w:color="auto" w:fill="FFFFFF"/>
          <w:lang w:val="en-MY"/>
        </w:rPr>
        <w:t xml:space="preserve"> [27]</w:t>
      </w:r>
      <w:r w:rsidRPr="00947BD9">
        <w:rPr>
          <w:rFonts w:ascii="Times New Roman" w:hAnsi="Times New Roman"/>
          <w:sz w:val="20"/>
          <w:szCs w:val="20"/>
          <w:shd w:val="clear" w:color="auto" w:fill="FFFFFF"/>
        </w:rPr>
        <w:t xml:space="preserve">. </w:t>
      </w:r>
    </w:p>
    <w:p w14:paraId="3E0423EE" w14:textId="77777777" w:rsidR="004E7EC9" w:rsidRPr="00947BD9" w:rsidRDefault="004E7EC9" w:rsidP="004E7EC9">
      <w:pPr>
        <w:spacing w:after="0"/>
        <w:jc w:val="both"/>
        <w:rPr>
          <w:rFonts w:ascii="Times New Roman" w:hAnsi="Times New Roman"/>
          <w:sz w:val="20"/>
          <w:szCs w:val="20"/>
        </w:rPr>
      </w:pPr>
    </w:p>
    <w:p w14:paraId="3FE32F16" w14:textId="77777777" w:rsidR="004E7EC9" w:rsidRPr="00947BD9" w:rsidRDefault="004E7EC9" w:rsidP="004E7EC9">
      <w:pPr>
        <w:adjustRightInd w:val="0"/>
        <w:spacing w:after="0"/>
        <w:jc w:val="both"/>
        <w:rPr>
          <w:rFonts w:ascii="Times New Roman" w:eastAsia="Calibri" w:hAnsi="Times New Roman"/>
          <w:sz w:val="20"/>
          <w:szCs w:val="20"/>
          <w:lang w:val="en-MY" w:eastAsia="en-MY"/>
        </w:rPr>
      </w:pPr>
      <w:r w:rsidRPr="00947BD9">
        <w:rPr>
          <w:rFonts w:ascii="Times New Roman" w:eastAsia="Calibri" w:hAnsi="Times New Roman"/>
          <w:sz w:val="20"/>
          <w:szCs w:val="20"/>
          <w:lang w:val="en-MY" w:eastAsia="en-MY"/>
        </w:rPr>
        <w:t xml:space="preserve">In this study, </w:t>
      </w:r>
      <w:r w:rsidRPr="00947BD9">
        <w:rPr>
          <w:rFonts w:ascii="Times New Roman" w:hAnsi="Times New Roman"/>
          <w:sz w:val="20"/>
          <w:szCs w:val="20"/>
        </w:rPr>
        <w:t>activity of caspase-3-like enzyme was observed to be highly induced in alga treated with IC</w:t>
      </w:r>
      <w:r w:rsidRPr="00947BD9">
        <w:rPr>
          <w:rFonts w:ascii="Times New Roman" w:hAnsi="Times New Roman"/>
          <w:sz w:val="20"/>
          <w:szCs w:val="20"/>
          <w:vertAlign w:val="subscript"/>
        </w:rPr>
        <w:t>25</w:t>
      </w:r>
      <w:r w:rsidRPr="00947BD9">
        <w:rPr>
          <w:rFonts w:ascii="Times New Roman" w:hAnsi="Times New Roman"/>
          <w:sz w:val="20"/>
          <w:szCs w:val="20"/>
        </w:rPr>
        <w:t xml:space="preserve"> </w:t>
      </w:r>
      <w:r w:rsidRPr="00947BD9">
        <w:rPr>
          <w:rFonts w:ascii="Times New Roman" w:hAnsi="Times New Roman"/>
          <w:sz w:val="20"/>
          <w:szCs w:val="20"/>
        </w:rPr>
        <w:lastRenderedPageBreak/>
        <w:t>of Pb</w:t>
      </w:r>
      <w:r w:rsidRPr="00947BD9">
        <w:rPr>
          <w:rFonts w:ascii="Times New Roman" w:hAnsi="Times New Roman"/>
          <w:sz w:val="20"/>
          <w:szCs w:val="20"/>
          <w:vertAlign w:val="superscript"/>
        </w:rPr>
        <w:t>2+</w:t>
      </w:r>
      <w:r w:rsidRPr="00947BD9">
        <w:rPr>
          <w:rFonts w:ascii="Times New Roman" w:hAnsi="Times New Roman"/>
          <w:sz w:val="20"/>
          <w:szCs w:val="20"/>
        </w:rPr>
        <w:t xml:space="preserve"> (Figure 2c). The activity significantly rose to more than 3-fold of that from the control, which indicated that apoptosis was triggered by Pb</w:t>
      </w:r>
      <w:r w:rsidRPr="00947BD9">
        <w:rPr>
          <w:rFonts w:ascii="Times New Roman" w:hAnsi="Times New Roman"/>
          <w:sz w:val="20"/>
          <w:szCs w:val="20"/>
          <w:vertAlign w:val="superscript"/>
        </w:rPr>
        <w:t>2+</w:t>
      </w:r>
      <w:r w:rsidRPr="00947BD9">
        <w:rPr>
          <w:rFonts w:ascii="Times New Roman" w:hAnsi="Times New Roman"/>
          <w:sz w:val="20"/>
          <w:szCs w:val="20"/>
        </w:rPr>
        <w:t xml:space="preserve"> in the alga since caspase-3 enzyme played a central role in mediating the progress of apoptosis </w:t>
      </w:r>
      <w:r w:rsidRPr="00947BD9">
        <w:rPr>
          <w:rFonts w:ascii="Times New Roman" w:hAnsi="Times New Roman"/>
          <w:sz w:val="20"/>
          <w:szCs w:val="20"/>
          <w:lang w:val="en-MY"/>
        </w:rPr>
        <w:t>[25]</w:t>
      </w:r>
      <w:r w:rsidRPr="00947BD9">
        <w:rPr>
          <w:rFonts w:ascii="Times New Roman" w:hAnsi="Times New Roman"/>
          <w:sz w:val="20"/>
          <w:szCs w:val="20"/>
        </w:rPr>
        <w:t>. In fact, Pb was proven to trigger the activation of caspase-3, which led to the induction of apoptosis in a study by Wan Bayani et al.</w:t>
      </w:r>
      <w:r w:rsidRPr="00947BD9">
        <w:rPr>
          <w:rFonts w:ascii="Times New Roman" w:hAnsi="Times New Roman"/>
          <w:sz w:val="20"/>
          <w:szCs w:val="20"/>
          <w:lang w:val="en-MY"/>
        </w:rPr>
        <w:t xml:space="preserve"> [26]</w:t>
      </w:r>
      <w:r w:rsidRPr="00947BD9">
        <w:rPr>
          <w:rFonts w:ascii="Times New Roman" w:hAnsi="Times New Roman"/>
          <w:sz w:val="20"/>
          <w:szCs w:val="20"/>
        </w:rPr>
        <w:t xml:space="preserve"> in </w:t>
      </w:r>
      <w:r w:rsidRPr="00947BD9">
        <w:rPr>
          <w:rFonts w:ascii="Times New Roman" w:hAnsi="Times New Roman"/>
          <w:i/>
          <w:sz w:val="20"/>
          <w:szCs w:val="20"/>
        </w:rPr>
        <w:t>Chlorella vulgaris</w:t>
      </w:r>
      <w:r w:rsidRPr="00947BD9">
        <w:rPr>
          <w:rFonts w:ascii="Times New Roman" w:hAnsi="Times New Roman"/>
          <w:sz w:val="20"/>
          <w:szCs w:val="20"/>
        </w:rPr>
        <w:t xml:space="preserve"> and Yedjou et al.</w:t>
      </w:r>
      <w:r w:rsidRPr="00947BD9">
        <w:rPr>
          <w:rFonts w:ascii="Times New Roman" w:hAnsi="Times New Roman"/>
          <w:sz w:val="20"/>
          <w:szCs w:val="20"/>
          <w:lang w:val="en-MY"/>
        </w:rPr>
        <w:t xml:space="preserve"> [27] </w:t>
      </w:r>
      <w:r w:rsidRPr="00947BD9">
        <w:rPr>
          <w:rFonts w:ascii="Times New Roman" w:hAnsi="Times New Roman"/>
          <w:sz w:val="20"/>
          <w:szCs w:val="20"/>
        </w:rPr>
        <w:t>on human leukemia cells. However, the activity of this enzyme suddenly slowed down to below that of the control in algae treated with IC</w:t>
      </w:r>
      <w:r w:rsidRPr="00947BD9">
        <w:rPr>
          <w:rFonts w:ascii="Times New Roman" w:hAnsi="Times New Roman"/>
          <w:sz w:val="20"/>
          <w:szCs w:val="20"/>
          <w:vertAlign w:val="subscript"/>
        </w:rPr>
        <w:t>50</w:t>
      </w:r>
      <w:r w:rsidRPr="00947BD9">
        <w:rPr>
          <w:rFonts w:ascii="Times New Roman" w:hAnsi="Times New Roman"/>
          <w:sz w:val="20"/>
          <w:szCs w:val="20"/>
        </w:rPr>
        <w:t xml:space="preserve"> and IC</w:t>
      </w:r>
      <w:r w:rsidRPr="00947BD9">
        <w:rPr>
          <w:rFonts w:ascii="Times New Roman" w:hAnsi="Times New Roman"/>
          <w:sz w:val="20"/>
          <w:szCs w:val="20"/>
          <w:vertAlign w:val="subscript"/>
        </w:rPr>
        <w:t>75</w:t>
      </w:r>
      <w:r w:rsidRPr="00947BD9">
        <w:rPr>
          <w:rFonts w:ascii="Times New Roman" w:hAnsi="Times New Roman"/>
          <w:sz w:val="20"/>
          <w:szCs w:val="20"/>
        </w:rPr>
        <w:t xml:space="preserve"> of Pb</w:t>
      </w:r>
      <w:r w:rsidRPr="00947BD9">
        <w:rPr>
          <w:rFonts w:ascii="Times New Roman" w:hAnsi="Times New Roman"/>
          <w:sz w:val="20"/>
          <w:szCs w:val="20"/>
          <w:vertAlign w:val="superscript"/>
        </w:rPr>
        <w:t>2+</w:t>
      </w:r>
      <w:r w:rsidRPr="00947BD9">
        <w:rPr>
          <w:rFonts w:ascii="Times New Roman" w:hAnsi="Times New Roman"/>
          <w:sz w:val="20"/>
          <w:szCs w:val="20"/>
        </w:rPr>
        <w:t xml:space="preserve"> (Figure 2c). Caspases can inhibit the non-apoptotic signaling events such as autophagy by cleaving and destroying pro-autophagic activity of pro-autophagy related proteins </w:t>
      </w:r>
      <w:r w:rsidRPr="00947BD9">
        <w:rPr>
          <w:rFonts w:ascii="Times New Roman" w:hAnsi="Times New Roman"/>
          <w:sz w:val="20"/>
          <w:szCs w:val="20"/>
          <w:lang w:val="en-MY"/>
        </w:rPr>
        <w:t>[28]</w:t>
      </w:r>
      <w:r w:rsidRPr="00947BD9">
        <w:rPr>
          <w:rFonts w:ascii="Times New Roman" w:hAnsi="Times New Roman"/>
          <w:sz w:val="20"/>
          <w:szCs w:val="20"/>
        </w:rPr>
        <w:t xml:space="preserve">. Both apoptosis and autophagy are two important catabolic processes which </w:t>
      </w:r>
      <w:r w:rsidRPr="00947BD9">
        <w:rPr>
          <w:rFonts w:ascii="Times New Roman" w:eastAsia="Calibri" w:hAnsi="Times New Roman"/>
          <w:sz w:val="20"/>
          <w:szCs w:val="20"/>
          <w:lang w:val="en-MY" w:eastAsia="en-MY"/>
        </w:rPr>
        <w:t xml:space="preserve">contribute to the maintenance of cellular and tissue homeostasis and they are highly interconnected </w:t>
      </w:r>
      <w:r w:rsidRPr="00947BD9">
        <w:rPr>
          <w:rFonts w:ascii="Times New Roman" w:eastAsia="Calibri" w:hAnsi="Times New Roman"/>
          <w:sz w:val="20"/>
          <w:szCs w:val="20"/>
          <w:lang w:eastAsia="en-MY"/>
        </w:rPr>
        <w:t>[28]</w:t>
      </w:r>
      <w:r w:rsidRPr="00947BD9">
        <w:rPr>
          <w:rFonts w:ascii="Times New Roman" w:eastAsia="Calibri" w:hAnsi="Times New Roman"/>
          <w:sz w:val="20"/>
          <w:szCs w:val="20"/>
          <w:lang w:val="en-MY" w:eastAsia="en-MY"/>
        </w:rPr>
        <w:t>.</w:t>
      </w:r>
      <w:r w:rsidRPr="00947BD9">
        <w:rPr>
          <w:rFonts w:ascii="Times New Roman" w:hAnsi="Times New Roman"/>
          <w:sz w:val="20"/>
          <w:szCs w:val="20"/>
        </w:rPr>
        <w:t xml:space="preserve"> When one is </w:t>
      </w:r>
      <w:r w:rsidRPr="00947BD9">
        <w:rPr>
          <w:rFonts w:ascii="Times New Roman" w:hAnsi="Times New Roman"/>
          <w:sz w:val="20"/>
          <w:szCs w:val="20"/>
        </w:rPr>
        <w:t>activated, the other will be inhibited. S</w:t>
      </w:r>
      <w:r w:rsidRPr="00947BD9">
        <w:rPr>
          <w:rFonts w:ascii="Times New Roman" w:eastAsia="Calibri" w:hAnsi="Times New Roman"/>
          <w:sz w:val="20"/>
          <w:szCs w:val="20"/>
          <w:lang w:val="en-MY" w:eastAsia="en-MY"/>
        </w:rPr>
        <w:t>everal studies have also indicated that autophagy itself may be a mechanism of caspase-</w:t>
      </w:r>
      <w:r w:rsidRPr="00947BD9">
        <w:rPr>
          <w:sz w:val="20"/>
          <w:szCs w:val="20"/>
        </w:rPr>
        <w:t xml:space="preserve"> </w:t>
      </w:r>
      <w:r w:rsidRPr="00947BD9">
        <w:rPr>
          <w:rFonts w:ascii="Times New Roman" w:eastAsia="Calibri" w:hAnsi="Times New Roman"/>
          <w:sz w:val="20"/>
          <w:szCs w:val="20"/>
          <w:lang w:val="en-MY" w:eastAsia="en-MY"/>
        </w:rPr>
        <w:t xml:space="preserve">independent and apoptosis-independent cell death </w:t>
      </w:r>
      <w:r w:rsidRPr="00947BD9">
        <w:rPr>
          <w:rFonts w:ascii="Times New Roman" w:eastAsia="Calibri" w:hAnsi="Times New Roman"/>
          <w:sz w:val="20"/>
          <w:szCs w:val="20"/>
          <w:lang w:eastAsia="en-MY"/>
        </w:rPr>
        <w:t>[29, 30]</w:t>
      </w:r>
      <w:r w:rsidRPr="00947BD9">
        <w:rPr>
          <w:rFonts w:ascii="Times New Roman" w:eastAsia="Calibri" w:hAnsi="Times New Roman"/>
          <w:sz w:val="20"/>
          <w:szCs w:val="20"/>
          <w:lang w:val="en-MY" w:eastAsia="en-MY"/>
        </w:rPr>
        <w:t xml:space="preserve">. </w:t>
      </w:r>
    </w:p>
    <w:p w14:paraId="09923FBA" w14:textId="77777777" w:rsidR="004E7EC9" w:rsidRPr="00947BD9" w:rsidRDefault="004E7EC9" w:rsidP="004E7EC9">
      <w:pPr>
        <w:adjustRightInd w:val="0"/>
        <w:spacing w:after="0"/>
        <w:jc w:val="both"/>
        <w:rPr>
          <w:rFonts w:ascii="Times New Roman" w:eastAsia="Calibri" w:hAnsi="Times New Roman"/>
          <w:sz w:val="20"/>
          <w:szCs w:val="20"/>
          <w:lang w:val="en-MY" w:eastAsia="en-MY"/>
        </w:rPr>
      </w:pPr>
    </w:p>
    <w:p w14:paraId="4AA38927" w14:textId="77777777" w:rsidR="004E7EC9" w:rsidRPr="00947BD9" w:rsidRDefault="004E7EC9" w:rsidP="004E7EC9">
      <w:pPr>
        <w:adjustRightInd w:val="0"/>
        <w:spacing w:after="0"/>
        <w:jc w:val="both"/>
        <w:rPr>
          <w:rFonts w:ascii="Times New Roman" w:hAnsi="Times New Roman"/>
          <w:sz w:val="20"/>
          <w:szCs w:val="20"/>
        </w:rPr>
      </w:pPr>
      <w:r w:rsidRPr="00947BD9">
        <w:rPr>
          <w:rFonts w:ascii="Times New Roman" w:hAnsi="Times New Roman"/>
          <w:sz w:val="20"/>
          <w:szCs w:val="20"/>
        </w:rPr>
        <w:t>Furthermore, Sui et al</w:t>
      </w:r>
      <w:r w:rsidRPr="00947BD9">
        <w:rPr>
          <w:rFonts w:ascii="Times New Roman" w:hAnsi="Times New Roman"/>
          <w:iCs/>
          <w:sz w:val="20"/>
          <w:szCs w:val="20"/>
          <w:lang w:val="en-MY"/>
        </w:rPr>
        <w:t>. [9]</w:t>
      </w:r>
      <w:r w:rsidRPr="00947BD9">
        <w:rPr>
          <w:rFonts w:ascii="Times New Roman" w:hAnsi="Times New Roman"/>
          <w:sz w:val="20"/>
          <w:szCs w:val="20"/>
        </w:rPr>
        <w:t xml:space="preserve"> stated that cells protect themselves from Pb toxicity by promoting cellular autophagy. Autophagy can prevent cells from undergoing apoptosis,and thus ensure their survivality </w:t>
      </w:r>
      <w:r w:rsidRPr="00947BD9">
        <w:rPr>
          <w:rFonts w:ascii="Times New Roman" w:hAnsi="Times New Roman"/>
          <w:sz w:val="20"/>
          <w:szCs w:val="20"/>
          <w:lang w:val="en-MY"/>
        </w:rPr>
        <w:t>[31]</w:t>
      </w:r>
      <w:r w:rsidRPr="00947BD9">
        <w:rPr>
          <w:rFonts w:ascii="Times New Roman" w:hAnsi="Times New Roman"/>
          <w:sz w:val="20"/>
          <w:szCs w:val="20"/>
        </w:rPr>
        <w:t>. Therefore, from this study it can be suggested that at IC</w:t>
      </w:r>
      <w:r w:rsidRPr="00947BD9">
        <w:rPr>
          <w:rFonts w:ascii="Times New Roman" w:hAnsi="Times New Roman"/>
          <w:sz w:val="20"/>
          <w:szCs w:val="20"/>
          <w:vertAlign w:val="subscript"/>
        </w:rPr>
        <w:t>25</w:t>
      </w:r>
      <w:r w:rsidRPr="00947BD9">
        <w:rPr>
          <w:rFonts w:ascii="Times New Roman" w:hAnsi="Times New Roman"/>
          <w:sz w:val="20"/>
          <w:szCs w:val="20"/>
        </w:rPr>
        <w:t xml:space="preserve"> Pb</w:t>
      </w:r>
      <w:r w:rsidRPr="00947BD9">
        <w:rPr>
          <w:rFonts w:ascii="Times New Roman" w:hAnsi="Times New Roman"/>
          <w:sz w:val="20"/>
          <w:szCs w:val="20"/>
          <w:vertAlign w:val="superscript"/>
        </w:rPr>
        <w:t>2+</w:t>
      </w:r>
      <w:r w:rsidRPr="00947BD9">
        <w:rPr>
          <w:rFonts w:ascii="Times New Roman" w:hAnsi="Times New Roman"/>
          <w:sz w:val="20"/>
          <w:szCs w:val="20"/>
        </w:rPr>
        <w:t xml:space="preserve"> level, the algae cells triggered the cell death through apoptosis by inducing the production of caspase-3-like enzyme but at the IC</w:t>
      </w:r>
      <w:r w:rsidRPr="00947BD9">
        <w:rPr>
          <w:rFonts w:ascii="Times New Roman" w:hAnsi="Times New Roman"/>
          <w:sz w:val="20"/>
          <w:szCs w:val="20"/>
          <w:vertAlign w:val="subscript"/>
        </w:rPr>
        <w:t>50</w:t>
      </w:r>
      <w:r w:rsidRPr="00947BD9">
        <w:rPr>
          <w:rFonts w:ascii="Times New Roman" w:hAnsi="Times New Roman"/>
          <w:sz w:val="20"/>
          <w:szCs w:val="20"/>
        </w:rPr>
        <w:t xml:space="preserve"> and IC</w:t>
      </w:r>
      <w:r w:rsidRPr="00947BD9">
        <w:rPr>
          <w:rFonts w:ascii="Times New Roman" w:hAnsi="Times New Roman"/>
          <w:sz w:val="20"/>
          <w:szCs w:val="20"/>
          <w:vertAlign w:val="subscript"/>
        </w:rPr>
        <w:t xml:space="preserve">75 </w:t>
      </w:r>
      <w:r w:rsidRPr="00947BD9">
        <w:rPr>
          <w:rFonts w:ascii="Times New Roman" w:hAnsi="Times New Roman"/>
          <w:sz w:val="20"/>
          <w:szCs w:val="20"/>
        </w:rPr>
        <w:t xml:space="preserve">levels, the algae protected the remaining cells from death by inducing autophagy. Following either apoptosis or autophagy, necrosis may occur as the secondary events of cell death </w:t>
      </w:r>
      <w:r w:rsidRPr="00947BD9">
        <w:rPr>
          <w:rFonts w:ascii="Times New Roman" w:hAnsi="Times New Roman"/>
          <w:sz w:val="20"/>
          <w:szCs w:val="20"/>
          <w:lang w:val="en-MY"/>
        </w:rPr>
        <w:t>[32]</w:t>
      </w:r>
      <w:r w:rsidRPr="00947BD9">
        <w:rPr>
          <w:rFonts w:ascii="Times New Roman" w:hAnsi="Times New Roman"/>
          <w:sz w:val="20"/>
          <w:szCs w:val="20"/>
        </w:rPr>
        <w:t xml:space="preserve">. However, further analyses are needed to prove this theory. </w:t>
      </w:r>
    </w:p>
    <w:p w14:paraId="0D885887" w14:textId="5CECB691" w:rsidR="004E7EC9" w:rsidRPr="004E7EC9" w:rsidRDefault="004E7EC9" w:rsidP="003D7EB8">
      <w:pPr>
        <w:adjustRightInd w:val="0"/>
        <w:spacing w:after="0"/>
        <w:rPr>
          <w:rFonts w:ascii="Times New Roman" w:hAnsi="Times New Roman"/>
          <w:sz w:val="20"/>
          <w:szCs w:val="20"/>
          <w:shd w:val="clear" w:color="auto" w:fill="FFFFFF"/>
        </w:rPr>
        <w:sectPr w:rsidR="004E7EC9" w:rsidRPr="004E7EC9" w:rsidSect="004E7EC9">
          <w:headerReference w:type="even" r:id="rId17"/>
          <w:headerReference w:type="default" r:id="rId18"/>
          <w:footerReference w:type="even" r:id="rId19"/>
          <w:footerReference w:type="default" r:id="rId20"/>
          <w:headerReference w:type="first" r:id="rId21"/>
          <w:type w:val="continuous"/>
          <w:pgSz w:w="12240" w:h="15840" w:code="1"/>
          <w:pgMar w:top="1800" w:right="1469" w:bottom="1699" w:left="1440" w:header="706" w:footer="706" w:gutter="0"/>
          <w:pgNumType w:start="1"/>
          <w:cols w:num="2" w:space="403"/>
          <w:docGrid w:linePitch="360"/>
        </w:sectPr>
      </w:pPr>
    </w:p>
    <w:p w14:paraId="3229B572" w14:textId="2086637D" w:rsidR="00947BD9" w:rsidRDefault="00947BD9" w:rsidP="00947BD9">
      <w:pPr>
        <w:adjustRightInd w:val="0"/>
        <w:spacing w:after="120"/>
        <w:jc w:val="both"/>
        <w:rPr>
          <w:rFonts w:ascii="Times New Roman" w:hAnsi="Times New Roman"/>
          <w:noProof/>
          <w:sz w:val="20"/>
          <w:szCs w:val="20"/>
          <w:lang w:val="en-MY" w:eastAsia="en-MY"/>
        </w:rPr>
      </w:pPr>
    </w:p>
    <w:p w14:paraId="5EA3722C" w14:textId="77777777" w:rsidR="003D7EB8" w:rsidRPr="00947BD9" w:rsidRDefault="003D7EB8" w:rsidP="00947BD9">
      <w:pPr>
        <w:adjustRightInd w:val="0"/>
        <w:spacing w:after="120"/>
        <w:jc w:val="both"/>
        <w:rPr>
          <w:rFonts w:ascii="Times New Roman" w:hAnsi="Times New Roman"/>
          <w:noProof/>
          <w:sz w:val="20"/>
          <w:szCs w:val="20"/>
          <w:lang w:val="en-MY" w:eastAsia="en-MY"/>
        </w:rPr>
      </w:pPr>
    </w:p>
    <w:p w14:paraId="1AD12D54" w14:textId="56B07D92" w:rsidR="00947BD9" w:rsidRPr="00947BD9" w:rsidRDefault="00947BD9" w:rsidP="00947BD9">
      <w:pPr>
        <w:adjustRightInd w:val="0"/>
        <w:spacing w:after="120"/>
        <w:jc w:val="center"/>
        <w:rPr>
          <w:rFonts w:ascii="Times New Roman" w:hAnsi="Times New Roman"/>
          <w:sz w:val="20"/>
          <w:szCs w:val="20"/>
        </w:rPr>
      </w:pPr>
      <w:r w:rsidRPr="00947BD9">
        <w:rPr>
          <w:rFonts w:ascii="Times New Roman" w:hAnsi="Times New Roman"/>
          <w:noProof/>
          <w:sz w:val="20"/>
          <w:szCs w:val="20"/>
          <w:lang w:val="en-MY" w:eastAsia="en-MY"/>
        </w:rPr>
        <w:drawing>
          <wp:inline distT="0" distB="0" distL="0" distR="0" wp14:anchorId="78904852" wp14:editId="523375BD">
            <wp:extent cx="3740150" cy="2297296"/>
            <wp:effectExtent l="19050" t="19050" r="12700"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749600" cy="2303100"/>
                    </a:xfrm>
                    <a:prstGeom prst="rect">
                      <a:avLst/>
                    </a:prstGeom>
                    <a:ln w="6350">
                      <a:solidFill>
                        <a:schemeClr val="tx1"/>
                      </a:solidFill>
                    </a:ln>
                  </pic:spPr>
                </pic:pic>
              </a:graphicData>
            </a:graphic>
          </wp:inline>
        </w:drawing>
      </w:r>
    </w:p>
    <w:p w14:paraId="65C4ABD5" w14:textId="5A1D560D" w:rsidR="00947BD9" w:rsidRPr="00947BD9" w:rsidRDefault="00947BD9" w:rsidP="00947BD9">
      <w:pPr>
        <w:adjustRightInd w:val="0"/>
        <w:spacing w:after="0"/>
        <w:jc w:val="center"/>
        <w:rPr>
          <w:rFonts w:ascii="Times New Roman" w:hAnsi="Times New Roman"/>
          <w:sz w:val="20"/>
          <w:szCs w:val="20"/>
        </w:rPr>
      </w:pPr>
      <w:r w:rsidRPr="00947BD9">
        <w:rPr>
          <w:rFonts w:ascii="Times New Roman" w:hAnsi="Times New Roman"/>
          <w:sz w:val="20"/>
          <w:szCs w:val="20"/>
        </w:rPr>
        <w:t xml:space="preserve">Figure 1. </w:t>
      </w:r>
      <w:r>
        <w:rPr>
          <w:rFonts w:ascii="Times New Roman" w:hAnsi="Times New Roman"/>
          <w:sz w:val="20"/>
          <w:szCs w:val="20"/>
        </w:rPr>
        <w:t xml:space="preserve"> </w:t>
      </w:r>
      <w:r w:rsidRPr="00947BD9">
        <w:rPr>
          <w:rFonts w:ascii="Times New Roman" w:hAnsi="Times New Roman"/>
          <w:sz w:val="20"/>
          <w:szCs w:val="20"/>
        </w:rPr>
        <w:t xml:space="preserve">Percentage of </w:t>
      </w:r>
      <w:r w:rsidRPr="00947BD9">
        <w:rPr>
          <w:rFonts w:ascii="Times New Roman" w:hAnsi="Times New Roman"/>
          <w:i/>
          <w:sz w:val="20"/>
          <w:szCs w:val="20"/>
        </w:rPr>
        <w:t>S. regularis</w:t>
      </w:r>
      <w:r w:rsidRPr="00947BD9">
        <w:rPr>
          <w:rFonts w:ascii="Times New Roman" w:hAnsi="Times New Roman"/>
          <w:sz w:val="20"/>
          <w:szCs w:val="20"/>
        </w:rPr>
        <w:t xml:space="preserve"> cells inhibited by Pb</w:t>
      </w:r>
      <w:r w:rsidRPr="00947BD9">
        <w:rPr>
          <w:rFonts w:ascii="Times New Roman" w:hAnsi="Times New Roman"/>
          <w:sz w:val="20"/>
          <w:szCs w:val="20"/>
          <w:vertAlign w:val="superscript"/>
        </w:rPr>
        <w:t>2+</w:t>
      </w:r>
      <w:r w:rsidRPr="00947BD9">
        <w:rPr>
          <w:rFonts w:ascii="Times New Roman" w:hAnsi="Times New Roman"/>
          <w:sz w:val="20"/>
          <w:szCs w:val="20"/>
        </w:rPr>
        <w:t xml:space="preserve"> to determine the inhibitory concentration</w:t>
      </w:r>
    </w:p>
    <w:p w14:paraId="4500ECAF" w14:textId="77777777" w:rsidR="00947BD9" w:rsidRPr="00947BD9" w:rsidRDefault="00947BD9" w:rsidP="00947BD9">
      <w:pPr>
        <w:adjustRightInd w:val="0"/>
        <w:spacing w:after="120"/>
        <w:jc w:val="both"/>
        <w:rPr>
          <w:rFonts w:ascii="Times New Roman" w:hAnsi="Times New Roman"/>
          <w:sz w:val="20"/>
          <w:szCs w:val="20"/>
        </w:rPr>
      </w:pPr>
    </w:p>
    <w:p w14:paraId="36E1D27D" w14:textId="77777777" w:rsidR="00947BD9" w:rsidRPr="00947BD9" w:rsidRDefault="00947BD9" w:rsidP="00947BD9">
      <w:pPr>
        <w:adjustRightInd w:val="0"/>
        <w:spacing w:after="0"/>
        <w:jc w:val="both"/>
        <w:rPr>
          <w:rFonts w:ascii="Times New Roman" w:hAnsi="Times New Roman"/>
          <w:sz w:val="20"/>
          <w:szCs w:val="20"/>
        </w:rPr>
      </w:pPr>
    </w:p>
    <w:p w14:paraId="21E0391E" w14:textId="036994FB" w:rsidR="00947BD9" w:rsidRPr="00947BD9" w:rsidRDefault="00947BD9" w:rsidP="00947BD9">
      <w:pPr>
        <w:adjustRightInd w:val="0"/>
        <w:spacing w:after="120"/>
        <w:jc w:val="center"/>
        <w:rPr>
          <w:rFonts w:ascii="Times New Roman" w:hAnsi="Times New Roman"/>
          <w:sz w:val="20"/>
          <w:szCs w:val="20"/>
        </w:rPr>
      </w:pPr>
      <w:r w:rsidRPr="00947BD9">
        <w:rPr>
          <w:rFonts w:ascii="Times New Roman" w:hAnsi="Times New Roman"/>
          <w:noProof/>
          <w:sz w:val="20"/>
          <w:szCs w:val="20"/>
          <w:lang w:val="en-MY" w:eastAsia="en-MY"/>
        </w:rPr>
        <w:lastRenderedPageBreak/>
        <w:drawing>
          <wp:inline distT="0" distB="0" distL="0" distR="0" wp14:anchorId="1B38A88E" wp14:editId="67A721B5">
            <wp:extent cx="3584448" cy="6480269"/>
            <wp:effectExtent l="19050" t="19050" r="16510" b="158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89309" cy="6489057"/>
                    </a:xfrm>
                    <a:prstGeom prst="rect">
                      <a:avLst/>
                    </a:prstGeom>
                    <a:noFill/>
                    <a:ln w="6350">
                      <a:solidFill>
                        <a:schemeClr val="tx1"/>
                      </a:solidFill>
                    </a:ln>
                  </pic:spPr>
                </pic:pic>
              </a:graphicData>
            </a:graphic>
          </wp:inline>
        </w:drawing>
      </w:r>
    </w:p>
    <w:p w14:paraId="31FBE547" w14:textId="4E6021A1" w:rsidR="00947BD9" w:rsidRPr="00947BD9" w:rsidRDefault="00947BD9" w:rsidP="00947BD9">
      <w:pPr>
        <w:spacing w:after="0"/>
        <w:ind w:left="851" w:hanging="851"/>
        <w:jc w:val="both"/>
        <w:rPr>
          <w:rFonts w:ascii="Times New Roman" w:hAnsi="Times New Roman"/>
          <w:sz w:val="20"/>
          <w:szCs w:val="20"/>
        </w:rPr>
      </w:pPr>
      <w:r w:rsidRPr="00947BD9">
        <w:rPr>
          <w:rFonts w:ascii="Times New Roman" w:hAnsi="Times New Roman"/>
          <w:sz w:val="20"/>
          <w:szCs w:val="20"/>
        </w:rPr>
        <w:t xml:space="preserve">Figure 2.  </w:t>
      </w:r>
      <w:r>
        <w:rPr>
          <w:rFonts w:ascii="Times New Roman" w:hAnsi="Times New Roman"/>
          <w:sz w:val="20"/>
          <w:szCs w:val="20"/>
        </w:rPr>
        <w:tab/>
      </w:r>
      <w:r w:rsidRPr="00947BD9">
        <w:rPr>
          <w:rFonts w:ascii="Times New Roman" w:hAnsi="Times New Roman"/>
          <w:sz w:val="20"/>
          <w:szCs w:val="20"/>
        </w:rPr>
        <w:t xml:space="preserve">(a) Chlorophyll a </w:t>
      </w:r>
      <w:r w:rsidRPr="00947BD9">
        <w:rPr>
          <w:rFonts w:ascii="Times New Roman" w:hAnsi="Times New Roman"/>
          <w:sz w:val="20"/>
          <w:szCs w:val="20"/>
          <w:lang w:val="en-MY"/>
        </w:rPr>
        <w:t>concentration,</w:t>
      </w:r>
      <w:r w:rsidRPr="00947BD9">
        <w:rPr>
          <w:rFonts w:ascii="Times New Roman" w:hAnsi="Times New Roman"/>
          <w:sz w:val="20"/>
          <w:szCs w:val="20"/>
        </w:rPr>
        <w:t xml:space="preserve"> (b) total soluble protein </w:t>
      </w:r>
      <w:r w:rsidRPr="00947BD9">
        <w:rPr>
          <w:rFonts w:ascii="Times New Roman" w:hAnsi="Times New Roman"/>
          <w:sz w:val="20"/>
          <w:szCs w:val="20"/>
          <w:lang w:val="en-MY"/>
        </w:rPr>
        <w:t xml:space="preserve">concentration </w:t>
      </w:r>
      <w:r w:rsidRPr="00947BD9">
        <w:rPr>
          <w:rFonts w:ascii="Times New Roman" w:hAnsi="Times New Roman"/>
          <w:sz w:val="20"/>
          <w:szCs w:val="20"/>
        </w:rPr>
        <w:t xml:space="preserve">and, (c)caspase-3-like activityof </w:t>
      </w:r>
      <w:r w:rsidRPr="00947BD9">
        <w:rPr>
          <w:rFonts w:ascii="Times New Roman" w:hAnsi="Times New Roman"/>
          <w:i/>
          <w:sz w:val="20"/>
          <w:szCs w:val="20"/>
        </w:rPr>
        <w:t>S. regularis</w:t>
      </w:r>
      <w:r w:rsidRPr="00947BD9">
        <w:rPr>
          <w:rFonts w:ascii="Times New Roman" w:hAnsi="Times New Roman"/>
          <w:sz w:val="20"/>
          <w:szCs w:val="20"/>
        </w:rPr>
        <w:t xml:space="preserve"> after 24 h in IC</w:t>
      </w:r>
      <w:r w:rsidRPr="00947BD9">
        <w:rPr>
          <w:rFonts w:ascii="Times New Roman" w:hAnsi="Times New Roman"/>
          <w:sz w:val="20"/>
          <w:szCs w:val="20"/>
          <w:vertAlign w:val="subscript"/>
        </w:rPr>
        <w:t>25</w:t>
      </w:r>
      <w:r w:rsidRPr="00947BD9">
        <w:rPr>
          <w:rFonts w:ascii="Times New Roman" w:hAnsi="Times New Roman"/>
          <w:sz w:val="20"/>
          <w:szCs w:val="20"/>
        </w:rPr>
        <w:t>, IC</w:t>
      </w:r>
      <w:r w:rsidRPr="00947BD9">
        <w:rPr>
          <w:rFonts w:ascii="Times New Roman" w:hAnsi="Times New Roman"/>
          <w:sz w:val="20"/>
          <w:szCs w:val="20"/>
          <w:vertAlign w:val="subscript"/>
        </w:rPr>
        <w:t>50</w:t>
      </w:r>
      <w:r w:rsidRPr="00947BD9">
        <w:rPr>
          <w:rFonts w:ascii="Times New Roman" w:hAnsi="Times New Roman"/>
          <w:sz w:val="20"/>
          <w:szCs w:val="20"/>
        </w:rPr>
        <w:t xml:space="preserve"> and IC</w:t>
      </w:r>
      <w:r w:rsidRPr="00947BD9">
        <w:rPr>
          <w:rFonts w:ascii="Times New Roman" w:hAnsi="Times New Roman"/>
          <w:sz w:val="20"/>
          <w:szCs w:val="20"/>
          <w:vertAlign w:val="subscript"/>
        </w:rPr>
        <w:t xml:space="preserve">75 </w:t>
      </w:r>
      <w:r w:rsidRPr="00947BD9">
        <w:rPr>
          <w:rFonts w:ascii="Times New Roman" w:hAnsi="Times New Roman"/>
          <w:sz w:val="20"/>
          <w:szCs w:val="20"/>
        </w:rPr>
        <w:t>of Pb</w:t>
      </w:r>
      <w:r w:rsidRPr="00947BD9">
        <w:rPr>
          <w:rFonts w:ascii="Times New Roman" w:hAnsi="Times New Roman"/>
          <w:sz w:val="20"/>
          <w:szCs w:val="20"/>
          <w:vertAlign w:val="superscript"/>
        </w:rPr>
        <w:t>2+</w:t>
      </w:r>
      <w:r w:rsidRPr="00947BD9">
        <w:rPr>
          <w:rFonts w:ascii="Times New Roman" w:hAnsi="Times New Roman"/>
          <w:sz w:val="20"/>
          <w:szCs w:val="20"/>
          <w:vertAlign w:val="subscript"/>
        </w:rPr>
        <w:t xml:space="preserve"> </w:t>
      </w:r>
      <w:r w:rsidRPr="00947BD9">
        <w:rPr>
          <w:rFonts w:ascii="Times New Roman" w:hAnsi="Times New Roman"/>
          <w:sz w:val="20"/>
          <w:szCs w:val="20"/>
        </w:rPr>
        <w:t xml:space="preserve">as compared to the control. Asterisks above barsindicate statistically significant differences at </w:t>
      </w:r>
      <w:r w:rsidRPr="00947BD9">
        <w:rPr>
          <w:rFonts w:ascii="Times New Roman" w:hAnsi="Times New Roman"/>
          <w:i/>
          <w:iCs/>
          <w:sz w:val="20"/>
          <w:szCs w:val="20"/>
        </w:rPr>
        <w:t>p</w:t>
      </w:r>
      <w:r w:rsidRPr="00947BD9">
        <w:rPr>
          <w:rFonts w:ascii="Times New Roman" w:hAnsi="Times New Roman"/>
          <w:sz w:val="20"/>
          <w:szCs w:val="20"/>
        </w:rPr>
        <w:t xml:space="preserve"> &lt;0.05</w:t>
      </w:r>
    </w:p>
    <w:p w14:paraId="2797A32B" w14:textId="5BD47418" w:rsidR="00947BD9" w:rsidRDefault="00947BD9" w:rsidP="00947BD9">
      <w:pPr>
        <w:adjustRightInd w:val="0"/>
        <w:spacing w:after="120"/>
        <w:jc w:val="both"/>
        <w:rPr>
          <w:rFonts w:ascii="Times New Roman" w:hAnsi="Times New Roman"/>
          <w:sz w:val="20"/>
          <w:szCs w:val="20"/>
        </w:rPr>
      </w:pPr>
    </w:p>
    <w:p w14:paraId="0076A71F" w14:textId="77777777" w:rsidR="003D7EB8" w:rsidRPr="00947BD9" w:rsidRDefault="003D7EB8" w:rsidP="00947BD9">
      <w:pPr>
        <w:adjustRightInd w:val="0"/>
        <w:spacing w:after="120"/>
        <w:jc w:val="both"/>
        <w:rPr>
          <w:rFonts w:ascii="Times New Roman" w:hAnsi="Times New Roman"/>
          <w:sz w:val="20"/>
          <w:szCs w:val="20"/>
        </w:rPr>
      </w:pPr>
    </w:p>
    <w:p w14:paraId="72AF3896" w14:textId="77777777" w:rsidR="006768E9" w:rsidRPr="00F447A7" w:rsidRDefault="006768E9" w:rsidP="00947BD9">
      <w:pPr>
        <w:spacing w:after="0" w:line="240" w:lineRule="auto"/>
        <w:jc w:val="center"/>
        <w:rPr>
          <w:rFonts w:ascii="Times New Roman" w:hAnsi="Times New Roman"/>
          <w:noProof/>
          <w:sz w:val="20"/>
          <w:szCs w:val="20"/>
          <w:lang w:bidi="ar-SA"/>
        </w:rPr>
      </w:pPr>
    </w:p>
    <w:p w14:paraId="5ED0F92C" w14:textId="77777777" w:rsidR="003D7EB8" w:rsidRDefault="003D7EB8" w:rsidP="00F447A7">
      <w:pPr>
        <w:spacing w:after="0" w:line="240" w:lineRule="auto"/>
        <w:jc w:val="center"/>
        <w:rPr>
          <w:rFonts w:ascii="Times New Roman" w:hAnsi="Times New Roman"/>
          <w:b/>
          <w:noProof/>
          <w:sz w:val="20"/>
          <w:szCs w:val="20"/>
          <w:lang w:bidi="ar-SA"/>
        </w:rPr>
        <w:sectPr w:rsidR="003D7EB8" w:rsidSect="004E7EC9">
          <w:headerReference w:type="even" r:id="rId24"/>
          <w:headerReference w:type="default" r:id="rId25"/>
          <w:footerReference w:type="even" r:id="rId26"/>
          <w:headerReference w:type="first" r:id="rId27"/>
          <w:type w:val="continuous"/>
          <w:pgSz w:w="12240" w:h="15840" w:code="1"/>
          <w:pgMar w:top="1800" w:right="1469" w:bottom="1699" w:left="1440" w:header="706" w:footer="706" w:gutter="0"/>
          <w:pgNumType w:start="1"/>
          <w:cols w:space="708"/>
          <w:docGrid w:linePitch="360"/>
        </w:sectPr>
      </w:pPr>
    </w:p>
    <w:p w14:paraId="471ACF9F" w14:textId="3F5FF1ED"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14:paraId="42257D04" w14:textId="77777777" w:rsidR="00947BD9" w:rsidRPr="00947BD9" w:rsidRDefault="00947BD9" w:rsidP="00947BD9">
      <w:pPr>
        <w:spacing w:after="0"/>
        <w:jc w:val="both"/>
        <w:rPr>
          <w:rFonts w:ascii="Times New Roman" w:hAnsi="Times New Roman"/>
          <w:sz w:val="20"/>
          <w:szCs w:val="20"/>
        </w:rPr>
      </w:pPr>
      <w:r w:rsidRPr="00947BD9">
        <w:rPr>
          <w:rFonts w:ascii="Times New Roman" w:eastAsia="Cambria,Cambria,TimesNewRomanPS" w:hAnsi="Times New Roman"/>
          <w:bCs/>
          <w:sz w:val="20"/>
          <w:szCs w:val="20"/>
        </w:rPr>
        <w:t>Pb</w:t>
      </w:r>
      <w:r w:rsidRPr="00947BD9">
        <w:rPr>
          <w:rFonts w:ascii="Times New Roman" w:eastAsia="Cambria,Cambria,TimesNewRomanPS" w:hAnsi="Times New Roman"/>
          <w:bCs/>
          <w:sz w:val="20"/>
          <w:szCs w:val="20"/>
          <w:vertAlign w:val="superscript"/>
        </w:rPr>
        <w:t>2+</w:t>
      </w:r>
      <w:r w:rsidRPr="00947BD9">
        <w:rPr>
          <w:rFonts w:ascii="Times New Roman" w:eastAsia="Cambria,Cambria,TimesNewRomanPS" w:hAnsi="Times New Roman"/>
          <w:bCs/>
          <w:sz w:val="20"/>
          <w:szCs w:val="20"/>
        </w:rPr>
        <w:t xml:space="preserve"> exerts toxic effects on </w:t>
      </w:r>
      <w:r w:rsidRPr="00947BD9">
        <w:rPr>
          <w:rFonts w:ascii="Times New Roman" w:eastAsia="Cambria,Cambria,TimesNewRomanPS" w:hAnsi="Times New Roman"/>
          <w:bCs/>
          <w:i/>
          <w:sz w:val="20"/>
          <w:szCs w:val="20"/>
        </w:rPr>
        <w:t>Scenedesmus regularis</w:t>
      </w:r>
      <w:r w:rsidRPr="00947BD9">
        <w:rPr>
          <w:rFonts w:ascii="Times New Roman" w:eastAsia="Cambria,Cambria,TimesNewRomanPS" w:hAnsi="Times New Roman"/>
          <w:bCs/>
          <w:sz w:val="20"/>
          <w:szCs w:val="20"/>
        </w:rPr>
        <w:t xml:space="preserve"> by reducing the algae Chlorophyll A (Chl A) and TSP content. At low level of Pb</w:t>
      </w:r>
      <w:r w:rsidRPr="00947BD9">
        <w:rPr>
          <w:rFonts w:ascii="Times New Roman" w:eastAsia="Cambria,Cambria,TimesNewRomanPS" w:hAnsi="Times New Roman"/>
          <w:bCs/>
          <w:sz w:val="20"/>
          <w:szCs w:val="20"/>
          <w:vertAlign w:val="superscript"/>
        </w:rPr>
        <w:t>2+</w:t>
      </w:r>
      <w:r w:rsidRPr="00947BD9">
        <w:rPr>
          <w:rFonts w:ascii="Times New Roman" w:eastAsia="Cambria,Cambria,TimesNewRomanPS" w:hAnsi="Times New Roman"/>
          <w:bCs/>
          <w:sz w:val="20"/>
          <w:szCs w:val="20"/>
        </w:rPr>
        <w:t>, the algae induced apoptosis, whereas at high level of Pb</w:t>
      </w:r>
      <w:r w:rsidRPr="00947BD9">
        <w:rPr>
          <w:rFonts w:ascii="Times New Roman" w:eastAsia="Cambria,Cambria,TimesNewRomanPS" w:hAnsi="Times New Roman"/>
          <w:bCs/>
          <w:sz w:val="20"/>
          <w:szCs w:val="20"/>
          <w:vertAlign w:val="superscript"/>
        </w:rPr>
        <w:t>2+</w:t>
      </w:r>
      <w:r w:rsidRPr="00947BD9">
        <w:rPr>
          <w:rFonts w:ascii="Times New Roman" w:eastAsia="Cambria,Cambria,TimesNewRomanPS" w:hAnsi="Times New Roman"/>
          <w:bCs/>
          <w:sz w:val="20"/>
          <w:szCs w:val="20"/>
        </w:rPr>
        <w:t>, the algae induced autophagy as mode of cell death. This is shown by the high activity of caspase-3-like enzyme observed at low Pb</w:t>
      </w:r>
      <w:r w:rsidRPr="00947BD9">
        <w:rPr>
          <w:rFonts w:ascii="Times New Roman" w:eastAsia="Cambria,Cambria,TimesNewRomanPS" w:hAnsi="Times New Roman"/>
          <w:bCs/>
          <w:sz w:val="20"/>
          <w:szCs w:val="20"/>
          <w:vertAlign w:val="superscript"/>
        </w:rPr>
        <w:t>2+</w:t>
      </w:r>
      <w:r w:rsidRPr="00947BD9">
        <w:rPr>
          <w:rFonts w:ascii="Times New Roman" w:eastAsia="Cambria,Cambria,TimesNewRomanPS" w:hAnsi="Times New Roman"/>
          <w:bCs/>
          <w:sz w:val="20"/>
          <w:szCs w:val="20"/>
        </w:rPr>
        <w:t>, but a reduction below the control was seen in cells at high Pb</w:t>
      </w:r>
      <w:r w:rsidRPr="00947BD9">
        <w:rPr>
          <w:rFonts w:ascii="Times New Roman" w:eastAsia="Cambria,Cambria,TimesNewRomanPS" w:hAnsi="Times New Roman"/>
          <w:bCs/>
          <w:sz w:val="20"/>
          <w:szCs w:val="20"/>
          <w:vertAlign w:val="superscript"/>
        </w:rPr>
        <w:t>2+</w:t>
      </w:r>
      <w:r w:rsidRPr="00947BD9">
        <w:rPr>
          <w:rFonts w:ascii="Times New Roman" w:eastAsia="Cambria,Cambria,TimesNewRomanPS" w:hAnsi="Times New Roman"/>
          <w:bCs/>
          <w:sz w:val="20"/>
          <w:szCs w:val="20"/>
        </w:rPr>
        <w:t>. In general, changes observed in this alga, as shown by its Chl A content and caspase-3-like enzyme activity, can be used as biomarkers for Pb</w:t>
      </w:r>
      <w:r w:rsidRPr="00947BD9">
        <w:rPr>
          <w:rFonts w:ascii="Times New Roman" w:eastAsia="Cambria,Cambria,TimesNewRomanPS" w:hAnsi="Times New Roman"/>
          <w:bCs/>
          <w:sz w:val="20"/>
          <w:szCs w:val="20"/>
          <w:vertAlign w:val="superscript"/>
        </w:rPr>
        <w:t>2+</w:t>
      </w:r>
      <w:r w:rsidRPr="00947BD9">
        <w:rPr>
          <w:rFonts w:ascii="Times New Roman" w:eastAsia="Cambria,Cambria,TimesNewRomanPS" w:hAnsi="Times New Roman"/>
          <w:bCs/>
          <w:sz w:val="20"/>
          <w:szCs w:val="20"/>
        </w:rPr>
        <w:t xml:space="preserve"> toxicity. However, further analyses  should be done in other areas of toxicity to fully explore the potential of </w:t>
      </w:r>
      <w:r w:rsidRPr="00947BD9">
        <w:rPr>
          <w:rFonts w:ascii="Times New Roman" w:eastAsia="Cambria,Cambria,TimesNewRomanPS" w:hAnsi="Times New Roman"/>
          <w:bCs/>
          <w:i/>
          <w:sz w:val="20"/>
          <w:szCs w:val="20"/>
        </w:rPr>
        <w:t>S. regularis</w:t>
      </w:r>
      <w:r w:rsidRPr="00947BD9">
        <w:rPr>
          <w:rFonts w:ascii="Times New Roman" w:eastAsia="Cambria,Cambria,TimesNewRomanPS" w:hAnsi="Times New Roman"/>
          <w:bCs/>
          <w:sz w:val="20"/>
          <w:szCs w:val="20"/>
        </w:rPr>
        <w:t xml:space="preserve"> as heavy metals bioremediation and bioindication tools.</w:t>
      </w:r>
    </w:p>
    <w:p w14:paraId="3339D0C2" w14:textId="77777777" w:rsidR="00947BD9" w:rsidRPr="00947BD9" w:rsidRDefault="00947BD9" w:rsidP="00947BD9">
      <w:pPr>
        <w:spacing w:after="0"/>
        <w:jc w:val="center"/>
        <w:rPr>
          <w:rFonts w:ascii="Times New Roman" w:hAnsi="Times New Roman"/>
          <w:sz w:val="20"/>
          <w:szCs w:val="20"/>
        </w:rPr>
      </w:pPr>
    </w:p>
    <w:p w14:paraId="4C0A65D6" w14:textId="77777777" w:rsidR="00947BD9" w:rsidRPr="00947BD9" w:rsidRDefault="00947BD9" w:rsidP="00947BD9">
      <w:pPr>
        <w:spacing w:after="0"/>
        <w:jc w:val="center"/>
        <w:rPr>
          <w:rFonts w:ascii="Times New Roman" w:hAnsi="Times New Roman"/>
          <w:sz w:val="20"/>
          <w:szCs w:val="20"/>
        </w:rPr>
      </w:pPr>
      <w:r w:rsidRPr="00947BD9">
        <w:rPr>
          <w:rFonts w:ascii="Times New Roman" w:hAnsi="Times New Roman"/>
          <w:b/>
          <w:sz w:val="20"/>
          <w:szCs w:val="20"/>
        </w:rPr>
        <w:t>Acknowledgement</w:t>
      </w:r>
    </w:p>
    <w:p w14:paraId="3FCB933D" w14:textId="62C2DE45" w:rsidR="006768E9" w:rsidRPr="00947BD9" w:rsidRDefault="00947BD9" w:rsidP="00947BD9">
      <w:pPr>
        <w:adjustRightInd w:val="0"/>
        <w:spacing w:after="0"/>
        <w:jc w:val="both"/>
        <w:rPr>
          <w:rFonts w:ascii="Times New Roman" w:eastAsia="Cambria,Cambria,TimesNewRomanPS" w:hAnsi="Times New Roman"/>
          <w:szCs w:val="20"/>
        </w:rPr>
      </w:pPr>
      <w:r w:rsidRPr="00947BD9">
        <w:rPr>
          <w:rFonts w:ascii="Times New Roman" w:eastAsia="Cambria,Cambria,TimesNewRomanPS" w:hAnsi="Times New Roman"/>
          <w:sz w:val="20"/>
          <w:szCs w:val="20"/>
        </w:rPr>
        <w:t>The authors acknowledged the Malaysian Ministry of Higher Education for funding the research under the Fundamental Research Grant Scheme, and managed by the Research Management Centre, University Malaysia Terengganu (vot. no. 59311).</w:t>
      </w:r>
    </w:p>
    <w:p w14:paraId="7FDC64FF" w14:textId="77777777" w:rsidR="006768E9" w:rsidRPr="00F447A7" w:rsidRDefault="006768E9" w:rsidP="00F447A7">
      <w:pPr>
        <w:spacing w:after="0" w:line="240" w:lineRule="auto"/>
        <w:jc w:val="center"/>
        <w:rPr>
          <w:rFonts w:ascii="Times New Roman" w:hAnsi="Times New Roman"/>
          <w:noProof/>
          <w:sz w:val="20"/>
          <w:szCs w:val="20"/>
          <w:lang w:bidi="ar-SA"/>
        </w:rPr>
      </w:pPr>
    </w:p>
    <w:p w14:paraId="451B82AC" w14:textId="77777777"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0A5F4B51" w14:textId="77777777" w:rsidR="004E7EC9" w:rsidRPr="00947BD9" w:rsidRDefault="004E7EC9" w:rsidP="004E7EC9">
      <w:pPr>
        <w:pStyle w:val="Heading1"/>
        <w:keepNext/>
        <w:numPr>
          <w:ilvl w:val="0"/>
          <w:numId w:val="2"/>
        </w:numPr>
        <w:shd w:val="clear" w:color="auto" w:fill="FFFFFF"/>
        <w:spacing w:before="0"/>
        <w:ind w:left="360"/>
        <w:contextualSpacing w:val="0"/>
        <w:jc w:val="both"/>
        <w:textAlignment w:val="baseline"/>
        <w:rPr>
          <w:rFonts w:ascii="Times New Roman" w:hAnsi="Times New Roman"/>
          <w:b/>
          <w:bCs/>
          <w:smallCaps w:val="0"/>
          <w:spacing w:val="0"/>
          <w:sz w:val="20"/>
          <w:szCs w:val="20"/>
        </w:rPr>
      </w:pPr>
      <w:r w:rsidRPr="00947BD9">
        <w:rPr>
          <w:rFonts w:ascii="Times New Roman" w:hAnsi="Times New Roman"/>
          <w:smallCaps w:val="0"/>
          <w:spacing w:val="0"/>
          <w:sz w:val="20"/>
          <w:szCs w:val="20"/>
        </w:rPr>
        <w:t xml:space="preserve">Kumar, K. S., Dahms, H-U., Won, E. J., Lee, J. S. and Shin, K-H. (2015). Microalgae - a promising tool for heavy metal remediation. </w:t>
      </w:r>
      <w:r w:rsidRPr="00947BD9">
        <w:rPr>
          <w:rFonts w:ascii="Times New Roman" w:hAnsi="Times New Roman"/>
          <w:i/>
          <w:iCs/>
          <w:smallCaps w:val="0"/>
          <w:spacing w:val="0"/>
          <w:sz w:val="20"/>
          <w:szCs w:val="20"/>
          <w:shd w:val="clear" w:color="auto" w:fill="FFFFFF"/>
        </w:rPr>
        <w:t xml:space="preserve">Ecotoxicology and Environmental Safety, </w:t>
      </w:r>
      <w:r w:rsidRPr="00947BD9">
        <w:rPr>
          <w:rFonts w:ascii="Times New Roman" w:hAnsi="Times New Roman"/>
          <w:smallCaps w:val="0"/>
          <w:spacing w:val="0"/>
          <w:sz w:val="20"/>
          <w:szCs w:val="20"/>
        </w:rPr>
        <w:t>113: 329-352.</w:t>
      </w:r>
    </w:p>
    <w:p w14:paraId="04D9233E" w14:textId="77777777" w:rsidR="004E7EC9" w:rsidRPr="00947BD9" w:rsidRDefault="004E7EC9" w:rsidP="004E7EC9">
      <w:pPr>
        <w:pStyle w:val="Heading1"/>
        <w:keepNext/>
        <w:numPr>
          <w:ilvl w:val="0"/>
          <w:numId w:val="2"/>
        </w:numPr>
        <w:shd w:val="clear" w:color="auto" w:fill="FFFFFF"/>
        <w:spacing w:before="0"/>
        <w:ind w:left="360"/>
        <w:contextualSpacing w:val="0"/>
        <w:jc w:val="both"/>
        <w:textAlignment w:val="baseline"/>
        <w:rPr>
          <w:rFonts w:ascii="Times New Roman" w:hAnsi="Times New Roman"/>
          <w:b/>
          <w:bCs/>
          <w:smallCaps w:val="0"/>
          <w:spacing w:val="0"/>
          <w:sz w:val="20"/>
          <w:szCs w:val="20"/>
        </w:rPr>
      </w:pPr>
      <w:r w:rsidRPr="00947BD9">
        <w:rPr>
          <w:rFonts w:ascii="Times New Roman" w:hAnsi="Times New Roman"/>
          <w:smallCaps w:val="0"/>
          <w:spacing w:val="0"/>
          <w:sz w:val="20"/>
          <w:szCs w:val="20"/>
          <w:shd w:val="clear" w:color="auto" w:fill="FFFFFF"/>
        </w:rPr>
        <w:t xml:space="preserve">Cao, D.J., Shi, X.D., Li, H., Xie, P.P., Zhang, H.M., Deng, J.W. and Liang, Y.G. (2015). Effects of lead on tolerance, bioaccumulation, and antioxidative defense system of green algae, </w:t>
      </w:r>
      <w:r w:rsidRPr="00947BD9">
        <w:rPr>
          <w:rFonts w:ascii="Times New Roman" w:hAnsi="Times New Roman"/>
          <w:i/>
          <w:smallCaps w:val="0"/>
          <w:spacing w:val="0"/>
          <w:sz w:val="20"/>
          <w:szCs w:val="20"/>
          <w:shd w:val="clear" w:color="auto" w:fill="FFFFFF"/>
        </w:rPr>
        <w:t>Cladophora</w:t>
      </w:r>
      <w:r w:rsidRPr="00947BD9">
        <w:rPr>
          <w:rFonts w:ascii="Times New Roman" w:hAnsi="Times New Roman"/>
          <w:smallCaps w:val="0"/>
          <w:spacing w:val="0"/>
          <w:sz w:val="20"/>
          <w:szCs w:val="20"/>
          <w:shd w:val="clear" w:color="auto" w:fill="FFFFFF"/>
        </w:rPr>
        <w:t>.</w:t>
      </w:r>
      <w:r w:rsidRPr="00947BD9">
        <w:rPr>
          <w:rStyle w:val="apple-converted-space"/>
          <w:rFonts w:ascii="Times New Roman" w:hAnsi="Times New Roman"/>
          <w:b/>
          <w:bCs/>
          <w:smallCaps w:val="0"/>
          <w:spacing w:val="0"/>
          <w:sz w:val="20"/>
          <w:szCs w:val="20"/>
          <w:shd w:val="clear" w:color="auto" w:fill="FFFFFF"/>
        </w:rPr>
        <w:t> </w:t>
      </w:r>
      <w:r w:rsidRPr="00947BD9">
        <w:rPr>
          <w:rFonts w:ascii="Times New Roman" w:hAnsi="Times New Roman"/>
          <w:i/>
          <w:iCs/>
          <w:smallCaps w:val="0"/>
          <w:spacing w:val="0"/>
          <w:sz w:val="20"/>
          <w:szCs w:val="20"/>
          <w:shd w:val="clear" w:color="auto" w:fill="FFFFFF"/>
        </w:rPr>
        <w:t>Ecotoxicology and Environmental Safety,</w:t>
      </w:r>
      <w:r w:rsidRPr="00947BD9">
        <w:rPr>
          <w:rStyle w:val="apple-converted-space"/>
          <w:rFonts w:ascii="Times New Roman" w:hAnsi="Times New Roman"/>
          <w:b/>
          <w:bCs/>
          <w:i/>
          <w:smallCaps w:val="0"/>
          <w:spacing w:val="0"/>
          <w:sz w:val="20"/>
          <w:szCs w:val="20"/>
          <w:shd w:val="clear" w:color="auto" w:fill="FFFFFF"/>
        </w:rPr>
        <w:t> </w:t>
      </w:r>
      <w:r w:rsidRPr="00947BD9">
        <w:rPr>
          <w:rFonts w:ascii="Times New Roman" w:hAnsi="Times New Roman"/>
          <w:iCs/>
          <w:smallCaps w:val="0"/>
          <w:spacing w:val="0"/>
          <w:sz w:val="20"/>
          <w:szCs w:val="20"/>
          <w:shd w:val="clear" w:color="auto" w:fill="FFFFFF"/>
        </w:rPr>
        <w:t>112:</w:t>
      </w:r>
      <w:r w:rsidRPr="00947BD9">
        <w:rPr>
          <w:rFonts w:ascii="Times New Roman" w:hAnsi="Times New Roman"/>
          <w:smallCaps w:val="0"/>
          <w:spacing w:val="0"/>
          <w:sz w:val="20"/>
          <w:szCs w:val="20"/>
          <w:shd w:val="clear" w:color="auto" w:fill="FFFFFF"/>
        </w:rPr>
        <w:t xml:space="preserve"> 231-237.</w:t>
      </w:r>
    </w:p>
    <w:p w14:paraId="1929B993" w14:textId="77777777" w:rsidR="004E7EC9" w:rsidRPr="00947BD9" w:rsidRDefault="004E7EC9" w:rsidP="004E7EC9">
      <w:pPr>
        <w:pStyle w:val="ListParagraph"/>
        <w:widowControl w:val="0"/>
        <w:numPr>
          <w:ilvl w:val="0"/>
          <w:numId w:val="2"/>
        </w:numPr>
        <w:autoSpaceDE w:val="0"/>
        <w:autoSpaceDN w:val="0"/>
        <w:spacing w:after="0"/>
        <w:ind w:left="360"/>
        <w:contextualSpacing w:val="0"/>
        <w:jc w:val="both"/>
        <w:rPr>
          <w:rStyle w:val="normaltextrun"/>
          <w:rFonts w:ascii="Times New Roman" w:hAnsi="Times New Roman"/>
          <w:sz w:val="20"/>
          <w:szCs w:val="20"/>
          <w:shd w:val="clear" w:color="auto" w:fill="FFFFFF"/>
        </w:rPr>
      </w:pPr>
      <w:r w:rsidRPr="00947BD9">
        <w:rPr>
          <w:rStyle w:val="authors0"/>
          <w:rFonts w:ascii="Times New Roman" w:hAnsi="Times New Roman"/>
          <w:sz w:val="20"/>
          <w:szCs w:val="20"/>
        </w:rPr>
        <w:t xml:space="preserve">Piotrowska-Niczyporuk, A., Bajguz, A., Talarek, M., </w:t>
      </w:r>
      <w:r w:rsidRPr="00947BD9">
        <w:rPr>
          <w:rStyle w:val="all-authors"/>
          <w:rFonts w:ascii="Times New Roman" w:hAnsi="Times New Roman"/>
          <w:sz w:val="20"/>
          <w:szCs w:val="20"/>
        </w:rPr>
        <w:t xml:space="preserve">Bralska, M. and Zambrzycka, E. (2015). </w:t>
      </w:r>
      <w:r w:rsidRPr="00947BD9">
        <w:rPr>
          <w:rFonts w:ascii="Times New Roman" w:hAnsi="Times New Roman"/>
          <w:bCs/>
          <w:sz w:val="20"/>
          <w:szCs w:val="20"/>
        </w:rPr>
        <w:t xml:space="preserve">The effect of lead on the growth, content of primary metabolites, and antioxidant response of green alga </w:t>
      </w:r>
      <w:r w:rsidRPr="00947BD9">
        <w:rPr>
          <w:rFonts w:ascii="Times New Roman" w:hAnsi="Times New Roman"/>
          <w:bCs/>
          <w:i/>
          <w:sz w:val="20"/>
          <w:szCs w:val="20"/>
        </w:rPr>
        <w:t>Acutodesmus obliquus</w:t>
      </w:r>
      <w:r w:rsidRPr="00947BD9">
        <w:rPr>
          <w:rFonts w:ascii="Times New Roman" w:hAnsi="Times New Roman"/>
          <w:bCs/>
          <w:sz w:val="20"/>
          <w:szCs w:val="20"/>
        </w:rPr>
        <w:t xml:space="preserve"> (Chlorophyceae).</w:t>
      </w:r>
      <w:r w:rsidRPr="00947BD9">
        <w:rPr>
          <w:rFonts w:ascii="Times New Roman" w:hAnsi="Times New Roman"/>
          <w:bCs/>
          <w:i/>
          <w:sz w:val="20"/>
          <w:szCs w:val="20"/>
        </w:rPr>
        <w:t xml:space="preserve"> </w:t>
      </w:r>
      <w:r w:rsidRPr="00947BD9">
        <w:rPr>
          <w:rFonts w:ascii="Times New Roman" w:hAnsi="Times New Roman"/>
          <w:i/>
          <w:sz w:val="20"/>
          <w:szCs w:val="20"/>
        </w:rPr>
        <w:t>Environmental Science and Pollution Research,</w:t>
      </w:r>
      <w:r w:rsidRPr="00947BD9">
        <w:rPr>
          <w:rFonts w:ascii="Times New Roman" w:hAnsi="Times New Roman"/>
          <w:sz w:val="20"/>
          <w:szCs w:val="20"/>
        </w:rPr>
        <w:t xml:space="preserve"> 22: 19112-19123.</w:t>
      </w:r>
    </w:p>
    <w:p w14:paraId="70C0EAC8"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rPr>
      </w:pPr>
      <w:r w:rsidRPr="00947BD9">
        <w:rPr>
          <w:rFonts w:ascii="Times New Roman" w:hAnsi="Times New Roman"/>
          <w:sz w:val="20"/>
          <w:szCs w:val="20"/>
        </w:rPr>
        <w:t xml:space="preserve">Luqman, A. B. and Hazlina, A. Z. (2015). Accumulation of Cu(II) and Pb(II) in three rhodophytes of the genus </w:t>
      </w:r>
      <w:r w:rsidRPr="00947BD9">
        <w:rPr>
          <w:rFonts w:ascii="Times New Roman" w:hAnsi="Times New Roman"/>
          <w:i/>
          <w:iCs/>
          <w:sz w:val="20"/>
          <w:szCs w:val="20"/>
        </w:rPr>
        <w:t>Gracilaria</w:t>
      </w:r>
      <w:r w:rsidRPr="00947BD9">
        <w:rPr>
          <w:rFonts w:ascii="Times New Roman" w:hAnsi="Times New Roman"/>
          <w:sz w:val="20"/>
          <w:szCs w:val="20"/>
        </w:rPr>
        <w:t xml:space="preserve"> and the impact of the metals on the algae physiology. </w:t>
      </w:r>
      <w:r w:rsidRPr="00947BD9">
        <w:rPr>
          <w:rFonts w:ascii="Times New Roman" w:hAnsi="Times New Roman"/>
          <w:i/>
          <w:sz w:val="20"/>
          <w:szCs w:val="20"/>
        </w:rPr>
        <w:t xml:space="preserve">Bioscience and Bioengineering, </w:t>
      </w:r>
      <w:r w:rsidRPr="00947BD9">
        <w:rPr>
          <w:rFonts w:ascii="Times New Roman" w:hAnsi="Times New Roman"/>
          <w:sz w:val="20"/>
          <w:szCs w:val="20"/>
        </w:rPr>
        <w:t>1: 106-111.</w:t>
      </w:r>
    </w:p>
    <w:p w14:paraId="33FBE535" w14:textId="77777777" w:rsidR="004E7EC9" w:rsidRPr="00947BD9" w:rsidRDefault="004E7EC9" w:rsidP="004E7EC9">
      <w:pPr>
        <w:pStyle w:val="Heading1"/>
        <w:keepNext/>
        <w:numPr>
          <w:ilvl w:val="0"/>
          <w:numId w:val="2"/>
        </w:numPr>
        <w:shd w:val="clear" w:color="auto" w:fill="FFFFFF"/>
        <w:spacing w:before="0"/>
        <w:ind w:left="360"/>
        <w:contextualSpacing w:val="0"/>
        <w:jc w:val="both"/>
        <w:rPr>
          <w:rFonts w:ascii="Times New Roman" w:hAnsi="Times New Roman"/>
          <w:b/>
          <w:smallCaps w:val="0"/>
          <w:spacing w:val="0"/>
          <w:sz w:val="20"/>
          <w:szCs w:val="20"/>
        </w:rPr>
      </w:pPr>
      <w:r w:rsidRPr="00947BD9">
        <w:rPr>
          <w:rFonts w:ascii="Times New Roman" w:hAnsi="Times New Roman"/>
          <w:smallCaps w:val="0"/>
          <w:spacing w:val="0"/>
          <w:sz w:val="20"/>
          <w:szCs w:val="20"/>
        </w:rPr>
        <w:t xml:space="preserve">Dao, L. H. and Beardall, J. (2016). Effects of lead on growth, photosynthetic characteristics and production of reactive oxygen species of two freshwater green algae. </w:t>
      </w:r>
      <w:r w:rsidRPr="00947BD9">
        <w:rPr>
          <w:rFonts w:ascii="Times New Roman" w:hAnsi="Times New Roman"/>
          <w:i/>
          <w:smallCaps w:val="0"/>
          <w:spacing w:val="0"/>
          <w:sz w:val="20"/>
          <w:szCs w:val="20"/>
        </w:rPr>
        <w:t xml:space="preserve">Chemosphere, </w:t>
      </w:r>
      <w:r w:rsidRPr="00947BD9">
        <w:rPr>
          <w:rFonts w:ascii="Times New Roman" w:hAnsi="Times New Roman"/>
          <w:smallCaps w:val="0"/>
          <w:spacing w:val="0"/>
          <w:sz w:val="20"/>
          <w:szCs w:val="20"/>
        </w:rPr>
        <w:t xml:space="preserve">147: 420-429. </w:t>
      </w:r>
    </w:p>
    <w:p w14:paraId="6194E11E"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rPr>
      </w:pPr>
      <w:r w:rsidRPr="00947BD9">
        <w:rPr>
          <w:rFonts w:ascii="Times New Roman" w:hAnsi="Times New Roman"/>
          <w:sz w:val="20"/>
          <w:szCs w:val="20"/>
        </w:rPr>
        <w:t xml:space="preserve">Saleh, B. (2016). Lead (Pb) heavy metal impacts in the green </w:t>
      </w:r>
      <w:r w:rsidRPr="00947BD9">
        <w:rPr>
          <w:rFonts w:ascii="Times New Roman" w:hAnsi="Times New Roman"/>
          <w:i/>
          <w:sz w:val="20"/>
          <w:szCs w:val="20"/>
        </w:rPr>
        <w:t>Ulva lactuca</w:t>
      </w:r>
      <w:r w:rsidRPr="00947BD9">
        <w:rPr>
          <w:rFonts w:ascii="Times New Roman" w:hAnsi="Times New Roman"/>
          <w:sz w:val="20"/>
          <w:szCs w:val="20"/>
        </w:rPr>
        <w:t xml:space="preserve"> (Chlorophyceae) marine algae. </w:t>
      </w:r>
      <w:r w:rsidRPr="00947BD9">
        <w:rPr>
          <w:rFonts w:ascii="Times New Roman" w:hAnsi="Times New Roman"/>
          <w:i/>
          <w:sz w:val="20"/>
          <w:szCs w:val="20"/>
        </w:rPr>
        <w:t>Journal of Stress Physiology and Biochemistry,</w:t>
      </w:r>
      <w:r w:rsidRPr="00947BD9">
        <w:rPr>
          <w:rFonts w:ascii="Times New Roman" w:hAnsi="Times New Roman"/>
          <w:sz w:val="20"/>
          <w:szCs w:val="20"/>
        </w:rPr>
        <w:t xml:space="preserve"> 12: 62-71.</w:t>
      </w:r>
    </w:p>
    <w:p w14:paraId="278D24F3" w14:textId="77777777" w:rsidR="004E7EC9" w:rsidRPr="00947BD9" w:rsidRDefault="004E7EC9" w:rsidP="004E7EC9">
      <w:pPr>
        <w:pStyle w:val="ListParagraph"/>
        <w:widowControl w:val="0"/>
        <w:numPr>
          <w:ilvl w:val="0"/>
          <w:numId w:val="2"/>
        </w:numPr>
        <w:shd w:val="clear" w:color="auto" w:fill="FFFFFF"/>
        <w:autoSpaceDE w:val="0"/>
        <w:autoSpaceDN w:val="0"/>
        <w:spacing w:after="0"/>
        <w:ind w:left="360"/>
        <w:contextualSpacing w:val="0"/>
        <w:jc w:val="both"/>
        <w:rPr>
          <w:rFonts w:ascii="Times New Roman" w:hAnsi="Times New Roman"/>
          <w:sz w:val="20"/>
          <w:szCs w:val="20"/>
        </w:rPr>
      </w:pPr>
      <w:r w:rsidRPr="00947BD9">
        <w:rPr>
          <w:rFonts w:ascii="Times New Roman" w:hAnsi="Times New Roman"/>
          <w:sz w:val="20"/>
          <w:szCs w:val="20"/>
        </w:rPr>
        <w:t>Carfagna, S., Giovanna, N. L., Adriana, S., Sorbo, B. S. and</w:t>
      </w:r>
      <w:r w:rsidRPr="00947BD9">
        <w:rPr>
          <w:rStyle w:val="apple-converted-space"/>
          <w:rFonts w:ascii="Times New Roman" w:hAnsi="Times New Roman"/>
          <w:sz w:val="20"/>
          <w:szCs w:val="20"/>
        </w:rPr>
        <w:t xml:space="preserve"> </w:t>
      </w:r>
      <w:r w:rsidRPr="00947BD9">
        <w:rPr>
          <w:rFonts w:ascii="Times New Roman" w:hAnsi="Times New Roman"/>
          <w:sz w:val="20"/>
          <w:szCs w:val="20"/>
        </w:rPr>
        <w:t xml:space="preserve">Vona, V. (2013). Physiological and morphological responses of lead or cadmium exposed </w:t>
      </w:r>
      <w:r w:rsidRPr="00947BD9">
        <w:rPr>
          <w:rStyle w:val="Emphasis"/>
          <w:rFonts w:ascii="Times New Roman" w:hAnsi="Times New Roman"/>
          <w:b w:val="0"/>
          <w:bCs w:val="0"/>
          <w:spacing w:val="0"/>
          <w:sz w:val="20"/>
          <w:szCs w:val="20"/>
        </w:rPr>
        <w:t>Chlorella sorokiniana</w:t>
      </w:r>
      <w:r w:rsidRPr="00947BD9">
        <w:rPr>
          <w:rStyle w:val="apple-converted-space"/>
          <w:rFonts w:ascii="Times New Roman" w:hAnsi="Times New Roman"/>
          <w:sz w:val="20"/>
          <w:szCs w:val="20"/>
        </w:rPr>
        <w:t> </w:t>
      </w:r>
      <w:r w:rsidRPr="00947BD9">
        <w:rPr>
          <w:rFonts w:ascii="Times New Roman" w:hAnsi="Times New Roman"/>
          <w:sz w:val="20"/>
          <w:szCs w:val="20"/>
        </w:rPr>
        <w:t xml:space="preserve">211-8K (Chlorophyceae). </w:t>
      </w:r>
      <w:r w:rsidRPr="00947BD9">
        <w:rPr>
          <w:rFonts w:ascii="Times New Roman" w:hAnsi="Times New Roman"/>
          <w:i/>
          <w:sz w:val="20"/>
          <w:szCs w:val="20"/>
        </w:rPr>
        <w:t xml:space="preserve">SpingerPlus, </w:t>
      </w:r>
      <w:r w:rsidRPr="00947BD9">
        <w:rPr>
          <w:rFonts w:ascii="Times New Roman" w:hAnsi="Times New Roman"/>
          <w:sz w:val="20"/>
          <w:szCs w:val="20"/>
        </w:rPr>
        <w:t>2: 147-152.</w:t>
      </w:r>
    </w:p>
    <w:p w14:paraId="6CCF4B14" w14:textId="77777777" w:rsidR="004E7EC9" w:rsidRPr="00947BD9" w:rsidRDefault="004E7EC9" w:rsidP="004E7EC9">
      <w:pPr>
        <w:pStyle w:val="ListParagraph"/>
        <w:widowControl w:val="0"/>
        <w:numPr>
          <w:ilvl w:val="0"/>
          <w:numId w:val="2"/>
        </w:numPr>
        <w:shd w:val="clear" w:color="auto" w:fill="FFFFFF"/>
        <w:tabs>
          <w:tab w:val="left" w:pos="426"/>
        </w:tabs>
        <w:autoSpaceDE w:val="0"/>
        <w:autoSpaceDN w:val="0"/>
        <w:spacing w:after="0"/>
        <w:ind w:left="360"/>
        <w:contextualSpacing w:val="0"/>
        <w:jc w:val="both"/>
        <w:textAlignment w:val="baseline"/>
        <w:rPr>
          <w:rFonts w:ascii="Times New Roman" w:hAnsi="Times New Roman"/>
          <w:sz w:val="20"/>
          <w:szCs w:val="20"/>
        </w:rPr>
      </w:pPr>
      <w:r w:rsidRPr="00947BD9">
        <w:rPr>
          <w:rFonts w:ascii="Times New Roman" w:hAnsi="Times New Roman"/>
          <w:sz w:val="20"/>
          <w:szCs w:val="20"/>
        </w:rPr>
        <w:t xml:space="preserve">   Szivák, I.,</w:t>
      </w:r>
      <w:r w:rsidRPr="00947BD9">
        <w:rPr>
          <w:rStyle w:val="apple-converted-space"/>
          <w:rFonts w:ascii="Times New Roman" w:hAnsi="Times New Roman"/>
          <w:sz w:val="20"/>
          <w:szCs w:val="20"/>
        </w:rPr>
        <w:t> </w:t>
      </w:r>
      <w:r w:rsidRPr="00947BD9">
        <w:rPr>
          <w:rFonts w:ascii="Times New Roman" w:hAnsi="Times New Roman"/>
          <w:sz w:val="20"/>
          <w:szCs w:val="20"/>
        </w:rPr>
        <w:t xml:space="preserve">Behra, R. and Sigg, L. (2009). </w:t>
      </w:r>
      <w:r w:rsidRPr="00947BD9">
        <w:rPr>
          <w:rStyle w:val="maintitle"/>
          <w:rFonts w:ascii="Times New Roman" w:hAnsi="Times New Roman"/>
          <w:sz w:val="20"/>
          <w:szCs w:val="20"/>
        </w:rPr>
        <w:t xml:space="preserve">Metal-induced reactive oxygen species production in </w:t>
      </w:r>
      <w:r w:rsidRPr="004E7EC9">
        <w:rPr>
          <w:rStyle w:val="maintitle"/>
          <w:rFonts w:ascii="Times New Roman" w:hAnsi="Times New Roman"/>
          <w:sz w:val="20"/>
          <w:szCs w:val="20"/>
        </w:rPr>
        <w:t>C</w:t>
      </w:r>
      <w:r w:rsidRPr="00947BD9">
        <w:rPr>
          <w:rStyle w:val="Emphasis"/>
          <w:rFonts w:ascii="Times New Roman" w:hAnsi="Times New Roman"/>
          <w:b w:val="0"/>
          <w:bCs w:val="0"/>
          <w:spacing w:val="0"/>
          <w:sz w:val="20"/>
          <w:szCs w:val="20"/>
        </w:rPr>
        <w:t>hlamydomonas reinhardtii</w:t>
      </w:r>
      <w:r w:rsidRPr="00947BD9">
        <w:rPr>
          <w:rStyle w:val="apple-converted-space"/>
          <w:rFonts w:ascii="Times New Roman" w:hAnsi="Times New Roman"/>
          <w:sz w:val="20"/>
          <w:szCs w:val="20"/>
        </w:rPr>
        <w:t> </w:t>
      </w:r>
      <w:r w:rsidRPr="00947BD9">
        <w:rPr>
          <w:rStyle w:val="maintitle"/>
          <w:rFonts w:ascii="Times New Roman" w:hAnsi="Times New Roman"/>
          <w:sz w:val="20"/>
          <w:szCs w:val="20"/>
        </w:rPr>
        <w:t xml:space="preserve">(Chlorophyceae). </w:t>
      </w:r>
      <w:r w:rsidRPr="00947BD9">
        <w:rPr>
          <w:rFonts w:ascii="Times New Roman" w:hAnsi="Times New Roman"/>
          <w:sz w:val="20"/>
          <w:szCs w:val="20"/>
          <w:lang w:val="ms-MY" w:eastAsia="ms-MY"/>
        </w:rPr>
        <w:t xml:space="preserve"> </w:t>
      </w:r>
      <w:r w:rsidRPr="00947BD9">
        <w:rPr>
          <w:rFonts w:ascii="Times New Roman" w:hAnsi="Times New Roman"/>
          <w:i/>
          <w:sz w:val="20"/>
          <w:szCs w:val="20"/>
        </w:rPr>
        <w:t xml:space="preserve">Journal of Phycology, </w:t>
      </w:r>
      <w:r w:rsidRPr="00947BD9">
        <w:rPr>
          <w:rFonts w:ascii="Times New Roman" w:hAnsi="Times New Roman"/>
          <w:bCs/>
          <w:sz w:val="20"/>
          <w:szCs w:val="20"/>
        </w:rPr>
        <w:t xml:space="preserve">45: </w:t>
      </w:r>
      <w:r w:rsidRPr="00947BD9">
        <w:rPr>
          <w:rFonts w:ascii="Times New Roman" w:hAnsi="Times New Roman"/>
          <w:sz w:val="20"/>
          <w:szCs w:val="20"/>
        </w:rPr>
        <w:t>427-435.</w:t>
      </w:r>
    </w:p>
    <w:p w14:paraId="67801F12" w14:textId="77777777" w:rsidR="004E7EC9" w:rsidRPr="00947BD9" w:rsidRDefault="004E7EC9" w:rsidP="004E7EC9">
      <w:pPr>
        <w:pStyle w:val="Heading1"/>
        <w:keepNext/>
        <w:numPr>
          <w:ilvl w:val="0"/>
          <w:numId w:val="2"/>
        </w:numPr>
        <w:shd w:val="clear" w:color="auto" w:fill="FFFFFF"/>
        <w:spacing w:before="0"/>
        <w:ind w:left="360"/>
        <w:contextualSpacing w:val="0"/>
        <w:jc w:val="both"/>
        <w:rPr>
          <w:rFonts w:ascii="Times New Roman" w:hAnsi="Times New Roman"/>
          <w:b/>
          <w:smallCaps w:val="0"/>
          <w:spacing w:val="0"/>
          <w:sz w:val="20"/>
          <w:szCs w:val="20"/>
        </w:rPr>
      </w:pPr>
      <w:r w:rsidRPr="00947BD9">
        <w:rPr>
          <w:rFonts w:ascii="Times New Roman" w:hAnsi="Times New Roman"/>
          <w:smallCaps w:val="0"/>
          <w:spacing w:val="0"/>
          <w:sz w:val="20"/>
          <w:szCs w:val="20"/>
        </w:rPr>
        <w:t xml:space="preserve">Sui, L., Zhang, R-H., Zhang, P., Yun, K-L., Zhang, H-C., Liu, L. and Hu, M-X. (2015). Lead toxicity induces autophagy to protect against cell death through mTORC1 pathway in cardiofibroblasts. </w:t>
      </w:r>
      <w:r w:rsidRPr="00947BD9">
        <w:rPr>
          <w:rFonts w:ascii="Times New Roman" w:hAnsi="Times New Roman"/>
          <w:i/>
          <w:smallCaps w:val="0"/>
          <w:spacing w:val="0"/>
          <w:sz w:val="20"/>
          <w:szCs w:val="20"/>
        </w:rPr>
        <w:t xml:space="preserve">Bioscience Reports, </w:t>
      </w:r>
      <w:r w:rsidRPr="00947BD9">
        <w:rPr>
          <w:rFonts w:ascii="Times New Roman" w:hAnsi="Times New Roman"/>
          <w:smallCaps w:val="0"/>
          <w:spacing w:val="0"/>
          <w:sz w:val="20"/>
          <w:szCs w:val="20"/>
        </w:rPr>
        <w:t>35:</w:t>
      </w:r>
      <w:r w:rsidRPr="00947BD9">
        <w:rPr>
          <w:rFonts w:ascii="Times New Roman" w:hAnsi="Times New Roman"/>
          <w:i/>
          <w:smallCaps w:val="0"/>
          <w:spacing w:val="0"/>
          <w:sz w:val="20"/>
          <w:szCs w:val="20"/>
        </w:rPr>
        <w:t xml:space="preserve"> </w:t>
      </w:r>
      <w:r w:rsidRPr="00947BD9">
        <w:rPr>
          <w:rFonts w:ascii="Times New Roman" w:hAnsi="Times New Roman"/>
          <w:smallCaps w:val="0"/>
          <w:spacing w:val="0"/>
          <w:sz w:val="20"/>
          <w:szCs w:val="20"/>
        </w:rPr>
        <w:t>1-9.</w:t>
      </w:r>
    </w:p>
    <w:p w14:paraId="3934E974"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lang w:eastAsia="en-MY"/>
        </w:rPr>
      </w:pPr>
      <w:r w:rsidRPr="00947BD9">
        <w:rPr>
          <w:rFonts w:ascii="Times New Roman" w:hAnsi="Times New Roman"/>
          <w:sz w:val="20"/>
          <w:szCs w:val="20"/>
          <w:lang w:eastAsia="en-MY"/>
        </w:rPr>
        <w:t xml:space="preserve">Chatterjee, S., Sarkar, S. and Bhattacharya, S. (2014). Toxic metals and autophagy. </w:t>
      </w:r>
      <w:r w:rsidRPr="00947BD9">
        <w:rPr>
          <w:rFonts w:ascii="Times New Roman" w:hAnsi="Times New Roman"/>
          <w:i/>
          <w:sz w:val="20"/>
          <w:szCs w:val="20"/>
          <w:lang w:eastAsia="en-MY"/>
        </w:rPr>
        <w:t xml:space="preserve">Chemical Research in Toxicology, </w:t>
      </w:r>
      <w:r w:rsidRPr="00947BD9">
        <w:rPr>
          <w:rFonts w:ascii="Times New Roman" w:hAnsi="Times New Roman"/>
          <w:sz w:val="20"/>
          <w:szCs w:val="20"/>
          <w:lang w:eastAsia="en-MY"/>
        </w:rPr>
        <w:t>27: 1887-1900.</w:t>
      </w:r>
    </w:p>
    <w:p w14:paraId="3DECE0E8"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rPr>
      </w:pPr>
      <w:r w:rsidRPr="00947BD9">
        <w:rPr>
          <w:rFonts w:ascii="Times New Roman" w:hAnsi="Times New Roman"/>
          <w:sz w:val="20"/>
          <w:szCs w:val="20"/>
        </w:rPr>
        <w:t xml:space="preserve">Darehshouri, A., Affenzeller, M. and Lütz-Meindl, U. (2008). Cell death in unicellular green alga </w:t>
      </w:r>
      <w:r w:rsidRPr="00947BD9">
        <w:rPr>
          <w:rFonts w:ascii="Times New Roman" w:hAnsi="Times New Roman"/>
          <w:i/>
          <w:sz w:val="20"/>
          <w:szCs w:val="20"/>
        </w:rPr>
        <w:t>Micrasterias</w:t>
      </w:r>
      <w:r w:rsidRPr="00947BD9">
        <w:rPr>
          <w:rFonts w:ascii="Times New Roman" w:hAnsi="Times New Roman"/>
          <w:sz w:val="20"/>
          <w:szCs w:val="20"/>
        </w:rPr>
        <w:t xml:space="preserve"> upon H</w:t>
      </w:r>
      <w:r w:rsidRPr="00947BD9">
        <w:rPr>
          <w:rFonts w:ascii="Times New Roman" w:hAnsi="Times New Roman"/>
          <w:sz w:val="20"/>
          <w:szCs w:val="20"/>
          <w:vertAlign w:val="subscript"/>
        </w:rPr>
        <w:t>2</w:t>
      </w:r>
      <w:r w:rsidRPr="00947BD9">
        <w:rPr>
          <w:rFonts w:ascii="Times New Roman" w:hAnsi="Times New Roman"/>
          <w:sz w:val="20"/>
          <w:szCs w:val="20"/>
        </w:rPr>
        <w:t>O</w:t>
      </w:r>
      <w:r w:rsidRPr="00947BD9">
        <w:rPr>
          <w:rFonts w:ascii="Times New Roman" w:hAnsi="Times New Roman"/>
          <w:sz w:val="20"/>
          <w:szCs w:val="20"/>
          <w:vertAlign w:val="subscript"/>
        </w:rPr>
        <w:t>2</w:t>
      </w:r>
      <w:r w:rsidRPr="00947BD9">
        <w:rPr>
          <w:rFonts w:ascii="Times New Roman" w:hAnsi="Times New Roman"/>
          <w:sz w:val="20"/>
          <w:szCs w:val="20"/>
        </w:rPr>
        <w:t xml:space="preserve"> induction. </w:t>
      </w:r>
      <w:r w:rsidRPr="00947BD9">
        <w:rPr>
          <w:rFonts w:ascii="Times New Roman" w:hAnsi="Times New Roman"/>
          <w:i/>
          <w:sz w:val="20"/>
          <w:szCs w:val="20"/>
        </w:rPr>
        <w:t xml:space="preserve">Plant Biology, </w:t>
      </w:r>
      <w:r w:rsidRPr="00947BD9">
        <w:rPr>
          <w:rFonts w:ascii="Times New Roman" w:hAnsi="Times New Roman"/>
          <w:sz w:val="20"/>
          <w:szCs w:val="20"/>
        </w:rPr>
        <w:t>10: 732-745.</w:t>
      </w:r>
    </w:p>
    <w:p w14:paraId="437CEEFC"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rPr>
      </w:pPr>
      <w:r w:rsidRPr="00947BD9">
        <w:rPr>
          <w:rFonts w:ascii="Times New Roman" w:hAnsi="Times New Roman"/>
          <w:sz w:val="20"/>
          <w:szCs w:val="20"/>
        </w:rPr>
        <w:t xml:space="preserve">Segovia, M. and Berges, J. A. (2009). Inhibition of caspase-like activities prevents the appearance of reactive oxygen species and dark-induced apoptosis in the unicellular chlorophyte </w:t>
      </w:r>
      <w:r w:rsidRPr="00947BD9">
        <w:rPr>
          <w:rFonts w:ascii="Times New Roman" w:hAnsi="Times New Roman"/>
          <w:i/>
          <w:sz w:val="20"/>
          <w:szCs w:val="20"/>
        </w:rPr>
        <w:t>Dunaliella tertiolecta</w:t>
      </w:r>
      <w:r w:rsidRPr="00947BD9">
        <w:rPr>
          <w:rFonts w:ascii="Times New Roman" w:hAnsi="Times New Roman"/>
          <w:sz w:val="20"/>
          <w:szCs w:val="20"/>
        </w:rPr>
        <w:t xml:space="preserve">. </w:t>
      </w:r>
      <w:r w:rsidRPr="00947BD9">
        <w:rPr>
          <w:rFonts w:ascii="Times New Roman" w:hAnsi="Times New Roman"/>
          <w:i/>
          <w:sz w:val="20"/>
          <w:szCs w:val="20"/>
        </w:rPr>
        <w:t xml:space="preserve">Journal of Phycology, </w:t>
      </w:r>
      <w:r w:rsidRPr="00947BD9">
        <w:rPr>
          <w:rFonts w:ascii="Times New Roman" w:hAnsi="Times New Roman"/>
          <w:sz w:val="20"/>
          <w:szCs w:val="20"/>
        </w:rPr>
        <w:t xml:space="preserve">45: 1-11. </w:t>
      </w:r>
    </w:p>
    <w:p w14:paraId="2AE9170F" w14:textId="77777777" w:rsidR="004E7EC9" w:rsidRPr="00947BD9" w:rsidRDefault="004E7EC9" w:rsidP="004E7EC9">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lang w:eastAsia="en-MY"/>
        </w:rPr>
      </w:pPr>
      <w:r w:rsidRPr="00947BD9">
        <w:rPr>
          <w:rFonts w:ascii="Times New Roman" w:hAnsi="Times New Roman"/>
          <w:sz w:val="20"/>
          <w:szCs w:val="20"/>
          <w:lang w:eastAsia="en-MY"/>
        </w:rPr>
        <w:t xml:space="preserve">Johnson, J. G., Janech, M. G. and Van Dolah, F. M. (2014). Caspase-like activity during aging and cell death in the toxic dinoflagellate </w:t>
      </w:r>
      <w:r w:rsidRPr="00947BD9">
        <w:rPr>
          <w:rFonts w:ascii="Times New Roman" w:hAnsi="Times New Roman"/>
          <w:i/>
          <w:iCs/>
          <w:sz w:val="20"/>
          <w:szCs w:val="20"/>
          <w:lang w:eastAsia="en-MY"/>
        </w:rPr>
        <w:t xml:space="preserve">Karenia brevis. </w:t>
      </w:r>
      <w:r w:rsidRPr="00947BD9">
        <w:rPr>
          <w:rFonts w:ascii="Times New Roman" w:hAnsi="Times New Roman"/>
          <w:i/>
          <w:sz w:val="20"/>
          <w:szCs w:val="20"/>
          <w:lang w:eastAsia="en-MY"/>
        </w:rPr>
        <w:t xml:space="preserve">Harmful Algae, </w:t>
      </w:r>
      <w:r w:rsidRPr="00947BD9">
        <w:rPr>
          <w:rFonts w:ascii="Times New Roman" w:hAnsi="Times New Roman"/>
          <w:sz w:val="20"/>
          <w:szCs w:val="20"/>
          <w:lang w:eastAsia="en-MY"/>
        </w:rPr>
        <w:t>31: 41-53.</w:t>
      </w:r>
    </w:p>
    <w:p w14:paraId="4B26684D" w14:textId="62F6010A" w:rsidR="004E7EC9" w:rsidRDefault="004E7EC9" w:rsidP="004E7EC9">
      <w:pPr>
        <w:pStyle w:val="ListParagraph"/>
        <w:widowControl w:val="0"/>
        <w:numPr>
          <w:ilvl w:val="0"/>
          <w:numId w:val="2"/>
        </w:numPr>
        <w:autoSpaceDE w:val="0"/>
        <w:autoSpaceDN w:val="0"/>
        <w:spacing w:after="0"/>
        <w:ind w:left="360"/>
        <w:contextualSpacing w:val="0"/>
        <w:jc w:val="both"/>
        <w:rPr>
          <w:rStyle w:val="normaltextrun"/>
          <w:rFonts w:ascii="Times New Roman" w:hAnsi="Times New Roman"/>
          <w:sz w:val="20"/>
          <w:szCs w:val="20"/>
          <w:shd w:val="clear" w:color="auto" w:fill="FFFFFF"/>
        </w:rPr>
      </w:pPr>
      <w:r w:rsidRPr="00947BD9">
        <w:rPr>
          <w:rStyle w:val="normaltextrun"/>
          <w:rFonts w:ascii="Times New Roman" w:hAnsi="Times New Roman"/>
          <w:sz w:val="20"/>
          <w:szCs w:val="20"/>
          <w:shd w:val="clear" w:color="auto" w:fill="FFFFFF"/>
        </w:rPr>
        <w:t>Hii, Y. S., Shia, K. L., Chuah, T. S. and Hing, L. S. (2009). Physiological responses of</w:t>
      </w:r>
      <w:r w:rsidRPr="00947BD9">
        <w:rPr>
          <w:rStyle w:val="apple-converted-space"/>
          <w:rFonts w:ascii="Times New Roman" w:hAnsi="Times New Roman"/>
          <w:sz w:val="20"/>
          <w:szCs w:val="20"/>
          <w:shd w:val="clear" w:color="auto" w:fill="FFFFFF"/>
        </w:rPr>
        <w:t> </w:t>
      </w:r>
      <w:r w:rsidRPr="00947BD9">
        <w:rPr>
          <w:rStyle w:val="normaltextrun"/>
          <w:rFonts w:ascii="Times New Roman" w:hAnsi="Times New Roman"/>
          <w:i/>
          <w:iCs/>
          <w:sz w:val="20"/>
          <w:szCs w:val="20"/>
          <w:shd w:val="clear" w:color="auto" w:fill="FFFFFF"/>
        </w:rPr>
        <w:t>Chaetoceros</w:t>
      </w:r>
      <w:r w:rsidRPr="00947BD9">
        <w:rPr>
          <w:rStyle w:val="apple-converted-space"/>
          <w:rFonts w:ascii="Times New Roman" w:hAnsi="Times New Roman"/>
          <w:i/>
          <w:iCs/>
          <w:sz w:val="20"/>
          <w:szCs w:val="20"/>
          <w:shd w:val="clear" w:color="auto" w:fill="FFFFFF"/>
        </w:rPr>
        <w:t> </w:t>
      </w:r>
      <w:r w:rsidRPr="00947BD9">
        <w:rPr>
          <w:rStyle w:val="normaltextrun"/>
          <w:rFonts w:ascii="Times New Roman" w:hAnsi="Times New Roman"/>
          <w:sz w:val="20"/>
          <w:szCs w:val="20"/>
          <w:shd w:val="clear" w:color="auto" w:fill="FFFFFF"/>
        </w:rPr>
        <w:t>sp. and</w:t>
      </w:r>
      <w:r w:rsidRPr="00947BD9">
        <w:rPr>
          <w:rStyle w:val="apple-converted-space"/>
          <w:rFonts w:ascii="Times New Roman" w:hAnsi="Times New Roman"/>
          <w:sz w:val="20"/>
          <w:szCs w:val="20"/>
          <w:shd w:val="clear" w:color="auto" w:fill="FFFFFF"/>
        </w:rPr>
        <w:t> </w:t>
      </w:r>
      <w:r w:rsidRPr="00947BD9">
        <w:rPr>
          <w:rStyle w:val="normaltextrun"/>
          <w:rFonts w:ascii="Times New Roman" w:hAnsi="Times New Roman"/>
          <w:i/>
          <w:iCs/>
          <w:sz w:val="20"/>
          <w:szCs w:val="20"/>
          <w:shd w:val="clear" w:color="auto" w:fill="FFFFFF"/>
        </w:rPr>
        <w:t>Nannochloropsis</w:t>
      </w:r>
      <w:r w:rsidRPr="00947BD9">
        <w:rPr>
          <w:rStyle w:val="apple-converted-space"/>
          <w:rFonts w:ascii="Times New Roman" w:hAnsi="Times New Roman"/>
          <w:i/>
          <w:iCs/>
          <w:sz w:val="20"/>
          <w:szCs w:val="20"/>
          <w:shd w:val="clear" w:color="auto" w:fill="FFFFFF"/>
        </w:rPr>
        <w:t> </w:t>
      </w:r>
      <w:r w:rsidRPr="00947BD9">
        <w:rPr>
          <w:rStyle w:val="normaltextrun"/>
          <w:rFonts w:ascii="Times New Roman" w:hAnsi="Times New Roman"/>
          <w:sz w:val="20"/>
          <w:szCs w:val="20"/>
          <w:shd w:val="clear" w:color="auto" w:fill="FFFFFF"/>
        </w:rPr>
        <w:t xml:space="preserve">sp. to short-term 2,4-D, Dimethylamine and Endosulfan exposure. </w:t>
      </w:r>
      <w:r w:rsidRPr="00947BD9">
        <w:rPr>
          <w:rStyle w:val="normaltextrun"/>
          <w:rFonts w:ascii="Times New Roman" w:hAnsi="Times New Roman"/>
          <w:i/>
          <w:sz w:val="20"/>
          <w:szCs w:val="20"/>
          <w:shd w:val="clear" w:color="auto" w:fill="FFFFFF"/>
        </w:rPr>
        <w:t xml:space="preserve">Aquatic Ecosystem &amp; Health Management, </w:t>
      </w:r>
      <w:r w:rsidRPr="00947BD9">
        <w:rPr>
          <w:rStyle w:val="normaltextrun"/>
          <w:rFonts w:ascii="Times New Roman" w:hAnsi="Times New Roman"/>
          <w:sz w:val="20"/>
          <w:szCs w:val="20"/>
          <w:shd w:val="clear" w:color="auto" w:fill="FFFFFF"/>
        </w:rPr>
        <w:t>12: 375-389.</w:t>
      </w:r>
    </w:p>
    <w:p w14:paraId="1292BFFE" w14:textId="3DB25A4F" w:rsidR="003D7EB8" w:rsidRDefault="003D7EB8" w:rsidP="003D7EB8">
      <w:pPr>
        <w:widowControl w:val="0"/>
        <w:autoSpaceDE w:val="0"/>
        <w:autoSpaceDN w:val="0"/>
        <w:spacing w:after="0"/>
        <w:jc w:val="both"/>
        <w:rPr>
          <w:rStyle w:val="normaltextrun"/>
          <w:rFonts w:ascii="Times New Roman" w:hAnsi="Times New Roman"/>
          <w:sz w:val="20"/>
          <w:szCs w:val="20"/>
          <w:shd w:val="clear" w:color="auto" w:fill="FFFFFF"/>
        </w:rPr>
      </w:pPr>
    </w:p>
    <w:p w14:paraId="7E3F6708" w14:textId="77777777" w:rsidR="003D7EB8" w:rsidRPr="003D7EB8" w:rsidRDefault="003D7EB8" w:rsidP="003D7EB8">
      <w:pPr>
        <w:widowControl w:val="0"/>
        <w:autoSpaceDE w:val="0"/>
        <w:autoSpaceDN w:val="0"/>
        <w:spacing w:after="0"/>
        <w:jc w:val="both"/>
        <w:rPr>
          <w:rStyle w:val="normaltextrun"/>
          <w:rFonts w:ascii="Times New Roman" w:hAnsi="Times New Roman"/>
          <w:sz w:val="20"/>
          <w:szCs w:val="20"/>
          <w:shd w:val="clear" w:color="auto" w:fill="FFFFFF"/>
        </w:rPr>
      </w:pPr>
    </w:p>
    <w:p w14:paraId="1B7C2140" w14:textId="77777777" w:rsidR="004E7EC9" w:rsidRPr="00947BD9" w:rsidRDefault="004E7EC9" w:rsidP="004E7EC9">
      <w:pPr>
        <w:pStyle w:val="ListParagraph"/>
        <w:widowControl w:val="0"/>
        <w:numPr>
          <w:ilvl w:val="0"/>
          <w:numId w:val="2"/>
        </w:numPr>
        <w:autoSpaceDE w:val="0"/>
        <w:autoSpaceDN w:val="0"/>
        <w:spacing w:after="0"/>
        <w:ind w:left="360"/>
        <w:contextualSpacing w:val="0"/>
        <w:jc w:val="both"/>
        <w:rPr>
          <w:rStyle w:val="normaltextrun"/>
          <w:rFonts w:ascii="Times New Roman" w:hAnsi="Times New Roman"/>
          <w:sz w:val="20"/>
          <w:szCs w:val="20"/>
          <w:shd w:val="clear" w:color="auto" w:fill="FFFFFF"/>
        </w:rPr>
      </w:pPr>
      <w:r w:rsidRPr="00947BD9">
        <w:rPr>
          <w:rFonts w:ascii="Times New Roman" w:hAnsi="Times New Roman"/>
          <w:sz w:val="20"/>
          <w:szCs w:val="20"/>
        </w:rPr>
        <w:lastRenderedPageBreak/>
        <w:t xml:space="preserve">Ritchie, R. J. (2008). Universal chlorophyll equations for estimating chlorophylls a, b, c, and d and total chlorophylls in natural assemblages of photosynthetic organisms using acetone, methanol, or ethanol solvents. </w:t>
      </w:r>
      <w:r w:rsidRPr="00947BD9">
        <w:rPr>
          <w:rFonts w:ascii="Times New Roman" w:hAnsi="Times New Roman"/>
          <w:i/>
          <w:sz w:val="20"/>
          <w:szCs w:val="20"/>
        </w:rPr>
        <w:t xml:space="preserve">Photosynthetica, </w:t>
      </w:r>
      <w:r w:rsidRPr="00947BD9">
        <w:rPr>
          <w:rFonts w:ascii="Times New Roman" w:hAnsi="Times New Roman"/>
          <w:sz w:val="20"/>
          <w:szCs w:val="20"/>
        </w:rPr>
        <w:t>46: 115-126.</w:t>
      </w:r>
    </w:p>
    <w:p w14:paraId="04144E79"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lang w:eastAsia="en-MY"/>
        </w:rPr>
      </w:pPr>
      <w:r w:rsidRPr="00947BD9">
        <w:rPr>
          <w:rFonts w:ascii="Times New Roman" w:hAnsi="Times New Roman"/>
          <w:sz w:val="20"/>
          <w:szCs w:val="20"/>
          <w:lang w:eastAsia="en-MY"/>
        </w:rPr>
        <w:t xml:space="preserve">Faurobert, M., Mihr, C., Bertin, N., Pawlowski, T., Negroni, L., Sommerer, N. and Causse, M. (2007). Major proteome variations associated with cherry tomato pericarp development and ripening. </w:t>
      </w:r>
      <w:r w:rsidRPr="00947BD9">
        <w:rPr>
          <w:rFonts w:ascii="Times New Roman" w:hAnsi="Times New Roman"/>
          <w:i/>
          <w:sz w:val="20"/>
          <w:szCs w:val="20"/>
          <w:lang w:eastAsia="en-MY"/>
        </w:rPr>
        <w:t xml:space="preserve">Plant Physiology, </w:t>
      </w:r>
      <w:r w:rsidRPr="00947BD9">
        <w:rPr>
          <w:rFonts w:ascii="Times New Roman" w:hAnsi="Times New Roman"/>
          <w:sz w:val="20"/>
          <w:szCs w:val="20"/>
          <w:lang w:eastAsia="en-MY"/>
        </w:rPr>
        <w:t>143: 1327-1346.</w:t>
      </w:r>
    </w:p>
    <w:p w14:paraId="1A13309B" w14:textId="77777777" w:rsidR="004E7EC9" w:rsidRPr="00947BD9" w:rsidRDefault="004E7EC9" w:rsidP="004E7EC9">
      <w:pPr>
        <w:pStyle w:val="ListParagraph"/>
        <w:widowControl w:val="0"/>
        <w:numPr>
          <w:ilvl w:val="0"/>
          <w:numId w:val="2"/>
        </w:numPr>
        <w:autoSpaceDE w:val="0"/>
        <w:autoSpaceDN w:val="0"/>
        <w:spacing w:after="0"/>
        <w:ind w:left="360"/>
        <w:contextualSpacing w:val="0"/>
        <w:jc w:val="both"/>
        <w:rPr>
          <w:rStyle w:val="normaltextrun"/>
          <w:rFonts w:ascii="Times New Roman" w:hAnsi="Times New Roman"/>
          <w:sz w:val="20"/>
          <w:szCs w:val="20"/>
          <w:shd w:val="clear" w:color="auto" w:fill="FFFFFF"/>
        </w:rPr>
      </w:pPr>
      <w:r w:rsidRPr="00947BD9">
        <w:rPr>
          <w:rStyle w:val="normaltextrun"/>
          <w:rFonts w:ascii="Times New Roman" w:hAnsi="Times New Roman"/>
          <w:sz w:val="20"/>
          <w:szCs w:val="20"/>
          <w:shd w:val="clear" w:color="auto" w:fill="FFFFFF"/>
        </w:rPr>
        <w:t>Bradford, M. M. (1976). A rapid and sensitive method for the</w:t>
      </w:r>
      <w:r w:rsidRPr="00947BD9">
        <w:rPr>
          <w:rStyle w:val="apple-converted-space"/>
          <w:rFonts w:ascii="Times New Roman" w:hAnsi="Times New Roman"/>
          <w:sz w:val="20"/>
          <w:szCs w:val="20"/>
          <w:shd w:val="clear" w:color="auto" w:fill="FFFFFF"/>
        </w:rPr>
        <w:t> q</w:t>
      </w:r>
      <w:r w:rsidRPr="00947BD9">
        <w:rPr>
          <w:rStyle w:val="spellingerror"/>
          <w:rFonts w:ascii="Times New Roman" w:hAnsi="Times New Roman"/>
          <w:sz w:val="20"/>
          <w:szCs w:val="20"/>
          <w:shd w:val="clear" w:color="auto" w:fill="FFFFFF"/>
        </w:rPr>
        <w:t>uantitation</w:t>
      </w:r>
      <w:r w:rsidRPr="00947BD9">
        <w:rPr>
          <w:rStyle w:val="apple-converted-space"/>
          <w:rFonts w:ascii="Times New Roman" w:hAnsi="Times New Roman"/>
          <w:sz w:val="20"/>
          <w:szCs w:val="20"/>
          <w:shd w:val="clear" w:color="auto" w:fill="FFFFFF"/>
        </w:rPr>
        <w:t> </w:t>
      </w:r>
      <w:r w:rsidRPr="00947BD9">
        <w:rPr>
          <w:rStyle w:val="normaltextrun"/>
          <w:rFonts w:ascii="Times New Roman" w:hAnsi="Times New Roman"/>
          <w:sz w:val="20"/>
          <w:szCs w:val="20"/>
          <w:shd w:val="clear" w:color="auto" w:fill="FFFFFF"/>
        </w:rPr>
        <w:t>of microgram quantities of protein utilizing the principle of protein-dye binding. </w:t>
      </w:r>
      <w:r w:rsidRPr="00947BD9">
        <w:rPr>
          <w:rStyle w:val="normaltextrun"/>
          <w:rFonts w:ascii="Times New Roman" w:hAnsi="Times New Roman"/>
          <w:i/>
          <w:sz w:val="20"/>
          <w:szCs w:val="20"/>
          <w:shd w:val="clear" w:color="auto" w:fill="FFFFFF"/>
        </w:rPr>
        <w:t xml:space="preserve">Analytical Biochemistry, </w:t>
      </w:r>
      <w:r w:rsidRPr="00947BD9">
        <w:rPr>
          <w:rStyle w:val="normaltextrun"/>
          <w:rFonts w:ascii="Times New Roman" w:hAnsi="Times New Roman"/>
          <w:sz w:val="20"/>
          <w:szCs w:val="20"/>
          <w:shd w:val="clear" w:color="auto" w:fill="FFFFFF"/>
        </w:rPr>
        <w:t>72: 248-254. </w:t>
      </w:r>
    </w:p>
    <w:p w14:paraId="6D3C6A12" w14:textId="77777777" w:rsidR="004E7EC9" w:rsidRPr="00947BD9" w:rsidRDefault="004E7EC9" w:rsidP="004E7EC9">
      <w:pPr>
        <w:pStyle w:val="ListParagraph"/>
        <w:widowControl w:val="0"/>
        <w:numPr>
          <w:ilvl w:val="0"/>
          <w:numId w:val="2"/>
        </w:numPr>
        <w:autoSpaceDE w:val="0"/>
        <w:autoSpaceDN w:val="0"/>
        <w:spacing w:after="0"/>
        <w:ind w:left="360"/>
        <w:contextualSpacing w:val="0"/>
        <w:jc w:val="both"/>
        <w:rPr>
          <w:rStyle w:val="normaltextrun"/>
          <w:rFonts w:ascii="Times New Roman" w:hAnsi="Times New Roman"/>
          <w:sz w:val="20"/>
          <w:szCs w:val="20"/>
          <w:shd w:val="clear" w:color="auto" w:fill="FFFFFF"/>
        </w:rPr>
      </w:pPr>
      <w:r w:rsidRPr="00947BD9">
        <w:rPr>
          <w:rStyle w:val="normaltextrun"/>
          <w:rFonts w:ascii="Times New Roman" w:hAnsi="Times New Roman"/>
          <w:sz w:val="20"/>
          <w:szCs w:val="20"/>
          <w:shd w:val="clear" w:color="auto" w:fill="FFFFFF"/>
        </w:rPr>
        <w:t>Bouchard, J. N. and Yamasaki, H. (2009). Implication of nitric oxide in the heat-stress-induced cell death of the symbiotic</w:t>
      </w:r>
      <w:r w:rsidRPr="00947BD9">
        <w:rPr>
          <w:rStyle w:val="apple-converted-space"/>
          <w:rFonts w:ascii="Times New Roman" w:hAnsi="Times New Roman"/>
          <w:sz w:val="20"/>
          <w:szCs w:val="20"/>
          <w:shd w:val="clear" w:color="auto" w:fill="FFFFFF"/>
        </w:rPr>
        <w:t> a</w:t>
      </w:r>
      <w:r w:rsidRPr="00947BD9">
        <w:rPr>
          <w:rStyle w:val="spellingerror"/>
          <w:rFonts w:ascii="Times New Roman" w:hAnsi="Times New Roman"/>
          <w:sz w:val="20"/>
          <w:szCs w:val="20"/>
          <w:shd w:val="clear" w:color="auto" w:fill="FFFFFF"/>
        </w:rPr>
        <w:t>lga</w:t>
      </w:r>
      <w:r w:rsidRPr="00947BD9">
        <w:rPr>
          <w:rStyle w:val="apple-converted-space"/>
          <w:rFonts w:ascii="Times New Roman" w:hAnsi="Times New Roman"/>
          <w:sz w:val="20"/>
          <w:szCs w:val="20"/>
          <w:shd w:val="clear" w:color="auto" w:fill="FFFFFF"/>
        </w:rPr>
        <w:t> </w:t>
      </w:r>
      <w:r w:rsidRPr="00947BD9">
        <w:rPr>
          <w:rStyle w:val="normaltextrun"/>
          <w:rFonts w:ascii="Times New Roman" w:hAnsi="Times New Roman"/>
          <w:i/>
          <w:sz w:val="20"/>
          <w:szCs w:val="20"/>
          <w:shd w:val="clear" w:color="auto" w:fill="FFFFFF"/>
        </w:rPr>
        <w:t>Symbiodinium microadriaticum.</w:t>
      </w:r>
      <w:r w:rsidRPr="00947BD9">
        <w:rPr>
          <w:rStyle w:val="normaltextrun"/>
          <w:rFonts w:ascii="Times New Roman" w:hAnsi="Times New Roman"/>
          <w:sz w:val="20"/>
          <w:szCs w:val="20"/>
          <w:shd w:val="clear" w:color="auto" w:fill="FFFFFF"/>
        </w:rPr>
        <w:t xml:space="preserve"> </w:t>
      </w:r>
      <w:r w:rsidRPr="00947BD9">
        <w:rPr>
          <w:rStyle w:val="normaltextrun"/>
          <w:rFonts w:ascii="Times New Roman" w:hAnsi="Times New Roman"/>
          <w:i/>
          <w:sz w:val="20"/>
          <w:szCs w:val="20"/>
          <w:shd w:val="clear" w:color="auto" w:fill="FFFFFF"/>
        </w:rPr>
        <w:t xml:space="preserve">Marine Biology, </w:t>
      </w:r>
      <w:r w:rsidRPr="00947BD9">
        <w:rPr>
          <w:rStyle w:val="normaltextrun"/>
          <w:rFonts w:ascii="Times New Roman" w:hAnsi="Times New Roman"/>
          <w:sz w:val="20"/>
          <w:szCs w:val="20"/>
          <w:shd w:val="clear" w:color="auto" w:fill="FFFFFF"/>
        </w:rPr>
        <w:t>156: 2209-2220.</w:t>
      </w:r>
    </w:p>
    <w:p w14:paraId="41BE247B"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eastAsia="TimesNewRoman" w:hAnsi="Times New Roman"/>
          <w:sz w:val="20"/>
          <w:szCs w:val="20"/>
          <w:lang w:val="ms-MY" w:eastAsia="ms-MY"/>
        </w:rPr>
      </w:pPr>
      <w:r w:rsidRPr="00947BD9">
        <w:rPr>
          <w:rFonts w:ascii="Times New Roman" w:eastAsia="TimesNewRoman" w:hAnsi="Times New Roman"/>
          <w:sz w:val="20"/>
          <w:szCs w:val="20"/>
          <w:lang w:val="ms-MY" w:eastAsia="ms-MY"/>
        </w:rPr>
        <w:t xml:space="preserve">Cenkci, S., Cigerci, I. H., YildIz, M., Ozay, C., Bozdag, A. and Terzi, H. (2010). Lead contamination reduces chlorophyll biosynthesis and genomic template stability in </w:t>
      </w:r>
      <w:r w:rsidRPr="00947BD9">
        <w:rPr>
          <w:rFonts w:ascii="Times New Roman" w:eastAsia="TimesNewRoman" w:hAnsi="Times New Roman"/>
          <w:i/>
          <w:iCs/>
          <w:sz w:val="20"/>
          <w:szCs w:val="20"/>
          <w:lang w:val="ms-MY" w:eastAsia="ms-MY"/>
        </w:rPr>
        <w:t xml:space="preserve">Brassica rapa </w:t>
      </w:r>
      <w:r w:rsidRPr="00947BD9">
        <w:rPr>
          <w:rFonts w:ascii="Times New Roman" w:eastAsia="TimesNewRoman" w:hAnsi="Times New Roman"/>
          <w:sz w:val="20"/>
          <w:szCs w:val="20"/>
          <w:lang w:val="ms-MY" w:eastAsia="ms-MY"/>
        </w:rPr>
        <w:t xml:space="preserve">L. </w:t>
      </w:r>
      <w:r w:rsidRPr="00947BD9">
        <w:rPr>
          <w:rFonts w:ascii="Times New Roman" w:eastAsia="TimesNewRoman" w:hAnsi="Times New Roman"/>
          <w:i/>
          <w:iCs/>
          <w:sz w:val="20"/>
          <w:szCs w:val="20"/>
          <w:lang w:val="ms-MY" w:eastAsia="ms-MY"/>
        </w:rPr>
        <w:t>Environmental and Experimental Botany,</w:t>
      </w:r>
      <w:r w:rsidRPr="00947BD9">
        <w:rPr>
          <w:rFonts w:ascii="Times New Roman" w:eastAsia="TimesNewRoman" w:hAnsi="Times New Roman"/>
          <w:i/>
          <w:sz w:val="20"/>
          <w:szCs w:val="20"/>
          <w:lang w:val="ms-MY" w:eastAsia="ms-MY"/>
        </w:rPr>
        <w:t xml:space="preserve"> </w:t>
      </w:r>
      <w:r w:rsidRPr="00947BD9">
        <w:rPr>
          <w:rFonts w:ascii="Times New Roman" w:eastAsia="TimesNewRoman" w:hAnsi="Times New Roman"/>
          <w:sz w:val="20"/>
          <w:szCs w:val="20"/>
          <w:lang w:val="ms-MY" w:eastAsia="ms-MY"/>
        </w:rPr>
        <w:t>67: 467-473.</w:t>
      </w:r>
    </w:p>
    <w:p w14:paraId="368A6AE9"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eastAsia="TimesNewRoman" w:hAnsi="Times New Roman"/>
          <w:sz w:val="20"/>
          <w:szCs w:val="20"/>
          <w:lang w:val="ms-MY" w:eastAsia="ms-MY"/>
        </w:rPr>
      </w:pPr>
      <w:r w:rsidRPr="00947BD9">
        <w:rPr>
          <w:rFonts w:ascii="Times New Roman" w:eastAsia="TimesNewRoman" w:hAnsi="Times New Roman"/>
          <w:sz w:val="20"/>
          <w:szCs w:val="20"/>
          <w:lang w:val="ms-MY" w:eastAsia="ms-MY"/>
        </w:rPr>
        <w:t xml:space="preserve">Pourraut, B., Shahid, M., Dumat, C., Winterton, P. and Pinelli, E. (2011). Lead uptake, toxicity and detoxification in plants. </w:t>
      </w:r>
      <w:r w:rsidRPr="00947BD9">
        <w:rPr>
          <w:rFonts w:ascii="Times New Roman" w:eastAsia="TimesNewRoman" w:hAnsi="Times New Roman"/>
          <w:i/>
          <w:iCs/>
          <w:sz w:val="20"/>
          <w:szCs w:val="20"/>
          <w:lang w:val="ms-MY" w:eastAsia="ms-MY"/>
        </w:rPr>
        <w:t>Reviews of Environmental Contamination and Toxicology,</w:t>
      </w:r>
      <w:r w:rsidRPr="00947BD9">
        <w:rPr>
          <w:rFonts w:ascii="Times New Roman" w:eastAsia="TimesNewRoman" w:hAnsi="Times New Roman"/>
          <w:i/>
          <w:sz w:val="20"/>
          <w:szCs w:val="20"/>
          <w:lang w:val="ms-MY" w:eastAsia="ms-MY"/>
        </w:rPr>
        <w:t xml:space="preserve"> </w:t>
      </w:r>
      <w:r w:rsidRPr="00947BD9">
        <w:rPr>
          <w:rFonts w:ascii="Times New Roman" w:eastAsia="TimesNewRoman" w:hAnsi="Times New Roman"/>
          <w:sz w:val="20"/>
          <w:szCs w:val="20"/>
          <w:lang w:val="ms-MY" w:eastAsia="ms-MY"/>
        </w:rPr>
        <w:t>213: 113-136.</w:t>
      </w:r>
    </w:p>
    <w:p w14:paraId="77343985"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eastAsia="TimesNewRoman" w:hAnsi="Times New Roman"/>
          <w:sz w:val="20"/>
          <w:szCs w:val="20"/>
          <w:lang w:val="ms-MY" w:eastAsia="ms-MY"/>
        </w:rPr>
      </w:pPr>
      <w:r w:rsidRPr="00947BD9">
        <w:rPr>
          <w:rFonts w:ascii="Times New Roman" w:eastAsia="TimesNewRoman" w:hAnsi="Times New Roman"/>
          <w:sz w:val="20"/>
          <w:szCs w:val="20"/>
          <w:lang w:val="ms-MY" w:eastAsia="ms-MY"/>
        </w:rPr>
        <w:t xml:space="preserve">Shakya, K., Chettri, M. K. and Sawidis, T. (2008). Impact of heavy metals (copper, zinc and lead) on the chlorophyll content of some mosses. </w:t>
      </w:r>
      <w:r w:rsidRPr="00947BD9">
        <w:rPr>
          <w:rFonts w:ascii="Times New Roman" w:eastAsia="TimesNewRoman" w:hAnsi="Times New Roman"/>
          <w:i/>
          <w:iCs/>
          <w:sz w:val="20"/>
          <w:szCs w:val="20"/>
          <w:lang w:val="ms-MY" w:eastAsia="ms-MY"/>
        </w:rPr>
        <w:t>Environmental Contamination and Toxicology,</w:t>
      </w:r>
      <w:r w:rsidRPr="00947BD9">
        <w:rPr>
          <w:rFonts w:ascii="Times New Roman" w:eastAsia="TimesNewRoman" w:hAnsi="Times New Roman"/>
          <w:i/>
          <w:sz w:val="20"/>
          <w:szCs w:val="20"/>
          <w:lang w:val="ms-MY" w:eastAsia="ms-MY"/>
        </w:rPr>
        <w:t xml:space="preserve"> </w:t>
      </w:r>
      <w:r w:rsidRPr="00947BD9">
        <w:rPr>
          <w:rFonts w:ascii="Times New Roman" w:eastAsia="TimesNewRoman" w:hAnsi="Times New Roman"/>
          <w:sz w:val="20"/>
          <w:szCs w:val="20"/>
          <w:lang w:val="ms-MY" w:eastAsia="ms-MY"/>
        </w:rPr>
        <w:t>54: 412-421.</w:t>
      </w:r>
    </w:p>
    <w:p w14:paraId="298F8B18" w14:textId="77777777" w:rsidR="004E7EC9" w:rsidRPr="00947BD9" w:rsidRDefault="004E7EC9" w:rsidP="004E7EC9">
      <w:pPr>
        <w:pStyle w:val="ListParagraph"/>
        <w:widowControl w:val="0"/>
        <w:numPr>
          <w:ilvl w:val="0"/>
          <w:numId w:val="2"/>
        </w:numPr>
        <w:shd w:val="clear" w:color="auto" w:fill="FFFFFF"/>
        <w:autoSpaceDE w:val="0"/>
        <w:autoSpaceDN w:val="0"/>
        <w:spacing w:after="0"/>
        <w:ind w:left="360"/>
        <w:contextualSpacing w:val="0"/>
        <w:jc w:val="both"/>
        <w:textAlignment w:val="baseline"/>
        <w:rPr>
          <w:rFonts w:ascii="Times New Roman" w:hAnsi="Times New Roman"/>
          <w:sz w:val="20"/>
          <w:szCs w:val="20"/>
        </w:rPr>
      </w:pPr>
      <w:r w:rsidRPr="00947BD9">
        <w:rPr>
          <w:rFonts w:ascii="Times New Roman" w:hAnsi="Times New Roman"/>
          <w:sz w:val="20"/>
          <w:szCs w:val="20"/>
        </w:rPr>
        <w:t xml:space="preserve">Drazkiewicz, M. (1994). </w:t>
      </w:r>
      <w:r w:rsidRPr="00947BD9">
        <w:rPr>
          <w:rFonts w:ascii="Times New Roman" w:hAnsi="Times New Roman"/>
          <w:bCs/>
          <w:sz w:val="20"/>
          <w:szCs w:val="20"/>
        </w:rPr>
        <w:t xml:space="preserve">Chlorophyllase: occurrence, functions, mechanism of action, effects of external and internal factors. </w:t>
      </w:r>
      <w:r w:rsidRPr="00947BD9">
        <w:rPr>
          <w:rFonts w:ascii="Times New Roman" w:hAnsi="Times New Roman"/>
          <w:i/>
          <w:sz w:val="20"/>
          <w:szCs w:val="20"/>
        </w:rPr>
        <w:t xml:space="preserve">Photosynthetica, </w:t>
      </w:r>
      <w:r w:rsidRPr="00947BD9">
        <w:rPr>
          <w:rFonts w:ascii="Times New Roman" w:hAnsi="Times New Roman"/>
          <w:sz w:val="20"/>
          <w:szCs w:val="20"/>
        </w:rPr>
        <w:t>30: 321-331.</w:t>
      </w:r>
    </w:p>
    <w:p w14:paraId="02D7E13A" w14:textId="77777777" w:rsidR="004E7EC9" w:rsidRPr="00947BD9" w:rsidRDefault="004E7EC9" w:rsidP="004E7EC9">
      <w:pPr>
        <w:pStyle w:val="ListParagraph"/>
        <w:widowControl w:val="0"/>
        <w:numPr>
          <w:ilvl w:val="0"/>
          <w:numId w:val="2"/>
        </w:numPr>
        <w:shd w:val="clear" w:color="auto" w:fill="FFFFFF"/>
        <w:autoSpaceDE w:val="0"/>
        <w:autoSpaceDN w:val="0"/>
        <w:spacing w:after="0"/>
        <w:ind w:left="360"/>
        <w:contextualSpacing w:val="0"/>
        <w:jc w:val="both"/>
        <w:textAlignment w:val="baseline"/>
        <w:rPr>
          <w:rFonts w:ascii="Times New Roman" w:hAnsi="Times New Roman"/>
          <w:sz w:val="20"/>
          <w:szCs w:val="20"/>
        </w:rPr>
      </w:pPr>
      <w:r w:rsidRPr="00947BD9">
        <w:rPr>
          <w:rFonts w:ascii="Times New Roman" w:hAnsi="Times New Roman"/>
          <w:sz w:val="20"/>
          <w:szCs w:val="20"/>
        </w:rPr>
        <w:t xml:space="preserve">Gill, M. (2014). Heavy metal stress in plants: A </w:t>
      </w:r>
      <w:r w:rsidRPr="00947BD9">
        <w:rPr>
          <w:rFonts w:ascii="Times New Roman" w:hAnsi="Times New Roman"/>
          <w:sz w:val="20"/>
          <w:szCs w:val="20"/>
        </w:rPr>
        <w:t xml:space="preserve">review. </w:t>
      </w:r>
      <w:r w:rsidRPr="00947BD9">
        <w:rPr>
          <w:rFonts w:ascii="Times New Roman" w:hAnsi="Times New Roman"/>
          <w:i/>
          <w:sz w:val="20"/>
          <w:szCs w:val="20"/>
        </w:rPr>
        <w:t xml:space="preserve">International Journal of Advanced Research, </w:t>
      </w:r>
      <w:r w:rsidRPr="00947BD9">
        <w:rPr>
          <w:rFonts w:ascii="Times New Roman" w:hAnsi="Times New Roman"/>
          <w:sz w:val="20"/>
          <w:szCs w:val="20"/>
        </w:rPr>
        <w:t>2: 1043-1055.</w:t>
      </w:r>
    </w:p>
    <w:p w14:paraId="2EE828D1"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rPr>
      </w:pPr>
      <w:r w:rsidRPr="00947BD9">
        <w:rPr>
          <w:rFonts w:ascii="Times New Roman" w:hAnsi="Times New Roman"/>
          <w:sz w:val="20"/>
          <w:szCs w:val="20"/>
        </w:rPr>
        <w:t xml:space="preserve">Villiers, F., Ducruix, C., Hugouvieux, V., Jarno, N., Ezan, E. and Garin, J. (2011). Investigating the plant response to cadmium exposure by proteomic and metabolomic approaches. </w:t>
      </w:r>
      <w:r w:rsidRPr="00947BD9">
        <w:rPr>
          <w:rFonts w:ascii="Times New Roman" w:hAnsi="Times New Roman"/>
          <w:i/>
          <w:sz w:val="20"/>
          <w:szCs w:val="20"/>
        </w:rPr>
        <w:t xml:space="preserve">Proteomics, </w:t>
      </w:r>
      <w:r w:rsidRPr="00947BD9">
        <w:rPr>
          <w:rFonts w:ascii="Times New Roman" w:hAnsi="Times New Roman"/>
          <w:sz w:val="20"/>
          <w:szCs w:val="20"/>
        </w:rPr>
        <w:t>11: 1650-1663.</w:t>
      </w:r>
    </w:p>
    <w:p w14:paraId="1B729CFE" w14:textId="77777777" w:rsidR="004E7EC9" w:rsidRPr="00947BD9" w:rsidRDefault="004E7EC9" w:rsidP="004E7EC9">
      <w:pPr>
        <w:pStyle w:val="ListParagraph"/>
        <w:widowControl w:val="0"/>
        <w:numPr>
          <w:ilvl w:val="0"/>
          <w:numId w:val="2"/>
        </w:numPr>
        <w:shd w:val="clear" w:color="auto" w:fill="FFFFFF"/>
        <w:autoSpaceDE w:val="0"/>
        <w:autoSpaceDN w:val="0"/>
        <w:spacing w:after="0"/>
        <w:ind w:left="360"/>
        <w:contextualSpacing w:val="0"/>
        <w:jc w:val="both"/>
        <w:textAlignment w:val="baseline"/>
        <w:rPr>
          <w:rFonts w:ascii="Times New Roman" w:hAnsi="Times New Roman"/>
          <w:sz w:val="20"/>
          <w:szCs w:val="20"/>
        </w:rPr>
      </w:pPr>
      <w:r w:rsidRPr="00947BD9">
        <w:rPr>
          <w:rFonts w:ascii="Times New Roman" w:hAnsi="Times New Roman"/>
          <w:sz w:val="20"/>
          <w:szCs w:val="20"/>
        </w:rPr>
        <w:t xml:space="preserve">Cryns, V. and Yuan, J. (1998). </w:t>
      </w:r>
      <w:r w:rsidRPr="00947BD9">
        <w:rPr>
          <w:rFonts w:ascii="Times New Roman" w:hAnsi="Times New Roman"/>
          <w:bCs/>
          <w:sz w:val="20"/>
          <w:szCs w:val="20"/>
        </w:rPr>
        <w:t xml:space="preserve">Proteases to die for. </w:t>
      </w:r>
      <w:r w:rsidRPr="00947BD9">
        <w:rPr>
          <w:rFonts w:ascii="Times New Roman" w:hAnsi="Times New Roman"/>
          <w:i/>
          <w:sz w:val="20"/>
          <w:szCs w:val="20"/>
        </w:rPr>
        <w:t xml:space="preserve">Genes &amp; Development, </w:t>
      </w:r>
      <w:r w:rsidRPr="00947BD9">
        <w:rPr>
          <w:rFonts w:ascii="Times New Roman" w:hAnsi="Times New Roman"/>
          <w:sz w:val="20"/>
          <w:szCs w:val="20"/>
        </w:rPr>
        <w:t>12: 1551-1570.</w:t>
      </w:r>
    </w:p>
    <w:p w14:paraId="16FD7632"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rPr>
      </w:pPr>
      <w:r w:rsidRPr="00947BD9">
        <w:rPr>
          <w:rFonts w:ascii="Times New Roman" w:hAnsi="Times New Roman"/>
          <w:sz w:val="20"/>
          <w:szCs w:val="20"/>
          <w:lang w:val="en-MY"/>
        </w:rPr>
        <w:t xml:space="preserve">Wan Bayani, W. O., Hazlina, A. Z., Nakisah, M. A. and Nur Hidayah, K. R. (2017). Responses of a freshwater microalga, </w:t>
      </w:r>
      <w:r w:rsidRPr="00947BD9">
        <w:rPr>
          <w:rFonts w:ascii="Times New Roman" w:hAnsi="Times New Roman"/>
          <w:i/>
          <w:sz w:val="20"/>
          <w:szCs w:val="20"/>
          <w:lang w:val="en-MY"/>
        </w:rPr>
        <w:t>Scenedesmus regularis</w:t>
      </w:r>
      <w:r w:rsidRPr="00947BD9">
        <w:rPr>
          <w:rFonts w:ascii="Times New Roman" w:hAnsi="Times New Roman"/>
          <w:sz w:val="20"/>
          <w:szCs w:val="20"/>
          <w:lang w:val="en-MY"/>
        </w:rPr>
        <w:t xml:space="preserve"> exposed to 50% inhibition concentration of Pb</w:t>
      </w:r>
      <w:r w:rsidRPr="00947BD9">
        <w:rPr>
          <w:rFonts w:ascii="Times New Roman" w:hAnsi="Times New Roman"/>
          <w:sz w:val="20"/>
          <w:szCs w:val="20"/>
          <w:vertAlign w:val="superscript"/>
          <w:lang w:val="en-MY"/>
        </w:rPr>
        <w:t xml:space="preserve">2+ </w:t>
      </w:r>
      <w:r w:rsidRPr="00947BD9">
        <w:rPr>
          <w:rFonts w:ascii="Times New Roman" w:hAnsi="Times New Roman"/>
          <w:sz w:val="20"/>
          <w:szCs w:val="20"/>
          <w:lang w:val="en-MY"/>
        </w:rPr>
        <w:t>and Hg</w:t>
      </w:r>
      <w:r w:rsidRPr="00947BD9">
        <w:rPr>
          <w:rFonts w:ascii="Times New Roman" w:hAnsi="Times New Roman"/>
          <w:sz w:val="20"/>
          <w:szCs w:val="20"/>
          <w:vertAlign w:val="superscript"/>
          <w:lang w:val="en-MY"/>
        </w:rPr>
        <w:t xml:space="preserve">2+. </w:t>
      </w:r>
      <w:r w:rsidRPr="00947BD9">
        <w:rPr>
          <w:rFonts w:ascii="Times New Roman" w:hAnsi="Times New Roman"/>
          <w:i/>
          <w:sz w:val="20"/>
          <w:szCs w:val="20"/>
          <w:lang w:val="en-MY"/>
        </w:rPr>
        <w:t>Malaysian Applied Biology</w:t>
      </w:r>
      <w:r w:rsidRPr="00947BD9">
        <w:rPr>
          <w:rFonts w:ascii="Times New Roman" w:hAnsi="Times New Roman"/>
          <w:sz w:val="20"/>
          <w:szCs w:val="20"/>
          <w:lang w:val="en-MY"/>
        </w:rPr>
        <w:t xml:space="preserve">, 46(4):213-220.  </w:t>
      </w:r>
    </w:p>
    <w:p w14:paraId="14AC1F4E"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rPr>
      </w:pPr>
      <w:r w:rsidRPr="00947BD9">
        <w:rPr>
          <w:rStyle w:val="cit"/>
          <w:rFonts w:ascii="Times New Roman" w:hAnsi="Times New Roman"/>
          <w:sz w:val="20"/>
          <w:szCs w:val="20"/>
        </w:rPr>
        <w:t>Yedjou, C. G., Milner, J. N., Howard, C. B. and Tchounwou, P. B. (2010). B</w:t>
      </w:r>
      <w:r w:rsidRPr="00947BD9">
        <w:rPr>
          <w:rFonts w:ascii="Times New Roman" w:hAnsi="Times New Roman"/>
          <w:sz w:val="20"/>
          <w:szCs w:val="20"/>
        </w:rPr>
        <w:t>asic apoptotic mechanisms of lead toxicity in human leukemia (HL-60) cells</w:t>
      </w:r>
      <w:r w:rsidRPr="00947BD9">
        <w:rPr>
          <w:rFonts w:ascii="Times New Roman" w:hAnsi="Times New Roman"/>
          <w:i/>
          <w:sz w:val="20"/>
          <w:szCs w:val="20"/>
        </w:rPr>
        <w:t xml:space="preserve">. </w:t>
      </w:r>
      <w:r w:rsidRPr="00947BD9">
        <w:rPr>
          <w:rStyle w:val="cit"/>
          <w:rFonts w:ascii="Times New Roman" w:hAnsi="Times New Roman"/>
          <w:sz w:val="20"/>
          <w:szCs w:val="20"/>
        </w:rPr>
        <w:t>International Journal of Environmental Research and Public Health, 7: 2008-2017.</w:t>
      </w:r>
    </w:p>
    <w:p w14:paraId="2A399D39"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lang w:eastAsia="en-MY"/>
        </w:rPr>
      </w:pPr>
      <w:r w:rsidRPr="00947BD9">
        <w:rPr>
          <w:rFonts w:ascii="Times New Roman" w:hAnsi="Times New Roman"/>
          <w:sz w:val="20"/>
          <w:szCs w:val="20"/>
          <w:lang w:eastAsia="en-MY"/>
        </w:rPr>
        <w:t xml:space="preserve">Wu, H., Che, X., Zheng, Q., Wu, A., Pan, K., Shao, A., Wu, Q., Zhang, J. and Hong, Y. (2014). Caspases: a molecular switch node in the crosstalk between autophagy and apoptosis. </w:t>
      </w:r>
      <w:r w:rsidRPr="00947BD9">
        <w:rPr>
          <w:rFonts w:ascii="Times New Roman" w:hAnsi="Times New Roman"/>
          <w:i/>
          <w:sz w:val="20"/>
          <w:szCs w:val="20"/>
          <w:lang w:eastAsia="en-MY"/>
        </w:rPr>
        <w:t xml:space="preserve">International Journal of Biological Sciences, </w:t>
      </w:r>
      <w:r w:rsidRPr="00947BD9">
        <w:rPr>
          <w:rFonts w:ascii="Times New Roman" w:hAnsi="Times New Roman"/>
          <w:sz w:val="20"/>
          <w:szCs w:val="20"/>
          <w:lang w:eastAsia="en-MY"/>
        </w:rPr>
        <w:t>10: 1072-1083.</w:t>
      </w:r>
    </w:p>
    <w:p w14:paraId="7F515BC9"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lang w:eastAsia="en-MY"/>
        </w:rPr>
      </w:pPr>
      <w:r w:rsidRPr="00947BD9">
        <w:rPr>
          <w:rFonts w:ascii="Times New Roman" w:hAnsi="Times New Roman"/>
          <w:sz w:val="20"/>
          <w:szCs w:val="20"/>
          <w:lang w:eastAsia="en-MY"/>
        </w:rPr>
        <w:t xml:space="preserve">Yu, L., Wan, F., Dutta, S., Welsh, S., Liu, Z. H., Freundt, E., Baehrecke, E. H. and Lenardo, M. (2006). Autophagic programmed cell death by selective catalase degradation. </w:t>
      </w:r>
      <w:r w:rsidRPr="00947BD9">
        <w:rPr>
          <w:rFonts w:ascii="Times New Roman" w:hAnsi="Times New Roman"/>
          <w:i/>
          <w:sz w:val="20"/>
          <w:szCs w:val="20"/>
          <w:lang w:eastAsia="en-MY"/>
        </w:rPr>
        <w:t xml:space="preserve">Proceedings of the National Academy of Sciences of the United States of America, </w:t>
      </w:r>
      <w:r w:rsidRPr="00947BD9">
        <w:rPr>
          <w:rFonts w:ascii="Times New Roman" w:hAnsi="Times New Roman"/>
          <w:sz w:val="20"/>
          <w:szCs w:val="20"/>
          <w:lang w:eastAsia="en-MY"/>
        </w:rPr>
        <w:t>103:</w:t>
      </w:r>
      <w:r w:rsidRPr="00947BD9">
        <w:rPr>
          <w:rFonts w:ascii="Times New Roman" w:hAnsi="Times New Roman"/>
          <w:i/>
          <w:sz w:val="20"/>
          <w:szCs w:val="20"/>
          <w:lang w:eastAsia="en-MY"/>
        </w:rPr>
        <w:t xml:space="preserve"> </w:t>
      </w:r>
      <w:r w:rsidRPr="00947BD9">
        <w:rPr>
          <w:rFonts w:ascii="Times New Roman" w:hAnsi="Times New Roman"/>
          <w:sz w:val="20"/>
          <w:szCs w:val="20"/>
          <w:lang w:eastAsia="en-MY"/>
        </w:rPr>
        <w:t>4952-4957.</w:t>
      </w:r>
    </w:p>
    <w:p w14:paraId="6F3B242E"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lang w:eastAsia="en-MY"/>
        </w:rPr>
      </w:pPr>
      <w:r w:rsidRPr="00947BD9">
        <w:rPr>
          <w:rFonts w:ascii="Times New Roman" w:hAnsi="Times New Roman"/>
          <w:sz w:val="20"/>
          <w:szCs w:val="20"/>
          <w:lang w:eastAsia="en-MY"/>
        </w:rPr>
        <w:t xml:space="preserve">Kroemer, G. and Levine, B. (2008). Autophagic cell death: the story of a misnomer. </w:t>
      </w:r>
      <w:r w:rsidRPr="00947BD9">
        <w:rPr>
          <w:rFonts w:ascii="Times New Roman" w:hAnsi="Times New Roman"/>
          <w:i/>
          <w:sz w:val="20"/>
          <w:szCs w:val="20"/>
          <w:lang w:eastAsia="en-MY"/>
        </w:rPr>
        <w:t xml:space="preserve">Nature Reviews Molecular Cell Biology, </w:t>
      </w:r>
      <w:r w:rsidRPr="00947BD9">
        <w:rPr>
          <w:rFonts w:ascii="Times New Roman" w:hAnsi="Times New Roman"/>
          <w:sz w:val="20"/>
          <w:szCs w:val="20"/>
          <w:lang w:eastAsia="en-MY"/>
        </w:rPr>
        <w:t xml:space="preserve">9: 1004-1010. </w:t>
      </w:r>
    </w:p>
    <w:p w14:paraId="4AE7E3C8" w14:textId="77777777" w:rsidR="004E7EC9" w:rsidRPr="004E7EC9" w:rsidRDefault="004E7EC9" w:rsidP="004E7EC9">
      <w:pPr>
        <w:pStyle w:val="Heading1"/>
        <w:keepNext/>
        <w:numPr>
          <w:ilvl w:val="0"/>
          <w:numId w:val="2"/>
        </w:numPr>
        <w:shd w:val="clear" w:color="auto" w:fill="FCFCFC"/>
        <w:spacing w:before="0"/>
        <w:ind w:left="360"/>
        <w:contextualSpacing w:val="0"/>
        <w:jc w:val="both"/>
        <w:rPr>
          <w:rFonts w:ascii="Times New Roman" w:hAnsi="Times New Roman"/>
          <w:b/>
          <w:smallCaps w:val="0"/>
          <w:spacing w:val="0"/>
          <w:sz w:val="20"/>
          <w:szCs w:val="20"/>
          <w:shd w:val="clear" w:color="auto" w:fill="FCFCFC"/>
        </w:rPr>
      </w:pPr>
      <w:r w:rsidRPr="004E7EC9">
        <w:rPr>
          <w:rFonts w:ascii="Times New Roman" w:hAnsi="Times New Roman"/>
          <w:smallCaps w:val="0"/>
          <w:spacing w:val="0"/>
          <w:sz w:val="20"/>
          <w:szCs w:val="20"/>
          <w:shd w:val="clear" w:color="auto" w:fill="FCFCFC"/>
        </w:rPr>
        <w:t xml:space="preserve">Thorburn, A. (2008). </w:t>
      </w:r>
      <w:r w:rsidRPr="004E7EC9">
        <w:rPr>
          <w:rFonts w:ascii="Times New Roman" w:hAnsi="Times New Roman"/>
          <w:smallCaps w:val="0"/>
          <w:spacing w:val="0"/>
          <w:sz w:val="20"/>
          <w:szCs w:val="20"/>
          <w:lang w:val="en"/>
        </w:rPr>
        <w:t xml:space="preserve">Apoptosis and autophagy: regulatory connections between two supposedly different processes. </w:t>
      </w:r>
      <w:r w:rsidRPr="004E7EC9">
        <w:rPr>
          <w:rFonts w:ascii="Times New Roman" w:hAnsi="Times New Roman"/>
          <w:i/>
          <w:smallCaps w:val="0"/>
          <w:spacing w:val="0"/>
          <w:sz w:val="20"/>
          <w:szCs w:val="20"/>
          <w:shd w:val="clear" w:color="auto" w:fill="FCFCFC"/>
        </w:rPr>
        <w:t xml:space="preserve">Apoptosis, </w:t>
      </w:r>
      <w:r w:rsidRPr="004E7EC9">
        <w:rPr>
          <w:rFonts w:ascii="Times New Roman" w:hAnsi="Times New Roman"/>
          <w:smallCaps w:val="0"/>
          <w:spacing w:val="0"/>
          <w:sz w:val="20"/>
          <w:szCs w:val="20"/>
          <w:shd w:val="clear" w:color="auto" w:fill="FCFCFC"/>
        </w:rPr>
        <w:t>13: 1-9.</w:t>
      </w:r>
    </w:p>
    <w:p w14:paraId="56A2CA89" w14:textId="77777777" w:rsidR="003D7EB8"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lang w:eastAsia="en-MY"/>
        </w:rPr>
        <w:sectPr w:rsidR="003D7EB8" w:rsidSect="003D7EB8">
          <w:headerReference w:type="even" r:id="rId28"/>
          <w:headerReference w:type="default" r:id="rId29"/>
          <w:footerReference w:type="even" r:id="rId30"/>
          <w:footerReference w:type="default" r:id="rId31"/>
          <w:headerReference w:type="first" r:id="rId32"/>
          <w:type w:val="continuous"/>
          <w:pgSz w:w="12240" w:h="15840" w:code="1"/>
          <w:pgMar w:top="1800" w:right="1469" w:bottom="1699" w:left="1440" w:header="706" w:footer="706" w:gutter="0"/>
          <w:pgNumType w:start="1"/>
          <w:cols w:num="2" w:space="403"/>
          <w:docGrid w:linePitch="360"/>
        </w:sectPr>
      </w:pPr>
      <w:r w:rsidRPr="00947BD9">
        <w:rPr>
          <w:rFonts w:ascii="Times New Roman" w:hAnsi="Times New Roman"/>
          <w:sz w:val="20"/>
          <w:szCs w:val="20"/>
          <w:lang w:eastAsia="en-MY"/>
        </w:rPr>
        <w:t xml:space="preserve">Majno, G.and Joris, I. (1995). Apotosis, oncosis and necrosis: an overview of cell death. </w:t>
      </w:r>
      <w:r w:rsidRPr="00947BD9">
        <w:rPr>
          <w:rFonts w:ascii="Times New Roman" w:hAnsi="Times New Roman"/>
          <w:i/>
          <w:sz w:val="20"/>
          <w:szCs w:val="20"/>
          <w:lang w:eastAsia="en-MY"/>
        </w:rPr>
        <w:t xml:space="preserve">American Journal of Pathology, </w:t>
      </w:r>
      <w:r w:rsidRPr="00947BD9">
        <w:rPr>
          <w:rFonts w:ascii="Times New Roman" w:hAnsi="Times New Roman"/>
          <w:sz w:val="20"/>
          <w:szCs w:val="20"/>
          <w:lang w:eastAsia="en-MY"/>
        </w:rPr>
        <w:t>146: 3-15.</w:t>
      </w:r>
    </w:p>
    <w:p w14:paraId="173775F0" w14:textId="49625144" w:rsidR="00A74A7E" w:rsidRPr="003D7EB8" w:rsidRDefault="00A74A7E" w:rsidP="003D7EB8">
      <w:pPr>
        <w:widowControl w:val="0"/>
        <w:autoSpaceDE w:val="0"/>
        <w:autoSpaceDN w:val="0"/>
        <w:adjustRightInd w:val="0"/>
        <w:spacing w:after="0"/>
        <w:jc w:val="both"/>
        <w:rPr>
          <w:rFonts w:ascii="Times New Roman" w:hAnsi="Times New Roman"/>
          <w:sz w:val="20"/>
          <w:szCs w:val="20"/>
          <w:lang w:eastAsia="en-MY"/>
        </w:rPr>
      </w:pPr>
    </w:p>
    <w:sectPr w:rsidR="00A74A7E" w:rsidRPr="003D7EB8" w:rsidSect="004E7EC9">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Cambria,TimesNewRomanPS">
    <w:altName w:val="Times New Roman"/>
    <w:charset w:val="00"/>
    <w:family w:val="roman"/>
    <w:pitch w:val="default"/>
    <w:sig w:usb0="00000000" w:usb1="00000000" w:usb2="00000000" w:usb3="00000000" w:csb0="00040001" w:csb1="00000000"/>
  </w:font>
  <w:font w:name="TimesNewRoman">
    <w:altName w:val="Malgun Gothic"/>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B910088" w:rsidR="00A14DB9" w:rsidRDefault="00F729B7">
    <w:pPr>
      <w:pStyle w:val="Footer"/>
    </w:pPr>
    <w:r>
      <w:rPr>
        <w:rFonts w:ascii="Times New Roman" w:hAnsi="Times New Roman"/>
        <w:lang w:val="en-US"/>
      </w:rPr>
      <w:t>650</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00F4063"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F729B7">
      <w:rPr>
        <w:lang w:val="en-US"/>
      </w:rPr>
      <w:t>649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4DF54" w14:textId="60421CB2" w:rsidR="00EE5D03" w:rsidRPr="007D4BAB" w:rsidRDefault="00EE5D03" w:rsidP="007D4BAB">
    <w:pPr>
      <w:pStyle w:val="Footer"/>
      <w:jc w:val="right"/>
    </w:pPr>
    <w:r w:rsidRPr="002F1D31">
      <w:rPr>
        <w:lang w:val="en-US"/>
      </w:rPr>
      <w:ptab w:relativeTo="margin" w:alignment="center" w:leader="none"/>
    </w:r>
    <w:r w:rsidRPr="002F1D31">
      <w:rPr>
        <w:lang w:val="en-US"/>
      </w:rPr>
      <w:ptab w:relativeTo="margin" w:alignment="right" w:leader="none"/>
    </w:r>
    <w:r w:rsidR="00F729B7">
      <w:rPr>
        <w:lang w:val="en-US"/>
      </w:rPr>
      <w:t>651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EE0FA" w14:textId="3365450B" w:rsidR="00EE5D03" w:rsidRDefault="00F729B7">
    <w:pPr>
      <w:pStyle w:val="Footer"/>
    </w:pPr>
    <w:r>
      <w:rPr>
        <w:rFonts w:ascii="Times New Roman" w:hAnsi="Times New Roman"/>
        <w:lang w:val="en-US"/>
      </w:rPr>
      <w:t>652</w:t>
    </w:r>
    <w:r w:rsidR="00EE5D03" w:rsidRPr="002F1D31">
      <w:rPr>
        <w:rFonts w:ascii="Times New Roman" w:hAnsi="Times New Roman"/>
        <w:lang w:val="en-US"/>
      </w:rPr>
      <w:ptab w:relativeTo="margin" w:alignment="center" w:leader="none"/>
    </w:r>
    <w:r w:rsidR="00EE5D03"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71785" w14:textId="445EEDEB" w:rsidR="00EE5D03" w:rsidRPr="007D4BAB" w:rsidRDefault="00EE5D03" w:rsidP="007D4BAB">
    <w:pPr>
      <w:pStyle w:val="Footer"/>
      <w:jc w:val="right"/>
    </w:pPr>
    <w:r w:rsidRPr="002F1D31">
      <w:rPr>
        <w:lang w:val="en-US"/>
      </w:rPr>
      <w:ptab w:relativeTo="margin" w:alignment="center" w:leader="none"/>
    </w:r>
    <w:r w:rsidRPr="002F1D31">
      <w:rPr>
        <w:lang w:val="en-US"/>
      </w:rPr>
      <w:ptab w:relativeTo="margin" w:alignment="right" w:leader="none"/>
    </w:r>
    <w:r w:rsidR="00F729B7">
      <w:rPr>
        <w:lang w:val="en-US"/>
      </w:rPr>
      <w:t>653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E3C2B" w14:textId="07424ACE" w:rsidR="00EE5D03" w:rsidRDefault="00F729B7">
    <w:pPr>
      <w:pStyle w:val="Footer"/>
    </w:pPr>
    <w:r>
      <w:rPr>
        <w:rFonts w:ascii="Times New Roman" w:hAnsi="Times New Roman"/>
        <w:lang w:val="en-US"/>
      </w:rPr>
      <w:t>654</w:t>
    </w:r>
    <w:r w:rsidR="00EE5D03" w:rsidRPr="002F1D31">
      <w:rPr>
        <w:rFonts w:ascii="Times New Roman" w:hAnsi="Times New Roman"/>
        <w:lang w:val="en-US"/>
      </w:rPr>
      <w:ptab w:relativeTo="margin" w:alignment="center" w:leader="none"/>
    </w:r>
    <w:r w:rsidR="00EE5D03"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6CF8E" w14:textId="4E9EA5FF" w:rsidR="00EE5D03" w:rsidRDefault="00F729B7">
    <w:pPr>
      <w:pStyle w:val="Footer"/>
    </w:pPr>
    <w:r>
      <w:rPr>
        <w:rFonts w:ascii="Times New Roman" w:hAnsi="Times New Roman"/>
        <w:lang w:val="en-US"/>
      </w:rPr>
      <w:t>656</w:t>
    </w:r>
    <w:r w:rsidR="00EE5D03" w:rsidRPr="002F1D31">
      <w:rPr>
        <w:rFonts w:ascii="Times New Roman" w:hAnsi="Times New Roman"/>
        <w:lang w:val="en-US"/>
      </w:rPr>
      <w:ptab w:relativeTo="margin" w:alignment="center" w:leader="none"/>
    </w:r>
    <w:r w:rsidR="00EE5D03"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82D1A" w14:textId="15B2784D" w:rsidR="00EE5D03" w:rsidRPr="007D4BAB" w:rsidRDefault="00EE5D03" w:rsidP="007D4BAB">
    <w:pPr>
      <w:pStyle w:val="Footer"/>
      <w:jc w:val="right"/>
    </w:pPr>
    <w:r w:rsidRPr="002F1D31">
      <w:rPr>
        <w:lang w:val="en-US"/>
      </w:rPr>
      <w:ptab w:relativeTo="margin" w:alignment="center" w:leader="none"/>
    </w:r>
    <w:r w:rsidRPr="002F1D31">
      <w:rPr>
        <w:lang w:val="en-US"/>
      </w:rPr>
      <w:ptab w:relativeTo="margin" w:alignment="right" w:leader="none"/>
    </w:r>
    <w:r w:rsidR="00F729B7">
      <w:rPr>
        <w:lang w:val="en-US"/>
      </w:rPr>
      <w:t>655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D4173" w14:textId="1A365389" w:rsidR="001C1CE1" w:rsidRPr="001C1CE1" w:rsidRDefault="001C1CE1" w:rsidP="001C1CE1">
    <w:pPr>
      <w:tabs>
        <w:tab w:val="left" w:pos="5231"/>
      </w:tabs>
      <w:adjustRightInd w:val="0"/>
      <w:spacing w:after="0"/>
      <w:ind w:left="1170" w:hanging="1170"/>
      <w:rPr>
        <w:rFonts w:ascii="Times New Roman" w:eastAsia="Calibri" w:hAnsi="Times New Roman"/>
        <w:bCs/>
        <w:sz w:val="20"/>
        <w:szCs w:val="20"/>
        <w:lang w:val="en-GB"/>
      </w:rPr>
    </w:pPr>
    <w:r>
      <w:rPr>
        <w:rFonts w:ascii="Times New Roman" w:hAnsi="Times New Roman"/>
        <w:sz w:val="20"/>
        <w:szCs w:val="20"/>
      </w:rPr>
      <w:t>Hazlina et al</w:t>
    </w:r>
    <w:r w:rsidR="006B72B0" w:rsidRPr="001C1CE1">
      <w:rPr>
        <w:rFonts w:ascii="Times New Roman" w:hAnsi="Times New Roman"/>
        <w:sz w:val="20"/>
        <w:szCs w:val="20"/>
      </w:rPr>
      <w:t xml:space="preserve">: </w:t>
    </w:r>
    <w:r w:rsidR="009B0F4A" w:rsidRPr="001C1CE1">
      <w:rPr>
        <w:rFonts w:ascii="Times New Roman" w:hAnsi="Times New Roman"/>
        <w:sz w:val="20"/>
        <w:szCs w:val="20"/>
      </w:rPr>
      <w:t xml:space="preserve"> </w:t>
    </w:r>
    <w:r>
      <w:rPr>
        <w:rFonts w:ascii="Times New Roman" w:hAnsi="Times New Roman"/>
        <w:sz w:val="20"/>
        <w:szCs w:val="20"/>
      </w:rPr>
      <w:tab/>
    </w:r>
    <w:r w:rsidRPr="001C1CE1">
      <w:rPr>
        <w:rFonts w:ascii="Times New Roman" w:eastAsia="Calibri" w:hAnsi="Times New Roman"/>
        <w:bCs/>
        <w:sz w:val="20"/>
        <w:szCs w:val="20"/>
        <w:lang w:val="en-GB"/>
      </w:rPr>
      <w:t>ANALYSES ON TOXICITY OF Pb</w:t>
    </w:r>
    <w:r w:rsidRPr="001C1CE1">
      <w:rPr>
        <w:rFonts w:ascii="Times New Roman" w:eastAsia="Calibri" w:hAnsi="Times New Roman"/>
        <w:bCs/>
        <w:sz w:val="20"/>
        <w:szCs w:val="20"/>
        <w:vertAlign w:val="superscript"/>
        <w:lang w:val="en-GB"/>
      </w:rPr>
      <w:t>2+</w:t>
    </w:r>
    <w:r w:rsidRPr="001C1CE1">
      <w:rPr>
        <w:rFonts w:ascii="Times New Roman" w:eastAsia="Calibri" w:hAnsi="Times New Roman"/>
        <w:bCs/>
        <w:sz w:val="20"/>
        <w:szCs w:val="20"/>
        <w:lang w:val="en-GB"/>
      </w:rPr>
      <w:t xml:space="preserve"> TOWARDS CHLOROPHYLL A, TOTAL SOLUBLE PROTEIN AND CASPASE-3-LIKE ENZYME ACTIVITY OF</w:t>
    </w:r>
    <w:r w:rsidRPr="001C1CE1">
      <w:rPr>
        <w:rFonts w:ascii="Times New Roman" w:eastAsia="Calibri" w:hAnsi="Times New Roman"/>
        <w:bCs/>
        <w:i/>
        <w:sz w:val="20"/>
        <w:szCs w:val="20"/>
        <w:lang w:val="en-GB"/>
      </w:rPr>
      <w:t xml:space="preserve"> Scenedesmus regularis</w:t>
    </w:r>
  </w:p>
  <w:p w14:paraId="4AE9CF7A" w14:textId="2FC48CB4"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6874A" w14:textId="7415CFA8" w:rsidR="00C01325" w:rsidRDefault="00C013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41ADA" w14:textId="3CE14C66" w:rsidR="00C01325" w:rsidRDefault="00C0132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89862" w14:textId="32EAE3E9" w:rsidR="00C01325" w:rsidRPr="001C1CE1" w:rsidRDefault="00C01325" w:rsidP="00C01325">
    <w:pPr>
      <w:tabs>
        <w:tab w:val="left" w:pos="5231"/>
      </w:tabs>
      <w:adjustRightInd w:val="0"/>
      <w:spacing w:after="0"/>
      <w:ind w:left="1170" w:hanging="1170"/>
      <w:rPr>
        <w:rFonts w:ascii="Times New Roman" w:eastAsia="Calibri" w:hAnsi="Times New Roman"/>
        <w:bCs/>
        <w:sz w:val="20"/>
        <w:szCs w:val="20"/>
        <w:lang w:val="en-GB"/>
      </w:rPr>
    </w:pPr>
    <w:r>
      <w:rPr>
        <w:rFonts w:ascii="Times New Roman" w:hAnsi="Times New Roman"/>
        <w:sz w:val="20"/>
        <w:szCs w:val="20"/>
      </w:rPr>
      <w:t>Hazlina et al</w:t>
    </w:r>
    <w:r w:rsidRPr="001C1CE1">
      <w:rPr>
        <w:rFonts w:ascii="Times New Roman" w:hAnsi="Times New Roman"/>
        <w:sz w:val="20"/>
        <w:szCs w:val="20"/>
      </w:rPr>
      <w:t xml:space="preserve">:  </w:t>
    </w:r>
    <w:r>
      <w:rPr>
        <w:rFonts w:ascii="Times New Roman" w:hAnsi="Times New Roman"/>
        <w:sz w:val="20"/>
        <w:szCs w:val="20"/>
      </w:rPr>
      <w:tab/>
    </w:r>
    <w:r w:rsidRPr="001C1CE1">
      <w:rPr>
        <w:rFonts w:ascii="Times New Roman" w:eastAsia="Calibri" w:hAnsi="Times New Roman"/>
        <w:bCs/>
        <w:sz w:val="20"/>
        <w:szCs w:val="20"/>
        <w:lang w:val="en-GB"/>
      </w:rPr>
      <w:t>ANALYSES ON TOXICITY OF Pb</w:t>
    </w:r>
    <w:r w:rsidRPr="001C1CE1">
      <w:rPr>
        <w:rFonts w:ascii="Times New Roman" w:eastAsia="Calibri" w:hAnsi="Times New Roman"/>
        <w:bCs/>
        <w:sz w:val="20"/>
        <w:szCs w:val="20"/>
        <w:vertAlign w:val="superscript"/>
        <w:lang w:val="en-GB"/>
      </w:rPr>
      <w:t>2+</w:t>
    </w:r>
    <w:r w:rsidRPr="001C1CE1">
      <w:rPr>
        <w:rFonts w:ascii="Times New Roman" w:eastAsia="Calibri" w:hAnsi="Times New Roman"/>
        <w:bCs/>
        <w:sz w:val="20"/>
        <w:szCs w:val="20"/>
        <w:lang w:val="en-GB"/>
      </w:rPr>
      <w:t xml:space="preserve"> TOWARDS CHLOROPHYLL A, TOTAL SOLUBLE PROTEIN AND CASPASE-3-LIKE ENZYME ACTIVITY OF</w:t>
    </w:r>
    <w:r w:rsidRPr="001C1CE1">
      <w:rPr>
        <w:rFonts w:ascii="Times New Roman" w:eastAsia="Calibri" w:hAnsi="Times New Roman"/>
        <w:bCs/>
        <w:i/>
        <w:sz w:val="20"/>
        <w:szCs w:val="20"/>
        <w:lang w:val="en-GB"/>
      </w:rPr>
      <w:t xml:space="preserve"> Scenedesmus regularis</w:t>
    </w:r>
  </w:p>
  <w:p w14:paraId="28747E1F" w14:textId="53D0E151" w:rsidR="00C01325" w:rsidRDefault="00C0132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0A374" w14:textId="5A0F2EA4" w:rsidR="00C01325" w:rsidRDefault="00C01325" w:rsidP="00C01325">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729B7">
      <w:rPr>
        <w:rFonts w:ascii="Times New Roman" w:hAnsi="Times New Roman"/>
        <w:i/>
        <w:lang w:val="en-US"/>
      </w:rPr>
      <w:t>649 - 656</w:t>
    </w:r>
  </w:p>
  <w:p w14:paraId="2CBC04F4" w14:textId="0F60C7D5" w:rsidR="00C01325" w:rsidRDefault="00C0132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67ACA" w14:textId="03CC687B" w:rsidR="00C01325" w:rsidRDefault="00C01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5D139E8E"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712B71">
      <w:rPr>
        <w:rFonts w:ascii="Times New Roman" w:hAnsi="Times New Roman"/>
        <w:i/>
        <w:lang w:val="en-US"/>
      </w:rPr>
      <w:t>5</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F729B7">
      <w:rPr>
        <w:rFonts w:ascii="Times New Roman" w:hAnsi="Times New Roman"/>
        <w:i/>
        <w:lang w:val="en-US"/>
      </w:rPr>
      <w:t>649</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F729B7">
      <w:rPr>
        <w:rFonts w:ascii="Times New Roman" w:hAnsi="Times New Roman"/>
        <w:i/>
        <w:lang w:val="en-US"/>
      </w:rPr>
      <w:t>656</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ADAD" w14:textId="653D0BB1" w:rsidR="00C01325" w:rsidRDefault="00C013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0433A" w14:textId="1B1B4D91" w:rsidR="00C01325" w:rsidRDefault="00C01325" w:rsidP="00F729B7">
    <w:pPr>
      <w:pStyle w:val="Header"/>
      <w:jc w:val="right"/>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729B7">
      <w:rPr>
        <w:rFonts w:ascii="Times New Roman" w:hAnsi="Times New Roman"/>
        <w:i/>
        <w:lang w:val="en-US"/>
      </w:rPr>
      <w:t>649 - 656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0AA80" w14:textId="0581F267" w:rsidR="00C01325" w:rsidRDefault="00C013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5A59F" w14:textId="3F6F8859" w:rsidR="00C01325" w:rsidRPr="001C1CE1" w:rsidRDefault="00C01325" w:rsidP="00C01325">
    <w:pPr>
      <w:tabs>
        <w:tab w:val="left" w:pos="5231"/>
      </w:tabs>
      <w:adjustRightInd w:val="0"/>
      <w:spacing w:after="0"/>
      <w:ind w:left="1170" w:hanging="1170"/>
      <w:rPr>
        <w:rFonts w:ascii="Times New Roman" w:eastAsia="Calibri" w:hAnsi="Times New Roman"/>
        <w:bCs/>
        <w:sz w:val="20"/>
        <w:szCs w:val="20"/>
        <w:lang w:val="en-GB"/>
      </w:rPr>
    </w:pPr>
    <w:r>
      <w:rPr>
        <w:rFonts w:ascii="Times New Roman" w:hAnsi="Times New Roman"/>
        <w:sz w:val="20"/>
        <w:szCs w:val="20"/>
      </w:rPr>
      <w:t>Hazlina et al</w:t>
    </w:r>
    <w:r w:rsidRPr="001C1CE1">
      <w:rPr>
        <w:rFonts w:ascii="Times New Roman" w:hAnsi="Times New Roman"/>
        <w:sz w:val="20"/>
        <w:szCs w:val="20"/>
      </w:rPr>
      <w:t xml:space="preserve">:  </w:t>
    </w:r>
    <w:r>
      <w:rPr>
        <w:rFonts w:ascii="Times New Roman" w:hAnsi="Times New Roman"/>
        <w:sz w:val="20"/>
        <w:szCs w:val="20"/>
      </w:rPr>
      <w:tab/>
    </w:r>
    <w:r w:rsidRPr="001C1CE1">
      <w:rPr>
        <w:rFonts w:ascii="Times New Roman" w:eastAsia="Calibri" w:hAnsi="Times New Roman"/>
        <w:bCs/>
        <w:sz w:val="20"/>
        <w:szCs w:val="20"/>
        <w:lang w:val="en-GB"/>
      </w:rPr>
      <w:t>ANALYSES ON TOXICITY OF Pb</w:t>
    </w:r>
    <w:r w:rsidRPr="001C1CE1">
      <w:rPr>
        <w:rFonts w:ascii="Times New Roman" w:eastAsia="Calibri" w:hAnsi="Times New Roman"/>
        <w:bCs/>
        <w:sz w:val="20"/>
        <w:szCs w:val="20"/>
        <w:vertAlign w:val="superscript"/>
        <w:lang w:val="en-GB"/>
      </w:rPr>
      <w:t>2+</w:t>
    </w:r>
    <w:r w:rsidRPr="001C1CE1">
      <w:rPr>
        <w:rFonts w:ascii="Times New Roman" w:eastAsia="Calibri" w:hAnsi="Times New Roman"/>
        <w:bCs/>
        <w:sz w:val="20"/>
        <w:szCs w:val="20"/>
        <w:lang w:val="en-GB"/>
      </w:rPr>
      <w:t xml:space="preserve"> TOWARDS CHLOROPHYLL A, TOTAL SOLUBLE PROTEIN AND CASPASE-3-LIKE ENZYME ACTIVITY OF</w:t>
    </w:r>
    <w:r w:rsidRPr="001C1CE1">
      <w:rPr>
        <w:rFonts w:ascii="Times New Roman" w:eastAsia="Calibri" w:hAnsi="Times New Roman"/>
        <w:bCs/>
        <w:i/>
        <w:sz w:val="20"/>
        <w:szCs w:val="20"/>
        <w:lang w:val="en-GB"/>
      </w:rPr>
      <w:t xml:space="preserve"> Scenedesmus regularis</w:t>
    </w:r>
  </w:p>
  <w:p w14:paraId="7DE95D4D" w14:textId="2A6B60E8" w:rsidR="00C01325" w:rsidRDefault="00C013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2C4CA" w14:textId="75F4B78D" w:rsidR="00C01325" w:rsidRDefault="00C01325" w:rsidP="00C01325">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729B7">
      <w:rPr>
        <w:rFonts w:ascii="Times New Roman" w:hAnsi="Times New Roman"/>
        <w:i/>
        <w:lang w:val="en-US"/>
      </w:rPr>
      <w:t>649 - 656</w:t>
    </w:r>
  </w:p>
  <w:p w14:paraId="2E40E6C4" w14:textId="7471629E" w:rsidR="00C01325" w:rsidRDefault="00C013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AB15C" w14:textId="18BD1F6D" w:rsidR="00C01325" w:rsidRDefault="00C0132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E9207" w14:textId="73C4EC42" w:rsidR="00C01325" w:rsidRPr="001C1CE1" w:rsidRDefault="00C01325" w:rsidP="00C01325">
    <w:pPr>
      <w:tabs>
        <w:tab w:val="left" w:pos="5231"/>
      </w:tabs>
      <w:adjustRightInd w:val="0"/>
      <w:spacing w:after="0"/>
      <w:ind w:left="1170" w:hanging="1170"/>
      <w:rPr>
        <w:rFonts w:ascii="Times New Roman" w:eastAsia="Calibri" w:hAnsi="Times New Roman"/>
        <w:bCs/>
        <w:sz w:val="20"/>
        <w:szCs w:val="20"/>
        <w:lang w:val="en-GB"/>
      </w:rPr>
    </w:pPr>
    <w:r>
      <w:rPr>
        <w:rFonts w:ascii="Times New Roman" w:hAnsi="Times New Roman"/>
        <w:sz w:val="20"/>
        <w:szCs w:val="20"/>
      </w:rPr>
      <w:t>Hazlina et al</w:t>
    </w:r>
    <w:r w:rsidRPr="001C1CE1">
      <w:rPr>
        <w:rFonts w:ascii="Times New Roman" w:hAnsi="Times New Roman"/>
        <w:sz w:val="20"/>
        <w:szCs w:val="20"/>
      </w:rPr>
      <w:t xml:space="preserve">:  </w:t>
    </w:r>
    <w:r>
      <w:rPr>
        <w:rFonts w:ascii="Times New Roman" w:hAnsi="Times New Roman"/>
        <w:sz w:val="20"/>
        <w:szCs w:val="20"/>
      </w:rPr>
      <w:tab/>
    </w:r>
    <w:r w:rsidRPr="001C1CE1">
      <w:rPr>
        <w:rFonts w:ascii="Times New Roman" w:eastAsia="Calibri" w:hAnsi="Times New Roman"/>
        <w:bCs/>
        <w:sz w:val="20"/>
        <w:szCs w:val="20"/>
        <w:lang w:val="en-GB"/>
      </w:rPr>
      <w:t>ANALYSES ON TOXICITY OF Pb</w:t>
    </w:r>
    <w:r w:rsidRPr="001C1CE1">
      <w:rPr>
        <w:rFonts w:ascii="Times New Roman" w:eastAsia="Calibri" w:hAnsi="Times New Roman"/>
        <w:bCs/>
        <w:sz w:val="20"/>
        <w:szCs w:val="20"/>
        <w:vertAlign w:val="superscript"/>
        <w:lang w:val="en-GB"/>
      </w:rPr>
      <w:t>2+</w:t>
    </w:r>
    <w:r w:rsidRPr="001C1CE1">
      <w:rPr>
        <w:rFonts w:ascii="Times New Roman" w:eastAsia="Calibri" w:hAnsi="Times New Roman"/>
        <w:bCs/>
        <w:sz w:val="20"/>
        <w:szCs w:val="20"/>
        <w:lang w:val="en-GB"/>
      </w:rPr>
      <w:t xml:space="preserve"> TOWARDS CHLOROPHYLL A, TOTAL SOLUBLE PROTEIN AND CASPASE-3-LIKE ENZYME ACTIVITY OF</w:t>
    </w:r>
    <w:r w:rsidRPr="001C1CE1">
      <w:rPr>
        <w:rFonts w:ascii="Times New Roman" w:eastAsia="Calibri" w:hAnsi="Times New Roman"/>
        <w:bCs/>
        <w:i/>
        <w:sz w:val="20"/>
        <w:szCs w:val="20"/>
        <w:lang w:val="en-GB"/>
      </w:rPr>
      <w:t xml:space="preserve"> Scenedesmus regularis</w:t>
    </w:r>
  </w:p>
  <w:p w14:paraId="60AFF748" w14:textId="2A3CA86B" w:rsidR="00C01325" w:rsidRDefault="00C01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D2549A4"/>
    <w:multiLevelType w:val="multilevel"/>
    <w:tmpl w:val="77A67870"/>
    <w:lvl w:ilvl="0">
      <w:start w:val="1"/>
      <w:numFmt w:val="decimal"/>
      <w:lvlText w:val="%1."/>
      <w:lvlJc w:val="left"/>
      <w:pPr>
        <w:ind w:left="1572" w:hanging="360"/>
      </w:pPr>
      <w:rPr>
        <w:rFonts w:hint="default"/>
        <w:b w:val="0"/>
        <w:bCs/>
        <w:sz w:val="20"/>
        <w:szCs w:val="20"/>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268CA"/>
    <w:rsid w:val="00041111"/>
    <w:rsid w:val="00084936"/>
    <w:rsid w:val="000C49FF"/>
    <w:rsid w:val="000D16A1"/>
    <w:rsid w:val="000D2B0C"/>
    <w:rsid w:val="000F77DA"/>
    <w:rsid w:val="001068E8"/>
    <w:rsid w:val="001106D8"/>
    <w:rsid w:val="00117BCD"/>
    <w:rsid w:val="001A3275"/>
    <w:rsid w:val="001C1CE1"/>
    <w:rsid w:val="001D035A"/>
    <w:rsid w:val="001D3855"/>
    <w:rsid w:val="001D6F2C"/>
    <w:rsid w:val="00233177"/>
    <w:rsid w:val="00250D76"/>
    <w:rsid w:val="002627A2"/>
    <w:rsid w:val="002734DC"/>
    <w:rsid w:val="00277498"/>
    <w:rsid w:val="002860B7"/>
    <w:rsid w:val="00290F4D"/>
    <w:rsid w:val="002A2FC0"/>
    <w:rsid w:val="002B0E34"/>
    <w:rsid w:val="002B188F"/>
    <w:rsid w:val="002B3BD8"/>
    <w:rsid w:val="002F1D31"/>
    <w:rsid w:val="002F3F91"/>
    <w:rsid w:val="002F55F5"/>
    <w:rsid w:val="00304767"/>
    <w:rsid w:val="00304B34"/>
    <w:rsid w:val="00312A6F"/>
    <w:rsid w:val="00352D57"/>
    <w:rsid w:val="003609F3"/>
    <w:rsid w:val="00361BAF"/>
    <w:rsid w:val="00362FCE"/>
    <w:rsid w:val="00367D1F"/>
    <w:rsid w:val="003B4FC1"/>
    <w:rsid w:val="003B6019"/>
    <w:rsid w:val="003D585B"/>
    <w:rsid w:val="003D7EB8"/>
    <w:rsid w:val="003E7DA6"/>
    <w:rsid w:val="003F12FF"/>
    <w:rsid w:val="004760D4"/>
    <w:rsid w:val="00482180"/>
    <w:rsid w:val="00494C46"/>
    <w:rsid w:val="004B43FF"/>
    <w:rsid w:val="004C070C"/>
    <w:rsid w:val="004C7089"/>
    <w:rsid w:val="004D7E25"/>
    <w:rsid w:val="004E7EC9"/>
    <w:rsid w:val="004F265B"/>
    <w:rsid w:val="00502641"/>
    <w:rsid w:val="0054578F"/>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12B71"/>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47BD9"/>
    <w:rsid w:val="009866F6"/>
    <w:rsid w:val="009B0F4A"/>
    <w:rsid w:val="009B3139"/>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1325"/>
    <w:rsid w:val="00C055BF"/>
    <w:rsid w:val="00C2226A"/>
    <w:rsid w:val="00C23746"/>
    <w:rsid w:val="00C30FE4"/>
    <w:rsid w:val="00C74D67"/>
    <w:rsid w:val="00C94D92"/>
    <w:rsid w:val="00C97340"/>
    <w:rsid w:val="00CA513F"/>
    <w:rsid w:val="00CB3AA6"/>
    <w:rsid w:val="00CE2BC6"/>
    <w:rsid w:val="00CF05FF"/>
    <w:rsid w:val="00D257FB"/>
    <w:rsid w:val="00D340BB"/>
    <w:rsid w:val="00D34708"/>
    <w:rsid w:val="00D505D5"/>
    <w:rsid w:val="00D613A2"/>
    <w:rsid w:val="00D6781A"/>
    <w:rsid w:val="00D75B35"/>
    <w:rsid w:val="00D76E09"/>
    <w:rsid w:val="00D9736F"/>
    <w:rsid w:val="00D9792A"/>
    <w:rsid w:val="00DD0CD5"/>
    <w:rsid w:val="00DD377F"/>
    <w:rsid w:val="00DD7C38"/>
    <w:rsid w:val="00E25547"/>
    <w:rsid w:val="00E3287E"/>
    <w:rsid w:val="00E54D12"/>
    <w:rsid w:val="00E66197"/>
    <w:rsid w:val="00EE5D03"/>
    <w:rsid w:val="00F121A0"/>
    <w:rsid w:val="00F31093"/>
    <w:rsid w:val="00F334D3"/>
    <w:rsid w:val="00F33AB1"/>
    <w:rsid w:val="00F412AF"/>
    <w:rsid w:val="00F43667"/>
    <w:rsid w:val="00F447A7"/>
    <w:rsid w:val="00F4760B"/>
    <w:rsid w:val="00F729B7"/>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HTMLPreformatted">
    <w:name w:val="HTML Preformatted"/>
    <w:basedOn w:val="Normal"/>
    <w:link w:val="HTMLPreformattedChar"/>
    <w:uiPriority w:val="99"/>
    <w:unhideWhenUsed/>
    <w:rsid w:val="002B0E34"/>
    <w:pPr>
      <w:widowControl w:val="0"/>
      <w:wordWrap w:val="0"/>
      <w:autoSpaceDE w:val="0"/>
      <w:autoSpaceDN w:val="0"/>
      <w:spacing w:after="0" w:line="240" w:lineRule="auto"/>
      <w:jc w:val="both"/>
    </w:pPr>
    <w:rPr>
      <w:rFonts w:ascii="Consolas" w:eastAsiaTheme="minorEastAsia" w:hAnsi="Consolas" w:cstheme="minorBidi"/>
      <w:kern w:val="2"/>
      <w:sz w:val="20"/>
      <w:szCs w:val="20"/>
      <w:lang w:eastAsia="ko-KR" w:bidi="ar-SA"/>
    </w:rPr>
  </w:style>
  <w:style w:type="character" w:customStyle="1" w:styleId="HTMLPreformattedChar">
    <w:name w:val="HTML Preformatted Char"/>
    <w:basedOn w:val="DefaultParagraphFont"/>
    <w:link w:val="HTMLPreformatted"/>
    <w:uiPriority w:val="99"/>
    <w:rsid w:val="002B0E34"/>
    <w:rPr>
      <w:rFonts w:ascii="Consolas" w:eastAsiaTheme="minorEastAsia" w:hAnsi="Consolas" w:cstheme="minorBidi"/>
      <w:kern w:val="2"/>
      <w:lang w:val="en-US" w:eastAsia="ko-KR"/>
    </w:rPr>
  </w:style>
  <w:style w:type="paragraph" w:customStyle="1" w:styleId="Default">
    <w:name w:val="Default"/>
    <w:rsid w:val="002B0E34"/>
    <w:pPr>
      <w:autoSpaceDE w:val="0"/>
      <w:autoSpaceDN w:val="0"/>
      <w:adjustRightInd w:val="0"/>
    </w:pPr>
    <w:rPr>
      <w:rFonts w:ascii="Arial" w:eastAsia="Times New Roman" w:hAnsi="Arial" w:cs="Arial"/>
      <w:color w:val="000000"/>
      <w:sz w:val="24"/>
      <w:szCs w:val="24"/>
      <w:lang w:val="en-US" w:eastAsia="en-US"/>
    </w:rPr>
  </w:style>
  <w:style w:type="character" w:customStyle="1" w:styleId="apple-converted-space">
    <w:name w:val="apple-converted-space"/>
    <w:basedOn w:val="DefaultParagraphFont"/>
    <w:rsid w:val="002B0E34"/>
  </w:style>
  <w:style w:type="paragraph" w:customStyle="1" w:styleId="paragraph">
    <w:name w:val="paragraph"/>
    <w:basedOn w:val="Normal"/>
    <w:rsid w:val="002B0E34"/>
    <w:pPr>
      <w:spacing w:before="100" w:beforeAutospacing="1" w:after="100" w:afterAutospacing="1" w:line="240" w:lineRule="auto"/>
    </w:pPr>
    <w:rPr>
      <w:rFonts w:ascii="Times New Roman" w:hAnsi="Times New Roman"/>
      <w:sz w:val="24"/>
      <w:szCs w:val="24"/>
      <w:lang w:val="en-MY" w:eastAsia="en-MY" w:bidi="ar-SA"/>
    </w:rPr>
  </w:style>
  <w:style w:type="character" w:customStyle="1" w:styleId="normaltextrun">
    <w:name w:val="normaltextrun"/>
    <w:basedOn w:val="DefaultParagraphFont"/>
    <w:rsid w:val="002B0E34"/>
  </w:style>
  <w:style w:type="character" w:customStyle="1" w:styleId="eop">
    <w:name w:val="eop"/>
    <w:basedOn w:val="DefaultParagraphFont"/>
    <w:rsid w:val="002B0E34"/>
  </w:style>
  <w:style w:type="character" w:customStyle="1" w:styleId="spellingerror">
    <w:name w:val="spellingerror"/>
    <w:basedOn w:val="DefaultParagraphFont"/>
    <w:rsid w:val="002B0E34"/>
  </w:style>
  <w:style w:type="character" w:customStyle="1" w:styleId="authors0">
    <w:name w:val="authors"/>
    <w:rsid w:val="002B0E34"/>
  </w:style>
  <w:style w:type="character" w:customStyle="1" w:styleId="all-authors">
    <w:name w:val="all-authors"/>
    <w:rsid w:val="002B0E34"/>
  </w:style>
  <w:style w:type="character" w:customStyle="1" w:styleId="maintitle">
    <w:name w:val="maintitle"/>
    <w:rsid w:val="002B0E34"/>
  </w:style>
  <w:style w:type="character" w:customStyle="1" w:styleId="cit">
    <w:name w:val="cit"/>
    <w:rsid w:val="002B0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2.png"/><Relationship Id="rId27" Type="http://schemas.openxmlformats.org/officeDocument/2006/relationships/header" Target="header11.xml"/><Relationship Id="rId30" Type="http://schemas.openxmlformats.org/officeDocument/2006/relationships/footer" Target="footer7.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3800</Words>
  <Characters>21660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MJAS Vol 24 No 5 (2020)</vt:lpstr>
    </vt:vector>
  </TitlesOfParts>
  <Company>UKM</Company>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5 (2020)</dc:title>
  <dc:creator>Harun Hj Hamzah</dc:creator>
  <cp:lastModifiedBy>Harun Hamzah</cp:lastModifiedBy>
  <cp:revision>2</cp:revision>
  <cp:lastPrinted>2020-09-11T01:51:00Z</cp:lastPrinted>
  <dcterms:created xsi:type="dcterms:W3CDTF">2020-09-11T01:56:00Z</dcterms:created>
  <dcterms:modified xsi:type="dcterms:W3CDTF">2020-09-11T01:56:00Z</dcterms:modified>
</cp:coreProperties>
</file>