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4A2B8" w14:textId="77777777" w:rsidR="00A06ECC" w:rsidRPr="002822F9" w:rsidRDefault="00A06ECC" w:rsidP="00A06ECC">
      <w:pPr>
        <w:spacing w:after="0"/>
        <w:jc w:val="center"/>
        <w:rPr>
          <w:rFonts w:ascii="Times New Roman" w:hAnsi="Times New Roman"/>
          <w:b/>
          <w:sz w:val="20"/>
          <w:szCs w:val="20"/>
          <w:lang w:val="ms-MY"/>
        </w:rPr>
      </w:pPr>
      <w:r w:rsidRPr="002822F9">
        <w:rPr>
          <w:rFonts w:ascii="Times New Roman" w:hAnsi="Times New Roman"/>
          <w:b/>
          <w:sz w:val="20"/>
          <w:szCs w:val="20"/>
          <w:lang w:val="ms-MY"/>
        </w:rPr>
        <w:t>References</w:t>
      </w:r>
    </w:p>
    <w:p w14:paraId="46135059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Blaylock, M. J. and Huang, J. W. (2000). Phytoremediation of toxic metals using plants to clean up the environment. John Wiley &amp; Sons Inc., New York: pp. 53-70.</w:t>
      </w:r>
    </w:p>
    <w:p w14:paraId="6DFE488F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Alloway, B. J. (2004). Zinc in soils and crop nutrition. IZA Publications, International Zinc Association, Brussels: pp. 135-150.</w:t>
      </w:r>
    </w:p>
    <w:p w14:paraId="4F329B2C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Chaney, R. L. (1993). Plant uptake of inorganic waste constituents. Park Ridge, Noyes Data Corporation, New Jersey, USA: pp. 50-76.</w:t>
      </w:r>
    </w:p>
    <w:p w14:paraId="6377BF53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  <w:shd w:val="clear" w:color="auto" w:fill="FFFFFF"/>
        </w:rPr>
        <w:t xml:space="preserve">Sharma. P. and Dubey, R. S. (2007). Involvement of oxidative stress and role of antioxidative defense system in growing rice seedlings exposed to toxic concentrations of aluminum. </w:t>
      </w:r>
      <w:r w:rsidRPr="00F855B0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Plant Cell Reports, </w:t>
      </w:r>
      <w:r w:rsidRPr="00F855B0">
        <w:rPr>
          <w:rFonts w:ascii="Times New Roman" w:hAnsi="Times New Roman"/>
          <w:sz w:val="20"/>
          <w:szCs w:val="20"/>
          <w:shd w:val="clear" w:color="auto" w:fill="FFFFFF"/>
        </w:rPr>
        <w:t>26(1): 2027-2038.</w:t>
      </w:r>
    </w:p>
    <w:p w14:paraId="03F3B2EA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 xml:space="preserve">Lo’pez-Mosquera, M.E., Moiro’n, C. and Carral, E. (2000). Use of dairy-industry sludge as fertilizer for grasslands in northwest Spain: heavy metal levels in the soil and plants. </w:t>
      </w:r>
      <w:r w:rsidRPr="00F855B0">
        <w:rPr>
          <w:rFonts w:ascii="Times New Roman" w:hAnsi="Times New Roman"/>
          <w:i/>
          <w:sz w:val="20"/>
          <w:szCs w:val="20"/>
        </w:rPr>
        <w:t xml:space="preserve">Resources, Conservation and Recycling, </w:t>
      </w:r>
      <w:r w:rsidRPr="00F855B0">
        <w:rPr>
          <w:rFonts w:ascii="Times New Roman" w:hAnsi="Times New Roman"/>
          <w:sz w:val="20"/>
          <w:szCs w:val="20"/>
        </w:rPr>
        <w:t>30(1): 95-109.</w:t>
      </w:r>
    </w:p>
    <w:p w14:paraId="372373BB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Islam, E., Yang, X. E., He, Z. L. and Mahmood, Q. (2007).  Assessing potential dietary toxicity of heavy metals in selected vegetables and food crops.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Journal of Zhejiang University of Science B,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20(1): 1-13.</w:t>
      </w:r>
    </w:p>
    <w:p w14:paraId="661B93AA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Achakzai, A. K. K., Bazai, Z. A. and Kayani, S. A. (2011). Accumulation of heavy metals by lettuce (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Lactuca sativa L.)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irrigated with different levels of wastewater of Quetta city.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Pakistan Journal of Botany,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43: 2953-2960.</w:t>
      </w:r>
    </w:p>
    <w:p w14:paraId="4AFCCC94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Zhao, Z., Xi, M., Liang, G., Liu, X., Bai, Z. and Huang, Y. (2010). Effects of IDSA, EDDS and EDTA on heavy metals accumulation in hydroponically grown maize (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Zea mays, L.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).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Journal of Hazardous Materials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181(2): 455-459.</w:t>
      </w:r>
    </w:p>
    <w:p w14:paraId="5F413237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Gunawardana, B., Singhal, N. and Johnson, A. (2010).  Amendments and their combined application for enhanced copper, cadmium, lead uptake by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Lolium perenne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Plant and Soil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329 (3):283-294.</w:t>
      </w:r>
    </w:p>
    <w:p w14:paraId="633049C3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Bassi, R., Prasher, S. O. and Simpson, B. K (2000). Extraction of metals from a contaminated sandy soil using citric acid.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Environmental Progress,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19(4): 275-282.</w:t>
      </w:r>
    </w:p>
    <w:p w14:paraId="4E8A9940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Irannajad, M., Meshkini, M. and Azadmehr, A. R. (2013). Leaching of zinc from low grade oxide ore using citric acid.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Physicochemical problems of Mineral Processing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. 49(5):547-555.</w:t>
      </w:r>
    </w:p>
    <w:p w14:paraId="36261D2B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Aba, D. A., Marley, P. S. and Maigida, D. N. (2008). Cereals crops of Nigeria; principles production and utilization. Ade-commercial press, Zaria, Nigeria: pp. 40-53.</w:t>
      </w:r>
    </w:p>
    <w:p w14:paraId="6F39CA31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Obilana, A. T. (1981). International Symposium on Sorghum grain quality, ICRISAT, Patancheru: pp.40-45.</w:t>
      </w:r>
    </w:p>
    <w:p w14:paraId="170EB642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Patterson, J. J. and Olson, J. J. (1983). Effects of heavy metals on radicle growth of selected woody species germinated on filter paper, mineral and organic soil substrates.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Canadian Journal of Forest Research,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13 (1): 233-238.</w:t>
      </w:r>
    </w:p>
    <w:p w14:paraId="2A72D094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IITA (1979). Laboratory manual on basic soil and plant analyses, 3</w:t>
      </w:r>
      <w:r w:rsidRPr="00F855B0">
        <w:rPr>
          <w:rFonts w:ascii="Times New Roman" w:eastAsia="Calibri" w:hAnsi="Times New Roman"/>
          <w:sz w:val="20"/>
          <w:szCs w:val="20"/>
          <w:vertAlign w:val="superscript"/>
          <w:lang w:val="en-GB"/>
        </w:rPr>
        <w:t>rd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edition, Longman London, UK: pp. 3-12.</w:t>
      </w:r>
    </w:p>
    <w:p w14:paraId="11B88600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Juo, A. S. B. (1988). Selected methods for soil and plant analysis, Manual Series No.1 International Institute of Tropical Agriculture (IITA), Ibadan, Nigeria: pp. 10-30.</w:t>
      </w:r>
    </w:p>
    <w:p w14:paraId="6EF9655F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Taiz, L. and Zeiger, E. (2002). Plant physiology, Sinauer Associates, (eds.). Sunderland, U.S.A: pp. 67-86.</w:t>
      </w:r>
    </w:p>
    <w:p w14:paraId="70B2D044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Shrikrishna, R. S. and Singh. S. (2012). Effect of zinc on yield, nutrient uptake and quality of Indian mustard.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Journal of Indian Society of soil Science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40(3): 321-325.</w:t>
      </w:r>
    </w:p>
    <w:p w14:paraId="16ECAA21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Bates, L. S., Waldren, R. P. and Teare, I. D. (1973). Rapid determination of free proline for water stress studies.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Plant and Soil,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39(1):205-207.</w:t>
      </w:r>
    </w:p>
    <w:p w14:paraId="10477D59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Arnon, D. I. (1949). Copper enzymes in isolated chloroplast, polyphenoloxidase in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Beta vulgaris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Plant Physiolology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24(5): 1-15.</w:t>
      </w:r>
    </w:p>
    <w:p w14:paraId="21A06C24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Lichtenthaler, H. and Wellburn, A. (1983). Determination of total carotenoids and chlorophylls a and b of leaf extract in different solvent.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Biochemical Society Transaction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11(1): 591-592.</w:t>
      </w:r>
    </w:p>
    <w:p w14:paraId="22616C62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 xml:space="preserve">Lowry, O.H., Rosembrough, N. J., Farr, A. L and Randall, R. J. (1951). Protein measurement with the Folin phenol reagent. </w:t>
      </w:r>
      <w:r w:rsidRPr="00F855B0">
        <w:rPr>
          <w:rFonts w:ascii="Times New Roman" w:hAnsi="Times New Roman"/>
          <w:i/>
          <w:sz w:val="20"/>
          <w:szCs w:val="20"/>
        </w:rPr>
        <w:t>Journal of Biological Chem</w:t>
      </w:r>
      <w:r w:rsidRPr="00F855B0">
        <w:rPr>
          <w:rFonts w:ascii="Times New Roman" w:hAnsi="Times New Roman"/>
          <w:sz w:val="20"/>
          <w:szCs w:val="20"/>
        </w:rPr>
        <w:t>istry, 193(1): 267-275.</w:t>
      </w:r>
    </w:p>
    <w:p w14:paraId="0E87B423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 xml:space="preserve">Mukherjee, S. P. and Choudhari, M. A. (1983). Implication of water stress induced changes in the levels of endogenous ascorbic acid and hydrogen perioxide in </w:t>
      </w:r>
      <w:r w:rsidRPr="00F855B0">
        <w:rPr>
          <w:rFonts w:ascii="Times New Roman" w:hAnsi="Times New Roman"/>
          <w:i/>
          <w:sz w:val="20"/>
          <w:szCs w:val="20"/>
        </w:rPr>
        <w:t xml:space="preserve">Vigna </w:t>
      </w:r>
      <w:r w:rsidRPr="00F855B0">
        <w:rPr>
          <w:rFonts w:ascii="Times New Roman" w:hAnsi="Times New Roman"/>
          <w:iCs/>
          <w:sz w:val="20"/>
          <w:szCs w:val="20"/>
        </w:rPr>
        <w:t>seedlings</w:t>
      </w:r>
      <w:r w:rsidRPr="00F855B0">
        <w:rPr>
          <w:rFonts w:ascii="Times New Roman" w:hAnsi="Times New Roman"/>
          <w:sz w:val="20"/>
          <w:szCs w:val="20"/>
        </w:rPr>
        <w:t xml:space="preserve">. </w:t>
      </w:r>
      <w:r w:rsidRPr="00F855B0">
        <w:rPr>
          <w:rFonts w:ascii="Times New Roman" w:hAnsi="Times New Roman"/>
          <w:i/>
          <w:sz w:val="20"/>
          <w:szCs w:val="20"/>
        </w:rPr>
        <w:t>Physiology Plant Journal</w:t>
      </w:r>
      <w:r w:rsidRPr="00F855B0">
        <w:rPr>
          <w:rFonts w:ascii="Times New Roman" w:hAnsi="Times New Roman"/>
          <w:sz w:val="20"/>
          <w:szCs w:val="20"/>
        </w:rPr>
        <w:t>, 58: 166-170.</w:t>
      </w:r>
    </w:p>
    <w:p w14:paraId="07164F9A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Hafeez, B., Khanif, Y. M. and Saleem, M. (2013). Role of zinc in plant nutrition-A review.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American Journal of Experimental Agriculture,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3(2):374-391.</w:t>
      </w:r>
    </w:p>
    <w:p w14:paraId="7DF872DA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>Hasan, M. H., Reza, A. and Habib K. (20120.  Effect of zinc toxicity on plant productivity, chlorophyll and Zn contents of Sorghum (</w:t>
      </w:r>
      <w:r w:rsidRPr="00F855B0">
        <w:rPr>
          <w:rFonts w:ascii="Times New Roman" w:hAnsi="Times New Roman"/>
          <w:i/>
          <w:sz w:val="20"/>
          <w:szCs w:val="20"/>
        </w:rPr>
        <w:t>Sorghum bicolor</w:t>
      </w:r>
      <w:r w:rsidRPr="00F855B0">
        <w:rPr>
          <w:rFonts w:ascii="Times New Roman" w:hAnsi="Times New Roman"/>
          <w:sz w:val="20"/>
          <w:szCs w:val="20"/>
        </w:rPr>
        <w:t>) and common lambsquarter (</w:t>
      </w:r>
      <w:r w:rsidRPr="00F855B0">
        <w:rPr>
          <w:rFonts w:ascii="Times New Roman" w:hAnsi="Times New Roman"/>
          <w:i/>
          <w:sz w:val="20"/>
          <w:szCs w:val="20"/>
        </w:rPr>
        <w:t>Chenopodium album</w:t>
      </w:r>
      <w:r w:rsidRPr="00F855B0">
        <w:rPr>
          <w:rFonts w:ascii="Times New Roman" w:hAnsi="Times New Roman"/>
          <w:sz w:val="20"/>
          <w:szCs w:val="20"/>
        </w:rPr>
        <w:t xml:space="preserve">). </w:t>
      </w:r>
      <w:r w:rsidRPr="00F855B0">
        <w:rPr>
          <w:rFonts w:ascii="Times New Roman" w:hAnsi="Times New Roman"/>
          <w:i/>
          <w:iCs/>
          <w:sz w:val="20"/>
          <w:szCs w:val="20"/>
        </w:rPr>
        <w:t xml:space="preserve">International Journal of Agricultural Research and Review, </w:t>
      </w:r>
      <w:r w:rsidRPr="00F855B0">
        <w:rPr>
          <w:rFonts w:ascii="Times New Roman" w:hAnsi="Times New Roman"/>
          <w:sz w:val="20"/>
          <w:szCs w:val="20"/>
        </w:rPr>
        <w:t>2(1): 247-254.</w:t>
      </w:r>
    </w:p>
    <w:p w14:paraId="3F5AFFF8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 xml:space="preserve">Manivasagaperuma, R., Vijayarengan, P., Balamurugan, S. and Thiyagarajan G. (2012).  Effect of zinc on growth, dry matter yield and nutrient content of </w:t>
      </w:r>
      <w:r w:rsidRPr="00F855B0">
        <w:rPr>
          <w:rFonts w:ascii="Times New Roman" w:hAnsi="Times New Roman"/>
          <w:i/>
          <w:sz w:val="20"/>
          <w:szCs w:val="20"/>
        </w:rPr>
        <w:t>Vigna Radiata (L.) Wilczek</w:t>
      </w:r>
      <w:r w:rsidRPr="00F855B0">
        <w:rPr>
          <w:rFonts w:ascii="Times New Roman" w:hAnsi="Times New Roman"/>
          <w:sz w:val="20"/>
          <w:szCs w:val="20"/>
        </w:rPr>
        <w:t xml:space="preserve">.  </w:t>
      </w:r>
      <w:r w:rsidRPr="00F855B0">
        <w:rPr>
          <w:rFonts w:ascii="Times New Roman" w:hAnsi="Times New Roman"/>
          <w:i/>
          <w:sz w:val="20"/>
          <w:szCs w:val="20"/>
        </w:rPr>
        <w:t xml:space="preserve">International Journal of Recent Scientific Research, </w:t>
      </w:r>
      <w:r w:rsidRPr="00F855B0">
        <w:rPr>
          <w:rFonts w:ascii="Times New Roman" w:hAnsi="Times New Roman"/>
          <w:sz w:val="20"/>
          <w:szCs w:val="20"/>
        </w:rPr>
        <w:t>3(3):687-692.</w:t>
      </w:r>
    </w:p>
    <w:p w14:paraId="211AA0CA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Anamika, S., Eaparn, S. and Fulekar, M. (2009). Phytoremediation of Cd, Pb and Zn by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Brassica juncea L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Czern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. Cross Journal of Applied Biosciences,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13(1): 726-736.</w:t>
      </w:r>
    </w:p>
    <w:p w14:paraId="15973B1B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color w:val="000000" w:themeColor="text1"/>
          <w:sz w:val="20"/>
          <w:szCs w:val="20"/>
          <w:lang w:val="en-GB"/>
        </w:rPr>
        <w:t xml:space="preserve">Wang, C., Zhang, S. H., Wang, P. F., Hou, J., Zhang, W. J., Li, W. and Lin, Z. P. (2009). The effect of excess Zn on mineral nutrition and ant oxidative response in rapeseed seedlings. </w:t>
      </w:r>
      <w:r w:rsidRPr="00F855B0">
        <w:rPr>
          <w:rFonts w:ascii="Times New Roman" w:eastAsia="Calibri" w:hAnsi="Times New Roman"/>
          <w:i/>
          <w:color w:val="000000" w:themeColor="text1"/>
          <w:sz w:val="20"/>
          <w:szCs w:val="20"/>
          <w:lang w:val="en-GB"/>
        </w:rPr>
        <w:t>Chemosphere</w:t>
      </w:r>
      <w:r w:rsidRPr="00F855B0">
        <w:rPr>
          <w:rFonts w:ascii="Times New Roman" w:eastAsia="Calibri" w:hAnsi="Times New Roman"/>
          <w:color w:val="000000" w:themeColor="text1"/>
          <w:sz w:val="20"/>
          <w:szCs w:val="20"/>
          <w:lang w:val="en-GB"/>
        </w:rPr>
        <w:t>, 75:1468-1476.</w:t>
      </w:r>
    </w:p>
    <w:p w14:paraId="65C3267D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Davis, J. G. and Parker, M. B. (1993). Zinc toxicity symptom development and partitioning of biomass and Zn in peanut plants.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Journal of plant Nutrition,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16(2): 2353-2369.</w:t>
      </w:r>
    </w:p>
    <w:p w14:paraId="0AA885A5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Wong, M. H., Li, W. C. and Zhang, Y. C. (2009). Effect of bacteria on enhanced metal uptake of the Cd/Zn hyperaccumulating plant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Sedum alferedii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Journal of Experimental Botany,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58(1): 4173-4182.</w:t>
      </w:r>
    </w:p>
    <w:p w14:paraId="7E1BC48F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Carl, E. S., Heather, D. T., Timothy, W. C. and Williams, M. R. (2013). Zn availability in hydroponics culture influences Glucosinolate concentration in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Brassica rapa.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Horticultural Science,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39: 84-86.</w:t>
      </w:r>
    </w:p>
    <w:p w14:paraId="0A5095F1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Turgut, C., Pepe, M. K. and Culright, T. J. (2008). Effects of EDTA and citric acid on phytoremediation of Cd, Cr, and Ni from soil using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Helianthus annus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Environmental Pollution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131:147-154.</w:t>
      </w:r>
    </w:p>
    <w:p w14:paraId="5094F8EB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Tandy, S., Schulin, R. and Norwaek (2008). Uptake of metals and Chelant-assisted phytoextraction with EDDS related to the solubilized metal concentration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. Environmental Science and Technology,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40(1): 2753-2758.</w:t>
      </w:r>
    </w:p>
    <w:p w14:paraId="7E1E3C50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Justin, V., Majid, N., Islam, M. M. and Abdu A, (2011). Assessment of heavy metal uptake and translocation in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Acacia mangium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for phytoremediation of cadmium contaminated soil.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Journal of Food Agriculture and Environ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ment, 9(2): 588-592.</w:t>
      </w:r>
    </w:p>
    <w:p w14:paraId="68FCCD4F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Han, F., Shan, X. Q., Zhang, S. Z., Wen, B. and Owens, B. (2011). Enhanced cadmium accumulation in maize roots: the impact of organic acids.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Plant and Soil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289: 355-368.</w:t>
      </w:r>
    </w:p>
    <w:p w14:paraId="455D4077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Ma, L.Q., Komar, K. M., Zhang, T. U. C., Caiv, W. and Kenmelley E. D. (2012). A fern that hyperacumulates arsenic.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Nature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11(1): 409-579.</w:t>
      </w:r>
    </w:p>
    <w:p w14:paraId="257EFD3C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Sharma, S. S., Schat, H. and Vooijs, R. (1998).  In vitro alleviation of heavy metal-induced enzyme inhibition by proline.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Phytochemistry,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49:1531-1535.</w:t>
      </w:r>
    </w:p>
    <w:p w14:paraId="13C59EC5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Siripornadulsil, S., Traina, S., Verma, D. P. S. and Sayre, R. T. (2014). Molecular mechanisms of proline–mediated tolerance to heavy metals in transgenic microalgae,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Plant Cell,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14:2837-2947.</w:t>
      </w:r>
    </w:p>
    <w:p w14:paraId="1F68B958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Kishor, P. B. K, Sangam, S., Amrutha, R. N., Laxmip, S. N., Naidu, K. R., Rao, K. R. S. S., Rao, S., Reddy, K. S., Theriappan, P. and Screenivasule, N. (1995). Regulation of proline synthesis, degradation, uptake and transport in higher plants; its implication in plant growth and abiotic stress tolerance.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Current Science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88: 424-438.</w:t>
      </w:r>
    </w:p>
    <w:p w14:paraId="0F9B2D47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Bohnet, H. J. and Jersen, R. J. (1993). Strategies for engineering water–stress tolerance in plants.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 xml:space="preserve">Trends in Biotechnology, 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14(1): 89-97.</w:t>
      </w:r>
    </w:p>
    <w:p w14:paraId="4F24BB22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>Kandziora-Ciupa, M., Nadgórska-Soch, A., Barczyk, G. and Ciepa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, R. (2017).  </w:t>
      </w:r>
      <w:r w:rsidRPr="00F855B0">
        <w:rPr>
          <w:rFonts w:ascii="Times New Roman" w:hAnsi="Times New Roman"/>
          <w:sz w:val="20"/>
          <w:szCs w:val="20"/>
        </w:rPr>
        <w:t xml:space="preserve">Bioaccumulation of heavy metals and ecophysiological responses to heavy metal stress in selected populations of </w:t>
      </w:r>
      <w:r w:rsidRPr="00F855B0">
        <w:rPr>
          <w:rFonts w:ascii="Times New Roman" w:hAnsi="Times New Roman"/>
          <w:i/>
          <w:sz w:val="20"/>
          <w:szCs w:val="20"/>
        </w:rPr>
        <w:t>Vaccinium myrtillus L</w:t>
      </w:r>
      <w:r w:rsidRPr="00F855B0">
        <w:rPr>
          <w:rFonts w:ascii="Times New Roman" w:hAnsi="Times New Roman"/>
          <w:sz w:val="20"/>
          <w:szCs w:val="20"/>
        </w:rPr>
        <w:t xml:space="preserve">. and </w:t>
      </w:r>
      <w:r w:rsidRPr="00F855B0">
        <w:rPr>
          <w:rFonts w:ascii="Times New Roman" w:hAnsi="Times New Roman"/>
          <w:i/>
          <w:sz w:val="20"/>
          <w:szCs w:val="20"/>
        </w:rPr>
        <w:t>Vaccinium vitis-idaea L</w:t>
      </w:r>
      <w:r w:rsidRPr="00F855B0">
        <w:rPr>
          <w:rFonts w:ascii="Times New Roman" w:hAnsi="Times New Roman"/>
          <w:sz w:val="20"/>
          <w:szCs w:val="20"/>
        </w:rPr>
        <w:t xml:space="preserve">. </w:t>
      </w:r>
      <w:r w:rsidRPr="00F855B0">
        <w:rPr>
          <w:rFonts w:ascii="Times New Roman" w:hAnsi="Times New Roman"/>
          <w:i/>
          <w:sz w:val="20"/>
          <w:szCs w:val="20"/>
        </w:rPr>
        <w:t xml:space="preserve">Ecotoxicology, </w:t>
      </w:r>
      <w:r w:rsidRPr="00F855B0">
        <w:rPr>
          <w:rFonts w:ascii="Times New Roman" w:hAnsi="Times New Roman"/>
          <w:sz w:val="20"/>
          <w:szCs w:val="20"/>
        </w:rPr>
        <w:t>26(1): 966-980.</w:t>
      </w:r>
    </w:p>
    <w:p w14:paraId="4F2BE5FC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 xml:space="preserve">Olkhovych, O., Volkogon. M., Taran. N., Batsmanova, L. and Kravchenko, I. (2016). The effect of copper and zinc nanoparticles on the growth parameters, contents of ascorbic acid, and qualitative composition of amino acids and acylcarnitines in </w:t>
      </w:r>
      <w:r w:rsidRPr="00F855B0">
        <w:rPr>
          <w:rFonts w:ascii="Times New Roman" w:hAnsi="Times New Roman"/>
          <w:i/>
          <w:sz w:val="20"/>
          <w:szCs w:val="20"/>
        </w:rPr>
        <w:t>Pistia stratiotes L. (Araceae)</w:t>
      </w:r>
      <w:r w:rsidRPr="00F855B0">
        <w:rPr>
          <w:rFonts w:ascii="Times New Roman" w:hAnsi="Times New Roman"/>
          <w:sz w:val="20"/>
          <w:szCs w:val="20"/>
        </w:rPr>
        <w:t xml:space="preserve">. </w:t>
      </w:r>
      <w:r w:rsidRPr="00F855B0">
        <w:rPr>
          <w:rFonts w:ascii="Times New Roman" w:hAnsi="Times New Roman"/>
          <w:i/>
          <w:sz w:val="20"/>
          <w:szCs w:val="20"/>
        </w:rPr>
        <w:t>Nanoscale Research Letters</w:t>
      </w:r>
      <w:r w:rsidRPr="00F855B0">
        <w:rPr>
          <w:rFonts w:ascii="Times New Roman" w:hAnsi="Times New Roman"/>
          <w:sz w:val="20"/>
          <w:szCs w:val="20"/>
        </w:rPr>
        <w:t xml:space="preserve">, 11:218-228. </w:t>
      </w:r>
    </w:p>
    <w:p w14:paraId="6222DE32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Style w:val="A3"/>
          <w:rFonts w:ascii="Times New Roman" w:hAnsi="Times New Roman"/>
          <w:sz w:val="20"/>
          <w:szCs w:val="20"/>
        </w:rPr>
        <w:t xml:space="preserve">Dolatabadian, A. and Jouneghani, S. (2009). </w:t>
      </w:r>
      <w:r w:rsidRPr="00F855B0">
        <w:rPr>
          <w:rFonts w:ascii="Times New Roman" w:hAnsi="Times New Roman"/>
          <w:bCs/>
          <w:sz w:val="20"/>
          <w:szCs w:val="20"/>
        </w:rPr>
        <w:t>Impact of exogenous ascorbic acid on antioxidant activity and some physiological traits of common bean subjected to salinity stress.</w:t>
      </w:r>
      <w:r w:rsidRPr="00F855B0">
        <w:rPr>
          <w:rFonts w:ascii="Times New Roman" w:hAnsi="Times New Roman"/>
          <w:sz w:val="20"/>
          <w:szCs w:val="20"/>
        </w:rPr>
        <w:t xml:space="preserve"> </w:t>
      </w:r>
      <w:r w:rsidRPr="00F855B0">
        <w:rPr>
          <w:rFonts w:ascii="Times New Roman" w:hAnsi="Times New Roman"/>
          <w:i/>
          <w:color w:val="000000"/>
          <w:sz w:val="20"/>
          <w:szCs w:val="20"/>
        </w:rPr>
        <w:t xml:space="preserve">Notulae Botanicae </w:t>
      </w:r>
      <w:r w:rsidRPr="00F855B0">
        <w:rPr>
          <w:rFonts w:ascii="Times New Roman" w:hAnsi="Times New Roman"/>
          <w:i/>
          <w:sz w:val="20"/>
          <w:szCs w:val="20"/>
        </w:rPr>
        <w:t xml:space="preserve">Horti Agrobotanici Cluj-Napoca, </w:t>
      </w:r>
      <w:r w:rsidRPr="00F855B0">
        <w:rPr>
          <w:rFonts w:ascii="Times New Roman" w:hAnsi="Times New Roman"/>
          <w:sz w:val="20"/>
          <w:szCs w:val="20"/>
        </w:rPr>
        <w:t>37(2):</w:t>
      </w:r>
      <w:r w:rsidRPr="00F855B0">
        <w:rPr>
          <w:rFonts w:ascii="Times New Roman" w:hAnsi="Times New Roman"/>
          <w:color w:val="000000"/>
          <w:sz w:val="20"/>
          <w:szCs w:val="20"/>
        </w:rPr>
        <w:t xml:space="preserve"> 165-172.</w:t>
      </w:r>
    </w:p>
    <w:p w14:paraId="6EB30259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sz w:val="20"/>
          <w:szCs w:val="20"/>
        </w:rPr>
        <w:t xml:space="preserve">Chen, Y. X., Lin, Q., Luo, Y. M., He, Y. J., Zhen, S., Yu, Y. L., Tian, W. and Ming G. M. (2003). The role of citric acid on the phytoremediation of heavy metal contaminated soil. </w:t>
      </w:r>
      <w:r w:rsidRPr="00F855B0">
        <w:rPr>
          <w:rFonts w:ascii="Times New Roman" w:hAnsi="Times New Roman"/>
          <w:i/>
          <w:sz w:val="20"/>
          <w:szCs w:val="20"/>
        </w:rPr>
        <w:t>Chemosphere</w:t>
      </w:r>
      <w:r w:rsidRPr="00F855B0">
        <w:rPr>
          <w:rFonts w:ascii="Times New Roman" w:hAnsi="Times New Roman"/>
          <w:sz w:val="20"/>
          <w:szCs w:val="20"/>
        </w:rPr>
        <w:t xml:space="preserve">, 50(1): 807-811. </w:t>
      </w:r>
    </w:p>
    <w:p w14:paraId="646DF688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Küpper, H. F. and Spiller, M. (1996). Environmental relevance of heavy metal substituted chlorophyll using the example of water plant.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Journal of Experimental Bio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logy, 47:259-266. </w:t>
      </w:r>
    </w:p>
    <w:p w14:paraId="6997B651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Balashouri, P. (2009). Effects of zinc on germination, growth, pigment content and phytomass of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Vignia Radiata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and sorghum.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Journal of Ecobiology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, 7:109-114.</w:t>
      </w:r>
    </w:p>
    <w:p w14:paraId="7C3A2560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>Fikriye, K. Z. and Omer, M. (2008). Effects of some heavy metals on concentration of chlorophyll, proline and antioxidant chemicals in beans (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Phaseoley Vulgarus. L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) seedlings.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Biological Craco-Viensia.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 47:157-164.</w:t>
      </w:r>
    </w:p>
    <w:p w14:paraId="5DB8DFEA" w14:textId="77777777" w:rsidR="00A06ECC" w:rsidRPr="00F855B0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eastAsia="Calibri" w:hAnsi="Times New Roman"/>
          <w:sz w:val="20"/>
          <w:szCs w:val="20"/>
          <w:lang w:val="en-GB"/>
        </w:rPr>
        <w:t xml:space="preserve">Doncheva, S. and Stoyanova, Z. (2010). The effect of Zinc supply and succinate treatment on plant growth and mineral uptake in pea plant. </w:t>
      </w:r>
      <w:r w:rsidRPr="00F855B0">
        <w:rPr>
          <w:rFonts w:ascii="Times New Roman" w:eastAsia="Calibri" w:hAnsi="Times New Roman"/>
          <w:i/>
          <w:sz w:val="20"/>
          <w:szCs w:val="20"/>
          <w:lang w:val="en-GB"/>
        </w:rPr>
        <w:t>Brazilian Journal of Plant Physio</w:t>
      </w:r>
      <w:r w:rsidRPr="00F855B0">
        <w:rPr>
          <w:rFonts w:ascii="Times New Roman" w:eastAsia="Calibri" w:hAnsi="Times New Roman"/>
          <w:sz w:val="20"/>
          <w:szCs w:val="20"/>
          <w:lang w:val="en-GB"/>
        </w:rPr>
        <w:t>logy, 14(1):1871-1880.</w:t>
      </w:r>
    </w:p>
    <w:p w14:paraId="17BEA38D" w14:textId="77777777" w:rsidR="00A06ECC" w:rsidRPr="00A06ECC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F855B0">
        <w:rPr>
          <w:rFonts w:ascii="Times New Roman" w:hAnsi="Times New Roman"/>
          <w:bCs/>
          <w:sz w:val="20"/>
          <w:szCs w:val="20"/>
        </w:rPr>
        <w:t>Alia, N., Sarda, K., Said, M., Salma, K., Sadia, A., Sadaf, S., Toqeer, A. and Miklas, S. (2015). Toxicity and bioaccumulation of heavy metals in spinach (</w:t>
      </w:r>
      <w:r w:rsidRPr="00F855B0">
        <w:rPr>
          <w:rFonts w:ascii="Times New Roman" w:hAnsi="Times New Roman"/>
          <w:bCs/>
          <w:i/>
          <w:iCs/>
          <w:sz w:val="20"/>
          <w:szCs w:val="20"/>
        </w:rPr>
        <w:t>Spinacia oleracea</w:t>
      </w:r>
      <w:r w:rsidRPr="00F855B0">
        <w:rPr>
          <w:rFonts w:ascii="Times New Roman" w:hAnsi="Times New Roman"/>
          <w:bCs/>
          <w:sz w:val="20"/>
          <w:szCs w:val="20"/>
        </w:rPr>
        <w:t>) grown in a controlled environment.</w:t>
      </w:r>
      <w:r w:rsidRPr="00F855B0">
        <w:rPr>
          <w:rFonts w:ascii="Times New Roman" w:hAnsi="Times New Roman"/>
          <w:i/>
          <w:iCs/>
          <w:sz w:val="20"/>
          <w:szCs w:val="20"/>
        </w:rPr>
        <w:t xml:space="preserve"> International Journal of Environmental Resources and Public Health, </w:t>
      </w:r>
      <w:r w:rsidRPr="00F855B0">
        <w:rPr>
          <w:rFonts w:ascii="Times New Roman" w:hAnsi="Times New Roman"/>
          <w:iCs/>
          <w:sz w:val="20"/>
          <w:szCs w:val="20"/>
        </w:rPr>
        <w:t>12(2)</w:t>
      </w:r>
      <w:r w:rsidRPr="00F855B0">
        <w:rPr>
          <w:rFonts w:ascii="Times New Roman" w:hAnsi="Times New Roman"/>
          <w:sz w:val="20"/>
          <w:szCs w:val="20"/>
        </w:rPr>
        <w:t>:74-84.</w:t>
      </w:r>
    </w:p>
    <w:p w14:paraId="65D6A6CC" w14:textId="4F0BEE37" w:rsidR="00E87090" w:rsidRPr="00A06ECC" w:rsidRDefault="00A06ECC" w:rsidP="00A06ECC">
      <w:pPr>
        <w:pStyle w:val="ListParagraph"/>
        <w:numPr>
          <w:ilvl w:val="0"/>
          <w:numId w:val="1"/>
        </w:numPr>
        <w:spacing w:after="0"/>
        <w:ind w:left="360"/>
        <w:contextualSpacing w:val="0"/>
        <w:jc w:val="both"/>
        <w:rPr>
          <w:rFonts w:ascii="Times New Roman" w:eastAsia="Calibri" w:hAnsi="Times New Roman"/>
          <w:sz w:val="20"/>
          <w:szCs w:val="20"/>
          <w:lang w:val="en-GB"/>
        </w:rPr>
      </w:pPr>
      <w:r w:rsidRPr="00A06ECC">
        <w:rPr>
          <w:rFonts w:ascii="Times New Roman" w:hAnsi="Times New Roman"/>
          <w:sz w:val="20"/>
          <w:szCs w:val="20"/>
        </w:rPr>
        <w:t>Lin, R. Z., Wang, X. R., Luo, Y., Du, W. C., Guo, H. Y., Yin, D. Q. (2007). Effects of soil cadmium on growth, oxidative stress and antioxidant system in wheat seedlings (</w:t>
      </w:r>
      <w:r w:rsidRPr="00A06ECC">
        <w:rPr>
          <w:rFonts w:ascii="Times New Roman" w:hAnsi="Times New Roman"/>
          <w:i/>
          <w:iCs/>
          <w:sz w:val="20"/>
          <w:szCs w:val="20"/>
        </w:rPr>
        <w:t xml:space="preserve">Triticum aestivum </w:t>
      </w:r>
      <w:r w:rsidRPr="00A06ECC">
        <w:rPr>
          <w:rFonts w:ascii="Times New Roman" w:hAnsi="Times New Roman"/>
          <w:sz w:val="20"/>
          <w:szCs w:val="20"/>
        </w:rPr>
        <w:t xml:space="preserve">L.). </w:t>
      </w:r>
      <w:r w:rsidRPr="00A06ECC">
        <w:rPr>
          <w:rFonts w:ascii="Times New Roman" w:hAnsi="Times New Roman"/>
          <w:i/>
          <w:iCs/>
          <w:sz w:val="20"/>
          <w:szCs w:val="20"/>
        </w:rPr>
        <w:t xml:space="preserve">Chemosphere, </w:t>
      </w:r>
      <w:r w:rsidRPr="00A06ECC">
        <w:rPr>
          <w:rFonts w:ascii="Times New Roman" w:hAnsi="Times New Roman"/>
          <w:iCs/>
          <w:sz w:val="20"/>
          <w:szCs w:val="20"/>
        </w:rPr>
        <w:t>69(2)</w:t>
      </w:r>
      <w:r w:rsidRPr="00A06ECC">
        <w:rPr>
          <w:rFonts w:ascii="Times New Roman" w:hAnsi="Times New Roman"/>
          <w:sz w:val="20"/>
          <w:szCs w:val="20"/>
        </w:rPr>
        <w:t>: 89-98.</w:t>
      </w:r>
    </w:p>
    <w:sectPr w:rsidR="00E87090" w:rsidRPr="00A06E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 Premier Pro">
    <w:altName w:val="Garamond Premier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0151F2"/>
    <w:multiLevelType w:val="hybridMultilevel"/>
    <w:tmpl w:val="CD4695C4"/>
    <w:lvl w:ilvl="0" w:tplc="0409000F">
      <w:start w:val="1"/>
      <w:numFmt w:val="decimal"/>
      <w:lvlText w:val="%1."/>
      <w:lvlJc w:val="left"/>
      <w:pPr>
        <w:ind w:left="422" w:hanging="360"/>
      </w:pPr>
    </w:lvl>
    <w:lvl w:ilvl="1" w:tplc="04090019" w:tentative="1">
      <w:start w:val="1"/>
      <w:numFmt w:val="lowerLetter"/>
      <w:lvlText w:val="%2."/>
      <w:lvlJc w:val="left"/>
      <w:pPr>
        <w:ind w:left="1142" w:hanging="360"/>
      </w:pPr>
    </w:lvl>
    <w:lvl w:ilvl="2" w:tplc="0409001B" w:tentative="1">
      <w:start w:val="1"/>
      <w:numFmt w:val="lowerRoman"/>
      <w:lvlText w:val="%3."/>
      <w:lvlJc w:val="right"/>
      <w:pPr>
        <w:ind w:left="1862" w:hanging="180"/>
      </w:pPr>
    </w:lvl>
    <w:lvl w:ilvl="3" w:tplc="0409000F" w:tentative="1">
      <w:start w:val="1"/>
      <w:numFmt w:val="decimal"/>
      <w:lvlText w:val="%4."/>
      <w:lvlJc w:val="left"/>
      <w:pPr>
        <w:ind w:left="2582" w:hanging="360"/>
      </w:pPr>
    </w:lvl>
    <w:lvl w:ilvl="4" w:tplc="04090019" w:tentative="1">
      <w:start w:val="1"/>
      <w:numFmt w:val="lowerLetter"/>
      <w:lvlText w:val="%5."/>
      <w:lvlJc w:val="left"/>
      <w:pPr>
        <w:ind w:left="3302" w:hanging="360"/>
      </w:pPr>
    </w:lvl>
    <w:lvl w:ilvl="5" w:tplc="0409001B" w:tentative="1">
      <w:start w:val="1"/>
      <w:numFmt w:val="lowerRoman"/>
      <w:lvlText w:val="%6."/>
      <w:lvlJc w:val="right"/>
      <w:pPr>
        <w:ind w:left="4022" w:hanging="180"/>
      </w:pPr>
    </w:lvl>
    <w:lvl w:ilvl="6" w:tplc="0409000F" w:tentative="1">
      <w:start w:val="1"/>
      <w:numFmt w:val="decimal"/>
      <w:lvlText w:val="%7."/>
      <w:lvlJc w:val="left"/>
      <w:pPr>
        <w:ind w:left="4742" w:hanging="360"/>
      </w:pPr>
    </w:lvl>
    <w:lvl w:ilvl="7" w:tplc="04090019" w:tentative="1">
      <w:start w:val="1"/>
      <w:numFmt w:val="lowerLetter"/>
      <w:lvlText w:val="%8."/>
      <w:lvlJc w:val="left"/>
      <w:pPr>
        <w:ind w:left="5462" w:hanging="360"/>
      </w:pPr>
    </w:lvl>
    <w:lvl w:ilvl="8" w:tplc="0409001B" w:tentative="1">
      <w:start w:val="1"/>
      <w:numFmt w:val="lowerRoman"/>
      <w:lvlText w:val="%9."/>
      <w:lvlJc w:val="right"/>
      <w:pPr>
        <w:ind w:left="618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CC"/>
    <w:rsid w:val="00A06ECC"/>
    <w:rsid w:val="00E8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D435F"/>
  <w15:chartTrackingRefBased/>
  <w15:docId w15:val="{BF7E659A-0F7A-4B69-9F4D-0AA643C3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6ECC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6ECC"/>
    <w:pPr>
      <w:ind w:left="720"/>
      <w:contextualSpacing/>
    </w:pPr>
    <w:rPr>
      <w:rFonts w:ascii="Cambria" w:eastAsia="Times New Roman" w:hAnsi="Cambria" w:cs="Times New Roman"/>
      <w:lang w:bidi="en-US"/>
    </w:rPr>
  </w:style>
  <w:style w:type="character" w:customStyle="1" w:styleId="A3">
    <w:name w:val="A3"/>
    <w:uiPriority w:val="99"/>
    <w:rsid w:val="00A06ECC"/>
    <w:rPr>
      <w:rFonts w:cs="Garamond Premier Pro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1443</Words>
  <Characters>8230</Characters>
  <Application>Microsoft Office Word</Application>
  <DocSecurity>0</DocSecurity>
  <Lines>68</Lines>
  <Paragraphs>19</Paragraphs>
  <ScaleCrop>false</ScaleCrop>
  <Company/>
  <LinksUpToDate>false</LinksUpToDate>
  <CharactersWithSpaces>9654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Hamzah</dc:creator>
  <cp:keywords/>
  <dc:description/>
  <cp:lastModifiedBy>Harun Hamzah</cp:lastModifiedBy>
  <cp:revision>1</cp:revision>
  <dcterms:created xsi:type="dcterms:W3CDTF">2020-08-10T14:21:00Z</dcterms:created>
  <dcterms:modified xsi:type="dcterms:W3CDTF">2020-08-10T14:23:00Z</dcterms:modified>
</cp:coreProperties>
</file>