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F662D" w14:textId="77777777" w:rsidR="00A23F0F" w:rsidRPr="006E79D9" w:rsidRDefault="00A23F0F" w:rsidP="006E79D9">
      <w:pPr>
        <w:spacing w:after="0"/>
        <w:rPr>
          <w:rFonts w:ascii="Times New Roman" w:hAnsi="Times New Roman" w:cs="Times New Roman"/>
          <w:b/>
          <w:sz w:val="24"/>
          <w:szCs w:val="24"/>
        </w:rPr>
      </w:pPr>
    </w:p>
    <w:p w14:paraId="437FAA62" w14:textId="549CF45D" w:rsidR="003A1F80" w:rsidRPr="002C756A" w:rsidRDefault="001573E3" w:rsidP="002C756A">
      <w:pPr>
        <w:spacing w:after="0"/>
        <w:rPr>
          <w:rFonts w:ascii="Times New Roman" w:hAnsi="Times New Roman" w:cs="Times New Roman"/>
          <w:b/>
          <w:i/>
          <w:sz w:val="24"/>
          <w:szCs w:val="24"/>
        </w:rPr>
      </w:pPr>
      <w:r w:rsidRPr="002C756A">
        <w:rPr>
          <w:rFonts w:ascii="Times New Roman" w:hAnsi="Times New Roman" w:cs="Times New Roman"/>
          <w:b/>
          <w:i/>
          <w:sz w:val="24"/>
          <w:szCs w:val="24"/>
        </w:rPr>
        <w:t>Malaysian Journal of</w:t>
      </w:r>
      <w:r w:rsidR="009A5A4D" w:rsidRPr="002C756A">
        <w:rPr>
          <w:rFonts w:ascii="Times New Roman" w:hAnsi="Times New Roman" w:cs="Times New Roman"/>
          <w:b/>
          <w:i/>
          <w:sz w:val="24"/>
          <w:szCs w:val="24"/>
        </w:rPr>
        <w:t xml:space="preserve"> Analytical Sciences</w:t>
      </w:r>
      <w:r w:rsidR="003A1F80" w:rsidRPr="002C756A">
        <w:rPr>
          <w:rFonts w:ascii="Times New Roman" w:hAnsi="Times New Roman" w:cs="Times New Roman"/>
          <w:b/>
          <w:sz w:val="24"/>
          <w:szCs w:val="24"/>
        </w:rPr>
        <w:t xml:space="preserve"> </w:t>
      </w:r>
      <w:r w:rsidR="00C1566D" w:rsidRPr="002C756A">
        <w:rPr>
          <w:rFonts w:ascii="Times New Roman" w:hAnsi="Times New Roman" w:cs="Times New Roman"/>
          <w:b/>
          <w:i/>
          <w:sz w:val="24"/>
          <w:szCs w:val="24"/>
        </w:rPr>
        <w:t>Vol 24 No 4</w:t>
      </w:r>
      <w:r w:rsidR="00C72F3E" w:rsidRPr="002C756A">
        <w:rPr>
          <w:rFonts w:ascii="Times New Roman" w:hAnsi="Times New Roman" w:cs="Times New Roman"/>
          <w:b/>
          <w:i/>
          <w:sz w:val="24"/>
          <w:szCs w:val="24"/>
        </w:rPr>
        <w:t xml:space="preserve"> (2020</w:t>
      </w:r>
      <w:r w:rsidRPr="002C756A">
        <w:rPr>
          <w:rFonts w:ascii="Times New Roman" w:hAnsi="Times New Roman" w:cs="Times New Roman"/>
          <w:b/>
          <w:i/>
          <w:sz w:val="24"/>
          <w:szCs w:val="24"/>
        </w:rPr>
        <w:t xml:space="preserve">): </w:t>
      </w:r>
      <w:r w:rsidR="008739DB">
        <w:rPr>
          <w:rFonts w:ascii="Times New Roman" w:hAnsi="Times New Roman" w:cs="Times New Roman"/>
          <w:b/>
          <w:i/>
          <w:sz w:val="24"/>
          <w:szCs w:val="24"/>
        </w:rPr>
        <w:t>503</w:t>
      </w:r>
      <w:r w:rsidR="00820627">
        <w:rPr>
          <w:rFonts w:ascii="Times New Roman" w:hAnsi="Times New Roman" w:cs="Times New Roman"/>
          <w:b/>
          <w:i/>
          <w:sz w:val="24"/>
          <w:szCs w:val="24"/>
        </w:rPr>
        <w:t xml:space="preserve"> - </w:t>
      </w:r>
      <w:r w:rsidR="008739DB">
        <w:rPr>
          <w:rFonts w:ascii="Times New Roman" w:hAnsi="Times New Roman" w:cs="Times New Roman"/>
          <w:b/>
          <w:i/>
          <w:sz w:val="24"/>
          <w:szCs w:val="24"/>
        </w:rPr>
        <w:t>510</w:t>
      </w:r>
    </w:p>
    <w:p w14:paraId="13B849DF" w14:textId="24386BC4" w:rsidR="00095557" w:rsidRDefault="00095557" w:rsidP="002C756A">
      <w:pPr>
        <w:spacing w:after="0"/>
        <w:rPr>
          <w:rFonts w:ascii="Times New Roman" w:hAnsi="Times New Roman" w:cs="Times New Roman"/>
          <w:sz w:val="24"/>
          <w:szCs w:val="24"/>
        </w:rPr>
      </w:pPr>
    </w:p>
    <w:p w14:paraId="238AF906" w14:textId="77777777" w:rsidR="00ED03B5" w:rsidRPr="002C756A" w:rsidRDefault="00ED03B5" w:rsidP="002C756A">
      <w:pPr>
        <w:spacing w:after="0"/>
        <w:rPr>
          <w:rFonts w:ascii="Times New Roman" w:hAnsi="Times New Roman" w:cs="Times New Roman"/>
          <w:sz w:val="24"/>
          <w:szCs w:val="24"/>
        </w:rPr>
      </w:pPr>
    </w:p>
    <w:p w14:paraId="1FF6A271" w14:textId="77777777" w:rsidR="003A1F80" w:rsidRPr="002C756A" w:rsidRDefault="003A1F80" w:rsidP="002C756A">
      <w:pPr>
        <w:spacing w:after="0"/>
        <w:rPr>
          <w:rFonts w:ascii="Times New Roman" w:hAnsi="Times New Roman" w:cs="Times New Roman"/>
          <w:sz w:val="24"/>
          <w:szCs w:val="24"/>
        </w:rPr>
      </w:pPr>
    </w:p>
    <w:p w14:paraId="53C285E4" w14:textId="77777777" w:rsidR="003A1F80" w:rsidRPr="002C756A" w:rsidRDefault="003A1F80" w:rsidP="002C756A">
      <w:pPr>
        <w:spacing w:after="0"/>
        <w:rPr>
          <w:rFonts w:ascii="Times New Roman" w:hAnsi="Times New Roman" w:cs="Times New Roman"/>
          <w:sz w:val="24"/>
          <w:szCs w:val="24"/>
        </w:rPr>
      </w:pPr>
    </w:p>
    <w:p w14:paraId="3D9B61BC" w14:textId="77777777" w:rsidR="00571251" w:rsidRDefault="00571251" w:rsidP="00571251">
      <w:pPr>
        <w:pStyle w:val="TTPTitle"/>
        <w:spacing w:after="0" w:line="276" w:lineRule="auto"/>
        <w:rPr>
          <w:rFonts w:ascii="Times New Roman" w:hAnsi="Times New Roman" w:cs="Times New Roman"/>
          <w:b w:val="0"/>
          <w:sz w:val="28"/>
          <w:szCs w:val="28"/>
          <w:lang w:val="en-GB"/>
        </w:rPr>
      </w:pPr>
      <w:r w:rsidRPr="005F12F4">
        <w:rPr>
          <w:rFonts w:ascii="Times New Roman" w:hAnsi="Times New Roman" w:cs="Times New Roman"/>
          <w:b w:val="0"/>
          <w:sz w:val="28"/>
          <w:szCs w:val="28"/>
          <w:lang w:val="en-GB"/>
        </w:rPr>
        <w:t xml:space="preserve">ANTIOXIDANT AND XANTHINE OXIDASE INHIBITORY ACTIVITY OF </w:t>
      </w:r>
      <w:r w:rsidRPr="005F12F4">
        <w:rPr>
          <w:rFonts w:ascii="Times New Roman" w:hAnsi="Times New Roman" w:cs="Times New Roman"/>
          <w:b w:val="0"/>
          <w:i/>
          <w:sz w:val="28"/>
          <w:szCs w:val="28"/>
          <w:lang w:val="en-GB"/>
        </w:rPr>
        <w:t xml:space="preserve">Euphorbia hirta </w:t>
      </w:r>
      <w:r w:rsidRPr="005F12F4">
        <w:rPr>
          <w:rFonts w:ascii="Times New Roman" w:hAnsi="Times New Roman" w:cs="Times New Roman"/>
          <w:b w:val="0"/>
          <w:sz w:val="28"/>
          <w:szCs w:val="28"/>
          <w:lang w:val="en-GB"/>
        </w:rPr>
        <w:t>LEAVES CRUDE EXTRACT</w:t>
      </w:r>
    </w:p>
    <w:p w14:paraId="0D013953" w14:textId="77777777" w:rsidR="00571251" w:rsidRPr="005F63AD" w:rsidRDefault="00571251" w:rsidP="00571251">
      <w:pPr>
        <w:pStyle w:val="TTPAuthors"/>
        <w:spacing w:before="0" w:line="276" w:lineRule="auto"/>
        <w:rPr>
          <w:sz w:val="24"/>
          <w:szCs w:val="24"/>
          <w:lang w:val="en-GB"/>
        </w:rPr>
      </w:pPr>
    </w:p>
    <w:p w14:paraId="0300D855" w14:textId="77777777" w:rsidR="00571251" w:rsidRPr="005F12F4" w:rsidRDefault="00571251" w:rsidP="00571251">
      <w:pPr>
        <w:pStyle w:val="TTPAddress"/>
        <w:spacing w:before="0" w:line="276" w:lineRule="auto"/>
        <w:rPr>
          <w:rFonts w:ascii="Times New Roman" w:hAnsi="Times New Roman" w:cs="Times New Roman"/>
          <w:sz w:val="24"/>
          <w:szCs w:val="24"/>
          <w:lang w:val="ms-MY"/>
        </w:rPr>
      </w:pPr>
      <w:r w:rsidRPr="005F12F4">
        <w:rPr>
          <w:rFonts w:ascii="Times New Roman" w:hAnsi="Times New Roman" w:cs="Times New Roman"/>
          <w:sz w:val="24"/>
          <w:szCs w:val="24"/>
          <w:lang w:val="ms-MY"/>
        </w:rPr>
        <w:t xml:space="preserve">(Antioksidan dan Aktiviti Perencatan Xantina Oksidase Bagi Ekstrak Mentah Daun </w:t>
      </w:r>
      <w:r w:rsidRPr="005F12F4">
        <w:rPr>
          <w:rFonts w:ascii="Times New Roman" w:hAnsi="Times New Roman" w:cs="Times New Roman"/>
          <w:i/>
          <w:sz w:val="24"/>
          <w:szCs w:val="24"/>
          <w:lang w:val="ms-MY"/>
        </w:rPr>
        <w:t>Euphorbia hirta</w:t>
      </w:r>
      <w:r w:rsidRPr="005F12F4">
        <w:rPr>
          <w:rFonts w:ascii="Times New Roman" w:hAnsi="Times New Roman" w:cs="Times New Roman"/>
          <w:sz w:val="24"/>
          <w:szCs w:val="24"/>
          <w:lang w:val="ms-MY"/>
        </w:rPr>
        <w:t>)</w:t>
      </w:r>
    </w:p>
    <w:p w14:paraId="5277EAAD" w14:textId="77777777" w:rsidR="00571251" w:rsidRPr="005F63AD" w:rsidRDefault="00571251" w:rsidP="00571251">
      <w:pPr>
        <w:pStyle w:val="TTPAddress"/>
        <w:spacing w:before="0" w:line="276" w:lineRule="auto"/>
        <w:rPr>
          <w:rFonts w:ascii="Times New Roman" w:hAnsi="Times New Roman" w:cs="Times New Roman"/>
          <w:sz w:val="20"/>
          <w:szCs w:val="20"/>
          <w:lang w:val="en-GB"/>
        </w:rPr>
      </w:pPr>
    </w:p>
    <w:p w14:paraId="5D72D8B9" w14:textId="77777777" w:rsidR="00571251" w:rsidRDefault="00571251" w:rsidP="00571251">
      <w:pPr>
        <w:pStyle w:val="TTPAuthors"/>
        <w:spacing w:before="0" w:line="276" w:lineRule="auto"/>
        <w:rPr>
          <w:rFonts w:ascii="Times New Roman" w:hAnsi="Times New Roman" w:cs="Times New Roman"/>
          <w:sz w:val="20"/>
          <w:lang w:val="ms-MY"/>
        </w:rPr>
      </w:pPr>
      <w:r w:rsidRPr="005F12F4">
        <w:rPr>
          <w:rFonts w:ascii="Times New Roman" w:hAnsi="Times New Roman" w:cs="Times New Roman"/>
          <w:sz w:val="20"/>
          <w:lang w:val="ms-MY"/>
        </w:rPr>
        <w:t>Ahmad Anas Nagoor Gunny</w:t>
      </w:r>
      <w:r w:rsidRPr="005F12F4">
        <w:rPr>
          <w:rFonts w:ascii="Times New Roman" w:hAnsi="Times New Roman" w:cs="Times New Roman"/>
          <w:sz w:val="20"/>
          <w:vertAlign w:val="superscript"/>
          <w:lang w:val="ms-MY"/>
        </w:rPr>
        <w:t>1</w:t>
      </w:r>
      <w:r w:rsidRPr="005F63AD">
        <w:rPr>
          <w:rFonts w:ascii="Times New Roman" w:hAnsi="Times New Roman" w:cs="Times New Roman"/>
          <w:sz w:val="20"/>
          <w:lang w:val="ms-MY"/>
        </w:rPr>
        <w:t>*</w:t>
      </w:r>
      <w:r w:rsidRPr="005F12F4">
        <w:rPr>
          <w:rFonts w:ascii="Times New Roman" w:hAnsi="Times New Roman" w:cs="Times New Roman"/>
          <w:sz w:val="20"/>
          <w:lang w:val="ms-MY"/>
        </w:rPr>
        <w:t>, Thum Carmen</w:t>
      </w:r>
      <w:r w:rsidRPr="005F12F4">
        <w:rPr>
          <w:rFonts w:ascii="Times New Roman" w:hAnsi="Times New Roman" w:cs="Times New Roman"/>
          <w:sz w:val="20"/>
          <w:vertAlign w:val="superscript"/>
          <w:lang w:val="ms-MY"/>
        </w:rPr>
        <w:t>1</w:t>
      </w:r>
      <w:r w:rsidRPr="005F12F4">
        <w:rPr>
          <w:rFonts w:ascii="Times New Roman" w:hAnsi="Times New Roman" w:cs="Times New Roman"/>
          <w:sz w:val="20"/>
          <w:lang w:val="ms-MY"/>
        </w:rPr>
        <w:t>, Mohd Hishamuddin Che Mat</w:t>
      </w:r>
      <w:r w:rsidRPr="005F12F4">
        <w:rPr>
          <w:rFonts w:ascii="Times New Roman" w:hAnsi="Times New Roman" w:cs="Times New Roman"/>
          <w:sz w:val="20"/>
          <w:vertAlign w:val="superscript"/>
          <w:lang w:val="ms-MY"/>
        </w:rPr>
        <w:t>2</w:t>
      </w:r>
      <w:r w:rsidRPr="005F12F4">
        <w:rPr>
          <w:rFonts w:ascii="Times New Roman" w:hAnsi="Times New Roman" w:cs="Times New Roman"/>
          <w:sz w:val="20"/>
          <w:lang w:val="ms-MY"/>
        </w:rPr>
        <w:t>, Ahmad Azudin Nordin</w:t>
      </w:r>
      <w:r w:rsidRPr="005F12F4">
        <w:rPr>
          <w:rFonts w:ascii="Times New Roman" w:hAnsi="Times New Roman" w:cs="Times New Roman"/>
          <w:sz w:val="20"/>
          <w:vertAlign w:val="superscript"/>
          <w:lang w:val="ms-MY"/>
        </w:rPr>
        <w:t>2</w:t>
      </w:r>
      <w:r w:rsidRPr="005F12F4">
        <w:rPr>
          <w:rFonts w:ascii="Times New Roman" w:hAnsi="Times New Roman" w:cs="Times New Roman"/>
          <w:sz w:val="20"/>
          <w:lang w:val="ms-MY"/>
        </w:rPr>
        <w:t xml:space="preserve">, </w:t>
      </w:r>
    </w:p>
    <w:p w14:paraId="19F114F0" w14:textId="77777777" w:rsidR="00571251" w:rsidRPr="005F63AD" w:rsidRDefault="00571251" w:rsidP="00571251">
      <w:pPr>
        <w:pStyle w:val="TTPAuthors"/>
        <w:spacing w:before="0" w:line="276" w:lineRule="auto"/>
        <w:rPr>
          <w:rFonts w:ascii="Times New Roman" w:hAnsi="Times New Roman" w:cs="Times New Roman"/>
          <w:sz w:val="20"/>
          <w:lang w:val="ms-MY"/>
        </w:rPr>
      </w:pPr>
      <w:r w:rsidRPr="005F12F4">
        <w:rPr>
          <w:rFonts w:ascii="Times New Roman" w:hAnsi="Times New Roman" w:cs="Times New Roman"/>
          <w:sz w:val="20"/>
          <w:lang w:val="ms-MY"/>
        </w:rPr>
        <w:t>Azalina Mohamed Nasir</w:t>
      </w:r>
      <w:r w:rsidRPr="005F12F4">
        <w:rPr>
          <w:rFonts w:ascii="Times New Roman" w:hAnsi="Times New Roman" w:cs="Times New Roman"/>
          <w:sz w:val="20"/>
          <w:vertAlign w:val="superscript"/>
          <w:lang w:val="ms-MY"/>
        </w:rPr>
        <w:t>1</w:t>
      </w:r>
    </w:p>
    <w:p w14:paraId="50BD0BF6" w14:textId="77777777" w:rsidR="00571251" w:rsidRPr="00571251" w:rsidRDefault="00571251" w:rsidP="00571251">
      <w:pPr>
        <w:pStyle w:val="TTPAddress"/>
        <w:spacing w:before="0" w:line="276" w:lineRule="auto"/>
        <w:rPr>
          <w:rFonts w:ascii="Times New Roman" w:hAnsi="Times New Roman" w:cs="Times New Roman"/>
          <w:sz w:val="20"/>
          <w:szCs w:val="20"/>
          <w:lang w:val="ms-MY"/>
        </w:rPr>
      </w:pPr>
    </w:p>
    <w:p w14:paraId="7F80AEDC" w14:textId="77777777" w:rsidR="00571251" w:rsidRPr="00571251" w:rsidRDefault="00571251" w:rsidP="00571251">
      <w:pPr>
        <w:pStyle w:val="TTPAddress"/>
        <w:spacing w:before="0" w:line="276" w:lineRule="auto"/>
        <w:rPr>
          <w:rFonts w:ascii="Times New Roman" w:hAnsi="Times New Roman" w:cs="Times New Roman"/>
          <w:i/>
          <w:sz w:val="20"/>
          <w:szCs w:val="20"/>
          <w:lang w:val="en-GB"/>
        </w:rPr>
      </w:pPr>
      <w:r w:rsidRPr="00571251">
        <w:rPr>
          <w:rFonts w:ascii="Times New Roman" w:hAnsi="Times New Roman" w:cs="Times New Roman"/>
          <w:i/>
          <w:sz w:val="20"/>
          <w:szCs w:val="20"/>
          <w:vertAlign w:val="superscript"/>
          <w:lang w:val="en-GB"/>
        </w:rPr>
        <w:t>1</w:t>
      </w:r>
      <w:r w:rsidRPr="00571251">
        <w:rPr>
          <w:rFonts w:ascii="Times New Roman" w:hAnsi="Times New Roman" w:cs="Times New Roman"/>
          <w:i/>
          <w:sz w:val="20"/>
          <w:szCs w:val="20"/>
          <w:lang w:val="en-GB"/>
        </w:rPr>
        <w:t xml:space="preserve">Department of Chemical Engineering Technology, </w:t>
      </w:r>
    </w:p>
    <w:p w14:paraId="06C12D9A" w14:textId="77777777" w:rsidR="00571251" w:rsidRPr="00571251" w:rsidRDefault="00571251" w:rsidP="00571251">
      <w:pPr>
        <w:pStyle w:val="TTPAddress"/>
        <w:spacing w:before="0" w:line="276" w:lineRule="auto"/>
        <w:rPr>
          <w:rFonts w:ascii="Times New Roman" w:hAnsi="Times New Roman" w:cs="Times New Roman"/>
          <w:i/>
          <w:sz w:val="20"/>
          <w:szCs w:val="20"/>
          <w:lang w:val="en-GB"/>
        </w:rPr>
      </w:pPr>
      <w:r w:rsidRPr="00571251">
        <w:rPr>
          <w:rFonts w:ascii="Times New Roman" w:hAnsi="Times New Roman" w:cs="Times New Roman"/>
          <w:i/>
          <w:sz w:val="20"/>
          <w:szCs w:val="20"/>
          <w:lang w:val="en-GB"/>
        </w:rPr>
        <w:t xml:space="preserve">Universiti Malaysia Perlis, Uniciti ALAM Campus, 02100 Padang Besar, Perlis, Malaysia </w:t>
      </w:r>
    </w:p>
    <w:p w14:paraId="3BFF3434" w14:textId="77777777" w:rsidR="00571251" w:rsidRPr="00571251" w:rsidRDefault="00571251" w:rsidP="00571251">
      <w:pPr>
        <w:pStyle w:val="TTPAddress"/>
        <w:spacing w:before="0" w:line="276" w:lineRule="auto"/>
        <w:rPr>
          <w:rFonts w:ascii="Times New Roman" w:hAnsi="Times New Roman" w:cs="Times New Roman"/>
          <w:i/>
          <w:sz w:val="20"/>
          <w:szCs w:val="20"/>
          <w:lang w:val="en-GB"/>
        </w:rPr>
      </w:pPr>
      <w:r w:rsidRPr="00571251">
        <w:rPr>
          <w:rFonts w:ascii="Times New Roman" w:hAnsi="Times New Roman" w:cs="Times New Roman"/>
          <w:i/>
          <w:sz w:val="20"/>
          <w:szCs w:val="20"/>
          <w:vertAlign w:val="superscript"/>
          <w:lang w:val="en-GB"/>
        </w:rPr>
        <w:t>2</w:t>
      </w:r>
      <w:r w:rsidRPr="00571251">
        <w:rPr>
          <w:rFonts w:ascii="Times New Roman" w:hAnsi="Times New Roman" w:cs="Times New Roman"/>
          <w:i/>
          <w:sz w:val="20"/>
          <w:szCs w:val="20"/>
          <w:lang w:val="en-GB"/>
        </w:rPr>
        <w:t xml:space="preserve">Institute of Sustainable Agrotechnology, </w:t>
      </w:r>
    </w:p>
    <w:p w14:paraId="48827EC4" w14:textId="77777777" w:rsidR="00571251" w:rsidRPr="00571251" w:rsidRDefault="00571251" w:rsidP="00571251">
      <w:pPr>
        <w:pStyle w:val="TTPAddress"/>
        <w:spacing w:before="0" w:line="276" w:lineRule="auto"/>
        <w:rPr>
          <w:rFonts w:ascii="Times New Roman" w:hAnsi="Times New Roman" w:cs="Times New Roman"/>
          <w:i/>
          <w:sz w:val="20"/>
          <w:szCs w:val="20"/>
          <w:lang w:val="en-GB"/>
        </w:rPr>
      </w:pPr>
      <w:r w:rsidRPr="00571251">
        <w:rPr>
          <w:rFonts w:ascii="Times New Roman" w:hAnsi="Times New Roman" w:cs="Times New Roman"/>
          <w:i/>
          <w:sz w:val="20"/>
          <w:szCs w:val="20"/>
          <w:lang w:val="en-GB"/>
        </w:rPr>
        <w:t>Universiti Malaysia Perlis, Sg. Chuchuh Campus, 02100 Padang Besar, Perlis, Malaysia</w:t>
      </w:r>
    </w:p>
    <w:p w14:paraId="5145F0CE" w14:textId="77777777" w:rsidR="00571251" w:rsidRPr="00571251" w:rsidRDefault="00571251" w:rsidP="00571251">
      <w:pPr>
        <w:pStyle w:val="TTPAddress"/>
        <w:spacing w:before="0" w:line="276" w:lineRule="auto"/>
        <w:rPr>
          <w:rFonts w:ascii="Times New Roman" w:hAnsi="Times New Roman" w:cs="Times New Roman"/>
          <w:i/>
          <w:sz w:val="20"/>
          <w:szCs w:val="20"/>
          <w:lang w:val="en-GB"/>
        </w:rPr>
      </w:pPr>
    </w:p>
    <w:p w14:paraId="0333F33E" w14:textId="77777777" w:rsidR="00571251" w:rsidRPr="00571251" w:rsidRDefault="00571251" w:rsidP="00571251">
      <w:pPr>
        <w:pStyle w:val="TTPAddress"/>
        <w:spacing w:before="0" w:line="276" w:lineRule="auto"/>
        <w:rPr>
          <w:rFonts w:ascii="Times New Roman" w:hAnsi="Times New Roman" w:cs="Times New Roman"/>
          <w:i/>
          <w:sz w:val="20"/>
          <w:szCs w:val="20"/>
          <w:lang w:val="en-GB"/>
        </w:rPr>
      </w:pPr>
      <w:r w:rsidRPr="00571251">
        <w:rPr>
          <w:rFonts w:ascii="Times New Roman" w:hAnsi="Times New Roman" w:cs="Times New Roman"/>
          <w:i/>
          <w:sz w:val="20"/>
          <w:szCs w:val="20"/>
          <w:lang w:val="en-GB"/>
        </w:rPr>
        <w:t>*Corresponding author:  ahmadanas@unimap.edu.my</w:t>
      </w:r>
    </w:p>
    <w:p w14:paraId="7B075448" w14:textId="77777777" w:rsidR="00571251" w:rsidRPr="00571251" w:rsidRDefault="00571251" w:rsidP="00571251">
      <w:pPr>
        <w:spacing w:after="0"/>
        <w:jc w:val="center"/>
        <w:rPr>
          <w:rFonts w:ascii="Times New Roman" w:hAnsi="Times New Roman"/>
          <w:noProof/>
          <w:sz w:val="20"/>
          <w:szCs w:val="20"/>
        </w:rPr>
      </w:pPr>
    </w:p>
    <w:p w14:paraId="6339484A" w14:textId="77777777" w:rsidR="00571251" w:rsidRPr="00571251" w:rsidRDefault="00571251" w:rsidP="00571251">
      <w:pPr>
        <w:spacing w:after="0"/>
        <w:jc w:val="center"/>
        <w:rPr>
          <w:rFonts w:ascii="Times New Roman" w:hAnsi="Times New Roman"/>
          <w:noProof/>
          <w:sz w:val="20"/>
          <w:szCs w:val="20"/>
        </w:rPr>
      </w:pPr>
    </w:p>
    <w:p w14:paraId="279732A6" w14:textId="3DDA36D5" w:rsidR="00571251" w:rsidRPr="00571251" w:rsidRDefault="00571251" w:rsidP="00571251">
      <w:pPr>
        <w:spacing w:after="0"/>
        <w:jc w:val="center"/>
        <w:rPr>
          <w:rFonts w:ascii="Times New Roman" w:hAnsi="Times New Roman"/>
          <w:noProof/>
          <w:sz w:val="20"/>
          <w:szCs w:val="20"/>
        </w:rPr>
      </w:pPr>
      <w:r w:rsidRPr="00571251">
        <w:rPr>
          <w:rFonts w:ascii="Times New Roman" w:hAnsi="Times New Roman"/>
          <w:noProof/>
          <w:sz w:val="20"/>
          <w:szCs w:val="20"/>
        </w:rPr>
        <w:t xml:space="preserve">Received: 20 November 2019; Accepted: 30 May 2020; Published:  </w:t>
      </w:r>
      <w:r w:rsidR="00BC3938">
        <w:rPr>
          <w:rFonts w:ascii="Times New Roman" w:hAnsi="Times New Roman"/>
          <w:noProof/>
          <w:sz w:val="20"/>
          <w:szCs w:val="20"/>
        </w:rPr>
        <w:t xml:space="preserve">11 </w:t>
      </w:r>
      <w:r w:rsidRPr="00571251">
        <w:rPr>
          <w:rFonts w:ascii="Times New Roman" w:hAnsi="Times New Roman"/>
          <w:noProof/>
          <w:sz w:val="20"/>
          <w:szCs w:val="20"/>
        </w:rPr>
        <w:t>August 2020</w:t>
      </w:r>
    </w:p>
    <w:p w14:paraId="6E7ED621" w14:textId="77777777" w:rsidR="00571251" w:rsidRPr="00571251" w:rsidRDefault="00571251" w:rsidP="00571251">
      <w:pPr>
        <w:spacing w:after="0"/>
        <w:jc w:val="center"/>
        <w:rPr>
          <w:rFonts w:ascii="Times New Roman" w:hAnsi="Times New Roman"/>
          <w:noProof/>
          <w:sz w:val="20"/>
          <w:szCs w:val="20"/>
        </w:rPr>
      </w:pPr>
    </w:p>
    <w:p w14:paraId="12E9A94D" w14:textId="77777777" w:rsidR="00571251" w:rsidRPr="00571251" w:rsidRDefault="00571251" w:rsidP="00571251">
      <w:pPr>
        <w:spacing w:after="0"/>
        <w:jc w:val="center"/>
        <w:rPr>
          <w:rFonts w:ascii="Times New Roman" w:hAnsi="Times New Roman"/>
          <w:noProof/>
          <w:sz w:val="20"/>
          <w:szCs w:val="20"/>
        </w:rPr>
      </w:pPr>
    </w:p>
    <w:p w14:paraId="2910A572" w14:textId="77777777" w:rsidR="00571251" w:rsidRPr="00571251" w:rsidRDefault="00571251" w:rsidP="003867CA">
      <w:pPr>
        <w:spacing w:after="0"/>
        <w:jc w:val="center"/>
        <w:rPr>
          <w:rFonts w:ascii="Times New Roman" w:hAnsi="Times New Roman"/>
          <w:b/>
          <w:noProof/>
          <w:sz w:val="20"/>
          <w:szCs w:val="20"/>
        </w:rPr>
      </w:pPr>
      <w:r w:rsidRPr="00571251">
        <w:rPr>
          <w:rFonts w:ascii="Times New Roman" w:hAnsi="Times New Roman"/>
          <w:b/>
          <w:noProof/>
          <w:sz w:val="20"/>
          <w:szCs w:val="20"/>
        </w:rPr>
        <w:t>Abstract</w:t>
      </w:r>
    </w:p>
    <w:p w14:paraId="7EA7E246" w14:textId="77777777" w:rsidR="00571251" w:rsidRPr="00571251" w:rsidRDefault="00571251" w:rsidP="00571251">
      <w:pPr>
        <w:pStyle w:val="TTPAbstract"/>
        <w:spacing w:before="0" w:line="276" w:lineRule="auto"/>
        <w:rPr>
          <w:rFonts w:eastAsiaTheme="minorHAnsi"/>
          <w:sz w:val="20"/>
          <w:szCs w:val="20"/>
          <w:lang w:val="en-GB"/>
        </w:rPr>
      </w:pPr>
      <w:r w:rsidRPr="00571251">
        <w:rPr>
          <w:sz w:val="20"/>
          <w:szCs w:val="20"/>
          <w:lang w:val="en-GB"/>
        </w:rPr>
        <w:t xml:space="preserve">Today, exposure to free radicals and gout cases have been a concern, showing several health effects from synthetic medications and clinical drugs for antioxidant effect and xanthine oxidase inhibition effect, respectively; all of which lead to the discovery of natural inhibitors from medicinal plants. In this study, a green solvent known as the deep eutectic solvent is synthesised to replace conventional solvents for the extraction of free radical inhibitors and xanthine oxidase inhibitors from a medicinal plant that has shown many health benefits and is widely used in traditional medicine, the </w:t>
      </w:r>
      <w:r w:rsidRPr="00571251">
        <w:rPr>
          <w:i/>
          <w:sz w:val="20"/>
          <w:szCs w:val="20"/>
          <w:lang w:val="en-GB"/>
        </w:rPr>
        <w:t xml:space="preserve">Euphorbia hirta. </w:t>
      </w:r>
      <w:r w:rsidRPr="00571251">
        <w:rPr>
          <w:rFonts w:eastAsiaTheme="minorHAnsi"/>
          <w:sz w:val="20"/>
          <w:szCs w:val="20"/>
          <w:lang w:val="en-GB"/>
        </w:rPr>
        <w:t xml:space="preserve">The leaves extract from </w:t>
      </w:r>
      <w:r w:rsidRPr="00571251">
        <w:rPr>
          <w:rFonts w:eastAsiaTheme="minorHAnsi"/>
          <w:i/>
          <w:sz w:val="20"/>
          <w:szCs w:val="20"/>
          <w:lang w:val="en-GB"/>
        </w:rPr>
        <w:t xml:space="preserve">Euphorbia hirta </w:t>
      </w:r>
      <w:r w:rsidRPr="00571251">
        <w:rPr>
          <w:rFonts w:eastAsiaTheme="minorHAnsi"/>
          <w:sz w:val="20"/>
          <w:szCs w:val="20"/>
          <w:lang w:val="en-GB"/>
        </w:rPr>
        <w:t>showed the highest inhibition (87.95 ± 0.0061%) on free radical assays. The IC</w:t>
      </w:r>
      <w:r w:rsidRPr="00571251">
        <w:rPr>
          <w:rFonts w:eastAsiaTheme="minorHAnsi"/>
          <w:sz w:val="20"/>
          <w:szCs w:val="20"/>
          <w:vertAlign w:val="subscript"/>
          <w:lang w:val="en-GB"/>
        </w:rPr>
        <w:t>50</w:t>
      </w:r>
      <w:r w:rsidRPr="00571251">
        <w:rPr>
          <w:rFonts w:eastAsiaTheme="minorHAnsi"/>
          <w:sz w:val="20"/>
          <w:szCs w:val="20"/>
          <w:lang w:val="en-GB"/>
        </w:rPr>
        <w:t xml:space="preserve"> for free radical inhibition of the leaves extract is </w:t>
      </w:r>
      <w:r w:rsidRPr="00571251">
        <w:rPr>
          <w:rFonts w:eastAsiaTheme="minorHAnsi"/>
          <w:color w:val="000000"/>
          <w:sz w:val="20"/>
          <w:szCs w:val="20"/>
          <w:lang w:val="en-GB"/>
        </w:rPr>
        <w:t xml:space="preserve">10.56 </w:t>
      </w:r>
      <w:r w:rsidRPr="00571251">
        <w:rPr>
          <w:rFonts w:eastAsiaTheme="minorHAnsi"/>
          <w:sz w:val="20"/>
          <w:szCs w:val="20"/>
          <w:lang w:val="en-GB"/>
        </w:rPr>
        <w:t>± 0.58 µg/mL. The IC</w:t>
      </w:r>
      <w:r w:rsidRPr="00571251">
        <w:rPr>
          <w:rFonts w:eastAsiaTheme="minorHAnsi"/>
          <w:sz w:val="20"/>
          <w:szCs w:val="20"/>
          <w:vertAlign w:val="subscript"/>
          <w:lang w:val="en-GB"/>
        </w:rPr>
        <w:t>50</w:t>
      </w:r>
      <w:r w:rsidRPr="00571251">
        <w:rPr>
          <w:rFonts w:eastAsiaTheme="minorHAnsi"/>
          <w:sz w:val="20"/>
          <w:szCs w:val="20"/>
          <w:lang w:val="en-GB"/>
        </w:rPr>
        <w:t xml:space="preserve"> value for xanthine oxidase inhibition of allopurinol was the lowest, which was at 6.94 ± 0.32 µg/mL; while the leaves extract of </w:t>
      </w:r>
      <w:r w:rsidRPr="00571251">
        <w:rPr>
          <w:rFonts w:eastAsiaTheme="minorHAnsi"/>
          <w:i/>
          <w:sz w:val="20"/>
          <w:szCs w:val="20"/>
          <w:lang w:val="en-GB"/>
        </w:rPr>
        <w:t>Euphorbia hirta</w:t>
      </w:r>
      <w:r w:rsidRPr="00571251">
        <w:rPr>
          <w:rFonts w:eastAsiaTheme="minorHAnsi"/>
          <w:sz w:val="20"/>
          <w:szCs w:val="20"/>
          <w:lang w:val="en-GB"/>
        </w:rPr>
        <w:t xml:space="preserve"> exhibited value at 9.40 ± 0.13 µg/mL. The correlation value between the antioxidant effect and the xanthine oxidase inhibition of the leaves extract was 0.960, which indicated that there is a strong relationship between the two said parameters. From the Lineweaver-Burk plot and solver function analysis, the mode of enzyme inhibition was a non-competitive inhibition.</w:t>
      </w:r>
    </w:p>
    <w:p w14:paraId="09A08BCC" w14:textId="77777777" w:rsidR="00571251" w:rsidRPr="00571251" w:rsidRDefault="00571251" w:rsidP="00571251">
      <w:pPr>
        <w:pStyle w:val="TTPAbstract"/>
        <w:spacing w:before="0" w:line="276" w:lineRule="auto"/>
        <w:rPr>
          <w:rFonts w:eastAsiaTheme="minorHAnsi"/>
          <w:sz w:val="20"/>
          <w:szCs w:val="20"/>
          <w:lang w:val="en-GB"/>
        </w:rPr>
      </w:pPr>
    </w:p>
    <w:p w14:paraId="6F1FC807" w14:textId="77777777" w:rsidR="00571251" w:rsidRPr="00571251" w:rsidRDefault="00571251" w:rsidP="00571251">
      <w:pPr>
        <w:pStyle w:val="TTPAbstract"/>
        <w:spacing w:before="0" w:line="276" w:lineRule="auto"/>
        <w:rPr>
          <w:sz w:val="20"/>
          <w:szCs w:val="20"/>
          <w:lang w:val="en-GB"/>
        </w:rPr>
      </w:pPr>
      <w:r w:rsidRPr="00571251">
        <w:rPr>
          <w:b/>
          <w:bCs/>
          <w:sz w:val="20"/>
          <w:szCs w:val="20"/>
          <w:lang w:val="en-GB"/>
        </w:rPr>
        <w:t>Keywords:</w:t>
      </w:r>
      <w:r w:rsidRPr="00571251">
        <w:rPr>
          <w:sz w:val="20"/>
          <w:szCs w:val="20"/>
          <w:lang w:val="en-GB"/>
        </w:rPr>
        <w:t xml:space="preserve">  antioxidant, deep eutectic solvent, </w:t>
      </w:r>
      <w:r w:rsidRPr="00571251">
        <w:rPr>
          <w:i/>
          <w:sz w:val="20"/>
          <w:szCs w:val="20"/>
          <w:lang w:val="en-GB"/>
        </w:rPr>
        <w:t>Euphorbia hirta</w:t>
      </w:r>
      <w:r w:rsidRPr="00571251">
        <w:rPr>
          <w:iCs/>
          <w:sz w:val="20"/>
          <w:szCs w:val="20"/>
          <w:lang w:val="en-GB"/>
        </w:rPr>
        <w:t>,</w:t>
      </w:r>
      <w:r w:rsidRPr="00571251">
        <w:rPr>
          <w:i/>
          <w:sz w:val="20"/>
          <w:szCs w:val="20"/>
          <w:lang w:val="en-GB"/>
        </w:rPr>
        <w:t xml:space="preserve"> </w:t>
      </w:r>
      <w:r w:rsidRPr="00571251">
        <w:rPr>
          <w:sz w:val="20"/>
          <w:szCs w:val="20"/>
          <w:lang w:val="en-GB"/>
        </w:rPr>
        <w:t>gout treatment, xanthine inhibitor</w:t>
      </w:r>
    </w:p>
    <w:p w14:paraId="3149BA37" w14:textId="77777777" w:rsidR="00571251" w:rsidRPr="00571251" w:rsidRDefault="00571251" w:rsidP="00571251">
      <w:pPr>
        <w:pStyle w:val="TTPAbstract"/>
        <w:spacing w:before="0" w:line="276" w:lineRule="auto"/>
        <w:jc w:val="center"/>
        <w:rPr>
          <w:b/>
          <w:sz w:val="20"/>
          <w:szCs w:val="20"/>
          <w:lang w:val="ms-MY"/>
        </w:rPr>
      </w:pPr>
    </w:p>
    <w:p w14:paraId="7479AB9D" w14:textId="77777777" w:rsidR="00571251" w:rsidRPr="00571251" w:rsidRDefault="00571251" w:rsidP="00571251">
      <w:pPr>
        <w:pStyle w:val="TTPAbstract"/>
        <w:spacing w:before="0" w:line="276" w:lineRule="auto"/>
        <w:jc w:val="center"/>
        <w:rPr>
          <w:b/>
          <w:sz w:val="20"/>
          <w:szCs w:val="20"/>
          <w:lang w:val="ms-MY"/>
        </w:rPr>
      </w:pPr>
      <w:r w:rsidRPr="00571251">
        <w:rPr>
          <w:b/>
          <w:sz w:val="20"/>
          <w:szCs w:val="20"/>
          <w:lang w:val="ms-MY"/>
        </w:rPr>
        <w:t>Abstrak</w:t>
      </w:r>
    </w:p>
    <w:p w14:paraId="7AB9ABDB" w14:textId="77777777" w:rsidR="00571251" w:rsidRPr="00571251" w:rsidRDefault="00571251" w:rsidP="00571251">
      <w:pPr>
        <w:pStyle w:val="TTPAbstract"/>
        <w:spacing w:before="0" w:line="276" w:lineRule="auto"/>
        <w:rPr>
          <w:sz w:val="20"/>
          <w:szCs w:val="20"/>
          <w:lang w:val="ms-MY"/>
        </w:rPr>
      </w:pPr>
      <w:r w:rsidRPr="00571251">
        <w:rPr>
          <w:sz w:val="20"/>
          <w:szCs w:val="20"/>
          <w:lang w:val="ms-MY"/>
        </w:rPr>
        <w:lastRenderedPageBreak/>
        <w:t xml:space="preserve">Pendedahan kepada radikal bebas dan kes-kes gaut telah menjadi kebimbangan pada hari ini di mana ubat sintetik untuk kesan antioksidan dan kesan perencatan xantina oksidase dari ubat klinikal telah menunjukkan beberapa kesan dalam kesihatan yang membawa kepada penemuan perencatan semulajadi dari tumbuhan perubatan. Dalam kajian ini, pelarut hijau yang dikenali sebagai pelarut eutektik dalam telah disintesis untuk menggantikan pelarut konvensional untuk pengekstrakan perencatan radikal bebas dan perencatan xantina oksidase dari tumbuhan perubatan yang telah menunjukkan banyak manfaat kesihatan dan digunakan secara meluas dalam ubat tradisional, </w:t>
      </w:r>
      <w:r w:rsidRPr="00571251">
        <w:rPr>
          <w:i/>
          <w:sz w:val="20"/>
          <w:szCs w:val="20"/>
          <w:lang w:val="ms-MY"/>
        </w:rPr>
        <w:t>Euphorbia hirta</w:t>
      </w:r>
      <w:r w:rsidRPr="00571251">
        <w:rPr>
          <w:sz w:val="20"/>
          <w:szCs w:val="20"/>
          <w:lang w:val="ms-MY"/>
        </w:rPr>
        <w:t xml:space="preserve">. Ekstrak daun dari </w:t>
      </w:r>
      <w:r w:rsidRPr="00571251">
        <w:rPr>
          <w:i/>
          <w:sz w:val="20"/>
          <w:szCs w:val="20"/>
          <w:lang w:val="ms-MY"/>
        </w:rPr>
        <w:t>Euphorbia hirta</w:t>
      </w:r>
      <w:r w:rsidRPr="00571251">
        <w:rPr>
          <w:sz w:val="20"/>
          <w:szCs w:val="20"/>
          <w:lang w:val="ms-MY"/>
        </w:rPr>
        <w:t xml:space="preserve"> menunjukkan perencatan tertinggi (87.95 ± 0.0061%) pada asai radikal bebas. Nilai IC</w:t>
      </w:r>
      <w:r w:rsidRPr="00571251">
        <w:rPr>
          <w:sz w:val="20"/>
          <w:szCs w:val="20"/>
          <w:vertAlign w:val="subscript"/>
          <w:lang w:val="ms-MY"/>
        </w:rPr>
        <w:t>50</w:t>
      </w:r>
      <w:r w:rsidRPr="00571251">
        <w:rPr>
          <w:sz w:val="20"/>
          <w:szCs w:val="20"/>
          <w:lang w:val="ms-MY"/>
        </w:rPr>
        <w:t xml:space="preserve"> untuk perencatan radikal bebas daripada ekstrak daun ialah 10.56 ± 0.58 μg/mL. Nilai IC</w:t>
      </w:r>
      <w:r w:rsidRPr="00571251">
        <w:rPr>
          <w:sz w:val="20"/>
          <w:szCs w:val="20"/>
          <w:vertAlign w:val="subscript"/>
          <w:lang w:val="ms-MY"/>
        </w:rPr>
        <w:t>50</w:t>
      </w:r>
      <w:r w:rsidRPr="00571251">
        <w:rPr>
          <w:sz w:val="20"/>
          <w:szCs w:val="20"/>
          <w:lang w:val="ms-MY"/>
        </w:rPr>
        <w:t xml:space="preserve"> untuk perencatan xantina oksidase terhadap alopurinol adalah paling rendah pada 6.94 ± 0.32 μg/mL manakala ekstrak daun </w:t>
      </w:r>
      <w:r w:rsidRPr="00571251">
        <w:rPr>
          <w:i/>
          <w:sz w:val="20"/>
          <w:szCs w:val="20"/>
          <w:lang w:val="ms-MY"/>
        </w:rPr>
        <w:t>Euphorbia hirta</w:t>
      </w:r>
      <w:r w:rsidRPr="00571251">
        <w:rPr>
          <w:sz w:val="20"/>
          <w:szCs w:val="20"/>
          <w:lang w:val="ms-MY"/>
        </w:rPr>
        <w:t xml:space="preserve"> menunjukkan nilai dekat pada 9.40 ± 0.13 μg/mL. Nilai korelasi antara kesan antioksidan dan perencatan xantina oksidase bagi ekstrak daun terbukti pada nilai 0.960 yang menunjukkan hubungan yang kuat. Dari plot Line-weaver Burk dan analisis fungsi penyelesai, mod perencatan enzim adalah perencatan yang tidak kompetitif.</w:t>
      </w:r>
    </w:p>
    <w:p w14:paraId="4002DA48" w14:textId="77777777" w:rsidR="00571251" w:rsidRPr="00571251" w:rsidRDefault="00571251" w:rsidP="00571251">
      <w:pPr>
        <w:pStyle w:val="TTPAbstract"/>
        <w:spacing w:before="0" w:line="276" w:lineRule="auto"/>
        <w:rPr>
          <w:bCs/>
          <w:sz w:val="20"/>
          <w:szCs w:val="20"/>
          <w:lang w:val="ms-MY"/>
        </w:rPr>
      </w:pPr>
    </w:p>
    <w:p w14:paraId="1392B235" w14:textId="13BF348C" w:rsidR="00C1566D" w:rsidRDefault="00571251" w:rsidP="00571251">
      <w:pPr>
        <w:pStyle w:val="TTPAbstract"/>
        <w:spacing w:before="0" w:line="276" w:lineRule="auto"/>
        <w:rPr>
          <w:sz w:val="20"/>
          <w:szCs w:val="20"/>
          <w:lang w:val="ms-MY"/>
        </w:rPr>
      </w:pPr>
      <w:r w:rsidRPr="00571251">
        <w:rPr>
          <w:b/>
          <w:sz w:val="20"/>
          <w:szCs w:val="20"/>
          <w:lang w:val="ms-MY"/>
        </w:rPr>
        <w:t>Kata kunci</w:t>
      </w:r>
      <w:r w:rsidRPr="00571251">
        <w:rPr>
          <w:sz w:val="20"/>
          <w:szCs w:val="20"/>
          <w:lang w:val="ms-MY"/>
        </w:rPr>
        <w:t xml:space="preserve">:  antioksidan, larutan eutektik dalam, </w:t>
      </w:r>
      <w:r w:rsidRPr="00571251">
        <w:rPr>
          <w:i/>
          <w:sz w:val="20"/>
          <w:szCs w:val="20"/>
          <w:lang w:val="ms-MY"/>
        </w:rPr>
        <w:t>Euphorbia hirta</w:t>
      </w:r>
      <w:r w:rsidRPr="00571251">
        <w:rPr>
          <w:sz w:val="20"/>
          <w:szCs w:val="20"/>
          <w:lang w:val="ms-MY"/>
        </w:rPr>
        <w:t>, rawatan gaut, perencat xantina</w:t>
      </w:r>
    </w:p>
    <w:p w14:paraId="294F8EF7" w14:textId="78325FCC" w:rsidR="003867CA" w:rsidRDefault="003867CA" w:rsidP="003867CA">
      <w:pPr>
        <w:spacing w:after="0"/>
        <w:rPr>
          <w:rFonts w:ascii="Times New Roman" w:hAnsi="Times New Roman" w:cs="Times New Roman"/>
          <w:sz w:val="20"/>
          <w:szCs w:val="20"/>
          <w:lang w:val="ms-MY"/>
        </w:rPr>
      </w:pPr>
    </w:p>
    <w:p w14:paraId="3F9219BC" w14:textId="3CEAD51E" w:rsidR="003867CA" w:rsidRPr="003867CA" w:rsidRDefault="003867CA" w:rsidP="003867CA">
      <w:pPr>
        <w:spacing w:after="0"/>
        <w:jc w:val="center"/>
        <w:rPr>
          <w:rFonts w:ascii="Times New Roman" w:hAnsi="Times New Roman" w:cs="Times New Roman"/>
          <w:b/>
          <w:bCs/>
          <w:sz w:val="20"/>
          <w:szCs w:val="20"/>
          <w:lang w:val="ms-MY"/>
        </w:rPr>
      </w:pPr>
      <w:r w:rsidRPr="003867CA">
        <w:rPr>
          <w:rFonts w:ascii="Times New Roman" w:hAnsi="Times New Roman" w:cs="Times New Roman"/>
          <w:b/>
          <w:bCs/>
          <w:sz w:val="20"/>
          <w:szCs w:val="20"/>
          <w:lang w:val="ms-MY"/>
        </w:rPr>
        <w:t>References</w:t>
      </w:r>
    </w:p>
    <w:p w14:paraId="0FDF8BF1" w14:textId="75D89EC8"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Thiagarajan, K. (2017). Gear up to deal with gout. Access from </w:t>
      </w:r>
      <w:r w:rsidRPr="003867CA">
        <w:rPr>
          <w:rFonts w:eastAsia="Calibri"/>
          <w:noProof/>
          <w:sz w:val="20"/>
          <w:szCs w:val="20"/>
          <w:lang w:val="en-GB"/>
        </w:rPr>
        <w:t>http://www.livemint.com/Leisure/</w:t>
      </w:r>
      <w:r>
        <w:rPr>
          <w:rFonts w:eastAsia="Calibri"/>
          <w:noProof/>
          <w:sz w:val="20"/>
          <w:szCs w:val="20"/>
          <w:lang w:val="en-GB"/>
        </w:rPr>
        <w:t xml:space="preserve"> </w:t>
      </w:r>
      <w:r w:rsidRPr="00BA6817">
        <w:rPr>
          <w:rFonts w:eastAsia="Calibri"/>
          <w:noProof/>
          <w:sz w:val="20"/>
          <w:szCs w:val="20"/>
          <w:lang w:val="en-GB"/>
        </w:rPr>
        <w:t>AORFz4K5pS2sapQ8F5WJrM/Gear-up-to-deal-with-gout.html. [Access online 04 March 2018].</w:t>
      </w:r>
    </w:p>
    <w:p w14:paraId="0E084A7C"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Lobo, V., Patil, A., Phatak, A. and Chandra, N. (2010). Free radicals, antioxidants and functional foods: Impact on human health. </w:t>
      </w:r>
      <w:r w:rsidRPr="00BA6817">
        <w:rPr>
          <w:rFonts w:eastAsia="Calibri"/>
          <w:i/>
          <w:noProof/>
          <w:sz w:val="20"/>
          <w:szCs w:val="20"/>
          <w:lang w:val="en-GB"/>
        </w:rPr>
        <w:t>Pharmacognosy Reviews</w:t>
      </w:r>
      <w:r w:rsidRPr="00BA6817">
        <w:rPr>
          <w:rFonts w:eastAsia="Calibri"/>
          <w:noProof/>
          <w:sz w:val="20"/>
          <w:szCs w:val="20"/>
          <w:lang w:val="en-GB"/>
        </w:rPr>
        <w:t>, 4(8): 418.</w:t>
      </w:r>
    </w:p>
    <w:p w14:paraId="6F1E37C8"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Szalay, J. (2016). What are free radicals?. Access from https://www.livescience.com/54901-free-radicals.html. [Access online 04 March 2018].</w:t>
      </w:r>
    </w:p>
    <w:p w14:paraId="754EF175"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Ying, P. W., Ruey, C. N., Shu, P. C. and Rhun, Y. K. (2014). Antioxidant and xanthine oxidase inhibitory activities of </w:t>
      </w:r>
      <w:r w:rsidRPr="00BA6817">
        <w:rPr>
          <w:rFonts w:eastAsia="Calibri"/>
          <w:i/>
          <w:noProof/>
          <w:sz w:val="20"/>
          <w:szCs w:val="20"/>
          <w:lang w:val="en-GB"/>
        </w:rPr>
        <w:t>Swietenia macrophylla</w:t>
      </w:r>
      <w:r w:rsidRPr="00BA6817">
        <w:rPr>
          <w:rFonts w:eastAsia="Calibri"/>
          <w:noProof/>
          <w:sz w:val="20"/>
          <w:szCs w:val="20"/>
          <w:lang w:val="en-GB"/>
        </w:rPr>
        <w:t xml:space="preserve"> and </w:t>
      </w:r>
      <w:r w:rsidRPr="00BA6817">
        <w:rPr>
          <w:rFonts w:eastAsia="Calibri"/>
          <w:i/>
          <w:noProof/>
          <w:sz w:val="20"/>
          <w:szCs w:val="20"/>
          <w:lang w:val="en-GB"/>
        </w:rPr>
        <w:t>Punica granatum</w:t>
      </w:r>
      <w:r w:rsidRPr="00BA6817">
        <w:rPr>
          <w:rFonts w:eastAsia="Calibri"/>
          <w:noProof/>
          <w:sz w:val="20"/>
          <w:szCs w:val="20"/>
          <w:lang w:val="en-GB"/>
        </w:rPr>
        <w:t xml:space="preserve">.  </w:t>
      </w:r>
      <w:r w:rsidRPr="00BA6817">
        <w:rPr>
          <w:rFonts w:eastAsia="Calibri"/>
          <w:i/>
          <w:noProof/>
          <w:sz w:val="20"/>
          <w:szCs w:val="20"/>
          <w:lang w:val="en-GB"/>
        </w:rPr>
        <w:t>International Conference Biology Environment Food Engineering,</w:t>
      </w:r>
      <w:r w:rsidRPr="00BA6817">
        <w:rPr>
          <w:rFonts w:eastAsia="Calibri"/>
          <w:noProof/>
          <w:sz w:val="20"/>
          <w:szCs w:val="20"/>
          <w:lang w:val="en-GB"/>
        </w:rPr>
        <w:t xml:space="preserve"> August 4-5.</w:t>
      </w:r>
    </w:p>
    <w:p w14:paraId="709214CE"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Mehta, S. K. and Akmal, N. N. (2014). Natural xanthine oxidase inhibitors for management of gout: A Review. </w:t>
      </w:r>
      <w:r w:rsidRPr="00BA6817">
        <w:rPr>
          <w:rFonts w:eastAsia="Calibri"/>
          <w:i/>
          <w:noProof/>
          <w:sz w:val="20"/>
          <w:szCs w:val="20"/>
          <w:lang w:val="en-GB"/>
        </w:rPr>
        <w:t>Journal of Medical and Health Sciences</w:t>
      </w:r>
      <w:r w:rsidRPr="00BA6817">
        <w:rPr>
          <w:rFonts w:eastAsia="Calibri"/>
          <w:noProof/>
          <w:sz w:val="20"/>
          <w:szCs w:val="20"/>
          <w:lang w:val="en-GB"/>
        </w:rPr>
        <w:t>, 3(3): 4-11.</w:t>
      </w:r>
    </w:p>
    <w:p w14:paraId="2F35140E"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Shahidi, F. and Zhong, Y. (2005). Antioxidants: Regulatory Status. </w:t>
      </w:r>
      <w:r w:rsidRPr="00BA6817">
        <w:rPr>
          <w:rFonts w:eastAsia="Calibri"/>
          <w:i/>
          <w:noProof/>
          <w:sz w:val="20"/>
          <w:szCs w:val="20"/>
          <w:lang w:val="en-GB"/>
        </w:rPr>
        <w:t>Bailey’s Industrial Oil and Fat Products</w:t>
      </w:r>
      <w:r w:rsidRPr="00BA6817">
        <w:rPr>
          <w:rFonts w:eastAsia="Calibri"/>
          <w:i/>
          <w:iCs/>
          <w:noProof/>
          <w:sz w:val="20"/>
          <w:szCs w:val="20"/>
          <w:lang w:val="en-GB"/>
        </w:rPr>
        <w:t xml:space="preserve">: </w:t>
      </w:r>
      <w:r w:rsidRPr="00BA6817">
        <w:rPr>
          <w:rFonts w:eastAsia="Calibri"/>
          <w:noProof/>
          <w:sz w:val="20"/>
          <w:szCs w:val="20"/>
          <w:lang w:val="en-GB"/>
        </w:rPr>
        <w:t>pp. 1-21.</w:t>
      </w:r>
    </w:p>
    <w:p w14:paraId="224F223F"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Poljsak, B., Šuput, D. and Milisav, I.</w:t>
      </w:r>
      <w:r w:rsidRPr="00BA6817">
        <w:rPr>
          <w:rFonts w:eastAsia="Calibri"/>
          <w:i/>
          <w:noProof/>
          <w:sz w:val="20"/>
          <w:szCs w:val="20"/>
          <w:lang w:val="en-GB"/>
        </w:rPr>
        <w:t xml:space="preserve"> </w:t>
      </w:r>
      <w:r w:rsidRPr="00BA6817">
        <w:rPr>
          <w:rFonts w:eastAsia="Calibri"/>
          <w:noProof/>
          <w:sz w:val="20"/>
          <w:szCs w:val="20"/>
          <w:lang w:val="en-GB"/>
        </w:rPr>
        <w:t xml:space="preserve">(2013). Achieving the balance between ROS and antioxidants: When to Use the Synthetic Antioxidants. </w:t>
      </w:r>
      <w:r w:rsidRPr="00BA6817">
        <w:rPr>
          <w:rFonts w:eastAsia="Calibri"/>
          <w:i/>
          <w:noProof/>
          <w:sz w:val="20"/>
          <w:szCs w:val="20"/>
          <w:lang w:val="en-GB"/>
        </w:rPr>
        <w:t>Oxidative Medicine Cell. Longevity</w:t>
      </w:r>
      <w:r w:rsidRPr="00BA6817">
        <w:rPr>
          <w:rFonts w:eastAsia="Calibri"/>
          <w:noProof/>
          <w:sz w:val="20"/>
          <w:szCs w:val="20"/>
          <w:lang w:val="en-GB"/>
        </w:rPr>
        <w:t>, 2013: 956792.</w:t>
      </w:r>
    </w:p>
    <w:p w14:paraId="50E19776"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Altemimi, A., Lakhssassi, N., Baharlouei, A., Watson, D. and Lightfoot, D. (2017). Phytochemicals: Extraction, isolation, and identification of bioactive compounds from plant extracts. </w:t>
      </w:r>
      <w:r w:rsidRPr="00BA6817">
        <w:rPr>
          <w:rFonts w:eastAsia="Calibri"/>
          <w:i/>
          <w:noProof/>
          <w:sz w:val="20"/>
          <w:szCs w:val="20"/>
          <w:lang w:val="en-GB"/>
        </w:rPr>
        <w:t>Plants</w:t>
      </w:r>
      <w:r w:rsidRPr="00BA6817">
        <w:rPr>
          <w:rFonts w:eastAsia="Calibri"/>
          <w:noProof/>
          <w:sz w:val="20"/>
          <w:szCs w:val="20"/>
          <w:lang w:val="en-GB"/>
        </w:rPr>
        <w:t>, 6(4): 42.</w:t>
      </w:r>
    </w:p>
    <w:p w14:paraId="797C7C21"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Wan, Y. L. and Mun, Y. J. (2018). Assessment of natural deep eutectic solvent pretreatment on sugar production from lignocellulosic biomass. </w:t>
      </w:r>
      <w:r w:rsidRPr="00BA6817">
        <w:rPr>
          <w:rFonts w:eastAsia="Calibri"/>
          <w:i/>
          <w:iCs/>
          <w:noProof/>
          <w:sz w:val="20"/>
          <w:szCs w:val="20"/>
          <w:lang w:val="en-GB"/>
        </w:rPr>
        <w:t>MATEC Web of Conferences</w:t>
      </w:r>
      <w:r w:rsidRPr="00BA6817">
        <w:rPr>
          <w:rFonts w:eastAsia="Calibri"/>
          <w:noProof/>
          <w:sz w:val="20"/>
          <w:szCs w:val="20"/>
          <w:lang w:val="en-GB"/>
        </w:rPr>
        <w:t>, 152: 01014.</w:t>
      </w:r>
    </w:p>
    <w:p w14:paraId="37B2FE44"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Gunny, A. A. N., Arbain, D., Nashef, E. M. and Jamal, P. (2015). Applicability evaluation of deep eutectic solvents-cellulase system for lignocellulose hydrolysis. </w:t>
      </w:r>
      <w:r w:rsidRPr="00BA6817">
        <w:rPr>
          <w:rFonts w:eastAsia="Calibri"/>
          <w:i/>
          <w:noProof/>
          <w:sz w:val="20"/>
          <w:szCs w:val="20"/>
          <w:lang w:val="en-GB"/>
        </w:rPr>
        <w:t>Bioresource Technology</w:t>
      </w:r>
      <w:r w:rsidRPr="00BA6817">
        <w:rPr>
          <w:rFonts w:eastAsia="Calibri"/>
          <w:noProof/>
          <w:sz w:val="20"/>
          <w:szCs w:val="20"/>
          <w:lang w:val="en-GB"/>
        </w:rPr>
        <w:t>, 18: 297-302.</w:t>
      </w:r>
    </w:p>
    <w:p w14:paraId="68D14F57"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Jia, L. W. (2017). Synthesis of deep eutectic solvents for xanthine oxidase inhibitors extracted from medicinal plant, </w:t>
      </w:r>
      <w:r w:rsidRPr="00BA6817">
        <w:rPr>
          <w:rFonts w:eastAsia="Calibri"/>
          <w:i/>
          <w:noProof/>
          <w:sz w:val="20"/>
          <w:szCs w:val="20"/>
          <w:lang w:val="en-GB"/>
        </w:rPr>
        <w:t>Coleus aromaticus</w:t>
      </w:r>
      <w:r w:rsidRPr="00BA6817">
        <w:rPr>
          <w:rFonts w:eastAsia="Calibri"/>
          <w:noProof/>
          <w:sz w:val="20"/>
          <w:szCs w:val="20"/>
          <w:lang w:val="en-GB"/>
        </w:rPr>
        <w:t>. Thesis of Bachelor’s Degree, Universiti Malaysia Perlis.</w:t>
      </w:r>
    </w:p>
    <w:p w14:paraId="40DDB83D"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Huo, L. N., Wang, W., Zhang, C. Y., Shi, H. B., Liu, Y., Liu, X. H. and Gao, H. (2015). Bioassay-guided isolation and identification of xanthine oxidase inhibitory constituents from the leaves of </w:t>
      </w:r>
      <w:r w:rsidRPr="00BA6817">
        <w:rPr>
          <w:rFonts w:eastAsia="Calibri"/>
          <w:i/>
          <w:iCs/>
          <w:noProof/>
          <w:sz w:val="20"/>
          <w:szCs w:val="20"/>
          <w:lang w:val="en-GB"/>
        </w:rPr>
        <w:t>Perilla frutescens</w:t>
      </w:r>
      <w:r w:rsidRPr="00BA6817">
        <w:rPr>
          <w:rFonts w:eastAsia="Calibri"/>
          <w:noProof/>
          <w:sz w:val="20"/>
          <w:szCs w:val="20"/>
          <w:lang w:val="en-GB"/>
        </w:rPr>
        <w:t xml:space="preserve">. </w:t>
      </w:r>
      <w:r w:rsidRPr="00BA6817">
        <w:rPr>
          <w:rFonts w:eastAsia="Calibri"/>
          <w:i/>
          <w:iCs/>
          <w:noProof/>
          <w:sz w:val="20"/>
          <w:szCs w:val="20"/>
          <w:lang w:val="en-GB"/>
        </w:rPr>
        <w:t>Molecules</w:t>
      </w:r>
      <w:r w:rsidRPr="00BA6817">
        <w:rPr>
          <w:rFonts w:eastAsia="Calibri"/>
          <w:noProof/>
          <w:sz w:val="20"/>
          <w:szCs w:val="20"/>
          <w:lang w:val="en-GB"/>
        </w:rPr>
        <w:t>, 20(10):17848-17859.</w:t>
      </w:r>
    </w:p>
    <w:p w14:paraId="14F1CAC3"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Sahu, R. K., Kar, M. and Routray, R. (2013). DPPH free radical scavenging activity of some leafy vegetables used by tribals of Odisha, India.</w:t>
      </w:r>
      <w:r w:rsidRPr="00BA6817">
        <w:rPr>
          <w:rFonts w:eastAsia="Calibri"/>
          <w:i/>
          <w:noProof/>
          <w:sz w:val="20"/>
          <w:szCs w:val="20"/>
          <w:lang w:val="en-GB"/>
        </w:rPr>
        <w:t xml:space="preserve"> Journal of Medicine Plants Studies</w:t>
      </w:r>
      <w:r w:rsidRPr="00BA6817">
        <w:rPr>
          <w:rFonts w:eastAsia="Calibri"/>
          <w:noProof/>
          <w:sz w:val="20"/>
          <w:szCs w:val="20"/>
          <w:lang w:val="en-GB"/>
        </w:rPr>
        <w:t>, 1(4): 21-27.</w:t>
      </w:r>
    </w:p>
    <w:p w14:paraId="1AFC6313"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Wee, X. T. (2017). Synthesis of deep eutectic solvent for natural antioxidants extracted from medicinal plant, </w:t>
      </w:r>
      <w:r w:rsidRPr="00BA6817">
        <w:rPr>
          <w:rFonts w:eastAsia="Calibri"/>
          <w:i/>
          <w:noProof/>
          <w:sz w:val="20"/>
          <w:szCs w:val="20"/>
          <w:lang w:val="en-GB"/>
        </w:rPr>
        <w:t>Coleus aromaticus</w:t>
      </w:r>
      <w:r w:rsidRPr="00BA6817">
        <w:rPr>
          <w:rFonts w:eastAsia="Calibri"/>
          <w:noProof/>
          <w:sz w:val="20"/>
          <w:szCs w:val="20"/>
          <w:lang w:val="en-GB"/>
        </w:rPr>
        <w:t>. Thesis of Bachelor’s Degree, Universiti Malaysia Perlis.</w:t>
      </w:r>
    </w:p>
    <w:p w14:paraId="5F718746"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lastRenderedPageBreak/>
        <w:t>Azmi, S. M. N., Jamal and Amid, P. (2012). Xanthine oxidase inhibitory activity from potential Malaysian medicinal plant as remedies for gout.</w:t>
      </w:r>
      <w:r w:rsidRPr="00BA6817">
        <w:rPr>
          <w:rFonts w:eastAsia="Calibri"/>
          <w:i/>
          <w:noProof/>
          <w:sz w:val="20"/>
          <w:szCs w:val="20"/>
          <w:lang w:val="en-GB"/>
        </w:rPr>
        <w:t xml:space="preserve"> International Food Research Journal</w:t>
      </w:r>
      <w:r w:rsidRPr="00BA6817">
        <w:rPr>
          <w:rFonts w:eastAsia="Calibri"/>
          <w:noProof/>
          <w:sz w:val="20"/>
          <w:szCs w:val="20"/>
          <w:lang w:val="en-GB"/>
        </w:rPr>
        <w:t>, 19(1): 159-165.</w:t>
      </w:r>
    </w:p>
    <w:p w14:paraId="215F6B30"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Nessa, F. and Khan, S. (2014). Evaluation of antioxidant and xanthine oxidase inhibitory activity of different solvent extracts of leaves of </w:t>
      </w:r>
      <w:r w:rsidRPr="00BA6817">
        <w:rPr>
          <w:rFonts w:eastAsia="Calibri"/>
          <w:i/>
          <w:noProof/>
          <w:sz w:val="20"/>
          <w:szCs w:val="20"/>
          <w:lang w:val="en-GB"/>
        </w:rPr>
        <w:t>Citrullus colocynthis</w:t>
      </w:r>
      <w:r w:rsidRPr="00BA6817">
        <w:rPr>
          <w:rFonts w:eastAsia="Calibri"/>
          <w:noProof/>
          <w:sz w:val="20"/>
          <w:szCs w:val="20"/>
          <w:lang w:val="en-GB"/>
        </w:rPr>
        <w:t xml:space="preserve">. </w:t>
      </w:r>
      <w:r w:rsidRPr="00BA6817">
        <w:rPr>
          <w:rFonts w:eastAsia="Calibri"/>
          <w:i/>
          <w:noProof/>
          <w:sz w:val="20"/>
          <w:szCs w:val="20"/>
          <w:lang w:val="en-GB"/>
        </w:rPr>
        <w:t>Pharmacognosy Research</w:t>
      </w:r>
      <w:r w:rsidRPr="00BA6817">
        <w:rPr>
          <w:rFonts w:eastAsia="Calibri"/>
          <w:noProof/>
          <w:sz w:val="20"/>
          <w:szCs w:val="20"/>
          <w:lang w:val="en-GB"/>
        </w:rPr>
        <w:t>, 6(3): 218.</w:t>
      </w:r>
    </w:p>
    <w:p w14:paraId="649FD359" w14:textId="2DF28B16"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Vincent, K (2018) “Probit Analysis. Access from </w:t>
      </w:r>
      <w:r w:rsidRPr="003867CA">
        <w:rPr>
          <w:rFonts w:eastAsia="Calibri"/>
          <w:noProof/>
          <w:sz w:val="20"/>
          <w:szCs w:val="20"/>
          <w:lang w:val="en-GB"/>
        </w:rPr>
        <w:t>http://userwww.sfsu.edu/</w:t>
      </w:r>
      <w:r w:rsidRPr="00BA6817">
        <w:rPr>
          <w:rFonts w:eastAsia="Calibri"/>
          <w:noProof/>
          <w:sz w:val="20"/>
          <w:szCs w:val="20"/>
          <w:lang w:val="en-GB"/>
        </w:rPr>
        <w:t>efc/classes/biol710/ probit/Probit Analysis.pdf. [Access online 15 March 2018].</w:t>
      </w:r>
    </w:p>
    <w:p w14:paraId="627BDF09"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Shih, M., Cherng, J., Fen, M. and Yuh, J. (2012). Potential applications of </w:t>
      </w:r>
      <w:r w:rsidRPr="00BA6817">
        <w:rPr>
          <w:rFonts w:eastAsia="Calibri"/>
          <w:i/>
          <w:noProof/>
          <w:sz w:val="20"/>
          <w:szCs w:val="20"/>
          <w:lang w:val="en-GB"/>
        </w:rPr>
        <w:t>Euphorbia hirta</w:t>
      </w:r>
      <w:r w:rsidRPr="00BA6817">
        <w:rPr>
          <w:rFonts w:eastAsia="Calibri"/>
          <w:noProof/>
          <w:sz w:val="20"/>
          <w:szCs w:val="20"/>
          <w:lang w:val="en-GB"/>
        </w:rPr>
        <w:t xml:space="preserve"> in pharmacology. </w:t>
      </w:r>
      <w:r w:rsidRPr="00BA6817">
        <w:rPr>
          <w:rFonts w:eastAsia="Calibri"/>
          <w:i/>
          <w:noProof/>
          <w:sz w:val="20"/>
          <w:szCs w:val="20"/>
          <w:lang w:val="en-GB"/>
        </w:rPr>
        <w:t xml:space="preserve">Drug Discovery Research Pharmacognosy, 2012: </w:t>
      </w:r>
      <w:r w:rsidRPr="00BA6817">
        <w:rPr>
          <w:rFonts w:eastAsia="Calibri"/>
          <w:iCs/>
          <w:noProof/>
          <w:sz w:val="20"/>
          <w:szCs w:val="20"/>
          <w:lang w:val="en-GB"/>
        </w:rPr>
        <w:t>165-180.</w:t>
      </w:r>
    </w:p>
    <w:p w14:paraId="45285714"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Herrington, J. D. (2015). The differences in the mechanisms of action betweem allopurinol and febuxostat.</w:t>
      </w:r>
      <w:r w:rsidRPr="00BA6817">
        <w:rPr>
          <w:sz w:val="20"/>
          <w:szCs w:val="20"/>
          <w:lang w:val="en-GB"/>
        </w:rPr>
        <w:t xml:space="preserve"> Access from </w:t>
      </w:r>
      <w:r w:rsidRPr="00BA6817">
        <w:rPr>
          <w:rFonts w:eastAsia="Calibri"/>
          <w:noProof/>
          <w:sz w:val="20"/>
          <w:szCs w:val="20"/>
          <w:lang w:val="en-GB"/>
        </w:rPr>
        <w:t>https://www.ebmconsult.com/articles/allopurinol-febuxostat-zyloprim-uloric-uric-acid-gout-mechanism. [Access online 13 March 2018].</w:t>
      </w:r>
    </w:p>
    <w:p w14:paraId="37A168F1"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color w:val="000000"/>
          <w:sz w:val="20"/>
          <w:szCs w:val="20"/>
          <w:lang w:val="en-GB"/>
        </w:rPr>
        <w:t xml:space="preserve">Kumar, S., Malhotra, R. and Kumar, D. (2010). Euphorbia hirta: Its chemistry, traditional and medicinal uses, and pharmacological activities. </w:t>
      </w:r>
      <w:r w:rsidRPr="00BA6817">
        <w:rPr>
          <w:i/>
          <w:iCs/>
          <w:color w:val="000000"/>
          <w:sz w:val="20"/>
          <w:szCs w:val="20"/>
          <w:lang w:val="en-GB"/>
        </w:rPr>
        <w:t>Pharmacognosy Reviews</w:t>
      </w:r>
      <w:r w:rsidRPr="00BA6817">
        <w:rPr>
          <w:color w:val="000000"/>
          <w:sz w:val="20"/>
          <w:szCs w:val="20"/>
          <w:lang w:val="en-GB"/>
        </w:rPr>
        <w:t xml:space="preserve">, 4(7): 58. </w:t>
      </w:r>
    </w:p>
    <w:p w14:paraId="4643B4C0" w14:textId="77777777"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 xml:space="preserve">Hendriani, R., Sukandar, E. Y. and Sukrasno (2014). In vitro evaluation of xanthine oxidase inhibitory activity of sonchus arvensis leaves. </w:t>
      </w:r>
      <w:r w:rsidRPr="00BA6817">
        <w:rPr>
          <w:rFonts w:eastAsia="Calibri"/>
          <w:i/>
          <w:noProof/>
          <w:sz w:val="20"/>
          <w:szCs w:val="20"/>
          <w:lang w:val="en-GB"/>
        </w:rPr>
        <w:t>International Journal Pharmacy and Pharmaceutical Sciences</w:t>
      </w:r>
      <w:r w:rsidRPr="00BA6817">
        <w:rPr>
          <w:rFonts w:eastAsia="Calibri"/>
          <w:noProof/>
          <w:sz w:val="20"/>
          <w:szCs w:val="20"/>
          <w:lang w:val="en-GB"/>
        </w:rPr>
        <w:t>, 6(2): 501-503.</w:t>
      </w:r>
    </w:p>
    <w:p w14:paraId="2E7A035E" w14:textId="6799DE0C" w:rsidR="003867CA" w:rsidRPr="00BA6817" w:rsidRDefault="003867CA" w:rsidP="003867CA">
      <w:pPr>
        <w:pStyle w:val="TTPReference"/>
        <w:numPr>
          <w:ilvl w:val="0"/>
          <w:numId w:val="6"/>
        </w:numPr>
        <w:tabs>
          <w:tab w:val="clear" w:pos="426"/>
          <w:tab w:val="left" w:pos="0"/>
        </w:tabs>
        <w:spacing w:after="0" w:line="276" w:lineRule="auto"/>
        <w:ind w:left="360"/>
        <w:rPr>
          <w:rFonts w:eastAsia="Calibri"/>
          <w:noProof/>
          <w:sz w:val="20"/>
          <w:szCs w:val="20"/>
          <w:lang w:val="en-GB"/>
        </w:rPr>
      </w:pPr>
      <w:r w:rsidRPr="00BA6817">
        <w:rPr>
          <w:rFonts w:eastAsia="Calibri"/>
          <w:noProof/>
          <w:sz w:val="20"/>
          <w:szCs w:val="20"/>
          <w:lang w:val="en-GB"/>
        </w:rPr>
        <w:t>Sharma, R. (2012). Enzyme inhibition: Mechanisms and scope, enzyme inhibition and bioapplications.  Access from https://www.intechopen.com/books/enzyme-inhibition-and-bioapplications/enzyme-inhibition- mechanisms-and-scope. [Access online 04 March 2018].</w:t>
      </w:r>
    </w:p>
    <w:p w14:paraId="39052437" w14:textId="77777777" w:rsidR="003867CA" w:rsidRPr="003867CA" w:rsidRDefault="003867CA" w:rsidP="003867CA">
      <w:pPr>
        <w:spacing w:after="0"/>
        <w:rPr>
          <w:rFonts w:ascii="Times New Roman" w:hAnsi="Times New Roman" w:cs="Times New Roman"/>
          <w:sz w:val="20"/>
          <w:szCs w:val="20"/>
          <w:lang w:val="ms-MY"/>
        </w:rPr>
      </w:pPr>
    </w:p>
    <w:p w14:paraId="3494C2B4" w14:textId="77777777" w:rsidR="003867CA" w:rsidRPr="003867CA" w:rsidRDefault="003867CA" w:rsidP="003867CA">
      <w:pPr>
        <w:rPr>
          <w:lang w:val="ms-MY"/>
        </w:rPr>
      </w:pPr>
    </w:p>
    <w:sectPr w:rsidR="003867CA" w:rsidRPr="003867CA" w:rsidSect="00820627">
      <w:headerReference w:type="even" r:id="rId7"/>
      <w:headerReference w:type="default" r:id="rId8"/>
      <w:footerReference w:type="even" r:id="rId9"/>
      <w:headerReference w:type="first" r:id="rId10"/>
      <w:pgSz w:w="12240" w:h="15840" w:code="1"/>
      <w:pgMar w:top="1800" w:right="1469" w:bottom="1699" w:left="1440" w:header="706" w:footer="706" w:gutter="0"/>
      <w:pgNumType w:start="0"/>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A769" w14:textId="77777777" w:rsidR="009A4A79" w:rsidRDefault="00E67FF6">
      <w:pPr>
        <w:spacing w:after="0" w:line="240" w:lineRule="auto"/>
      </w:pPr>
      <w:r>
        <w:separator/>
      </w:r>
    </w:p>
  </w:endnote>
  <w:endnote w:type="continuationSeparator" w:id="0">
    <w:p w14:paraId="578D199D"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4987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F7309" w14:textId="77777777" w:rsidR="009A4A79" w:rsidRDefault="00E67FF6">
      <w:pPr>
        <w:spacing w:after="0" w:line="240" w:lineRule="auto"/>
      </w:pPr>
      <w:r>
        <w:separator/>
      </w:r>
    </w:p>
  </w:footnote>
  <w:footnote w:type="continuationSeparator" w:id="0">
    <w:p w14:paraId="3E43B4D0"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1B9A0"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94B8F" w14:textId="77777777" w:rsidR="00487F62" w:rsidRDefault="00BC3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AF22" w14:textId="77777777" w:rsidR="00487F62" w:rsidRDefault="00BC3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907BC"/>
    <w:multiLevelType w:val="hybridMultilevel"/>
    <w:tmpl w:val="B4162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C70BB"/>
    <w:rsid w:val="001573E3"/>
    <w:rsid w:val="002B425B"/>
    <w:rsid w:val="002C756A"/>
    <w:rsid w:val="002F626B"/>
    <w:rsid w:val="003867CA"/>
    <w:rsid w:val="003A1F80"/>
    <w:rsid w:val="0044292C"/>
    <w:rsid w:val="00460C95"/>
    <w:rsid w:val="00473CD4"/>
    <w:rsid w:val="00487993"/>
    <w:rsid w:val="005644C8"/>
    <w:rsid w:val="00571251"/>
    <w:rsid w:val="005F401D"/>
    <w:rsid w:val="006E79D9"/>
    <w:rsid w:val="007D0E7F"/>
    <w:rsid w:val="00820627"/>
    <w:rsid w:val="00832F59"/>
    <w:rsid w:val="00834CDE"/>
    <w:rsid w:val="008739DB"/>
    <w:rsid w:val="00900BAC"/>
    <w:rsid w:val="00975E1A"/>
    <w:rsid w:val="009A4A79"/>
    <w:rsid w:val="009A5A4D"/>
    <w:rsid w:val="009E21D1"/>
    <w:rsid w:val="00A23F0F"/>
    <w:rsid w:val="00AA706B"/>
    <w:rsid w:val="00AB5AEF"/>
    <w:rsid w:val="00AC72D0"/>
    <w:rsid w:val="00AD4549"/>
    <w:rsid w:val="00B40E61"/>
    <w:rsid w:val="00B9022C"/>
    <w:rsid w:val="00BC3938"/>
    <w:rsid w:val="00C1439F"/>
    <w:rsid w:val="00C1566D"/>
    <w:rsid w:val="00C71438"/>
    <w:rsid w:val="00C72F3E"/>
    <w:rsid w:val="00C73A4A"/>
    <w:rsid w:val="00D04BC8"/>
    <w:rsid w:val="00D0718B"/>
    <w:rsid w:val="00D40B1F"/>
    <w:rsid w:val="00D414B9"/>
    <w:rsid w:val="00E67FF6"/>
    <w:rsid w:val="00EA6DE5"/>
    <w:rsid w:val="00ED03B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083F83"/>
  <w15:docId w15:val="{A62BAF41-921D-4C96-9E2E-BAC78D4F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selectable">
    <w:name w:val="selectable"/>
    <w:basedOn w:val="DefaultParagraphFont"/>
    <w:rsid w:val="002C756A"/>
  </w:style>
  <w:style w:type="paragraph" w:customStyle="1" w:styleId="TTPTitle">
    <w:name w:val="TTP Title"/>
    <w:basedOn w:val="Normal"/>
    <w:next w:val="TTPAuthors"/>
    <w:uiPriority w:val="99"/>
    <w:rsid w:val="00571251"/>
    <w:pPr>
      <w:autoSpaceDE w:val="0"/>
      <w:autoSpaceDN w:val="0"/>
      <w:spacing w:after="120" w:line="240" w:lineRule="auto"/>
      <w:jc w:val="center"/>
    </w:pPr>
    <w:rPr>
      <w:rFonts w:ascii="Arial" w:eastAsia="SimSun" w:hAnsi="Arial" w:cs="Arial"/>
      <w:b/>
      <w:bCs/>
      <w:sz w:val="30"/>
      <w:szCs w:val="30"/>
    </w:rPr>
  </w:style>
  <w:style w:type="paragraph" w:customStyle="1" w:styleId="TTPAuthors">
    <w:name w:val="TTP Author(s)"/>
    <w:basedOn w:val="Normal"/>
    <w:next w:val="TTPAddress"/>
    <w:uiPriority w:val="99"/>
    <w:rsid w:val="00571251"/>
    <w:pPr>
      <w:autoSpaceDE w:val="0"/>
      <w:autoSpaceDN w:val="0"/>
      <w:spacing w:before="120" w:after="0" w:line="240" w:lineRule="auto"/>
      <w:jc w:val="center"/>
    </w:pPr>
    <w:rPr>
      <w:rFonts w:ascii="Arial" w:eastAsia="SimSun" w:hAnsi="Arial" w:cs="Arial"/>
      <w:sz w:val="28"/>
      <w:szCs w:val="28"/>
    </w:rPr>
  </w:style>
  <w:style w:type="paragraph" w:customStyle="1" w:styleId="TTPAddress">
    <w:name w:val="TTP Address"/>
    <w:basedOn w:val="Normal"/>
    <w:uiPriority w:val="99"/>
    <w:rsid w:val="00571251"/>
    <w:pPr>
      <w:autoSpaceDE w:val="0"/>
      <w:autoSpaceDN w:val="0"/>
      <w:spacing w:before="120" w:after="0" w:line="240" w:lineRule="auto"/>
      <w:jc w:val="center"/>
    </w:pPr>
    <w:rPr>
      <w:rFonts w:ascii="Arial" w:eastAsia="SimSun" w:hAnsi="Arial" w:cs="Arial"/>
    </w:rPr>
  </w:style>
  <w:style w:type="paragraph" w:customStyle="1" w:styleId="TTPAbstract">
    <w:name w:val="TTP Abstract"/>
    <w:basedOn w:val="Normal"/>
    <w:next w:val="Normal"/>
    <w:uiPriority w:val="99"/>
    <w:rsid w:val="00571251"/>
    <w:pPr>
      <w:autoSpaceDE w:val="0"/>
      <w:autoSpaceDN w:val="0"/>
      <w:spacing w:before="360" w:after="0" w:line="240" w:lineRule="auto"/>
      <w:jc w:val="both"/>
    </w:pPr>
    <w:rPr>
      <w:rFonts w:ascii="Times New Roman" w:eastAsia="SimSun" w:hAnsi="Times New Roman" w:cs="Times New Roman"/>
      <w:sz w:val="24"/>
      <w:szCs w:val="24"/>
    </w:rPr>
  </w:style>
  <w:style w:type="paragraph" w:customStyle="1" w:styleId="TTPReference">
    <w:name w:val="TTP Reference"/>
    <w:basedOn w:val="Normal"/>
    <w:uiPriority w:val="99"/>
    <w:rsid w:val="003867CA"/>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character" w:styleId="Hyperlink">
    <w:name w:val="Hyperlink"/>
    <w:uiPriority w:val="99"/>
    <w:rsid w:val="003867CA"/>
    <w:rPr>
      <w:rFonts w:cs="Times New Roman"/>
      <w:color w:val="0000FF"/>
      <w:u w:val="single"/>
    </w:rPr>
  </w:style>
  <w:style w:type="character" w:styleId="UnresolvedMention">
    <w:name w:val="Unresolved Mention"/>
    <w:basedOn w:val="DefaultParagraphFont"/>
    <w:uiPriority w:val="99"/>
    <w:semiHidden/>
    <w:unhideWhenUsed/>
    <w:rsid w:val="00386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Abstract &amp; References Vol 24 No 4 (2020)</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4 (2020)</dc:title>
  <dc:creator>Harun Hamzah</dc:creator>
  <cp:lastModifiedBy>Harun Hamzah</cp:lastModifiedBy>
  <cp:revision>3</cp:revision>
  <cp:lastPrinted>2020-04-01T04:48:00Z</cp:lastPrinted>
  <dcterms:created xsi:type="dcterms:W3CDTF">2020-07-05T04:29:00Z</dcterms:created>
  <dcterms:modified xsi:type="dcterms:W3CDTF">2020-08-09T00:39:00Z</dcterms:modified>
</cp:coreProperties>
</file>