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F662D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37FAA62" w14:textId="08A1D185" w:rsidR="003A1F80" w:rsidRPr="002C756A" w:rsidRDefault="001573E3" w:rsidP="002C756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C756A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2C756A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2C75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66D" w:rsidRPr="002C756A">
        <w:rPr>
          <w:rFonts w:ascii="Times New Roman" w:hAnsi="Times New Roman" w:cs="Times New Roman"/>
          <w:b/>
          <w:i/>
          <w:sz w:val="24"/>
          <w:szCs w:val="24"/>
        </w:rPr>
        <w:t>Vol 24 No 4</w:t>
      </w:r>
      <w:r w:rsidR="00C72F3E" w:rsidRPr="002C756A">
        <w:rPr>
          <w:rFonts w:ascii="Times New Roman" w:hAnsi="Times New Roman" w:cs="Times New Roman"/>
          <w:b/>
          <w:i/>
          <w:sz w:val="24"/>
          <w:szCs w:val="24"/>
        </w:rPr>
        <w:t xml:space="preserve"> (2020</w:t>
      </w:r>
      <w:r w:rsidRPr="002C756A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C1566D" w:rsidRPr="002C756A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547252">
        <w:rPr>
          <w:rFonts w:ascii="Times New Roman" w:hAnsi="Times New Roman" w:cs="Times New Roman"/>
          <w:b/>
          <w:i/>
          <w:sz w:val="24"/>
          <w:szCs w:val="24"/>
        </w:rPr>
        <w:t>95</w:t>
      </w:r>
      <w:r w:rsidR="00820627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547252">
        <w:rPr>
          <w:rFonts w:ascii="Times New Roman" w:hAnsi="Times New Roman" w:cs="Times New Roman"/>
          <w:b/>
          <w:i/>
          <w:sz w:val="24"/>
          <w:szCs w:val="24"/>
        </w:rPr>
        <w:t>502</w:t>
      </w:r>
    </w:p>
    <w:p w14:paraId="13B849DF" w14:textId="24386BC4" w:rsidR="00095557" w:rsidRDefault="00095557" w:rsidP="002C75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8AF906" w14:textId="77777777" w:rsidR="00ED03B5" w:rsidRPr="002C756A" w:rsidRDefault="00ED03B5" w:rsidP="002C75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F6A271" w14:textId="77777777" w:rsidR="003A1F80" w:rsidRPr="002C756A" w:rsidRDefault="003A1F80" w:rsidP="002C75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C285E4" w14:textId="77777777" w:rsidR="003A1F80" w:rsidRPr="002C756A" w:rsidRDefault="003A1F80" w:rsidP="002C75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C41BAE" w14:textId="77777777" w:rsidR="00547252" w:rsidRPr="00FA303C" w:rsidRDefault="00547252" w:rsidP="00547252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FA303C">
        <w:rPr>
          <w:rFonts w:ascii="Times New Roman" w:hAnsi="Times New Roman"/>
          <w:sz w:val="28"/>
          <w:szCs w:val="28"/>
        </w:rPr>
        <w:t xml:space="preserve">ACETYLCHOLINESTERASE INHIBITORY ACTIVITY OF THE METHANOL EXTRACT AND PHYTOCHEMICAL STUDY OF THE LEAVES OF </w:t>
      </w:r>
      <w:r w:rsidRPr="00FA303C">
        <w:rPr>
          <w:rFonts w:ascii="Times New Roman" w:hAnsi="Times New Roman"/>
          <w:i/>
          <w:sz w:val="28"/>
          <w:szCs w:val="28"/>
        </w:rPr>
        <w:t xml:space="preserve">Macaranga gigantea </w:t>
      </w:r>
      <w:r w:rsidRPr="00FA303C">
        <w:rPr>
          <w:rFonts w:ascii="Times New Roman" w:hAnsi="Times New Roman"/>
          <w:sz w:val="28"/>
          <w:szCs w:val="28"/>
        </w:rPr>
        <w:t>(Rchb.f. &amp; Zoll.)</w:t>
      </w:r>
    </w:p>
    <w:p w14:paraId="38668667" w14:textId="77777777" w:rsidR="00547252" w:rsidRPr="00FA303C" w:rsidRDefault="00547252" w:rsidP="00547252">
      <w:pPr>
        <w:spacing w:after="0"/>
        <w:jc w:val="center"/>
        <w:outlineLvl w:val="0"/>
        <w:rPr>
          <w:rFonts w:ascii="Times New Roman" w:hAnsi="Times New Roman"/>
          <w:b/>
          <w:color w:val="548DD4" w:themeColor="text2" w:themeTint="99"/>
          <w:sz w:val="24"/>
        </w:rPr>
      </w:pPr>
    </w:p>
    <w:p w14:paraId="503EECFE" w14:textId="77777777" w:rsidR="00547252" w:rsidRDefault="00547252" w:rsidP="00547252">
      <w:pPr>
        <w:spacing w:after="0"/>
        <w:jc w:val="center"/>
        <w:outlineLvl w:val="0"/>
        <w:rPr>
          <w:rFonts w:ascii="Times New Roman" w:hAnsi="Times New Roman"/>
          <w:sz w:val="24"/>
          <w:lang w:val="ms-MY"/>
        </w:rPr>
      </w:pPr>
      <w:r w:rsidRPr="00FA303C">
        <w:rPr>
          <w:rFonts w:ascii="Times New Roman" w:hAnsi="Times New Roman"/>
          <w:sz w:val="24"/>
        </w:rPr>
        <w:t>(</w:t>
      </w:r>
      <w:r w:rsidRPr="00FA303C">
        <w:rPr>
          <w:rFonts w:ascii="Times New Roman" w:hAnsi="Times New Roman"/>
          <w:sz w:val="24"/>
          <w:lang w:val="ms-MY"/>
        </w:rPr>
        <w:t xml:space="preserve">Aktiviti Perencatan Asetilkolinesterase Terhadap Ekstrak Methanol dan Kajian Fitokimia </w:t>
      </w:r>
    </w:p>
    <w:p w14:paraId="1916B95F" w14:textId="77777777" w:rsidR="00547252" w:rsidRPr="00E30BD2" w:rsidRDefault="00547252" w:rsidP="00547252">
      <w:pPr>
        <w:spacing w:after="0"/>
        <w:jc w:val="center"/>
        <w:outlineLvl w:val="0"/>
        <w:rPr>
          <w:rFonts w:ascii="Times New Roman" w:hAnsi="Times New Roman"/>
          <w:sz w:val="24"/>
          <w:lang w:val="ms-MY"/>
        </w:rPr>
      </w:pPr>
      <w:r w:rsidRPr="00FA303C">
        <w:rPr>
          <w:rFonts w:ascii="Times New Roman" w:hAnsi="Times New Roman"/>
          <w:sz w:val="24"/>
          <w:lang w:val="ms-MY"/>
        </w:rPr>
        <w:t>ke atas</w:t>
      </w:r>
      <w:r w:rsidRPr="00FA303C">
        <w:rPr>
          <w:rFonts w:ascii="Times New Roman" w:hAnsi="Times New Roman"/>
          <w:color w:val="00B0F0"/>
          <w:sz w:val="24"/>
          <w:lang w:val="ms-MY"/>
        </w:rPr>
        <w:t xml:space="preserve"> </w:t>
      </w:r>
      <w:r w:rsidRPr="00FA303C">
        <w:rPr>
          <w:rFonts w:ascii="Times New Roman" w:hAnsi="Times New Roman"/>
          <w:sz w:val="24"/>
          <w:lang w:val="ms-MY"/>
        </w:rPr>
        <w:t xml:space="preserve">Daun </w:t>
      </w:r>
      <w:r w:rsidRPr="00FA303C">
        <w:rPr>
          <w:rFonts w:ascii="Times New Roman" w:hAnsi="Times New Roman"/>
          <w:i/>
          <w:sz w:val="24"/>
          <w:lang w:val="ms-MY"/>
        </w:rPr>
        <w:t>Macaranga gigantea</w:t>
      </w:r>
      <w:r w:rsidRPr="00FA303C">
        <w:rPr>
          <w:rFonts w:ascii="Times New Roman" w:hAnsi="Times New Roman"/>
          <w:sz w:val="24"/>
          <w:lang w:val="ms-MY"/>
        </w:rPr>
        <w:t xml:space="preserve"> (Rchb.F. &amp; Zoll</w:t>
      </w:r>
      <w:r w:rsidRPr="00FA303C">
        <w:rPr>
          <w:rFonts w:ascii="Times New Roman" w:hAnsi="Times New Roman"/>
          <w:sz w:val="24"/>
        </w:rPr>
        <w:t xml:space="preserve">) </w:t>
      </w:r>
    </w:p>
    <w:p w14:paraId="17D236F9" w14:textId="77777777" w:rsidR="00547252" w:rsidRPr="00E30BD2" w:rsidRDefault="00547252" w:rsidP="00547252">
      <w:pPr>
        <w:spacing w:after="0"/>
        <w:jc w:val="center"/>
        <w:outlineLvl w:val="0"/>
        <w:rPr>
          <w:rFonts w:ascii="Times New Roman" w:hAnsi="Times New Roman"/>
          <w:b/>
          <w:color w:val="548DD4" w:themeColor="text2" w:themeTint="99"/>
          <w:sz w:val="20"/>
          <w:szCs w:val="20"/>
        </w:rPr>
      </w:pPr>
    </w:p>
    <w:p w14:paraId="7693B08A" w14:textId="77777777" w:rsidR="00547252" w:rsidRPr="00E30BD2" w:rsidRDefault="00547252" w:rsidP="00547252">
      <w:pPr>
        <w:spacing w:after="0"/>
        <w:jc w:val="center"/>
        <w:outlineLvl w:val="0"/>
        <w:rPr>
          <w:rFonts w:ascii="Times New Roman" w:hAnsi="Times New Roman"/>
          <w:sz w:val="20"/>
          <w:szCs w:val="20"/>
          <w:lang w:val="ms-MY"/>
        </w:rPr>
      </w:pPr>
      <w:r w:rsidRPr="00E30BD2">
        <w:rPr>
          <w:rFonts w:ascii="Times New Roman" w:hAnsi="Times New Roman"/>
          <w:sz w:val="20"/>
          <w:szCs w:val="20"/>
          <w:lang w:val="ms-MY"/>
        </w:rPr>
        <w:t>Muhammad Sulaiman Mohd Johari</w:t>
      </w:r>
      <w:r w:rsidRPr="00E30BD2">
        <w:rPr>
          <w:rFonts w:ascii="Times New Roman" w:hAnsi="Times New Roman"/>
          <w:sz w:val="20"/>
          <w:szCs w:val="20"/>
          <w:vertAlign w:val="superscript"/>
          <w:lang w:val="ms-MY"/>
        </w:rPr>
        <w:t>1, 2</w:t>
      </w:r>
      <w:r w:rsidRPr="00E30BD2">
        <w:rPr>
          <w:rFonts w:ascii="Times New Roman" w:hAnsi="Times New Roman"/>
          <w:sz w:val="20"/>
          <w:szCs w:val="20"/>
          <w:lang w:val="ms-MY"/>
        </w:rPr>
        <w:t>, Norizan Ahmat</w:t>
      </w:r>
      <w:r w:rsidRPr="00E30BD2">
        <w:rPr>
          <w:rFonts w:ascii="Times New Roman" w:hAnsi="Times New Roman"/>
          <w:sz w:val="20"/>
          <w:szCs w:val="20"/>
          <w:vertAlign w:val="superscript"/>
          <w:lang w:val="ms-MY"/>
        </w:rPr>
        <w:t>1, 2</w:t>
      </w:r>
      <w:r w:rsidRPr="00E30BD2">
        <w:rPr>
          <w:rFonts w:ascii="Times New Roman" w:hAnsi="Times New Roman"/>
          <w:sz w:val="20"/>
          <w:szCs w:val="20"/>
          <w:lang w:val="ms-MY"/>
        </w:rPr>
        <w:t>*, Aisyah Salihah Kamarozaman</w:t>
      </w:r>
      <w:r w:rsidRPr="00E30BD2">
        <w:rPr>
          <w:rFonts w:ascii="Times New Roman" w:hAnsi="Times New Roman"/>
          <w:sz w:val="20"/>
          <w:szCs w:val="20"/>
          <w:vertAlign w:val="superscript"/>
          <w:lang w:val="ms-MY"/>
        </w:rPr>
        <w:t>1, 3</w:t>
      </w:r>
      <w:r w:rsidRPr="00E30BD2">
        <w:rPr>
          <w:rFonts w:ascii="Times New Roman" w:hAnsi="Times New Roman"/>
          <w:sz w:val="20"/>
          <w:szCs w:val="20"/>
          <w:lang w:val="ms-MY"/>
        </w:rPr>
        <w:t>, Zetty Zulikha Hafiz</w:t>
      </w:r>
      <w:r w:rsidRPr="00E30BD2">
        <w:rPr>
          <w:rFonts w:ascii="Times New Roman" w:hAnsi="Times New Roman"/>
          <w:sz w:val="20"/>
          <w:szCs w:val="20"/>
          <w:vertAlign w:val="superscript"/>
          <w:lang w:val="ms-MY"/>
        </w:rPr>
        <w:t>1, 2</w:t>
      </w:r>
    </w:p>
    <w:p w14:paraId="1AE8A648" w14:textId="77777777" w:rsidR="00547252" w:rsidRPr="00991BF4" w:rsidRDefault="00547252" w:rsidP="00547252">
      <w:pPr>
        <w:spacing w:after="0"/>
        <w:jc w:val="center"/>
        <w:outlineLvl w:val="0"/>
        <w:rPr>
          <w:rFonts w:ascii="Times New Roman" w:hAnsi="Times New Roman"/>
          <w:b/>
          <w:color w:val="FF0000"/>
          <w:sz w:val="20"/>
          <w:szCs w:val="20"/>
        </w:rPr>
      </w:pPr>
    </w:p>
    <w:p w14:paraId="6A3FCD47" w14:textId="77777777" w:rsidR="00547252" w:rsidRPr="00991BF4" w:rsidRDefault="00547252" w:rsidP="00547252">
      <w:pPr>
        <w:spacing w:after="0"/>
        <w:jc w:val="center"/>
        <w:rPr>
          <w:rFonts w:ascii="Times New Roman" w:hAnsi="Times New Roman"/>
          <w:i/>
          <w:sz w:val="20"/>
          <w:szCs w:val="20"/>
          <w:lang w:val="ms-MY"/>
        </w:rPr>
      </w:pPr>
      <w:r w:rsidRPr="00991BF4">
        <w:rPr>
          <w:rFonts w:ascii="Times New Roman" w:hAnsi="Times New Roman"/>
          <w:i/>
          <w:sz w:val="20"/>
          <w:szCs w:val="20"/>
          <w:vertAlign w:val="superscript"/>
          <w:lang w:val="ms-MY"/>
        </w:rPr>
        <w:t>1</w:t>
      </w:r>
      <w:r w:rsidRPr="00991BF4">
        <w:rPr>
          <w:rFonts w:ascii="Times New Roman" w:hAnsi="Times New Roman"/>
          <w:i/>
          <w:sz w:val="20"/>
          <w:szCs w:val="20"/>
          <w:lang w:val="ms-MY"/>
        </w:rPr>
        <w:t xml:space="preserve">Faculty of Applied Sciences, </w:t>
      </w:r>
    </w:p>
    <w:p w14:paraId="2CB314AE" w14:textId="77777777" w:rsidR="00547252" w:rsidRPr="00991BF4" w:rsidRDefault="00547252" w:rsidP="00547252">
      <w:pPr>
        <w:spacing w:after="0"/>
        <w:jc w:val="center"/>
        <w:rPr>
          <w:rFonts w:ascii="Times New Roman" w:hAnsi="Times New Roman"/>
          <w:i/>
          <w:sz w:val="20"/>
          <w:szCs w:val="20"/>
          <w:lang w:val="ms-MY"/>
        </w:rPr>
      </w:pPr>
      <w:r w:rsidRPr="00991BF4">
        <w:rPr>
          <w:rFonts w:ascii="Times New Roman" w:hAnsi="Times New Roman"/>
          <w:i/>
          <w:sz w:val="20"/>
          <w:szCs w:val="20"/>
          <w:lang w:val="ms-MY"/>
        </w:rPr>
        <w:t>Universiti Teknologi MARA, 40450 Shah Alam, Selangor, Malaysia</w:t>
      </w:r>
    </w:p>
    <w:p w14:paraId="6D2D22A9" w14:textId="77777777" w:rsidR="00547252" w:rsidRPr="00991BF4" w:rsidRDefault="00547252" w:rsidP="00547252">
      <w:pPr>
        <w:spacing w:after="0"/>
        <w:jc w:val="center"/>
        <w:rPr>
          <w:rFonts w:ascii="Times New Roman" w:hAnsi="Times New Roman"/>
          <w:i/>
          <w:sz w:val="20"/>
          <w:szCs w:val="20"/>
          <w:lang w:val="ms-MY"/>
        </w:rPr>
      </w:pPr>
      <w:r w:rsidRPr="00991BF4">
        <w:rPr>
          <w:rFonts w:ascii="Times New Roman" w:hAnsi="Times New Roman"/>
          <w:i/>
          <w:sz w:val="20"/>
          <w:szCs w:val="20"/>
          <w:vertAlign w:val="superscript"/>
          <w:lang w:val="ms-MY"/>
        </w:rPr>
        <w:t>2</w:t>
      </w:r>
      <w:r w:rsidRPr="00991BF4">
        <w:rPr>
          <w:rFonts w:ascii="Times New Roman" w:hAnsi="Times New Roman"/>
          <w:i/>
          <w:sz w:val="20"/>
          <w:szCs w:val="20"/>
          <w:lang w:val="ms-MY"/>
        </w:rPr>
        <w:t xml:space="preserve">Atta-Ur-Rahman, Institute of Natural Product, </w:t>
      </w:r>
    </w:p>
    <w:p w14:paraId="7797AA39" w14:textId="77777777" w:rsidR="00547252" w:rsidRPr="00991BF4" w:rsidRDefault="00547252" w:rsidP="00547252">
      <w:pPr>
        <w:spacing w:after="0"/>
        <w:jc w:val="center"/>
        <w:rPr>
          <w:rFonts w:ascii="Times New Roman" w:hAnsi="Times New Roman"/>
          <w:i/>
          <w:sz w:val="20"/>
          <w:szCs w:val="20"/>
          <w:lang w:val="ms-MY"/>
        </w:rPr>
      </w:pPr>
      <w:r w:rsidRPr="00991BF4">
        <w:rPr>
          <w:rFonts w:ascii="Times New Roman" w:hAnsi="Times New Roman"/>
          <w:i/>
          <w:sz w:val="20"/>
          <w:szCs w:val="20"/>
          <w:lang w:val="ms-MY"/>
        </w:rPr>
        <w:t>Universiti Teknologi MARA, Kampus Puncak Alam, 42300 Bandar Puncak Alam, Selangor, Malaysia</w:t>
      </w:r>
    </w:p>
    <w:p w14:paraId="106A3E3A" w14:textId="77777777" w:rsidR="00547252" w:rsidRPr="00991BF4" w:rsidRDefault="00547252" w:rsidP="00547252">
      <w:pPr>
        <w:pStyle w:val="Address"/>
        <w:spacing w:line="276" w:lineRule="auto"/>
        <w:rPr>
          <w:sz w:val="20"/>
          <w:szCs w:val="20"/>
          <w:lang w:val="ms-MY"/>
        </w:rPr>
      </w:pPr>
      <w:r w:rsidRPr="00991BF4">
        <w:rPr>
          <w:rFonts w:eastAsia="Cambria"/>
          <w:sz w:val="20"/>
          <w:szCs w:val="20"/>
          <w:vertAlign w:val="superscript"/>
          <w:lang w:val="ms-MY"/>
        </w:rPr>
        <w:t>3</w:t>
      </w:r>
      <w:r w:rsidRPr="00991BF4">
        <w:rPr>
          <w:sz w:val="20"/>
          <w:szCs w:val="20"/>
          <w:lang w:val="ms-MY"/>
        </w:rPr>
        <w:t xml:space="preserve">Centre of Foundation Studies, </w:t>
      </w:r>
    </w:p>
    <w:p w14:paraId="56E1F1BD" w14:textId="77777777" w:rsidR="00547252" w:rsidRPr="00991BF4" w:rsidRDefault="00547252" w:rsidP="00547252">
      <w:pPr>
        <w:pStyle w:val="Address"/>
        <w:spacing w:line="276" w:lineRule="auto"/>
        <w:rPr>
          <w:sz w:val="20"/>
          <w:szCs w:val="20"/>
          <w:lang w:val="ms-MY"/>
        </w:rPr>
      </w:pPr>
      <w:r w:rsidRPr="00991BF4">
        <w:rPr>
          <w:sz w:val="20"/>
          <w:szCs w:val="20"/>
          <w:lang w:val="ms-MY"/>
        </w:rPr>
        <w:t>Universiti Teknologi MARA Kampus Dengkil, 43800 Dengkil, Selangor, Malaysia</w:t>
      </w:r>
    </w:p>
    <w:p w14:paraId="3503C21E" w14:textId="77777777" w:rsidR="00547252" w:rsidRPr="00991BF4" w:rsidRDefault="00547252" w:rsidP="00547252">
      <w:pPr>
        <w:spacing w:after="0"/>
        <w:jc w:val="center"/>
        <w:outlineLvl w:val="0"/>
        <w:rPr>
          <w:rFonts w:ascii="Times New Roman" w:hAnsi="Times New Roman"/>
          <w:b/>
          <w:color w:val="548DD4" w:themeColor="text2" w:themeTint="99"/>
          <w:sz w:val="20"/>
          <w:szCs w:val="20"/>
          <w:lang w:val="ms-MY"/>
        </w:rPr>
      </w:pPr>
    </w:p>
    <w:p w14:paraId="6C3AC64C" w14:textId="77777777" w:rsidR="00547252" w:rsidRPr="00991BF4" w:rsidRDefault="00547252" w:rsidP="00547252">
      <w:pPr>
        <w:spacing w:after="0"/>
        <w:jc w:val="center"/>
        <w:outlineLvl w:val="0"/>
        <w:rPr>
          <w:rFonts w:ascii="Times New Roman" w:hAnsi="Times New Roman"/>
          <w:i/>
          <w:color w:val="548DD4" w:themeColor="text2" w:themeTint="99"/>
          <w:sz w:val="20"/>
          <w:szCs w:val="20"/>
          <w:lang w:val="ms-MY"/>
        </w:rPr>
      </w:pPr>
      <w:r w:rsidRPr="00991BF4">
        <w:rPr>
          <w:rFonts w:ascii="Times New Roman" w:hAnsi="Times New Roman"/>
          <w:i/>
          <w:sz w:val="20"/>
          <w:szCs w:val="20"/>
          <w:lang w:val="ms-MY"/>
        </w:rPr>
        <w:t>*Corresponding author:  noriz118@uitm.edu.my</w:t>
      </w:r>
      <w:r w:rsidRPr="00991BF4">
        <w:rPr>
          <w:rFonts w:ascii="Times New Roman" w:hAnsi="Times New Roman"/>
          <w:b/>
          <w:color w:val="548DD4" w:themeColor="text2" w:themeTint="99"/>
          <w:sz w:val="20"/>
          <w:szCs w:val="20"/>
          <w:lang w:val="ms-MY"/>
        </w:rPr>
        <w:t xml:space="preserve"> </w:t>
      </w:r>
    </w:p>
    <w:p w14:paraId="25D643CD" w14:textId="77777777" w:rsidR="00547252" w:rsidRPr="00991BF4" w:rsidRDefault="00547252" w:rsidP="00547252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27F3E26C" w14:textId="77777777" w:rsidR="00547252" w:rsidRPr="00991BF4" w:rsidRDefault="00547252" w:rsidP="00547252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5241FFA2" w14:textId="5C107DB2" w:rsidR="00547252" w:rsidRPr="00991BF4" w:rsidRDefault="00547252" w:rsidP="00547252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  <w:r w:rsidRPr="00991BF4">
        <w:rPr>
          <w:rFonts w:ascii="Times New Roman" w:hAnsi="Times New Roman"/>
          <w:noProof/>
          <w:sz w:val="20"/>
          <w:szCs w:val="20"/>
        </w:rPr>
        <w:t xml:space="preserve">Received: 20 November 2019; Accepted: 18 June 2020; Published:  </w:t>
      </w:r>
      <w:r w:rsidR="006920C5">
        <w:rPr>
          <w:rFonts w:ascii="Times New Roman" w:hAnsi="Times New Roman"/>
          <w:noProof/>
          <w:sz w:val="20"/>
          <w:szCs w:val="20"/>
        </w:rPr>
        <w:t xml:space="preserve">11 </w:t>
      </w:r>
      <w:r w:rsidRPr="00991BF4">
        <w:rPr>
          <w:rFonts w:ascii="Times New Roman" w:hAnsi="Times New Roman"/>
          <w:noProof/>
          <w:sz w:val="20"/>
          <w:szCs w:val="20"/>
        </w:rPr>
        <w:t>August 2020</w:t>
      </w:r>
    </w:p>
    <w:p w14:paraId="48F8BEBF" w14:textId="77777777" w:rsidR="00547252" w:rsidRPr="00991BF4" w:rsidRDefault="00547252" w:rsidP="00547252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09BA7783" w14:textId="77777777" w:rsidR="00547252" w:rsidRPr="00991BF4" w:rsidRDefault="00547252" w:rsidP="00547252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51879310" w14:textId="77777777" w:rsidR="00547252" w:rsidRPr="00991BF4" w:rsidRDefault="00547252" w:rsidP="00547252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991BF4">
        <w:rPr>
          <w:rFonts w:ascii="Times New Roman" w:hAnsi="Times New Roman"/>
          <w:b/>
          <w:noProof/>
          <w:sz w:val="20"/>
          <w:szCs w:val="20"/>
        </w:rPr>
        <w:t>Abstract</w:t>
      </w:r>
    </w:p>
    <w:p w14:paraId="5921A8AC" w14:textId="77777777" w:rsidR="00547252" w:rsidRPr="00991BF4" w:rsidRDefault="00547252" w:rsidP="0054725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91BF4">
        <w:rPr>
          <w:rFonts w:ascii="Times New Roman" w:hAnsi="Times New Roman"/>
          <w:sz w:val="20"/>
          <w:szCs w:val="20"/>
        </w:rPr>
        <w:t xml:space="preserve">Genus </w:t>
      </w:r>
      <w:r w:rsidRPr="00991BF4">
        <w:rPr>
          <w:rFonts w:ascii="Times New Roman" w:hAnsi="Times New Roman"/>
          <w:i/>
          <w:iCs/>
          <w:sz w:val="20"/>
          <w:szCs w:val="20"/>
        </w:rPr>
        <w:t>Macaranga</w:t>
      </w:r>
      <w:r w:rsidRPr="00991BF4">
        <w:rPr>
          <w:rFonts w:ascii="Times New Roman" w:hAnsi="Times New Roman"/>
          <w:sz w:val="20"/>
          <w:szCs w:val="20"/>
        </w:rPr>
        <w:t xml:space="preserve"> belongs to Euphorbiaceae family and is known for their mutualistic associations with ants. This plant is widely distributed in the tropics of Africa, South-East Asia, Australia and the South Pacific region. In folk medicine, traditional healers use fresh or dried leaves of </w:t>
      </w:r>
      <w:r w:rsidRPr="00991BF4">
        <w:rPr>
          <w:rFonts w:ascii="Times New Roman" w:hAnsi="Times New Roman"/>
          <w:i/>
          <w:iCs/>
          <w:sz w:val="20"/>
          <w:szCs w:val="20"/>
        </w:rPr>
        <w:t>Macaranga</w:t>
      </w:r>
      <w:r w:rsidRPr="00991BF4">
        <w:rPr>
          <w:rFonts w:ascii="Times New Roman" w:hAnsi="Times New Roman"/>
          <w:sz w:val="20"/>
          <w:szCs w:val="20"/>
        </w:rPr>
        <w:t xml:space="preserve"> species to treat swellings, cuts, sores, boils and bruises. In this study, </w:t>
      </w:r>
      <w:r w:rsidRPr="00991BF4">
        <w:rPr>
          <w:rFonts w:ascii="Times New Roman" w:hAnsi="Times New Roman"/>
          <w:bCs/>
          <w:iCs/>
          <w:sz w:val="20"/>
          <w:szCs w:val="20"/>
        </w:rPr>
        <w:t xml:space="preserve">20 µL </w:t>
      </w:r>
      <w:r w:rsidRPr="00991BF4">
        <w:rPr>
          <w:rFonts w:ascii="Times New Roman" w:hAnsi="Times New Roman"/>
          <w:sz w:val="20"/>
          <w:szCs w:val="20"/>
        </w:rPr>
        <w:t xml:space="preserve">methanol crude extract from the leaves of </w:t>
      </w:r>
      <w:r w:rsidRPr="00991BF4">
        <w:rPr>
          <w:rFonts w:ascii="Times New Roman" w:hAnsi="Times New Roman"/>
          <w:i/>
          <w:sz w:val="20"/>
          <w:szCs w:val="20"/>
        </w:rPr>
        <w:t>Macaranga gigantea</w:t>
      </w:r>
      <w:r w:rsidRPr="00991BF4">
        <w:rPr>
          <w:rFonts w:ascii="Times New Roman" w:hAnsi="Times New Roman"/>
          <w:sz w:val="20"/>
          <w:szCs w:val="20"/>
        </w:rPr>
        <w:t xml:space="preserve"> was assayed for its </w:t>
      </w:r>
      <w:r w:rsidRPr="00991BF4">
        <w:rPr>
          <w:rFonts w:ascii="Times New Roman" w:hAnsi="Times New Roman"/>
          <w:i/>
          <w:sz w:val="20"/>
          <w:szCs w:val="20"/>
        </w:rPr>
        <w:t>in-vitro</w:t>
      </w:r>
      <w:r w:rsidRPr="00991BF4">
        <w:rPr>
          <w:rFonts w:ascii="Times New Roman" w:hAnsi="Times New Roman"/>
          <w:sz w:val="20"/>
          <w:szCs w:val="20"/>
        </w:rPr>
        <w:t xml:space="preserve"> acetylcholinesterase inhibitory activity. The crude extract displayed a good acetylcholinesterase (AChE) inhibition activity at IC</w:t>
      </w:r>
      <w:r w:rsidRPr="00991BF4">
        <w:rPr>
          <w:rFonts w:ascii="Times New Roman" w:hAnsi="Times New Roman"/>
          <w:sz w:val="20"/>
          <w:szCs w:val="20"/>
          <w:vertAlign w:val="subscript"/>
        </w:rPr>
        <w:t>50</w:t>
      </w:r>
      <w:r w:rsidRPr="00991BF4">
        <w:rPr>
          <w:rFonts w:ascii="Times New Roman" w:hAnsi="Times New Roman"/>
          <w:sz w:val="20"/>
          <w:szCs w:val="20"/>
        </w:rPr>
        <w:t xml:space="preserve"> at 39.89 ± 4.57 ug/mL. Phytochemical study on the crude leaf extract lead to the isolation and purification of two pure compounds </w:t>
      </w:r>
      <w:r w:rsidRPr="00991BF4">
        <w:rPr>
          <w:rFonts w:ascii="Times New Roman" w:hAnsi="Times New Roman"/>
          <w:i/>
          <w:iCs/>
          <w:sz w:val="20"/>
          <w:szCs w:val="20"/>
        </w:rPr>
        <w:t>via</w:t>
      </w:r>
      <w:r w:rsidRPr="00991BF4">
        <w:rPr>
          <w:rFonts w:ascii="Times New Roman" w:hAnsi="Times New Roman"/>
          <w:sz w:val="20"/>
          <w:szCs w:val="20"/>
        </w:rPr>
        <w:t xml:space="preserve"> radial chromatographic techniques.</w:t>
      </w:r>
      <w:r w:rsidRPr="00991BF4">
        <w:rPr>
          <w:rFonts w:ascii="Times New Roman" w:hAnsi="Times New Roman"/>
          <w:color w:val="00B0F0"/>
          <w:sz w:val="20"/>
          <w:szCs w:val="20"/>
        </w:rPr>
        <w:t xml:space="preserve"> </w:t>
      </w:r>
      <w:r w:rsidRPr="00991BF4">
        <w:rPr>
          <w:rFonts w:ascii="Times New Roman" w:hAnsi="Times New Roman"/>
          <w:sz w:val="20"/>
          <w:szCs w:val="20"/>
        </w:rPr>
        <w:t xml:space="preserve">Based on the </w:t>
      </w:r>
      <w:r w:rsidRPr="00991BF4">
        <w:rPr>
          <w:rFonts w:ascii="Times New Roman" w:hAnsi="Times New Roman"/>
          <w:sz w:val="20"/>
          <w:szCs w:val="20"/>
          <w:vertAlign w:val="superscript"/>
          <w:lang w:val="ms-MY"/>
        </w:rPr>
        <w:t>1</w:t>
      </w:r>
      <w:r w:rsidRPr="00991BF4">
        <w:rPr>
          <w:rFonts w:ascii="Times New Roman" w:hAnsi="Times New Roman"/>
          <w:sz w:val="20"/>
          <w:szCs w:val="20"/>
          <w:lang w:val="ms-MY"/>
        </w:rPr>
        <w:t xml:space="preserve">H NMR and </w:t>
      </w:r>
      <w:r w:rsidRPr="00991BF4">
        <w:rPr>
          <w:rFonts w:ascii="Times New Roman" w:hAnsi="Times New Roman"/>
          <w:sz w:val="20"/>
          <w:szCs w:val="20"/>
          <w:vertAlign w:val="superscript"/>
          <w:lang w:val="ms-MY"/>
        </w:rPr>
        <w:t>13</w:t>
      </w:r>
      <w:r w:rsidRPr="00991BF4">
        <w:rPr>
          <w:rFonts w:ascii="Times New Roman" w:hAnsi="Times New Roman"/>
          <w:sz w:val="20"/>
          <w:szCs w:val="20"/>
          <w:lang w:val="ms-MY"/>
        </w:rPr>
        <w:t>C</w:t>
      </w:r>
      <w:r w:rsidRPr="00991BF4">
        <w:rPr>
          <w:rFonts w:ascii="Times New Roman" w:hAnsi="Times New Roman"/>
          <w:sz w:val="20"/>
          <w:szCs w:val="20"/>
        </w:rPr>
        <w:t xml:space="preserve"> NMR analysis, the structure of the pure compounds was found to have a prenylated substituent which could be recognized through the presence of methyl, methylene, and a vinyl group. Based on the analysis of spectral data and comparison with literature, the compounds were elucidated as a geranylated stilbene, schweinfurthin C </w:t>
      </w:r>
      <w:r w:rsidRPr="00991BF4">
        <w:rPr>
          <w:rFonts w:ascii="Times New Roman" w:hAnsi="Times New Roman"/>
          <w:b/>
          <w:sz w:val="20"/>
          <w:szCs w:val="20"/>
        </w:rPr>
        <w:t xml:space="preserve">(1) </w:t>
      </w:r>
      <w:r w:rsidRPr="00991BF4">
        <w:rPr>
          <w:rFonts w:ascii="Times New Roman" w:hAnsi="Times New Roman"/>
          <w:sz w:val="20"/>
          <w:szCs w:val="20"/>
        </w:rPr>
        <w:t>and a</w:t>
      </w:r>
      <w:r w:rsidRPr="00991BF4">
        <w:rPr>
          <w:rFonts w:ascii="Times New Roman" w:hAnsi="Times New Roman"/>
          <w:b/>
          <w:sz w:val="20"/>
          <w:szCs w:val="20"/>
        </w:rPr>
        <w:t xml:space="preserve"> </w:t>
      </w:r>
      <w:r w:rsidRPr="00991BF4">
        <w:rPr>
          <w:rFonts w:ascii="Times New Roman" w:hAnsi="Times New Roman"/>
          <w:sz w:val="20"/>
          <w:szCs w:val="20"/>
        </w:rPr>
        <w:t xml:space="preserve">farnesylated flavonol, macagigantin </w:t>
      </w:r>
      <w:r w:rsidRPr="00991BF4">
        <w:rPr>
          <w:rFonts w:ascii="Times New Roman" w:hAnsi="Times New Roman"/>
          <w:b/>
          <w:sz w:val="20"/>
          <w:szCs w:val="20"/>
        </w:rPr>
        <w:t>(2)</w:t>
      </w:r>
      <w:r w:rsidRPr="00991BF4">
        <w:rPr>
          <w:rFonts w:ascii="Times New Roman" w:hAnsi="Times New Roman"/>
          <w:sz w:val="20"/>
          <w:szCs w:val="20"/>
        </w:rPr>
        <w:t>.</w:t>
      </w:r>
    </w:p>
    <w:p w14:paraId="7B50C2D8" w14:textId="77777777" w:rsidR="00547252" w:rsidRPr="00991BF4" w:rsidRDefault="00547252" w:rsidP="00547252">
      <w:pPr>
        <w:spacing w:after="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644FDC0A" w14:textId="77777777" w:rsidR="00547252" w:rsidRPr="00991BF4" w:rsidRDefault="00547252" w:rsidP="00547252">
      <w:pPr>
        <w:spacing w:after="0"/>
        <w:jc w:val="both"/>
        <w:outlineLvl w:val="0"/>
        <w:rPr>
          <w:rFonts w:ascii="Times New Roman" w:hAnsi="Times New Roman"/>
          <w:color w:val="548DD4" w:themeColor="text2" w:themeTint="99"/>
          <w:sz w:val="20"/>
          <w:szCs w:val="20"/>
        </w:rPr>
      </w:pPr>
      <w:r w:rsidRPr="00991BF4">
        <w:rPr>
          <w:rFonts w:ascii="Times New Roman" w:hAnsi="Times New Roman"/>
          <w:b/>
          <w:sz w:val="20"/>
          <w:szCs w:val="20"/>
        </w:rPr>
        <w:t>Keywords</w:t>
      </w:r>
      <w:r w:rsidRPr="00991BF4">
        <w:rPr>
          <w:rFonts w:ascii="Times New Roman" w:hAnsi="Times New Roman"/>
          <w:b/>
          <w:bCs/>
          <w:sz w:val="20"/>
          <w:szCs w:val="20"/>
        </w:rPr>
        <w:t xml:space="preserve">:  </w:t>
      </w:r>
      <w:r w:rsidRPr="00991BF4">
        <w:rPr>
          <w:rFonts w:ascii="Times New Roman" w:hAnsi="Times New Roman"/>
          <w:sz w:val="20"/>
          <w:szCs w:val="20"/>
        </w:rPr>
        <w:t xml:space="preserve">acetylcholinesterase, Euphorbiaceae, </w:t>
      </w:r>
      <w:r w:rsidRPr="00991BF4">
        <w:rPr>
          <w:rFonts w:ascii="Times New Roman" w:hAnsi="Times New Roman"/>
          <w:i/>
          <w:sz w:val="20"/>
          <w:szCs w:val="20"/>
        </w:rPr>
        <w:t>Macaranga gigantea</w:t>
      </w:r>
      <w:r w:rsidRPr="00991BF4">
        <w:rPr>
          <w:rFonts w:ascii="Times New Roman" w:hAnsi="Times New Roman"/>
          <w:sz w:val="20"/>
          <w:szCs w:val="20"/>
        </w:rPr>
        <w:t>, schweinfurthin C, macagigantin</w:t>
      </w:r>
    </w:p>
    <w:p w14:paraId="66B96A56" w14:textId="77777777" w:rsidR="00547252" w:rsidRPr="00991BF4" w:rsidRDefault="00547252" w:rsidP="00547252">
      <w:pPr>
        <w:spacing w:after="0"/>
        <w:jc w:val="center"/>
        <w:outlineLvl w:val="0"/>
        <w:rPr>
          <w:rFonts w:ascii="Times New Roman" w:hAnsi="Times New Roman"/>
          <w:b/>
          <w:color w:val="548DD4" w:themeColor="text2" w:themeTint="99"/>
          <w:sz w:val="20"/>
          <w:szCs w:val="20"/>
        </w:rPr>
      </w:pPr>
    </w:p>
    <w:p w14:paraId="723144FF" w14:textId="77777777" w:rsidR="00547252" w:rsidRPr="00991BF4" w:rsidRDefault="00547252" w:rsidP="00547252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991BF4">
        <w:rPr>
          <w:rFonts w:ascii="Times New Roman" w:hAnsi="Times New Roman"/>
          <w:b/>
          <w:sz w:val="20"/>
          <w:szCs w:val="20"/>
        </w:rPr>
        <w:lastRenderedPageBreak/>
        <w:t>Abstrak</w:t>
      </w:r>
    </w:p>
    <w:p w14:paraId="6730F015" w14:textId="77777777" w:rsidR="00547252" w:rsidRPr="00991BF4" w:rsidRDefault="00547252" w:rsidP="00547252">
      <w:pPr>
        <w:spacing w:after="0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  <w:r w:rsidRPr="00991BF4">
        <w:rPr>
          <w:rFonts w:ascii="Times New Roman" w:hAnsi="Times New Roman"/>
          <w:sz w:val="20"/>
          <w:szCs w:val="20"/>
          <w:lang w:val="ms-MY"/>
        </w:rPr>
        <w:t xml:space="preserve">Genus </w:t>
      </w:r>
      <w:r w:rsidRPr="00991BF4">
        <w:rPr>
          <w:rFonts w:ascii="Times New Roman" w:hAnsi="Times New Roman"/>
          <w:i/>
          <w:sz w:val="20"/>
          <w:szCs w:val="20"/>
          <w:lang w:val="ms-MY"/>
        </w:rPr>
        <w:t>Macaranga</w:t>
      </w:r>
      <w:r w:rsidRPr="00991BF4">
        <w:rPr>
          <w:rFonts w:ascii="Times New Roman" w:hAnsi="Times New Roman"/>
          <w:sz w:val="20"/>
          <w:szCs w:val="20"/>
          <w:lang w:val="ms-MY"/>
        </w:rPr>
        <w:t xml:space="preserve"> tergolong di dalam famili Euphorbiaceae dan dikenali sebagai tumbuhan yang mempunyai hubungan mutual dengan semut. Tumbuhan ini boleh ditemui di kawasan tropika seperti Afrika, Selatan-Timur Asia, Australia dan di kawasan Selatan Pasifik. Menurut ilmu perubatan lama, pengamal perubatan mengunakan daun segar atau kering dari spesies </w:t>
      </w:r>
      <w:r w:rsidRPr="00991BF4">
        <w:rPr>
          <w:rFonts w:ascii="Times New Roman" w:hAnsi="Times New Roman"/>
          <w:i/>
          <w:sz w:val="20"/>
          <w:szCs w:val="20"/>
          <w:lang w:val="ms-MY"/>
        </w:rPr>
        <w:t xml:space="preserve">Macaranga </w:t>
      </w:r>
      <w:r w:rsidRPr="00991BF4">
        <w:rPr>
          <w:rFonts w:ascii="Times New Roman" w:hAnsi="Times New Roman"/>
          <w:sz w:val="20"/>
          <w:szCs w:val="20"/>
          <w:lang w:val="ms-MY"/>
        </w:rPr>
        <w:t xml:space="preserve">untuk mengubati bengkak, luka, sengal, lecur dan lebam. Melalui kajian ini, ekstrak mentah yang telah dilarutkan di dalam metanol telah diuji dengan aktiviti perencatan asetikolinesterase. Sebanyak </w:t>
      </w:r>
      <w:r w:rsidRPr="00991BF4">
        <w:rPr>
          <w:rFonts w:ascii="Times New Roman" w:hAnsi="Times New Roman"/>
          <w:bCs/>
          <w:iCs/>
          <w:sz w:val="20"/>
          <w:szCs w:val="20"/>
          <w:lang w:val="ms-MY"/>
        </w:rPr>
        <w:t>20 µL</w:t>
      </w:r>
      <w:r w:rsidRPr="00991BF4">
        <w:rPr>
          <w:rFonts w:ascii="Times New Roman" w:hAnsi="Times New Roman"/>
          <w:sz w:val="20"/>
          <w:szCs w:val="20"/>
          <w:lang w:val="ms-MY"/>
        </w:rPr>
        <w:t xml:space="preserve"> larutan ekstrak telah digunakan dan menunjukkan keputusan yang baik sebagai perencat asetilkolinesterase di IC</w:t>
      </w:r>
      <w:r w:rsidRPr="00991BF4">
        <w:rPr>
          <w:rFonts w:ascii="Times New Roman" w:hAnsi="Times New Roman"/>
          <w:sz w:val="20"/>
          <w:szCs w:val="20"/>
          <w:vertAlign w:val="subscript"/>
          <w:lang w:val="ms-MY"/>
        </w:rPr>
        <w:t>50</w:t>
      </w:r>
      <w:r w:rsidRPr="00991BF4">
        <w:rPr>
          <w:rFonts w:ascii="Times New Roman" w:hAnsi="Times New Roman"/>
          <w:sz w:val="20"/>
          <w:szCs w:val="20"/>
          <w:lang w:val="ms-MY"/>
        </w:rPr>
        <w:t xml:space="preserve"> 39.89 ± 4.57 ug/mL. Kajian fitokimia yang dijalankan telah berjaya memisah dan menulenkan dua sebatian tulen menggunakan kromatografi radial. Bersandarkan pada data </w:t>
      </w:r>
      <w:r w:rsidRPr="00991BF4">
        <w:rPr>
          <w:rFonts w:ascii="Times New Roman" w:hAnsi="Times New Roman"/>
          <w:sz w:val="20"/>
          <w:szCs w:val="20"/>
          <w:vertAlign w:val="superscript"/>
          <w:lang w:val="ms-MY"/>
        </w:rPr>
        <w:t>1</w:t>
      </w:r>
      <w:r w:rsidRPr="00991BF4">
        <w:rPr>
          <w:rFonts w:ascii="Times New Roman" w:hAnsi="Times New Roman"/>
          <w:sz w:val="20"/>
          <w:szCs w:val="20"/>
          <w:lang w:val="ms-MY"/>
        </w:rPr>
        <w:t xml:space="preserve">H NMR and </w:t>
      </w:r>
      <w:r w:rsidRPr="00991BF4">
        <w:rPr>
          <w:rFonts w:ascii="Times New Roman" w:hAnsi="Times New Roman"/>
          <w:sz w:val="20"/>
          <w:szCs w:val="20"/>
          <w:vertAlign w:val="superscript"/>
          <w:lang w:val="ms-MY"/>
        </w:rPr>
        <w:t>13</w:t>
      </w:r>
      <w:r w:rsidRPr="00991BF4">
        <w:rPr>
          <w:rFonts w:ascii="Times New Roman" w:hAnsi="Times New Roman"/>
          <w:sz w:val="20"/>
          <w:szCs w:val="20"/>
          <w:lang w:val="ms-MY"/>
        </w:rPr>
        <w:t xml:space="preserve">C NMR, struktur sebatian tulen yang diperoleh mempunyai kumpulan prenil yang terdiri daripada metil, metilina dan vinil. Berdasarkan analisis data spektra ini dan perbandingan dengan literatur, sebatian-sebatian tulen tersebut dicirikan sebagai geranil stilbena, schweinfurthin C </w:t>
      </w:r>
      <w:r w:rsidRPr="00991BF4">
        <w:rPr>
          <w:rFonts w:ascii="Times New Roman" w:hAnsi="Times New Roman"/>
          <w:b/>
          <w:sz w:val="20"/>
          <w:szCs w:val="20"/>
          <w:lang w:val="ms-MY"/>
        </w:rPr>
        <w:t xml:space="preserve">(1) </w:t>
      </w:r>
      <w:r w:rsidRPr="00991BF4">
        <w:rPr>
          <w:rFonts w:ascii="Times New Roman" w:hAnsi="Times New Roman"/>
          <w:sz w:val="20"/>
          <w:szCs w:val="20"/>
          <w:lang w:val="ms-MY"/>
        </w:rPr>
        <w:t>dan</w:t>
      </w:r>
      <w:r w:rsidRPr="00991BF4">
        <w:rPr>
          <w:rFonts w:ascii="Times New Roman" w:hAnsi="Times New Roman"/>
          <w:b/>
          <w:sz w:val="20"/>
          <w:szCs w:val="20"/>
          <w:lang w:val="ms-MY"/>
        </w:rPr>
        <w:t xml:space="preserve"> </w:t>
      </w:r>
      <w:r w:rsidRPr="00991BF4">
        <w:rPr>
          <w:rFonts w:ascii="Times New Roman" w:hAnsi="Times New Roman"/>
          <w:sz w:val="20"/>
          <w:szCs w:val="20"/>
          <w:lang w:val="ms-MY"/>
        </w:rPr>
        <w:t xml:space="preserve">farnesil flavonol, macagigantin </w:t>
      </w:r>
      <w:r w:rsidRPr="00991BF4">
        <w:rPr>
          <w:rFonts w:ascii="Times New Roman" w:hAnsi="Times New Roman"/>
          <w:b/>
          <w:sz w:val="20"/>
          <w:szCs w:val="20"/>
          <w:lang w:val="ms-MY"/>
        </w:rPr>
        <w:t>(2)</w:t>
      </w:r>
      <w:r w:rsidRPr="00991BF4">
        <w:rPr>
          <w:rFonts w:ascii="Times New Roman" w:hAnsi="Times New Roman"/>
          <w:sz w:val="20"/>
          <w:szCs w:val="20"/>
          <w:lang w:val="ms-MY"/>
        </w:rPr>
        <w:t>.</w:t>
      </w:r>
    </w:p>
    <w:p w14:paraId="5B7742CC" w14:textId="77777777" w:rsidR="00547252" w:rsidRPr="00991BF4" w:rsidRDefault="00547252" w:rsidP="00547252">
      <w:pPr>
        <w:spacing w:after="0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</w:p>
    <w:p w14:paraId="094A7EE7" w14:textId="1896DB6B" w:rsidR="00547252" w:rsidRDefault="00547252" w:rsidP="00547252">
      <w:pPr>
        <w:spacing w:after="0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  <w:r w:rsidRPr="00991BF4">
        <w:rPr>
          <w:rFonts w:ascii="Times New Roman" w:hAnsi="Times New Roman"/>
          <w:b/>
          <w:sz w:val="20"/>
          <w:szCs w:val="20"/>
          <w:lang w:val="ms-MY"/>
        </w:rPr>
        <w:t xml:space="preserve">Kata kunci:  </w:t>
      </w:r>
      <w:r w:rsidRPr="00991BF4">
        <w:rPr>
          <w:rFonts w:ascii="Times New Roman" w:hAnsi="Times New Roman"/>
          <w:sz w:val="20"/>
          <w:szCs w:val="20"/>
          <w:lang w:val="ms-MY"/>
        </w:rPr>
        <w:t xml:space="preserve">asetilkolinesterase, Euphorbiaceae, </w:t>
      </w:r>
      <w:r w:rsidRPr="00991BF4">
        <w:rPr>
          <w:rFonts w:ascii="Times New Roman" w:hAnsi="Times New Roman"/>
          <w:i/>
          <w:sz w:val="20"/>
          <w:szCs w:val="20"/>
          <w:lang w:val="ms-MY"/>
        </w:rPr>
        <w:t>Macaranga gigantea</w:t>
      </w:r>
      <w:r w:rsidRPr="00991BF4">
        <w:rPr>
          <w:rFonts w:ascii="Times New Roman" w:hAnsi="Times New Roman"/>
          <w:sz w:val="20"/>
          <w:szCs w:val="20"/>
          <w:lang w:val="ms-MY"/>
        </w:rPr>
        <w:t>, schweinfurthin C, macagigantin</w:t>
      </w:r>
    </w:p>
    <w:p w14:paraId="6E6C5157" w14:textId="4C795CA8" w:rsidR="00991BF4" w:rsidRDefault="00991BF4" w:rsidP="00547252">
      <w:pPr>
        <w:spacing w:after="0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</w:p>
    <w:p w14:paraId="66E48227" w14:textId="088F8E79" w:rsidR="00991BF4" w:rsidRPr="00991BF4" w:rsidRDefault="00991BF4" w:rsidP="00991BF4">
      <w:pPr>
        <w:spacing w:after="0"/>
        <w:jc w:val="center"/>
        <w:outlineLvl w:val="0"/>
        <w:rPr>
          <w:rFonts w:ascii="Times New Roman" w:hAnsi="Times New Roman"/>
          <w:b/>
          <w:bCs/>
          <w:sz w:val="20"/>
          <w:szCs w:val="20"/>
          <w:lang w:val="ms-MY"/>
        </w:rPr>
      </w:pPr>
      <w:r w:rsidRPr="00991BF4">
        <w:rPr>
          <w:rFonts w:ascii="Times New Roman" w:hAnsi="Times New Roman"/>
          <w:b/>
          <w:bCs/>
          <w:sz w:val="20"/>
          <w:szCs w:val="20"/>
          <w:lang w:val="ms-MY"/>
        </w:rPr>
        <w:t>References</w:t>
      </w:r>
    </w:p>
    <w:p w14:paraId="63F12BF9" w14:textId="77777777" w:rsidR="00991BF4" w:rsidRPr="00991BF4" w:rsidRDefault="00991BF4" w:rsidP="00991BF4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/>
          <w:sz w:val="20"/>
          <w:szCs w:val="20"/>
          <w:lang w:val="en-MY"/>
        </w:rPr>
      </w:pPr>
      <w:r w:rsidRPr="00991BF4">
        <w:rPr>
          <w:rFonts w:ascii="Times New Roman" w:hAnsi="Times New Roman"/>
          <w:sz w:val="20"/>
          <w:szCs w:val="20"/>
          <w:shd w:val="clear" w:color="auto" w:fill="FFFFFF"/>
        </w:rPr>
        <w:t xml:space="preserve">Yang, D. S., Peng, W. B., Yang, Y. P., Liu, K. C., Li, X. L. and Xiao, W. L. (2015). Cytotoxic prenylated flavonoids from </w:t>
      </w:r>
      <w:r w:rsidRPr="00991BF4">
        <w:rPr>
          <w:rFonts w:ascii="Times New Roman" w:hAnsi="Times New Roman"/>
          <w:i/>
          <w:sz w:val="20"/>
          <w:szCs w:val="20"/>
          <w:shd w:val="clear" w:color="auto" w:fill="FFFFFF"/>
        </w:rPr>
        <w:t>Macaranga indica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>. </w:t>
      </w:r>
      <w:r w:rsidRPr="00991BF4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Fitoterapia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>, </w:t>
      </w:r>
      <w:r w:rsidRPr="00991BF4">
        <w:rPr>
          <w:rFonts w:ascii="Times New Roman" w:hAnsi="Times New Roman"/>
          <w:iCs/>
          <w:sz w:val="20"/>
          <w:szCs w:val="20"/>
          <w:shd w:val="clear" w:color="auto" w:fill="FFFFFF"/>
        </w:rPr>
        <w:t>103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>: 187-191.</w:t>
      </w:r>
    </w:p>
    <w:p w14:paraId="3630E1F3" w14:textId="77777777" w:rsidR="00991BF4" w:rsidRPr="00991BF4" w:rsidRDefault="00991BF4" w:rsidP="00991BF4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/>
          <w:sz w:val="20"/>
          <w:szCs w:val="20"/>
          <w:lang w:val="en-MY"/>
        </w:rPr>
      </w:pPr>
      <w:r w:rsidRPr="00991BF4">
        <w:rPr>
          <w:rFonts w:ascii="Times New Roman" w:hAnsi="Times New Roman"/>
          <w:sz w:val="20"/>
          <w:szCs w:val="20"/>
          <w:shd w:val="clear" w:color="auto" w:fill="FFFFFF"/>
        </w:rPr>
        <w:t xml:space="preserve">Johari, M. S. M., Ahmat, N., Kamarozaman, A. S. and Isa, M. H. M. (2019). Prenylated flavonols from the leaves of </w:t>
      </w:r>
      <w:r w:rsidRPr="00991BF4">
        <w:rPr>
          <w:rFonts w:ascii="Times New Roman" w:hAnsi="Times New Roman"/>
          <w:i/>
          <w:sz w:val="20"/>
          <w:szCs w:val="20"/>
          <w:shd w:val="clear" w:color="auto" w:fill="FFFFFF"/>
        </w:rPr>
        <w:t>Macaranga gigantea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 xml:space="preserve"> (Rchb. F. &amp; Zoll.). </w:t>
      </w:r>
      <w:r w:rsidRPr="00991BF4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Scientific Research Journal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>, </w:t>
      </w:r>
      <w:r w:rsidRPr="00991BF4">
        <w:rPr>
          <w:rFonts w:ascii="Times New Roman" w:hAnsi="Times New Roman"/>
          <w:iCs/>
          <w:sz w:val="20"/>
          <w:szCs w:val="20"/>
          <w:shd w:val="clear" w:color="auto" w:fill="FFFFFF"/>
        </w:rPr>
        <w:t>16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>(1): 29-40.</w:t>
      </w:r>
    </w:p>
    <w:p w14:paraId="0C58EFBD" w14:textId="77777777" w:rsidR="00991BF4" w:rsidRPr="00991BF4" w:rsidRDefault="00991BF4" w:rsidP="00991BF4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/>
          <w:sz w:val="20"/>
          <w:szCs w:val="20"/>
          <w:lang w:val="en-MY"/>
        </w:rPr>
      </w:pPr>
      <w:r w:rsidRPr="00991BF4">
        <w:rPr>
          <w:rFonts w:ascii="Times New Roman" w:hAnsi="Times New Roman"/>
          <w:sz w:val="20"/>
          <w:szCs w:val="20"/>
          <w:shd w:val="clear" w:color="auto" w:fill="FFFFFF"/>
        </w:rPr>
        <w:t xml:space="preserve">Kamarozaman, A. S., Ahmat, N., Rahman, N. F. A. and Yen, K. H. (2018). Prenylated dihydrostilbenes from </w:t>
      </w:r>
      <w:r w:rsidRPr="00991BF4">
        <w:rPr>
          <w:rFonts w:ascii="Times New Roman" w:hAnsi="Times New Roman"/>
          <w:i/>
          <w:sz w:val="20"/>
          <w:szCs w:val="20"/>
          <w:shd w:val="clear" w:color="auto" w:fill="FFFFFF"/>
        </w:rPr>
        <w:t>Macaranga heynei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 xml:space="preserve"> (Euphorbiaceae). </w:t>
      </w:r>
      <w:r w:rsidRPr="00991BF4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Malaysian Journal of Analytical Sciences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>, </w:t>
      </w:r>
      <w:r w:rsidRPr="00991BF4">
        <w:rPr>
          <w:rFonts w:ascii="Times New Roman" w:hAnsi="Times New Roman"/>
          <w:iCs/>
          <w:sz w:val="20"/>
          <w:szCs w:val="20"/>
          <w:shd w:val="clear" w:color="auto" w:fill="FFFFFF"/>
        </w:rPr>
        <w:t>22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>(2): 258-263.</w:t>
      </w:r>
      <w:r w:rsidRPr="00991BF4">
        <w:rPr>
          <w:rFonts w:ascii="Times New Roman" w:hAnsi="Times New Roman"/>
          <w:sz w:val="20"/>
          <w:szCs w:val="20"/>
          <w:lang w:val="en-MY"/>
        </w:rPr>
        <w:t xml:space="preserve"> </w:t>
      </w:r>
    </w:p>
    <w:p w14:paraId="4AF1CB93" w14:textId="77777777" w:rsidR="00991BF4" w:rsidRPr="00991BF4" w:rsidRDefault="00991BF4" w:rsidP="00991BF4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/>
          <w:sz w:val="20"/>
          <w:szCs w:val="20"/>
          <w:lang w:val="en-MY"/>
        </w:rPr>
      </w:pPr>
      <w:r w:rsidRPr="00991BF4">
        <w:rPr>
          <w:rFonts w:ascii="Times New Roman" w:hAnsi="Times New Roman"/>
          <w:sz w:val="20"/>
          <w:szCs w:val="20"/>
          <w:shd w:val="clear" w:color="auto" w:fill="FFFFFF"/>
        </w:rPr>
        <w:t xml:space="preserve">Lim, T. Y., Lim, Y. Y. and Yule, C. M. (2014). Bioactivity of leaves of </w:t>
      </w:r>
      <w:r w:rsidRPr="00991BF4">
        <w:rPr>
          <w:rFonts w:ascii="Times New Roman" w:hAnsi="Times New Roman"/>
          <w:i/>
          <w:sz w:val="20"/>
          <w:szCs w:val="20"/>
          <w:shd w:val="clear" w:color="auto" w:fill="FFFFFF"/>
        </w:rPr>
        <w:t>Macaranga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 xml:space="preserve"> species in tropical peat swamp and non-peat swamp environments. </w:t>
      </w:r>
      <w:r w:rsidRPr="00991BF4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Journal of Tropical Forest Science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>, 2014: 134-141.</w:t>
      </w:r>
      <w:r w:rsidRPr="00991BF4">
        <w:rPr>
          <w:rFonts w:ascii="Times New Roman" w:hAnsi="Times New Roman"/>
          <w:sz w:val="20"/>
          <w:szCs w:val="20"/>
          <w:lang w:val="en-MY"/>
        </w:rPr>
        <w:t xml:space="preserve"> </w:t>
      </w:r>
    </w:p>
    <w:p w14:paraId="391B9CCC" w14:textId="77777777" w:rsidR="00991BF4" w:rsidRPr="00991BF4" w:rsidRDefault="00991BF4" w:rsidP="00991BF4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/>
          <w:sz w:val="20"/>
          <w:szCs w:val="20"/>
          <w:lang w:val="en-MY"/>
        </w:rPr>
      </w:pPr>
      <w:r w:rsidRPr="00991BF4">
        <w:rPr>
          <w:rFonts w:ascii="Times New Roman" w:hAnsi="Times New Roman"/>
          <w:sz w:val="20"/>
          <w:szCs w:val="20"/>
          <w:shd w:val="clear" w:color="auto" w:fill="FFFFFF"/>
        </w:rPr>
        <w:t xml:space="preserve">Aminah, N. S., Kristanti, A. N. and Tanjung, M. (2014). Antioxidant activity of flavonoid compounds from the leaves of </w:t>
      </w:r>
      <w:r w:rsidRPr="00991BF4">
        <w:rPr>
          <w:rFonts w:ascii="Times New Roman" w:hAnsi="Times New Roman"/>
          <w:i/>
          <w:sz w:val="20"/>
          <w:szCs w:val="20"/>
          <w:shd w:val="clear" w:color="auto" w:fill="FFFFFF"/>
        </w:rPr>
        <w:t>Macaranga gigantea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>. </w:t>
      </w:r>
      <w:r w:rsidRPr="00991BF4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Journal of Chemical and Pharmaceutical Research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>, </w:t>
      </w:r>
      <w:r w:rsidRPr="00991BF4">
        <w:rPr>
          <w:rFonts w:ascii="Times New Roman" w:hAnsi="Times New Roman"/>
          <w:iCs/>
          <w:sz w:val="20"/>
          <w:szCs w:val="20"/>
          <w:shd w:val="clear" w:color="auto" w:fill="FFFFFF"/>
        </w:rPr>
        <w:t>6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>(6): 688-692.</w:t>
      </w:r>
    </w:p>
    <w:p w14:paraId="735B0224" w14:textId="77777777" w:rsidR="00991BF4" w:rsidRPr="00991BF4" w:rsidRDefault="00991BF4" w:rsidP="00991BF4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/>
          <w:sz w:val="20"/>
          <w:szCs w:val="20"/>
          <w:lang w:val="en-MY"/>
        </w:rPr>
      </w:pPr>
      <w:r w:rsidRPr="00991BF4">
        <w:rPr>
          <w:rFonts w:ascii="Times New Roman" w:hAnsi="Times New Roman"/>
          <w:sz w:val="20"/>
          <w:szCs w:val="20"/>
          <w:shd w:val="clear" w:color="auto" w:fill="FFFFFF"/>
        </w:rPr>
        <w:t>Heckroth, H. P., Fiala, B. and Maschwitz, U. (2016). Integration of scale insects (Hemiptera: Coccidae) in the south-east Asian ant-plant (</w:t>
      </w:r>
      <w:r w:rsidRPr="00991BF4">
        <w:rPr>
          <w:rFonts w:ascii="Times New Roman" w:hAnsi="Times New Roman"/>
          <w:i/>
          <w:sz w:val="20"/>
          <w:szCs w:val="20"/>
          <w:shd w:val="clear" w:color="auto" w:fill="FFFFFF"/>
        </w:rPr>
        <w:t>Crematogaster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 xml:space="preserve"> (Formicidae)-</w:t>
      </w:r>
      <w:r w:rsidRPr="00991BF4">
        <w:rPr>
          <w:rFonts w:ascii="Times New Roman" w:hAnsi="Times New Roman"/>
          <w:i/>
          <w:sz w:val="20"/>
          <w:szCs w:val="20"/>
          <w:shd w:val="clear" w:color="auto" w:fill="FFFFFF"/>
        </w:rPr>
        <w:t>Macaranga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 xml:space="preserve"> (Euphorbiaceae)) System. </w:t>
      </w:r>
      <w:r w:rsidRPr="00991BF4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Entomologica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>, </w:t>
      </w:r>
      <w:r w:rsidRPr="00991BF4">
        <w:rPr>
          <w:rFonts w:ascii="Times New Roman" w:hAnsi="Times New Roman"/>
          <w:iCs/>
          <w:sz w:val="20"/>
          <w:szCs w:val="20"/>
          <w:shd w:val="clear" w:color="auto" w:fill="FFFFFF"/>
        </w:rPr>
        <w:t>33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>: 287-295.</w:t>
      </w:r>
      <w:r w:rsidRPr="00991BF4">
        <w:rPr>
          <w:rFonts w:ascii="Times New Roman" w:hAnsi="Times New Roman"/>
          <w:noProof/>
          <w:sz w:val="20"/>
          <w:szCs w:val="20"/>
          <w:lang w:val="en-MY"/>
        </w:rPr>
        <w:t xml:space="preserve"> </w:t>
      </w:r>
    </w:p>
    <w:p w14:paraId="056E1C96" w14:textId="77777777" w:rsidR="00991BF4" w:rsidRPr="00991BF4" w:rsidRDefault="00991BF4" w:rsidP="00991BF4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/>
          <w:sz w:val="20"/>
          <w:szCs w:val="20"/>
          <w:lang w:val="en-MY"/>
        </w:rPr>
      </w:pPr>
      <w:r w:rsidRPr="00991BF4">
        <w:rPr>
          <w:rFonts w:ascii="Times New Roman" w:hAnsi="Times New Roman"/>
          <w:sz w:val="20"/>
          <w:szCs w:val="20"/>
          <w:shd w:val="clear" w:color="auto" w:fill="FFFFFF"/>
        </w:rPr>
        <w:t xml:space="preserve">Norfaizal, G. M., Khalijah, H. and Ruzi, A. M. (2012). Leaf anatomical study of five </w:t>
      </w:r>
      <w:r w:rsidRPr="00991BF4">
        <w:rPr>
          <w:rFonts w:ascii="Times New Roman" w:hAnsi="Times New Roman"/>
          <w:i/>
          <w:sz w:val="20"/>
          <w:szCs w:val="20"/>
          <w:shd w:val="clear" w:color="auto" w:fill="FFFFFF"/>
        </w:rPr>
        <w:t>Macaranga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 xml:space="preserve"> species (Euphorbiaceae). </w:t>
      </w:r>
      <w:r w:rsidRPr="00991BF4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Journal of Tropical Agriculture &amp; Food Science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>, </w:t>
      </w:r>
      <w:r w:rsidRPr="00991BF4">
        <w:rPr>
          <w:rFonts w:ascii="Times New Roman" w:hAnsi="Times New Roman"/>
          <w:iCs/>
          <w:sz w:val="20"/>
          <w:szCs w:val="20"/>
          <w:shd w:val="clear" w:color="auto" w:fill="FFFFFF"/>
        </w:rPr>
        <w:t>40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>(2): 289-296.</w:t>
      </w:r>
    </w:p>
    <w:p w14:paraId="6C4B638E" w14:textId="77777777" w:rsidR="00991BF4" w:rsidRPr="00991BF4" w:rsidRDefault="00991BF4" w:rsidP="00991BF4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/>
          <w:sz w:val="20"/>
          <w:szCs w:val="20"/>
          <w:lang w:val="en-MY"/>
        </w:rPr>
      </w:pPr>
      <w:r w:rsidRPr="00991BF4">
        <w:rPr>
          <w:rFonts w:ascii="Times New Roman" w:hAnsi="Times New Roman"/>
          <w:sz w:val="20"/>
          <w:szCs w:val="20"/>
        </w:rPr>
        <w:t xml:space="preserve">Magadula, J. J. (2014). Phytochemistry and pharmacology of the genus </w:t>
      </w:r>
      <w:r w:rsidRPr="00991BF4">
        <w:rPr>
          <w:rFonts w:ascii="Times New Roman" w:hAnsi="Times New Roman"/>
          <w:i/>
          <w:sz w:val="20"/>
          <w:szCs w:val="20"/>
        </w:rPr>
        <w:t>Macaranga</w:t>
      </w:r>
      <w:r w:rsidRPr="00991BF4">
        <w:rPr>
          <w:rFonts w:ascii="Times New Roman" w:hAnsi="Times New Roman"/>
          <w:sz w:val="20"/>
          <w:szCs w:val="20"/>
        </w:rPr>
        <w:t>: A review. </w:t>
      </w:r>
      <w:r w:rsidRPr="00991BF4">
        <w:rPr>
          <w:rFonts w:ascii="Times New Roman" w:hAnsi="Times New Roman"/>
          <w:i/>
          <w:sz w:val="20"/>
          <w:szCs w:val="20"/>
        </w:rPr>
        <w:t>Journal of Medicinal Plants Research</w:t>
      </w:r>
      <w:r w:rsidRPr="00991BF4">
        <w:rPr>
          <w:rFonts w:ascii="Times New Roman" w:hAnsi="Times New Roman"/>
          <w:sz w:val="20"/>
          <w:szCs w:val="20"/>
        </w:rPr>
        <w:t>, 8(12): 489-503.</w:t>
      </w:r>
    </w:p>
    <w:p w14:paraId="23374037" w14:textId="77777777" w:rsidR="00991BF4" w:rsidRPr="00991BF4" w:rsidRDefault="00991BF4" w:rsidP="00991BF4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/>
          <w:sz w:val="20"/>
          <w:szCs w:val="20"/>
          <w:lang w:val="en-MY"/>
        </w:rPr>
      </w:pPr>
      <w:r w:rsidRPr="00991BF4">
        <w:rPr>
          <w:rFonts w:ascii="Times New Roman" w:hAnsi="Times New Roman"/>
          <w:sz w:val="20"/>
          <w:szCs w:val="20"/>
          <w:shd w:val="clear" w:color="auto" w:fill="FFFFFF"/>
        </w:rPr>
        <w:t>Pandey, A. and Tripathi, S. (2014). Concept of standardization, extraction and pre phytochemical screening strategies for herbal drug. </w:t>
      </w:r>
      <w:r w:rsidRPr="00991BF4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Journal of Pharmacognosy and Phytochemistry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>, </w:t>
      </w:r>
      <w:r w:rsidRPr="00991BF4">
        <w:rPr>
          <w:rFonts w:ascii="Times New Roman" w:hAnsi="Times New Roman"/>
          <w:iCs/>
          <w:sz w:val="20"/>
          <w:szCs w:val="20"/>
          <w:shd w:val="clear" w:color="auto" w:fill="FFFFFF"/>
        </w:rPr>
        <w:t>2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>(5): 115-119.</w:t>
      </w:r>
    </w:p>
    <w:p w14:paraId="19A73AC0" w14:textId="77777777" w:rsidR="00991BF4" w:rsidRPr="00991BF4" w:rsidRDefault="00991BF4" w:rsidP="00991BF4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/>
          <w:sz w:val="20"/>
          <w:szCs w:val="20"/>
          <w:lang w:val="en-MY"/>
        </w:rPr>
      </w:pPr>
      <w:r w:rsidRPr="00991BF4">
        <w:rPr>
          <w:rFonts w:ascii="Times New Roman" w:hAnsi="Times New Roman"/>
          <w:sz w:val="20"/>
          <w:szCs w:val="20"/>
          <w:shd w:val="clear" w:color="auto" w:fill="FFFFFF"/>
        </w:rPr>
        <w:t>Ellman, G. L., Courtney, K. D., Andres Jr, V. and Featherstone, R. M. (1961). A new and rapid colourimetric determination of acetylcholinesterase activity. </w:t>
      </w:r>
      <w:r w:rsidRPr="00991BF4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Biochemical pharmacology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>, </w:t>
      </w:r>
      <w:r w:rsidRPr="00991BF4">
        <w:rPr>
          <w:rFonts w:ascii="Times New Roman" w:hAnsi="Times New Roman"/>
          <w:iCs/>
          <w:sz w:val="20"/>
          <w:szCs w:val="20"/>
          <w:shd w:val="clear" w:color="auto" w:fill="FFFFFF"/>
        </w:rPr>
        <w:t>7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>(2): 88-95.</w:t>
      </w:r>
      <w:r w:rsidRPr="00991BF4">
        <w:rPr>
          <w:rFonts w:ascii="Times New Roman" w:hAnsi="Times New Roman"/>
          <w:bCs/>
          <w:iCs/>
          <w:sz w:val="20"/>
          <w:szCs w:val="20"/>
        </w:rPr>
        <w:t xml:space="preserve"> </w:t>
      </w:r>
    </w:p>
    <w:p w14:paraId="3F859724" w14:textId="77777777" w:rsidR="00991BF4" w:rsidRPr="00991BF4" w:rsidRDefault="00991BF4" w:rsidP="00991BF4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/>
          <w:sz w:val="20"/>
          <w:szCs w:val="20"/>
          <w:lang w:val="en-MY"/>
        </w:rPr>
      </w:pPr>
      <w:r w:rsidRPr="00991BF4">
        <w:rPr>
          <w:rFonts w:ascii="Times New Roman" w:hAnsi="Times New Roman"/>
          <w:sz w:val="20"/>
          <w:szCs w:val="20"/>
          <w:shd w:val="clear" w:color="auto" w:fill="FFFFFF"/>
        </w:rPr>
        <w:t>Salles, M. T., Viana, F. V., Van De Meent, M., Rhee, I. K. and Verpoorte, R. (2003). Screening for acetylcholinesterase inhibitors from plants to treat Alzheimer disease. </w:t>
      </w:r>
      <w:r w:rsidRPr="00991BF4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Química Nova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>, </w:t>
      </w:r>
      <w:r w:rsidRPr="00991BF4">
        <w:rPr>
          <w:rFonts w:ascii="Times New Roman" w:hAnsi="Times New Roman"/>
          <w:iCs/>
          <w:sz w:val="20"/>
          <w:szCs w:val="20"/>
          <w:shd w:val="clear" w:color="auto" w:fill="FFFFFF"/>
        </w:rPr>
        <w:t>26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>: 1-7.</w:t>
      </w:r>
    </w:p>
    <w:p w14:paraId="03040D2F" w14:textId="77777777" w:rsidR="00991BF4" w:rsidRPr="00991BF4" w:rsidRDefault="00991BF4" w:rsidP="00991BF4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/>
          <w:sz w:val="20"/>
          <w:szCs w:val="20"/>
          <w:lang w:val="en-MY"/>
        </w:rPr>
      </w:pPr>
      <w:r w:rsidRPr="00991BF4">
        <w:rPr>
          <w:rFonts w:ascii="Times New Roman" w:hAnsi="Times New Roman"/>
          <w:sz w:val="20"/>
          <w:szCs w:val="20"/>
        </w:rPr>
        <w:t xml:space="preserve">Beutler, J. A., Shoemaker, R. H., Johnson, T. and Boyd, M. R. (1998). Cytotoxic geranyl stilbenes from </w:t>
      </w:r>
      <w:r w:rsidRPr="00991BF4">
        <w:rPr>
          <w:rFonts w:ascii="Times New Roman" w:hAnsi="Times New Roman"/>
          <w:i/>
          <w:sz w:val="20"/>
          <w:szCs w:val="20"/>
        </w:rPr>
        <w:t>Macaranga schweinfurthii</w:t>
      </w:r>
      <w:r w:rsidRPr="00991BF4">
        <w:rPr>
          <w:rFonts w:ascii="Times New Roman" w:hAnsi="Times New Roman"/>
          <w:sz w:val="20"/>
          <w:szCs w:val="20"/>
        </w:rPr>
        <w:t xml:space="preserve">. </w:t>
      </w:r>
      <w:r w:rsidRPr="00991BF4">
        <w:rPr>
          <w:rFonts w:ascii="Times New Roman" w:hAnsi="Times New Roman"/>
          <w:i/>
          <w:sz w:val="20"/>
          <w:szCs w:val="20"/>
        </w:rPr>
        <w:t xml:space="preserve">Journal of Natural Product, </w:t>
      </w:r>
      <w:r w:rsidRPr="00991BF4">
        <w:rPr>
          <w:rFonts w:ascii="Times New Roman" w:hAnsi="Times New Roman"/>
          <w:sz w:val="20"/>
          <w:szCs w:val="20"/>
        </w:rPr>
        <w:t>61: 1509-1512.</w:t>
      </w:r>
    </w:p>
    <w:p w14:paraId="4D7A7407" w14:textId="77777777" w:rsidR="00991BF4" w:rsidRPr="00991BF4" w:rsidRDefault="00991BF4" w:rsidP="00991BF4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/>
          <w:sz w:val="20"/>
          <w:szCs w:val="20"/>
          <w:lang w:val="en-MY"/>
        </w:rPr>
      </w:pPr>
      <w:r w:rsidRPr="00991BF4">
        <w:rPr>
          <w:rFonts w:ascii="Times New Roman" w:hAnsi="Times New Roman"/>
          <w:sz w:val="20"/>
          <w:szCs w:val="20"/>
          <w:shd w:val="clear" w:color="auto" w:fill="FFFFFF"/>
        </w:rPr>
        <w:t xml:space="preserve">Tanjung, M., Hakim, E. H., Mujahidin, D., Hanafi, M. and Syah, Y. M. (2009). Macagigantin, a farnesylated flavonol from </w:t>
      </w:r>
      <w:r w:rsidRPr="00991BF4">
        <w:rPr>
          <w:rFonts w:ascii="Times New Roman" w:hAnsi="Times New Roman"/>
          <w:i/>
          <w:sz w:val="20"/>
          <w:szCs w:val="20"/>
          <w:shd w:val="clear" w:color="auto" w:fill="FFFFFF"/>
        </w:rPr>
        <w:t>Macaranga gigantea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>. </w:t>
      </w:r>
      <w:r w:rsidRPr="00991BF4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Journal of Asian natural products research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>, </w:t>
      </w:r>
      <w:r w:rsidRPr="00991BF4">
        <w:rPr>
          <w:rFonts w:ascii="Times New Roman" w:hAnsi="Times New Roman"/>
          <w:iCs/>
          <w:sz w:val="20"/>
          <w:szCs w:val="20"/>
          <w:shd w:val="clear" w:color="auto" w:fill="FFFFFF"/>
        </w:rPr>
        <w:t>11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>(11): 929-932.</w:t>
      </w:r>
    </w:p>
    <w:p w14:paraId="6DC213F9" w14:textId="77777777" w:rsidR="00991BF4" w:rsidRPr="00991BF4" w:rsidRDefault="00991BF4" w:rsidP="00991BF4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/>
          <w:sz w:val="20"/>
          <w:szCs w:val="20"/>
          <w:lang w:val="en-MY"/>
        </w:rPr>
      </w:pPr>
      <w:r w:rsidRPr="00991BF4">
        <w:rPr>
          <w:rFonts w:ascii="Times New Roman" w:hAnsi="Times New Roman"/>
          <w:sz w:val="20"/>
          <w:szCs w:val="20"/>
        </w:rPr>
        <w:t xml:space="preserve">Howes, M. J. R. and Perry, E. (2011). The role of phytochemicals in the treatment and prevention of dementia. </w:t>
      </w:r>
      <w:r w:rsidRPr="00991BF4">
        <w:rPr>
          <w:rFonts w:ascii="Times New Roman" w:hAnsi="Times New Roman"/>
          <w:i/>
          <w:sz w:val="20"/>
          <w:szCs w:val="20"/>
        </w:rPr>
        <w:t>Drugs &amp; Aging</w:t>
      </w:r>
      <w:r w:rsidRPr="00991BF4">
        <w:rPr>
          <w:rFonts w:ascii="Times New Roman" w:hAnsi="Times New Roman"/>
          <w:sz w:val="20"/>
          <w:szCs w:val="20"/>
        </w:rPr>
        <w:t>, 28(6): 439-468.</w:t>
      </w:r>
    </w:p>
    <w:p w14:paraId="498529B9" w14:textId="77777777" w:rsidR="00991BF4" w:rsidRPr="00991BF4" w:rsidRDefault="00991BF4" w:rsidP="00991BF4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/>
          <w:sz w:val="20"/>
          <w:szCs w:val="20"/>
          <w:lang w:val="en-MY"/>
        </w:rPr>
      </w:pPr>
      <w:r w:rsidRPr="00991BF4">
        <w:rPr>
          <w:rFonts w:ascii="Times New Roman" w:hAnsi="Times New Roman"/>
          <w:sz w:val="20"/>
          <w:szCs w:val="20"/>
          <w:shd w:val="clear" w:color="auto" w:fill="FFFFFF"/>
        </w:rPr>
        <w:lastRenderedPageBreak/>
        <w:t xml:space="preserve">Kamarozaman, A. S., Ahmat, N., Isa, S. N. M., Hafiz, Z. Z., Adenan, M. I., Yusof, M. I. M. and Latip, J. (2019). New dihydrostilbenes from </w:t>
      </w:r>
      <w:r w:rsidRPr="00991BF4">
        <w:rPr>
          <w:rFonts w:ascii="Times New Roman" w:hAnsi="Times New Roman"/>
          <w:i/>
          <w:sz w:val="20"/>
          <w:szCs w:val="20"/>
          <w:shd w:val="clear" w:color="auto" w:fill="FFFFFF"/>
        </w:rPr>
        <w:t>Macaranga heynei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 xml:space="preserve"> IM Johnson, biological activities and structure-activity relationship. </w:t>
      </w:r>
      <w:r w:rsidRPr="00991BF4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Phytochemistry Letters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>, </w:t>
      </w:r>
      <w:r w:rsidRPr="00991BF4">
        <w:rPr>
          <w:rFonts w:ascii="Times New Roman" w:hAnsi="Times New Roman"/>
          <w:iCs/>
          <w:sz w:val="20"/>
          <w:szCs w:val="20"/>
          <w:shd w:val="clear" w:color="auto" w:fill="FFFFFF"/>
        </w:rPr>
        <w:t>30</w:t>
      </w:r>
      <w:r w:rsidRPr="00991BF4">
        <w:rPr>
          <w:rFonts w:ascii="Times New Roman" w:hAnsi="Times New Roman"/>
          <w:sz w:val="20"/>
          <w:szCs w:val="20"/>
          <w:shd w:val="clear" w:color="auto" w:fill="FFFFFF"/>
        </w:rPr>
        <w:t>: 174-180.</w:t>
      </w:r>
    </w:p>
    <w:p w14:paraId="06597195" w14:textId="77777777" w:rsidR="00991BF4" w:rsidRPr="00991BF4" w:rsidRDefault="00991BF4" w:rsidP="00547252">
      <w:pPr>
        <w:spacing w:after="0"/>
        <w:jc w:val="both"/>
        <w:outlineLvl w:val="0"/>
        <w:rPr>
          <w:rFonts w:ascii="Times New Roman" w:hAnsi="Times New Roman"/>
          <w:b/>
          <w:bCs/>
          <w:sz w:val="20"/>
          <w:szCs w:val="20"/>
          <w:lang w:val="ms-MY"/>
        </w:rPr>
      </w:pPr>
    </w:p>
    <w:p w14:paraId="54D19D62" w14:textId="77777777" w:rsidR="00991BF4" w:rsidRPr="00991BF4" w:rsidRDefault="00991BF4" w:rsidP="00547252">
      <w:pPr>
        <w:spacing w:after="0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</w:p>
    <w:p w14:paraId="1392B235" w14:textId="28BD571F" w:rsidR="00C1566D" w:rsidRPr="002C756A" w:rsidRDefault="00C1566D" w:rsidP="0054725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1566D" w:rsidRPr="002C756A" w:rsidSect="00820627">
      <w:headerReference w:type="even" r:id="rId7"/>
      <w:headerReference w:type="default" r:id="rId8"/>
      <w:footerReference w:type="even" r:id="rId9"/>
      <w:headerReference w:type="first" r:id="rId10"/>
      <w:pgSz w:w="12240" w:h="15840" w:code="1"/>
      <w:pgMar w:top="1800" w:right="1469" w:bottom="1699" w:left="1440" w:header="706" w:footer="706" w:gutter="0"/>
      <w:pgNumType w:start="0"/>
      <w:cols w:space="4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EA769" w14:textId="77777777" w:rsidR="009A4A79" w:rsidRDefault="00E67FF6">
      <w:pPr>
        <w:spacing w:after="0" w:line="240" w:lineRule="auto"/>
      </w:pPr>
      <w:r>
        <w:separator/>
      </w:r>
    </w:p>
  </w:endnote>
  <w:endnote w:type="continuationSeparator" w:id="0">
    <w:p w14:paraId="578D199D" w14:textId="77777777" w:rsidR="009A4A79" w:rsidRDefault="00E6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4987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F7309" w14:textId="77777777" w:rsidR="009A4A79" w:rsidRDefault="00E67FF6">
      <w:pPr>
        <w:spacing w:after="0" w:line="240" w:lineRule="auto"/>
      </w:pPr>
      <w:r>
        <w:separator/>
      </w:r>
    </w:p>
  </w:footnote>
  <w:footnote w:type="continuationSeparator" w:id="0">
    <w:p w14:paraId="3E43B4D0" w14:textId="77777777" w:rsidR="009A4A79" w:rsidRDefault="00E6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1B9A0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94B8F" w14:textId="77777777" w:rsidR="00487F62" w:rsidRDefault="006920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8AF22" w14:textId="77777777" w:rsidR="00487F62" w:rsidRDefault="006920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A13B6"/>
    <w:multiLevelType w:val="hybridMultilevel"/>
    <w:tmpl w:val="4B5ECBD8"/>
    <w:lvl w:ilvl="0" w:tplc="A6A6DE5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95557"/>
    <w:rsid w:val="000C70BB"/>
    <w:rsid w:val="001573E3"/>
    <w:rsid w:val="002B425B"/>
    <w:rsid w:val="002C756A"/>
    <w:rsid w:val="002F626B"/>
    <w:rsid w:val="003A1F80"/>
    <w:rsid w:val="0044292C"/>
    <w:rsid w:val="00460C95"/>
    <w:rsid w:val="00473CD4"/>
    <w:rsid w:val="00487993"/>
    <w:rsid w:val="00547252"/>
    <w:rsid w:val="005644C8"/>
    <w:rsid w:val="005F401D"/>
    <w:rsid w:val="006920C5"/>
    <w:rsid w:val="006E79D9"/>
    <w:rsid w:val="007D0E7F"/>
    <w:rsid w:val="00820627"/>
    <w:rsid w:val="00832F59"/>
    <w:rsid w:val="00834CDE"/>
    <w:rsid w:val="00900BAC"/>
    <w:rsid w:val="00975E1A"/>
    <w:rsid w:val="00991BF4"/>
    <w:rsid w:val="009A3C83"/>
    <w:rsid w:val="009A4A79"/>
    <w:rsid w:val="009A5A4D"/>
    <w:rsid w:val="009E21D1"/>
    <w:rsid w:val="00A23F0F"/>
    <w:rsid w:val="00AA706B"/>
    <w:rsid w:val="00AB5AEF"/>
    <w:rsid w:val="00AC72D0"/>
    <w:rsid w:val="00AD4549"/>
    <w:rsid w:val="00B40E61"/>
    <w:rsid w:val="00B9022C"/>
    <w:rsid w:val="00C1439F"/>
    <w:rsid w:val="00C1566D"/>
    <w:rsid w:val="00C71438"/>
    <w:rsid w:val="00C72F3E"/>
    <w:rsid w:val="00C73A4A"/>
    <w:rsid w:val="00D04BC8"/>
    <w:rsid w:val="00D0718B"/>
    <w:rsid w:val="00D40B1F"/>
    <w:rsid w:val="00D414B9"/>
    <w:rsid w:val="00E67FF6"/>
    <w:rsid w:val="00EA6DE5"/>
    <w:rsid w:val="00ED03B5"/>
    <w:rsid w:val="00FC0E69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5083F83"/>
  <w15:docId w15:val="{A62BAF41-921D-4C96-9E2E-BAC78D4F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selectable">
    <w:name w:val="selectable"/>
    <w:basedOn w:val="DefaultParagraphFont"/>
    <w:rsid w:val="002C756A"/>
  </w:style>
  <w:style w:type="paragraph" w:customStyle="1" w:styleId="Address">
    <w:name w:val="Address"/>
    <w:basedOn w:val="Normal"/>
    <w:uiPriority w:val="2"/>
    <w:qFormat/>
    <w:rsid w:val="00547252"/>
    <w:pPr>
      <w:spacing w:after="0" w:line="240" w:lineRule="auto"/>
      <w:jc w:val="center"/>
    </w:pPr>
    <w:rPr>
      <w:rFonts w:ascii="Times New Roman" w:eastAsia="Calibri" w:hAnsi="Times New Roman" w:cs="Times New Roman"/>
      <w:i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24 No 4 (2020)</vt:lpstr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24 No 4 (2020)</dc:title>
  <dc:creator>Harun Hamzah</dc:creator>
  <cp:lastModifiedBy>Harun Hamzah</cp:lastModifiedBy>
  <cp:revision>3</cp:revision>
  <cp:lastPrinted>2020-04-01T04:48:00Z</cp:lastPrinted>
  <dcterms:created xsi:type="dcterms:W3CDTF">2020-07-04T05:30:00Z</dcterms:created>
  <dcterms:modified xsi:type="dcterms:W3CDTF">2020-08-09T00:39:00Z</dcterms:modified>
</cp:coreProperties>
</file>