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1D633D6A" w:rsidR="003A1F80" w:rsidRPr="00504FF9" w:rsidRDefault="001573E3" w:rsidP="00504FF9">
      <w:pPr>
        <w:spacing w:after="0"/>
        <w:rPr>
          <w:rFonts w:ascii="Times New Roman" w:hAnsi="Times New Roman" w:cs="Times New Roman"/>
          <w:b/>
          <w:i/>
          <w:sz w:val="24"/>
          <w:szCs w:val="24"/>
        </w:rPr>
      </w:pPr>
      <w:r w:rsidRPr="00504FF9">
        <w:rPr>
          <w:rFonts w:ascii="Times New Roman" w:hAnsi="Times New Roman" w:cs="Times New Roman"/>
          <w:b/>
          <w:i/>
          <w:sz w:val="24"/>
          <w:szCs w:val="24"/>
        </w:rPr>
        <w:t>Malaysian Journal of</w:t>
      </w:r>
      <w:r w:rsidR="009A5A4D" w:rsidRPr="00504FF9">
        <w:rPr>
          <w:rFonts w:ascii="Times New Roman" w:hAnsi="Times New Roman" w:cs="Times New Roman"/>
          <w:b/>
          <w:i/>
          <w:sz w:val="24"/>
          <w:szCs w:val="24"/>
        </w:rPr>
        <w:t xml:space="preserve"> Analytical Sciences</w:t>
      </w:r>
      <w:r w:rsidR="003A1F80" w:rsidRPr="00504FF9">
        <w:rPr>
          <w:rFonts w:ascii="Times New Roman" w:hAnsi="Times New Roman" w:cs="Times New Roman"/>
          <w:b/>
          <w:sz w:val="24"/>
          <w:szCs w:val="24"/>
        </w:rPr>
        <w:t xml:space="preserve"> </w:t>
      </w:r>
      <w:r w:rsidR="009A5A4D" w:rsidRPr="00504FF9">
        <w:rPr>
          <w:rFonts w:ascii="Times New Roman" w:hAnsi="Times New Roman" w:cs="Times New Roman"/>
          <w:b/>
          <w:i/>
          <w:sz w:val="24"/>
          <w:szCs w:val="24"/>
        </w:rPr>
        <w:t>Vol 2</w:t>
      </w:r>
      <w:r w:rsidR="00DE20A8" w:rsidRPr="00504FF9">
        <w:rPr>
          <w:rFonts w:ascii="Times New Roman" w:hAnsi="Times New Roman" w:cs="Times New Roman"/>
          <w:b/>
          <w:i/>
          <w:sz w:val="24"/>
          <w:szCs w:val="24"/>
        </w:rPr>
        <w:t>5</w:t>
      </w:r>
      <w:r w:rsidR="009A5A4D" w:rsidRPr="00504FF9">
        <w:rPr>
          <w:rFonts w:ascii="Times New Roman" w:hAnsi="Times New Roman" w:cs="Times New Roman"/>
          <w:b/>
          <w:i/>
          <w:sz w:val="24"/>
          <w:szCs w:val="24"/>
        </w:rPr>
        <w:t xml:space="preserve"> No </w:t>
      </w:r>
      <w:r w:rsidR="009B31A6" w:rsidRPr="00504FF9">
        <w:rPr>
          <w:rFonts w:ascii="Times New Roman" w:hAnsi="Times New Roman" w:cs="Times New Roman"/>
          <w:b/>
          <w:i/>
          <w:sz w:val="24"/>
          <w:szCs w:val="24"/>
        </w:rPr>
        <w:t>3</w:t>
      </w:r>
      <w:r w:rsidR="00C72F3E" w:rsidRPr="00504FF9">
        <w:rPr>
          <w:rFonts w:ascii="Times New Roman" w:hAnsi="Times New Roman" w:cs="Times New Roman"/>
          <w:b/>
          <w:i/>
          <w:sz w:val="24"/>
          <w:szCs w:val="24"/>
        </w:rPr>
        <w:t xml:space="preserve"> (202</w:t>
      </w:r>
      <w:r w:rsidR="00DE20A8" w:rsidRPr="00504FF9">
        <w:rPr>
          <w:rFonts w:ascii="Times New Roman" w:hAnsi="Times New Roman" w:cs="Times New Roman"/>
          <w:b/>
          <w:i/>
          <w:sz w:val="24"/>
          <w:szCs w:val="24"/>
        </w:rPr>
        <w:t>1</w:t>
      </w:r>
      <w:r w:rsidRPr="00504FF9">
        <w:rPr>
          <w:rFonts w:ascii="Times New Roman" w:hAnsi="Times New Roman" w:cs="Times New Roman"/>
          <w:b/>
          <w:i/>
          <w:sz w:val="24"/>
          <w:szCs w:val="24"/>
        </w:rPr>
        <w:t xml:space="preserve">): </w:t>
      </w:r>
      <w:r w:rsidR="00504FF9" w:rsidRPr="00504FF9">
        <w:rPr>
          <w:rFonts w:ascii="Times New Roman" w:hAnsi="Times New Roman" w:cs="Times New Roman"/>
          <w:b/>
          <w:i/>
          <w:sz w:val="24"/>
          <w:szCs w:val="24"/>
        </w:rPr>
        <w:t>388</w:t>
      </w:r>
      <w:r w:rsidR="009B31A6" w:rsidRPr="00504FF9">
        <w:rPr>
          <w:rFonts w:ascii="Times New Roman" w:hAnsi="Times New Roman" w:cs="Times New Roman"/>
          <w:b/>
          <w:i/>
          <w:sz w:val="24"/>
          <w:szCs w:val="24"/>
        </w:rPr>
        <w:t xml:space="preserve"> - </w:t>
      </w:r>
      <w:r w:rsidR="00504FF9" w:rsidRPr="00504FF9">
        <w:rPr>
          <w:rFonts w:ascii="Times New Roman" w:hAnsi="Times New Roman" w:cs="Times New Roman"/>
          <w:b/>
          <w:i/>
          <w:sz w:val="24"/>
          <w:szCs w:val="24"/>
        </w:rPr>
        <w:t>398</w:t>
      </w:r>
    </w:p>
    <w:p w14:paraId="1FF05887" w14:textId="77777777" w:rsidR="00095557" w:rsidRPr="00504FF9" w:rsidRDefault="00095557" w:rsidP="00504FF9">
      <w:pPr>
        <w:spacing w:after="0"/>
        <w:rPr>
          <w:rFonts w:ascii="Times New Roman" w:hAnsi="Times New Roman" w:cs="Times New Roman"/>
          <w:sz w:val="24"/>
          <w:szCs w:val="24"/>
        </w:rPr>
      </w:pPr>
    </w:p>
    <w:p w14:paraId="6280E4A5" w14:textId="77777777" w:rsidR="003A1F80" w:rsidRPr="00504FF9" w:rsidRDefault="003A1F80" w:rsidP="00504FF9">
      <w:pPr>
        <w:spacing w:after="0"/>
        <w:rPr>
          <w:rFonts w:ascii="Times New Roman" w:hAnsi="Times New Roman" w:cs="Times New Roman"/>
          <w:sz w:val="24"/>
          <w:szCs w:val="24"/>
        </w:rPr>
      </w:pPr>
    </w:p>
    <w:p w14:paraId="05D0713A" w14:textId="77777777" w:rsidR="003A1F80" w:rsidRPr="00504FF9" w:rsidRDefault="003A1F80" w:rsidP="00504FF9">
      <w:pPr>
        <w:spacing w:after="0"/>
        <w:rPr>
          <w:rFonts w:ascii="Times New Roman" w:hAnsi="Times New Roman" w:cs="Times New Roman"/>
          <w:sz w:val="24"/>
          <w:szCs w:val="24"/>
        </w:rPr>
      </w:pPr>
    </w:p>
    <w:p w14:paraId="28946509" w14:textId="77777777" w:rsidR="00B40E61" w:rsidRPr="00504FF9" w:rsidRDefault="00B40E61" w:rsidP="00504FF9">
      <w:pPr>
        <w:spacing w:after="0"/>
        <w:rPr>
          <w:rFonts w:ascii="Times New Roman" w:hAnsi="Times New Roman" w:cs="Times New Roman"/>
          <w:sz w:val="24"/>
          <w:szCs w:val="24"/>
        </w:rPr>
      </w:pPr>
    </w:p>
    <w:p w14:paraId="28AF9B97" w14:textId="65BCE6EA" w:rsidR="009C3305" w:rsidRPr="00504FF9" w:rsidRDefault="009C3305" w:rsidP="00504FF9">
      <w:pPr>
        <w:tabs>
          <w:tab w:val="left" w:pos="5059"/>
        </w:tabs>
        <w:spacing w:after="0"/>
        <w:ind w:left="1260" w:hanging="1260"/>
        <w:jc w:val="both"/>
        <w:rPr>
          <w:rFonts w:ascii="Times New Roman" w:hAnsi="Times New Roman" w:cs="Times New Roman"/>
          <w:noProof/>
          <w:sz w:val="20"/>
          <w:szCs w:val="20"/>
        </w:rPr>
        <w:sectPr w:rsidR="009C3305" w:rsidRPr="00504FF9" w:rsidSect="001E55BE">
          <w:footerReference w:type="even" r:id="rId12"/>
          <w:footerReference w:type="default" r:id="rId13"/>
          <w:type w:val="continuous"/>
          <w:pgSz w:w="12240" w:h="15840" w:code="1"/>
          <w:pgMar w:top="1800" w:right="1469" w:bottom="1699" w:left="1440" w:header="706" w:footer="706" w:gutter="0"/>
          <w:pgNumType w:start="1"/>
          <w:cols w:space="403"/>
          <w:docGrid w:linePitch="360"/>
        </w:sectPr>
      </w:pPr>
    </w:p>
    <w:p w14:paraId="413CEEB0" w14:textId="39C3D42D" w:rsidR="001E55BE" w:rsidRPr="00504FF9" w:rsidRDefault="001E55BE" w:rsidP="00504FF9">
      <w:pPr>
        <w:tabs>
          <w:tab w:val="left" w:pos="5059"/>
        </w:tabs>
        <w:spacing w:after="0"/>
        <w:jc w:val="both"/>
        <w:rPr>
          <w:rFonts w:ascii="Times New Roman" w:hAnsi="Times New Roman" w:cs="Times New Roman"/>
          <w:noProof/>
          <w:sz w:val="20"/>
          <w:szCs w:val="20"/>
        </w:rPr>
      </w:pPr>
    </w:p>
    <w:p w14:paraId="7D6E67EB" w14:textId="77777777" w:rsidR="00504FF9" w:rsidRPr="00504FF9" w:rsidRDefault="00504FF9" w:rsidP="00504FF9">
      <w:pPr>
        <w:spacing w:after="0"/>
        <w:jc w:val="center"/>
        <w:rPr>
          <w:rFonts w:ascii="Times New Roman" w:hAnsi="Times New Roman" w:cs="Times New Roman"/>
          <w:bCs/>
          <w:color w:val="000000" w:themeColor="text1"/>
          <w:sz w:val="28"/>
          <w:szCs w:val="28"/>
        </w:rPr>
      </w:pPr>
      <w:r w:rsidRPr="00504FF9">
        <w:rPr>
          <w:rFonts w:ascii="Times New Roman" w:hAnsi="Times New Roman" w:cs="Times New Roman"/>
          <w:bCs/>
          <w:color w:val="000000" w:themeColor="text1"/>
          <w:sz w:val="28"/>
          <w:szCs w:val="28"/>
        </w:rPr>
        <w:t>CLASSIFICATION  MODEL  FOR  DETECTION  AND DISCRIMINATION OF INEDIBLE PLASTIC ADULTERATED PALM COOKING OIL USING ATR-FTIR SPECTROSCOPY COMBINED WITH PRINCIPAL COMPONENT ANALYSIS</w:t>
      </w:r>
    </w:p>
    <w:p w14:paraId="0F958B6D" w14:textId="77777777" w:rsidR="00504FF9" w:rsidRPr="00504FF9" w:rsidRDefault="00504FF9" w:rsidP="00504FF9">
      <w:pPr>
        <w:spacing w:after="0"/>
        <w:jc w:val="center"/>
        <w:rPr>
          <w:rFonts w:ascii="Times New Roman" w:hAnsi="Times New Roman" w:cs="Times New Roman"/>
          <w:b/>
          <w:sz w:val="24"/>
          <w:szCs w:val="24"/>
        </w:rPr>
      </w:pPr>
    </w:p>
    <w:p w14:paraId="77127B2F" w14:textId="77777777" w:rsidR="00504FF9" w:rsidRPr="00504FF9" w:rsidRDefault="00504FF9" w:rsidP="00504FF9">
      <w:pPr>
        <w:spacing w:after="0"/>
        <w:jc w:val="center"/>
        <w:rPr>
          <w:rFonts w:ascii="Times New Roman" w:hAnsi="Times New Roman" w:cs="Times New Roman"/>
          <w:sz w:val="24"/>
          <w:szCs w:val="24"/>
        </w:rPr>
      </w:pPr>
      <w:r w:rsidRPr="00504FF9" w:rsidDel="00212C99">
        <w:rPr>
          <w:rFonts w:ascii="Times New Roman" w:hAnsi="Times New Roman" w:cs="Times New Roman"/>
          <w:i/>
          <w:sz w:val="24"/>
          <w:szCs w:val="24"/>
        </w:rPr>
        <w:t xml:space="preserve"> </w:t>
      </w:r>
      <w:r w:rsidRPr="00504FF9">
        <w:rPr>
          <w:rFonts w:ascii="Times New Roman" w:hAnsi="Times New Roman" w:cs="Times New Roman"/>
          <w:sz w:val="24"/>
          <w:szCs w:val="24"/>
        </w:rPr>
        <w:t>(</w:t>
      </w:r>
      <w:r w:rsidRPr="00504FF9">
        <w:rPr>
          <w:rFonts w:ascii="Times New Roman" w:hAnsi="Times New Roman" w:cs="Times New Roman"/>
          <w:noProof/>
          <w:sz w:val="24"/>
          <w:szCs w:val="24"/>
          <w:lang w:val="ms-MY"/>
        </w:rPr>
        <w:t>Model Pengkelasan bagi Pengesanan dan Pengasingan Produk Cemaraduk Plastik dalam Minyak Masak Sawit Menggunakan Spektroskopi ATR-FTIR dengan Gabungan Analisis Komponen Prinsipal</w:t>
      </w:r>
      <w:r w:rsidRPr="00504FF9">
        <w:rPr>
          <w:rFonts w:ascii="Times New Roman" w:hAnsi="Times New Roman" w:cs="Times New Roman"/>
          <w:sz w:val="24"/>
          <w:szCs w:val="24"/>
        </w:rPr>
        <w:t>)</w:t>
      </w:r>
    </w:p>
    <w:p w14:paraId="1B0CA8D2" w14:textId="77777777" w:rsidR="00504FF9" w:rsidRPr="00504FF9" w:rsidRDefault="00504FF9" w:rsidP="00504FF9">
      <w:pPr>
        <w:spacing w:after="0"/>
        <w:jc w:val="center"/>
        <w:rPr>
          <w:rFonts w:ascii="Times New Roman" w:hAnsi="Times New Roman" w:cs="Times New Roman"/>
          <w:b/>
          <w:sz w:val="20"/>
          <w:szCs w:val="20"/>
        </w:rPr>
      </w:pPr>
    </w:p>
    <w:p w14:paraId="4FB545BF" w14:textId="77777777" w:rsidR="00504FF9" w:rsidRPr="00504FF9" w:rsidRDefault="00504FF9" w:rsidP="00504FF9">
      <w:pPr>
        <w:spacing w:after="0"/>
        <w:jc w:val="center"/>
        <w:rPr>
          <w:rFonts w:ascii="Times New Roman" w:hAnsi="Times New Roman" w:cs="Times New Roman"/>
          <w:noProof/>
          <w:sz w:val="20"/>
          <w:szCs w:val="20"/>
          <w:lang w:val="ms-MY"/>
        </w:rPr>
      </w:pPr>
      <w:r w:rsidRPr="00504FF9">
        <w:rPr>
          <w:rFonts w:ascii="Times New Roman" w:hAnsi="Times New Roman" w:cs="Times New Roman"/>
          <w:noProof/>
          <w:sz w:val="20"/>
          <w:szCs w:val="20"/>
          <w:lang w:val="ms-MY"/>
        </w:rPr>
        <w:t>Dzulkiflee Ismail</w:t>
      </w:r>
      <w:r w:rsidRPr="00504FF9">
        <w:rPr>
          <w:rFonts w:ascii="Times New Roman" w:hAnsi="Times New Roman" w:cs="Times New Roman"/>
          <w:noProof/>
          <w:sz w:val="20"/>
          <w:szCs w:val="20"/>
          <w:vertAlign w:val="superscript"/>
          <w:lang w:val="ms-MY"/>
        </w:rPr>
        <w:t>1</w:t>
      </w:r>
      <w:r w:rsidRPr="00504FF9">
        <w:rPr>
          <w:rFonts w:ascii="Times New Roman" w:hAnsi="Times New Roman" w:cs="Times New Roman"/>
          <w:noProof/>
          <w:sz w:val="20"/>
          <w:szCs w:val="20"/>
          <w:lang w:val="ms-MY"/>
        </w:rPr>
        <w:t>, Aliyalina Rahimi</w:t>
      </w:r>
      <w:r w:rsidRPr="00504FF9">
        <w:rPr>
          <w:rFonts w:ascii="Times New Roman" w:hAnsi="Times New Roman" w:cs="Times New Roman"/>
          <w:noProof/>
          <w:sz w:val="20"/>
          <w:szCs w:val="20"/>
          <w:vertAlign w:val="superscript"/>
          <w:lang w:val="ms-MY"/>
        </w:rPr>
        <w:t>1</w:t>
      </w:r>
      <w:r w:rsidRPr="00504FF9">
        <w:rPr>
          <w:rFonts w:ascii="Times New Roman" w:hAnsi="Times New Roman" w:cs="Times New Roman"/>
          <w:noProof/>
          <w:sz w:val="20"/>
          <w:szCs w:val="20"/>
          <w:lang w:val="ms-MY"/>
        </w:rPr>
        <w:t>, Wan Rosli Wan Ishak</w:t>
      </w:r>
      <w:r w:rsidRPr="00504FF9">
        <w:rPr>
          <w:rFonts w:ascii="Times New Roman" w:hAnsi="Times New Roman" w:cs="Times New Roman"/>
          <w:noProof/>
          <w:sz w:val="20"/>
          <w:szCs w:val="20"/>
          <w:vertAlign w:val="superscript"/>
          <w:lang w:val="ms-MY"/>
        </w:rPr>
        <w:t>2</w:t>
      </w:r>
      <w:r w:rsidRPr="00504FF9">
        <w:rPr>
          <w:rFonts w:ascii="Times New Roman" w:hAnsi="Times New Roman" w:cs="Times New Roman"/>
          <w:noProof/>
          <w:sz w:val="20"/>
          <w:szCs w:val="20"/>
          <w:lang w:val="ms-MY"/>
        </w:rPr>
        <w:t>, Naji Arafat Mahat</w:t>
      </w:r>
      <w:r w:rsidRPr="00504FF9">
        <w:rPr>
          <w:rFonts w:ascii="Times New Roman" w:hAnsi="Times New Roman" w:cs="Times New Roman"/>
          <w:noProof/>
          <w:sz w:val="20"/>
          <w:szCs w:val="20"/>
          <w:vertAlign w:val="superscript"/>
          <w:lang w:val="ms-MY"/>
        </w:rPr>
        <w:t>3</w:t>
      </w:r>
      <w:r w:rsidRPr="00504FF9">
        <w:rPr>
          <w:rFonts w:ascii="Times New Roman" w:hAnsi="Times New Roman" w:cs="Times New Roman"/>
          <w:noProof/>
          <w:sz w:val="20"/>
          <w:szCs w:val="20"/>
          <w:lang w:val="ms-MY"/>
        </w:rPr>
        <w:t>, Wan Nur Syuhaila Mat Desa</w:t>
      </w:r>
      <w:r w:rsidRPr="00504FF9">
        <w:rPr>
          <w:rFonts w:ascii="Times New Roman" w:hAnsi="Times New Roman" w:cs="Times New Roman"/>
          <w:noProof/>
          <w:sz w:val="20"/>
          <w:szCs w:val="20"/>
          <w:vertAlign w:val="superscript"/>
          <w:lang w:val="ms-MY"/>
        </w:rPr>
        <w:t>1</w:t>
      </w:r>
      <w:r w:rsidRPr="00504FF9">
        <w:rPr>
          <w:rFonts w:ascii="Times New Roman" w:hAnsi="Times New Roman" w:cs="Times New Roman"/>
          <w:noProof/>
          <w:sz w:val="20"/>
          <w:szCs w:val="20"/>
          <w:lang w:val="ms-MY"/>
        </w:rPr>
        <w:t>*</w:t>
      </w:r>
    </w:p>
    <w:p w14:paraId="784198D5" w14:textId="77777777" w:rsidR="00504FF9" w:rsidRPr="00504FF9" w:rsidRDefault="00504FF9" w:rsidP="00504FF9">
      <w:pPr>
        <w:spacing w:after="0"/>
        <w:jc w:val="center"/>
        <w:rPr>
          <w:rFonts w:ascii="Times New Roman" w:hAnsi="Times New Roman" w:cs="Times New Roman"/>
          <w:b/>
          <w:noProof/>
          <w:color w:val="FF0000"/>
          <w:sz w:val="20"/>
          <w:szCs w:val="20"/>
          <w:lang w:val="ms-MY"/>
        </w:rPr>
      </w:pPr>
    </w:p>
    <w:p w14:paraId="07912B87" w14:textId="77777777" w:rsidR="00504FF9" w:rsidRPr="00504FF9" w:rsidRDefault="00504FF9" w:rsidP="00504FF9">
      <w:pPr>
        <w:spacing w:after="0"/>
        <w:jc w:val="center"/>
        <w:rPr>
          <w:rFonts w:ascii="Times New Roman" w:hAnsi="Times New Roman" w:cs="Times New Roman"/>
          <w:i/>
          <w:noProof/>
          <w:sz w:val="20"/>
          <w:szCs w:val="20"/>
          <w:lang w:val="ms-MY"/>
        </w:rPr>
      </w:pPr>
      <w:r w:rsidRPr="00504FF9">
        <w:rPr>
          <w:rFonts w:ascii="Times New Roman" w:hAnsi="Times New Roman" w:cs="Times New Roman"/>
          <w:i/>
          <w:noProof/>
          <w:sz w:val="20"/>
          <w:szCs w:val="20"/>
          <w:vertAlign w:val="superscript"/>
          <w:lang w:val="ms-MY"/>
        </w:rPr>
        <w:t xml:space="preserve">1 </w:t>
      </w:r>
      <w:r w:rsidRPr="00504FF9">
        <w:rPr>
          <w:rFonts w:ascii="Times New Roman" w:hAnsi="Times New Roman" w:cs="Times New Roman"/>
          <w:i/>
          <w:noProof/>
          <w:sz w:val="20"/>
          <w:szCs w:val="20"/>
          <w:lang w:val="ms-MY"/>
        </w:rPr>
        <w:t>Forensic Science Programme, School of Health Sciences</w:t>
      </w:r>
    </w:p>
    <w:p w14:paraId="673F8F2A" w14:textId="77777777" w:rsidR="00504FF9" w:rsidRPr="00504FF9" w:rsidRDefault="00504FF9" w:rsidP="00504FF9">
      <w:pPr>
        <w:spacing w:after="0"/>
        <w:jc w:val="center"/>
        <w:rPr>
          <w:rFonts w:ascii="Times New Roman" w:hAnsi="Times New Roman" w:cs="Times New Roman"/>
          <w:i/>
          <w:noProof/>
          <w:sz w:val="20"/>
          <w:szCs w:val="20"/>
          <w:lang w:val="ms-MY"/>
        </w:rPr>
      </w:pPr>
      <w:r w:rsidRPr="00504FF9">
        <w:rPr>
          <w:rFonts w:ascii="Times New Roman" w:hAnsi="Times New Roman" w:cs="Times New Roman"/>
          <w:i/>
          <w:noProof/>
          <w:sz w:val="20"/>
          <w:szCs w:val="20"/>
          <w:vertAlign w:val="superscript"/>
          <w:lang w:val="ms-MY"/>
        </w:rPr>
        <w:t xml:space="preserve">2 </w:t>
      </w:r>
      <w:r w:rsidRPr="00504FF9">
        <w:rPr>
          <w:rFonts w:ascii="Times New Roman" w:hAnsi="Times New Roman" w:cs="Times New Roman"/>
          <w:i/>
          <w:noProof/>
          <w:sz w:val="20"/>
          <w:szCs w:val="20"/>
          <w:lang w:val="ms-MY"/>
        </w:rPr>
        <w:t>Nutrition Programme, School of Health Sciences</w:t>
      </w:r>
    </w:p>
    <w:p w14:paraId="0C643626" w14:textId="77777777" w:rsidR="00504FF9" w:rsidRPr="00504FF9" w:rsidRDefault="00504FF9" w:rsidP="00504FF9">
      <w:pPr>
        <w:spacing w:after="0"/>
        <w:jc w:val="center"/>
        <w:rPr>
          <w:rFonts w:ascii="Times New Roman" w:hAnsi="Times New Roman" w:cs="Times New Roman"/>
          <w:i/>
          <w:noProof/>
          <w:sz w:val="20"/>
          <w:szCs w:val="20"/>
          <w:lang w:val="ms-MY"/>
        </w:rPr>
      </w:pPr>
      <w:r w:rsidRPr="00504FF9">
        <w:rPr>
          <w:rFonts w:ascii="Times New Roman" w:hAnsi="Times New Roman" w:cs="Times New Roman"/>
          <w:i/>
          <w:noProof/>
          <w:sz w:val="20"/>
          <w:szCs w:val="20"/>
          <w:lang w:val="ms-MY"/>
        </w:rPr>
        <w:t>Universiti Sains Malaysia, Health Campus, 16150 Kubang Kerian, Kelantan, Malaysia</w:t>
      </w:r>
    </w:p>
    <w:p w14:paraId="7B7DF4E4" w14:textId="77777777" w:rsidR="00504FF9" w:rsidRPr="00504FF9" w:rsidRDefault="00504FF9" w:rsidP="00504FF9">
      <w:pPr>
        <w:spacing w:after="0"/>
        <w:jc w:val="center"/>
        <w:rPr>
          <w:rFonts w:ascii="Times New Roman" w:hAnsi="Times New Roman" w:cs="Times New Roman"/>
          <w:i/>
          <w:noProof/>
          <w:sz w:val="20"/>
          <w:szCs w:val="20"/>
          <w:lang w:val="ms-MY"/>
        </w:rPr>
      </w:pPr>
      <w:r w:rsidRPr="00504FF9">
        <w:rPr>
          <w:rFonts w:ascii="Times New Roman" w:hAnsi="Times New Roman" w:cs="Times New Roman"/>
          <w:i/>
          <w:noProof/>
          <w:sz w:val="20"/>
          <w:szCs w:val="20"/>
          <w:vertAlign w:val="superscript"/>
          <w:lang w:val="ms-MY"/>
        </w:rPr>
        <w:t>3</w:t>
      </w:r>
      <w:r w:rsidRPr="00504FF9">
        <w:rPr>
          <w:rFonts w:ascii="Times New Roman" w:hAnsi="Times New Roman" w:cs="Times New Roman"/>
          <w:i/>
          <w:noProof/>
          <w:sz w:val="20"/>
          <w:szCs w:val="20"/>
          <w:lang w:val="ms-MY"/>
        </w:rPr>
        <w:t xml:space="preserve">Department of Chemistry, Faculty of Science, </w:t>
      </w:r>
    </w:p>
    <w:p w14:paraId="2A28CBA9" w14:textId="77777777" w:rsidR="00504FF9" w:rsidRPr="00504FF9" w:rsidRDefault="00504FF9" w:rsidP="00504FF9">
      <w:pPr>
        <w:spacing w:after="0"/>
        <w:jc w:val="center"/>
        <w:rPr>
          <w:rFonts w:ascii="Times New Roman" w:hAnsi="Times New Roman" w:cs="Times New Roman"/>
          <w:i/>
          <w:noProof/>
          <w:sz w:val="20"/>
          <w:szCs w:val="20"/>
          <w:lang w:val="ms-MY"/>
        </w:rPr>
      </w:pPr>
      <w:r w:rsidRPr="00504FF9">
        <w:rPr>
          <w:rFonts w:ascii="Times New Roman" w:hAnsi="Times New Roman" w:cs="Times New Roman"/>
          <w:i/>
          <w:noProof/>
          <w:sz w:val="20"/>
          <w:szCs w:val="20"/>
          <w:lang w:val="ms-MY"/>
        </w:rPr>
        <w:t>Universiti Teknologi Malaysia, 81310 Skudai, Johor, Malaysia</w:t>
      </w:r>
    </w:p>
    <w:p w14:paraId="7A19DD8B" w14:textId="77777777" w:rsidR="00504FF9" w:rsidRPr="00504FF9" w:rsidRDefault="00504FF9" w:rsidP="00504FF9">
      <w:pPr>
        <w:spacing w:after="0"/>
        <w:jc w:val="center"/>
        <w:outlineLvl w:val="0"/>
        <w:rPr>
          <w:rFonts w:ascii="Times New Roman" w:hAnsi="Times New Roman" w:cs="Times New Roman"/>
          <w:b/>
          <w:noProof/>
          <w:color w:val="548DD4" w:themeColor="text2" w:themeTint="99"/>
          <w:sz w:val="20"/>
          <w:szCs w:val="20"/>
          <w:lang w:val="ms-MY"/>
        </w:rPr>
      </w:pPr>
      <w:r w:rsidRPr="00504FF9">
        <w:rPr>
          <w:rFonts w:ascii="Times New Roman" w:hAnsi="Times New Roman" w:cs="Times New Roman"/>
          <w:b/>
          <w:noProof/>
          <w:color w:val="548DD4" w:themeColor="text2" w:themeTint="99"/>
          <w:sz w:val="20"/>
          <w:szCs w:val="20"/>
          <w:lang w:val="ms-MY"/>
        </w:rPr>
        <w:t xml:space="preserve"> </w:t>
      </w:r>
    </w:p>
    <w:p w14:paraId="4D5524D1" w14:textId="77777777" w:rsidR="00504FF9" w:rsidRPr="00504FF9" w:rsidRDefault="00504FF9" w:rsidP="00504FF9">
      <w:pPr>
        <w:spacing w:after="0"/>
        <w:jc w:val="center"/>
        <w:outlineLvl w:val="0"/>
        <w:rPr>
          <w:rFonts w:ascii="Times New Roman" w:hAnsi="Times New Roman" w:cs="Times New Roman"/>
          <w:i/>
          <w:noProof/>
          <w:color w:val="548DD4" w:themeColor="text2" w:themeTint="99"/>
          <w:sz w:val="20"/>
          <w:szCs w:val="20"/>
          <w:lang w:val="ms-MY"/>
        </w:rPr>
      </w:pPr>
      <w:r w:rsidRPr="00504FF9">
        <w:rPr>
          <w:rFonts w:ascii="Times New Roman" w:hAnsi="Times New Roman" w:cs="Times New Roman"/>
          <w:i/>
          <w:noProof/>
          <w:sz w:val="20"/>
          <w:szCs w:val="20"/>
          <w:lang w:val="ms-MY"/>
        </w:rPr>
        <w:t>*Corresponding author:  wannurs@usm.my</w:t>
      </w:r>
      <w:r w:rsidRPr="00504FF9">
        <w:rPr>
          <w:rFonts w:ascii="Times New Roman" w:hAnsi="Times New Roman" w:cs="Times New Roman"/>
          <w:b/>
          <w:i/>
          <w:noProof/>
          <w:color w:val="548DD4" w:themeColor="text2" w:themeTint="99"/>
          <w:sz w:val="20"/>
          <w:szCs w:val="20"/>
          <w:lang w:val="ms-MY"/>
        </w:rPr>
        <w:t xml:space="preserve"> </w:t>
      </w:r>
    </w:p>
    <w:p w14:paraId="56724190" w14:textId="77777777" w:rsidR="00504FF9" w:rsidRPr="00504FF9" w:rsidRDefault="00504FF9" w:rsidP="00504FF9">
      <w:pPr>
        <w:spacing w:after="0"/>
        <w:jc w:val="center"/>
        <w:rPr>
          <w:rFonts w:ascii="Times New Roman" w:hAnsi="Times New Roman" w:cs="Times New Roman"/>
          <w:noProof/>
          <w:sz w:val="20"/>
          <w:szCs w:val="20"/>
        </w:rPr>
      </w:pPr>
    </w:p>
    <w:p w14:paraId="784A10C5" w14:textId="77777777" w:rsidR="00504FF9" w:rsidRPr="00504FF9" w:rsidRDefault="00504FF9" w:rsidP="00504FF9">
      <w:pPr>
        <w:spacing w:after="0"/>
        <w:jc w:val="center"/>
        <w:rPr>
          <w:rFonts w:ascii="Times New Roman" w:hAnsi="Times New Roman" w:cs="Times New Roman"/>
          <w:noProof/>
          <w:sz w:val="20"/>
          <w:szCs w:val="20"/>
        </w:rPr>
      </w:pPr>
    </w:p>
    <w:p w14:paraId="4C723F24" w14:textId="77777777" w:rsidR="00504FF9" w:rsidRPr="00504FF9" w:rsidRDefault="00504FF9" w:rsidP="00504FF9">
      <w:pPr>
        <w:spacing w:after="0"/>
        <w:jc w:val="center"/>
        <w:rPr>
          <w:rFonts w:ascii="Times New Roman" w:hAnsi="Times New Roman" w:cs="Times New Roman"/>
          <w:noProof/>
          <w:sz w:val="20"/>
          <w:szCs w:val="20"/>
        </w:rPr>
      </w:pPr>
      <w:r w:rsidRPr="00504FF9">
        <w:rPr>
          <w:rFonts w:ascii="Times New Roman" w:hAnsi="Times New Roman" w:cs="Times New Roman"/>
          <w:noProof/>
          <w:sz w:val="20"/>
          <w:szCs w:val="20"/>
        </w:rPr>
        <w:t>Received: 17 March 2021; Accepted: 28 May 2021; Published:  xx June 2021</w:t>
      </w:r>
    </w:p>
    <w:p w14:paraId="55ED1F5E" w14:textId="77777777" w:rsidR="00504FF9" w:rsidRPr="00504FF9" w:rsidRDefault="00504FF9" w:rsidP="00504FF9">
      <w:pPr>
        <w:spacing w:after="0"/>
        <w:jc w:val="center"/>
        <w:rPr>
          <w:rFonts w:ascii="Times New Roman" w:hAnsi="Times New Roman" w:cs="Times New Roman"/>
          <w:noProof/>
          <w:sz w:val="20"/>
          <w:szCs w:val="20"/>
        </w:rPr>
      </w:pPr>
    </w:p>
    <w:p w14:paraId="04D94A72" w14:textId="77777777" w:rsidR="00504FF9" w:rsidRPr="00504FF9" w:rsidRDefault="00504FF9" w:rsidP="00504FF9">
      <w:pPr>
        <w:spacing w:after="0"/>
        <w:jc w:val="center"/>
        <w:rPr>
          <w:rFonts w:ascii="Times New Roman" w:hAnsi="Times New Roman" w:cs="Times New Roman"/>
          <w:noProof/>
          <w:sz w:val="20"/>
          <w:szCs w:val="20"/>
        </w:rPr>
      </w:pPr>
    </w:p>
    <w:p w14:paraId="1F099D1B" w14:textId="77777777" w:rsidR="00504FF9" w:rsidRPr="00504FF9" w:rsidRDefault="00504FF9" w:rsidP="00504FF9">
      <w:pPr>
        <w:spacing w:after="0"/>
        <w:jc w:val="center"/>
        <w:rPr>
          <w:rFonts w:ascii="Times New Roman" w:hAnsi="Times New Roman" w:cs="Times New Roman"/>
          <w:b/>
          <w:noProof/>
          <w:sz w:val="20"/>
          <w:szCs w:val="20"/>
        </w:rPr>
      </w:pPr>
      <w:r w:rsidRPr="00504FF9">
        <w:rPr>
          <w:rFonts w:ascii="Times New Roman" w:hAnsi="Times New Roman" w:cs="Times New Roman"/>
          <w:b/>
          <w:noProof/>
          <w:sz w:val="20"/>
          <w:szCs w:val="20"/>
        </w:rPr>
        <w:t>Abstract</w:t>
      </w:r>
    </w:p>
    <w:p w14:paraId="4EDCD64C" w14:textId="77777777" w:rsidR="00504FF9" w:rsidRPr="00504FF9" w:rsidRDefault="00504FF9" w:rsidP="00504FF9">
      <w:pPr>
        <w:spacing w:after="0"/>
        <w:jc w:val="both"/>
        <w:rPr>
          <w:rFonts w:ascii="Times New Roman" w:hAnsi="Times New Roman" w:cs="Times New Roman"/>
          <w:sz w:val="20"/>
          <w:szCs w:val="20"/>
        </w:rPr>
      </w:pPr>
      <w:r w:rsidRPr="00504FF9">
        <w:rPr>
          <w:rFonts w:ascii="Times New Roman" w:hAnsi="Times New Roman" w:cs="Times New Roman"/>
          <w:sz w:val="20"/>
          <w:szCs w:val="20"/>
        </w:rPr>
        <w:t>Adulteration of edible oil by replacing or admixing cheaper or waste oil is an irresponsible act motivated by profiteering. A more sinister act of dissolving inedible plastic materials in hot oil during frying to enhance the crispiness and prolong the shelf life of deep-fried snacks has been alleged. In this study, a protocol using ATR-FTIR spectroscopy combined with principal component analysis (PCA) for detection of inedible plastic materials in palm cooking oil is presented. To achieve this, palm cooking oil samples purchased from convenience stores were heated and adulterated either with low-density polyethylene (LDPE), high-density polyethylene (HDPE) or polypropylene (PP). The resultant spectra from 4000-600 cm</w:t>
      </w:r>
      <w:r w:rsidRPr="00504FF9">
        <w:rPr>
          <w:rFonts w:ascii="Times New Roman" w:hAnsi="Times New Roman" w:cs="Times New Roman"/>
          <w:sz w:val="20"/>
          <w:szCs w:val="20"/>
          <w:vertAlign w:val="superscript"/>
        </w:rPr>
        <w:t>-1</w:t>
      </w:r>
      <w:r w:rsidRPr="00504FF9">
        <w:rPr>
          <w:rFonts w:ascii="Times New Roman" w:hAnsi="Times New Roman" w:cs="Times New Roman"/>
          <w:sz w:val="20"/>
          <w:szCs w:val="20"/>
        </w:rPr>
        <w:t xml:space="preserve"> were subjected to direct visual examinations prior to PCA. Detection of plastic materials in the samples from direct visual examinations of the resultant spectra was difficult as all samples revealed similar spectra dominated by major absorption bands at </w:t>
      </w:r>
      <w:bookmarkStart w:id="0" w:name="_Hlk508116824"/>
      <w:r w:rsidRPr="00504FF9">
        <w:rPr>
          <w:rFonts w:ascii="Times New Roman" w:hAnsi="Times New Roman" w:cs="Times New Roman"/>
          <w:sz w:val="20"/>
          <w:szCs w:val="20"/>
        </w:rPr>
        <w:t>2922 cm</w:t>
      </w:r>
      <w:r w:rsidRPr="00504FF9">
        <w:rPr>
          <w:rFonts w:ascii="Times New Roman" w:hAnsi="Times New Roman" w:cs="Times New Roman"/>
          <w:sz w:val="20"/>
          <w:szCs w:val="20"/>
          <w:vertAlign w:val="superscript"/>
        </w:rPr>
        <w:t>-1</w:t>
      </w:r>
      <w:r w:rsidRPr="00504FF9">
        <w:rPr>
          <w:rFonts w:ascii="Times New Roman" w:hAnsi="Times New Roman" w:cs="Times New Roman"/>
          <w:sz w:val="20"/>
          <w:szCs w:val="20"/>
        </w:rPr>
        <w:t>, 2853 cm</w:t>
      </w:r>
      <w:r w:rsidRPr="00504FF9">
        <w:rPr>
          <w:rFonts w:ascii="Times New Roman" w:hAnsi="Times New Roman" w:cs="Times New Roman"/>
          <w:sz w:val="20"/>
          <w:szCs w:val="20"/>
          <w:vertAlign w:val="superscript"/>
        </w:rPr>
        <w:t>-1</w:t>
      </w:r>
      <w:r w:rsidRPr="00504FF9">
        <w:rPr>
          <w:rFonts w:ascii="Times New Roman" w:hAnsi="Times New Roman" w:cs="Times New Roman"/>
          <w:sz w:val="20"/>
          <w:szCs w:val="20"/>
        </w:rPr>
        <w:t>, 1740 cm</w:t>
      </w:r>
      <w:r w:rsidRPr="00504FF9">
        <w:rPr>
          <w:rFonts w:ascii="Times New Roman" w:hAnsi="Times New Roman" w:cs="Times New Roman"/>
          <w:sz w:val="20"/>
          <w:szCs w:val="20"/>
          <w:vertAlign w:val="superscript"/>
        </w:rPr>
        <w:t>-1</w:t>
      </w:r>
      <w:r w:rsidRPr="00504FF9">
        <w:rPr>
          <w:rFonts w:ascii="Times New Roman" w:hAnsi="Times New Roman" w:cs="Times New Roman"/>
          <w:sz w:val="20"/>
          <w:szCs w:val="20"/>
        </w:rPr>
        <w:t>, 1465 cm</w:t>
      </w:r>
      <w:r w:rsidRPr="00504FF9">
        <w:rPr>
          <w:rFonts w:ascii="Times New Roman" w:hAnsi="Times New Roman" w:cs="Times New Roman"/>
          <w:sz w:val="20"/>
          <w:szCs w:val="20"/>
          <w:vertAlign w:val="superscript"/>
        </w:rPr>
        <w:t>-1</w:t>
      </w:r>
      <w:r w:rsidRPr="00504FF9">
        <w:rPr>
          <w:rFonts w:ascii="Times New Roman" w:hAnsi="Times New Roman" w:cs="Times New Roman"/>
          <w:sz w:val="20"/>
          <w:szCs w:val="20"/>
        </w:rPr>
        <w:t>, 1377 cm</w:t>
      </w:r>
      <w:r w:rsidRPr="00504FF9">
        <w:rPr>
          <w:rFonts w:ascii="Times New Roman" w:hAnsi="Times New Roman" w:cs="Times New Roman"/>
          <w:sz w:val="20"/>
          <w:szCs w:val="20"/>
          <w:vertAlign w:val="superscript"/>
        </w:rPr>
        <w:t>-1</w:t>
      </w:r>
      <w:r w:rsidRPr="00504FF9">
        <w:rPr>
          <w:rFonts w:ascii="Times New Roman" w:hAnsi="Times New Roman" w:cs="Times New Roman"/>
          <w:sz w:val="20"/>
          <w:szCs w:val="20"/>
        </w:rPr>
        <w:t xml:space="preserve"> and 721</w:t>
      </w:r>
      <w:bookmarkEnd w:id="0"/>
      <w:r w:rsidRPr="00504FF9">
        <w:rPr>
          <w:rFonts w:ascii="Times New Roman" w:hAnsi="Times New Roman" w:cs="Times New Roman"/>
          <w:sz w:val="20"/>
          <w:szCs w:val="20"/>
        </w:rPr>
        <w:t xml:space="preserve"> cm</w:t>
      </w:r>
      <w:r w:rsidRPr="00504FF9">
        <w:rPr>
          <w:rFonts w:ascii="Times New Roman" w:hAnsi="Times New Roman" w:cs="Times New Roman"/>
          <w:sz w:val="20"/>
          <w:szCs w:val="20"/>
          <w:vertAlign w:val="superscript"/>
        </w:rPr>
        <w:t>-1</w:t>
      </w:r>
      <w:r w:rsidRPr="00504FF9">
        <w:rPr>
          <w:rFonts w:ascii="Times New Roman" w:hAnsi="Times New Roman" w:cs="Times New Roman"/>
          <w:sz w:val="20"/>
          <w:szCs w:val="20"/>
        </w:rPr>
        <w:t xml:space="preserve">, which were typical of triacylglycerols. Despite the similarities, the detection was possible when the resultant spectra were subjected to PCA. The results demonstrated the potential of ATR-FTIR spectroscopy combined with PCA for the detection of inedible plastic adulterated palm cooking oil. </w:t>
      </w:r>
    </w:p>
    <w:p w14:paraId="0915F203" w14:textId="77777777" w:rsidR="00504FF9" w:rsidRPr="00504FF9" w:rsidRDefault="00504FF9" w:rsidP="00504FF9">
      <w:pPr>
        <w:spacing w:after="0"/>
        <w:jc w:val="both"/>
        <w:rPr>
          <w:rFonts w:ascii="Times New Roman" w:hAnsi="Times New Roman" w:cs="Times New Roman"/>
          <w:sz w:val="20"/>
          <w:szCs w:val="20"/>
        </w:rPr>
      </w:pPr>
    </w:p>
    <w:p w14:paraId="29F20CBF" w14:textId="77777777" w:rsidR="00504FF9" w:rsidRPr="00504FF9" w:rsidRDefault="00504FF9" w:rsidP="00504FF9">
      <w:pPr>
        <w:spacing w:after="0"/>
        <w:rPr>
          <w:rFonts w:ascii="Times New Roman" w:hAnsi="Times New Roman" w:cs="Times New Roman"/>
          <w:sz w:val="20"/>
          <w:szCs w:val="20"/>
        </w:rPr>
      </w:pPr>
      <w:r w:rsidRPr="00504FF9">
        <w:rPr>
          <w:rFonts w:ascii="Times New Roman" w:hAnsi="Times New Roman" w:cs="Times New Roman"/>
          <w:b/>
          <w:sz w:val="20"/>
          <w:szCs w:val="20"/>
        </w:rPr>
        <w:t>Keywords:</w:t>
      </w:r>
      <w:r w:rsidRPr="00504FF9">
        <w:rPr>
          <w:rFonts w:ascii="Times New Roman" w:hAnsi="Times New Roman" w:cs="Times New Roman"/>
          <w:sz w:val="20"/>
          <w:szCs w:val="20"/>
        </w:rPr>
        <w:t xml:space="preserve">  ATR-FTIR spectroscopy, cooking oil, adulteration, polyethylene, polypropylene </w:t>
      </w:r>
    </w:p>
    <w:p w14:paraId="45DFC2F1" w14:textId="77777777" w:rsidR="00504FF9" w:rsidRPr="00504FF9" w:rsidRDefault="00504FF9" w:rsidP="00504FF9">
      <w:pPr>
        <w:spacing w:after="0"/>
        <w:jc w:val="both"/>
        <w:rPr>
          <w:rFonts w:ascii="Times New Roman" w:hAnsi="Times New Roman" w:cs="Times New Roman"/>
          <w:sz w:val="20"/>
          <w:szCs w:val="20"/>
        </w:rPr>
      </w:pPr>
    </w:p>
    <w:p w14:paraId="3446834C" w14:textId="77777777" w:rsidR="00504FF9" w:rsidRPr="00504FF9" w:rsidRDefault="00504FF9" w:rsidP="00504FF9">
      <w:pPr>
        <w:spacing w:after="0"/>
        <w:jc w:val="center"/>
        <w:rPr>
          <w:rFonts w:ascii="Times New Roman" w:hAnsi="Times New Roman" w:cs="Times New Roman"/>
          <w:b/>
          <w:noProof/>
          <w:sz w:val="20"/>
          <w:szCs w:val="20"/>
          <w:lang w:val="ms-MY"/>
        </w:rPr>
      </w:pPr>
      <w:r w:rsidRPr="00504FF9">
        <w:rPr>
          <w:rFonts w:ascii="Times New Roman" w:hAnsi="Times New Roman" w:cs="Times New Roman"/>
          <w:b/>
          <w:noProof/>
          <w:sz w:val="20"/>
          <w:szCs w:val="20"/>
          <w:lang w:val="ms-MY"/>
        </w:rPr>
        <w:t>Abstrak</w:t>
      </w:r>
    </w:p>
    <w:p w14:paraId="1027DC18" w14:textId="77777777" w:rsidR="00504FF9" w:rsidRPr="00504FF9" w:rsidRDefault="00504FF9" w:rsidP="00504FF9">
      <w:pPr>
        <w:spacing w:after="0"/>
        <w:jc w:val="both"/>
        <w:rPr>
          <w:rFonts w:ascii="Times New Roman" w:hAnsi="Times New Roman" w:cs="Times New Roman"/>
          <w:noProof/>
          <w:sz w:val="20"/>
          <w:szCs w:val="20"/>
          <w:lang w:val="ms-MY"/>
        </w:rPr>
      </w:pPr>
      <w:r w:rsidRPr="00504FF9">
        <w:rPr>
          <w:rFonts w:ascii="Times New Roman" w:hAnsi="Times New Roman" w:cs="Times New Roman"/>
          <w:noProof/>
          <w:sz w:val="20"/>
          <w:szCs w:val="20"/>
          <w:lang w:val="ms-MY"/>
        </w:rPr>
        <w:t>Cemaraduk minyak makan dengan menggantikan atau mencampurkan bersama minyak murah atau minyak sisa adalah tindakan tidak bertanggungjawab didorong oleh sikap meraih keuntungan. Tindakan yang lebih tidak bertanggungjawab adalah melarutkan plastik tidak boleh dimakan ke dalam minyak panas semasa menggoreng bertujuan untuk meningkatkan kerangupan dan memanjangkan jangka hayat makanan gorengan telah diperkatakan. Kajian ini membentangkan protokol menggunakan kaedah spektroskopi ATR-FTIR yang digabungkan bersama analisis komponen prinsipal (PCA) untuk mengesan bahan plastik tidak boleh dimakan dalam minyak sawit goreng. Untuk mencapai matlamat ini, sampel minyak masak sawit dibeli dari kedai serbaneka telah dipanaskan dan diadukkan bersama polietilena ketumpatan rendah (LDPE), polietilena ketumpatan tinggi (HDPE) atau polipropilena (PP). Spektra inframerah yang diperoleh dari 4000-600 cm</w:t>
      </w:r>
      <w:r w:rsidRPr="00504FF9">
        <w:rPr>
          <w:rFonts w:ascii="Times New Roman" w:hAnsi="Times New Roman" w:cs="Times New Roman"/>
          <w:noProof/>
          <w:sz w:val="20"/>
          <w:szCs w:val="20"/>
          <w:vertAlign w:val="superscript"/>
          <w:lang w:val="ms-MY"/>
        </w:rPr>
        <w:t>-1</w:t>
      </w:r>
      <w:r w:rsidRPr="00504FF9">
        <w:rPr>
          <w:rFonts w:ascii="Times New Roman" w:hAnsi="Times New Roman" w:cs="Times New Roman"/>
          <w:noProof/>
          <w:sz w:val="20"/>
          <w:szCs w:val="20"/>
          <w:lang w:val="ms-MY"/>
        </w:rPr>
        <w:t xml:space="preserve"> telah diperiksa terlebih dahulu melalui kaedah pemeriksaan visual langsung sebelum PCA. Pengesanan bahan plastik tidak boleh dimakan dalam semua sampel melalui kaedah pemeriksaan visual dari spektra inframerah yang dihasilkan adalah sukar berikutan kesemua sampel menghasilkan spektra serupa dengan jalur penyerapan utama tipikal triasilgliserol pada 2922 cm</w:t>
      </w:r>
      <w:r w:rsidRPr="00504FF9">
        <w:rPr>
          <w:rFonts w:ascii="Times New Roman" w:hAnsi="Times New Roman" w:cs="Times New Roman"/>
          <w:noProof/>
          <w:sz w:val="20"/>
          <w:szCs w:val="20"/>
          <w:vertAlign w:val="superscript"/>
          <w:lang w:val="ms-MY"/>
        </w:rPr>
        <w:t>-1</w:t>
      </w:r>
      <w:r w:rsidRPr="00504FF9">
        <w:rPr>
          <w:rFonts w:ascii="Times New Roman" w:hAnsi="Times New Roman" w:cs="Times New Roman"/>
          <w:noProof/>
          <w:sz w:val="20"/>
          <w:szCs w:val="20"/>
          <w:lang w:val="ms-MY"/>
        </w:rPr>
        <w:t>, 2853        cm</w:t>
      </w:r>
      <w:r w:rsidRPr="00504FF9">
        <w:rPr>
          <w:rFonts w:ascii="Times New Roman" w:hAnsi="Times New Roman" w:cs="Times New Roman"/>
          <w:noProof/>
          <w:sz w:val="20"/>
          <w:szCs w:val="20"/>
          <w:vertAlign w:val="superscript"/>
          <w:lang w:val="ms-MY"/>
        </w:rPr>
        <w:t>-1</w:t>
      </w:r>
      <w:r w:rsidRPr="00504FF9">
        <w:rPr>
          <w:rFonts w:ascii="Times New Roman" w:hAnsi="Times New Roman" w:cs="Times New Roman"/>
          <w:noProof/>
          <w:sz w:val="20"/>
          <w:szCs w:val="20"/>
          <w:lang w:val="ms-MY"/>
        </w:rPr>
        <w:t>, 1740 cm</w:t>
      </w:r>
      <w:r w:rsidRPr="00504FF9">
        <w:rPr>
          <w:rFonts w:ascii="Times New Roman" w:hAnsi="Times New Roman" w:cs="Times New Roman"/>
          <w:noProof/>
          <w:sz w:val="20"/>
          <w:szCs w:val="20"/>
          <w:vertAlign w:val="superscript"/>
          <w:lang w:val="ms-MY"/>
        </w:rPr>
        <w:t>-1</w:t>
      </w:r>
      <w:r w:rsidRPr="00504FF9">
        <w:rPr>
          <w:rFonts w:ascii="Times New Roman" w:hAnsi="Times New Roman" w:cs="Times New Roman"/>
          <w:noProof/>
          <w:sz w:val="20"/>
          <w:szCs w:val="20"/>
          <w:lang w:val="ms-MY"/>
        </w:rPr>
        <w:t>, 1465 cm</w:t>
      </w:r>
      <w:r w:rsidRPr="00504FF9">
        <w:rPr>
          <w:rFonts w:ascii="Times New Roman" w:hAnsi="Times New Roman" w:cs="Times New Roman"/>
          <w:noProof/>
          <w:sz w:val="20"/>
          <w:szCs w:val="20"/>
          <w:vertAlign w:val="superscript"/>
          <w:lang w:val="ms-MY"/>
        </w:rPr>
        <w:t>- 1</w:t>
      </w:r>
      <w:r w:rsidRPr="00504FF9">
        <w:rPr>
          <w:rFonts w:ascii="Times New Roman" w:hAnsi="Times New Roman" w:cs="Times New Roman"/>
          <w:noProof/>
          <w:sz w:val="20"/>
          <w:szCs w:val="20"/>
          <w:lang w:val="ms-MY"/>
        </w:rPr>
        <w:t>, 1377 cm</w:t>
      </w:r>
      <w:r w:rsidRPr="00504FF9">
        <w:rPr>
          <w:rFonts w:ascii="Times New Roman" w:hAnsi="Times New Roman" w:cs="Times New Roman"/>
          <w:noProof/>
          <w:sz w:val="20"/>
          <w:szCs w:val="20"/>
          <w:vertAlign w:val="superscript"/>
          <w:lang w:val="ms-MY"/>
        </w:rPr>
        <w:t>-1</w:t>
      </w:r>
      <w:r w:rsidRPr="00504FF9">
        <w:rPr>
          <w:rFonts w:ascii="Times New Roman" w:hAnsi="Times New Roman" w:cs="Times New Roman"/>
          <w:noProof/>
          <w:sz w:val="20"/>
          <w:szCs w:val="20"/>
          <w:lang w:val="ms-MY"/>
        </w:rPr>
        <w:t xml:space="preserve"> dan 721 cm</w:t>
      </w:r>
      <w:r w:rsidRPr="00504FF9">
        <w:rPr>
          <w:rFonts w:ascii="Times New Roman" w:hAnsi="Times New Roman" w:cs="Times New Roman"/>
          <w:noProof/>
          <w:sz w:val="20"/>
          <w:szCs w:val="20"/>
          <w:vertAlign w:val="superscript"/>
          <w:lang w:val="ms-MY"/>
        </w:rPr>
        <w:t>-1</w:t>
      </w:r>
      <w:r w:rsidRPr="00504FF9">
        <w:rPr>
          <w:rFonts w:ascii="Times New Roman" w:hAnsi="Times New Roman" w:cs="Times New Roman"/>
          <w:noProof/>
          <w:sz w:val="20"/>
          <w:szCs w:val="20"/>
          <w:lang w:val="ms-MY"/>
        </w:rPr>
        <w:t>. Walaupun terdapat persamaan, pengesanan dilakukan dengan jayanya menggunakan PCA. Hasil kajian menunjukkan potensi penggabungan spektroskopi ATR-FTIR bersama PCA untuk pengesanan plastik tidak boleh dimakan teraduk dalam minyak masak sawit.</w:t>
      </w:r>
    </w:p>
    <w:p w14:paraId="64334442" w14:textId="77777777" w:rsidR="00504FF9" w:rsidRPr="00504FF9" w:rsidRDefault="00504FF9" w:rsidP="00504FF9">
      <w:pPr>
        <w:spacing w:after="0"/>
        <w:jc w:val="both"/>
        <w:rPr>
          <w:rFonts w:ascii="Times New Roman" w:hAnsi="Times New Roman" w:cs="Times New Roman"/>
          <w:noProof/>
          <w:sz w:val="20"/>
          <w:szCs w:val="20"/>
          <w:lang w:val="ms-MY"/>
        </w:rPr>
      </w:pPr>
    </w:p>
    <w:p w14:paraId="1DCE7304" w14:textId="0482FE00" w:rsidR="00504FF9" w:rsidRPr="00504FF9" w:rsidRDefault="00504FF9" w:rsidP="00504FF9">
      <w:pPr>
        <w:spacing w:after="0"/>
        <w:rPr>
          <w:rFonts w:ascii="Times New Roman" w:hAnsi="Times New Roman" w:cs="Times New Roman"/>
          <w:noProof/>
          <w:sz w:val="20"/>
          <w:szCs w:val="20"/>
          <w:lang w:val="ms-MY"/>
        </w:rPr>
      </w:pPr>
      <w:r w:rsidRPr="00504FF9">
        <w:rPr>
          <w:rFonts w:ascii="Times New Roman" w:hAnsi="Times New Roman" w:cs="Times New Roman"/>
          <w:b/>
          <w:noProof/>
          <w:sz w:val="20"/>
          <w:szCs w:val="20"/>
          <w:lang w:val="ms-MY"/>
        </w:rPr>
        <w:t xml:space="preserve">Kata kunci:  </w:t>
      </w:r>
      <w:r w:rsidRPr="00504FF9">
        <w:rPr>
          <w:rFonts w:ascii="Times New Roman" w:hAnsi="Times New Roman" w:cs="Times New Roman"/>
          <w:noProof/>
          <w:sz w:val="20"/>
          <w:szCs w:val="20"/>
          <w:lang w:val="ms-MY"/>
        </w:rPr>
        <w:t>spektroskopi ATR-FTIR, minyak masak, pengadukan, polietilena, polipropilena</w:t>
      </w:r>
    </w:p>
    <w:p w14:paraId="3056F821" w14:textId="1379D153" w:rsidR="00504FF9" w:rsidRPr="00504FF9" w:rsidRDefault="00504FF9" w:rsidP="00504FF9">
      <w:pPr>
        <w:spacing w:after="0"/>
        <w:rPr>
          <w:rFonts w:ascii="Times New Roman" w:hAnsi="Times New Roman" w:cs="Times New Roman"/>
          <w:noProof/>
          <w:sz w:val="20"/>
          <w:szCs w:val="20"/>
          <w:lang w:val="ms-MY"/>
        </w:rPr>
      </w:pPr>
    </w:p>
    <w:p w14:paraId="72EFDFDA" w14:textId="77777777" w:rsidR="00504FF9" w:rsidRPr="00504FF9" w:rsidRDefault="00504FF9" w:rsidP="00504FF9">
      <w:pPr>
        <w:spacing w:after="0"/>
        <w:jc w:val="center"/>
        <w:rPr>
          <w:rFonts w:ascii="Times New Roman" w:hAnsi="Times New Roman" w:cs="Times New Roman"/>
          <w:b/>
          <w:noProof/>
          <w:sz w:val="20"/>
          <w:szCs w:val="20"/>
        </w:rPr>
      </w:pPr>
      <w:r w:rsidRPr="00504FF9">
        <w:rPr>
          <w:rFonts w:ascii="Times New Roman" w:hAnsi="Times New Roman" w:cs="Times New Roman"/>
          <w:b/>
          <w:noProof/>
          <w:sz w:val="20"/>
          <w:szCs w:val="20"/>
        </w:rPr>
        <w:t>References</w:t>
      </w:r>
    </w:p>
    <w:p w14:paraId="776B978B" w14:textId="77777777" w:rsidR="00504FF9" w:rsidRPr="00504FF9" w:rsidRDefault="00504FF9" w:rsidP="00504FF9">
      <w:pPr>
        <w:pStyle w:val="ListParagraph"/>
        <w:numPr>
          <w:ilvl w:val="0"/>
          <w:numId w:val="9"/>
        </w:numPr>
        <w:spacing w:after="0"/>
        <w:ind w:left="360"/>
        <w:contextualSpacing w:val="0"/>
        <w:jc w:val="both"/>
        <w:rPr>
          <w:rFonts w:ascii="Times New Roman" w:hAnsi="Times New Roman"/>
          <w:sz w:val="20"/>
          <w:szCs w:val="20"/>
        </w:rPr>
      </w:pPr>
      <w:r w:rsidRPr="00504FF9">
        <w:rPr>
          <w:rFonts w:ascii="Times New Roman" w:hAnsi="Times New Roman"/>
          <w:color w:val="000000"/>
          <w:sz w:val="20"/>
          <w:szCs w:val="20"/>
        </w:rPr>
        <w:t>Almeida, D. T., Viana, T. V., Costa, M. M., Silva, C. S. and Feitosa, S., (2019). Effects of different storage conditions on the oxidative stability of crude and refined palm oil, olein and stearin (</w:t>
      </w:r>
      <w:r w:rsidRPr="00504FF9">
        <w:rPr>
          <w:rFonts w:ascii="Times New Roman" w:hAnsi="Times New Roman"/>
          <w:i/>
          <w:iCs/>
          <w:color w:val="000000"/>
          <w:sz w:val="20"/>
          <w:szCs w:val="20"/>
        </w:rPr>
        <w:t>Elaeis guineensis</w:t>
      </w:r>
      <w:r w:rsidRPr="00504FF9">
        <w:rPr>
          <w:rFonts w:ascii="Times New Roman" w:hAnsi="Times New Roman"/>
          <w:color w:val="000000"/>
          <w:sz w:val="20"/>
          <w:szCs w:val="20"/>
        </w:rPr>
        <w:t>). </w:t>
      </w:r>
      <w:r w:rsidRPr="00504FF9">
        <w:rPr>
          <w:rFonts w:ascii="Times New Roman" w:hAnsi="Times New Roman"/>
          <w:i/>
          <w:iCs/>
          <w:color w:val="000000"/>
          <w:sz w:val="20"/>
          <w:szCs w:val="20"/>
        </w:rPr>
        <w:t>Food Science and Technology</w:t>
      </w:r>
      <w:r w:rsidRPr="00504FF9">
        <w:rPr>
          <w:rFonts w:ascii="Times New Roman" w:hAnsi="Times New Roman"/>
          <w:color w:val="000000"/>
          <w:sz w:val="20"/>
          <w:szCs w:val="20"/>
        </w:rPr>
        <w:t>, </w:t>
      </w:r>
      <w:r w:rsidRPr="00504FF9">
        <w:rPr>
          <w:rFonts w:ascii="Times New Roman" w:hAnsi="Times New Roman"/>
          <w:iCs/>
          <w:color w:val="000000"/>
          <w:sz w:val="20"/>
          <w:szCs w:val="20"/>
        </w:rPr>
        <w:t>39</w:t>
      </w:r>
      <w:r w:rsidRPr="00504FF9">
        <w:rPr>
          <w:rFonts w:ascii="Times New Roman" w:hAnsi="Times New Roman"/>
          <w:i/>
          <w:iCs/>
          <w:color w:val="000000"/>
          <w:sz w:val="20"/>
          <w:szCs w:val="20"/>
        </w:rPr>
        <w:t xml:space="preserve"> </w:t>
      </w:r>
      <w:r w:rsidRPr="00504FF9">
        <w:rPr>
          <w:rFonts w:ascii="Times New Roman" w:hAnsi="Times New Roman"/>
          <w:color w:val="000000"/>
          <w:sz w:val="20"/>
          <w:szCs w:val="20"/>
        </w:rPr>
        <w:t>(Suppl. 1): 211-217.</w:t>
      </w:r>
    </w:p>
    <w:p w14:paraId="75A19851" w14:textId="77777777" w:rsidR="00504FF9" w:rsidRPr="00504FF9" w:rsidRDefault="00504FF9" w:rsidP="00504FF9">
      <w:pPr>
        <w:pStyle w:val="ListParagraph"/>
        <w:numPr>
          <w:ilvl w:val="0"/>
          <w:numId w:val="9"/>
        </w:numPr>
        <w:spacing w:after="0"/>
        <w:ind w:left="360"/>
        <w:contextualSpacing w:val="0"/>
        <w:jc w:val="both"/>
        <w:rPr>
          <w:rFonts w:ascii="Times New Roman" w:hAnsi="Times New Roman"/>
          <w:sz w:val="20"/>
          <w:szCs w:val="20"/>
        </w:rPr>
      </w:pPr>
      <w:r w:rsidRPr="00504FF9">
        <w:rPr>
          <w:rFonts w:ascii="Times New Roman" w:hAnsi="Times New Roman"/>
          <w:sz w:val="20"/>
          <w:szCs w:val="20"/>
        </w:rPr>
        <w:t>Daily Express, (2014), Plastic Materials used in frying banana fritters? http://www.dailyexpress. com.my/news.cfm?NewsID=94247</w:t>
      </w:r>
      <w:r w:rsidRPr="00504FF9">
        <w:rPr>
          <w:rStyle w:val="Hyperlink"/>
          <w:rFonts w:ascii="Times New Roman" w:hAnsi="Times New Roman"/>
          <w:sz w:val="20"/>
          <w:szCs w:val="20"/>
        </w:rPr>
        <w:t>.</w:t>
      </w:r>
      <w:r w:rsidRPr="00504FF9">
        <w:rPr>
          <w:rFonts w:ascii="Times New Roman" w:hAnsi="Times New Roman"/>
          <w:sz w:val="20"/>
          <w:szCs w:val="20"/>
        </w:rPr>
        <w:t xml:space="preserve"> [Accessed online 23 November 2020].</w:t>
      </w:r>
    </w:p>
    <w:p w14:paraId="535D601F" w14:textId="77777777" w:rsidR="00504FF9" w:rsidRPr="00504FF9" w:rsidRDefault="00504FF9" w:rsidP="00504FF9">
      <w:pPr>
        <w:pStyle w:val="ListParagraph"/>
        <w:numPr>
          <w:ilvl w:val="0"/>
          <w:numId w:val="9"/>
        </w:numPr>
        <w:spacing w:after="0"/>
        <w:ind w:left="360"/>
        <w:contextualSpacing w:val="0"/>
        <w:jc w:val="both"/>
        <w:rPr>
          <w:rFonts w:ascii="Times New Roman" w:hAnsi="Times New Roman"/>
          <w:sz w:val="20"/>
          <w:szCs w:val="20"/>
        </w:rPr>
      </w:pPr>
      <w:r w:rsidRPr="00504FF9">
        <w:rPr>
          <w:rFonts w:ascii="Times New Roman" w:hAnsi="Times New Roman"/>
          <w:sz w:val="20"/>
          <w:szCs w:val="20"/>
        </w:rPr>
        <w:t xml:space="preserve">Ram, P., Tapos, K., Md.Saiful, I., Mohammad, A. H., Md. Mahfuzar, R. and Mahabubur, R. M. (2018). Toxic effects of plastic on human health and environment: A consequences of health risk assessment in Bangladesh. </w:t>
      </w:r>
      <w:r w:rsidRPr="00504FF9">
        <w:rPr>
          <w:rFonts w:ascii="Times New Roman" w:hAnsi="Times New Roman"/>
          <w:i/>
          <w:sz w:val="20"/>
          <w:szCs w:val="20"/>
        </w:rPr>
        <w:t>International Journal of Health</w:t>
      </w:r>
      <w:r w:rsidRPr="00504FF9">
        <w:rPr>
          <w:rFonts w:ascii="Times New Roman" w:hAnsi="Times New Roman"/>
          <w:sz w:val="20"/>
          <w:szCs w:val="20"/>
        </w:rPr>
        <w:t>, 6(1): 1-5.</w:t>
      </w:r>
    </w:p>
    <w:p w14:paraId="403D797A" w14:textId="77777777" w:rsidR="00504FF9" w:rsidRPr="00504FF9" w:rsidRDefault="00504FF9" w:rsidP="00504FF9">
      <w:pPr>
        <w:pStyle w:val="ListParagraph"/>
        <w:numPr>
          <w:ilvl w:val="0"/>
          <w:numId w:val="9"/>
        </w:numPr>
        <w:spacing w:after="0"/>
        <w:ind w:left="360"/>
        <w:contextualSpacing w:val="0"/>
        <w:jc w:val="both"/>
        <w:rPr>
          <w:rFonts w:ascii="Times New Roman" w:hAnsi="Times New Roman"/>
          <w:sz w:val="20"/>
          <w:szCs w:val="20"/>
        </w:rPr>
      </w:pPr>
      <w:r w:rsidRPr="00504FF9">
        <w:rPr>
          <w:rFonts w:ascii="Times New Roman" w:hAnsi="Times New Roman"/>
          <w:sz w:val="20"/>
          <w:szCs w:val="20"/>
        </w:rPr>
        <w:t xml:space="preserve">Zuleyha, E. (2021) Melamine exposure from the weaning period causes apoptosis, inflammation and damage to the blood-brain barrier. </w:t>
      </w:r>
      <w:r w:rsidRPr="00504FF9">
        <w:rPr>
          <w:rFonts w:ascii="Times New Roman" w:hAnsi="Times New Roman"/>
          <w:i/>
          <w:sz w:val="20"/>
          <w:szCs w:val="20"/>
        </w:rPr>
        <w:t>Journal of Chemical Neuroanatomy</w:t>
      </w:r>
      <w:r w:rsidRPr="00504FF9">
        <w:rPr>
          <w:rFonts w:ascii="Times New Roman" w:hAnsi="Times New Roman"/>
          <w:sz w:val="20"/>
          <w:szCs w:val="20"/>
        </w:rPr>
        <w:t>, 113(1): 1-9.</w:t>
      </w:r>
    </w:p>
    <w:p w14:paraId="116A0C99" w14:textId="77777777" w:rsidR="00504FF9" w:rsidRPr="00504FF9" w:rsidRDefault="00504FF9" w:rsidP="00504FF9">
      <w:pPr>
        <w:pStyle w:val="ListParagraph"/>
        <w:numPr>
          <w:ilvl w:val="0"/>
          <w:numId w:val="9"/>
        </w:numPr>
        <w:spacing w:after="0"/>
        <w:ind w:left="360"/>
        <w:contextualSpacing w:val="0"/>
        <w:jc w:val="both"/>
        <w:rPr>
          <w:rFonts w:ascii="Times New Roman" w:hAnsi="Times New Roman"/>
          <w:sz w:val="20"/>
          <w:szCs w:val="20"/>
        </w:rPr>
      </w:pPr>
      <w:r w:rsidRPr="00504FF9">
        <w:rPr>
          <w:rFonts w:ascii="Times New Roman" w:hAnsi="Times New Roman"/>
          <w:bCs/>
          <w:sz w:val="20"/>
          <w:szCs w:val="20"/>
        </w:rPr>
        <w:t xml:space="preserve">Yaman, N. and Velioglu, S. D. (2019). Use of attenuated total reflectance—Fourier transform infrared (ATR-FTIR) spectroscopy in combination with multivariate methods for the rapid determination of the adulteration of grape, carob and mulberry Pekmez. </w:t>
      </w:r>
      <w:r w:rsidRPr="00504FF9">
        <w:rPr>
          <w:rFonts w:ascii="Times New Roman" w:hAnsi="Times New Roman"/>
          <w:bCs/>
          <w:i/>
          <w:sz w:val="20"/>
          <w:szCs w:val="20"/>
        </w:rPr>
        <w:t>Foods</w:t>
      </w:r>
      <w:r w:rsidRPr="00504FF9">
        <w:rPr>
          <w:rFonts w:ascii="Times New Roman" w:hAnsi="Times New Roman"/>
          <w:bCs/>
          <w:sz w:val="20"/>
          <w:szCs w:val="20"/>
        </w:rPr>
        <w:t>, 8(7): 231-233.</w:t>
      </w:r>
    </w:p>
    <w:p w14:paraId="2C7203CE" w14:textId="77777777" w:rsidR="00504FF9" w:rsidRPr="00504FF9" w:rsidRDefault="00504FF9" w:rsidP="00504FF9">
      <w:pPr>
        <w:pStyle w:val="ListParagraph"/>
        <w:numPr>
          <w:ilvl w:val="0"/>
          <w:numId w:val="9"/>
        </w:numPr>
        <w:spacing w:after="0"/>
        <w:ind w:left="360"/>
        <w:contextualSpacing w:val="0"/>
        <w:jc w:val="both"/>
        <w:rPr>
          <w:rFonts w:ascii="Times New Roman" w:hAnsi="Times New Roman"/>
          <w:sz w:val="20"/>
          <w:szCs w:val="20"/>
        </w:rPr>
      </w:pPr>
      <w:r w:rsidRPr="00504FF9">
        <w:rPr>
          <w:rFonts w:ascii="Times New Roman" w:hAnsi="Times New Roman"/>
          <w:sz w:val="20"/>
          <w:szCs w:val="20"/>
        </w:rPr>
        <w:t xml:space="preserve">Smith, R. (2019), </w:t>
      </w:r>
      <w:r w:rsidRPr="00504FF9">
        <w:rPr>
          <w:rFonts w:ascii="Times New Roman" w:hAnsi="Times New Roman"/>
          <w:color w:val="000000"/>
          <w:sz w:val="20"/>
          <w:szCs w:val="20"/>
        </w:rPr>
        <w:t xml:space="preserve">Food fraud and adulteration detection using FTIR spectroscopy, food safety tech., </w:t>
      </w:r>
      <w:r w:rsidRPr="00504FF9">
        <w:rPr>
          <w:rFonts w:ascii="Times New Roman" w:hAnsi="Times New Roman"/>
          <w:sz w:val="20"/>
          <w:szCs w:val="20"/>
        </w:rPr>
        <w:t>https://foodsafetytech.com/feature_article/ food-fraud-and-adulteration-detection-using-ftir-spectroscopy /2/ [Access online 12 November 2020].</w:t>
      </w:r>
    </w:p>
    <w:p w14:paraId="2D08AE7C" w14:textId="77777777" w:rsidR="00504FF9" w:rsidRPr="00504FF9" w:rsidRDefault="00504FF9" w:rsidP="00504FF9">
      <w:pPr>
        <w:pStyle w:val="ListParagraph"/>
        <w:numPr>
          <w:ilvl w:val="0"/>
          <w:numId w:val="9"/>
        </w:numPr>
        <w:spacing w:after="0"/>
        <w:ind w:left="360"/>
        <w:contextualSpacing w:val="0"/>
        <w:jc w:val="both"/>
        <w:rPr>
          <w:rFonts w:ascii="Times New Roman" w:hAnsi="Times New Roman"/>
          <w:sz w:val="20"/>
          <w:szCs w:val="20"/>
        </w:rPr>
      </w:pPr>
      <w:r w:rsidRPr="00504FF9">
        <w:rPr>
          <w:rFonts w:ascii="Times New Roman" w:hAnsi="Times New Roman"/>
          <w:color w:val="1C1D1E"/>
          <w:sz w:val="20"/>
          <w:szCs w:val="20"/>
        </w:rPr>
        <w:t xml:space="preserve">Meng, P., Suqin, S. and Qun, Z., (2018) a simple and portable screening method for adulterated olive oils using the hand‐held FTIR spectrometer and chemometrics tools. </w:t>
      </w:r>
      <w:r w:rsidRPr="00504FF9">
        <w:rPr>
          <w:rFonts w:ascii="Times New Roman" w:hAnsi="Times New Roman"/>
          <w:i/>
          <w:color w:val="1C1D1E"/>
          <w:sz w:val="20"/>
          <w:szCs w:val="20"/>
        </w:rPr>
        <w:t>Journal of Food Science</w:t>
      </w:r>
      <w:r w:rsidRPr="00504FF9">
        <w:rPr>
          <w:rFonts w:ascii="Times New Roman" w:hAnsi="Times New Roman"/>
          <w:color w:val="1C1D1E"/>
          <w:sz w:val="20"/>
          <w:szCs w:val="20"/>
        </w:rPr>
        <w:t>, 83(6): 1605-1612.</w:t>
      </w:r>
    </w:p>
    <w:p w14:paraId="411A8AD0" w14:textId="77777777" w:rsidR="00504FF9" w:rsidRPr="00504FF9" w:rsidRDefault="00504FF9" w:rsidP="00504FF9">
      <w:pPr>
        <w:pStyle w:val="ListParagraph"/>
        <w:numPr>
          <w:ilvl w:val="0"/>
          <w:numId w:val="9"/>
        </w:numPr>
        <w:spacing w:after="0"/>
        <w:ind w:left="360"/>
        <w:contextualSpacing w:val="0"/>
        <w:jc w:val="both"/>
        <w:rPr>
          <w:rFonts w:ascii="Times New Roman" w:hAnsi="Times New Roman"/>
          <w:sz w:val="20"/>
          <w:szCs w:val="20"/>
        </w:rPr>
      </w:pPr>
      <w:r w:rsidRPr="00504FF9">
        <w:rPr>
          <w:rFonts w:ascii="Times New Roman" w:hAnsi="Times New Roman"/>
          <w:sz w:val="20"/>
          <w:szCs w:val="20"/>
        </w:rPr>
        <w:t xml:space="preserve">Bingning L., Haixia W., Qiaojiao Z., Ouyang J. and Wu, Y., (2015), </w:t>
      </w:r>
      <w:hyperlink r:id="rId14" w:history="1">
        <w:r w:rsidRPr="00504FF9">
          <w:rPr>
            <w:rStyle w:val="js-article-title"/>
            <w:rFonts w:ascii="Times New Roman" w:hAnsi="Times New Roman"/>
            <w:sz w:val="20"/>
            <w:szCs w:val="20"/>
          </w:rPr>
          <w:t>Rapid detection of authenticity and adulteration of walnut oil by FTIR and fluorescence spectroscopy: A comparative study</w:t>
        </w:r>
      </w:hyperlink>
      <w:r w:rsidRPr="00504FF9">
        <w:rPr>
          <w:rFonts w:ascii="Times New Roman" w:hAnsi="Times New Roman"/>
          <w:sz w:val="20"/>
          <w:szCs w:val="20"/>
        </w:rPr>
        <w:t xml:space="preserve">. </w:t>
      </w:r>
      <w:r w:rsidRPr="00504FF9">
        <w:rPr>
          <w:rFonts w:ascii="Times New Roman" w:hAnsi="Times New Roman"/>
          <w:i/>
          <w:sz w:val="20"/>
          <w:szCs w:val="20"/>
        </w:rPr>
        <w:t>Food Chemistry</w:t>
      </w:r>
      <w:r w:rsidRPr="00504FF9">
        <w:rPr>
          <w:rFonts w:ascii="Times New Roman" w:hAnsi="Times New Roman"/>
          <w:sz w:val="20"/>
          <w:szCs w:val="20"/>
        </w:rPr>
        <w:t>, 181 (1): 25-30.</w:t>
      </w:r>
    </w:p>
    <w:p w14:paraId="324C1725" w14:textId="77777777" w:rsidR="00504FF9" w:rsidRPr="00504FF9" w:rsidRDefault="00504FF9" w:rsidP="00504FF9">
      <w:pPr>
        <w:pStyle w:val="ListParagraph"/>
        <w:numPr>
          <w:ilvl w:val="0"/>
          <w:numId w:val="9"/>
        </w:numPr>
        <w:spacing w:after="0"/>
        <w:ind w:left="360"/>
        <w:contextualSpacing w:val="0"/>
        <w:jc w:val="both"/>
        <w:rPr>
          <w:rFonts w:ascii="Times New Roman" w:hAnsi="Times New Roman"/>
          <w:sz w:val="20"/>
          <w:szCs w:val="20"/>
        </w:rPr>
      </w:pPr>
      <w:r w:rsidRPr="00504FF9">
        <w:rPr>
          <w:rFonts w:ascii="Times New Roman" w:hAnsi="Times New Roman"/>
          <w:sz w:val="20"/>
          <w:szCs w:val="20"/>
        </w:rPr>
        <w:t xml:space="preserve">Nurrulhidayah, A., Rohman, A., Amin, I., Shuhaimi, M., Khatib, A. (2013). Analysis of chicken fat as adulterant in butter using Fourier transform infrared spectroscopy and chemometrics. </w:t>
      </w:r>
      <w:r w:rsidRPr="00504FF9">
        <w:rPr>
          <w:rFonts w:ascii="Times New Roman" w:hAnsi="Times New Roman"/>
          <w:i/>
          <w:sz w:val="20"/>
          <w:szCs w:val="20"/>
        </w:rPr>
        <w:t>Grasas y Aceitas</w:t>
      </w:r>
      <w:r w:rsidRPr="00504FF9">
        <w:rPr>
          <w:rFonts w:ascii="Times New Roman" w:hAnsi="Times New Roman"/>
          <w:sz w:val="20"/>
          <w:szCs w:val="20"/>
        </w:rPr>
        <w:t>, 64 (4): 395-355.</w:t>
      </w:r>
    </w:p>
    <w:p w14:paraId="2C20A828" w14:textId="77777777" w:rsidR="00504FF9" w:rsidRPr="00504FF9" w:rsidRDefault="00504FF9" w:rsidP="00504FF9">
      <w:pPr>
        <w:pStyle w:val="ListParagraph"/>
        <w:numPr>
          <w:ilvl w:val="0"/>
          <w:numId w:val="9"/>
        </w:numPr>
        <w:spacing w:after="0"/>
        <w:ind w:left="360"/>
        <w:contextualSpacing w:val="0"/>
        <w:jc w:val="both"/>
        <w:rPr>
          <w:rFonts w:ascii="Times New Roman" w:hAnsi="Times New Roman"/>
          <w:sz w:val="20"/>
          <w:szCs w:val="20"/>
        </w:rPr>
      </w:pPr>
      <w:r w:rsidRPr="00504FF9">
        <w:rPr>
          <w:rFonts w:ascii="Times New Roman" w:hAnsi="Times New Roman"/>
          <w:sz w:val="20"/>
          <w:szCs w:val="20"/>
        </w:rPr>
        <w:lastRenderedPageBreak/>
        <w:t xml:space="preserve">Wu, Z., Li, H. and Tu, D. (2015). Application of Fourier transform infrared (FT-IR) spectroscopy combined with chemometrics for analysis of rapeseed oil adulterated with refining and purificating waste cooking oil. </w:t>
      </w:r>
      <w:r w:rsidRPr="00504FF9">
        <w:rPr>
          <w:rFonts w:ascii="Times New Roman" w:hAnsi="Times New Roman"/>
          <w:i/>
          <w:sz w:val="20"/>
          <w:szCs w:val="20"/>
        </w:rPr>
        <w:t>Food Analytical Methods</w:t>
      </w:r>
      <w:r w:rsidRPr="00504FF9">
        <w:rPr>
          <w:rFonts w:ascii="Times New Roman" w:hAnsi="Times New Roman"/>
          <w:sz w:val="20"/>
          <w:szCs w:val="20"/>
        </w:rPr>
        <w:t>, 8(10): 2581-2587.</w:t>
      </w:r>
    </w:p>
    <w:p w14:paraId="7BDFC578" w14:textId="77777777" w:rsidR="00504FF9" w:rsidRPr="00504FF9" w:rsidRDefault="00504FF9" w:rsidP="00504FF9">
      <w:pPr>
        <w:pStyle w:val="ListParagraph"/>
        <w:numPr>
          <w:ilvl w:val="0"/>
          <w:numId w:val="9"/>
        </w:numPr>
        <w:spacing w:after="0"/>
        <w:ind w:left="360"/>
        <w:contextualSpacing w:val="0"/>
        <w:jc w:val="both"/>
        <w:rPr>
          <w:rFonts w:ascii="Times New Roman" w:hAnsi="Times New Roman"/>
          <w:sz w:val="20"/>
          <w:szCs w:val="20"/>
        </w:rPr>
      </w:pPr>
      <w:r w:rsidRPr="00504FF9">
        <w:rPr>
          <w:rFonts w:ascii="Times New Roman" w:hAnsi="Times New Roman"/>
          <w:sz w:val="20"/>
          <w:szCs w:val="20"/>
        </w:rPr>
        <w:t xml:space="preserve">Rohman, A., Che Man, Y. B., Hashim, P. and Ismail, A. (2011). FTIR spectroscopy combined with chemometrics for analysis of lard adulteration in some vegetable oils. </w:t>
      </w:r>
      <w:r w:rsidRPr="00504FF9">
        <w:rPr>
          <w:rFonts w:ascii="Times New Roman" w:hAnsi="Times New Roman"/>
          <w:i/>
          <w:sz w:val="20"/>
          <w:szCs w:val="20"/>
        </w:rPr>
        <w:t>CyTA - Journal of Food,</w:t>
      </w:r>
      <w:r w:rsidRPr="00504FF9">
        <w:rPr>
          <w:rFonts w:ascii="Times New Roman" w:hAnsi="Times New Roman"/>
          <w:sz w:val="20"/>
          <w:szCs w:val="20"/>
        </w:rPr>
        <w:t xml:space="preserve"> 9(2): 96-101.</w:t>
      </w:r>
    </w:p>
    <w:p w14:paraId="52A77C9C" w14:textId="77777777" w:rsidR="00504FF9" w:rsidRPr="00504FF9" w:rsidRDefault="00504FF9" w:rsidP="00504FF9">
      <w:pPr>
        <w:pStyle w:val="ListParagraph"/>
        <w:numPr>
          <w:ilvl w:val="0"/>
          <w:numId w:val="9"/>
        </w:numPr>
        <w:spacing w:after="0"/>
        <w:ind w:left="360"/>
        <w:contextualSpacing w:val="0"/>
        <w:jc w:val="both"/>
        <w:rPr>
          <w:rFonts w:ascii="Times New Roman" w:hAnsi="Times New Roman"/>
          <w:sz w:val="20"/>
          <w:szCs w:val="20"/>
        </w:rPr>
      </w:pPr>
      <w:r w:rsidRPr="007F2B62">
        <w:rPr>
          <w:rStyle w:val="Emphasis"/>
          <w:rFonts w:ascii="Times New Roman" w:hAnsi="Times New Roman"/>
          <w:b w:val="0"/>
          <w:bCs w:val="0"/>
          <w:i w:val="0"/>
          <w:iCs w:val="0"/>
          <w:sz w:val="20"/>
          <w:szCs w:val="20"/>
          <w:shd w:val="clear" w:color="auto" w:fill="FFFFFF"/>
        </w:rPr>
        <w:t>Skoog</w:t>
      </w:r>
      <w:r w:rsidRPr="00504FF9">
        <w:rPr>
          <w:rFonts w:ascii="Times New Roman" w:hAnsi="Times New Roman"/>
          <w:sz w:val="20"/>
          <w:szCs w:val="20"/>
          <w:shd w:val="clear" w:color="auto" w:fill="FFFFFF"/>
        </w:rPr>
        <w:t>, D. A., West, D. M, Holler, F. M. and Crouch, S. R. (2020). Fundamentals of Analytical Chemistry: 10</w:t>
      </w:r>
      <w:r w:rsidRPr="00504FF9">
        <w:rPr>
          <w:rFonts w:ascii="Times New Roman" w:hAnsi="Times New Roman"/>
          <w:sz w:val="20"/>
          <w:szCs w:val="20"/>
          <w:shd w:val="clear" w:color="auto" w:fill="FFFFFF"/>
          <w:vertAlign w:val="superscript"/>
        </w:rPr>
        <w:t>th</w:t>
      </w:r>
      <w:r w:rsidRPr="00504FF9">
        <w:rPr>
          <w:rFonts w:ascii="Times New Roman" w:hAnsi="Times New Roman"/>
          <w:sz w:val="20"/>
          <w:szCs w:val="20"/>
          <w:shd w:val="clear" w:color="auto" w:fill="FFFFFF"/>
        </w:rPr>
        <w:t xml:space="preserve"> Ed., Saunders College Publications. Philadelphia:  pp 746-759.</w:t>
      </w:r>
    </w:p>
    <w:p w14:paraId="7E645BC9" w14:textId="77777777" w:rsidR="00504FF9" w:rsidRPr="00504FF9" w:rsidRDefault="00504FF9" w:rsidP="00504FF9">
      <w:pPr>
        <w:pStyle w:val="ListParagraph"/>
        <w:numPr>
          <w:ilvl w:val="0"/>
          <w:numId w:val="9"/>
        </w:numPr>
        <w:spacing w:after="0"/>
        <w:ind w:left="360"/>
        <w:contextualSpacing w:val="0"/>
        <w:jc w:val="both"/>
        <w:rPr>
          <w:rFonts w:ascii="Times New Roman" w:hAnsi="Times New Roman"/>
          <w:sz w:val="20"/>
          <w:szCs w:val="20"/>
        </w:rPr>
      </w:pPr>
      <w:r w:rsidRPr="00504FF9">
        <w:rPr>
          <w:rFonts w:ascii="Times New Roman" w:hAnsi="Times New Roman"/>
          <w:sz w:val="20"/>
          <w:szCs w:val="20"/>
          <w:shd w:val="clear" w:color="auto" w:fill="FFFFFF"/>
        </w:rPr>
        <w:t>Nur Farah Dina, A., Foo K. H, Naji A. M., Wan Nur Syuhaila M. D, Mohd Rahim K., Mohammad Afiq M. H., Hasmerya M. and Dzulkiflee I., (</w:t>
      </w:r>
      <w:r w:rsidRPr="00504FF9">
        <w:rPr>
          <w:rFonts w:ascii="Times New Roman" w:hAnsi="Times New Roman"/>
          <w:sz w:val="20"/>
          <w:szCs w:val="20"/>
        </w:rPr>
        <w:t xml:space="preserve">2021). Counterfeit one hundred Malaysian ringgit banknotes discrimination using chemical imaging inspection and pattern recognition. </w:t>
      </w:r>
      <w:r w:rsidRPr="00504FF9">
        <w:rPr>
          <w:rFonts w:ascii="Times New Roman" w:hAnsi="Times New Roman"/>
          <w:i/>
          <w:sz w:val="20"/>
          <w:szCs w:val="20"/>
        </w:rPr>
        <w:t>Australian Journal of Forensic Sciences</w:t>
      </w:r>
      <w:r w:rsidRPr="00504FF9">
        <w:rPr>
          <w:rFonts w:ascii="Times New Roman" w:hAnsi="Times New Roman"/>
          <w:sz w:val="20"/>
          <w:szCs w:val="20"/>
        </w:rPr>
        <w:t>, 53(3); 1-15.</w:t>
      </w:r>
    </w:p>
    <w:p w14:paraId="6B223C88" w14:textId="77777777" w:rsidR="00504FF9" w:rsidRPr="00504FF9" w:rsidRDefault="00504FF9" w:rsidP="00504FF9">
      <w:pPr>
        <w:pStyle w:val="ListParagraph"/>
        <w:numPr>
          <w:ilvl w:val="0"/>
          <w:numId w:val="9"/>
        </w:numPr>
        <w:spacing w:after="0"/>
        <w:ind w:left="360"/>
        <w:contextualSpacing w:val="0"/>
        <w:jc w:val="both"/>
        <w:rPr>
          <w:rFonts w:ascii="Times New Roman" w:hAnsi="Times New Roman"/>
          <w:sz w:val="20"/>
          <w:szCs w:val="20"/>
        </w:rPr>
      </w:pPr>
      <w:r w:rsidRPr="00504FF9">
        <w:rPr>
          <w:rFonts w:ascii="Times New Roman" w:hAnsi="Times New Roman"/>
          <w:sz w:val="20"/>
          <w:szCs w:val="20"/>
        </w:rPr>
        <w:t xml:space="preserve">Asensio, R.C., Moya, M. S. A., Roja, J. M., and Gomez, M. (2009). Analytical characterization of polymers used in conservation and restoration by ATR-FTIR spectroscopy. </w:t>
      </w:r>
      <w:r w:rsidRPr="00504FF9">
        <w:rPr>
          <w:rFonts w:ascii="Times New Roman" w:hAnsi="Times New Roman"/>
          <w:i/>
          <w:iCs/>
          <w:sz w:val="20"/>
          <w:szCs w:val="20"/>
        </w:rPr>
        <w:t>Analytical and Bioanalytical Chemistry</w:t>
      </w:r>
      <w:r w:rsidRPr="00504FF9">
        <w:rPr>
          <w:rFonts w:ascii="Times New Roman" w:hAnsi="Times New Roman"/>
          <w:sz w:val="20"/>
          <w:szCs w:val="20"/>
        </w:rPr>
        <w:t>, 395(7): 2081-2096.</w:t>
      </w:r>
    </w:p>
    <w:p w14:paraId="1B7919D4" w14:textId="77777777" w:rsidR="00504FF9" w:rsidRPr="00504FF9" w:rsidRDefault="00504FF9" w:rsidP="00504FF9">
      <w:pPr>
        <w:pStyle w:val="ListParagraph"/>
        <w:numPr>
          <w:ilvl w:val="0"/>
          <w:numId w:val="9"/>
        </w:numPr>
        <w:spacing w:after="0"/>
        <w:ind w:left="360"/>
        <w:contextualSpacing w:val="0"/>
        <w:jc w:val="both"/>
        <w:rPr>
          <w:rStyle w:val="nlmpublisher-name"/>
          <w:rFonts w:ascii="Times New Roman" w:hAnsi="Times New Roman"/>
          <w:sz w:val="20"/>
          <w:szCs w:val="20"/>
        </w:rPr>
      </w:pPr>
      <w:r w:rsidRPr="00504FF9">
        <w:rPr>
          <w:rFonts w:ascii="Times New Roman" w:hAnsi="Times New Roman"/>
          <w:color w:val="222222"/>
          <w:sz w:val="20"/>
          <w:szCs w:val="20"/>
          <w:lang w:eastAsia="ko-KR"/>
        </w:rPr>
        <w:t xml:space="preserve">Association of Official Analytical Chemists, </w:t>
      </w:r>
      <w:r w:rsidRPr="00504FF9">
        <w:rPr>
          <w:rFonts w:ascii="Times New Roman" w:hAnsi="Times New Roman"/>
          <w:color w:val="333333"/>
          <w:sz w:val="20"/>
          <w:szCs w:val="20"/>
        </w:rPr>
        <w:t>AOAC (</w:t>
      </w:r>
      <w:r w:rsidRPr="00504FF9">
        <w:rPr>
          <w:rStyle w:val="nlmyear"/>
          <w:rFonts w:ascii="Times New Roman" w:hAnsi="Times New Roman"/>
          <w:color w:val="333333"/>
          <w:sz w:val="20"/>
          <w:szCs w:val="20"/>
        </w:rPr>
        <w:t>2019)</w:t>
      </w:r>
      <w:r w:rsidRPr="00504FF9">
        <w:rPr>
          <w:rFonts w:ascii="Times New Roman" w:hAnsi="Times New Roman"/>
          <w:color w:val="333333"/>
          <w:sz w:val="20"/>
          <w:szCs w:val="20"/>
        </w:rPr>
        <w:t>. Official Methods of Analysis., </w:t>
      </w:r>
      <w:r w:rsidRPr="00504FF9">
        <w:rPr>
          <w:rStyle w:val="nlmedition"/>
          <w:rFonts w:ascii="Times New Roman" w:hAnsi="Times New Roman"/>
          <w:color w:val="333333"/>
          <w:sz w:val="20"/>
          <w:szCs w:val="20"/>
        </w:rPr>
        <w:t>21</w:t>
      </w:r>
      <w:r w:rsidRPr="00504FF9">
        <w:rPr>
          <w:rStyle w:val="nlmedition"/>
          <w:rFonts w:ascii="Times New Roman" w:hAnsi="Times New Roman"/>
          <w:color w:val="333333"/>
          <w:sz w:val="20"/>
          <w:szCs w:val="20"/>
          <w:vertAlign w:val="superscript"/>
        </w:rPr>
        <w:t>st</w:t>
      </w:r>
      <w:r w:rsidRPr="00504FF9">
        <w:rPr>
          <w:rStyle w:val="nlmedition"/>
          <w:rFonts w:ascii="Times New Roman" w:hAnsi="Times New Roman"/>
          <w:color w:val="333333"/>
          <w:sz w:val="20"/>
          <w:szCs w:val="20"/>
        </w:rPr>
        <w:t xml:space="preserve"> </w:t>
      </w:r>
      <w:r w:rsidRPr="00504FF9">
        <w:rPr>
          <w:rFonts w:ascii="Times New Roman" w:hAnsi="Times New Roman"/>
          <w:color w:val="333333"/>
          <w:sz w:val="20"/>
          <w:szCs w:val="20"/>
        </w:rPr>
        <w:t>edition </w:t>
      </w:r>
      <w:r w:rsidRPr="00504FF9">
        <w:rPr>
          <w:rStyle w:val="nlmpublisher-loc"/>
          <w:rFonts w:ascii="Times New Roman" w:hAnsi="Times New Roman"/>
          <w:color w:val="333333"/>
          <w:sz w:val="20"/>
          <w:szCs w:val="20"/>
        </w:rPr>
        <w:t>USA</w:t>
      </w:r>
      <w:r w:rsidRPr="00504FF9">
        <w:rPr>
          <w:rFonts w:ascii="Times New Roman" w:hAnsi="Times New Roman"/>
          <w:color w:val="333333"/>
          <w:sz w:val="20"/>
          <w:szCs w:val="20"/>
        </w:rPr>
        <w:t>: </w:t>
      </w:r>
      <w:r w:rsidRPr="00504FF9">
        <w:rPr>
          <w:rStyle w:val="nlmpublisher-name"/>
          <w:rFonts w:ascii="Times New Roman" w:hAnsi="Times New Roman"/>
          <w:color w:val="333333"/>
          <w:sz w:val="20"/>
          <w:szCs w:val="20"/>
        </w:rPr>
        <w:t>AOAC International.</w:t>
      </w:r>
    </w:p>
    <w:p w14:paraId="0FE0AD90" w14:textId="77777777" w:rsidR="00504FF9" w:rsidRPr="00504FF9" w:rsidRDefault="00504FF9" w:rsidP="00504FF9">
      <w:pPr>
        <w:pStyle w:val="ListParagraph"/>
        <w:numPr>
          <w:ilvl w:val="0"/>
          <w:numId w:val="9"/>
        </w:numPr>
        <w:spacing w:after="0"/>
        <w:ind w:left="360"/>
        <w:contextualSpacing w:val="0"/>
        <w:jc w:val="both"/>
        <w:rPr>
          <w:rFonts w:ascii="Times New Roman" w:hAnsi="Times New Roman"/>
          <w:sz w:val="20"/>
          <w:szCs w:val="20"/>
        </w:rPr>
      </w:pPr>
      <w:r w:rsidRPr="00504FF9">
        <w:rPr>
          <w:rFonts w:ascii="Times New Roman" w:hAnsi="Times New Roman"/>
          <w:sz w:val="20"/>
          <w:szCs w:val="20"/>
        </w:rPr>
        <w:t>Pavia, D. L., Lampman, G. M., Kriz, G. S. and Vyvyan J. A. (2008). Introduction to spectroscopy. Cengage Learning, Stamford: pp. 31-35.</w:t>
      </w:r>
    </w:p>
    <w:p w14:paraId="396F3518" w14:textId="77777777" w:rsidR="00504FF9" w:rsidRPr="00504FF9" w:rsidRDefault="00504FF9" w:rsidP="00504FF9">
      <w:pPr>
        <w:pStyle w:val="ListParagraph"/>
        <w:numPr>
          <w:ilvl w:val="0"/>
          <w:numId w:val="9"/>
        </w:numPr>
        <w:spacing w:after="0"/>
        <w:ind w:left="360"/>
        <w:contextualSpacing w:val="0"/>
        <w:jc w:val="both"/>
        <w:rPr>
          <w:rFonts w:ascii="Times New Roman" w:hAnsi="Times New Roman"/>
          <w:sz w:val="20"/>
          <w:szCs w:val="20"/>
        </w:rPr>
      </w:pPr>
      <w:r w:rsidRPr="00504FF9">
        <w:rPr>
          <w:rFonts w:ascii="Times New Roman" w:hAnsi="Times New Roman"/>
          <w:sz w:val="20"/>
          <w:szCs w:val="20"/>
          <w:shd w:val="clear" w:color="auto" w:fill="FFFFFF"/>
        </w:rPr>
        <w:t xml:space="preserve">Moinuddin S. (2011). Municipal waste plastic conversion into different category liquid hydrocarbon fuel, chemistry, emission control, radioactive pollution and indoor air quality, Nicolas Mazzeo, IntechOpen https://www.intechopen.com/ books/chemistry-emission-control-radioactive-pollution-and-indoor-air-quality/municipal-waste-plastic-conversion-into-different-category-liquid-hydrocarbon-fuel </w:t>
      </w:r>
      <w:r w:rsidRPr="00504FF9">
        <w:rPr>
          <w:rFonts w:ascii="Times New Roman" w:hAnsi="Times New Roman"/>
          <w:sz w:val="20"/>
          <w:szCs w:val="20"/>
        </w:rPr>
        <w:t>[Access online 20 February 2021].</w:t>
      </w:r>
    </w:p>
    <w:p w14:paraId="7A54B401" w14:textId="77777777" w:rsidR="00504FF9" w:rsidRPr="00504FF9" w:rsidRDefault="00504FF9" w:rsidP="00504FF9">
      <w:pPr>
        <w:pStyle w:val="ListParagraph"/>
        <w:numPr>
          <w:ilvl w:val="0"/>
          <w:numId w:val="9"/>
        </w:numPr>
        <w:spacing w:after="0"/>
        <w:ind w:left="360"/>
        <w:contextualSpacing w:val="0"/>
        <w:jc w:val="both"/>
        <w:rPr>
          <w:rFonts w:ascii="Times New Roman" w:hAnsi="Times New Roman"/>
          <w:sz w:val="20"/>
          <w:szCs w:val="20"/>
        </w:rPr>
      </w:pPr>
      <w:r w:rsidRPr="00504FF9">
        <w:rPr>
          <w:rFonts w:ascii="Times New Roman" w:hAnsi="Times New Roman"/>
          <w:sz w:val="20"/>
          <w:szCs w:val="20"/>
        </w:rPr>
        <w:t xml:space="preserve">Lerma-García, M. J., Ramis-Ramos, G., Herrero-Martínez, J. M. and Simó-Alfonso, I. E. F. (2010). Authentication of extra virgin olive oils by Fourier-transform infrared spectroscopy. </w:t>
      </w:r>
      <w:r w:rsidRPr="00504FF9">
        <w:rPr>
          <w:rFonts w:ascii="Times New Roman" w:hAnsi="Times New Roman"/>
          <w:i/>
          <w:sz w:val="20"/>
          <w:szCs w:val="20"/>
        </w:rPr>
        <w:t>Food Chemistry</w:t>
      </w:r>
      <w:r w:rsidRPr="00504FF9">
        <w:rPr>
          <w:rFonts w:ascii="Times New Roman" w:hAnsi="Times New Roman"/>
          <w:sz w:val="20"/>
          <w:szCs w:val="20"/>
        </w:rPr>
        <w:t>, 118 (1): 78-83.</w:t>
      </w:r>
    </w:p>
    <w:p w14:paraId="1E8A85D9" w14:textId="77777777" w:rsidR="00504FF9" w:rsidRPr="00504FF9" w:rsidRDefault="00504FF9" w:rsidP="00504FF9">
      <w:pPr>
        <w:pStyle w:val="ListParagraph"/>
        <w:numPr>
          <w:ilvl w:val="0"/>
          <w:numId w:val="9"/>
        </w:numPr>
        <w:spacing w:after="0"/>
        <w:ind w:left="360"/>
        <w:contextualSpacing w:val="0"/>
        <w:jc w:val="both"/>
        <w:rPr>
          <w:rFonts w:ascii="Times New Roman" w:hAnsi="Times New Roman"/>
          <w:sz w:val="20"/>
          <w:szCs w:val="20"/>
        </w:rPr>
      </w:pPr>
      <w:r w:rsidRPr="00504FF9">
        <w:rPr>
          <w:rFonts w:ascii="Times New Roman" w:hAnsi="Times New Roman"/>
          <w:sz w:val="20"/>
          <w:szCs w:val="20"/>
        </w:rPr>
        <w:t xml:space="preserve">Rohman, A. and Che Man, Y. B. (2011). The use of Fourier transform mid infrared (FT-MIR) Spectroscopy for detection and quantification of adulteration in virgin coconut oil. </w:t>
      </w:r>
      <w:r w:rsidRPr="00504FF9">
        <w:rPr>
          <w:rFonts w:ascii="Times New Roman" w:hAnsi="Times New Roman"/>
          <w:i/>
          <w:sz w:val="20"/>
          <w:szCs w:val="20"/>
        </w:rPr>
        <w:t>Food Chemistry</w:t>
      </w:r>
      <w:r w:rsidRPr="00504FF9">
        <w:rPr>
          <w:rFonts w:ascii="Times New Roman" w:hAnsi="Times New Roman"/>
          <w:sz w:val="20"/>
          <w:szCs w:val="20"/>
        </w:rPr>
        <w:t>, 129(2): 583-588.</w:t>
      </w:r>
    </w:p>
    <w:p w14:paraId="43600DA2" w14:textId="77777777" w:rsidR="00504FF9" w:rsidRPr="00504FF9" w:rsidRDefault="00504FF9" w:rsidP="00504FF9">
      <w:pPr>
        <w:spacing w:after="0"/>
        <w:rPr>
          <w:rFonts w:ascii="Times New Roman" w:hAnsi="Times New Roman"/>
          <w:noProof/>
          <w:sz w:val="20"/>
          <w:szCs w:val="20"/>
          <w:lang w:val="ms-MY"/>
        </w:rPr>
      </w:pPr>
    </w:p>
    <w:p w14:paraId="299D3E74" w14:textId="0CF7029C" w:rsidR="00EC5D90" w:rsidRPr="00385369" w:rsidRDefault="001E55BE" w:rsidP="001E55BE">
      <w:pPr>
        <w:tabs>
          <w:tab w:val="left" w:pos="5059"/>
        </w:tabs>
        <w:spacing w:after="0"/>
        <w:jc w:val="both"/>
        <w:rPr>
          <w:rFonts w:ascii="Times New Roman" w:hAnsi="Times New Roman"/>
          <w:sz w:val="20"/>
          <w:szCs w:val="20"/>
        </w:rPr>
        <w:sectPr w:rsidR="00EC5D90" w:rsidRPr="00385369" w:rsidSect="00385369">
          <w:type w:val="continuous"/>
          <w:pgSz w:w="12240" w:h="15840" w:code="1"/>
          <w:pgMar w:top="1800" w:right="1469" w:bottom="1699" w:left="1440" w:header="706" w:footer="706" w:gutter="0"/>
          <w:pgNumType w:start="1"/>
          <w:cols w:space="403"/>
          <w:docGrid w:linePitch="360"/>
        </w:sectPr>
      </w:pPr>
      <w:r>
        <w:rPr>
          <w:rFonts w:ascii="Times New Roman" w:hAnsi="Times New Roman"/>
          <w:sz w:val="20"/>
          <w:szCs w:val="20"/>
        </w:rPr>
        <w:tab/>
      </w: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5"/>
      <w:headerReference w:type="default" r:id="rId16"/>
      <w:footerReference w:type="even" r:id="rId17"/>
      <w:headerReference w:type="first" r:id="rId18"/>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755F" w14:textId="77777777" w:rsidR="001E55BE" w:rsidRDefault="001E55BE">
    <w:pPr>
      <w:pStyle w:val="Footer"/>
    </w:pPr>
    <w:r>
      <w:rPr>
        <w:rFonts w:ascii="Times New Roman" w:hAnsi="Times New Roman"/>
        <w:lang w:val="en-US"/>
      </w:rPr>
      <w:t>266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7713" w14:textId="533E9CE9" w:rsidR="001E55BE" w:rsidRPr="007D4BAB" w:rsidRDefault="001E55BE" w:rsidP="007D4BAB">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7F2B6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7F2B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564136"/>
    <w:multiLevelType w:val="hybridMultilevel"/>
    <w:tmpl w:val="0762BB44"/>
    <w:lvl w:ilvl="0" w:tplc="D268821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8"/>
  </w:num>
  <w:num w:numId="4">
    <w:abstractNumId w:val="2"/>
  </w:num>
  <w:num w:numId="5">
    <w:abstractNumId w:val="5"/>
  </w:num>
  <w:num w:numId="6">
    <w:abstractNumId w:val="7"/>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1E55BE"/>
    <w:rsid w:val="00226372"/>
    <w:rsid w:val="002B425B"/>
    <w:rsid w:val="002F626B"/>
    <w:rsid w:val="00385369"/>
    <w:rsid w:val="003A1F80"/>
    <w:rsid w:val="0044292C"/>
    <w:rsid w:val="00460C95"/>
    <w:rsid w:val="00473CD4"/>
    <w:rsid w:val="00487993"/>
    <w:rsid w:val="00504FF9"/>
    <w:rsid w:val="005644C8"/>
    <w:rsid w:val="005F401D"/>
    <w:rsid w:val="006149E4"/>
    <w:rsid w:val="006E79D9"/>
    <w:rsid w:val="006F3FC1"/>
    <w:rsid w:val="007761C2"/>
    <w:rsid w:val="007D0E7F"/>
    <w:rsid w:val="007F2B62"/>
    <w:rsid w:val="007F7EB3"/>
    <w:rsid w:val="00832F59"/>
    <w:rsid w:val="00834CDE"/>
    <w:rsid w:val="00863F22"/>
    <w:rsid w:val="00900BAC"/>
    <w:rsid w:val="00950912"/>
    <w:rsid w:val="00975E1A"/>
    <w:rsid w:val="009A4A79"/>
    <w:rsid w:val="009A5A4D"/>
    <w:rsid w:val="009B31A6"/>
    <w:rsid w:val="009C3305"/>
    <w:rsid w:val="00A23F0F"/>
    <w:rsid w:val="00AA706B"/>
    <w:rsid w:val="00AB4AE6"/>
    <w:rsid w:val="00AB5AEF"/>
    <w:rsid w:val="00AB5F93"/>
    <w:rsid w:val="00AC72D0"/>
    <w:rsid w:val="00AD4549"/>
    <w:rsid w:val="00B40E61"/>
    <w:rsid w:val="00B9022C"/>
    <w:rsid w:val="00BE5F5F"/>
    <w:rsid w:val="00C71438"/>
    <w:rsid w:val="00C72F3E"/>
    <w:rsid w:val="00C73A4A"/>
    <w:rsid w:val="00CE6DF3"/>
    <w:rsid w:val="00D04BC8"/>
    <w:rsid w:val="00D0718B"/>
    <w:rsid w:val="00D40B1F"/>
    <w:rsid w:val="00D414B9"/>
    <w:rsid w:val="00DE20A8"/>
    <w:rsid w:val="00E67FF6"/>
    <w:rsid w:val="00EA6DE5"/>
    <w:rsid w:val="00EC5D90"/>
    <w:rsid w:val="00F10961"/>
    <w:rsid w:val="00F437F2"/>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 w:type="character" w:styleId="Emphasis">
    <w:name w:val="Emphasis"/>
    <w:uiPriority w:val="20"/>
    <w:qFormat/>
    <w:rsid w:val="00504FF9"/>
    <w:rPr>
      <w:b/>
      <w:bCs/>
      <w:i/>
      <w:iCs/>
      <w:spacing w:val="10"/>
    </w:rPr>
  </w:style>
  <w:style w:type="character" w:customStyle="1" w:styleId="nlmyear">
    <w:name w:val="nlm_year"/>
    <w:basedOn w:val="DefaultParagraphFont"/>
    <w:rsid w:val="00504FF9"/>
  </w:style>
  <w:style w:type="character" w:customStyle="1" w:styleId="nlmedition">
    <w:name w:val="nlm_edition"/>
    <w:basedOn w:val="DefaultParagraphFont"/>
    <w:rsid w:val="00504FF9"/>
  </w:style>
  <w:style w:type="character" w:customStyle="1" w:styleId="nlmpublisher-loc">
    <w:name w:val="nlm_publisher-loc"/>
    <w:basedOn w:val="DefaultParagraphFont"/>
    <w:rsid w:val="00504FF9"/>
  </w:style>
  <w:style w:type="character" w:customStyle="1" w:styleId="nlmpublisher-name">
    <w:name w:val="nlm_publisher-name"/>
    <w:basedOn w:val="DefaultParagraphFont"/>
    <w:rsid w:val="00504FF9"/>
  </w:style>
  <w:style w:type="character" w:customStyle="1" w:styleId="js-article-title">
    <w:name w:val="js-article-title"/>
    <w:basedOn w:val="DefaultParagraphFont"/>
    <w:rsid w:val="00504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sciencedirect.com/science/article/pii/S03088146150026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1270</Words>
  <Characters>7242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Abstract &amp; References Vol 25 No 3 (2021)</vt:lpstr>
    </vt:vector>
  </TitlesOfParts>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3 (2021)</dc:title>
  <dc:creator>Harun Hamzah</dc:creator>
  <cp:lastModifiedBy>Harun Hamzah</cp:lastModifiedBy>
  <cp:revision>3</cp:revision>
  <cp:lastPrinted>2020-04-01T04:48:00Z</cp:lastPrinted>
  <dcterms:created xsi:type="dcterms:W3CDTF">2021-06-14T04:29:00Z</dcterms:created>
  <dcterms:modified xsi:type="dcterms:W3CDTF">2021-06-17T09:31:00Z</dcterms:modified>
</cp:coreProperties>
</file>