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17" w:rsidRPr="00312096" w:rsidRDefault="008B5A17" w:rsidP="008B5A17">
      <w:pPr>
        <w:spacing w:after="0"/>
        <w:jc w:val="both"/>
        <w:rPr>
          <w:rFonts w:ascii="Times New Roman" w:hAnsi="Times New Roman"/>
          <w:sz w:val="20"/>
          <w:szCs w:val="20"/>
          <w:lang w:val="en-GB"/>
        </w:rPr>
      </w:pPr>
      <w:bookmarkStart w:id="0" w:name="_GoBack"/>
      <w:bookmarkEnd w:id="0"/>
      <w:r w:rsidRPr="00312096">
        <w:rPr>
          <w:rFonts w:ascii="Times New Roman" w:hAnsi="Times New Roman"/>
          <w:sz w:val="20"/>
          <w:szCs w:val="20"/>
          <w:lang w:val="en-GB"/>
        </w:rPr>
        <w:t>Meanwhile, an opposite trend was observed for the mass of TLEs recovered from mangrove soil, i.e., the mass of TLEs was low at the first seven days of the burial period and high after this point. Both soils demonstrated a similar trend of decomposition rate; therefore, the different trends in the mass of TLEs may be an indication of different mineralisation rates occurring in both soils. Different responses of the microbial communities towards the introduction of different cadaveric materials at different decomposition stages may also lead to a different trend in the mass of TLEs recovered from the soils of different acidity. Even though both soils showed a similar trend of decomposition rate, the concentrations of FFAs recovered from mangrove soil were found to be higher than that of oil palm plantation soil. The findings may indicate different mineralisation rates and the response of microbial communities on the introduction of FFAs into the underneath of both soils. For oil palm plantation soil, the concentrations of FFAs were higher for the first 17 days of decomposing and lower after that point. In contrast, the concentrations of FFAs were low for the first 17 days and high after that point.</w:t>
      </w:r>
    </w:p>
    <w:p w:rsidR="008B5A17" w:rsidRDefault="008B5A17" w:rsidP="008B5A17">
      <w:pPr>
        <w:spacing w:after="0"/>
        <w:jc w:val="both"/>
        <w:rPr>
          <w:rFonts w:ascii="Times New Roman" w:hAnsi="Times New Roman"/>
          <w:sz w:val="20"/>
          <w:szCs w:val="20"/>
          <w:lang w:val="en-GB"/>
        </w:rPr>
      </w:pPr>
    </w:p>
    <w:p w:rsidR="008B5A17" w:rsidRPr="00312096" w:rsidRDefault="008B5A17" w:rsidP="008B5A17">
      <w:pPr>
        <w:spacing w:after="0"/>
        <w:jc w:val="both"/>
        <w:rPr>
          <w:rFonts w:ascii="Times New Roman" w:hAnsi="Times New Roman"/>
          <w:sz w:val="20"/>
          <w:szCs w:val="20"/>
          <w:lang w:val="en-GB"/>
        </w:rPr>
      </w:pPr>
      <w:r w:rsidRPr="00312096">
        <w:rPr>
          <w:rFonts w:ascii="Times New Roman" w:hAnsi="Times New Roman"/>
          <w:sz w:val="20"/>
          <w:szCs w:val="20"/>
          <w:lang w:val="en-GB"/>
        </w:rPr>
        <w:t>Remarkably, the introduction of decomposing fatty flesh in soils with different soil pH led to a significant difference in the decomposition rate for both soils, and subsequently resulted in a different mass of TLEs and other lipid components. Hence, the findings of this study may propose that the mass of TLEs and concentrations of FFAs can be developed as an alternative forensic tool to locate a clandestine grave and to estimate the PMI for different types of soils with different acidity.</w:t>
      </w:r>
    </w:p>
    <w:p w:rsidR="008B5A17" w:rsidRDefault="008B5A17" w:rsidP="008B5A17">
      <w:pPr>
        <w:spacing w:after="0"/>
        <w:jc w:val="both"/>
        <w:rPr>
          <w:rFonts w:ascii="Times New Roman" w:hAnsi="Times New Roman"/>
          <w:sz w:val="20"/>
          <w:szCs w:val="20"/>
          <w:lang w:val="en-GB"/>
        </w:rPr>
      </w:pPr>
    </w:p>
    <w:p w:rsidR="008B5A17" w:rsidRPr="00371065" w:rsidRDefault="008B5A17" w:rsidP="008B5A17">
      <w:pPr>
        <w:spacing w:after="0" w:line="240" w:lineRule="auto"/>
        <w:jc w:val="center"/>
        <w:rPr>
          <w:rFonts w:ascii="Times New Roman" w:hAnsi="Times New Roman"/>
          <w:b/>
          <w:noProof/>
          <w:sz w:val="20"/>
          <w:szCs w:val="20"/>
          <w:lang w:bidi="ar-SA"/>
        </w:rPr>
      </w:pPr>
      <w:r w:rsidRPr="00371065">
        <w:rPr>
          <w:rFonts w:ascii="Times New Roman" w:hAnsi="Times New Roman"/>
          <w:b/>
          <w:noProof/>
          <w:sz w:val="20"/>
          <w:szCs w:val="20"/>
          <w:lang w:bidi="ar-SA"/>
        </w:rPr>
        <w:t>Acknowledgement</w:t>
      </w:r>
    </w:p>
    <w:p w:rsidR="008B5A17" w:rsidRPr="00371065" w:rsidRDefault="008B5A17" w:rsidP="008B5A17">
      <w:pPr>
        <w:spacing w:after="0"/>
        <w:jc w:val="both"/>
        <w:outlineLvl w:val="0"/>
        <w:rPr>
          <w:rFonts w:ascii="Times New Roman" w:hAnsi="Times New Roman"/>
          <w:sz w:val="20"/>
          <w:szCs w:val="20"/>
          <w:lang w:val="en-GB"/>
        </w:rPr>
      </w:pPr>
      <w:r w:rsidRPr="00371065">
        <w:rPr>
          <w:rFonts w:ascii="Times New Roman" w:hAnsi="Times New Roman"/>
          <w:sz w:val="20"/>
          <w:szCs w:val="20"/>
          <w:lang w:val="en-GB"/>
        </w:rPr>
        <w:t xml:space="preserve">The authors would like to thank the Ministry of Higher Education Malaysia (MOHE) for the research grant of the Fundamental Research Grant Scheme (Vot. 59405). We would also like to acknowledge the Royal Malaysia Police (RMP) for granting this study with ideas and soil samples from the crime scenes, as well as all staff at the Central Laboratory and </w:t>
      </w:r>
      <w:r>
        <w:rPr>
          <w:rFonts w:ascii="Times New Roman" w:hAnsi="Times New Roman"/>
          <w:sz w:val="20"/>
          <w:szCs w:val="20"/>
          <w:lang w:val="en-GB"/>
        </w:rPr>
        <w:t xml:space="preserve">School of </w:t>
      </w:r>
      <w:r w:rsidRPr="00371065">
        <w:rPr>
          <w:rFonts w:ascii="Times New Roman" w:hAnsi="Times New Roman"/>
          <w:sz w:val="20"/>
          <w:szCs w:val="20"/>
          <w:lang w:val="en-GB"/>
        </w:rPr>
        <w:t xml:space="preserve">Science and </w:t>
      </w:r>
      <w:r>
        <w:rPr>
          <w:rFonts w:ascii="Times New Roman" w:hAnsi="Times New Roman"/>
          <w:sz w:val="20"/>
          <w:szCs w:val="20"/>
          <w:lang w:val="en-GB"/>
        </w:rPr>
        <w:t>Marine Environment (FSME</w:t>
      </w:r>
      <w:r w:rsidRPr="00371065">
        <w:rPr>
          <w:rFonts w:ascii="Times New Roman" w:hAnsi="Times New Roman"/>
          <w:sz w:val="20"/>
          <w:szCs w:val="20"/>
          <w:lang w:val="en-GB"/>
        </w:rPr>
        <w:t>), Universiti Malaysia Terengganu.</w:t>
      </w:r>
    </w:p>
    <w:p w:rsidR="008B5A17" w:rsidRDefault="008B5A17" w:rsidP="008B5A17">
      <w:pPr>
        <w:spacing w:after="0"/>
        <w:jc w:val="both"/>
        <w:rPr>
          <w:rFonts w:ascii="Times New Roman" w:hAnsi="Times New Roman"/>
          <w:sz w:val="20"/>
          <w:szCs w:val="20"/>
          <w:lang w:val="en-GB"/>
        </w:rPr>
      </w:pPr>
    </w:p>
    <w:p w:rsidR="008B5A17" w:rsidRPr="00371065" w:rsidRDefault="008B5A17" w:rsidP="008B5A17">
      <w:pPr>
        <w:spacing w:after="0" w:line="240" w:lineRule="auto"/>
        <w:jc w:val="center"/>
        <w:rPr>
          <w:rFonts w:ascii="Times New Roman" w:hAnsi="Times New Roman"/>
          <w:b/>
          <w:noProof/>
          <w:sz w:val="20"/>
          <w:szCs w:val="20"/>
          <w:lang w:bidi="ar-SA"/>
        </w:rPr>
      </w:pPr>
      <w:r w:rsidRPr="00371065">
        <w:rPr>
          <w:rFonts w:ascii="Times New Roman" w:hAnsi="Times New Roman"/>
          <w:b/>
          <w:noProof/>
          <w:sz w:val="20"/>
          <w:szCs w:val="20"/>
          <w:lang w:bidi="ar-SA"/>
        </w:rPr>
        <w:lastRenderedPageBreak/>
        <w:t>References</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Mann, R. W., Bass, W. M. and Meadows, L (1990). Time since death and decomposition of the human body: variables and observations in case and experimental field studies. </w:t>
      </w:r>
      <w:r w:rsidRPr="00371065">
        <w:rPr>
          <w:rFonts w:ascii="Times New Roman" w:eastAsia="Calibri" w:hAnsi="Times New Roman"/>
          <w:i/>
          <w:sz w:val="20"/>
          <w:szCs w:val="20"/>
          <w:lang w:val="en-GB"/>
        </w:rPr>
        <w:t>Journal of Forensic Science</w:t>
      </w:r>
      <w:r w:rsidRPr="00371065">
        <w:rPr>
          <w:rFonts w:ascii="Times New Roman" w:eastAsia="Calibri" w:hAnsi="Times New Roman"/>
          <w:sz w:val="20"/>
          <w:szCs w:val="20"/>
          <w:lang w:val="en-GB"/>
        </w:rPr>
        <w:t>, 35:103-11.</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Janaway, R. C. (1997). The decay of buried human remains and their associated materials. studies in crime: an introduction to forensic archaeology. Routledge, London: pp. 58-85.</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Forbes, S. L., Stuart, B. H. and Dent, B. B. (2005). The effect of soil type on adipocere formation. </w:t>
      </w:r>
      <w:r w:rsidRPr="00371065">
        <w:rPr>
          <w:rFonts w:ascii="Times New Roman" w:eastAsia="Calibri" w:hAnsi="Times New Roman"/>
          <w:i/>
          <w:sz w:val="20"/>
          <w:szCs w:val="20"/>
          <w:lang w:val="en-GB"/>
        </w:rPr>
        <w:t>Forensic Science International</w:t>
      </w:r>
      <w:r w:rsidRPr="00371065">
        <w:rPr>
          <w:rFonts w:ascii="Times New Roman" w:eastAsia="Calibri" w:hAnsi="Times New Roman"/>
          <w:sz w:val="20"/>
          <w:szCs w:val="20"/>
          <w:lang w:val="en-GB"/>
        </w:rPr>
        <w:t>, 154(1): 35-43.</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Forbes, S. L., Stuart. B. H. and Dent, B. B. (2005b). The effect of the burial environment on adipocere formation. </w:t>
      </w:r>
      <w:r w:rsidRPr="00371065">
        <w:rPr>
          <w:rFonts w:ascii="Times New Roman" w:eastAsia="Calibri" w:hAnsi="Times New Roman"/>
          <w:i/>
          <w:sz w:val="20"/>
          <w:szCs w:val="20"/>
          <w:lang w:val="en-GB"/>
        </w:rPr>
        <w:t>Forensic Science International</w:t>
      </w:r>
      <w:r w:rsidRPr="00371065">
        <w:rPr>
          <w:rFonts w:ascii="Times New Roman" w:eastAsia="Calibri" w:hAnsi="Times New Roman"/>
          <w:sz w:val="20"/>
          <w:szCs w:val="20"/>
          <w:lang w:val="en-GB"/>
        </w:rPr>
        <w:t>, 154(1): 24-34.</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Haslam, T. C. and Tibbett, M. (2009). Soils of contrasting pH affects the decomposition of buried mammalian (</w:t>
      </w:r>
      <w:r w:rsidRPr="00371065">
        <w:rPr>
          <w:rFonts w:ascii="Times New Roman" w:hAnsi="Times New Roman"/>
          <w:bCs/>
          <w:i/>
          <w:sz w:val="20"/>
          <w:szCs w:val="20"/>
          <w:shd w:val="clear" w:color="auto" w:fill="FFFFFF"/>
          <w:lang w:val="en-GB"/>
        </w:rPr>
        <w:t>Ovis aries</w:t>
      </w:r>
      <w:r w:rsidRPr="00371065">
        <w:rPr>
          <w:rFonts w:ascii="Times New Roman" w:hAnsi="Times New Roman"/>
          <w:bCs/>
          <w:sz w:val="20"/>
          <w:szCs w:val="20"/>
          <w:shd w:val="clear" w:color="auto" w:fill="FFFFFF"/>
          <w:lang w:val="en-GB"/>
        </w:rPr>
        <w:t>) skeletal muscle tissue.</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Journal of Forensic Sciences</w:t>
      </w:r>
      <w:r w:rsidRPr="00371065">
        <w:rPr>
          <w:rFonts w:ascii="Times New Roman" w:hAnsi="Times New Roman"/>
          <w:bCs/>
          <w:iCs/>
          <w:sz w:val="20"/>
          <w:szCs w:val="20"/>
          <w:shd w:val="clear" w:color="auto" w:fill="FFFFFF"/>
          <w:lang w:val="en-GB"/>
        </w:rPr>
        <w:t>, 54</w:t>
      </w:r>
      <w:r w:rsidRPr="00371065">
        <w:rPr>
          <w:rFonts w:ascii="Times New Roman" w:hAnsi="Times New Roman"/>
          <w:bCs/>
          <w:sz w:val="20"/>
          <w:szCs w:val="20"/>
          <w:shd w:val="clear" w:color="auto" w:fill="FFFFFF"/>
          <w:lang w:val="en-GB"/>
        </w:rPr>
        <w:t>(4): 900-904.</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Vass, A. A. (2011). The elusive universal post-mortem interval formula. </w:t>
      </w:r>
      <w:r w:rsidRPr="00371065">
        <w:rPr>
          <w:rFonts w:ascii="Times New Roman" w:hAnsi="Times New Roman"/>
          <w:i/>
          <w:sz w:val="20"/>
          <w:szCs w:val="20"/>
          <w:lang w:val="en-GB"/>
        </w:rPr>
        <w:t>Forensic Science International</w:t>
      </w:r>
      <w:r w:rsidRPr="00371065">
        <w:rPr>
          <w:rFonts w:ascii="Times New Roman" w:hAnsi="Times New Roman"/>
          <w:sz w:val="20"/>
          <w:szCs w:val="20"/>
          <w:lang w:val="en-GB"/>
        </w:rPr>
        <w:t>, 204(1-3): 34-40.</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Sullivan, T. S. (2017). Soil acidity impact beneficial soil microorganisms. Washington State University Extension: pp.1 - 6.</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Lauber, C. L., Strickland, M. S., Bradford, M. A. and Fierer, N. (2008). The influence of soil properties on the structure of bacterial and fungal communities across land-use types.</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Soil Biology and Biochemistry</w:t>
      </w:r>
      <w:r w:rsidRPr="00371065">
        <w:rPr>
          <w:rFonts w:ascii="Times New Roman" w:hAnsi="Times New Roman"/>
          <w:bCs/>
          <w:iCs/>
          <w:sz w:val="20"/>
          <w:szCs w:val="20"/>
          <w:shd w:val="clear" w:color="auto" w:fill="FFFFFF"/>
          <w:lang w:val="en-GB"/>
        </w:rPr>
        <w:t xml:space="preserve">, 40 </w:t>
      </w:r>
      <w:r w:rsidRPr="00371065">
        <w:rPr>
          <w:rFonts w:ascii="Times New Roman" w:hAnsi="Times New Roman"/>
          <w:bCs/>
          <w:sz w:val="20"/>
          <w:szCs w:val="20"/>
          <w:shd w:val="clear" w:color="auto" w:fill="FFFFFF"/>
          <w:lang w:val="en-GB"/>
        </w:rPr>
        <w:t>(9): 2407-2415.</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 xml:space="preserve">Lauber, C. L., Hamady, M., Knight, R. and Fierer, N. (2009). Pyrosequencing-based assessment of soil pH as a predictor of soil bacterial community structure at the continental scale. </w:t>
      </w:r>
      <w:r w:rsidRPr="00371065">
        <w:rPr>
          <w:rFonts w:ascii="Times New Roman" w:hAnsi="Times New Roman"/>
          <w:bCs/>
          <w:i/>
          <w:iCs/>
          <w:sz w:val="20"/>
          <w:szCs w:val="20"/>
          <w:shd w:val="clear" w:color="auto" w:fill="FFFFFF"/>
          <w:lang w:val="en-GB"/>
        </w:rPr>
        <w:t>Applied and Environmental Microbiology</w:t>
      </w:r>
      <w:r w:rsidRPr="00371065">
        <w:rPr>
          <w:rFonts w:ascii="Times New Roman" w:hAnsi="Times New Roman"/>
          <w:bCs/>
          <w:iCs/>
          <w:sz w:val="20"/>
          <w:szCs w:val="20"/>
          <w:shd w:val="clear" w:color="auto" w:fill="FFFFFF"/>
          <w:lang w:val="en-GB"/>
        </w:rPr>
        <w:t>, 75</w:t>
      </w:r>
      <w:r w:rsidRPr="00371065">
        <w:rPr>
          <w:rFonts w:ascii="Times New Roman" w:hAnsi="Times New Roman"/>
          <w:bCs/>
          <w:sz w:val="20"/>
          <w:szCs w:val="20"/>
          <w:shd w:val="clear" w:color="auto" w:fill="FFFFFF"/>
          <w:lang w:val="en-GB"/>
        </w:rPr>
        <w:t>(15): 5111-5120.</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Carter, D. O., Yellowlees, D. and Tibbett, M. (2006). Cadaver decomposition in terrestrial ecosystems. </w:t>
      </w:r>
      <w:r w:rsidRPr="00371065">
        <w:rPr>
          <w:rFonts w:ascii="Times New Roman" w:hAnsi="Times New Roman"/>
          <w:i/>
          <w:iCs/>
          <w:sz w:val="20"/>
          <w:szCs w:val="20"/>
          <w:lang w:val="en-GB"/>
        </w:rPr>
        <w:t>Naturwissenschaften</w:t>
      </w:r>
      <w:r w:rsidRPr="00371065">
        <w:rPr>
          <w:rFonts w:ascii="Times New Roman" w:hAnsi="Times New Roman"/>
          <w:iCs/>
          <w:sz w:val="20"/>
          <w:szCs w:val="20"/>
          <w:lang w:val="en-GB"/>
        </w:rPr>
        <w:t>,</w:t>
      </w:r>
      <w:r w:rsidRPr="00371065">
        <w:rPr>
          <w:rFonts w:ascii="Times New Roman" w:hAnsi="Times New Roman"/>
          <w:sz w:val="20"/>
          <w:szCs w:val="20"/>
          <w:lang w:val="en-GB"/>
        </w:rPr>
        <w:t xml:space="preserve"> </w:t>
      </w:r>
      <w:r w:rsidRPr="00371065">
        <w:rPr>
          <w:rFonts w:ascii="Times New Roman" w:hAnsi="Times New Roman"/>
          <w:iCs/>
          <w:sz w:val="20"/>
          <w:szCs w:val="20"/>
          <w:lang w:val="en-GB"/>
        </w:rPr>
        <w:t>94</w:t>
      </w:r>
      <w:r w:rsidRPr="00371065">
        <w:rPr>
          <w:rFonts w:ascii="Times New Roman" w:hAnsi="Times New Roman"/>
          <w:sz w:val="20"/>
          <w:szCs w:val="20"/>
          <w:lang w:val="en-GB"/>
        </w:rPr>
        <w:t>(1): 12-24.</w:t>
      </w:r>
    </w:p>
    <w:p w:rsidR="008B5A17" w:rsidRPr="008B5A17"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Conyers, L, B. (2006). Ground penetrating radar techniques to discover and map historic graves. </w:t>
      </w:r>
      <w:r w:rsidRPr="00371065">
        <w:rPr>
          <w:rFonts w:ascii="Times New Roman" w:hAnsi="Times New Roman"/>
          <w:i/>
          <w:sz w:val="20"/>
          <w:szCs w:val="20"/>
          <w:lang w:val="en-GB"/>
        </w:rPr>
        <w:t>Historical Archaeology</w:t>
      </w:r>
      <w:r w:rsidRPr="00371065">
        <w:rPr>
          <w:rFonts w:ascii="Times New Roman" w:hAnsi="Times New Roman"/>
          <w:sz w:val="20"/>
          <w:szCs w:val="20"/>
          <w:lang w:val="en-GB"/>
        </w:rPr>
        <w:t>, 40(3): 64-73.</w:t>
      </w:r>
    </w:p>
    <w:p w:rsidR="008B5A17" w:rsidRPr="008B5A17" w:rsidRDefault="008B5A17" w:rsidP="008B5A17">
      <w:pPr>
        <w:autoSpaceDE w:val="0"/>
        <w:autoSpaceDN w:val="0"/>
        <w:adjustRightInd w:val="0"/>
        <w:spacing w:after="0"/>
        <w:jc w:val="both"/>
        <w:rPr>
          <w:rFonts w:ascii="Times New Roman" w:eastAsia="Calibri" w:hAnsi="Times New Roman"/>
          <w:sz w:val="20"/>
          <w:szCs w:val="20"/>
          <w:lang w:val="en-GB"/>
        </w:rPr>
      </w:pPr>
    </w:p>
    <w:p w:rsidR="008B5A17" w:rsidRPr="00AC40E9" w:rsidRDefault="008B5A17" w:rsidP="008B5A17">
      <w:pPr>
        <w:pStyle w:val="ListParagraph"/>
        <w:numPr>
          <w:ilvl w:val="0"/>
          <w:numId w:val="2"/>
        </w:numPr>
        <w:autoSpaceDE w:val="0"/>
        <w:autoSpaceDN w:val="0"/>
        <w:adjustRightInd w:val="0"/>
        <w:spacing w:after="0"/>
        <w:ind w:left="360" w:hanging="360"/>
        <w:jc w:val="both"/>
        <w:rPr>
          <w:rFonts w:ascii="Times New Roman" w:eastAsia="Calibri" w:hAnsi="Times New Roman"/>
          <w:sz w:val="20"/>
          <w:szCs w:val="20"/>
          <w:lang w:val="en-GB"/>
        </w:rPr>
      </w:pPr>
      <w:r w:rsidRPr="00AC40E9">
        <w:rPr>
          <w:rFonts w:ascii="Times New Roman" w:hAnsi="Times New Roman"/>
          <w:sz w:val="20"/>
          <w:szCs w:val="20"/>
          <w:lang w:val="en-GB"/>
        </w:rPr>
        <w:lastRenderedPageBreak/>
        <w:t xml:space="preserve">Larson, D., Vass, A. A. and Wise, M. (2011). Advanced Scientific Methods and Procedures in the Forensic Investigation of Clandestine Graves. </w:t>
      </w:r>
      <w:r w:rsidRPr="00AC40E9">
        <w:rPr>
          <w:rFonts w:ascii="Times New Roman" w:hAnsi="Times New Roman"/>
          <w:i/>
          <w:sz w:val="20"/>
          <w:szCs w:val="20"/>
          <w:lang w:val="en-GB"/>
        </w:rPr>
        <w:t>Journal of Contemporary Criminal Justice</w:t>
      </w:r>
      <w:r w:rsidRPr="00AC40E9">
        <w:rPr>
          <w:rFonts w:ascii="Times New Roman" w:hAnsi="Times New Roman"/>
          <w:sz w:val="20"/>
          <w:szCs w:val="20"/>
          <w:lang w:val="en-GB"/>
        </w:rPr>
        <w:t>, 27(2): 149 - 182.</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Chock, X. and Ismail, S. S. (2017). Lipid distribution associated with a clandestine grave: A burial in mangrove soil. </w:t>
      </w:r>
      <w:r w:rsidRPr="00371065">
        <w:rPr>
          <w:rFonts w:ascii="Times New Roman" w:hAnsi="Times New Roman"/>
          <w:i/>
          <w:sz w:val="20"/>
          <w:szCs w:val="20"/>
          <w:lang w:val="en-GB"/>
        </w:rPr>
        <w:t>Transaction on Science and Technology</w:t>
      </w:r>
      <w:r w:rsidRPr="00371065">
        <w:rPr>
          <w:rFonts w:ascii="Times New Roman" w:hAnsi="Times New Roman"/>
          <w:sz w:val="20"/>
          <w:szCs w:val="20"/>
          <w:lang w:val="en-GB"/>
        </w:rPr>
        <w:t>, 4(4): 476-481.</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 xml:space="preserve">Lowe, A. C., Beresford, D. O., Gaspari, F., O’rien, R. C., Stuart, B. H. and Forbes, S. L. (2013). The effect of soil texture on the degradation of textiles associated with buried bodies. </w:t>
      </w:r>
      <w:r w:rsidRPr="00371065">
        <w:rPr>
          <w:rFonts w:ascii="Times New Roman" w:hAnsi="Times New Roman"/>
          <w:bCs/>
          <w:i/>
          <w:sz w:val="20"/>
          <w:szCs w:val="20"/>
          <w:shd w:val="clear" w:color="auto" w:fill="FFFFFF"/>
          <w:lang w:val="en-GB"/>
        </w:rPr>
        <w:t>Forensic Science International</w:t>
      </w:r>
      <w:r w:rsidRPr="00371065">
        <w:rPr>
          <w:rFonts w:ascii="Times New Roman" w:hAnsi="Times New Roman"/>
          <w:bCs/>
          <w:sz w:val="20"/>
          <w:szCs w:val="20"/>
          <w:shd w:val="clear" w:color="auto" w:fill="FFFFFF"/>
          <w:lang w:val="en-GB"/>
        </w:rPr>
        <w:t>,</w:t>
      </w:r>
      <w:r w:rsidRPr="00371065">
        <w:rPr>
          <w:rFonts w:ascii="Times New Roman" w:hAnsi="Times New Roman"/>
          <w:bCs/>
          <w:i/>
          <w:sz w:val="20"/>
          <w:szCs w:val="20"/>
          <w:shd w:val="clear" w:color="auto" w:fill="FFFFFF"/>
          <w:lang w:val="en-GB"/>
        </w:rPr>
        <w:t xml:space="preserve"> </w:t>
      </w:r>
      <w:r w:rsidRPr="00371065">
        <w:rPr>
          <w:rFonts w:ascii="Times New Roman" w:hAnsi="Times New Roman"/>
          <w:bCs/>
          <w:sz w:val="20"/>
          <w:szCs w:val="20"/>
          <w:shd w:val="clear" w:color="auto" w:fill="FFFFFF"/>
          <w:lang w:val="en-GB"/>
        </w:rPr>
        <w:t>231</w:t>
      </w:r>
      <w:r w:rsidRPr="00371065">
        <w:rPr>
          <w:rFonts w:ascii="Times New Roman" w:hAnsi="Times New Roman"/>
          <w:sz w:val="20"/>
          <w:szCs w:val="20"/>
          <w:lang w:val="en-GB"/>
        </w:rPr>
        <w:t>(1-3)</w:t>
      </w:r>
      <w:r w:rsidRPr="00371065">
        <w:rPr>
          <w:rFonts w:ascii="Times New Roman" w:hAnsi="Times New Roman"/>
          <w:bCs/>
          <w:sz w:val="20"/>
          <w:szCs w:val="20"/>
          <w:shd w:val="clear" w:color="auto" w:fill="FFFFFF"/>
          <w:lang w:val="en-GB"/>
        </w:rPr>
        <w:t>: 331-339.</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Notter, S. J., Stuart, B. H., Rowe, R. and Langlois, N. (2009). The initial changes of fat deposits during the decomposition of human and pig remains. </w:t>
      </w:r>
      <w:r w:rsidRPr="00371065">
        <w:rPr>
          <w:rFonts w:ascii="Times New Roman" w:hAnsi="Times New Roman"/>
          <w:i/>
          <w:iCs/>
          <w:sz w:val="20"/>
          <w:szCs w:val="20"/>
          <w:lang w:val="en-GB"/>
        </w:rPr>
        <w:t>Journal of Forensic Sciences</w:t>
      </w:r>
      <w:r w:rsidRPr="00371065">
        <w:rPr>
          <w:rFonts w:ascii="Times New Roman" w:hAnsi="Times New Roman"/>
          <w:iCs/>
          <w:sz w:val="20"/>
          <w:szCs w:val="20"/>
          <w:lang w:val="en-GB"/>
        </w:rPr>
        <w:t>,</w:t>
      </w:r>
      <w:r w:rsidRPr="00371065">
        <w:rPr>
          <w:rFonts w:ascii="Times New Roman" w:hAnsi="Times New Roman"/>
          <w:sz w:val="20"/>
          <w:szCs w:val="20"/>
          <w:lang w:val="en-GB"/>
        </w:rPr>
        <w:t xml:space="preserve"> </w:t>
      </w:r>
      <w:r w:rsidRPr="00371065">
        <w:rPr>
          <w:rFonts w:ascii="Times New Roman" w:hAnsi="Times New Roman"/>
          <w:iCs/>
          <w:sz w:val="20"/>
          <w:szCs w:val="20"/>
          <w:lang w:val="en-GB"/>
        </w:rPr>
        <w:t>54</w:t>
      </w:r>
      <w:r w:rsidRPr="00371065">
        <w:rPr>
          <w:rFonts w:ascii="Times New Roman" w:hAnsi="Times New Roman"/>
          <w:sz w:val="20"/>
          <w:szCs w:val="20"/>
          <w:lang w:val="en-GB"/>
        </w:rPr>
        <w:t xml:space="preserve">(1): 195-201. </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Derrien, M., Cabrera, F. A., Tavera, N. L., Manzano, C. A. and Vizcaino, S. C. (2015). Sources and distribution of organic matter along the ring of cenotes, Yucatan, Mexico: Sterol markers and statistical approaches.</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Science of the Total Environment</w:t>
      </w:r>
      <w:r w:rsidRPr="00371065">
        <w:rPr>
          <w:rFonts w:ascii="Times New Roman" w:hAnsi="Times New Roman"/>
          <w:bCs/>
          <w:iCs/>
          <w:sz w:val="20"/>
          <w:szCs w:val="20"/>
          <w:shd w:val="clear" w:color="auto" w:fill="FFFFFF"/>
          <w:lang w:val="en-GB"/>
        </w:rPr>
        <w:t>, 511</w:t>
      </w:r>
      <w:r w:rsidRPr="00371065">
        <w:rPr>
          <w:rFonts w:ascii="Times New Roman" w:hAnsi="Times New Roman"/>
          <w:bCs/>
          <w:sz w:val="20"/>
          <w:szCs w:val="20"/>
          <w:shd w:val="clear" w:color="auto" w:fill="FFFFFF"/>
          <w:lang w:val="en-GB"/>
        </w:rPr>
        <w:t>: 223-229.</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Bull, I. D., Berstan, R., Vass, A., and Evershed, R. P. (2009). Identification of a disinterred grave by molecular and stable isotope analysis. </w:t>
      </w:r>
      <w:r w:rsidRPr="00371065">
        <w:rPr>
          <w:rFonts w:ascii="Times New Roman" w:hAnsi="Times New Roman"/>
          <w:i/>
          <w:iCs/>
          <w:sz w:val="20"/>
          <w:szCs w:val="20"/>
          <w:lang w:val="en-GB"/>
        </w:rPr>
        <w:t>Science &amp; Justice</w:t>
      </w:r>
      <w:r w:rsidRPr="00371065">
        <w:rPr>
          <w:rFonts w:ascii="Times New Roman" w:hAnsi="Times New Roman"/>
          <w:iCs/>
          <w:sz w:val="20"/>
          <w:szCs w:val="20"/>
          <w:lang w:val="en-GB"/>
        </w:rPr>
        <w:t>, 49</w:t>
      </w:r>
      <w:r w:rsidRPr="00371065">
        <w:rPr>
          <w:rFonts w:ascii="Times New Roman" w:hAnsi="Times New Roman"/>
          <w:sz w:val="20"/>
          <w:szCs w:val="20"/>
          <w:lang w:val="en-GB"/>
        </w:rPr>
        <w:t>(2): 142-149.</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Derrien, M., Yang, L. and Hur, J. (2017). Lipid biomarkers and spectroscopic indices for identifying organic matter sources in aquatic environments: A review.</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Water Research</w:t>
      </w:r>
      <w:r w:rsidRPr="00371065">
        <w:rPr>
          <w:rFonts w:ascii="Times New Roman" w:hAnsi="Times New Roman"/>
          <w:bCs/>
          <w:iCs/>
          <w:sz w:val="20"/>
          <w:szCs w:val="20"/>
          <w:shd w:val="clear" w:color="auto" w:fill="FFFFFF"/>
          <w:lang w:val="en-GB"/>
        </w:rPr>
        <w:t>, 112</w:t>
      </w:r>
      <w:r w:rsidRPr="00371065">
        <w:rPr>
          <w:rFonts w:ascii="Times New Roman" w:hAnsi="Times New Roman"/>
          <w:bCs/>
          <w:sz w:val="20"/>
          <w:szCs w:val="20"/>
          <w:shd w:val="clear" w:color="auto" w:fill="FFFFFF"/>
          <w:lang w:val="en-GB"/>
        </w:rPr>
        <w:t>: 58-71.</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Style w:val="mixed-citation"/>
          <w:rFonts w:ascii="Times New Roman" w:eastAsia="Calibri" w:hAnsi="Times New Roman"/>
          <w:sz w:val="20"/>
          <w:szCs w:val="20"/>
          <w:lang w:val="en-GB"/>
        </w:rPr>
      </w:pPr>
      <w:r w:rsidRPr="00371065">
        <w:rPr>
          <w:rStyle w:val="mixed-citation"/>
          <w:rFonts w:ascii="Times New Roman" w:hAnsi="Times New Roman"/>
          <w:sz w:val="20"/>
          <w:szCs w:val="20"/>
          <w:lang w:val="en-GB"/>
        </w:rPr>
        <w:t xml:space="preserve">Jin, J. F., Luo, G. H. and Gao, C. L. (2008). </w:t>
      </w:r>
      <w:r w:rsidRPr="00371065">
        <w:rPr>
          <w:rStyle w:val="ref-title"/>
          <w:rFonts w:ascii="Times New Roman" w:hAnsi="Times New Roman"/>
          <w:sz w:val="20"/>
          <w:szCs w:val="20"/>
          <w:lang w:val="en-GB"/>
        </w:rPr>
        <w:t>Study on the relationship between content of lipid in bone marrow of sternum and postmortem interval</w:t>
      </w:r>
      <w:r w:rsidRPr="00371065">
        <w:rPr>
          <w:rStyle w:val="mixed-citation"/>
          <w:rFonts w:ascii="Times New Roman" w:hAnsi="Times New Roman"/>
          <w:sz w:val="20"/>
          <w:szCs w:val="20"/>
          <w:lang w:val="en-GB"/>
        </w:rPr>
        <w:t xml:space="preserve">. </w:t>
      </w:r>
      <w:r w:rsidRPr="00371065">
        <w:rPr>
          <w:rStyle w:val="ref-journal"/>
          <w:rFonts w:ascii="Times New Roman" w:hAnsi="Times New Roman"/>
          <w:i/>
          <w:sz w:val="20"/>
          <w:szCs w:val="20"/>
          <w:lang w:val="en-GB"/>
        </w:rPr>
        <w:t>Shaanxi Medical Journal</w:t>
      </w:r>
      <w:r w:rsidRPr="00371065">
        <w:rPr>
          <w:rStyle w:val="ref-journal"/>
          <w:rFonts w:ascii="Times New Roman" w:hAnsi="Times New Roman"/>
          <w:sz w:val="20"/>
          <w:szCs w:val="20"/>
          <w:lang w:val="en-GB"/>
        </w:rPr>
        <w:t xml:space="preserve">, </w:t>
      </w:r>
      <w:r w:rsidRPr="00371065">
        <w:rPr>
          <w:rStyle w:val="ref-vol"/>
          <w:rFonts w:ascii="Times New Roman" w:hAnsi="Times New Roman"/>
          <w:sz w:val="20"/>
          <w:szCs w:val="20"/>
          <w:lang w:val="en-GB"/>
        </w:rPr>
        <w:t>37</w:t>
      </w:r>
      <w:r w:rsidRPr="00371065">
        <w:rPr>
          <w:rStyle w:val="mixed-citation"/>
          <w:rFonts w:ascii="Times New Roman" w:hAnsi="Times New Roman"/>
          <w:sz w:val="20"/>
          <w:szCs w:val="20"/>
          <w:lang w:val="en-GB"/>
        </w:rPr>
        <w:t>: 336-338.</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Bligh, E. G. and Dyer, W. J. (1959). A rapid method of total lipid extraction and purification. </w:t>
      </w:r>
      <w:r w:rsidRPr="00371065">
        <w:rPr>
          <w:rFonts w:ascii="Times New Roman" w:hAnsi="Times New Roman"/>
          <w:i/>
          <w:sz w:val="20"/>
          <w:szCs w:val="20"/>
          <w:lang w:val="en-GB"/>
        </w:rPr>
        <w:t>Canadian Journal of Biochemistry and Physiology</w:t>
      </w:r>
      <w:r w:rsidRPr="00371065">
        <w:rPr>
          <w:rFonts w:ascii="Times New Roman" w:hAnsi="Times New Roman"/>
          <w:sz w:val="20"/>
          <w:szCs w:val="20"/>
          <w:lang w:val="en-GB"/>
        </w:rPr>
        <w:t>, 37(8): 911-917.</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Carter, D. O. (2005). Forensic taphonomy: Processes associated with cadaver decomposition in soil. Thesis of Ph.D. Degree, James Cook University. </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lastRenderedPageBreak/>
        <w:t xml:space="preserve">Zhou, C. and Byard, R. W. (2011). Factors and processes causing accelerated decomposition in human cadavers - an overview. </w:t>
      </w:r>
      <w:r w:rsidRPr="00371065">
        <w:rPr>
          <w:rFonts w:ascii="Times New Roman" w:hAnsi="Times New Roman"/>
          <w:bCs/>
          <w:i/>
          <w:sz w:val="20"/>
          <w:szCs w:val="20"/>
          <w:shd w:val="clear" w:color="auto" w:fill="FFFFFF"/>
          <w:lang w:val="en-GB"/>
        </w:rPr>
        <w:t>Journal of Forensic and Legal Medicine</w:t>
      </w:r>
      <w:r w:rsidRPr="00371065">
        <w:rPr>
          <w:rFonts w:ascii="Times New Roman" w:hAnsi="Times New Roman"/>
          <w:bCs/>
          <w:sz w:val="20"/>
          <w:szCs w:val="20"/>
          <w:shd w:val="clear" w:color="auto" w:fill="FFFFFF"/>
          <w:lang w:val="en-GB"/>
        </w:rPr>
        <w:t xml:space="preserve">, 18(1): 6-9. </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Teo, C. H., Hamzah, N. H., Hing, H. L. and Hamzah, S. P. (2014). Decomposition process and postmortem changes: review. </w:t>
      </w:r>
      <w:r w:rsidRPr="00371065">
        <w:rPr>
          <w:rFonts w:ascii="Times New Roman" w:eastAsia="Calibri" w:hAnsi="Times New Roman"/>
          <w:i/>
          <w:iCs/>
          <w:sz w:val="20"/>
          <w:szCs w:val="20"/>
          <w:lang w:val="en-GB"/>
        </w:rPr>
        <w:t>Sains Malaysiana</w:t>
      </w:r>
      <w:r w:rsidRPr="00371065">
        <w:rPr>
          <w:rFonts w:ascii="Times New Roman" w:eastAsia="Calibri" w:hAnsi="Times New Roman"/>
          <w:sz w:val="20"/>
          <w:szCs w:val="20"/>
          <w:lang w:val="en-GB"/>
        </w:rPr>
        <w:t xml:space="preserve">, 43(12): 1873-1882. </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Stokes, K. L., Forbes, S. L., Benninger, L. A., Carter, D. O. and Tibbett. M. (2009). Decomposition studies using animal models in contrasting environments: evidence from changes in soil chemistry and microbial activity. In: Ritz, K., Dawson, L. and Miller, D. (Eds.), </w:t>
      </w:r>
      <w:r w:rsidRPr="00371065">
        <w:rPr>
          <w:rFonts w:ascii="Times New Roman" w:hAnsi="Times New Roman"/>
          <w:i/>
          <w:sz w:val="20"/>
          <w:szCs w:val="20"/>
          <w:lang w:val="en-GB"/>
        </w:rPr>
        <w:t>Criminal and Environmental Soil Forensics</w:t>
      </w:r>
      <w:r w:rsidRPr="00371065">
        <w:rPr>
          <w:rFonts w:ascii="Times New Roman" w:hAnsi="Times New Roman"/>
          <w:sz w:val="20"/>
          <w:szCs w:val="20"/>
          <w:lang w:val="en-GB"/>
        </w:rPr>
        <w:t>. Springer Science &amp; Business Media, Bradford: pp. 357-377.</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Tibbett, M. and Carter, D. O. (2009). Research in forensic taphonomy: a soil-based perspective. In: Ritz, K., Dawson, L. and Miller, D. (Eds.), </w:t>
      </w:r>
      <w:r w:rsidRPr="00371065">
        <w:rPr>
          <w:rFonts w:ascii="Times New Roman" w:hAnsi="Times New Roman"/>
          <w:i/>
          <w:sz w:val="20"/>
          <w:szCs w:val="20"/>
          <w:lang w:val="en-GB"/>
        </w:rPr>
        <w:t>Criminal and Environmental Soil Forensics</w:t>
      </w:r>
      <w:r w:rsidRPr="00371065">
        <w:rPr>
          <w:rFonts w:ascii="Times New Roman" w:hAnsi="Times New Roman"/>
          <w:sz w:val="20"/>
          <w:szCs w:val="20"/>
          <w:lang w:val="en-GB"/>
        </w:rPr>
        <w:t xml:space="preserve">. Springer Science &amp; Business Media: pp. 317-331. </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Campobasso, C. P., Di Vella, G. and Introna, F. (2001). Factors affecting decomposition and diptera colonization. </w:t>
      </w:r>
      <w:r w:rsidRPr="00371065">
        <w:rPr>
          <w:rFonts w:ascii="Times New Roman" w:hAnsi="Times New Roman"/>
          <w:i/>
          <w:sz w:val="20"/>
          <w:szCs w:val="20"/>
          <w:lang w:val="en-GB"/>
        </w:rPr>
        <w:t>Forensic Science International</w:t>
      </w:r>
      <w:r w:rsidRPr="00371065">
        <w:rPr>
          <w:rFonts w:ascii="Times New Roman" w:hAnsi="Times New Roman"/>
          <w:sz w:val="20"/>
          <w:szCs w:val="20"/>
          <w:lang w:val="en-GB"/>
        </w:rPr>
        <w:t xml:space="preserve">, 120(1-2): 18-27. </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Krishna, M. P. and Mohan, M. (2017). Litter decomposition in forest ecosystems: A review. </w:t>
      </w:r>
      <w:r w:rsidRPr="00371065">
        <w:rPr>
          <w:rFonts w:ascii="Times New Roman" w:hAnsi="Times New Roman"/>
          <w:i/>
          <w:sz w:val="20"/>
          <w:szCs w:val="20"/>
          <w:lang w:val="en-GB"/>
        </w:rPr>
        <w:t>Energy, Ecology and Environment</w:t>
      </w:r>
      <w:r w:rsidRPr="00371065">
        <w:rPr>
          <w:rFonts w:ascii="Times New Roman" w:hAnsi="Times New Roman"/>
          <w:sz w:val="20"/>
          <w:szCs w:val="20"/>
          <w:lang w:val="en-GB"/>
        </w:rPr>
        <w:t>, 2(4): 236-249.</w:t>
      </w:r>
    </w:p>
    <w:p w:rsidR="008B5A17" w:rsidRPr="00371065"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Kibblewhite, M., Tóth, G. and Hermann, T. (2015). Predicting the preservation of cultural artefacts and buried materials in soil. </w:t>
      </w:r>
      <w:r w:rsidRPr="00371065">
        <w:rPr>
          <w:rFonts w:ascii="Times New Roman" w:hAnsi="Times New Roman"/>
          <w:i/>
          <w:sz w:val="20"/>
          <w:szCs w:val="20"/>
          <w:lang w:val="en-GB"/>
        </w:rPr>
        <w:t>Science of the Total Environment</w:t>
      </w:r>
      <w:r w:rsidRPr="00371065">
        <w:rPr>
          <w:rFonts w:ascii="Times New Roman" w:hAnsi="Times New Roman"/>
          <w:sz w:val="20"/>
          <w:szCs w:val="20"/>
          <w:lang w:val="en-GB"/>
        </w:rPr>
        <w:t>, 529: 249-263.</w:t>
      </w:r>
    </w:p>
    <w:p w:rsidR="008B5A17" w:rsidRPr="00536148"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Mant, A. K. (1987). Knowledge acquired from post-war exhumation. In: Boddington, A., Garland, A. N. and Janaway, R.C: Death, decay and reconstruction-approaches to archaeological and forensic science. Manchester University Press, Manchester: pp. 65-78.</w:t>
      </w:r>
    </w:p>
    <w:p w:rsidR="008B5A17" w:rsidRPr="00AC40E9"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Takatori, T (1996). Investigations on the mechanism of adipocere formation and its relation to other biochemical reactions. </w:t>
      </w:r>
      <w:r w:rsidRPr="00371065">
        <w:rPr>
          <w:rFonts w:ascii="Times New Roman" w:hAnsi="Times New Roman"/>
          <w:i/>
          <w:sz w:val="20"/>
          <w:szCs w:val="20"/>
          <w:lang w:val="en-GB"/>
        </w:rPr>
        <w:t>Forensic Science International</w:t>
      </w:r>
      <w:r w:rsidRPr="00371065">
        <w:rPr>
          <w:rFonts w:ascii="Times New Roman" w:hAnsi="Times New Roman"/>
          <w:sz w:val="20"/>
          <w:szCs w:val="20"/>
          <w:lang w:val="en-GB"/>
        </w:rPr>
        <w:t>, 80(1-2): 49-61.</w:t>
      </w:r>
    </w:p>
    <w:p w:rsidR="008B5A17" w:rsidRPr="00DC31A1" w:rsidRDefault="008B5A17" w:rsidP="008B5A17">
      <w:pPr>
        <w:pStyle w:val="ListParagraph"/>
        <w:numPr>
          <w:ilvl w:val="0"/>
          <w:numId w:val="2"/>
        </w:numPr>
        <w:autoSpaceDE w:val="0"/>
        <w:autoSpaceDN w:val="0"/>
        <w:adjustRightInd w:val="0"/>
        <w:spacing w:after="0"/>
        <w:ind w:left="360" w:hanging="360"/>
        <w:contextualSpacing w:val="0"/>
        <w:jc w:val="both"/>
        <w:rPr>
          <w:rStyle w:val="HTMLCite"/>
          <w:rFonts w:ascii="Times New Roman" w:eastAsia="Calibri" w:hAnsi="Times New Roman"/>
          <w:i w:val="0"/>
          <w:iCs w:val="0"/>
          <w:sz w:val="20"/>
          <w:szCs w:val="20"/>
          <w:lang w:val="en-GB"/>
        </w:rPr>
      </w:pPr>
      <w:r w:rsidRPr="000527EB">
        <w:rPr>
          <w:rStyle w:val="HTMLCite"/>
          <w:rFonts w:ascii="Times New Roman" w:hAnsi="Times New Roman"/>
          <w:sz w:val="20"/>
          <w:szCs w:val="20"/>
          <w:lang w:val="en-GB"/>
        </w:rPr>
        <w:t>Tsokos, M. and Byard, R. W. (2016)</w:t>
      </w:r>
      <w:r w:rsidRPr="00371065">
        <w:rPr>
          <w:rStyle w:val="HTMLCite"/>
          <w:rFonts w:ascii="Times New Roman" w:hAnsi="Times New Roman"/>
          <w:sz w:val="20"/>
          <w:szCs w:val="20"/>
          <w:lang w:val="en-GB"/>
        </w:rPr>
        <w:t xml:space="preserve">. Postmortem changes: Overview. In: </w:t>
      </w:r>
      <w:hyperlink r:id="rId9" w:history="1">
        <w:r w:rsidRPr="00371065">
          <w:rPr>
            <w:rStyle w:val="anchor-text"/>
            <w:rFonts w:ascii="Times New Roman" w:hAnsi="Times New Roman"/>
            <w:sz w:val="20"/>
            <w:szCs w:val="20"/>
            <w:lang w:val="en-GB"/>
          </w:rPr>
          <w:t xml:space="preserve">encyclopedia of forensic and legal medicine. </w:t>
        </w:r>
        <w:r w:rsidRPr="00371065">
          <w:rPr>
            <w:rStyle w:val="HTMLCite"/>
            <w:rFonts w:ascii="Times New Roman" w:hAnsi="Times New Roman"/>
            <w:sz w:val="20"/>
            <w:szCs w:val="20"/>
            <w:lang w:val="en-GB"/>
          </w:rPr>
          <w:t>2</w:t>
        </w:r>
        <w:r w:rsidRPr="00371065">
          <w:rPr>
            <w:rStyle w:val="HTMLCite"/>
            <w:rFonts w:ascii="Times New Roman" w:hAnsi="Times New Roman"/>
            <w:sz w:val="20"/>
            <w:szCs w:val="20"/>
            <w:vertAlign w:val="superscript"/>
            <w:lang w:val="en-GB"/>
          </w:rPr>
          <w:t>nd</w:t>
        </w:r>
        <w:r w:rsidRPr="00371065">
          <w:rPr>
            <w:rStyle w:val="HTMLCite"/>
            <w:rFonts w:ascii="Times New Roman" w:hAnsi="Times New Roman"/>
            <w:sz w:val="20"/>
            <w:szCs w:val="20"/>
            <w:lang w:val="en-GB"/>
          </w:rPr>
          <w:t xml:space="preserve"> Edition, Academic Press Oxford: pp. 10-31.</w:t>
        </w:r>
        <w:r w:rsidRPr="00371065">
          <w:rPr>
            <w:rStyle w:val="anchor-text"/>
            <w:rFonts w:ascii="Times New Roman" w:hAnsi="Times New Roman"/>
            <w:sz w:val="20"/>
            <w:szCs w:val="20"/>
            <w:lang w:val="en-GB"/>
          </w:rPr>
          <w:t xml:space="preserve"> </w:t>
        </w:r>
      </w:hyperlink>
      <w:r w:rsidRPr="00371065">
        <w:rPr>
          <w:rStyle w:val="HTMLCite"/>
          <w:rFonts w:ascii="Times New Roman" w:hAnsi="Times New Roman"/>
          <w:sz w:val="20"/>
          <w:szCs w:val="20"/>
          <w:lang w:val="en-GB"/>
        </w:rPr>
        <w:t xml:space="preserve"> </w:t>
      </w:r>
    </w:p>
    <w:p w:rsidR="008B5A17" w:rsidRPr="00AC40E9" w:rsidRDefault="008B5A17" w:rsidP="008B5A17">
      <w:pPr>
        <w:pStyle w:val="ListParagraph"/>
        <w:numPr>
          <w:ilvl w:val="0"/>
          <w:numId w:val="2"/>
        </w:numPr>
        <w:autoSpaceDE w:val="0"/>
        <w:autoSpaceDN w:val="0"/>
        <w:adjustRightInd w:val="0"/>
        <w:spacing w:after="0"/>
        <w:ind w:left="360" w:hanging="360"/>
        <w:contextualSpacing w:val="0"/>
        <w:jc w:val="both"/>
        <w:rPr>
          <w:rFonts w:ascii="Times New Roman" w:eastAsia="Calibri" w:hAnsi="Times New Roman"/>
          <w:sz w:val="20"/>
          <w:szCs w:val="20"/>
          <w:lang w:val="en-GB"/>
        </w:rPr>
      </w:pPr>
    </w:p>
    <w:p w:rsidR="008B5A17" w:rsidRDefault="008B5A17" w:rsidP="008B5A17">
      <w:pPr>
        <w:autoSpaceDE w:val="0"/>
        <w:autoSpaceDN w:val="0"/>
        <w:adjustRightInd w:val="0"/>
        <w:spacing w:after="0"/>
        <w:jc w:val="both"/>
        <w:rPr>
          <w:rFonts w:ascii="Times New Roman" w:eastAsia="Calibri" w:hAnsi="Times New Roman"/>
          <w:sz w:val="20"/>
          <w:szCs w:val="20"/>
          <w:lang w:val="en-GB"/>
        </w:rPr>
      </w:pPr>
    </w:p>
    <w:p w:rsidR="008B5A17" w:rsidRPr="00AC40E9" w:rsidRDefault="008B5A17" w:rsidP="008B5A17">
      <w:pPr>
        <w:autoSpaceDE w:val="0"/>
        <w:autoSpaceDN w:val="0"/>
        <w:adjustRightInd w:val="0"/>
        <w:spacing w:after="0"/>
        <w:jc w:val="both"/>
        <w:rPr>
          <w:rFonts w:ascii="Times New Roman" w:eastAsia="Calibri" w:hAnsi="Times New Roman"/>
          <w:sz w:val="20"/>
          <w:szCs w:val="20"/>
          <w:lang w:val="en-GB"/>
        </w:rPr>
        <w:sectPr w:rsidR="008B5A17" w:rsidRPr="00AC40E9" w:rsidSect="008B5A17">
          <w:headerReference w:type="even" r:id="rId10"/>
          <w:headerReference w:type="default" r:id="rId11"/>
          <w:footerReference w:type="even" r:id="rId12"/>
          <w:footerReference w:type="default" r:id="rId13"/>
          <w:pgSz w:w="12240" w:h="15840" w:code="1"/>
          <w:pgMar w:top="1800" w:right="1469" w:bottom="1699" w:left="1440" w:header="706" w:footer="706" w:gutter="0"/>
          <w:pgNumType w:start="0"/>
          <w:cols w:num="2" w:space="403"/>
          <w:docGrid w:linePitch="360"/>
        </w:sectPr>
      </w:pPr>
    </w:p>
    <w:p w:rsidR="008E1211" w:rsidRDefault="008E1211" w:rsidP="00CD41CA">
      <w:pPr>
        <w:spacing w:after="0" w:line="240" w:lineRule="auto"/>
        <w:jc w:val="center"/>
        <w:rPr>
          <w:rFonts w:ascii="Times New Roman" w:hAnsi="Times New Roman"/>
          <w:b/>
          <w:noProof/>
          <w:color w:val="FFFFFF"/>
          <w:sz w:val="24"/>
          <w:szCs w:val="28"/>
          <w:lang w:bidi="ar-SA"/>
        </w:rPr>
      </w:pPr>
    </w:p>
    <w:sectPr w:rsidR="008E1211" w:rsidSect="00A74A7E">
      <w:headerReference w:type="even" r:id="rId14"/>
      <w:headerReference w:type="default" r:id="rId15"/>
      <w:footerReference w:type="even" r:id="rId16"/>
      <w:footerReference w:type="default" r:id="rId17"/>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17" w:rsidRDefault="0023485B" w:rsidP="008E06CE">
    <w:pPr>
      <w:pStyle w:val="Footer"/>
      <w:tabs>
        <w:tab w:val="clear" w:pos="9360"/>
        <w:tab w:val="right" w:pos="9331"/>
      </w:tabs>
      <w:jc w:val="right"/>
    </w:pPr>
    <w:r>
      <w:ptab w:relativeTo="margin" w:alignment="center" w:leader="none"/>
    </w:r>
    <w:r>
      <w:ptab w:relativeTo="margin" w:alignment="right" w:leader="none"/>
    </w:r>
    <w:r>
      <w:t>347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17" w:rsidRPr="004B43FF" w:rsidRDefault="0023485B" w:rsidP="008E06CE">
    <w:pPr>
      <w:pStyle w:val="Footer"/>
      <w:tabs>
        <w:tab w:val="clear" w:pos="9360"/>
        <w:tab w:val="right" w:pos="9331"/>
      </w:tabs>
      <w:rPr>
        <w:rFonts w:ascii="Times New Roman" w:hAnsi="Times New Roman"/>
      </w:rPr>
    </w:pPr>
    <w:r>
      <w:rPr>
        <w:rFonts w:ascii="Times New Roman" w:hAnsi="Times New Roman"/>
      </w:rPr>
      <w:t>348</w:t>
    </w:r>
    <w:r w:rsidR="008B5A17" w:rsidRPr="00953EA0">
      <w:rPr>
        <w:rFonts w:ascii="Times New Roman" w:hAnsi="Times New Roman"/>
      </w:rPr>
      <w:ptab w:relativeTo="margin" w:alignment="center" w:leader="none"/>
    </w:r>
    <w:r w:rsidR="008B5A17" w:rsidRPr="00953EA0">
      <w:rPr>
        <w:rFonts w:ascii="Times New Roman" w:hAnsi="Times New Roman"/>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480" w:rsidRDefault="00BC0B84">
    <w:pPr>
      <w:pStyle w:val="Footer"/>
      <w:jc w:val="right"/>
      <w:rPr>
        <w:rFonts w:ascii="Times New Roman" w:hAnsi="Times New Roman"/>
        <w:noProof/>
      </w:rPr>
    </w:pPr>
    <w:r w:rsidRPr="00C0756D">
      <w:rPr>
        <w:rFonts w:ascii="Times New Roman" w:hAnsi="Times New Roman"/>
      </w:rPr>
      <w:fldChar w:fldCharType="begin"/>
    </w:r>
    <w:r w:rsidR="00C0756D" w:rsidRPr="00C0756D">
      <w:rPr>
        <w:rFonts w:ascii="Times New Roman" w:hAnsi="Times New Roman"/>
      </w:rPr>
      <w:instrText xml:space="preserve"> PAGE   \* MERGEFORMAT </w:instrText>
    </w:r>
    <w:r w:rsidRPr="00C0756D">
      <w:rPr>
        <w:rFonts w:ascii="Times New Roman" w:hAnsi="Times New Roman"/>
      </w:rPr>
      <w:fldChar w:fldCharType="separate"/>
    </w:r>
    <w:r w:rsidR="0023485B">
      <w:rPr>
        <w:rFonts w:ascii="Times New Roman" w:hAnsi="Times New Roman"/>
        <w:noProof/>
      </w:rPr>
      <w:t>0</w:t>
    </w:r>
    <w:r w:rsidRPr="00C0756D">
      <w:rPr>
        <w:rFonts w:ascii="Times New Roman" w:hAnsi="Times New Roman"/>
        <w:noProof/>
      </w:rPr>
      <w:fldChar w:fldCharType="end"/>
    </w:r>
  </w:p>
  <w:p w:rsidR="00C0756D" w:rsidRPr="00C0756D" w:rsidRDefault="00C0756D">
    <w:pPr>
      <w:pStyle w:val="Footer"/>
      <w:jc w:val="right"/>
      <w:rPr>
        <w:rFonts w:ascii="Times New Roman" w:hAnsi="Times New Roman"/>
      </w:rPr>
    </w:pPr>
  </w:p>
  <w:p w:rsidR="00A14DB9" w:rsidRDefault="00A14D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480" w:rsidRDefault="00BC0B84">
    <w:pPr>
      <w:pStyle w:val="Footer"/>
      <w:rPr>
        <w:rFonts w:ascii="Times New Roman" w:hAnsi="Times New Roman"/>
        <w:noProof/>
      </w:rPr>
    </w:pPr>
    <w:r w:rsidRPr="00C0756D">
      <w:rPr>
        <w:rFonts w:ascii="Times New Roman" w:hAnsi="Times New Roman"/>
      </w:rPr>
      <w:fldChar w:fldCharType="begin"/>
    </w:r>
    <w:r w:rsidR="00C0756D" w:rsidRPr="00C0756D">
      <w:rPr>
        <w:rFonts w:ascii="Times New Roman" w:hAnsi="Times New Roman"/>
      </w:rPr>
      <w:instrText xml:space="preserve"> PAGE   \* MERGEFORMAT </w:instrText>
    </w:r>
    <w:r w:rsidRPr="00C0756D">
      <w:rPr>
        <w:rFonts w:ascii="Times New Roman" w:hAnsi="Times New Roman"/>
      </w:rPr>
      <w:fldChar w:fldCharType="separate"/>
    </w:r>
    <w:r w:rsidR="008B5A17">
      <w:rPr>
        <w:rFonts w:ascii="Times New Roman" w:hAnsi="Times New Roman"/>
        <w:noProof/>
      </w:rPr>
      <w:t>1</w:t>
    </w:r>
    <w:r w:rsidRPr="00C0756D">
      <w:rPr>
        <w:rFonts w:ascii="Times New Roman" w:hAnsi="Times New Roman"/>
        <w:noProof/>
      </w:rPr>
      <w:fldChar w:fldCharType="end"/>
    </w:r>
  </w:p>
  <w:p w:rsidR="00C0756D" w:rsidRPr="00C0756D" w:rsidRDefault="00C0756D">
    <w:pPr>
      <w:pStyle w:val="Footer"/>
      <w:rPr>
        <w:rFonts w:ascii="Times New Roman" w:hAnsi="Times New Roman"/>
      </w:rPr>
    </w:pPr>
  </w:p>
  <w:p w:rsidR="00D75B35" w:rsidRPr="004B43FF" w:rsidRDefault="00D75B35">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17" w:rsidRDefault="008B5A17" w:rsidP="002B31F1">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338 - 348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17" w:rsidRDefault="008B5A17" w:rsidP="008B5A17">
    <w:pPr>
      <w:pStyle w:val="Header"/>
      <w:ind w:left="1350" w:hanging="1350"/>
    </w:pPr>
    <w:r>
      <w:rPr>
        <w:rFonts w:ascii="Times New Roman" w:hAnsi="Times New Roman"/>
      </w:rPr>
      <w:t>Siti Sofo et al</w:t>
    </w:r>
    <w:r w:rsidRPr="00767AE6">
      <w:rPr>
        <w:rFonts w:ascii="Times New Roman" w:hAnsi="Times New Roman"/>
      </w:rPr>
      <w:t xml:space="preserve">:   </w:t>
    </w:r>
    <w:r>
      <w:rPr>
        <w:rFonts w:ascii="Times New Roman" w:hAnsi="Times New Roman"/>
      </w:rPr>
      <w:tab/>
    </w:r>
    <w:r w:rsidRPr="00767AE6">
      <w:rPr>
        <w:rFonts w:ascii="Times New Roman" w:hAnsi="Times New Roman"/>
        <w:lang w:val="en-GB"/>
      </w:rPr>
      <w:t>LIPID DISTRIBUTIONS ASSOCIATED WITH CADAVER DECOMPOSITION IN MANGROVE AND OIL PALM PLANTATION SOILS UNDER TROPICAL CLIMATE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rPr>
      <w:t>24</w:t>
    </w:r>
    <w:r w:rsidR="00CF05FF">
      <w:rPr>
        <w:rFonts w:ascii="Times New Roman" w:hAnsi="Times New Roman"/>
        <w:i/>
      </w:rPr>
      <w:t xml:space="preserve"> </w:t>
    </w:r>
    <w:r w:rsidR="00F567E6">
      <w:rPr>
        <w:rFonts w:ascii="Times New Roman" w:hAnsi="Times New Roman"/>
        <w:i/>
      </w:rPr>
      <w:t>No 3</w:t>
    </w:r>
    <w:r w:rsidR="0039005B">
      <w:rPr>
        <w:rFonts w:ascii="Times New Roman" w:hAnsi="Times New Roman"/>
        <w:i/>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4B43FF">
      <w:rPr>
        <w:rFonts w:ascii="Times New Roman" w:hAnsi="Times New Roman"/>
        <w:i/>
      </w:rPr>
      <w:t xml:space="preserve">xxx </w:t>
    </w:r>
    <w:r w:rsidR="00583C85">
      <w:rPr>
        <w:rFonts w:ascii="Times New Roman" w:hAnsi="Times New Roman"/>
        <w:i/>
      </w:rPr>
      <w:t>-</w:t>
    </w:r>
    <w:r w:rsidR="004B43FF">
      <w:rPr>
        <w:rFonts w:ascii="Times New Roman" w:hAnsi="Times New Roman"/>
        <w:i/>
      </w:rPr>
      <w:t xml:space="preserve"> xxx</w:t>
    </w:r>
  </w:p>
  <w:p w:rsidR="00A14DB9" w:rsidRDefault="00A14D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B75BF6" w:rsidRDefault="008E6968" w:rsidP="008E6968">
    <w:pPr>
      <w:pStyle w:val="Header"/>
      <w:rPr>
        <w:rFonts w:ascii="Times New Roman" w:hAnsi="Times New Roman"/>
      </w:rPr>
    </w:pPr>
    <w:r>
      <w:rPr>
        <w:rFonts w:ascii="Times New Roman" w:hAnsi="Times New Roman"/>
      </w:rPr>
      <w:t xml:space="preserve">Author(s):  </w:t>
    </w:r>
    <w:r w:rsidR="002752F0">
      <w:rPr>
        <w:rFonts w:ascii="Times New Roman" w:hAnsi="Times New Roman"/>
      </w:rPr>
      <w:t xml:space="preserve"> </w:t>
    </w:r>
    <w:r>
      <w:rPr>
        <w:rFonts w:ascii="Times New Roman" w:hAnsi="Times New Roman"/>
      </w:rPr>
      <w:t>TITLE IN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063E"/>
    <w:multiLevelType w:val="hybridMultilevel"/>
    <w:tmpl w:val="1488F0E4"/>
    <w:lvl w:ilvl="0" w:tplc="C6DC92E6">
      <w:start w:val="1"/>
      <w:numFmt w:val="decimal"/>
      <w:lvlText w:val="%1."/>
      <w:lvlJc w:val="left"/>
      <w:pPr>
        <w:ind w:left="930" w:hanging="57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044E1"/>
    <w:rsid w:val="00006EBC"/>
    <w:rsid w:val="00016385"/>
    <w:rsid w:val="00022C54"/>
    <w:rsid w:val="00070690"/>
    <w:rsid w:val="00084936"/>
    <w:rsid w:val="000C49FF"/>
    <w:rsid w:val="000C5261"/>
    <w:rsid w:val="000E5AF1"/>
    <w:rsid w:val="000F77DA"/>
    <w:rsid w:val="001068E8"/>
    <w:rsid w:val="00117BCD"/>
    <w:rsid w:val="001D035A"/>
    <w:rsid w:val="001D3855"/>
    <w:rsid w:val="001D6F2C"/>
    <w:rsid w:val="001F72B9"/>
    <w:rsid w:val="002004F5"/>
    <w:rsid w:val="00221D39"/>
    <w:rsid w:val="0023485B"/>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4E75FD"/>
    <w:rsid w:val="00502641"/>
    <w:rsid w:val="00534441"/>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E25BD"/>
    <w:rsid w:val="007E728E"/>
    <w:rsid w:val="007F4ECC"/>
    <w:rsid w:val="00801E18"/>
    <w:rsid w:val="00802C35"/>
    <w:rsid w:val="0082181A"/>
    <w:rsid w:val="0086622B"/>
    <w:rsid w:val="008B02C7"/>
    <w:rsid w:val="008B470E"/>
    <w:rsid w:val="008B5A17"/>
    <w:rsid w:val="008C14D6"/>
    <w:rsid w:val="008E1211"/>
    <w:rsid w:val="008E5BBF"/>
    <w:rsid w:val="008E6968"/>
    <w:rsid w:val="008F2DC2"/>
    <w:rsid w:val="009110FB"/>
    <w:rsid w:val="00917637"/>
    <w:rsid w:val="00992776"/>
    <w:rsid w:val="009F4768"/>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80038"/>
    <w:rsid w:val="00BA1F7B"/>
    <w:rsid w:val="00BB58AF"/>
    <w:rsid w:val="00BC0B84"/>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rsid w:val="008B5A17"/>
  </w:style>
  <w:style w:type="character" w:customStyle="1" w:styleId="mixed-citation">
    <w:name w:val="mixed-citation"/>
    <w:rsid w:val="008B5A17"/>
  </w:style>
  <w:style w:type="character" w:customStyle="1" w:styleId="ref-title">
    <w:name w:val="ref-title"/>
    <w:rsid w:val="008B5A17"/>
  </w:style>
  <w:style w:type="character" w:customStyle="1" w:styleId="ref-journal">
    <w:name w:val="ref-journal"/>
    <w:rsid w:val="008B5A17"/>
  </w:style>
  <w:style w:type="character" w:customStyle="1" w:styleId="ref-vol">
    <w:name w:val="ref-vol"/>
    <w:rsid w:val="008B5A17"/>
  </w:style>
  <w:style w:type="character" w:styleId="HTMLCite">
    <w:name w:val="HTML Cite"/>
    <w:uiPriority w:val="99"/>
    <w:semiHidden/>
    <w:unhideWhenUsed/>
    <w:rsid w:val="008B5A17"/>
    <w:rPr>
      <w:i/>
      <w:iCs/>
    </w:rPr>
  </w:style>
  <w:style w:type="character" w:customStyle="1" w:styleId="anchor-text">
    <w:name w:val="anchor-text"/>
    <w:rsid w:val="008B5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rsid w:val="008B5A17"/>
  </w:style>
  <w:style w:type="character" w:customStyle="1" w:styleId="mixed-citation">
    <w:name w:val="mixed-citation"/>
    <w:rsid w:val="008B5A17"/>
  </w:style>
  <w:style w:type="character" w:customStyle="1" w:styleId="ref-title">
    <w:name w:val="ref-title"/>
    <w:rsid w:val="008B5A17"/>
  </w:style>
  <w:style w:type="character" w:customStyle="1" w:styleId="ref-journal">
    <w:name w:val="ref-journal"/>
    <w:rsid w:val="008B5A17"/>
  </w:style>
  <w:style w:type="character" w:customStyle="1" w:styleId="ref-vol">
    <w:name w:val="ref-vol"/>
    <w:rsid w:val="008B5A17"/>
  </w:style>
  <w:style w:type="character" w:styleId="HTMLCite">
    <w:name w:val="HTML Cite"/>
    <w:uiPriority w:val="99"/>
    <w:semiHidden/>
    <w:unhideWhenUsed/>
    <w:rsid w:val="008B5A17"/>
    <w:rPr>
      <w:i/>
      <w:iCs/>
    </w:rPr>
  </w:style>
  <w:style w:type="character" w:customStyle="1" w:styleId="anchor-text">
    <w:name w:val="anchor-text"/>
    <w:rsid w:val="008B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ciencedirect.com/referencework/978012800055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06D6-8DA7-4F76-847E-34135F05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8</cp:revision>
  <cp:lastPrinted>2020-06-02T08:52:00Z</cp:lastPrinted>
  <dcterms:created xsi:type="dcterms:W3CDTF">2020-05-22T05:02:00Z</dcterms:created>
  <dcterms:modified xsi:type="dcterms:W3CDTF">2020-06-03T02:50:00Z</dcterms:modified>
</cp:coreProperties>
</file>