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charts/chart1.xml" ContentType="application/vnd.openxmlformats-officedocument.drawingml.chart+xml"/>
  <Override PartName="/word/header31.xml" ContentType="application/vnd.openxmlformats-officedocument.wordprocessingml.header+xml"/>
  <Override PartName="/word/header32.xml" ContentType="application/vnd.openxmlformats-officedocument.wordprocessingml.header+xml"/>
  <Override PartName="/word/footer1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4.xml" ContentType="application/vnd.openxmlformats-officedocument.wordprocessingml.footer+xml"/>
  <Override PartName="/word/header36.xml" ContentType="application/vnd.openxmlformats-officedocument.wordprocessingml.header+xml"/>
  <Override PartName="/word/charts/chart2.xml" ContentType="application/vnd.openxmlformats-officedocument.drawingml.chart+xml"/>
  <Override PartName="/word/header37.xml" ContentType="application/vnd.openxmlformats-officedocument.wordprocessingml.header+xml"/>
  <Override PartName="/word/header38.xml" ContentType="application/vnd.openxmlformats-officedocument.wordprocessingml.header+xml"/>
  <Override PartName="/word/footer1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42.xml" ContentType="application/vnd.openxmlformats-officedocument.wordprocessingml.header+xml"/>
  <Override PartName="/word/footer18.xml" ContentType="application/vnd.openxmlformats-officedocument.wordprocessingml.footer+xml"/>
  <Override PartName="/word/header43.xml" ContentType="application/vnd.openxmlformats-officedocument.wordprocessingml.header+xml"/>
  <Override PartName="/word/footer19.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46.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anchor>
        </w:drawing>
      </w:r>
      <w:r w:rsidR="00084936" w:rsidRPr="00016385">
        <w:rPr>
          <w:rFonts w:ascii="Times New Roman" w:hAnsi="Times New Roman"/>
          <w:b/>
          <w:noProof/>
          <w:color w:val="FFFFFF"/>
          <w:sz w:val="24"/>
          <w:szCs w:val="28"/>
          <w:lang w:bidi="ar-SA"/>
        </w:rPr>
        <w:t>S</w:t>
      </w:r>
    </w:p>
    <w:p w:rsidR="00EF3780" w:rsidRPr="00F04251" w:rsidRDefault="00EF3780" w:rsidP="00EF3780">
      <w:pPr>
        <w:spacing w:after="0"/>
        <w:jc w:val="center"/>
        <w:rPr>
          <w:rFonts w:ascii="Times New Roman" w:hAnsi="Times New Roman"/>
          <w:sz w:val="28"/>
          <w:szCs w:val="28"/>
        </w:rPr>
      </w:pPr>
      <w:bookmarkStart w:id="0" w:name="_Hlk27234449"/>
      <w:r w:rsidRPr="00F04251">
        <w:rPr>
          <w:rFonts w:ascii="Times New Roman" w:hAnsi="Times New Roman"/>
          <w:sz w:val="28"/>
          <w:szCs w:val="28"/>
        </w:rPr>
        <w:t xml:space="preserve">STANDARIZATION BASED ON CHEMICAL MARKERS OF </w:t>
      </w:r>
      <w:r w:rsidRPr="00F04251">
        <w:rPr>
          <w:rFonts w:ascii="Times New Roman" w:hAnsi="Times New Roman"/>
          <w:i/>
          <w:sz w:val="28"/>
          <w:szCs w:val="28"/>
        </w:rPr>
        <w:t>Moringa oleifera</w:t>
      </w:r>
      <w:r w:rsidRPr="00F04251">
        <w:rPr>
          <w:rFonts w:ascii="Times New Roman" w:hAnsi="Times New Roman"/>
          <w:sz w:val="28"/>
          <w:szCs w:val="28"/>
        </w:rPr>
        <w:t xml:space="preserve"> HERBAL PRODUCTS USING BIOAUTOGRAPHY ASSAY, THIN LAYER CHROMATOGRA</w:t>
      </w:r>
      <w:r>
        <w:rPr>
          <w:rFonts w:ascii="Times New Roman" w:hAnsi="Times New Roman"/>
          <w:sz w:val="28"/>
          <w:szCs w:val="28"/>
        </w:rPr>
        <w:t xml:space="preserve">PHY AND HIGH PERFORMANCE LIQUID </w:t>
      </w:r>
      <w:r w:rsidRPr="00F04251">
        <w:rPr>
          <w:rFonts w:ascii="Times New Roman" w:hAnsi="Times New Roman"/>
          <w:sz w:val="28"/>
          <w:szCs w:val="28"/>
        </w:rPr>
        <w:t>CHROMATOGRAPHY-DIODE ARRAY DETECTOR</w:t>
      </w:r>
    </w:p>
    <w:p w:rsidR="00EF3780" w:rsidRPr="00F04251" w:rsidRDefault="00EF3780" w:rsidP="00EF3780">
      <w:pPr>
        <w:spacing w:after="0"/>
        <w:jc w:val="center"/>
        <w:rPr>
          <w:rFonts w:ascii="Times New Roman" w:hAnsi="Times New Roman"/>
          <w:sz w:val="24"/>
          <w:szCs w:val="24"/>
        </w:rPr>
      </w:pPr>
    </w:p>
    <w:p w:rsidR="00EF3780" w:rsidRPr="00F04251" w:rsidRDefault="00EF3780" w:rsidP="00EF3780">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ind w:right="49"/>
        <w:jc w:val="center"/>
        <w:rPr>
          <w:rFonts w:ascii="Times New Roman" w:hAnsi="Times New Roman"/>
          <w:sz w:val="24"/>
          <w:szCs w:val="24"/>
        </w:rPr>
      </w:pPr>
      <w:r w:rsidRPr="00F04251">
        <w:rPr>
          <w:rFonts w:ascii="Times New Roman" w:hAnsi="Times New Roman"/>
          <w:sz w:val="24"/>
          <w:szCs w:val="24"/>
          <w:lang w:val="ms-MY" w:eastAsia="es-MX"/>
        </w:rPr>
        <w:t xml:space="preserve">(Piawaian Berdasarkan Penanda Kimia bagi Produk Herba </w:t>
      </w:r>
      <w:r w:rsidRPr="00F04251">
        <w:rPr>
          <w:rFonts w:ascii="Times New Roman" w:hAnsi="Times New Roman"/>
          <w:i/>
          <w:iCs/>
          <w:sz w:val="24"/>
          <w:szCs w:val="24"/>
          <w:lang w:val="ms-MY" w:eastAsia="es-MX"/>
        </w:rPr>
        <w:t>Moringa oleifera</w:t>
      </w:r>
      <w:r w:rsidRPr="00F04251">
        <w:rPr>
          <w:rFonts w:ascii="Times New Roman" w:hAnsi="Times New Roman"/>
          <w:sz w:val="24"/>
          <w:szCs w:val="24"/>
          <w:lang w:val="ms-MY" w:eastAsia="es-MX"/>
        </w:rPr>
        <w:t xml:space="preserve"> Menggunakan Ujian Bioautografi, Kromatografi Lapisan Nipis dan Kromatografi Cecair Berprestasi Tinggi-Pengesan Susunan Diod</w:t>
      </w:r>
      <w:r w:rsidRPr="00F04251">
        <w:rPr>
          <w:rFonts w:ascii="Times New Roman" w:hAnsi="Times New Roman"/>
          <w:sz w:val="24"/>
          <w:szCs w:val="24"/>
        </w:rPr>
        <w:t>)</w:t>
      </w:r>
    </w:p>
    <w:p w:rsidR="00EF3780" w:rsidRPr="00F04251" w:rsidRDefault="00EF3780" w:rsidP="00EF3780">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ind w:right="49"/>
        <w:jc w:val="center"/>
        <w:rPr>
          <w:rFonts w:ascii="Times New Roman" w:hAnsi="Times New Roman"/>
          <w:sz w:val="20"/>
          <w:szCs w:val="20"/>
        </w:rPr>
      </w:pPr>
    </w:p>
    <w:bookmarkEnd w:id="0"/>
    <w:p w:rsidR="00EF3780" w:rsidRDefault="00EF3780" w:rsidP="00EF3780">
      <w:pPr>
        <w:spacing w:after="0"/>
        <w:jc w:val="center"/>
        <w:rPr>
          <w:rFonts w:ascii="Times New Roman" w:hAnsi="Times New Roman"/>
          <w:sz w:val="20"/>
          <w:szCs w:val="20"/>
        </w:rPr>
      </w:pPr>
      <w:r w:rsidRPr="00F04251">
        <w:rPr>
          <w:rFonts w:ascii="Times New Roman" w:hAnsi="Times New Roman"/>
          <w:sz w:val="20"/>
          <w:szCs w:val="20"/>
        </w:rPr>
        <w:t>Erick Sierra-Campos</w:t>
      </w:r>
      <w:r w:rsidRPr="00F04251">
        <w:rPr>
          <w:rFonts w:ascii="Times New Roman" w:hAnsi="Times New Roman"/>
          <w:sz w:val="20"/>
          <w:szCs w:val="20"/>
          <w:vertAlign w:val="superscript"/>
        </w:rPr>
        <w:t>1</w:t>
      </w:r>
      <w:r w:rsidRPr="00F04251">
        <w:rPr>
          <w:rFonts w:ascii="Times New Roman" w:hAnsi="Times New Roman"/>
          <w:sz w:val="20"/>
          <w:szCs w:val="20"/>
        </w:rPr>
        <w:t>*, Mónica A. Valdez-Solana</w:t>
      </w:r>
      <w:r w:rsidRPr="00F04251">
        <w:rPr>
          <w:rFonts w:ascii="Times New Roman" w:hAnsi="Times New Roman"/>
          <w:sz w:val="20"/>
          <w:szCs w:val="20"/>
          <w:vertAlign w:val="superscript"/>
        </w:rPr>
        <w:t>1</w:t>
      </w:r>
      <w:r w:rsidRPr="00F04251">
        <w:rPr>
          <w:rFonts w:ascii="Times New Roman" w:hAnsi="Times New Roman"/>
          <w:sz w:val="20"/>
          <w:szCs w:val="20"/>
        </w:rPr>
        <w:t>, Claudia I. Avitia-Domínguez</w:t>
      </w:r>
      <w:r w:rsidRPr="00F04251">
        <w:rPr>
          <w:rFonts w:ascii="Times New Roman" w:hAnsi="Times New Roman"/>
          <w:sz w:val="20"/>
          <w:szCs w:val="20"/>
          <w:vertAlign w:val="superscript"/>
        </w:rPr>
        <w:t>2</w:t>
      </w:r>
      <w:r w:rsidRPr="00F04251">
        <w:rPr>
          <w:rFonts w:ascii="Times New Roman" w:hAnsi="Times New Roman"/>
          <w:sz w:val="20"/>
          <w:szCs w:val="20"/>
        </w:rPr>
        <w:t>, Alfredo Téllez-Valencia</w:t>
      </w:r>
      <w:r w:rsidRPr="00F04251">
        <w:rPr>
          <w:rFonts w:ascii="Times New Roman" w:hAnsi="Times New Roman"/>
          <w:sz w:val="20"/>
          <w:szCs w:val="20"/>
          <w:vertAlign w:val="superscript"/>
        </w:rPr>
        <w:t>2</w:t>
      </w:r>
      <w:r w:rsidRPr="00F04251">
        <w:rPr>
          <w:rFonts w:ascii="Times New Roman" w:hAnsi="Times New Roman"/>
          <w:sz w:val="20"/>
          <w:szCs w:val="20"/>
        </w:rPr>
        <w:t>,</w:t>
      </w:r>
    </w:p>
    <w:p w:rsidR="00EF3780" w:rsidRDefault="00EF3780" w:rsidP="00EF3780">
      <w:pPr>
        <w:spacing w:after="0"/>
        <w:jc w:val="center"/>
        <w:rPr>
          <w:rFonts w:ascii="Times New Roman" w:hAnsi="Times New Roman"/>
          <w:sz w:val="20"/>
          <w:szCs w:val="20"/>
          <w:vertAlign w:val="superscript"/>
        </w:rPr>
      </w:pPr>
      <w:r w:rsidRPr="00F04251">
        <w:rPr>
          <w:rFonts w:ascii="Times New Roman" w:hAnsi="Times New Roman"/>
          <w:sz w:val="20"/>
          <w:szCs w:val="20"/>
        </w:rPr>
        <w:t xml:space="preserve"> Jorge A. Meza-Velázquez</w:t>
      </w:r>
      <w:r w:rsidRPr="00F04251">
        <w:rPr>
          <w:rFonts w:ascii="Times New Roman" w:hAnsi="Times New Roman"/>
          <w:sz w:val="20"/>
          <w:szCs w:val="20"/>
          <w:vertAlign w:val="superscript"/>
        </w:rPr>
        <w:t>1</w:t>
      </w:r>
      <w:r w:rsidRPr="00F04251">
        <w:rPr>
          <w:rFonts w:ascii="Times New Roman" w:hAnsi="Times New Roman"/>
          <w:sz w:val="20"/>
          <w:szCs w:val="20"/>
        </w:rPr>
        <w:t>, Miguel Aguilera-Ortiz</w:t>
      </w:r>
      <w:r w:rsidRPr="00F04251">
        <w:rPr>
          <w:rFonts w:ascii="Times New Roman" w:hAnsi="Times New Roman"/>
          <w:sz w:val="20"/>
          <w:szCs w:val="20"/>
          <w:vertAlign w:val="superscript"/>
        </w:rPr>
        <w:t>1</w:t>
      </w:r>
      <w:r w:rsidRPr="00F04251">
        <w:rPr>
          <w:rFonts w:ascii="Times New Roman" w:hAnsi="Times New Roman"/>
          <w:sz w:val="20"/>
          <w:szCs w:val="20"/>
        </w:rPr>
        <w:t>,</w:t>
      </w:r>
      <w:r w:rsidRPr="00F04251">
        <w:rPr>
          <w:rFonts w:ascii="Times New Roman" w:hAnsi="Times New Roman"/>
          <w:sz w:val="20"/>
          <w:szCs w:val="20"/>
          <w:vertAlign w:val="superscript"/>
        </w:rPr>
        <w:t xml:space="preserve"> </w:t>
      </w:r>
      <w:r w:rsidRPr="00F04251">
        <w:rPr>
          <w:rFonts w:ascii="Times New Roman" w:hAnsi="Times New Roman"/>
          <w:sz w:val="20"/>
          <w:szCs w:val="20"/>
        </w:rPr>
        <w:t>Adelma Escobar-Ramírez</w:t>
      </w:r>
      <w:r w:rsidRPr="00F04251">
        <w:rPr>
          <w:rFonts w:ascii="Times New Roman" w:hAnsi="Times New Roman"/>
          <w:sz w:val="20"/>
          <w:szCs w:val="20"/>
          <w:vertAlign w:val="superscript"/>
        </w:rPr>
        <w:t>3</w:t>
      </w:r>
    </w:p>
    <w:p w:rsidR="00EF3780" w:rsidRPr="00F04251" w:rsidRDefault="00EF3780" w:rsidP="00EF3780">
      <w:pPr>
        <w:spacing w:after="0"/>
        <w:jc w:val="center"/>
        <w:rPr>
          <w:rFonts w:ascii="Times New Roman" w:hAnsi="Times New Roman"/>
          <w:sz w:val="18"/>
          <w:szCs w:val="18"/>
        </w:rPr>
      </w:pPr>
    </w:p>
    <w:p w:rsidR="00EF3780" w:rsidRPr="00F04251" w:rsidRDefault="00EF3780" w:rsidP="00EF3780">
      <w:pPr>
        <w:spacing w:after="0"/>
        <w:jc w:val="center"/>
        <w:rPr>
          <w:rFonts w:ascii="Times New Roman" w:hAnsi="Times New Roman"/>
          <w:i/>
          <w:iCs/>
          <w:sz w:val="18"/>
          <w:szCs w:val="18"/>
        </w:rPr>
      </w:pPr>
      <w:r w:rsidRPr="00F04251">
        <w:rPr>
          <w:rFonts w:ascii="Times New Roman" w:hAnsi="Times New Roman"/>
          <w:i/>
          <w:iCs/>
          <w:sz w:val="18"/>
          <w:szCs w:val="18"/>
          <w:vertAlign w:val="superscript"/>
        </w:rPr>
        <w:t>1</w:t>
      </w:r>
      <w:r w:rsidRPr="00F04251">
        <w:rPr>
          <w:rFonts w:ascii="Times New Roman" w:hAnsi="Times New Roman"/>
          <w:i/>
          <w:iCs/>
          <w:sz w:val="18"/>
          <w:szCs w:val="18"/>
        </w:rPr>
        <w:t>Facultad de Ciencias Químicas GP,</w:t>
      </w:r>
    </w:p>
    <w:p w:rsidR="00EF3780" w:rsidRPr="00F04251" w:rsidRDefault="00EF3780" w:rsidP="00EF3780">
      <w:pPr>
        <w:spacing w:after="0"/>
        <w:jc w:val="center"/>
        <w:rPr>
          <w:rFonts w:ascii="Times New Roman" w:hAnsi="Times New Roman"/>
          <w:i/>
          <w:iCs/>
          <w:sz w:val="18"/>
          <w:szCs w:val="18"/>
        </w:rPr>
      </w:pPr>
      <w:r w:rsidRPr="00F04251">
        <w:rPr>
          <w:rFonts w:ascii="Times New Roman" w:hAnsi="Times New Roman"/>
          <w:i/>
          <w:iCs/>
          <w:sz w:val="18"/>
          <w:szCs w:val="18"/>
        </w:rPr>
        <w:t xml:space="preserve">Universidad Juárez del Estado de Durango, </w:t>
      </w:r>
      <w:r>
        <w:rPr>
          <w:rFonts w:ascii="Times New Roman" w:hAnsi="Times New Roman"/>
          <w:i/>
          <w:iCs/>
          <w:sz w:val="18"/>
          <w:szCs w:val="18"/>
        </w:rPr>
        <w:t xml:space="preserve"> </w:t>
      </w:r>
      <w:r w:rsidRPr="00F04251">
        <w:rPr>
          <w:rFonts w:ascii="Times New Roman" w:hAnsi="Times New Roman"/>
          <w:i/>
          <w:iCs/>
          <w:sz w:val="18"/>
          <w:szCs w:val="18"/>
        </w:rPr>
        <w:t>Av. Artículo 123 S/N Fracc. Filadelfia. Gómez Palacio, Durango. México</w:t>
      </w:r>
    </w:p>
    <w:p w:rsidR="00EF3780" w:rsidRPr="00F04251" w:rsidRDefault="00EF3780" w:rsidP="00EF3780">
      <w:pPr>
        <w:spacing w:after="0"/>
        <w:jc w:val="center"/>
        <w:rPr>
          <w:rFonts w:ascii="Times New Roman" w:hAnsi="Times New Roman"/>
          <w:i/>
          <w:iCs/>
          <w:sz w:val="18"/>
          <w:szCs w:val="18"/>
        </w:rPr>
      </w:pPr>
      <w:r w:rsidRPr="00F04251">
        <w:rPr>
          <w:rFonts w:ascii="Times New Roman" w:hAnsi="Times New Roman"/>
          <w:i/>
          <w:iCs/>
          <w:sz w:val="18"/>
          <w:szCs w:val="18"/>
          <w:vertAlign w:val="superscript"/>
        </w:rPr>
        <w:t>2</w:t>
      </w:r>
      <w:r w:rsidRPr="00F04251">
        <w:rPr>
          <w:rFonts w:ascii="Times New Roman" w:hAnsi="Times New Roman"/>
          <w:i/>
          <w:iCs/>
          <w:sz w:val="18"/>
          <w:szCs w:val="18"/>
        </w:rPr>
        <w:t>Facultad de Medicina y Nutrición,</w:t>
      </w:r>
    </w:p>
    <w:p w:rsidR="00EF3780" w:rsidRPr="00F04251" w:rsidRDefault="00EF3780" w:rsidP="00EF3780">
      <w:pPr>
        <w:spacing w:after="0"/>
        <w:jc w:val="center"/>
        <w:rPr>
          <w:rFonts w:ascii="Times New Roman" w:hAnsi="Times New Roman"/>
          <w:i/>
          <w:iCs/>
          <w:sz w:val="18"/>
          <w:szCs w:val="18"/>
        </w:rPr>
      </w:pPr>
      <w:r w:rsidRPr="00F04251">
        <w:rPr>
          <w:rFonts w:ascii="Times New Roman" w:hAnsi="Times New Roman"/>
          <w:i/>
          <w:iCs/>
          <w:sz w:val="18"/>
          <w:szCs w:val="18"/>
        </w:rPr>
        <w:t xml:space="preserve"> Universidad Juárez del Estado de Durango,</w:t>
      </w:r>
      <w:r>
        <w:rPr>
          <w:rFonts w:ascii="Times New Roman" w:hAnsi="Times New Roman"/>
          <w:i/>
          <w:iCs/>
          <w:sz w:val="18"/>
          <w:szCs w:val="18"/>
        </w:rPr>
        <w:t xml:space="preserve"> </w:t>
      </w:r>
      <w:r w:rsidRPr="00F04251">
        <w:rPr>
          <w:rFonts w:ascii="Times New Roman" w:hAnsi="Times New Roman"/>
          <w:i/>
          <w:iCs/>
          <w:sz w:val="18"/>
          <w:szCs w:val="18"/>
        </w:rPr>
        <w:t>Av. Universidad y Fanny Anitúa S/N, 34000 Durango. México</w:t>
      </w:r>
    </w:p>
    <w:p w:rsidR="00EF3780" w:rsidRPr="00F04251" w:rsidRDefault="00EF3780" w:rsidP="00EF3780">
      <w:pPr>
        <w:spacing w:after="0"/>
        <w:jc w:val="center"/>
        <w:rPr>
          <w:rFonts w:ascii="Times New Roman" w:hAnsi="Times New Roman"/>
          <w:i/>
          <w:iCs/>
          <w:sz w:val="18"/>
          <w:szCs w:val="18"/>
        </w:rPr>
      </w:pPr>
      <w:r w:rsidRPr="00F04251">
        <w:rPr>
          <w:rFonts w:ascii="Times New Roman" w:hAnsi="Times New Roman"/>
          <w:i/>
          <w:iCs/>
          <w:sz w:val="18"/>
          <w:szCs w:val="18"/>
          <w:vertAlign w:val="superscript"/>
        </w:rPr>
        <w:t>3</w:t>
      </w:r>
      <w:r w:rsidRPr="00F04251">
        <w:rPr>
          <w:rFonts w:ascii="Times New Roman" w:hAnsi="Times New Roman"/>
          <w:i/>
          <w:iCs/>
          <w:sz w:val="18"/>
          <w:szCs w:val="18"/>
        </w:rPr>
        <w:t>División Académica de Ciencias Básicas,</w:t>
      </w:r>
    </w:p>
    <w:p w:rsidR="00EF3780" w:rsidRPr="00F04251" w:rsidRDefault="00EF3780" w:rsidP="00EF3780">
      <w:pPr>
        <w:spacing w:after="0"/>
        <w:jc w:val="center"/>
        <w:rPr>
          <w:rFonts w:ascii="Times New Roman" w:hAnsi="Times New Roman"/>
          <w:i/>
          <w:iCs/>
          <w:sz w:val="18"/>
          <w:szCs w:val="18"/>
        </w:rPr>
      </w:pPr>
      <w:r w:rsidRPr="00F04251">
        <w:rPr>
          <w:rFonts w:ascii="Times New Roman" w:hAnsi="Times New Roman"/>
          <w:i/>
          <w:iCs/>
          <w:sz w:val="18"/>
          <w:szCs w:val="18"/>
        </w:rPr>
        <w:t xml:space="preserve">Universidad Juárez Autónoma de Tabasco, </w:t>
      </w:r>
      <w:r>
        <w:rPr>
          <w:rFonts w:ascii="Times New Roman" w:hAnsi="Times New Roman"/>
          <w:i/>
          <w:iCs/>
          <w:sz w:val="18"/>
          <w:szCs w:val="18"/>
        </w:rPr>
        <w:t xml:space="preserve"> </w:t>
      </w:r>
      <w:r w:rsidRPr="00F04251">
        <w:rPr>
          <w:rFonts w:ascii="Times New Roman" w:hAnsi="Times New Roman"/>
          <w:i/>
          <w:iCs/>
          <w:sz w:val="18"/>
          <w:szCs w:val="18"/>
        </w:rPr>
        <w:t>Av. Universidad S/N, Zona de la Cultura, Col. Magisterial, Vhsa, Centro, Tabasco, México</w:t>
      </w:r>
    </w:p>
    <w:p w:rsidR="00EF3780" w:rsidRPr="00F04251" w:rsidRDefault="00EF3780" w:rsidP="00EF3780">
      <w:pPr>
        <w:spacing w:after="0"/>
        <w:jc w:val="center"/>
        <w:rPr>
          <w:rFonts w:ascii="Times New Roman" w:hAnsi="Times New Roman"/>
          <w:sz w:val="18"/>
          <w:szCs w:val="18"/>
        </w:rPr>
      </w:pPr>
    </w:p>
    <w:p w:rsidR="00EF3780" w:rsidRPr="00F04251" w:rsidRDefault="00EF3780" w:rsidP="00EF3780">
      <w:pPr>
        <w:spacing w:after="0"/>
        <w:jc w:val="center"/>
        <w:rPr>
          <w:rFonts w:ascii="Times New Roman" w:hAnsi="Times New Roman"/>
          <w:i/>
          <w:iCs/>
          <w:sz w:val="18"/>
          <w:szCs w:val="18"/>
        </w:rPr>
      </w:pPr>
      <w:r w:rsidRPr="00F04251">
        <w:rPr>
          <w:rFonts w:ascii="Times New Roman" w:hAnsi="Times New Roman"/>
          <w:i/>
          <w:iCs/>
          <w:sz w:val="18"/>
          <w:szCs w:val="18"/>
        </w:rPr>
        <w:t>*</w:t>
      </w:r>
      <w:r w:rsidRPr="00F04251">
        <w:rPr>
          <w:rFonts w:ascii="Times New Roman" w:hAnsi="Times New Roman"/>
          <w:i/>
          <w:sz w:val="18"/>
        </w:rPr>
        <w:t>Corresponding author:</w:t>
      </w:r>
      <w:r w:rsidRPr="00F04251">
        <w:rPr>
          <w:rFonts w:ascii="Times New Roman" w:hAnsi="Times New Roman"/>
          <w:i/>
          <w:iCs/>
          <w:sz w:val="18"/>
          <w:szCs w:val="18"/>
        </w:rPr>
        <w:t xml:space="preserve"> </w:t>
      </w:r>
      <w:r>
        <w:rPr>
          <w:rFonts w:ascii="Times New Roman" w:hAnsi="Times New Roman"/>
          <w:i/>
          <w:iCs/>
          <w:sz w:val="18"/>
          <w:szCs w:val="18"/>
        </w:rPr>
        <w:t xml:space="preserve"> </w:t>
      </w:r>
      <w:r w:rsidRPr="00F04251">
        <w:rPr>
          <w:rFonts w:ascii="Times New Roman" w:hAnsi="Times New Roman"/>
          <w:i/>
          <w:iCs/>
          <w:sz w:val="18"/>
          <w:szCs w:val="18"/>
        </w:rPr>
        <w:t>ericksier@ujed.mx</w:t>
      </w:r>
    </w:p>
    <w:p w:rsidR="00EF3780" w:rsidRPr="00F447A7" w:rsidRDefault="00EF3780" w:rsidP="00EF3780">
      <w:pPr>
        <w:spacing w:after="0"/>
        <w:jc w:val="center"/>
        <w:rPr>
          <w:rFonts w:ascii="Times New Roman" w:hAnsi="Times New Roman"/>
          <w:noProof/>
          <w:sz w:val="18"/>
          <w:szCs w:val="18"/>
          <w:lang w:bidi="ar-SA"/>
        </w:rPr>
      </w:pPr>
    </w:p>
    <w:p w:rsidR="00EF3780" w:rsidRDefault="00EF3780" w:rsidP="00EF3780">
      <w:pPr>
        <w:spacing w:after="0"/>
        <w:jc w:val="center"/>
        <w:rPr>
          <w:rFonts w:ascii="Times New Roman" w:hAnsi="Times New Roman"/>
          <w:noProof/>
          <w:sz w:val="18"/>
          <w:szCs w:val="18"/>
          <w:lang w:bidi="ar-SA"/>
        </w:rPr>
      </w:pPr>
    </w:p>
    <w:p w:rsidR="00EF3780" w:rsidRDefault="00EF3780" w:rsidP="00EF3780">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29 December 2019; Accepted: 25 April 2020; Published:  </w:t>
      </w:r>
      <w:r w:rsidR="00F3283E">
        <w:rPr>
          <w:rFonts w:ascii="Times New Roman" w:hAnsi="Times New Roman"/>
          <w:noProof/>
          <w:sz w:val="18"/>
          <w:szCs w:val="18"/>
          <w:lang w:bidi="ar-SA"/>
        </w:rPr>
        <w:t xml:space="preserve">9 </w:t>
      </w:r>
      <w:bookmarkStart w:id="1" w:name="_GoBack"/>
      <w:bookmarkEnd w:id="1"/>
      <w:r>
        <w:rPr>
          <w:rFonts w:ascii="Times New Roman" w:hAnsi="Times New Roman"/>
          <w:noProof/>
          <w:sz w:val="18"/>
          <w:szCs w:val="18"/>
          <w:lang w:bidi="ar-SA"/>
        </w:rPr>
        <w:t>June 2020</w:t>
      </w:r>
    </w:p>
    <w:p w:rsidR="00EF3780" w:rsidRDefault="00EF3780" w:rsidP="00EF3780">
      <w:pPr>
        <w:spacing w:after="0"/>
        <w:jc w:val="center"/>
        <w:rPr>
          <w:rFonts w:ascii="Times New Roman" w:hAnsi="Times New Roman"/>
          <w:noProof/>
          <w:sz w:val="18"/>
          <w:szCs w:val="18"/>
          <w:lang w:bidi="ar-SA"/>
        </w:rPr>
      </w:pPr>
    </w:p>
    <w:p w:rsidR="00EF3780" w:rsidRPr="00F447A7" w:rsidRDefault="00EF3780" w:rsidP="00EF3780">
      <w:pPr>
        <w:spacing w:after="0"/>
        <w:jc w:val="center"/>
        <w:rPr>
          <w:rFonts w:ascii="Times New Roman" w:hAnsi="Times New Roman"/>
          <w:noProof/>
          <w:sz w:val="18"/>
          <w:szCs w:val="18"/>
          <w:lang w:bidi="ar-SA"/>
        </w:rPr>
      </w:pPr>
    </w:p>
    <w:p w:rsidR="00EF3780" w:rsidRPr="00F447A7" w:rsidRDefault="00EF3780" w:rsidP="00EF3780">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F3780" w:rsidRPr="000E49C0" w:rsidRDefault="00EF3780" w:rsidP="00EF3780">
      <w:pPr>
        <w:spacing w:after="0"/>
        <w:jc w:val="both"/>
        <w:rPr>
          <w:rFonts w:ascii="Times New Roman" w:hAnsi="Times New Roman"/>
          <w:sz w:val="18"/>
          <w:szCs w:val="18"/>
        </w:rPr>
      </w:pPr>
      <w:r w:rsidRPr="000E49C0">
        <w:rPr>
          <w:rFonts w:ascii="Times New Roman" w:hAnsi="Times New Roman"/>
          <w:sz w:val="18"/>
          <w:szCs w:val="18"/>
        </w:rPr>
        <w:t xml:space="preserve">The present study investigated the variation of phytochemical composition, antioxidant activity and chemometric </w:t>
      </w:r>
      <w:r>
        <w:rPr>
          <w:rFonts w:ascii="Times New Roman" w:hAnsi="Times New Roman"/>
          <w:sz w:val="18"/>
          <w:szCs w:val="18"/>
        </w:rPr>
        <w:t>thin layer chromatography (</w:t>
      </w:r>
      <w:r w:rsidRPr="000E49C0">
        <w:rPr>
          <w:rFonts w:ascii="Times New Roman" w:hAnsi="Times New Roman"/>
          <w:sz w:val="18"/>
          <w:szCs w:val="18"/>
        </w:rPr>
        <w:t>TLC</w:t>
      </w:r>
      <w:r>
        <w:rPr>
          <w:rFonts w:ascii="Times New Roman" w:hAnsi="Times New Roman"/>
          <w:sz w:val="18"/>
          <w:szCs w:val="18"/>
        </w:rPr>
        <w:t>)</w:t>
      </w:r>
      <w:r w:rsidRPr="000E49C0">
        <w:rPr>
          <w:rFonts w:ascii="Times New Roman" w:hAnsi="Times New Roman"/>
          <w:sz w:val="18"/>
          <w:szCs w:val="18"/>
        </w:rPr>
        <w:t xml:space="preserve"> and </w:t>
      </w:r>
      <w:r>
        <w:rPr>
          <w:rFonts w:ascii="Times New Roman" w:hAnsi="Times New Roman"/>
          <w:sz w:val="18"/>
          <w:szCs w:val="18"/>
        </w:rPr>
        <w:t>high performance liquid chromatography (</w:t>
      </w:r>
      <w:r w:rsidRPr="000E49C0">
        <w:rPr>
          <w:rFonts w:ascii="Times New Roman" w:hAnsi="Times New Roman"/>
          <w:sz w:val="18"/>
          <w:szCs w:val="18"/>
        </w:rPr>
        <w:t>HPLC</w:t>
      </w:r>
      <w:r>
        <w:rPr>
          <w:rFonts w:ascii="Times New Roman" w:hAnsi="Times New Roman"/>
          <w:sz w:val="18"/>
          <w:szCs w:val="18"/>
        </w:rPr>
        <w:t>)</w:t>
      </w:r>
      <w:r w:rsidRPr="000E49C0">
        <w:rPr>
          <w:rFonts w:ascii="Times New Roman" w:hAnsi="Times New Roman"/>
          <w:sz w:val="18"/>
          <w:szCs w:val="18"/>
        </w:rPr>
        <w:t xml:space="preserve"> fingerprinting profiles of five </w:t>
      </w:r>
      <w:r w:rsidRPr="000E49C0">
        <w:rPr>
          <w:rFonts w:ascii="Times New Roman" w:hAnsi="Times New Roman"/>
          <w:i/>
          <w:sz w:val="18"/>
          <w:szCs w:val="18"/>
        </w:rPr>
        <w:t>Moringa oleifera</w:t>
      </w:r>
      <w:r w:rsidRPr="000E49C0">
        <w:rPr>
          <w:rFonts w:ascii="Times New Roman" w:hAnsi="Times New Roman"/>
          <w:sz w:val="18"/>
          <w:szCs w:val="18"/>
        </w:rPr>
        <w:t xml:space="preserve"> herbal products. </w:t>
      </w:r>
      <w:r>
        <w:rPr>
          <w:rFonts w:ascii="Times New Roman" w:hAnsi="Times New Roman"/>
          <w:sz w:val="18"/>
          <w:szCs w:val="18"/>
        </w:rPr>
        <w:t xml:space="preserve">TLC and HPLC along with the PCA and K-mean can adequately discriminate different herbal products. </w:t>
      </w:r>
      <w:r w:rsidRPr="000E49C0">
        <w:rPr>
          <w:rFonts w:ascii="Times New Roman" w:hAnsi="Times New Roman"/>
          <w:sz w:val="18"/>
          <w:szCs w:val="18"/>
        </w:rPr>
        <w:t xml:space="preserve">The content of total bioactive compounds of the samples were ranged from 591.5 to 966.1 mg/100 g dried weight. The total antioxidant activity of </w:t>
      </w:r>
      <w:r w:rsidRPr="000E49C0">
        <w:rPr>
          <w:rFonts w:ascii="Times New Roman" w:hAnsi="Times New Roman"/>
          <w:i/>
          <w:iCs/>
          <w:sz w:val="18"/>
          <w:szCs w:val="18"/>
        </w:rPr>
        <w:t>M. oleifera</w:t>
      </w:r>
      <w:r w:rsidRPr="000E49C0">
        <w:rPr>
          <w:rFonts w:ascii="Times New Roman" w:hAnsi="Times New Roman"/>
          <w:sz w:val="18"/>
          <w:szCs w:val="18"/>
        </w:rPr>
        <w:t xml:space="preserve"> samples was in the following order: Mas lait &gt; De Font Quer &gt; Akuanandi &gt; Infusionate &gt; Terbal.  </w:t>
      </w:r>
      <w:r>
        <w:rPr>
          <w:rFonts w:ascii="Times New Roman" w:hAnsi="Times New Roman"/>
          <w:sz w:val="18"/>
          <w:szCs w:val="18"/>
        </w:rPr>
        <w:t>Wavelength a</w:t>
      </w:r>
      <w:r w:rsidRPr="000E49C0">
        <w:rPr>
          <w:rFonts w:ascii="Times New Roman" w:hAnsi="Times New Roman"/>
          <w:sz w:val="18"/>
          <w:szCs w:val="18"/>
        </w:rPr>
        <w:t xml:space="preserve">t 352 nm, 75 components were detected in all herbal products; among these, 10 potential biomarkers with higher contents enabled differentiation between each sample and foreign organic matter. HPLC-DAD analysis of the extracts showed </w:t>
      </w:r>
      <w:r>
        <w:rPr>
          <w:rFonts w:ascii="Times New Roman" w:hAnsi="Times New Roman"/>
          <w:sz w:val="18"/>
          <w:szCs w:val="18"/>
        </w:rPr>
        <w:t>a</w:t>
      </w:r>
      <w:r w:rsidRPr="000E49C0">
        <w:rPr>
          <w:rFonts w:ascii="Times New Roman" w:hAnsi="Times New Roman"/>
          <w:sz w:val="18"/>
          <w:szCs w:val="18"/>
        </w:rPr>
        <w:t xml:space="preserve"> decline in the quality of components in the five commercial products.  Thus, this study presents the TLC and HPLC profiles of the Mexican </w:t>
      </w:r>
      <w:r w:rsidRPr="000E49C0">
        <w:rPr>
          <w:rFonts w:ascii="Times New Roman" w:hAnsi="Times New Roman"/>
          <w:i/>
          <w:sz w:val="18"/>
          <w:szCs w:val="18"/>
        </w:rPr>
        <w:t>M. oleifera</w:t>
      </w:r>
      <w:r w:rsidRPr="000E49C0">
        <w:rPr>
          <w:rFonts w:ascii="Times New Roman" w:hAnsi="Times New Roman"/>
          <w:sz w:val="18"/>
          <w:szCs w:val="18"/>
        </w:rPr>
        <w:t xml:space="preserve"> extracts that may serve as a reference for the proper identification, standardization and quality control of this plant. These methods can be used for routine quality control of herbal </w:t>
      </w:r>
      <w:r>
        <w:rPr>
          <w:rFonts w:ascii="Times New Roman" w:hAnsi="Times New Roman"/>
          <w:sz w:val="18"/>
          <w:szCs w:val="18"/>
        </w:rPr>
        <w:t>products</w:t>
      </w:r>
      <w:r w:rsidRPr="000E49C0">
        <w:rPr>
          <w:rFonts w:ascii="Times New Roman" w:hAnsi="Times New Roman"/>
          <w:sz w:val="18"/>
          <w:szCs w:val="18"/>
        </w:rPr>
        <w:t xml:space="preserve"> and formulations containing this medicinal plant. </w:t>
      </w:r>
    </w:p>
    <w:p w:rsidR="00EF3780" w:rsidRDefault="00EF3780" w:rsidP="00EF3780">
      <w:pPr>
        <w:spacing w:after="0"/>
        <w:jc w:val="both"/>
        <w:rPr>
          <w:rFonts w:ascii="Times New Roman" w:hAnsi="Times New Roman"/>
          <w:b/>
          <w:sz w:val="18"/>
          <w:szCs w:val="18"/>
        </w:rPr>
      </w:pPr>
    </w:p>
    <w:p w:rsidR="00EF3780" w:rsidRDefault="00EF3780" w:rsidP="00EF3780">
      <w:pPr>
        <w:spacing w:after="0"/>
        <w:jc w:val="both"/>
        <w:rPr>
          <w:rFonts w:ascii="Times New Roman" w:hAnsi="Times New Roman"/>
          <w:sz w:val="18"/>
          <w:szCs w:val="18"/>
        </w:rPr>
      </w:pPr>
      <w:r>
        <w:rPr>
          <w:rFonts w:ascii="Times New Roman" w:hAnsi="Times New Roman"/>
          <w:b/>
          <w:sz w:val="18"/>
          <w:szCs w:val="18"/>
        </w:rPr>
        <w:t>Keywords:</w:t>
      </w:r>
      <w:r>
        <w:rPr>
          <w:rFonts w:ascii="Times New Roman" w:hAnsi="Times New Roman"/>
          <w:sz w:val="18"/>
          <w:szCs w:val="18"/>
        </w:rPr>
        <w:t xml:space="preserve">  </w:t>
      </w:r>
      <w:r>
        <w:rPr>
          <w:rFonts w:ascii="Times New Roman" w:hAnsi="Times New Roman"/>
          <w:i/>
          <w:sz w:val="18"/>
          <w:szCs w:val="18"/>
        </w:rPr>
        <w:t>Moringa oleifera</w:t>
      </w:r>
      <w:r>
        <w:rPr>
          <w:rFonts w:ascii="Times New Roman" w:hAnsi="Times New Roman"/>
          <w:sz w:val="18"/>
          <w:szCs w:val="18"/>
        </w:rPr>
        <w:t xml:space="preserve"> leaves, chemical markers </w:t>
      </w:r>
    </w:p>
    <w:p w:rsidR="00EF3780" w:rsidRDefault="00EF3780" w:rsidP="00EF3780">
      <w:pPr>
        <w:spacing w:after="0"/>
        <w:jc w:val="center"/>
        <w:rPr>
          <w:rFonts w:ascii="Times New Roman" w:hAnsi="Times New Roman"/>
          <w:b/>
          <w:sz w:val="18"/>
          <w:szCs w:val="18"/>
        </w:rPr>
        <w:sectPr w:rsidR="00EF3780" w:rsidSect="005947F7">
          <w:headerReference w:type="even" r:id="rId10"/>
          <w:headerReference w:type="default" r:id="rId11"/>
          <w:footerReference w:type="even" r:id="rId12"/>
          <w:footerReference w:type="default" r:id="rId13"/>
          <w:pgSz w:w="12240" w:h="15840" w:code="1"/>
          <w:pgMar w:top="1800" w:right="1469" w:bottom="1699" w:left="1440" w:header="706" w:footer="706" w:gutter="0"/>
          <w:pgNumType w:start="449"/>
          <w:cols w:space="708"/>
          <w:docGrid w:linePitch="360"/>
        </w:sectPr>
      </w:pPr>
    </w:p>
    <w:p w:rsidR="00EF3780" w:rsidRDefault="00EF3780" w:rsidP="00EF3780">
      <w:pPr>
        <w:spacing w:after="0"/>
        <w:jc w:val="center"/>
        <w:rPr>
          <w:rFonts w:ascii="Times New Roman" w:hAnsi="Times New Roman"/>
          <w:b/>
          <w:sz w:val="18"/>
          <w:szCs w:val="18"/>
        </w:rPr>
      </w:pPr>
    </w:p>
    <w:p w:rsidR="00EF3780" w:rsidRDefault="00EF3780" w:rsidP="00EF3780">
      <w:pPr>
        <w:spacing w:after="0"/>
        <w:jc w:val="center"/>
        <w:rPr>
          <w:rFonts w:ascii="Times New Roman" w:hAnsi="Times New Roman"/>
          <w:b/>
          <w:sz w:val="18"/>
          <w:szCs w:val="18"/>
        </w:rPr>
      </w:pPr>
      <w:r>
        <w:rPr>
          <w:rFonts w:ascii="Times New Roman" w:hAnsi="Times New Roman"/>
          <w:b/>
          <w:sz w:val="18"/>
          <w:szCs w:val="18"/>
        </w:rPr>
        <w:t>Abstrak</w:t>
      </w:r>
    </w:p>
    <w:p w:rsidR="00EF3780" w:rsidRPr="00E70363" w:rsidRDefault="00EF3780" w:rsidP="00EF3780">
      <w:pPr>
        <w:spacing w:after="0"/>
        <w:jc w:val="both"/>
        <w:rPr>
          <w:rFonts w:ascii="Times New Roman" w:hAnsi="Times New Roman"/>
          <w:i/>
          <w:iCs/>
          <w:noProof/>
          <w:sz w:val="18"/>
          <w:szCs w:val="18"/>
          <w:lang w:val="ms-MY"/>
        </w:rPr>
      </w:pPr>
      <w:r w:rsidRPr="00E70363">
        <w:rPr>
          <w:rFonts w:ascii="Times New Roman" w:hAnsi="Times New Roman"/>
          <w:noProof/>
          <w:sz w:val="18"/>
          <w:szCs w:val="18"/>
          <w:lang w:val="ms-MY"/>
        </w:rPr>
        <w:t xml:space="preserve">Kajian ini menyiasat variasi komposisi fitokimia, aktiviti antioksidan dan kemometrik kromatografi lapisan nipis (TLC) dan kromatografi cecair berprestasi tinggi (HPLC) bagi profil pencapjarian lima produk herba berasaskan </w:t>
      </w:r>
      <w:r w:rsidRPr="00E70363">
        <w:rPr>
          <w:rFonts w:ascii="Times New Roman" w:hAnsi="Times New Roman"/>
          <w:i/>
          <w:iCs/>
          <w:noProof/>
          <w:sz w:val="18"/>
          <w:szCs w:val="18"/>
          <w:lang w:val="ms-MY"/>
        </w:rPr>
        <w:t xml:space="preserve">Moringa oleifera. </w:t>
      </w:r>
      <w:r w:rsidRPr="00E70363">
        <w:rPr>
          <w:rFonts w:ascii="Times New Roman" w:hAnsi="Times New Roman"/>
          <w:noProof/>
          <w:sz w:val="18"/>
          <w:szCs w:val="18"/>
          <w:lang w:val="ms-MY"/>
        </w:rPr>
        <w:t>TLC dan HPLC bersama PCA dan K-min boleh membezalayan secara tepat bagi produk berbeza. Jumlah kandungan sebatian bioaktif bagi sampel berada di dalam julat 591.5 to 966.1 mg/100 g berat kering.</w:t>
      </w:r>
      <w:r w:rsidRPr="00E70363">
        <w:rPr>
          <w:rFonts w:ascii="Times New Roman" w:hAnsi="Times New Roman"/>
          <w:i/>
          <w:iCs/>
          <w:noProof/>
          <w:sz w:val="18"/>
          <w:szCs w:val="18"/>
          <w:lang w:val="ms-MY"/>
        </w:rPr>
        <w:t xml:space="preserve"> </w:t>
      </w:r>
      <w:r w:rsidRPr="00E70363">
        <w:rPr>
          <w:rFonts w:ascii="Times New Roman" w:hAnsi="Times New Roman"/>
          <w:noProof/>
          <w:sz w:val="18"/>
          <w:szCs w:val="18"/>
          <w:lang w:val="ms-MY"/>
        </w:rPr>
        <w:t xml:space="preserve">Jumlah aktiviti antioksidan bagi sampel </w:t>
      </w:r>
      <w:r w:rsidRPr="00E70363">
        <w:rPr>
          <w:rFonts w:ascii="Times New Roman" w:hAnsi="Times New Roman"/>
          <w:i/>
          <w:iCs/>
          <w:noProof/>
          <w:sz w:val="18"/>
          <w:szCs w:val="18"/>
          <w:lang w:val="ms-MY"/>
        </w:rPr>
        <w:t xml:space="preserve">M. oleifera </w:t>
      </w:r>
      <w:r w:rsidRPr="00E70363">
        <w:rPr>
          <w:rFonts w:ascii="Times New Roman" w:hAnsi="Times New Roman"/>
          <w:noProof/>
          <w:sz w:val="18"/>
          <w:szCs w:val="18"/>
          <w:lang w:val="ms-MY"/>
        </w:rPr>
        <w:t>seperti tertib berikut: Mas lait &gt; De Font Quer &gt; Akuanandi &gt; Infusionate &gt; Terbal.</w:t>
      </w:r>
      <w:r>
        <w:rPr>
          <w:rFonts w:ascii="Times New Roman" w:hAnsi="Times New Roman"/>
          <w:noProof/>
          <w:sz w:val="18"/>
          <w:szCs w:val="18"/>
          <w:lang w:val="ms-MY"/>
        </w:rPr>
        <w:t xml:space="preserve"> Para panjang gelombang 352 nm, 75 komponen ditemui dalam semua produk herba; antaranya 10 potensi penanda bio dengan kadungannya yang tinggi membantu membezakan setiap sampel dengan jirim organik asing. Analisis HPLC-DAD terhadap ekstrak menunjukkan penurunan dalam kualiti komponen di dalam lima produk komersial. Kajian ini membentangkan profil TLC dan HPLC bagi ekstrak </w:t>
      </w:r>
      <w:r w:rsidRPr="000E49C0">
        <w:rPr>
          <w:rFonts w:ascii="Times New Roman" w:hAnsi="Times New Roman"/>
          <w:i/>
          <w:sz w:val="18"/>
          <w:szCs w:val="18"/>
        </w:rPr>
        <w:t>M. oleifera</w:t>
      </w:r>
      <w:r>
        <w:rPr>
          <w:rFonts w:ascii="Times New Roman" w:hAnsi="Times New Roman"/>
          <w:iCs/>
          <w:sz w:val="18"/>
          <w:szCs w:val="18"/>
        </w:rPr>
        <w:t xml:space="preserve"> tulen dari Mexico</w:t>
      </w:r>
      <w:r>
        <w:rPr>
          <w:rFonts w:ascii="Times New Roman" w:hAnsi="Times New Roman"/>
          <w:noProof/>
          <w:sz w:val="18"/>
          <w:szCs w:val="18"/>
          <w:lang w:val="ms-MY"/>
        </w:rPr>
        <w:t xml:space="preserve"> yang boleh digunakan sebagai rujukan bagi tujuan pengenalpastian, paiwaian dan kawalan kualiti tumbuhan ini. Keadah ini boleh digunakan bagi rutin kawalan kualiti produk herba dan formulasi yang mengandungi tumbuhan perubatan ini. </w:t>
      </w:r>
    </w:p>
    <w:p w:rsidR="00EF3780" w:rsidRPr="00776EA0" w:rsidRDefault="00EF3780" w:rsidP="00EF3780">
      <w:pPr>
        <w:spacing w:after="0"/>
        <w:jc w:val="both"/>
        <w:rPr>
          <w:rFonts w:ascii="Times New Roman" w:hAnsi="Times New Roman"/>
          <w:sz w:val="18"/>
          <w:szCs w:val="18"/>
        </w:rPr>
      </w:pPr>
    </w:p>
    <w:p w:rsidR="00EF3780" w:rsidRDefault="00EF3780" w:rsidP="00EF3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18"/>
          <w:szCs w:val="18"/>
          <w:lang w:val="ms-MY" w:eastAsia="es-MX"/>
        </w:rPr>
      </w:pPr>
      <w:r w:rsidRPr="00A260C0">
        <w:rPr>
          <w:rFonts w:ascii="Times New Roman" w:hAnsi="Times New Roman"/>
          <w:b/>
          <w:bCs/>
          <w:sz w:val="18"/>
          <w:szCs w:val="18"/>
          <w:lang w:val="ms-MY" w:eastAsia="es-MX"/>
        </w:rPr>
        <w:t>Kata kunci</w:t>
      </w:r>
      <w:r>
        <w:rPr>
          <w:rFonts w:ascii="Times New Roman" w:hAnsi="Times New Roman"/>
          <w:sz w:val="18"/>
          <w:szCs w:val="18"/>
          <w:lang w:val="ms-MY" w:eastAsia="es-MX"/>
        </w:rPr>
        <w:t xml:space="preserve">:  daun </w:t>
      </w:r>
      <w:r w:rsidRPr="00776EA0">
        <w:rPr>
          <w:rFonts w:ascii="Times New Roman" w:hAnsi="Times New Roman"/>
          <w:i/>
          <w:iCs/>
          <w:sz w:val="18"/>
          <w:szCs w:val="18"/>
          <w:lang w:val="ms-MY" w:eastAsia="es-MX"/>
        </w:rPr>
        <w:t>Moringa oleifera</w:t>
      </w:r>
      <w:r w:rsidRPr="00E634D1">
        <w:rPr>
          <w:rFonts w:ascii="Times New Roman" w:hAnsi="Times New Roman"/>
          <w:sz w:val="18"/>
          <w:szCs w:val="18"/>
          <w:lang w:val="ms-MY" w:eastAsia="es-MX"/>
        </w:rPr>
        <w:t xml:space="preserve">, penanda </w:t>
      </w:r>
      <w:r>
        <w:rPr>
          <w:rFonts w:ascii="Times New Roman" w:hAnsi="Times New Roman"/>
          <w:sz w:val="18"/>
          <w:szCs w:val="18"/>
          <w:lang w:val="ms-MY" w:eastAsia="es-MX"/>
        </w:rPr>
        <w:t>kimia</w:t>
      </w:r>
    </w:p>
    <w:p w:rsidR="00EF3780" w:rsidRDefault="00EF3780" w:rsidP="00EF3780">
      <w:pPr>
        <w:spacing w:after="0"/>
        <w:jc w:val="center"/>
        <w:rPr>
          <w:rFonts w:ascii="Times New Roman" w:hAnsi="Times New Roman"/>
          <w:noProof/>
          <w:sz w:val="20"/>
          <w:szCs w:val="20"/>
          <w:lang w:bidi="ar-SA"/>
        </w:rPr>
      </w:pPr>
    </w:p>
    <w:p w:rsidR="00EF3780" w:rsidRDefault="00EF3780" w:rsidP="00EF3780">
      <w:pPr>
        <w:spacing w:after="0"/>
        <w:jc w:val="center"/>
        <w:rPr>
          <w:rFonts w:ascii="Times New Roman" w:hAnsi="Times New Roman"/>
          <w:noProof/>
          <w:sz w:val="20"/>
          <w:szCs w:val="20"/>
          <w:lang w:bidi="ar-SA"/>
        </w:rPr>
      </w:pPr>
    </w:p>
    <w:p w:rsidR="00EF3780" w:rsidRDefault="00EF3780" w:rsidP="00F60D4A">
      <w:pPr>
        <w:spacing w:after="0"/>
        <w:rPr>
          <w:rFonts w:ascii="Times New Roman" w:hAnsi="Times New Roman"/>
          <w:b/>
          <w:noProof/>
          <w:sz w:val="20"/>
          <w:szCs w:val="20"/>
          <w:lang w:bidi="ar-SA"/>
        </w:rPr>
      </w:pPr>
    </w:p>
    <w:p w:rsidR="000E07DE" w:rsidRDefault="000E07DE" w:rsidP="00F60D4A">
      <w:pPr>
        <w:spacing w:after="0"/>
        <w:rPr>
          <w:rFonts w:ascii="Times New Roman" w:hAnsi="Times New Roman"/>
          <w:b/>
          <w:noProof/>
          <w:sz w:val="20"/>
          <w:szCs w:val="20"/>
          <w:lang w:bidi="ar-SA"/>
        </w:rPr>
        <w:sectPr w:rsidR="000E07DE" w:rsidSect="005F4B75">
          <w:headerReference w:type="default" r:id="rId14"/>
          <w:footerReference w:type="default" r:id="rId15"/>
          <w:type w:val="oddPage"/>
          <w:pgSz w:w="12240" w:h="15840" w:code="1"/>
          <w:pgMar w:top="1800" w:right="1469" w:bottom="1699" w:left="1440" w:header="706" w:footer="706" w:gutter="0"/>
          <w:pgNumType w:start="448"/>
          <w:cols w:space="708"/>
          <w:docGrid w:linePitch="360"/>
        </w:sectPr>
      </w:pPr>
    </w:p>
    <w:p w:rsidR="00EF3780" w:rsidRPr="00C510D7" w:rsidRDefault="00EF3780" w:rsidP="00EF3780">
      <w:pPr>
        <w:spacing w:after="0"/>
        <w:jc w:val="center"/>
        <w:rPr>
          <w:rFonts w:ascii="Times New Roman" w:hAnsi="Times New Roman"/>
          <w:b/>
          <w:noProof/>
          <w:sz w:val="20"/>
          <w:szCs w:val="20"/>
          <w:lang w:bidi="ar-SA"/>
        </w:rPr>
      </w:pPr>
      <w:r w:rsidRPr="00C510D7">
        <w:rPr>
          <w:rFonts w:ascii="Times New Roman" w:hAnsi="Times New Roman"/>
          <w:b/>
          <w:noProof/>
          <w:sz w:val="20"/>
          <w:szCs w:val="20"/>
          <w:lang w:bidi="ar-SA"/>
        </w:rPr>
        <w:lastRenderedPageBreak/>
        <w:t>Introduction</w:t>
      </w:r>
    </w:p>
    <w:p w:rsidR="00EF3780" w:rsidRPr="00C510D7" w:rsidRDefault="002359BD" w:rsidP="00EF3780">
      <w:pPr>
        <w:spacing w:after="0"/>
        <w:jc w:val="both"/>
        <w:rPr>
          <w:rFonts w:ascii="Times New Roman" w:hAnsi="Times New Roman"/>
          <w:sz w:val="20"/>
          <w:szCs w:val="20"/>
        </w:rPr>
      </w:pPr>
      <w:r>
        <w:rPr>
          <w:rFonts w:ascii="Times New Roman" w:hAnsi="Times New Roman"/>
          <w:sz w:val="20"/>
          <w:szCs w:val="20"/>
        </w:rPr>
        <w:t>Plants have</w:t>
      </w:r>
      <w:r w:rsidR="00E42EBF">
        <w:rPr>
          <w:rFonts w:ascii="Times New Roman" w:hAnsi="Times New Roman"/>
          <w:sz w:val="20"/>
          <w:szCs w:val="20"/>
        </w:rPr>
        <w:t xml:space="preserve"> </w:t>
      </w:r>
      <w:r>
        <w:rPr>
          <w:rFonts w:ascii="Times New Roman" w:hAnsi="Times New Roman"/>
          <w:sz w:val="20"/>
          <w:szCs w:val="20"/>
        </w:rPr>
        <w:t xml:space="preserve"> </w:t>
      </w:r>
      <w:r w:rsidR="00EF3780" w:rsidRPr="00C510D7">
        <w:rPr>
          <w:rFonts w:ascii="Times New Roman" w:hAnsi="Times New Roman"/>
          <w:sz w:val="20"/>
          <w:szCs w:val="20"/>
        </w:rPr>
        <w:t>primary and secondary metabolite factories for their survival and that play a vital</w:t>
      </w:r>
      <w:r>
        <w:rPr>
          <w:rFonts w:ascii="Times New Roman" w:hAnsi="Times New Roman"/>
          <w:sz w:val="20"/>
          <w:szCs w:val="20"/>
        </w:rPr>
        <w:t xml:space="preserve"> role in the management of  human</w:t>
      </w:r>
      <w:r w:rsidR="00EF3780" w:rsidRPr="00C510D7">
        <w:rPr>
          <w:rFonts w:ascii="Times New Roman" w:hAnsi="Times New Roman"/>
          <w:sz w:val="20"/>
          <w:szCs w:val="20"/>
        </w:rPr>
        <w:t xml:space="preserve"> health. Of an estimated 250,000 to 350,000 plant species identified, about 35,000 are used worldwide for medicinal purposes. The World Health Organization (WHO) has confirmed that herbal medicines serve the health needs of about 80% of the world´s population; especially for millions of people in the vast rural areas of developing countries </w:t>
      </w:r>
      <w:r w:rsidR="00DB1E60" w:rsidRPr="00C510D7">
        <w:rPr>
          <w:rFonts w:ascii="Times New Roman" w:hAnsi="Times New Roman"/>
          <w:sz w:val="20"/>
          <w:szCs w:val="20"/>
        </w:rPr>
        <w:fldChar w:fldCharType="begin" w:fldLock="1"/>
      </w:r>
      <w:r w:rsidR="00EF3780" w:rsidRPr="00C510D7">
        <w:rPr>
          <w:rFonts w:ascii="Times New Roman" w:hAnsi="Times New Roman"/>
          <w:sz w:val="20"/>
          <w:szCs w:val="20"/>
        </w:rPr>
        <w:instrText>ADDIN CSL_CITATION {"citationItems":[{"id":"ITEM-1","itemData":{"DOI":"10.1155/2015/316706","ISSN":"17414288","author":[{"dropping-particle":"","family":"Zhang","given":"Junhua","non-dropping-particle":"","parse-names":false,"suffix":""},{"dropping-particle":"","family":"Onakpoya","given":"Igho J.","non-dropping-particle":"","parse-names":false,"suffix":""},{"dropping-particle":"","family":"Posadzki","given":"Paul","non-dropping-particle":"","parse-names":false,"suffix":""},{"dropping-particle":"","family":"Eddouks","given":"Mohamed","non-dropping-particle":"","parse-names":false,"suffix":""}],"container-title":"Evidence-based Complementary and Alternative Medicine","id":"ITEM-1","issued":{"date-parts":[["2015"]]},"title":"The safety of herbal medicine: From prejudice to evidence","type":"article-journal","volume":"2015"},"uris":["http://www.mendeley.com/documents/?uuid=2747bbbd-818d-4018-abed-f10813f8febc","http://www.mendeley.com/documents/?uuid=af4000a0-e887-429b-90de-ff1390ef8be9"]}],"mendeley":{"formattedCitation":"[1]","plainTextFormattedCitation":"[1]","previouslyFormattedCitation":"[1]"},"properties":{"noteIndex":0},"schema":"https://github.com/citation-style-language/schema/raw/master/csl-citation.json"}</w:instrText>
      </w:r>
      <w:r w:rsidR="00DB1E60" w:rsidRPr="00C510D7">
        <w:rPr>
          <w:rFonts w:ascii="Times New Roman" w:hAnsi="Times New Roman"/>
          <w:sz w:val="20"/>
          <w:szCs w:val="20"/>
        </w:rPr>
        <w:fldChar w:fldCharType="separate"/>
      </w:r>
      <w:r w:rsidR="00EF3780" w:rsidRPr="00C510D7">
        <w:rPr>
          <w:rFonts w:ascii="Times New Roman" w:hAnsi="Times New Roman"/>
          <w:noProof/>
          <w:sz w:val="20"/>
          <w:szCs w:val="20"/>
        </w:rPr>
        <w:t>[1]</w:t>
      </w:r>
      <w:r w:rsidR="00DB1E60" w:rsidRPr="00C510D7">
        <w:rPr>
          <w:rFonts w:ascii="Times New Roman" w:hAnsi="Times New Roman"/>
          <w:sz w:val="20"/>
          <w:szCs w:val="20"/>
        </w:rPr>
        <w:fldChar w:fldCharType="end"/>
      </w:r>
      <w:r w:rsidR="00EF3780" w:rsidRPr="00C510D7">
        <w:rPr>
          <w:rFonts w:ascii="Times New Roman" w:hAnsi="Times New Roman"/>
          <w:sz w:val="20"/>
          <w:szCs w:val="20"/>
        </w:rPr>
        <w:t>. Additionally, plants and thei</w:t>
      </w:r>
      <w:r w:rsidR="006E2FA1">
        <w:rPr>
          <w:rFonts w:ascii="Times New Roman" w:hAnsi="Times New Roman"/>
          <w:sz w:val="20"/>
          <w:szCs w:val="20"/>
        </w:rPr>
        <w:t xml:space="preserve">r metabolites are necessary for  </w:t>
      </w:r>
      <w:r w:rsidR="00EF3780" w:rsidRPr="00C510D7">
        <w:rPr>
          <w:rFonts w:ascii="Times New Roman" w:hAnsi="Times New Roman"/>
          <w:sz w:val="20"/>
          <w:szCs w:val="20"/>
        </w:rPr>
        <w:t xml:space="preserve">food </w:t>
      </w:r>
      <w:r w:rsidR="00CE7341">
        <w:rPr>
          <w:rFonts w:ascii="Times New Roman" w:hAnsi="Times New Roman"/>
          <w:sz w:val="20"/>
          <w:szCs w:val="20"/>
        </w:rPr>
        <w:t xml:space="preserve"> </w:t>
      </w:r>
      <w:r w:rsidR="00EF3780" w:rsidRPr="00C510D7">
        <w:rPr>
          <w:rFonts w:ascii="Times New Roman" w:hAnsi="Times New Roman"/>
          <w:sz w:val="20"/>
          <w:szCs w:val="20"/>
        </w:rPr>
        <w:t xml:space="preserve">supplement and nutrition, and for all type of medicines including traditional, herbal, complementary, natural products related and semi-synthetics </w:t>
      </w:r>
      <w:r w:rsidR="00DB1E60" w:rsidRPr="00C510D7">
        <w:rPr>
          <w:rFonts w:ascii="Times New Roman" w:hAnsi="Times New Roman"/>
          <w:sz w:val="20"/>
          <w:szCs w:val="20"/>
        </w:rPr>
        <w:fldChar w:fldCharType="begin" w:fldLock="1"/>
      </w:r>
      <w:r w:rsidR="00EF3780" w:rsidRPr="00C510D7">
        <w:rPr>
          <w:rFonts w:ascii="Times New Roman" w:hAnsi="Times New Roman"/>
          <w:sz w:val="20"/>
          <w:szCs w:val="20"/>
        </w:rPr>
        <w:instrText>ADDIN CSL_CITATION {"citationItems":[{"id":"ITEM-1","itemData":{"DOI":"10.1080/10826070600574911","ISSN":"1520572X","abstract":"(HP)TLC is a technique with large applicability in the fields of plant material analysis and stability tests of extracts and finished products. The implementation of a modern standardized methodology led to the increasing of acceptance and recognition of (HP)TLC as competitive analytical method. (HP)TLC has many advantages, such as lower costs, short time analysis, the possibility of multiple detection, and specific derivatization on the same plate, etc. The natural antioxidants (polyphenols) are present in plant extracts; they play a key role in antioxidative defence mechanisms in biological systems and they act as free radicals scavenging agents. The separation of polyphenols from each other and from other components of the plant extracts can be done by a great number of (HP)TLC developed techniques. Mostly, complex crude plant extracts are screened for antioxidant activity or to distinguish the components of plant extracts with antioxidant character or radical-scavenging properties. (HP)TLC has been used for the determination of individual antioxidant capacity of target compounds and it might be of interest to the routine chemical or biological screening and they can solve real analytical problems. Copyright © Taylor &amp; Francis Group, LLC.","author":[{"dropping-particle":"","family":"Cimpoiu","given":"Claudia","non-dropping-particle":"","parse-names":false,"suffix":""}],"container-title":"Journal of Liquid Chromatography and Related Technologies","id":"ITEM-1","issue":"7-8","issued":{"date-parts":[["2006"]]},"page":"1125-1142","title":"Analysis of some natural antioxidants by thin-layer chromatography and high performance thin-layer chromatography","type":"article","volume":"29"},"uris":["http://www.mendeley.com/documents/?uuid=666e2caa-ccbd-4016-9c0a-25e142deabbc","http://www.mendeley.com/documents/?uuid=bf83057f-6e05-4d66-adf2-13f69ccf390a"]}],"mendeley":{"formattedCitation":"[2]","plainTextFormattedCitation":"[2]","previouslyFormattedCitation":"[2]"},"properties":{"noteIndex":0},"schema":"https://github.com/citation-style-language/schema/raw/master/csl-citation.json"}</w:instrText>
      </w:r>
      <w:r w:rsidR="00DB1E60" w:rsidRPr="00C510D7">
        <w:rPr>
          <w:rFonts w:ascii="Times New Roman" w:hAnsi="Times New Roman"/>
          <w:sz w:val="20"/>
          <w:szCs w:val="20"/>
        </w:rPr>
        <w:fldChar w:fldCharType="separate"/>
      </w:r>
      <w:r w:rsidR="00EF3780" w:rsidRPr="00C510D7">
        <w:rPr>
          <w:rFonts w:ascii="Times New Roman" w:hAnsi="Times New Roman"/>
          <w:noProof/>
          <w:sz w:val="20"/>
          <w:szCs w:val="20"/>
        </w:rPr>
        <w:t>[2]</w:t>
      </w:r>
      <w:r w:rsidR="00DB1E60" w:rsidRPr="00C510D7">
        <w:rPr>
          <w:rFonts w:ascii="Times New Roman" w:hAnsi="Times New Roman"/>
          <w:sz w:val="20"/>
          <w:szCs w:val="20"/>
        </w:rPr>
        <w:fldChar w:fldCharType="end"/>
      </w:r>
      <w:r w:rsidR="00EF3780" w:rsidRPr="00C510D7">
        <w:rPr>
          <w:rFonts w:ascii="Times New Roman" w:hAnsi="Times New Roman"/>
          <w:sz w:val="20"/>
          <w:szCs w:val="20"/>
        </w:rPr>
        <w:t xml:space="preserve">. </w:t>
      </w:r>
    </w:p>
    <w:p w:rsidR="00EF3780" w:rsidRPr="00C510D7" w:rsidRDefault="006E2FA1" w:rsidP="00EF3780">
      <w:pPr>
        <w:spacing w:after="0"/>
        <w:jc w:val="both"/>
        <w:rPr>
          <w:rFonts w:ascii="Times New Roman" w:hAnsi="Times New Roman"/>
          <w:sz w:val="20"/>
          <w:szCs w:val="20"/>
        </w:rPr>
      </w:pPr>
      <w:r>
        <w:rPr>
          <w:rFonts w:ascii="Times New Roman" w:hAnsi="Times New Roman"/>
          <w:sz w:val="20"/>
          <w:szCs w:val="20"/>
        </w:rPr>
        <w:t xml:space="preserve"> </w:t>
      </w:r>
    </w:p>
    <w:p w:rsidR="00EF3780" w:rsidRDefault="00EF3780" w:rsidP="00EF3780">
      <w:pPr>
        <w:spacing w:after="0"/>
        <w:jc w:val="both"/>
        <w:rPr>
          <w:rFonts w:ascii="Times New Roman" w:hAnsi="Times New Roman"/>
          <w:sz w:val="20"/>
          <w:szCs w:val="20"/>
        </w:rPr>
      </w:pPr>
      <w:r w:rsidRPr="00C510D7">
        <w:rPr>
          <w:rFonts w:ascii="Times New Roman" w:hAnsi="Times New Roman"/>
          <w:sz w:val="20"/>
          <w:szCs w:val="20"/>
        </w:rPr>
        <w:t xml:space="preserve">Moringa is a genus of medicinal plants that has traditionally been used to heal wounds and various diseases such as colds and diabetes. The genus consists of 13 species that have been widely cultivated mainly throughout Asia and Africa for their multiple uses. Moringa species are well-known for their antioxidant, anti-inflammatory, anti-cancer, and anti-hyperglycemic activities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{"citationItems":[{"id":"ITEM-1","itemData":{"DOI":"10.3389/fphar.2018.00108","ISSN":"16639812","abstract":"Moringa is a genus of medicinal plants that has been used traditionally to cure wounds and various diseases such as colds and diabetes. In addition, the genus is also consumed as a source of nutrients and widely used for purifying water. The genus consists of 13 species that have been widely cultivated throughout Asia and Africa for their multiple uses. The purpose of this review is to provide updated and categorized information on the traditional uses, phytochemistry, biological activities, and toxicological research of Moringa species in order to explore their therapeutic potential and evaluate future research opportunities. The literature reviewed for this paper was obtained from PubMed, ScienceDirect, and Google Scholar journal papers published from 1983 to March 2017. Moringa species are well-known for their antioxidant, anti-inflammatory, anticancer, and antihyperglycemic activities. Most of their biological activity is caused by their high content of flavonoids, glucosides, and glucosinolates. By documenting the traditional uses and biological activities of Moringa species, we hope to support new research on these plants, especially on those species whose biological properties have not been studied to date.","author":[{"dropping-particle":"","family":"Rani","given":"Nur Zahirah Abd","non-dropping-particle":"","parse-names":false,"suffix":""},{"dropping-particle":"","family":"Husain","given":"Khairana","non-dropping-particle":"","parse-names":false,"suffix":""},{"dropping-particle":"","family":"Kumolosasi","given":"Endang","non-dropping-particle":"","parse-names":false,"suffix":""}],"container-title":"Frontiers in Pharmacology","id":"ITEM-1","issued":{"date-parts":[["2018"]]},"title":"Moringa genus: A review of phytochemistry and pharmacology","type":"article"},"uris":["http://www.mendeley.com/documents/?uuid=4466fa35-dbde-4db5-a429-8127872a2d94"]}],"mendeley":{"formattedCitation":"[3]","plainTextFormattedCitation":"[3]","previouslyFormattedCitation":"[3]"},"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[3]</w:t>
      </w:r>
      <w:r w:rsidR="00DB1E60" w:rsidRPr="00C510D7">
        <w:rPr>
          <w:rFonts w:ascii="Times New Roman" w:hAnsi="Times New Roman"/>
          <w:sz w:val="20"/>
          <w:szCs w:val="20"/>
        </w:rPr>
        <w:fldChar w:fldCharType="end"/>
      </w:r>
      <w:r w:rsidRPr="00C510D7">
        <w:rPr>
          <w:rFonts w:ascii="Times New Roman" w:hAnsi="Times New Roman"/>
          <w:sz w:val="20"/>
          <w:szCs w:val="20"/>
        </w:rPr>
        <w:t xml:space="preserve">. </w:t>
      </w:r>
      <w:r w:rsidRPr="00C510D7">
        <w:rPr>
          <w:rFonts w:ascii="Times New Roman" w:hAnsi="Times New Roman"/>
          <w:i/>
          <w:sz w:val="20"/>
          <w:szCs w:val="20"/>
        </w:rPr>
        <w:t>Moringa oleifera</w:t>
      </w:r>
      <w:r w:rsidRPr="00C510D7">
        <w:rPr>
          <w:rFonts w:ascii="Times New Roman" w:hAnsi="Times New Roman"/>
          <w:sz w:val="20"/>
          <w:szCs w:val="20"/>
        </w:rPr>
        <w:t xml:space="preserve"> has been used as a source of medicine to treat different diseases and ailments including wound healing, hypertension, diabetes, obesity and cancer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{"citationItems":[{"id":"ITEM-1","itemData":{"DOI":"10.3390/ijms160818923","ISSN":"14220067","abstract":"Moringa oleifera is a plant that grows in tropical and subtropical areas of the world. Its leaves are rich of nutrients and bioactive compounds. However, several differences are reported in the literature. In this article we performed a nutritional characterization and a phenolic profiling of M. oleifera leaves grown in Chad, Sahrawi refugee camps, and Haiti. In addition, we investigated the presence of salicylic and ferulic acids, two phenolic acids with pharmacological activity, whose presence in M. oleifera leaves has been scarcely investigated so far. Several differences were observed among the samples. Nevertheless, the leaves were rich in protein, minerals, and β-carotene. Quercetin and kaempferol glycosides were the main phenolic compounds identified in the methanolic extracts. Finally, salicylic and ferulic acids were found in a concentration range of 0.14–0.33 and 6.61–9.69 mg/100 g, respectively. In conclusion, we observed some differences in terms of nutrients and phenolic compounds in M. oleifera leaves grown in different countries. Nevertheless, these leaves are a good and economical source of nutrients for tropical and sub-tropical countries. Furthermore, M. oleifera leaves are a source of flavonoids and phenolic acids, among which salicylic and ferulic acids, and therefore they could be used as nutraceutical and functional ingredients.","author":[{"dropping-particle":"","family":"Leone","given":"Alessandro","non-dropping-particle":"","parse-names":false,"suffix":""},{"dropping-particle":"","family":"Fiorillo","given":"Giovanni","non-dropping-particle":"","parse-names":false,"suffix":""},{"dropping-particle":"","family":"Criscuoli","given":"Franca","non-dropping-particle":"","parse-names":false,"suffix":""},{"dropping-particle":"","family":"Ravasenghi","given":"Stefano","non-dropping-particle":"","parse-names":false,"suffix":""},{"dropping-particle":"","family":"Santagostini","given":"Laura","non-dropping-particle":"","parse-names":false,"suffix":""},{"dropping-particle":"","family":"Fico","given":"Gelsomina","non-dropping-particle":"","parse-names":false,"suffix":""},{"dropping-particle":"","family":"Spadafranca","given":"Angela","non-dropping-particle":"","parse-names":false,"suffix":""},{"dropping-particle":"","family":"Battezzati","given":"Alberto","non-dropping-particle":"","parse-names":false,"suffix":""},{"dropping-particle":"","family":"Schiraldi","given":"Alberto","non-dropping-particle":"","parse-names":false,"suffix":""},{"dropping-particle":"","family":"Pozzi","given":"Federica","non-dropping-particle":"","parse-names":false,"suffix":""},{"dropping-particle":"","family":"Lello","given":"Sara","non-dropping-particle":"Di","parse-names":false,"suffix":""},{"dropping-particle":"","family":"Filippini","given":"Sandro","non-dropping-particle":"","parse-names":false,"suffix":""},{"dropping-particle":"","family":"Bertoli","given":"Simona","non-dropping-particle":"","parse-names":false,"suffix":""}],"container-title":"International Journal of Molecular Sciences","id":"ITEM-1","issue":"8","issued":{"date-parts":[["2015"]]},"page":"18923-18937","title":"Nutritional characterization and phenolic profiling of moringa oleifera leaves grown in chad, sahrawi refugee camps, and Haiti","type":"article-journal","volume":"16"},"uris":["http://www.mendeley.com/documents/?uuid=ade53191-8f9e-4fc3-b1f9-afba2a307665","http://www.mendeley.com/documents/?uuid=43297882-e68d-4de1-a9c6-74e38782349e"]}],"mendeley":{"formattedCitation":"[4]","plainTextFormattedCitation":"[4]","previouslyFormattedCitation":"[4]"},"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[4]</w:t>
      </w:r>
      <w:r w:rsidR="00DB1E60" w:rsidRPr="00C510D7">
        <w:rPr>
          <w:rFonts w:ascii="Times New Roman" w:hAnsi="Times New Roman"/>
          <w:sz w:val="20"/>
          <w:szCs w:val="20"/>
        </w:rPr>
        <w:fldChar w:fldCharType="end"/>
      </w:r>
      <w:r w:rsidRPr="00C510D7">
        <w:rPr>
          <w:rFonts w:ascii="Times New Roman" w:hAnsi="Times New Roman"/>
          <w:sz w:val="20"/>
          <w:szCs w:val="20"/>
        </w:rPr>
        <w:t xml:space="preserve">. However, the chemical composition of </w:t>
      </w:r>
      <w:r w:rsidR="00D87A99">
        <w:rPr>
          <w:rFonts w:ascii="Times New Roman" w:hAnsi="Times New Roman"/>
          <w:sz w:val="20"/>
          <w:szCs w:val="20"/>
        </w:rPr>
        <w:t xml:space="preserve"> </w:t>
      </w:r>
      <w:r w:rsidRPr="00C510D7">
        <w:rPr>
          <w:rFonts w:ascii="Times New Roman" w:hAnsi="Times New Roman"/>
          <w:i/>
          <w:sz w:val="20"/>
          <w:szCs w:val="20"/>
        </w:rPr>
        <w:t>M. oleifera</w:t>
      </w:r>
      <w:r w:rsidRPr="00C510D7">
        <w:rPr>
          <w:rFonts w:ascii="Times New Roman" w:hAnsi="Times New Roman"/>
          <w:sz w:val="20"/>
          <w:szCs w:val="20"/>
        </w:rPr>
        <w:t xml:space="preserve"> vary greatly since it has varieties and an extensive distribution. Different chemical composition may lead to significant </w:t>
      </w:r>
      <w:r w:rsidRPr="00C510D7">
        <w:rPr>
          <w:rFonts w:ascii="Times New Roman" w:hAnsi="Times New Roman"/>
          <w:sz w:val="20"/>
          <w:szCs w:val="20"/>
        </w:rPr>
        <w:lastRenderedPageBreak/>
        <w:t xml:space="preserve">differences in the effectiveness of the health problems and the safety related to intake. Additionally, only few extracts were evaluated for their chemical constituents and mechanism-based pharmacological activities. </w:t>
      </w:r>
    </w:p>
    <w:p w:rsidR="00EF3780" w:rsidRPr="00C510D7"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sidRPr="00C510D7">
        <w:rPr>
          <w:rFonts w:ascii="Times New Roman" w:hAnsi="Times New Roman"/>
          <w:sz w:val="20"/>
          <w:szCs w:val="20"/>
        </w:rPr>
        <w:t xml:space="preserve">In order to profit from the beneficial therapeutic properties of </w:t>
      </w:r>
      <w:r w:rsidRPr="00C510D7">
        <w:rPr>
          <w:rFonts w:ascii="Times New Roman" w:hAnsi="Times New Roman"/>
          <w:i/>
          <w:sz w:val="20"/>
          <w:szCs w:val="20"/>
        </w:rPr>
        <w:t>M. oleifera</w:t>
      </w:r>
      <w:r w:rsidRPr="00C510D7">
        <w:rPr>
          <w:rFonts w:ascii="Times New Roman" w:hAnsi="Times New Roman"/>
          <w:sz w:val="20"/>
          <w:szCs w:val="20"/>
        </w:rPr>
        <w:t xml:space="preserve">, Mexican markets are full of various medicinal, dietary, and cosmetic preparations, available to the public. Most of these </w:t>
      </w:r>
      <w:r w:rsidRPr="00C510D7">
        <w:rPr>
          <w:rFonts w:ascii="Times New Roman" w:hAnsi="Times New Roman"/>
          <w:i/>
          <w:sz w:val="20"/>
          <w:szCs w:val="20"/>
        </w:rPr>
        <w:t>M. oleifera</w:t>
      </w:r>
      <w:r w:rsidRPr="00C510D7">
        <w:rPr>
          <w:rFonts w:ascii="Times New Roman" w:hAnsi="Times New Roman"/>
          <w:sz w:val="20"/>
          <w:szCs w:val="20"/>
        </w:rPr>
        <w:t xml:space="preserve"> based products are available in our country as capsules or tea for daily drinking that contain simple powdered leaves. Moreover, there is a huge demand for pharmaceutical, cosmetic, and food products in local and global markets, which create a cutthroat competition between suppliers and manufacturers. However, manufacturers sometimes do not follow the right way to achieve the quality products and some do not have quality control facilities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{"citationItems":[{"id":"ITEM-1","itemData":{"ISSN":"924151390X","author":[{"dropping-particle":"","family":"Organization","given":"World Health","non-dropping-particle":"","parse-names":false,"suffix":""}],"id":"ITEM-1","issued":{"date-parts":[["2018"]]},"publisher":"World Health Organization","title":"Delivering quality health services: a global imperative for universal health coverage","type":"article-journal"},"uris":["http://www.mendeley.com/documents/?uuid=940f2457-2600-4927-bc39-1e5185e4e08e"]},{"id":"ITEM-2","itemData":{"ISSN":"0114-5916","author":[{"dropping-particle":"","family":"Srirama","given":"Ramanujam","non-dropping-particle":"","parse-names":false,"suffix":""},{"dropping-particle":"","family":"Kumar","given":"J U Santhosh","non-dropping-particle":"","parse-names":false,"suffix":""},{"dropping-particle":"","family":"Seethapathy","given":"G S","non-dropping-particle":"","parse-names":false,"suffix":""},{"dropping-particle":"","family":"Newmaster","given":"Steven G","non-dropping-particle":"","parse-names":false,"suffix":""},{"dropping-particle":"","family":"Ragupathy","given":"S","non-dropping-particle":"","parse-names":false,"suffix":""},{"dropping-particle":"","family":"Ganeshaiah","given":"K N","non-dropping-particle":"","parse-names":false,"suffix":""},{"dropping-particle":"","family":"Shaanker","given":"R Uma","non-dropping-particle":"","parse-names":false,"suffix":""},{"dropping-particle":"","family":"Ravikanth","given":"Gudasalamani","non-dropping-particle":"","parse-names":false,"suffix":""}],"container-title":"Drug safety","id":"ITEM-2","issue":"8","issued":{"date-parts":[["2017"]]},"page":"651-661","publisher":"Springer","title":"Species adulteration in the herbal trade: causes, consequences and mitigation","type":"article-journal","volume":"40"},"uris":["http://www.mendeley.com/documents/?uuid=3a72eea5-299c-4719-b4c0-2fab27497f2f"]}],"mendeley":{"formattedCitation":"[5,6]","plainTextFormattedCitation":"[5,6]","previouslyFormattedCitation":"[5,6]"},"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[5, 6]</w:t>
      </w:r>
      <w:r w:rsidR="00DB1E60" w:rsidRPr="00C510D7">
        <w:rPr>
          <w:rFonts w:ascii="Times New Roman" w:hAnsi="Times New Roman"/>
          <w:sz w:val="20"/>
          <w:szCs w:val="20"/>
        </w:rPr>
        <w:fldChar w:fldCharType="end"/>
      </w:r>
      <w:r w:rsidRPr="00C510D7">
        <w:rPr>
          <w:rFonts w:ascii="Times New Roman" w:hAnsi="Times New Roman"/>
          <w:sz w:val="20"/>
          <w:szCs w:val="20"/>
        </w:rPr>
        <w:t>.</w:t>
      </w:r>
      <w:r w:rsidR="002359BD">
        <w:rPr>
          <w:rFonts w:ascii="Times New Roman" w:hAnsi="Times New Roman"/>
          <w:sz w:val="20"/>
          <w:szCs w:val="20"/>
        </w:rPr>
        <w:t xml:space="preserve"> </w:t>
      </w:r>
      <w:r w:rsidRPr="00C510D7">
        <w:rPr>
          <w:rFonts w:ascii="Times New Roman" w:hAnsi="Times New Roman"/>
          <w:sz w:val="20"/>
          <w:szCs w:val="20"/>
        </w:rPr>
        <w:t xml:space="preserve">The proportion of adulterated herbal products varies significantly among continents, higher in Australia (79%) and South America (67%), lower in Europe (47%), North America (33%), Africa (27%) and Asia (23%)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{"citationItems":[{"id":"ITEM-1","itemData":{"ISSN":"1663-9812","author":[{"dropping-particle":"","family":"Ichim","given":"Mihael Cristin","non-dropping-particle":"","parse-names":false,"suffix":""}],"container-title":"Frontiers in pharmacology","id":"ITEM-1","issued":{"date-parts":[["2019"]]},"page":"1227","publisher":"Frontiers","title":"The DNA-based Authentication of Commercial Herbal Products Reveals their Globally Widespread Adulteration","type":"article-journal","volume":"10"},"uris":["http://www.mendeley.com/documents/?uuid=9b3588c1-f841-453a-b55f-ae34bc680641"]}],"mendeley":{"formattedCitation":"[7]","plainTextFormattedCitation":"[7]","previouslyFormattedCitation":"[7]"},"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[7]</w:t>
      </w:r>
      <w:r w:rsidR="00DB1E60" w:rsidRPr="00C510D7">
        <w:rPr>
          <w:rFonts w:ascii="Times New Roman" w:hAnsi="Times New Roman"/>
          <w:sz w:val="20"/>
          <w:szCs w:val="20"/>
        </w:rPr>
        <w:fldChar w:fldCharType="end"/>
      </w:r>
      <w:r w:rsidRPr="00C510D7">
        <w:rPr>
          <w:rFonts w:ascii="Times New Roman" w:hAnsi="Times New Roman"/>
          <w:sz w:val="20"/>
          <w:szCs w:val="20"/>
        </w:rPr>
        <w:t xml:space="preserve">. However, adulteration is not necessarily intentional and herbal products may be altered due to accidental adulteration, </w:t>
      </w:r>
      <w:r w:rsidR="005F4B75">
        <w:rPr>
          <w:rFonts w:ascii="Times New Roman" w:hAnsi="Times New Roman"/>
          <w:sz w:val="20"/>
          <w:szCs w:val="20"/>
        </w:rPr>
        <w:t xml:space="preserve"> </w:t>
      </w:r>
      <w:r w:rsidRPr="00C510D7">
        <w:rPr>
          <w:rFonts w:ascii="Times New Roman" w:hAnsi="Times New Roman"/>
          <w:sz w:val="20"/>
          <w:szCs w:val="20"/>
        </w:rPr>
        <w:t>mis</w:t>
      </w:r>
      <w:r w:rsidR="005F4B75">
        <w:rPr>
          <w:rFonts w:ascii="Times New Roman" w:hAnsi="Times New Roman"/>
          <w:sz w:val="20"/>
          <w:szCs w:val="20"/>
        </w:rPr>
        <w:t>i</w:t>
      </w:r>
      <w:r w:rsidRPr="00C510D7">
        <w:rPr>
          <w:rFonts w:ascii="Times New Roman" w:hAnsi="Times New Roman"/>
          <w:sz w:val="20"/>
          <w:szCs w:val="20"/>
        </w:rPr>
        <w:t xml:space="preserve">dentification </w:t>
      </w:r>
      <w:r w:rsidR="000E07DE">
        <w:rPr>
          <w:rFonts w:ascii="Times New Roman" w:hAnsi="Times New Roman"/>
          <w:sz w:val="20"/>
          <w:szCs w:val="20"/>
        </w:rPr>
        <w:t xml:space="preserve"> </w:t>
      </w:r>
      <w:r w:rsidRPr="00C510D7">
        <w:rPr>
          <w:rFonts w:ascii="Times New Roman" w:hAnsi="Times New Roman"/>
          <w:sz w:val="20"/>
          <w:szCs w:val="20"/>
        </w:rPr>
        <w:t xml:space="preserve">and confusion resulting from vernacular names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{"citationItems":[{"id":"ITEM-1","itemData":{"ISSN":"2045-2322","author":[{"dropping-particle":"","family":"Saslis-Lagoudakis","given":"C Haris","non-dropping-particle":"","parse-names":false,"suffix":""},{"dropping-particle":"","family":"Bruun-Lund","given":"Sam","non-dropping-particle":"","parse-names":false,"suffix":""},{"dropping-particle":"","family":"Iwanycki","given":"Natalie E","non-dropping-particle":"","parse-names":false,"suffix":""},{"dropping-particle":"","family":"Seberg","given":"Ole","non-dropping-particle":"","parse-names":false,"suffix":""},{"dropping-particle":"","family":"Petersen","given":"Gitte","non-dropping-particle":"","parse-names":false,"suffix":""},{"dropping-particle":"","family":"Jäger","given":"Anna K","non-dropping-particle":"","parse-names":false,"suffix":""},{"dropping-particle":"","family":"Rønsted","given":"Nina","non-dropping-particle":"","parse-names":false,"suffix":""}],"container-title":"Scientific reports","id":"ITEM-1","issued":{"date-parts":[["2015"]]},"page":"11942","publisher":"Nature Publishing Group","title":"Identification of common horsetail (Equisetum arvense L.; Equisetaceae) using thin layer chromatography versus DNA barcoding","type":"article-journal","volume":"5"},"uris":["http://www.mendeley.com/documents/?uuid=b83d8a8f-2425-40b5-8f2b-f95931c81c82"]},{"id":"ITEM-2","itemData":{"ISSN":"0114-5916","author":[{"dropping-particle":"","family":"Farah","given":"Mohamed H","non-dropping-particle":"","parse-names":false,"suffix":""},{"dropping-particle":"","family":"Olsson","given":"Sten","non-dropping-particle":"","parse-names":false,"suffix":""},{"dropping-particle":"","family":"Bate","given":"Jenny","non-dropping-particle":"","parse-names":false,"suffix":""},{"dropping-particle":"","family":"Lindquist","given":"Marie","non-dropping-particle":"","parse-names":false,"suffix":""},{"dropping-particle":"","family":"Edwards","given":"Ralph","non-dropping-particle":"","parse-names":false,"suffix":""},{"dropping-particle":"","family":"Simmonds","given":"Monique S J","non-dropping-particle":"","parse-names":false,"suffix":""},{"dropping-particle":"","family":"Leon","given":"Christine","non-dropping-particle":"","parse-names":false,"suffix":""},{"dropping-particle":"","family":"Boer","given":"Hugo J","non-dropping-particle":"de","parse-names":false,"suffix":""},{"dropping-particle":"","family":"Thulin","given":"Mats","non-dropping-particle":"","parse-names":false,"suffix":""}],"container-title":"Drug safety","id":"ITEM-2","issue":"11","issued":{"date-parts":[["2006"]]},"page":"1023-1029","publisher":"Springer","title":"Botanical nomenclature in pharmacovigilance and a recommendation for standardisation","type":"article-journal","volume":"29"},"uris":["http://www.mendeley.com/documents/?uuid=544e6fe0-0d95-44b2-9c0b-3e0b208c0cf5"]}],"mendeley":{"formattedCitation":"[8,9]","plainTextFormattedCitation":"[8,9]","previouslyFormattedCitation":"[8,9]"},"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[8, 9]</w:t>
      </w:r>
      <w:r w:rsidR="00DB1E60" w:rsidRPr="00C510D7">
        <w:rPr>
          <w:rFonts w:ascii="Times New Roman" w:hAnsi="Times New Roman"/>
          <w:sz w:val="20"/>
          <w:szCs w:val="20"/>
        </w:rPr>
        <w:fldChar w:fldCharType="end"/>
      </w:r>
      <w:r w:rsidRPr="00C510D7">
        <w:rPr>
          <w:rFonts w:ascii="Times New Roman" w:hAnsi="Times New Roman"/>
          <w:sz w:val="20"/>
          <w:szCs w:val="20"/>
        </w:rPr>
        <w:t>.</w:t>
      </w:r>
    </w:p>
    <w:p w:rsidR="00EF3780" w:rsidRPr="00C510D7"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sectPr w:rsidR="00EF3780" w:rsidSect="00255A61">
          <w:type w:val="continuous"/>
          <w:pgSz w:w="12240" w:h="15840" w:code="1"/>
          <w:pgMar w:top="1800" w:right="1469" w:bottom="1699" w:left="1440" w:header="706" w:footer="706" w:gutter="0"/>
          <w:pgNumType w:start="448"/>
          <w:cols w:num="2" w:space="403"/>
          <w:docGrid w:linePitch="360"/>
        </w:sectPr>
      </w:pPr>
      <w:r w:rsidRPr="00C510D7">
        <w:rPr>
          <w:rFonts w:ascii="Times New Roman" w:hAnsi="Times New Roman"/>
          <w:i/>
          <w:sz w:val="20"/>
          <w:szCs w:val="20"/>
        </w:rPr>
        <w:t xml:space="preserve">Moringa oleifera </w:t>
      </w:r>
      <w:r w:rsidRPr="00C510D7">
        <w:rPr>
          <w:rFonts w:ascii="Times New Roman" w:hAnsi="Times New Roman"/>
          <w:sz w:val="20"/>
          <w:szCs w:val="20"/>
        </w:rPr>
        <w:t xml:space="preserve">contains a range of polyphenolic compounds that are especially abundant in leaves. These contribute to its high antioxidant activity. Therefore, an evaluation of the diversity of antioxidant </w:t>
      </w:r>
    </w:p>
    <w:p w:rsidR="008B4302" w:rsidRDefault="008B4302" w:rsidP="008B4302">
      <w:pPr>
        <w:spacing w:after="0"/>
        <w:jc w:val="both"/>
        <w:rPr>
          <w:rFonts w:ascii="Times New Roman" w:hAnsi="Times New Roman"/>
          <w:sz w:val="20"/>
          <w:szCs w:val="20"/>
        </w:rPr>
      </w:pPr>
      <w:r w:rsidRPr="00C510D7">
        <w:rPr>
          <w:rFonts w:ascii="Times New Roman" w:hAnsi="Times New Roman"/>
          <w:sz w:val="20"/>
          <w:szCs w:val="20"/>
        </w:rPr>
        <w:lastRenderedPageBreak/>
        <w:t xml:space="preserve">compounds from different sources is desirable to ensure the quality of </w:t>
      </w:r>
      <w:r w:rsidRPr="00C510D7">
        <w:rPr>
          <w:rFonts w:ascii="Times New Roman" w:hAnsi="Times New Roman"/>
          <w:i/>
          <w:sz w:val="20"/>
          <w:szCs w:val="20"/>
        </w:rPr>
        <w:t>M. oleifera</w:t>
      </w:r>
      <w:r w:rsidRPr="00C510D7">
        <w:rPr>
          <w:rFonts w:ascii="Times New Roman" w:hAnsi="Times New Roman"/>
          <w:sz w:val="20"/>
          <w:szCs w:val="20"/>
        </w:rPr>
        <w:t xml:space="preserve"> and its derived edible products. Therefore, interest in the antioxidant activity of </w:t>
      </w:r>
      <w:r w:rsidRPr="00C510D7">
        <w:rPr>
          <w:rFonts w:ascii="Times New Roman" w:hAnsi="Times New Roman"/>
          <w:i/>
          <w:sz w:val="20"/>
          <w:szCs w:val="20"/>
        </w:rPr>
        <w:t>M. oleifera</w:t>
      </w:r>
      <w:r w:rsidRPr="00C510D7">
        <w:rPr>
          <w:rFonts w:ascii="Times New Roman" w:hAnsi="Times New Roman"/>
          <w:sz w:val="20"/>
          <w:szCs w:val="20"/>
        </w:rPr>
        <w:t xml:space="preserve"> leaves is growing. Several investigations have shown that </w:t>
      </w:r>
      <w:r w:rsidRPr="00C510D7">
        <w:rPr>
          <w:rFonts w:ascii="Times New Roman" w:hAnsi="Times New Roman"/>
          <w:i/>
          <w:sz w:val="20"/>
          <w:szCs w:val="20"/>
        </w:rPr>
        <w:t>M. oleifera</w:t>
      </w:r>
      <w:r w:rsidRPr="00C510D7">
        <w:rPr>
          <w:rFonts w:ascii="Times New Roman" w:hAnsi="Times New Roman"/>
          <w:sz w:val="20"/>
          <w:szCs w:val="20"/>
        </w:rPr>
        <w:t xml:space="preserve"> contains strong antioxidant capacity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{"citationItems":[{"id":"ITEM-1","itemData":{"DOI":"10.3390/plants6040048","ISSN":"22237747","abstract":"Moringa oleifera trees grow well in Jamaica and their parts are popularly used locally for various purposes and ailments. Antioxidant activities in Moringa oleifera samples from different parts of the world have different ranges. This study was initiated to determine the antioxidant activity of Moringa oleifera grown in Jamaica. Dried and milled Moringa oleifera leaves were extracted with ethanol/water (4:1) followed by a series of liquid-liquid extractions. The antioxidant capacities of all fractions were tested using a 2,2-diphenyl-1-picrylhydrazyl (DPPH) assay. IC50 values (the amount of antioxidant needed to reduce 50% of DPPH) were then determined and values for the extracts ranged from 177 to 4458 µg/mL. Extracts prepared using polar solvents had significantly higher antioxidant capacities than others and may have clinical applications in any disease characterized by a chronic state of oxidative stress, such as sickle cell anemia. Further work will involve the assessment of these extracts in a sickle cell model of oxidative stress.","author":[{"dropping-particle":"","family":"Wright","given":"Racquel J.","non-dropping-particle":"","parse-names":false,"suffix":""},{"dropping-particle":"","family":"Lee","given":"Ken S.","non-dropping-particle":"","parse-names":false,"suffix":""},{"dropping-particle":"","family":"Hyacinth","given":"Hyacinth I.","non-dropping-particle":"","parse-names":false,"suffix":""},{"dropping-particle":"","family":"Hibbert","given":"Jacqueline M.","non-dropping-particle":"","parse-names":false,"suffix":""},{"dropping-particle":"","family":"Reid","given":"Marvin E.","non-dropping-particle":"","parse-names":false,"suffix":""},{"dropping-particle":"","family":"Wheatley","given":"Andrew O.","non-dropping-particle":"","parse-names":false,"suffix":""},{"dropping-particle":"","family":"Asemota","given":"Helen N.","non-dropping-particle":"","parse-names":false,"suffix":""}],"container-title":"Plants","id":"ITEM-1","issue":"4","issued":{"date-parts":[["2017"]]},"title":"An investigation of the antioxidant capacity in extracts from Moringa oleifera plants grown in Jamaica","type":"article-journal","volume":"6"},"uris":["http://www.mendeley.com/documents/?uuid=e4d22eac-f1d8-45fa-8ffa-68627f6c322c"]},{"id":"ITEM-2","itemData":{"DOI":"10.1055/s-0035-1546168","ISSN":"14390221","abstract":"The leaves of Moringa oleifera, collected in different provinces in Thailand, were determined for the contents of total phenolics, total flavonoids, major components, and antioxidant activity. The extract and its major active components were investigated for the inhibition of H2O2-induced reactive oxygen species production and the effects on antioxidant enzymes mRNA expression. The extract, crypto-chlorogenic acid, isoquercetin and astragalin, significantly reduced the reactive oxygen species production inducing by H2O2 in HEK-293 cells. Treatment with isoquercetin significantly increased the mRNA expression levels of antioxidant enzymes such as superoxide dismutase, catalase and heme oxygenase 1. These results confirm that M. oleifera leaves are good sources of natural antioxidant with isoquercetin as an active compound.","author":[{"dropping-particle":"","family":"Vongsak","given":"Boonyadist","non-dropping-particle":"","parse-names":false,"suffix":""},{"dropping-particle":"","family":"Mangmool","given":"Supachoke","non-dropping-particle":"","parse-names":false,"suffix":""},{"dropping-particle":"","family":"Gritsanapan","given":"Wandee","non-dropping-particle":"","parse-names":false,"suffix":""}],"container-title":"Planta Medica","id":"ITEM-2","issue":"12-13","issued":{"date-parts":[["2015"]]},"page":"1084-1089","title":"Antioxidant Activity and Induction of mRNA Expressions of Antioxidant Enzymes in HEK-293 Cells of Moringa oleifera Leaf Extract","type":"article-journal","volume":"81"},"uris":["http://www.mendeley.com/documents/?uuid=9cf54c99-9fb1-4ecf-849a-e757c73a7bfd"]},{"id":"ITEM-3","itemData":{"DOI":"10.1007/s11130-009-0141-0","ISSN":"09219668","abstract":"Antioxidants play an important role in inhibiting and scavenging free radicals, thus providing protection to human against infections and degenerative diseases. Current research is now directed towards natural antioxidants originated from plants due to safe therapeutics. Moringa oleifera is used in Indian traditional medicine for a wide range of various ailments. To understand the mechanism of pharmacological actions, antioxidant properties of the Moringa oleifera leaf extracts were tested in two stages of maturity using standard in vitro models. The successive aqueous extract of Moringa oleifera exhibited strong scavenging effect on 2, 2-diphenyl-2-picryl hydrazyl (DPPH) free radical, superoxide, nitric oxide radical and inhibition of lipid per oxidation. The free radical scavenging effect of Moringa oleifera leaf extract was comparable with that of the reference antioxidants. The data obtained in the present study suggests that the extracts of Moringa oleifera both mature and tender leaves have potent antioxidant activity against free radicals, prevent oxidative damage to major biomolecules and afford significant protection against oxidative damage. © Springer Science + Business Media, LLC 2009.","author":[{"dropping-particle":"","family":"Sreelatha","given":"S.","non-dropping-particle":"","parse-names":false,"suffix":""},{"dropping-particle":"","family":"Padma","given":"P. R.","non-dropping-particle":"","parse-names":false,"suffix":""}],"container-title":"Plant Foods for Human Nutrition","id":"ITEM-3","issue":"4","issued":{"date-parts":[["2009"]]},"page":"303-311","title":"Antioxidant activity and total phenolic content of Moringa oleifera leaves in two stages of maturity","type":"article-journal","volume":"64"},"uris":["http://www.mendeley.com/documents/?uuid=56670a18-baa5-497f-9b1f-0ef43e7afb7d"]}],"mendeley":{"formattedCitation":"[10–12]","plainTextFormattedCitation":"[10–12]","previouslyFormattedCitation":"[10–12]"},"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[10-12]</w:t>
      </w:r>
      <w:r w:rsidR="00DB1E60" w:rsidRPr="00C510D7">
        <w:rPr>
          <w:rFonts w:ascii="Times New Roman" w:hAnsi="Times New Roman"/>
          <w:sz w:val="20"/>
          <w:szCs w:val="20"/>
        </w:rPr>
        <w:fldChar w:fldCharType="end"/>
      </w:r>
      <w:r w:rsidRPr="00C510D7">
        <w:rPr>
          <w:rFonts w:ascii="Times New Roman" w:hAnsi="Times New Roman"/>
          <w:sz w:val="20"/>
          <w:szCs w:val="20"/>
        </w:rPr>
        <w:t xml:space="preserve">. Antioxidants play an important role in inhibiting and scavenging free radicals, thus providing protection to humans against infections and degenerative diseases. Various antioxidant compounds were reported in leaves extract of </w:t>
      </w:r>
      <w:r w:rsidRPr="00C510D7">
        <w:rPr>
          <w:rFonts w:ascii="Times New Roman" w:hAnsi="Times New Roman"/>
          <w:i/>
          <w:sz w:val="20"/>
          <w:szCs w:val="20"/>
        </w:rPr>
        <w:t>M. oleifera</w:t>
      </w:r>
      <w:r w:rsidRPr="00C510D7">
        <w:rPr>
          <w:rFonts w:ascii="Times New Roman" w:hAnsi="Times New Roman"/>
          <w:sz w:val="20"/>
          <w:szCs w:val="20"/>
        </w:rPr>
        <w:t xml:space="preserve"> as gallic acid, chlorogenic acid, kaempferol, quercetin, caffeic acid, luteolin, epicatechin, and others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{"citationItems":[{"id":"ITEM-1","itemData":{"DOI":"10.1016/j.foodres.2017.12.079","ISSN":"18737145","abstract":"Research on the use of various parts of the Moringa oleifera Lam. plant (M. oleifera) as a nutritional and neutraceutical resource for human and animal diets has increased in recent years, emanating from the widespread use of the plant in traditional cuisines and medicinal remedies in several regions of the world. Analytical studies have identified M. oleifera as an important source of essential nutrients; rich in protein, essential amino acids, minerals, and vitamins, with a relatively low amount of antinutrients. It is also a rich source of other bio active compounds including flavonoids and phenolic compounds; with several studies detailing demonstrated in vitro and in vivo functional properties, most substantially, antioxidant activities. Moringa oleifera consumption has been reported to improve the health status, feed conversion efficiency, growth performance and product quality of several livestock species, at dietary inclusion rates generally not exceeding 5% of total dry matter intake. Fortification of processed foods with M. oleifera has been reported to increase nutritional value, some organoleptic properties, oxidative stability and product shelf life; with a notable need for further analytical and consumer studies in the development of these products. There is a paucity of literature detailing clinical studies, nutrient bioavailability, toxicity and the mode of action of the bioactive compounds to which the health claims associated with M. oleifera consumption are attributed. Many of these are not yet fully understood; therefore more research in these areas is required in order to fully utilize the potential benefits of this plant in human and livestock nutrition.","author":[{"dropping-particle":"","family":"Falowo","given":"Andrew B.","non-dropping-particle":"","parse-names":false,"suffix":""},{"dropping-particle":"","family":"Mukumbo","given":"Felicitas E.","non-dropping-particle":"","parse-names":false,"suffix":""},{"dropping-particle":"","family":"Idamokoro","given":"Emrobowansan M.","non-dropping-particle":"","parse-names":false,"suffix":""},{"dropping-particle":"","family":"Lorenzo","given":"José M.","non-dropping-particle":"","parse-names":false,"suffix":""},{"dropping-particle":"","family":"Afolayan","given":"Anthony J.","non-dropping-particle":"","parse-names":false,"suffix":""},{"dropping-particle":"","family":"Muchenje","given":"Voster","non-dropping-particle":"","parse-names":false,"suffix":""}],"container-title":"Food Research International","id":"ITEM-1","issued":{"date-parts":[["2018"]]},"page":"317-334","title":"Multi-functional application of Moringa oleifera Lam. in nutrition and animal food products: A review","type":"article","volume":"106"},"uris":["http://www.mendeley.com/documents/?uuid=f148a09d-7569-4ac1-b4e0-0755e061036c"]},{"id":"ITEM-2","itemData":{"DOI":"10.1155/2015/860381","ISSN":"20909071","abstract":"Moringa oleifera is a tree distributed in Mexican semiarid and coastal regions. M. oleifera is used in practice in the treatment of various diseases and is available without a medical prescription, often in the form of an herbal infusion for everyday use. The aim of the present study was to evaluate the chemical composition and nutritional values of dried M. oleifera leaf powder collected from two different regions in Mexico. All samples of M. oleifera exhibited moisture levels varying from 3.06 to 3.34%, lipids from 10.21 to 10.31%, fiber from 7.29 to 9.46%, ashes from 10.71 to 11.18%, crude protein from 10.74 to 11.48%, and carbohydrates from 54.61 to 57.61%. The predominant mineral elements in the leaf powder according to ICP-MS were Ca (2016.5-2620.5 mg/100 g), K (1817-1845 mg/100 g), and Mg (322.5-340.6 mg/100 g). The HPLC analysis indicated the presence of phenolic acids (gallic and chlorogenic acids) and flavonoids (rutin, luteolin, quercetin, apigenin, and kaempferol). We concluded that Lombardia M. oleifera samples could be employed in edible and commercial applications. Our results showed that the highest mean value of As from the San Pedro samples exceeds the recommended level and may constitute a health hazard to consumers.","author":[{"dropping-particle":"","family":"Valdez-Solana","given":"Mónica A.","non-dropping-particle":"","parse-names":false,"suffix":""},{"dropping-particle":"","family":"Mejía-García","given":"Verónica Y.","non-dropping-particle":"","parse-names":false,"suffix":""},{"dropping-particle":"","family":"Téllez-Valencia","given":"Alfredo","non-dropping-particle":"","parse-names":false,"suffix":""},{"dropping-particle":"","family":"García-Arenas","given":"Guadalupe","non-dropping-particle":"","parse-names":false,"suffix":""},{"dropping-particle":"","family":"Salas-Pacheco","given":"José","non-dropping-particle":"","parse-names":false,"suffix":""},{"dropping-particle":"","family":"Alba-Romero","given":"José J.","non-dropping-particle":"","parse-names":false,"suffix":""},{"dropping-particle":"","family":"Sierra-Campos","given":"Erick","non-dropping-particle":"","parse-names":false,"suffix":""}],"container-title":"Journal of Chemistry","id":"ITEM-2","issued":{"date-parts":[["2015"]]},"title":"Nutritional content and elemental and phytochemical analyses of moringa oleifera grown in Mexico","type":"article-journal","volume":"2015"},"uris":["http://www.mendeley.com/documents/?uuid=16e5c634-134b-46bb-b141-fe2c1e361346"]},{"id":"ITEM-3","itemData":{"DOI":"10.3390/foods8060185","ISSN":"2304-8158","abstract":"Ginger (Zingiber officinale Roscoe) is a common and widely used spice. It is rich in various chemical constituents, including phenolic compounds, terpenes, polysaccharides, lipids, organic acids, and raw fibers. The health benefits of ginger are mainly attributed to its phenolic compounds, such as gingerols and shogaols. Accumulated investigations have demonstrated that ginger possesses multiple biological activities, including antioxidant, anti-inflammatory, antimicrobial, anticancer, neuroprotective, cardiovascular protective, respiratory protective, antiobesity, antidiabetic, antinausea, and antiemetic activities. In this review, we summarize current knowledge about the bioactive compounds and bioactivities of ginger, and the mechanisms of action are also discussed. We hope that this updated review paper will attract more attention to ginger and its further applications, including its potential to be developed into functional foods or nutraceuticals for the prevention and management of chronic diseases.","author":[{"dropping-particle":"","family":"Mao","given":"Qian-Qian","non-dropping-particle":"","parse-names":false,"suffix":""},{"dropping-particle":"","family":"Xu","given":"Xiao-Yu","non-dropping-particle":"","parse-names":false,"suffix":""},{"dropping-particle":"","family":"Cao","given":"Shi-Yu","non-dropping-particle":"","parse-names":false,"suffix":""},{"dropping-particle":"","family":"Gan","given":"Ren-You","non-dropping-particle":"","parse-names":false,"suffix":""},{"dropping-particle":"","family":"Corke","given":"Harold","non-dropping-particle":"","parse-names":false,"suffix":""},{"dropping-particle":"","family":"Beta","given":"Trust","non-dropping-particle":"","parse-names":false,"suffix":""},{"dropping-particle":"","family":"Li","given":"Hua-Bin","non-dropping-particle":"","parse-names":false,"suffix":""}],"container-title":"Foods","id":"ITEM-3","issue":"6","issued":{"date-parts":[["2019"]]},"page":"185","title":"Bioactive Compounds and Bioactivities of Ginger (Zingiber officinale Roscoe)","type":"article-journal","volume":"8"},"uris":["http://www.mendeley.com/documents/?uuid=3524abc6-9c0d-4028-baf3-9c49c1cc80f8"]}],"mendeley":{"formattedCitation":"[13–15]","plainTextFormattedCitation":"[13–15]","previouslyFormattedCitation":"[13–15]"},"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[13-15]</w:t>
      </w:r>
      <w:r w:rsidR="00DB1E60" w:rsidRPr="00C510D7">
        <w:rPr>
          <w:rFonts w:ascii="Times New Roman" w:hAnsi="Times New Roman"/>
          <w:sz w:val="20"/>
          <w:szCs w:val="20"/>
        </w:rPr>
        <w:fldChar w:fldCharType="end"/>
      </w:r>
      <w:r w:rsidRPr="00C510D7">
        <w:rPr>
          <w:rFonts w:ascii="Times New Roman" w:hAnsi="Times New Roman"/>
          <w:sz w:val="20"/>
          <w:szCs w:val="20"/>
        </w:rPr>
        <w:t>. However, it is unknown which is the most important in the antioxidant activity.</w:t>
      </w:r>
    </w:p>
    <w:p w:rsidR="00EF3780" w:rsidRPr="00C510D7" w:rsidRDefault="00EF3780" w:rsidP="008B4302">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sidRPr="00C510D7">
        <w:rPr>
          <w:rFonts w:ascii="Times New Roman" w:hAnsi="Times New Roman"/>
          <w:sz w:val="20"/>
          <w:szCs w:val="20"/>
        </w:rPr>
        <w:t xml:space="preserve">The fingerprinting approach has been recently recognized and accepted for quality assessment of traditional medicines. The thin layer chromatography (TLC) fingerprint profile is an important tool that serves as a guideline to the phytochemical profile of the antioxidant compounds in ensuring quality. It provides quantitative and semi-quantitative information of the resolved compounds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{"citationItems":[{"id":"ITEM-1","itemData":{"DOI":"10.1007/978-3-540-74603-4_19","abstract":"The recent global resurgence of interest in herbal medicines has led to an increase in the demand for them. Commercialization\\r\\nof the manufacture of these medicines to meet this increasing demand has resulted in a decline in their quality, primarily\\r\\ndue to a lack of adequate regulations pertaining to this sector of medicine. The need of the hour is to evolve a systematic\\r\\napproach and to develop well-designed methodologies for the standardization of herbal raw materials and herbal formulations.\\r\\nIn this chapter, various methods of phytochemical standardization, such as preliminary phytochemical screening, fingerprint\\r\\nprofiling, and quantification of marker compound(s) with reference to herbal raw materials and polyherbal formulations, are\\r\\ndiscussed in detail and suitable examples are given.","author":[{"dropping-particle":"","family":"Rajani","given":"M.","non-dropping-particle":"","parse-names":false,"suffix":""},{"dropping-particle":"","family":"Kanaki","given":"Niranjan S.","non-dropping-particle":"","parse-names":false,"suffix":""}],"container-title":"Bioactive Molecules and Medicinal Plants","id":"ITEM-1","issued":{"date-parts":[["2008"]]},"page":"349-369","title":"Phytochemical Standardization of Herbal Drugs and Polyherbal Formulations","type":"chapter"},"uris":["http://www.mendeley.com/documents/?uuid=a34255d4-fa83-4a7f-9520-bee1a735cccd","http://www.mendeley.com/documents/?uuid=f0874d08-69a5-4263-9431-c3d7afbcddf7"]}],"mendeley":{"formattedCitation":"[16]","plainTextFormattedCitation":"[16]","previouslyFormattedCitation":"[16]"},"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[16]</w:t>
      </w:r>
      <w:r w:rsidR="00DB1E60" w:rsidRPr="00C510D7">
        <w:rPr>
          <w:rFonts w:ascii="Times New Roman" w:hAnsi="Times New Roman"/>
          <w:sz w:val="20"/>
          <w:szCs w:val="20"/>
        </w:rPr>
        <w:fldChar w:fldCharType="end"/>
      </w:r>
      <w:r w:rsidRPr="00C510D7">
        <w:rPr>
          <w:rFonts w:ascii="Times New Roman" w:hAnsi="Times New Roman"/>
          <w:sz w:val="20"/>
          <w:szCs w:val="20"/>
        </w:rPr>
        <w:t xml:space="preserve">. The concept of phyto-equivalence was developed to ensure consistency of herbal products. According to this concept, a chemical profile, such as chromatographic fingerprinting, for herbal products, should be constructed and compared with the profile of a clinically proven reference product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{"citationItems":[{"id":"ITEM-1","itemData":{"DOI":"10.5530/ijper.50.4.21","ISBN":"9183124713","ISSN":"00195464","abstract":"Objective: To develop chemical fingerprint profile of secondary metabolites of therapeutically important plant Elephantopus scaber L. using HPTLC technique. Method: Preliminary phytochemical investigation was performed for the detection of secondary metabolites. HPTLC fingerprint profile of hydro-alcoholic extract of E. scaber was developed for alkaloids, flavonoids and saponins. Toluene: Ethyl acetate: Diethyl amine (7:2:1), Ethyl acetate: Formic acid: Glacial acetic acid: Water (10:0.5:0.5:1.3) and Chloroform: Acetic acid: Methanol: Water (6.4:3.2:1.2:0.8) were the solvent systems developed. Results: The HPTLC chromatogram of hydro-alcoholic extract of E. scaber resolved 12 alkaloids, 25 flavonoids and 26 saponins with different Rf values including some unknown. Conclusion: Chemical profiling of selected plant is suggestive of several known and unknown bioactive molecule having potential therapeutic efficacy. The unknown alkaloids, flavonoids and saponins separated needed to be elucidated further. It can be concluded that the HPTLC fingerprint analysis is useful in exact identification of plant material. Also, it serves as a significant tool in differentiating adulterants and biomarker in herbal drug industry.","author":[{"dropping-particle":"","family":"Hiremath","given":"Ravindra","non-dropping-particle":"","parse-names":false,"suffix":""},{"dropping-particle":"","family":"Jalalpure","given":"Sunil S.","non-dropping-particle":"","parse-names":false,"suffix":""},{"dropping-particle":"","family":"Pethakar","given":"Shriram","non-dropping-particle":"","parse-names":false,"suffix":""}],"container-title":"Indian Journal of Pharmaceutical Education and Research","id":"ITEM-1","issue":"4","issued":{"date-parts":[["2016"]]},"page":"689-694","title":"Chromatographic fingerprint analysis of hydroalcoholic extract of medicinally important plant Elephantopus scaber L. Using HPTLC technique","type":"article-journal","volume":"50"},"uris":["http://www.mendeley.com/documents/?uuid=341a1b9c-642d-4738-a17b-91e4efa31fc6","http://www.mendeley.com/documents/?uuid=2255d166-8282-4039-85d6-debcf90ac548"]}],"mendeley":{"formattedCitation":"[17]","plainTextFormattedCitation":"[17]","previouslyFormattedCitation":"[17]"},"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[17]</w:t>
      </w:r>
      <w:r w:rsidR="00DB1E60" w:rsidRPr="00C510D7">
        <w:rPr>
          <w:rFonts w:ascii="Times New Roman" w:hAnsi="Times New Roman"/>
          <w:sz w:val="20"/>
          <w:szCs w:val="20"/>
        </w:rPr>
        <w:fldChar w:fldCharType="end"/>
      </w:r>
      <w:r w:rsidRPr="00C510D7">
        <w:rPr>
          <w:rFonts w:ascii="Times New Roman" w:hAnsi="Times New Roman"/>
          <w:sz w:val="20"/>
          <w:szCs w:val="20"/>
        </w:rPr>
        <w:t xml:space="preserve">. </w:t>
      </w:r>
    </w:p>
    <w:p w:rsidR="00EF3780" w:rsidRPr="00C510D7"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sidRPr="00C510D7">
        <w:rPr>
          <w:rFonts w:ascii="Times New Roman" w:hAnsi="Times New Roman"/>
          <w:sz w:val="20"/>
          <w:szCs w:val="20"/>
        </w:rPr>
        <w:t xml:space="preserve">TLC is an easy, inexpensive, rapid, and the most widely used method for the analysis and isolation of small organic natural and synthetic products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{"citationItems":[{"id":"ITEM-1","itemData":{"DOI":"10.1007/978-1-61779-624-1_6","ISBN":"9781617796234","ISSN":"10643745","abstract":"Thin-layer chromatography (TLC) is an easy, inexpensive, rapid, and the most widely used method for the analysis and isolation of small organic natural and synthetic products. It also has use in the biological evaluation of organic compounds, particularly in the areas of antimicrobial and antioxidant metabolites and for the evaluation of acetylcholinesterase inhibitors which have utility in the treatment of Alzheimer's disease. The ease and inexpensiveness of use of this technique, coupled with the ability to rapidly develop separation and bioassay protocols will ensure that TLC will be used for some considerable time alongside conventional instrumental methods. This chapter deals with the basic principles of TLC and describes methods for the analysis and isolation of natural products. Examples of methods for isolation of several classes of natural product are detailed and protocols for TLC bioassays are given. © 2012 Springer Science+Business Media, LLC.","author":[{"dropping-particle":"","family":"Gibbons","given":"Simon","non-dropping-particle":"","parse-names":false,"suffix":""}],"container-title":"Methods in Molecular Biology","id":"ITEM-1","issued":{"date-parts":[["2012"]]},"page":"117-153","title":"An introduction to planar chromatography and its application to natural products isolation","type":"article-journal","volume":"864"},"uris":["http://www.mendeley.com/documents/?uuid=1e083fc0-9d2f-4a42-abfb-8d29e9f3a568","http://www.mendeley.com/documents/?uuid=64ad2d09-c5e7-4751-a090-694d066dd811"]},{"id":"ITEM-2","itemData":{"DOI":"10.1016/j.chroma.2010.12.068","ISSN":"00219673","abstract":"Bioautography on thin-layer chromatographic (TLC) plates is a means of detecting the biological activity of a sample which has migrated on the plate with a suitable solvent. It only requires small amounts of sample and is ideal for the investigation of plant constituents, which often occur as complex mixtures. It can be used for the target-directed isolation of these constituents. In contrast to HPLC, many samples can be run at the same time on TLC. Organic solvents, which cause inactivation of enzymes or death of living organisms, can be completely removed before biological detection. Many bioassays are compatible with TLC. Antimicrobial, radical scavenging, antioxidant activities and enzyme inhibition feature among the tests that are employed. © 2010 Elsevier B.V.","author":[{"dropping-particle":"","family":"Marston","given":"A.","non-dropping-particle":"","parse-names":false,"suffix":""}],"container-title":"Journal of Chromatography A","id":"ITEM-2","issue":"19","issued":{"date-parts":[["2011"]]},"page":"2676-2683","title":"Thin-layer chromatography with biological detection in phytochemistry","type":"article","volume":"1218"},"uris":["http://www.mendeley.com/documents/?uuid=cfcd733a-7df4-488b-a978-e5c85f560221","http://www.mendeley.com/documents/?uuid=84afb7dd-7b16-4b15-b61d-91e9e748b738"]}],"mendeley":{"formattedCitation":"[18,19]","plainTextFormattedCitation":"[18,19]","previouslyFormattedCitation":"[18,19]"},"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[18,19]</w:t>
      </w:r>
      <w:r w:rsidR="00DB1E60" w:rsidRPr="00C510D7">
        <w:rPr>
          <w:rFonts w:ascii="Times New Roman" w:hAnsi="Times New Roman"/>
          <w:sz w:val="20"/>
          <w:szCs w:val="20"/>
        </w:rPr>
        <w:fldChar w:fldCharType="end"/>
      </w:r>
      <w:r w:rsidRPr="00C510D7">
        <w:rPr>
          <w:rFonts w:ascii="Times New Roman" w:hAnsi="Times New Roman"/>
          <w:sz w:val="20"/>
          <w:szCs w:val="20"/>
        </w:rPr>
        <w:t xml:space="preserve">. In the screening of antioxidants, the stable free radical 2,2-diphenyl-1-picrylhydrazyl (DPPH) was often used as a derivatization reagent for this purpose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{"citationItems":[{"id":"ITEM-1","itemData":{"DOI":"10.1515/1553-3840.1583","ISSN":"15533840","abstract":"The in vitro study of the antioxidant properties of the hydroalcoholic extracts of various Indian medicinal plants can logically help to develop a better and safer way of amelioration from oxidative stress. As aimed, the present study has been done to estimate and thereby conclude regarding the antioxidant activities of a few Indian medicinal plants, viz., Terminalia chebula, Terminalia belerica, Emblica officinalis, Caesalpinia crista, Cajanus cajan, and Tinospora cordifolia. The extracts of the plants have been subjected to the evaluation of antioxidant properties through scavenging assays for reactive oxygen species like superoxide, nitric oxide, peroxynitrite, hypochlorous acid, singlet oxygen, etc. and measurement of TEAC values and other phytochemical parameters. The phenolic and flavonoid contents of each plant have been found to be correlated to their individual antioxidant activity. The results showed the hydroalcoholic extracts of the plants were efficient indicators of their antioxidant capacity thus concreting their basis to be used as natural antioxidant.","author":[{"dropping-particle":"","family":"Sarkar","given":"Rhitajit","non-dropping-particle":"","parse-names":false,"suffix":""},{"dropping-particle":"","family":"Mandal","given":"Nripendranath","non-dropping-particle":"","parse-names":false,"suffix":""}],"container-title":"Journal of complementary &amp; integrative medicine","id":"ITEM-1","issued":{"date-parts":[["2012"]]},"title":"Hydroalcoholic extracts of Indian medicinal plants can help in amelioration from oxidative stress through antioxidant properties.","type":"article-journal","volume":"9"},"uris":["http://www.mendeley.com/documents/?uuid=e72c43e4-6015-44f6-9579-ab17635d0cb2","http://www.mendeley.com/documents/?uuid=bb850303-b25e-472c-b53d-a1efc6ab60f8"]}],"mendeley":{"formattedCitation":"[20]","plainTextFormattedCitation":"[20]","previouslyFormattedCitation":"[20]"},"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[20]</w:t>
      </w:r>
      <w:r w:rsidR="00DB1E60" w:rsidRPr="00C510D7">
        <w:rPr>
          <w:rFonts w:ascii="Times New Roman" w:hAnsi="Times New Roman"/>
          <w:sz w:val="20"/>
          <w:szCs w:val="20"/>
        </w:rPr>
        <w:fldChar w:fldCharType="end"/>
      </w:r>
      <w:r w:rsidRPr="00C510D7">
        <w:rPr>
          <w:rFonts w:ascii="Times New Roman" w:hAnsi="Times New Roman"/>
          <w:sz w:val="20"/>
          <w:szCs w:val="20"/>
        </w:rPr>
        <w:t xml:space="preserve">. High performance liquid chromatography (HPLC) fingerprinting has been widely used in some studies of natural products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{"citationItems":[{"id":"ITEM-1","itemData":{"ISSN":"2090-3502","author":[{"dropping-particle":"","family":"Cieśla","given":"Łukasz","non-dropping-particle":"","parse-names":false,"suffix":""}],"container-title":"Chromatography Research International","id":"ITEM-1","issued":{"date-parts":[["2012"]]},"publisher":"Hindawi","title":"Biological fingerprinting of herbal samples by means of liquid chromatography","type":"article-journal","volume":"2012"},"uris":["http://www.mendeley.com/documents/?uuid=32e2c490-e8f0-4cfa-9ad2-423ddaad7a08"]},{"id":"ITEM-2","itemData":{"ISSN":"1936-9751","author":[{"dropping-particle":"","family":"Wang","given":"Chao","non-dropping-particle":"","parse-names":false,"suffix":""},{"dropping-particle":"","family":"Zhang","given":"Chen-Xia","non-dropping-particle":"","parse-names":false,"suffix":""},{"dropping-particle":"","family":"Shao","given":"Chun-Fu","non-dropping-particle":"","parse-names":false,"suffix":""},{"dropping-particle":"","family":"Li","given":"Chang-Wen","non-dropping-particle":"","parse-names":false,"suffix":""},{"dropping-particle":"","family":"Liu","given":"Shun-Hang","non-dropping-particle":"","parse-names":false,"suffix":""},{"dropping-particle":"","family":"Peng","given":"Xiao-Pei","non-dropping-particle":"","parse-names":false,"suffix":""},{"dropping-particle":"","family":"Xu","given":"Yong-Quan","non-dropping-particle":"","parse-names":false,"suffix":""}],"container-title":"Food analytical methods","id":"ITEM-2","issue":"12","issued":{"date-parts":[["2016"]]},"page":"3298-3309","publisher":"Springer","title":"Chemical fingerprint analysis for the quality evaluation of deepure instant pu-erh tea by HPLC combined with chemometrics","type":"article-journal","volume":"9"},"uris":["http://www.mendeley.com/documents/?uuid=2e37d582-8698-4464-afa7-86670ce40b51"]}],"mendeley":{"formattedCitation":"[21,22]","plainTextFormattedCitation":"[21,22]","previouslyFormattedCitation":"[21,22]"},"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[21, 22]</w:t>
      </w:r>
      <w:r w:rsidR="00DB1E60" w:rsidRPr="00C510D7">
        <w:rPr>
          <w:rFonts w:ascii="Times New Roman" w:hAnsi="Times New Roman"/>
          <w:sz w:val="20"/>
          <w:szCs w:val="20"/>
        </w:rPr>
        <w:fldChar w:fldCharType="end"/>
      </w:r>
      <w:r w:rsidRPr="00C510D7">
        <w:rPr>
          <w:rFonts w:ascii="Times New Roman" w:hAnsi="Times New Roman"/>
          <w:sz w:val="20"/>
          <w:szCs w:val="20"/>
        </w:rPr>
        <w:t xml:space="preserve">. </w:t>
      </w:r>
    </w:p>
    <w:p w:rsidR="00EF3780" w:rsidRPr="00C510D7"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sidRPr="00C510D7">
        <w:rPr>
          <w:rFonts w:ascii="Times New Roman" w:hAnsi="Times New Roman"/>
          <w:sz w:val="20"/>
          <w:szCs w:val="20"/>
        </w:rPr>
        <w:t xml:space="preserve">Taken together, the purposes of the present study included: (1) to evaluate the antioxidant potential of different commercial products of </w:t>
      </w:r>
      <w:r w:rsidRPr="00C510D7">
        <w:rPr>
          <w:rFonts w:ascii="Times New Roman" w:hAnsi="Times New Roman"/>
          <w:i/>
          <w:sz w:val="20"/>
          <w:szCs w:val="20"/>
        </w:rPr>
        <w:t>Moringa oleifera</w:t>
      </w:r>
      <w:r w:rsidRPr="00C510D7">
        <w:rPr>
          <w:rFonts w:ascii="Times New Roman" w:hAnsi="Times New Roman"/>
          <w:sz w:val="20"/>
          <w:szCs w:val="20"/>
        </w:rPr>
        <w:t xml:space="preserve"> , with the results compared to standard antioxidants such as quercetin, gallic acid and rutin; (2) to characterize </w:t>
      </w:r>
      <w:r w:rsidRPr="00C510D7">
        <w:rPr>
          <w:rFonts w:ascii="Times New Roman" w:hAnsi="Times New Roman"/>
          <w:sz w:val="20"/>
          <w:szCs w:val="20"/>
        </w:rPr>
        <w:lastRenderedPageBreak/>
        <w:t>the polyphenols to provide biomarkers using TLC and HPLC-DAD.</w:t>
      </w:r>
    </w:p>
    <w:p w:rsidR="00EF3780" w:rsidRDefault="00EF3780" w:rsidP="00EF3780">
      <w:pPr>
        <w:spacing w:after="0"/>
        <w:jc w:val="both"/>
        <w:rPr>
          <w:rFonts w:ascii="Times New Roman" w:hAnsi="Times New Roman"/>
          <w:sz w:val="20"/>
          <w:szCs w:val="20"/>
        </w:rPr>
      </w:pPr>
    </w:p>
    <w:p w:rsidR="00EF3780" w:rsidRPr="00C510D7" w:rsidRDefault="00EF3780" w:rsidP="00EF3780">
      <w:pPr>
        <w:spacing w:after="0"/>
        <w:jc w:val="center"/>
        <w:rPr>
          <w:rFonts w:ascii="Times New Roman" w:hAnsi="Times New Roman"/>
          <w:b/>
          <w:sz w:val="20"/>
          <w:szCs w:val="20"/>
        </w:rPr>
      </w:pPr>
      <w:r w:rsidRPr="00C510D7">
        <w:rPr>
          <w:rFonts w:ascii="Times New Roman" w:hAnsi="Times New Roman"/>
          <w:b/>
          <w:sz w:val="20"/>
          <w:szCs w:val="20"/>
        </w:rPr>
        <w:t>Materials and Methods</w:t>
      </w:r>
    </w:p>
    <w:p w:rsidR="00EF3780" w:rsidRPr="00C510D7" w:rsidRDefault="00EF3780" w:rsidP="00EF3780">
      <w:pPr>
        <w:spacing w:after="0"/>
        <w:jc w:val="both"/>
        <w:rPr>
          <w:rFonts w:ascii="Times New Roman" w:hAnsi="Times New Roman"/>
          <w:b/>
          <w:iCs/>
          <w:sz w:val="20"/>
          <w:szCs w:val="20"/>
        </w:rPr>
      </w:pPr>
      <w:r w:rsidRPr="00C510D7">
        <w:rPr>
          <w:rFonts w:ascii="Times New Roman" w:hAnsi="Times New Roman"/>
          <w:b/>
          <w:iCs/>
          <w:sz w:val="20"/>
          <w:szCs w:val="20"/>
        </w:rPr>
        <w:t>Reagents</w:t>
      </w:r>
    </w:p>
    <w:p w:rsidR="00EF3780" w:rsidRPr="00C510D7" w:rsidRDefault="00EF3780" w:rsidP="00EF3780">
      <w:pPr>
        <w:spacing w:after="0"/>
        <w:jc w:val="both"/>
        <w:rPr>
          <w:rFonts w:ascii="Times New Roman" w:hAnsi="Times New Roman"/>
          <w:sz w:val="20"/>
          <w:szCs w:val="20"/>
        </w:rPr>
      </w:pPr>
      <w:r w:rsidRPr="00C510D7">
        <w:rPr>
          <w:rFonts w:ascii="Times New Roman" w:hAnsi="Times New Roman"/>
          <w:sz w:val="20"/>
          <w:szCs w:val="20"/>
        </w:rPr>
        <w:t>TLC with various solvent systems by using TLC aluminum sheet pre-coated with silica gel 60 F254-Merck. All the solvents (Trichloroacetic acid, ethyl acetate and methanol) used for extraction and isolation of analytic grade or HPLC grade and purchased from Sigma-Merck.</w:t>
      </w:r>
    </w:p>
    <w:p w:rsidR="00EF3780" w:rsidRPr="00C510D7" w:rsidRDefault="00EF3780" w:rsidP="00EF3780">
      <w:pPr>
        <w:spacing w:after="0"/>
        <w:jc w:val="both"/>
        <w:rPr>
          <w:rFonts w:ascii="Times New Roman" w:hAnsi="Times New Roman"/>
          <w:b/>
          <w:iCs/>
          <w:sz w:val="20"/>
          <w:szCs w:val="20"/>
        </w:rPr>
      </w:pPr>
    </w:p>
    <w:p w:rsidR="00EF3780" w:rsidRPr="00C510D7" w:rsidRDefault="00EF3780" w:rsidP="00EF3780">
      <w:pPr>
        <w:spacing w:after="0"/>
        <w:jc w:val="both"/>
        <w:rPr>
          <w:rFonts w:ascii="Times New Roman" w:hAnsi="Times New Roman"/>
          <w:b/>
          <w:iCs/>
          <w:sz w:val="20"/>
          <w:szCs w:val="20"/>
        </w:rPr>
      </w:pPr>
      <w:r w:rsidRPr="00C510D7">
        <w:rPr>
          <w:rFonts w:ascii="Times New Roman" w:hAnsi="Times New Roman"/>
          <w:b/>
          <w:iCs/>
          <w:sz w:val="20"/>
          <w:szCs w:val="20"/>
        </w:rPr>
        <w:t>Raw material</w:t>
      </w:r>
    </w:p>
    <w:p w:rsidR="00EF3780" w:rsidRPr="00C510D7" w:rsidRDefault="00EF3780" w:rsidP="00EF3780">
      <w:pPr>
        <w:spacing w:after="0"/>
        <w:jc w:val="both"/>
        <w:rPr>
          <w:rFonts w:ascii="Times New Roman" w:hAnsi="Times New Roman"/>
          <w:b/>
          <w:iCs/>
          <w:sz w:val="20"/>
          <w:szCs w:val="20"/>
        </w:rPr>
      </w:pPr>
      <w:r w:rsidRPr="00C510D7">
        <w:rPr>
          <w:rFonts w:ascii="Times New Roman" w:hAnsi="Times New Roman"/>
          <w:i/>
          <w:sz w:val="20"/>
          <w:szCs w:val="20"/>
        </w:rPr>
        <w:t>Moringa oleifera</w:t>
      </w:r>
      <w:r w:rsidRPr="00C510D7">
        <w:rPr>
          <w:rFonts w:ascii="Times New Roman" w:hAnsi="Times New Roman"/>
          <w:sz w:val="20"/>
          <w:szCs w:val="20"/>
        </w:rPr>
        <w:t xml:space="preserve"> powder leaves based commercial products were obtained from naturist stores from Mexico; Akuanandi® capsules (Lombardia, Mich); Terbal tea® (Mexico City), Infusionate tea® (Monterrey, NL), De Font Quer® capsules (Zapopan, Jal), and Mas lait® powdered leaves (Monterrey, NL).</w:t>
      </w:r>
    </w:p>
    <w:p w:rsidR="00EF3780" w:rsidRPr="00C510D7" w:rsidRDefault="00EF3780" w:rsidP="00EF3780">
      <w:pPr>
        <w:spacing w:after="0"/>
        <w:jc w:val="both"/>
        <w:rPr>
          <w:rFonts w:ascii="Times New Roman" w:hAnsi="Times New Roman"/>
          <w:sz w:val="20"/>
          <w:szCs w:val="20"/>
        </w:rPr>
      </w:pPr>
    </w:p>
    <w:p w:rsidR="00EF3780" w:rsidRPr="00C510D7" w:rsidRDefault="00EF3780" w:rsidP="00EF3780">
      <w:pPr>
        <w:spacing w:after="0"/>
        <w:jc w:val="both"/>
        <w:rPr>
          <w:rFonts w:ascii="Times New Roman" w:hAnsi="Times New Roman"/>
          <w:b/>
          <w:bCs/>
          <w:sz w:val="20"/>
          <w:szCs w:val="20"/>
        </w:rPr>
      </w:pPr>
      <w:r w:rsidRPr="00C510D7">
        <w:rPr>
          <w:rFonts w:ascii="Times New Roman" w:hAnsi="Times New Roman"/>
          <w:b/>
          <w:bCs/>
          <w:sz w:val="20"/>
          <w:szCs w:val="20"/>
        </w:rPr>
        <w:t xml:space="preserve">Preparation of </w:t>
      </w:r>
      <w:r w:rsidRPr="00C510D7">
        <w:rPr>
          <w:rFonts w:ascii="Times New Roman" w:hAnsi="Times New Roman"/>
          <w:b/>
          <w:bCs/>
          <w:i/>
          <w:iCs/>
          <w:sz w:val="20"/>
          <w:szCs w:val="20"/>
        </w:rPr>
        <w:t>M. oleifera</w:t>
      </w:r>
      <w:r w:rsidRPr="00C510D7">
        <w:rPr>
          <w:rFonts w:ascii="Times New Roman" w:hAnsi="Times New Roman"/>
          <w:b/>
          <w:bCs/>
          <w:sz w:val="20"/>
          <w:szCs w:val="20"/>
        </w:rPr>
        <w:t xml:space="preserve"> leaves extract and polyphenolic standards</w:t>
      </w:r>
    </w:p>
    <w:p w:rsidR="00EF3780" w:rsidRPr="00C510D7" w:rsidRDefault="00EF3780" w:rsidP="00EF3780">
      <w:pPr>
        <w:spacing w:after="0"/>
        <w:jc w:val="both"/>
        <w:rPr>
          <w:rFonts w:ascii="Times New Roman" w:hAnsi="Times New Roman"/>
          <w:sz w:val="20"/>
          <w:szCs w:val="20"/>
        </w:rPr>
      </w:pPr>
      <w:r w:rsidRPr="00C510D7">
        <w:rPr>
          <w:rFonts w:ascii="Times New Roman" w:hAnsi="Times New Roman"/>
          <w:sz w:val="20"/>
          <w:szCs w:val="20"/>
        </w:rPr>
        <w:t xml:space="preserve">At first, 0.5 g of powder of dried leaves of </w:t>
      </w:r>
      <w:r w:rsidRPr="00C510D7">
        <w:rPr>
          <w:rFonts w:ascii="Times New Roman" w:hAnsi="Times New Roman"/>
          <w:i/>
          <w:sz w:val="20"/>
          <w:szCs w:val="20"/>
        </w:rPr>
        <w:t>M. oleifera</w:t>
      </w:r>
      <w:r w:rsidRPr="00C510D7">
        <w:rPr>
          <w:rFonts w:ascii="Times New Roman" w:hAnsi="Times New Roman"/>
          <w:sz w:val="20"/>
          <w:szCs w:val="20"/>
        </w:rPr>
        <w:t xml:space="preserve"> was extracted by Ultrasonication assisted extraction with methanol/water (80:20, v/v) for 30 minutes at 30 °C. The extract was filtered through a 0.22 μm nylon filter. The solvent was removed under reduced pressure at 40 °C (rotary evaporator Büchi R-215). The crude extract was kept separately in sterile sample tubes and stored at 4°C. Extracts were performed in triplicate. Each appropriate amount of standard compound was accurately weighed and dissolved in 70% methanol as stock solutions, which were stable for at one week under 4 °C. Linearity range of chlorogenic acid (0.6-23.1 µg/mL), isoquercetin (0.99-3.0 µg/mL),  luteolin (0.5-4.0 µg/mL), and apigenin (0.66-3.3 µg/mL).   </w:t>
      </w:r>
    </w:p>
    <w:p w:rsidR="00EF3780" w:rsidRPr="00C510D7" w:rsidRDefault="00EF3780" w:rsidP="00EF3780">
      <w:pPr>
        <w:spacing w:after="0"/>
        <w:jc w:val="both"/>
        <w:rPr>
          <w:rFonts w:ascii="Times New Roman" w:hAnsi="Times New Roman"/>
          <w:sz w:val="20"/>
          <w:szCs w:val="20"/>
        </w:rPr>
      </w:pPr>
    </w:p>
    <w:p w:rsidR="00EF3780" w:rsidRPr="00C510D7" w:rsidRDefault="00EF3780" w:rsidP="00EF3780">
      <w:pPr>
        <w:spacing w:after="0"/>
        <w:jc w:val="both"/>
        <w:rPr>
          <w:rFonts w:ascii="Times New Roman" w:hAnsi="Times New Roman"/>
          <w:b/>
          <w:iCs/>
          <w:sz w:val="20"/>
          <w:szCs w:val="20"/>
        </w:rPr>
      </w:pPr>
      <w:r w:rsidRPr="00C510D7">
        <w:rPr>
          <w:rFonts w:ascii="Times New Roman" w:hAnsi="Times New Roman"/>
          <w:b/>
          <w:iCs/>
          <w:sz w:val="20"/>
          <w:szCs w:val="20"/>
        </w:rPr>
        <w:t>Phytochemical screening by TLC</w:t>
      </w:r>
    </w:p>
    <w:p w:rsidR="00EF3780" w:rsidRDefault="00EF3780" w:rsidP="00EF3780">
      <w:pPr>
        <w:spacing w:after="0"/>
        <w:jc w:val="both"/>
        <w:rPr>
          <w:rFonts w:ascii="Times New Roman" w:hAnsi="Times New Roman"/>
          <w:sz w:val="20"/>
          <w:szCs w:val="20"/>
        </w:rPr>
        <w:sectPr w:rsidR="00EF3780" w:rsidSect="005F4B75">
          <w:headerReference w:type="even" r:id="rId16"/>
          <w:headerReference w:type="default" r:id="rId17"/>
          <w:footerReference w:type="even" r:id="rId18"/>
          <w:headerReference w:type="first" r:id="rId19"/>
          <w:type w:val="evenPage"/>
          <w:pgSz w:w="12240" w:h="15840" w:code="1"/>
          <w:pgMar w:top="1800" w:right="1469" w:bottom="1699" w:left="1440" w:header="706" w:footer="706" w:gutter="0"/>
          <w:pgNumType w:start="448"/>
          <w:cols w:num="2" w:space="403"/>
          <w:docGrid w:linePitch="360"/>
        </w:sectPr>
      </w:pPr>
      <w:r w:rsidRPr="00C510D7">
        <w:rPr>
          <w:rFonts w:ascii="Times New Roman" w:hAnsi="Times New Roman"/>
          <w:sz w:val="20"/>
          <w:szCs w:val="20"/>
        </w:rPr>
        <w:t xml:space="preserve">The extracts were dissolved in methanol to achieve a concentration of 5 mg/mL. The hydromethanolic extracts of </w:t>
      </w:r>
      <w:r w:rsidRPr="00C510D7">
        <w:rPr>
          <w:rFonts w:ascii="Times New Roman" w:hAnsi="Times New Roman"/>
          <w:i/>
          <w:sz w:val="20"/>
          <w:szCs w:val="20"/>
        </w:rPr>
        <w:t>M. oleifera</w:t>
      </w:r>
      <w:r w:rsidRPr="00C510D7">
        <w:rPr>
          <w:rFonts w:ascii="Times New Roman" w:hAnsi="Times New Roman"/>
          <w:sz w:val="20"/>
          <w:szCs w:val="20"/>
        </w:rPr>
        <w:t xml:space="preserve"> were applied in a concentration of 5 μL using a Hamilton syringe on aluminum sheets pre-coated with silica gel 60 F</w:t>
      </w:r>
      <w:r w:rsidRPr="00C510D7">
        <w:rPr>
          <w:rFonts w:ascii="Times New Roman" w:hAnsi="Times New Roman"/>
          <w:sz w:val="20"/>
          <w:szCs w:val="20"/>
          <w:vertAlign w:val="subscript"/>
        </w:rPr>
        <w:t xml:space="preserve">254 </w:t>
      </w:r>
      <w:r w:rsidRPr="00C510D7">
        <w:rPr>
          <w:rFonts w:ascii="Times New Roman" w:hAnsi="Times New Roman"/>
          <w:sz w:val="20"/>
          <w:szCs w:val="20"/>
        </w:rPr>
        <w:t xml:space="preserve">of 0.2 mm thick, 5 cm x 7.5 cm used as a stationary phase. The plates were developed in the mobile phase, TCA-ethyl acetate-methanol (1:7.5:1.5 v/v) for the hydromethanolic </w:t>
      </w:r>
    </w:p>
    <w:p w:rsidR="00EF3780" w:rsidRPr="00C510D7" w:rsidRDefault="00EF3780" w:rsidP="00EF3780">
      <w:pPr>
        <w:spacing w:after="0"/>
        <w:jc w:val="both"/>
        <w:rPr>
          <w:rFonts w:ascii="Times New Roman" w:hAnsi="Times New Roman"/>
          <w:sz w:val="20"/>
          <w:szCs w:val="20"/>
        </w:rPr>
      </w:pPr>
      <w:r w:rsidRPr="00C510D7">
        <w:rPr>
          <w:rFonts w:ascii="Times New Roman" w:hAnsi="Times New Roman"/>
          <w:sz w:val="20"/>
          <w:szCs w:val="20"/>
        </w:rPr>
        <w:lastRenderedPageBreak/>
        <w:t xml:space="preserve">extract to a distance of 120 mm trough glass chamber saturated with ternary solvent  system consisting of TCA-ethyl acetate-methanol (1:7.5:1.5) at room temperature (25 °C). Daylight, UV 254 nm, UV 366 nm and DPPH stain were used as visualization techniques. To qualitatively screen, it was dipped upside down for 10 seconds in a 0.4 mM DPPH solution. Additionally, standards were used to assist the identification of compounds present in the extract when known compounds were present in the sample. The identification of </w:t>
      </w:r>
      <w:r w:rsidR="007336BC">
        <w:rPr>
          <w:rFonts w:ascii="Times New Roman" w:hAnsi="Times New Roman"/>
          <w:sz w:val="20"/>
          <w:szCs w:val="20"/>
        </w:rPr>
        <w:t xml:space="preserve"> </w:t>
      </w:r>
      <w:r w:rsidRPr="00C510D7">
        <w:rPr>
          <w:rFonts w:ascii="Times New Roman" w:hAnsi="Times New Roman"/>
          <w:sz w:val="20"/>
          <w:szCs w:val="20"/>
        </w:rPr>
        <w:t>known polyphenolics was performed by comparison of respective standards through Rf calculation.</w:t>
      </w:r>
    </w:p>
    <w:p w:rsidR="00EF3780" w:rsidRPr="00C510D7"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sidRPr="00C510D7">
        <w:rPr>
          <w:rFonts w:ascii="Times New Roman" w:hAnsi="Times New Roman"/>
          <w:sz w:val="20"/>
          <w:szCs w:val="20"/>
        </w:rPr>
        <w:t>The retention factor (Rf) values of the different spots were then calculated using the equation 1:</w:t>
      </w:r>
    </w:p>
    <w:p w:rsidR="007336BC" w:rsidRPr="00C510D7" w:rsidRDefault="007336BC" w:rsidP="00EF3780">
      <w:pPr>
        <w:spacing w:after="0"/>
        <w:jc w:val="both"/>
        <w:rPr>
          <w:rFonts w:ascii="Times New Roman" w:hAnsi="Times New Roman"/>
          <w:sz w:val="20"/>
          <w:szCs w:val="20"/>
        </w:rPr>
      </w:pPr>
    </w:p>
    <w:p w:rsidR="00EF3780" w:rsidRPr="00C510D7" w:rsidRDefault="00EF3780" w:rsidP="00EF3780">
      <w:pPr>
        <w:spacing w:after="0"/>
        <w:jc w:val="both"/>
        <w:rPr>
          <w:rFonts w:ascii="Times New Roman" w:hAnsi="Times New Roman"/>
          <w:sz w:val="20"/>
          <w:szCs w:val="20"/>
        </w:rPr>
      </w:pPr>
      <m:oMath>
        <m:r>
          <w:rPr>
            <w:rFonts w:ascii="Cambria Math" w:hAnsi="Cambria Math"/>
            <w:sz w:val="20"/>
            <w:szCs w:val="20"/>
          </w:rPr>
          <m:t>Rf=</m:t>
        </m:r>
        <m:f>
          <m:fPr>
            <m:ctrlPr>
              <w:rPr>
                <w:rFonts w:ascii="Cambria Math" w:hAnsi="Cambria Math"/>
                <w:i/>
                <w:sz w:val="20"/>
                <w:szCs w:val="20"/>
              </w:rPr>
            </m:ctrlPr>
          </m:fPr>
          <m:num>
            <m:r>
              <w:rPr>
                <w:rFonts w:ascii="Cambria Math" w:hAnsi="Cambria Math"/>
                <w:sz w:val="20"/>
                <w:szCs w:val="20"/>
              </w:rPr>
              <m:t>Distance of spot from origin</m:t>
            </m:r>
          </m:num>
          <m:den>
            <m:r>
              <w:rPr>
                <w:rFonts w:ascii="Cambria Math" w:hAnsi="Cambria Math"/>
                <w:sz w:val="20"/>
                <w:szCs w:val="20"/>
              </w:rPr>
              <m:t>Distance of solvent front from origin</m:t>
            </m:r>
          </m:den>
        </m:f>
      </m:oMath>
      <w:r>
        <w:rPr>
          <w:rFonts w:ascii="Times New Roman" w:eastAsiaTheme="minorEastAsia" w:hAnsi="Times New Roman"/>
          <w:sz w:val="20"/>
          <w:szCs w:val="20"/>
        </w:rPr>
        <w:tab/>
        <w:t xml:space="preserve">            </w:t>
      </w:r>
      <w:r w:rsidRPr="00C510D7">
        <w:rPr>
          <w:rFonts w:ascii="Times New Roman" w:eastAsiaTheme="minorEastAsia" w:hAnsi="Times New Roman"/>
          <w:sz w:val="20"/>
          <w:szCs w:val="20"/>
        </w:rPr>
        <w:t>(1)</w:t>
      </w:r>
    </w:p>
    <w:p w:rsidR="007336BC" w:rsidRDefault="007336BC" w:rsidP="007336BC">
      <w:pPr>
        <w:spacing w:after="12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sidRPr="00C510D7">
        <w:rPr>
          <w:rFonts w:ascii="Times New Roman" w:hAnsi="Times New Roman"/>
          <w:sz w:val="20"/>
          <w:szCs w:val="20"/>
        </w:rPr>
        <w:t xml:space="preserve">The documented pictures were saved in jpg mode and processed by the digitally enhanced thin-layer chromatography by means of the ImageJ. MATLAB and TLC analyzer – Science Buddies. First, color images were turned into 8-bit type images (Image/type/8-bit). The images obtained were denoised by applying the following steps: Process/Filters/Median/Radius -5 pixels, with the baseline drift then removed (Process/FFT/Bandpass Filter/Filter large structures down to -40 pixels; filter small structures up to -0 pixels).  </w:t>
      </w:r>
    </w:p>
    <w:p w:rsidR="00EF3780" w:rsidRPr="00C510D7" w:rsidRDefault="00EF3780" w:rsidP="00EF3780">
      <w:pPr>
        <w:spacing w:after="0"/>
        <w:jc w:val="both"/>
        <w:rPr>
          <w:rFonts w:ascii="Times New Roman" w:hAnsi="Times New Roman"/>
          <w:sz w:val="20"/>
          <w:szCs w:val="20"/>
        </w:rPr>
      </w:pPr>
    </w:p>
    <w:p w:rsidR="00EF3780" w:rsidRPr="00C510D7" w:rsidRDefault="00EF3780" w:rsidP="00EF3780">
      <w:pPr>
        <w:spacing w:after="0"/>
        <w:jc w:val="both"/>
        <w:rPr>
          <w:rFonts w:ascii="Times New Roman" w:hAnsi="Times New Roman"/>
          <w:sz w:val="20"/>
          <w:szCs w:val="20"/>
        </w:rPr>
      </w:pPr>
      <w:r w:rsidRPr="00C510D7">
        <w:rPr>
          <w:rFonts w:ascii="Times New Roman" w:hAnsi="Times New Roman"/>
          <w:b/>
          <w:iCs/>
          <w:sz w:val="20"/>
          <w:szCs w:val="20"/>
        </w:rPr>
        <w:t>HPLC-DAD analysis</w:t>
      </w:r>
    </w:p>
    <w:p w:rsidR="00EF3780" w:rsidRDefault="00EF3780" w:rsidP="00EF3780">
      <w:pPr>
        <w:spacing w:after="0"/>
        <w:jc w:val="both"/>
        <w:rPr>
          <w:rFonts w:ascii="Times New Roman" w:hAnsi="Times New Roman"/>
          <w:sz w:val="20"/>
          <w:szCs w:val="20"/>
        </w:rPr>
      </w:pPr>
      <w:r w:rsidRPr="00C510D7">
        <w:rPr>
          <w:rFonts w:ascii="Times New Roman" w:hAnsi="Times New Roman"/>
          <w:sz w:val="20"/>
          <w:szCs w:val="20"/>
        </w:rPr>
        <w:t>Seven phenolic standards and samples were dissolved in the mobile phase, yielding concentrations of 25 μg/mL. The solutions were filtered through a 0.45 μm membrane filter, and the evaluation of each calibration curve was fitted by linear regression. An Agilent 1200 HPLC Series (Agilent, Palo Alto, Calif.) was operated at 30 °C, equipped with a degasser, a diode array detector (DAD), a quaternary gradient pump, and a Polaris 5 C</w:t>
      </w:r>
      <w:r w:rsidRPr="00C510D7">
        <w:rPr>
          <w:rFonts w:ascii="Times New Roman" w:hAnsi="Times New Roman"/>
          <w:sz w:val="20"/>
          <w:szCs w:val="20"/>
          <w:vertAlign w:val="subscript"/>
        </w:rPr>
        <w:t>18</w:t>
      </w:r>
      <w:r w:rsidRPr="00C510D7">
        <w:rPr>
          <w:rFonts w:ascii="Times New Roman" w:hAnsi="Times New Roman"/>
          <w:sz w:val="20"/>
          <w:szCs w:val="20"/>
        </w:rPr>
        <w:t xml:space="preserve"> analytical column of 150 mm × 4.6 mm and a 3.5 μm particle (Agilent, USA). The mobile phase was a binary gradient: methanol and buffer solution. The buffer contained TCA 0.1% solution in water, with its pH adjusted to 2.1. The linear gradient </w:t>
      </w:r>
      <w:r w:rsidRPr="00C510D7">
        <w:rPr>
          <w:rFonts w:ascii="Times New Roman" w:hAnsi="Times New Roman"/>
          <w:sz w:val="20"/>
          <w:szCs w:val="20"/>
        </w:rPr>
        <w:lastRenderedPageBreak/>
        <w:t>began with 20 to 50% methanol over the first 30 minutes, followed by 70% methanol over the next 30 minutes. The flow rate was 0.8 mL/min. Data were collected at 352 nm. The injection volume was 20 μL. Data acquisition, peak integration, and calibrations were performed with Agilent 1200 Chemstation software. The results are reported as means ± standard deviations of triplicate independent analyses.</w:t>
      </w:r>
    </w:p>
    <w:p w:rsidR="00EF3780" w:rsidRPr="00C510D7" w:rsidRDefault="00EF3780" w:rsidP="00EF3780">
      <w:pPr>
        <w:spacing w:after="0"/>
        <w:jc w:val="both"/>
        <w:rPr>
          <w:rFonts w:ascii="Times New Roman" w:hAnsi="Times New Roman"/>
          <w:sz w:val="20"/>
          <w:szCs w:val="20"/>
        </w:rPr>
      </w:pPr>
    </w:p>
    <w:p w:rsidR="00EF3780" w:rsidRPr="00C510D7" w:rsidRDefault="00EF3780" w:rsidP="00EF3780">
      <w:pPr>
        <w:spacing w:after="0"/>
        <w:jc w:val="both"/>
        <w:rPr>
          <w:rFonts w:ascii="Times New Roman" w:hAnsi="Times New Roman"/>
          <w:b/>
          <w:iCs/>
          <w:sz w:val="20"/>
          <w:szCs w:val="20"/>
        </w:rPr>
      </w:pPr>
      <w:r w:rsidRPr="00C510D7">
        <w:rPr>
          <w:rFonts w:ascii="Times New Roman" w:hAnsi="Times New Roman"/>
          <w:b/>
          <w:iCs/>
          <w:sz w:val="20"/>
          <w:szCs w:val="20"/>
        </w:rPr>
        <w:t>Data analysis</w:t>
      </w:r>
    </w:p>
    <w:p w:rsidR="00EF3780" w:rsidRPr="00C510D7" w:rsidRDefault="00EF3780" w:rsidP="00EF3780">
      <w:pPr>
        <w:spacing w:after="0"/>
        <w:jc w:val="both"/>
        <w:rPr>
          <w:rFonts w:ascii="Times New Roman" w:hAnsi="Times New Roman"/>
          <w:sz w:val="20"/>
          <w:szCs w:val="20"/>
        </w:rPr>
      </w:pPr>
      <w:r w:rsidRPr="00C510D7">
        <w:rPr>
          <w:rFonts w:ascii="Times New Roman" w:hAnsi="Times New Roman"/>
          <w:sz w:val="20"/>
          <w:szCs w:val="20"/>
        </w:rPr>
        <w:t>The data were expressed as means ± SD, and the correlation of entire chromatographic patterns among the samples were calculated. Principal component analysis (PCA) was performed using XLSTAT software and Past (folk.uio.no/ohammer/past). Additionally, K-mean cluster distribution was applied for raw data to categorize the samples into proper clusters based on the amount and number of main components in the collected samples.</w:t>
      </w:r>
    </w:p>
    <w:p w:rsidR="00EF3780" w:rsidRDefault="00EF3780" w:rsidP="00EF3780">
      <w:pPr>
        <w:spacing w:after="0"/>
        <w:jc w:val="both"/>
        <w:rPr>
          <w:rFonts w:ascii="Times New Roman" w:hAnsi="Times New Roman"/>
          <w:sz w:val="20"/>
          <w:szCs w:val="20"/>
        </w:rPr>
      </w:pPr>
    </w:p>
    <w:p w:rsidR="00EF3780" w:rsidRPr="00F447A7" w:rsidRDefault="00EF3780" w:rsidP="00EF378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F3780" w:rsidRDefault="00EF3780" w:rsidP="00EF3780">
      <w:pPr>
        <w:spacing w:after="0"/>
        <w:jc w:val="both"/>
        <w:rPr>
          <w:rFonts w:ascii="Times New Roman" w:hAnsi="Times New Roman"/>
          <w:sz w:val="20"/>
          <w:szCs w:val="20"/>
        </w:rPr>
      </w:pPr>
      <w:r w:rsidRPr="00C1034E">
        <w:rPr>
          <w:rFonts w:ascii="Times New Roman" w:hAnsi="Times New Roman"/>
          <w:sz w:val="20"/>
          <w:szCs w:val="20"/>
        </w:rPr>
        <w:t xml:space="preserve">Recently, it was </w:t>
      </w:r>
      <w:r>
        <w:rPr>
          <w:rFonts w:ascii="Times New Roman" w:hAnsi="Times New Roman"/>
          <w:sz w:val="20"/>
          <w:szCs w:val="20"/>
        </w:rPr>
        <w:t xml:space="preserve">described a direct TLC quantitative analysis for some flavonoids as crypto-chlorogenic acid, isoquercetin, and astragalin contents in </w:t>
      </w:r>
      <w:r>
        <w:rPr>
          <w:rFonts w:ascii="Times New Roman" w:hAnsi="Times New Roman"/>
          <w:i/>
          <w:sz w:val="20"/>
          <w:szCs w:val="20"/>
        </w:rPr>
        <w:t>Moringa oleifera</w:t>
      </w:r>
      <w:r>
        <w:rPr>
          <w:rFonts w:ascii="Times New Roman" w:hAnsi="Times New Roman"/>
          <w:sz w:val="20"/>
          <w:szCs w:val="20"/>
        </w:rPr>
        <w:t xml:space="preserve"> leaf extracts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ISSN":"1741-427X","author":[{"dropping-particle":"","family":"Vongsak","given":"Boonyadist","non-dropping-particle":"","parse-names":false,"suffix":""},{"dropping-particle":"","family":"Sithisarn","given":"Pongtip","non-dropping-particle":"","parse-names":false,"suffix":""},{"dropping-particle":"","family":"Gritsanapan","given":"Wandee","non-dropping-particle":"","parse-names":false,"suffix":""}],"container-title":"Evidence-Based Complementary and Alternative Medicine","id":"ITEM-1","issued":{"date-parts":[["2013"]]},"publisher":"Hindawi","title":"Simultaneous determination of crypto-chlorogenic acid, isoquercetin, and astragalin contents in Moringa oleifera leaf extracts by TLC-densitometric method","type":"article-journal","volume":"2013"},"uris":["http://www.mendeley.com/documents/?uuid=04b6fff7-3383-4485-8fe0-f74b160d443a"]}],"mendeley":{"formattedCitation":"[23]","plainTextFormattedCitation":"[23]","previouslyFormattedCitation":"[23]"},"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[23]</w:t>
      </w:r>
      <w:r w:rsidR="00DB1E60">
        <w:rPr>
          <w:rFonts w:ascii="Times New Roman" w:hAnsi="Times New Roman"/>
          <w:sz w:val="20"/>
          <w:szCs w:val="20"/>
        </w:rPr>
        <w:fldChar w:fldCharType="end"/>
      </w:r>
      <w:r>
        <w:rPr>
          <w:rFonts w:ascii="Times New Roman" w:hAnsi="Times New Roman"/>
          <w:sz w:val="20"/>
          <w:szCs w:val="20"/>
        </w:rPr>
        <w:t xml:space="preserve">. However, this reported method requires expensive equipment (CAMAG Linomat 5) and resource intensive calibrations. Therefore, attempts were made in this work to develop a fast, sensitive, robust, and cost-effective TLC-densitometric method suitable for semi-quantitative analysis of main flavonoids in the commercial products of </w:t>
      </w:r>
      <w:r>
        <w:rPr>
          <w:rFonts w:ascii="Times New Roman" w:hAnsi="Times New Roman"/>
          <w:i/>
          <w:sz w:val="20"/>
          <w:szCs w:val="20"/>
        </w:rPr>
        <w:t>M. oleifera</w:t>
      </w:r>
      <w:r>
        <w:rPr>
          <w:rFonts w:ascii="Times New Roman" w:hAnsi="Times New Roman"/>
          <w:sz w:val="20"/>
          <w:szCs w:val="20"/>
        </w:rPr>
        <w:t xml:space="preserve">.   </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sectPr w:rsidR="00EF3780" w:rsidSect="005F4B75">
          <w:headerReference w:type="even" r:id="rId20"/>
          <w:headerReference w:type="default" r:id="rId21"/>
          <w:footerReference w:type="default" r:id="rId22"/>
          <w:headerReference w:type="first" r:id="rId23"/>
          <w:type w:val="oddPage"/>
          <w:pgSz w:w="12240" w:h="15840" w:code="1"/>
          <w:pgMar w:top="1800" w:right="1469" w:bottom="1699" w:left="1440" w:header="706" w:footer="706" w:gutter="0"/>
          <w:pgNumType w:start="448"/>
          <w:cols w:num="2" w:space="403"/>
          <w:docGrid w:linePitch="360"/>
        </w:sectPr>
      </w:pPr>
      <w:r>
        <w:rPr>
          <w:rFonts w:ascii="Times New Roman" w:hAnsi="Times New Roman"/>
          <w:sz w:val="20"/>
          <w:szCs w:val="20"/>
        </w:rPr>
        <w:t xml:space="preserve">To develop the TLC-densitometry method for the estimation of flavonoids of </w:t>
      </w:r>
      <w:r>
        <w:rPr>
          <w:rFonts w:ascii="Times New Roman" w:hAnsi="Times New Roman"/>
          <w:i/>
          <w:sz w:val="20"/>
          <w:szCs w:val="20"/>
        </w:rPr>
        <w:t>M. oleifera</w:t>
      </w:r>
      <w:r>
        <w:rPr>
          <w:rFonts w:ascii="Times New Roman" w:hAnsi="Times New Roman"/>
          <w:sz w:val="20"/>
          <w:szCs w:val="20"/>
        </w:rPr>
        <w:t>, a selection of the mobile phase was carried out based on polarity. Initially, a combination of various proportions of solvents including methanol, acetonitrile, ethyl acetate, hexane and ether of petroleum were tried as mobile phase, but diffusion of the spots and tailing was observed. To avoid this problem trichloroacetic acid (TCA) was added to solvent system. Finally, a mobile phase composed of TCA-ethyl acetate-methanol (1:7.5:1.5 v/v/v) was established as observed with R</w:t>
      </w:r>
      <w:r w:rsidRPr="004060AD">
        <w:rPr>
          <w:rFonts w:ascii="Times New Roman" w:hAnsi="Times New Roman"/>
          <w:sz w:val="20"/>
          <w:szCs w:val="20"/>
        </w:rPr>
        <w:t xml:space="preserve">f </w:t>
      </w:r>
      <w:r>
        <w:rPr>
          <w:rFonts w:ascii="Times New Roman" w:hAnsi="Times New Roman"/>
          <w:sz w:val="20"/>
          <w:szCs w:val="20"/>
        </w:rPr>
        <w:t xml:space="preserve">values of 0.75, 0.58, 0.51, 0.48, 0.42, 0.36, 0.14 and 0.07 when plate was developed and scanned at 366 nm </w:t>
      </w:r>
    </w:p>
    <w:p w:rsidR="00EF3780" w:rsidRDefault="00EF3780" w:rsidP="00EF3780">
      <w:pPr>
        <w:spacing w:after="0"/>
        <w:jc w:val="both"/>
        <w:rPr>
          <w:rFonts w:ascii="Times New Roman" w:hAnsi="Times New Roman"/>
          <w:sz w:val="20"/>
          <w:szCs w:val="20"/>
        </w:rPr>
      </w:pPr>
      <w:r>
        <w:rPr>
          <w:rFonts w:ascii="Times New Roman" w:hAnsi="Times New Roman"/>
          <w:sz w:val="20"/>
          <w:szCs w:val="20"/>
        </w:rPr>
        <w:lastRenderedPageBreak/>
        <w:t>and visible light (Figure 1). At 254 nm, we observed only seven well defined spots, while that at 366 nm, we observed up to 15 spots. Moreover, evaluation of linearity for the TLC assay was done by preparing four dilutions from a stock extract, i.e., 14.2% (1:7), 20% (1:5), 33.3% (1:3) and 50% (1:2). Spots were applied for each concentration starting with lowest concentration to avoid a carryover effect. The results show that the intensity of each compound depends on the amount of sample tested. The best separation and resolution were obtained with the 1:5 dilution, which corresponds to a concentration of 20 μg/spot (Figure 1, left panel). Therefore, this concentration was applied to the follow assays.</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Later, five products of </w:t>
      </w:r>
      <w:r>
        <w:rPr>
          <w:rFonts w:ascii="Times New Roman" w:hAnsi="Times New Roman"/>
          <w:i/>
          <w:sz w:val="20"/>
          <w:szCs w:val="20"/>
        </w:rPr>
        <w:t>M. oleifera</w:t>
      </w:r>
      <w:r>
        <w:rPr>
          <w:rFonts w:ascii="Times New Roman" w:hAnsi="Times New Roman"/>
          <w:sz w:val="20"/>
          <w:szCs w:val="20"/>
        </w:rPr>
        <w:t xml:space="preserve"> from different regions of</w:t>
      </w:r>
      <w:r w:rsidR="007336BC">
        <w:rPr>
          <w:rFonts w:ascii="Times New Roman" w:hAnsi="Times New Roman"/>
          <w:sz w:val="20"/>
          <w:szCs w:val="20"/>
        </w:rPr>
        <w:t xml:space="preserve"> </w:t>
      </w:r>
      <w:r>
        <w:rPr>
          <w:rFonts w:ascii="Times New Roman" w:hAnsi="Times New Roman"/>
          <w:sz w:val="20"/>
          <w:szCs w:val="20"/>
        </w:rPr>
        <w:t xml:space="preserve"> Mexico were analyzed to develop a standard fingerprint under the established TLC conditions. Seven common peaks were selected as characteristic peaks. Figure 2a shows the suitability of the TLC method to detect and semi-quantify flavonoids presented by different products. TLC clearly revealed that Mas lait (S4) presented high amounts of antioxidant compounds, whereas Terbal (S2) exhibited low amounts of antioxidants. S4 extract exhibited the best DPPH radical scavenging activity, followed by De Font Quer (S5) and Akuanandi (S3) extracts. These results are agrees with that the major antioxidant constituents of </w:t>
      </w:r>
      <w:r w:rsidRPr="00A25585">
        <w:rPr>
          <w:rFonts w:ascii="Times New Roman" w:hAnsi="Times New Roman"/>
          <w:i/>
          <w:iCs/>
          <w:sz w:val="20"/>
          <w:szCs w:val="20"/>
        </w:rPr>
        <w:t>M. oleifera</w:t>
      </w:r>
      <w:r>
        <w:rPr>
          <w:rFonts w:ascii="Times New Roman" w:hAnsi="Times New Roman"/>
          <w:sz w:val="20"/>
          <w:szCs w:val="20"/>
        </w:rPr>
        <w:t xml:space="preserve"> include vitamins, micronutrients, polyphenols and isothiocyanates, which are a potent mixture of direct and indirect antioxidants that can explain its various health-promoting effects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{"citationItems":[{"id":"ITEM-1","itemData":{"DOI":"10.1021/jf505014n","ISSN":"15205118","abstract":"Moringa oleifera Lam. is a fast-growing, tropical tree with various edible parts used as nutritious food and traditional medicine. This study describes an efficient preparatory strategy to extract and fractionate moringa leaves by fast centrifugal partition chromatography (FCPC) to produce polyphenol and isothiocyanate (ITC) rich fractions. Characterization and further purification of these fractions showed that moringa polyphenols were potent direct antioxidants assayed by oxygen radical absorbance capacity (ORAC), whereas moringa ITCs were effective indirect antioxidants assayed by induction of NAD(P)H quinone oxidoreductase 1 (NQO1) activity in Hepa1c1c7 cells. In addition, purified 4-[(α-l-rhamnosyloxy)benzyl]isothiocyanate and 4-[(4′-O-acetyl-α-l-rhamnosyloxy)benzyl]isothiocyanate were further evaluated for their ORAC and NQO1 inducer potency in comparison with sulforaphane (SF). Both ITCs were as potent as SF in inducing NQO1 activity. These findings suggest that moringa leaves contain a potent mixture of direct and indirect antioxidants that can explain its various health-promoting effects.","author":[{"dropping-particle":"","family":"Tumer","given":"Tugba Boyunegmez","non-dropping-particle":"","parse-names":false,"suffix":""},{"dropping-particle":"","family":"Rojas-Silva","given":"Patricio","non-dropping-particle":"","parse-names":false,"suffix":""},{"dropping-particle":"","family":"Poulev","given":"Alexander","non-dropping-particle":"","parse-names":false,"suffix":""},{"dropping-particle":"","family":"Raskin","given":"Ilya","non-dropping-particle":"","parse-names":false,"suffix":""},{"dropping-particle":"","family":"Waterman","given":"Carrie","non-dropping-particle":"","parse-names":false,"suffix":""}],"container-title":"Journal of Agricultural and Food Chemistry","id":"ITEM-1","issue":"5","issued":{"date-parts":[["2015"]]},"page":"1505-1513","title":"Direct and indirect antioxidant activity of polyphenol- and isothiocyanate-enriched fractions from moringa oleifera","type":"article-journal","volume":"63"},"uris":["http://www.mendeley.com/documents/?uuid=d4408ce6-0f60-4e14-af38-85bba1d8bad7","http://www.mendeley.com/documents/?uuid=bd1aedcd-ea33-4581-a5b5-f017b7a4fcb6"]}],"mendeley":{"formattedCitation":"[24]","plainTextFormattedCitation":"[24]","previouslyFormattedCitation":"[24]"},"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[24]</w:t>
      </w:r>
      <w:r w:rsidR="00DB1E60">
        <w:rPr>
          <w:rFonts w:ascii="Times New Roman" w:hAnsi="Times New Roman"/>
          <w:sz w:val="20"/>
          <w:szCs w:val="20"/>
        </w:rPr>
        <w:fldChar w:fldCharType="end"/>
      </w:r>
      <w:r>
        <w:rPr>
          <w:rFonts w:ascii="Times New Roman" w:hAnsi="Times New Roman"/>
          <w:sz w:val="20"/>
          <w:szCs w:val="20"/>
        </w:rPr>
        <w:t xml:space="preserve">. </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The content of total bioactive compounds (TBCC) in the evaluated extracts were as follows, the lower TBCC value of 591.5 ± 1.14 mg/100 g DW for S2 and a higher value of 966.1 ± 2.19 mg/100 g DW for S3, followed by S5, S4 and S1. Depending on fingerprint profile showed the prevalence of different bioactive classes in chemical composition of all samples, with the most quantitatively important classes were flavonols (40%), cinnamic acids (20.5%) and flavones (7.5%). In Table 1, it can be seen that peak 8 was not found in S1, while S1 extract did not contain peak 1.</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lastRenderedPageBreak/>
        <w:t xml:space="preserve">Although the classical fingerprinting by TLC is done visually and mainly in a non-chemometric way. Several peaks can be proposed as markers, known as substances responsible for differences between discriminated classes. However, the main disadvantage of classical fingerprinting is its subjectivity. Therefore, the chemometric fingerprinting treats the chromatogram as a unique signal, without a need to identify and interpret the peaks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{"citationItems":[{"id":"ITEM-1","itemData":{"ISSN":"2090-3502","author":[{"dropping-particle":"","family":"Komsta","given":"Łukasz","non-dropping-particle":"","parse-names":false,"suffix":""}],"container-title":"Chromatography Research International","id":"ITEM-1","issued":{"date-parts":[["2012"]]},"publisher":"Hindawi","title":"Chemometrics in fingerprinting by means of thin layer chromatography","type":"article-journal","volume":"2012"},"uris":["http://www.mendeley.com/documents/?uuid=38e9dbe0-f4c2-461f-9a7e-29ab8d756d35"]}],"mendeley":{"formattedCitation":"[25]","plainTextFormattedCitation":"[25]","previouslyFormattedCitation":"[25]"},"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[25]</w:t>
      </w:r>
      <w:r w:rsidR="00DB1E60">
        <w:rPr>
          <w:rFonts w:ascii="Times New Roman" w:hAnsi="Times New Roman"/>
          <w:sz w:val="20"/>
          <w:szCs w:val="20"/>
        </w:rPr>
        <w:fldChar w:fldCharType="end"/>
      </w:r>
      <w:r>
        <w:rPr>
          <w:rFonts w:ascii="Times New Roman" w:hAnsi="Times New Roman"/>
          <w:sz w:val="20"/>
          <w:szCs w:val="20"/>
        </w:rPr>
        <w:t>, for which, we decided to use and validate the chemometric method with the previous results and compare them with other commercial herbal products.</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The image processing procedure was based on previously published methods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{"citationItems":[{"id":"ITEM-1","itemData":{"ISSN":"2090-3502","author":[{"dropping-particle":"","family":"Komsta","given":"Łukasz","non-dropping-particle":"","parse-names":false,"suffix":""}],"container-title":"Chromatography Research International","id":"ITEM-1","issued":{"date-parts":[["2012"]]},"publisher":"Hindawi","title":"Chemometrics in fingerprinting by means of thin layer chromatography","type":"article-journal","volume":"2012"},"uris":["http://www.mendeley.com/documents/?uuid=38e9dbe0-f4c2-461f-9a7e-29ab8d756d35"]},{"id":"ITEM-2","itemData":{"ISSN":"0308-8146","author":[{"dropping-particle":"","family":"Olech","given":"Marta","non-dropping-particle":"","parse-names":false,"suffix":""},{"dropping-particle":"","family":"Komsta","given":"Łukasz","non-dropping-particle":"","parse-names":false,"suffix":""},{"dropping-particle":"","family":"Nowak","given":"Renata","non-dropping-particle":"","parse-names":false,"suffix":""},{"dropping-particle":"","family":"Cieśla","given":"Łukasz","non-dropping-particle":"","parse-names":false,"suffix":""},{"dropping-particle":"","family":"Waksmundzka-Hajnos","given":"Monika","non-dropping-particle":"","parse-names":false,"suffix":""}],"container-title":"Food chemistry","id":"ITEM-2","issue":"1","issued":{"date-parts":[["2012"]]},"page":"549-553","publisher":"Elsevier","title":"Investigation of antiradical activity of plant material by thin-layer chromatography with image processing","type":"article-journal","volume":"132"},"uris":["http://www.mendeley.com/documents/?uuid=c436eb59-7752-4766-995f-b48cd972cac7"]},{"id":"ITEM-3","itemData":{"ISSN":"0308-8146","author":[{"dropping-particle":"","family":"Kupski","given":"L","non-dropping-particle":"","parse-names":false,"suffix":""},{"dropping-particle":"","family":"Badiale-Furlong","given":"E","non-dropping-particle":"","parse-names":false,"suffix":""}],"container-title":"Food chemistry","id":"ITEM-3","issued":{"date-parts":[["2015"]]},"page":"354-360","publisher":"Elsevier","title":"Principal components analysis: An innovative approach to establish interferences in ochratoxin A detection","type":"article-journal","volume":"177"},"uris":["http://www.mendeley.com/documents/?uuid=c3e7dc39-eaad-47e9-b264-3d1567249769"]}],"mendeley":{"formattedCitation":"[25–27]","plainTextFormattedCitation":"[25–27]","previouslyFormattedCitation":"[25–27]"},"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[25</w:t>
      </w:r>
      <w:r>
        <w:rPr>
          <w:rFonts w:ascii="Times New Roman" w:hAnsi="Times New Roman"/>
          <w:noProof/>
          <w:sz w:val="20"/>
          <w:szCs w:val="20"/>
        </w:rPr>
        <w:t>-</w:t>
      </w:r>
      <w:r w:rsidRPr="00F25DE0">
        <w:rPr>
          <w:rFonts w:ascii="Times New Roman" w:hAnsi="Times New Roman"/>
          <w:noProof/>
          <w:sz w:val="20"/>
          <w:szCs w:val="20"/>
        </w:rPr>
        <w:t>27]</w:t>
      </w:r>
      <w:r w:rsidR="00DB1E60">
        <w:rPr>
          <w:rFonts w:ascii="Times New Roman" w:hAnsi="Times New Roman"/>
          <w:sz w:val="20"/>
          <w:szCs w:val="20"/>
        </w:rPr>
        <w:fldChar w:fldCharType="end"/>
      </w:r>
      <w:r>
        <w:rPr>
          <w:rFonts w:ascii="Times New Roman" w:hAnsi="Times New Roman"/>
          <w:sz w:val="20"/>
          <w:szCs w:val="20"/>
        </w:rPr>
        <w:t>. The typical order of preprocessing includes normalization, denoising, and baseline removal, followed by warping/registering. The chromatographic peaks area shown as signals (Figure 2b), and the integration of all peaks was done automatically by TLC analyzer and MATLAB (with Image Processing Toolbox) (Table 1) to characterize their presence in a given sample. The intensity and area of these main peaks in the different samples showed significant changes; however, their peak positions remained unaltered.</w:t>
      </w:r>
    </w:p>
    <w:p w:rsidR="00EF3780" w:rsidRDefault="00EF3780" w:rsidP="00EF3780">
      <w:pPr>
        <w:spacing w:after="0"/>
        <w:jc w:val="both"/>
        <w:rPr>
          <w:rFonts w:ascii="Times New Roman" w:hAnsi="Times New Roman"/>
          <w:sz w:val="20"/>
          <w:szCs w:val="20"/>
        </w:rPr>
      </w:pPr>
    </w:p>
    <w:p w:rsidR="00EF3780" w:rsidRDefault="00EF3780" w:rsidP="00EF3780">
      <w:pPr>
        <w:pStyle w:val="HTMLPreformatted"/>
        <w:spacing w:line="276" w:lineRule="auto"/>
        <w:jc w:val="both"/>
        <w:rPr>
          <w:rFonts w:ascii="Times New Roman" w:hAnsi="Times New Roman" w:cs="Times New Roman"/>
        </w:rPr>
      </w:pPr>
      <w:r>
        <w:rPr>
          <w:rFonts w:ascii="Times New Roman" w:hAnsi="Times New Roman" w:cs="Times New Roman"/>
        </w:rPr>
        <w:t xml:space="preserve">A multivariate analysis, the principal component analysis (PCA) is based on the generation of a new set of variables, called principal components to explain the variability of results, besides showing the correlation between the different variables. PCA has been used as an unsupervised technique to evaluate whether the approach TLC/chemometrics may differentiate samples according to different phytochemicals, thus discriminating the original </w:t>
      </w:r>
      <w:r>
        <w:rPr>
          <w:rFonts w:ascii="Times New Roman" w:hAnsi="Times New Roman" w:cs="Times New Roman"/>
          <w:i/>
        </w:rPr>
        <w:t>Moringa oleifera</w:t>
      </w:r>
      <w:r>
        <w:rPr>
          <w:rFonts w:ascii="Times New Roman" w:hAnsi="Times New Roman" w:cs="Times New Roman"/>
        </w:rPr>
        <w:t xml:space="preserve"> leaf products.</w:t>
      </w:r>
    </w:p>
    <w:p w:rsidR="00EF3780" w:rsidRDefault="00EF3780" w:rsidP="00EF3780">
      <w:pPr>
        <w:pStyle w:val="HTMLPreformatted"/>
        <w:spacing w:line="276" w:lineRule="auto"/>
        <w:jc w:val="both"/>
        <w:rPr>
          <w:rFonts w:ascii="Times New Roman" w:hAnsi="Times New Roman" w:cs="Times New Roman"/>
        </w:rPr>
      </w:pPr>
    </w:p>
    <w:p w:rsidR="00EF3780" w:rsidRDefault="00EF3780" w:rsidP="00EF3780">
      <w:pPr>
        <w:pStyle w:val="HTMLPreformatted"/>
        <w:spacing w:line="276" w:lineRule="auto"/>
        <w:jc w:val="both"/>
        <w:rPr>
          <w:rFonts w:ascii="Times New Roman" w:hAnsi="Times New Roman" w:cs="Times New Roman"/>
        </w:rPr>
        <w:sectPr w:rsidR="00EF3780" w:rsidSect="005F4B75">
          <w:headerReference w:type="even" r:id="rId24"/>
          <w:headerReference w:type="default" r:id="rId25"/>
          <w:footerReference w:type="even" r:id="rId26"/>
          <w:headerReference w:type="first" r:id="rId27"/>
          <w:type w:val="evenPage"/>
          <w:pgSz w:w="12240" w:h="15840" w:code="1"/>
          <w:pgMar w:top="1800" w:right="1469" w:bottom="1699" w:left="1440" w:header="706" w:footer="706" w:gutter="0"/>
          <w:pgNumType w:start="448"/>
          <w:cols w:num="2" w:space="403"/>
          <w:docGrid w:linePitch="360"/>
        </w:sectPr>
      </w:pPr>
      <w:r>
        <w:rPr>
          <w:rFonts w:ascii="Times New Roman" w:hAnsi="Times New Roman" w:cs="Times New Roman"/>
        </w:rPr>
        <w:t xml:space="preserve">The scree plot gave two principal components, where the contribution of variance for individual components was: component 1 explaining 83.75%, and component 2 explaining 13.14%. Furthermore, the total contribution of variance from the two components was 96.99%. In terms of major contribution, compounds 1, 5 and 8 made the greatest contribution towards F1 whereas compounds 4 and 6 were the contributors for F2. It was found that F1 has no associated with peak 9. </w:t>
      </w:r>
    </w:p>
    <w:p w:rsidR="00EF3780" w:rsidRDefault="00EF3780" w:rsidP="00EF3780">
      <w:pPr>
        <w:pStyle w:val="HTMLPreformatted"/>
        <w:spacing w:line="276" w:lineRule="auto"/>
        <w:jc w:val="both"/>
        <w:rPr>
          <w:rFonts w:ascii="Times New Roman" w:hAnsi="Times New Roman" w:cs="Times New Roman"/>
          <w:color w:val="000000"/>
          <w:lang w:val="en-US"/>
        </w:rPr>
      </w:pPr>
      <w:r>
        <w:rPr>
          <w:rFonts w:ascii="Times New Roman" w:hAnsi="Times New Roman" w:cs="Times New Roman"/>
        </w:rPr>
        <w:lastRenderedPageBreak/>
        <w:t xml:space="preserve">Whereas F2 was found to be positively associated with peak 4. In the first quadrant we have the samples of Mas Lait and De Fort Quer that are characterized by compound 6. In contrast, in the fourth quadrant, we have the Infusionate, Terbal and Akanandi samples that are characterized by the compounds 2 and 7 (Figure 4). </w:t>
      </w:r>
      <w:r>
        <w:rPr>
          <w:rFonts w:ascii="Times New Roman" w:hAnsi="Times New Roman" w:cs="Times New Roman"/>
          <w:color w:val="000000"/>
          <w:lang w:val="en-US"/>
        </w:rPr>
        <w:t xml:space="preserve">The results indicated that the chemical composition and content in the </w:t>
      </w:r>
      <w:r>
        <w:rPr>
          <w:rFonts w:ascii="Times New Roman" w:hAnsi="Times New Roman" w:cs="Times New Roman"/>
          <w:i/>
          <w:iCs/>
          <w:color w:val="000000"/>
          <w:lang w:val="en-US"/>
        </w:rPr>
        <w:t>M. oleifera</w:t>
      </w:r>
      <w:r>
        <w:rPr>
          <w:rFonts w:ascii="Times New Roman" w:hAnsi="Times New Roman" w:cs="Times New Roman"/>
          <w:color w:val="000000"/>
          <w:lang w:val="en-US"/>
        </w:rPr>
        <w:t xml:space="preserve"> herbal products significantly varied.</w:t>
      </w:r>
    </w:p>
    <w:p w:rsidR="00EF3780" w:rsidRDefault="00EF3780" w:rsidP="00EF3780">
      <w:pPr>
        <w:pStyle w:val="HTMLPreformatted"/>
        <w:spacing w:line="276" w:lineRule="auto"/>
        <w:jc w:val="both"/>
        <w:rPr>
          <w:rFonts w:ascii="Times New Roman" w:hAnsi="Times New Roman" w:cs="Times New Roman"/>
        </w:rPr>
      </w:pPr>
    </w:p>
    <w:p w:rsidR="00EF3780" w:rsidRPr="00533380" w:rsidRDefault="00EF3780" w:rsidP="00EF3780">
      <w:pPr>
        <w:pStyle w:val="HTMLPreformatted"/>
        <w:spacing w:line="276" w:lineRule="auto"/>
        <w:jc w:val="both"/>
        <w:rPr>
          <w:rFonts w:ascii="Times New Roman" w:hAnsi="Times New Roman" w:cs="Times New Roman"/>
        </w:rPr>
      </w:pPr>
      <w:r>
        <w:rPr>
          <w:rFonts w:ascii="Times New Roman" w:hAnsi="Times New Roman" w:cs="Times New Roman"/>
        </w:rPr>
        <w:t xml:space="preserve">Additionally, we use the distance metric to measure the similarity or dissimilarities between points. The K-mean cluster showed distribution of data into three clusters: 1 (3), 2 (1) and 3 (1). Cluster 1 shows three samples (Infusionate, Terbal and Akanandi) with minimum distance to centroid of </w:t>
      </w:r>
      <w:r>
        <w:rPr>
          <w:rFonts w:ascii="Times New Roman" w:hAnsi="Times New Roman" w:cs="Times New Roman"/>
          <w:color w:val="000000"/>
        </w:rPr>
        <w:t>2,228.76</w:t>
      </w:r>
      <w:r>
        <w:rPr>
          <w:rFonts w:ascii="Times New Roman" w:hAnsi="Times New Roman" w:cs="Times New Roman"/>
          <w:color w:val="000000"/>
          <w:lang w:val="en-US"/>
        </w:rPr>
        <w:t>. Cluster 2 shows one sample (Mas lait</w:t>
      </w:r>
      <w:r>
        <w:rPr>
          <w:rFonts w:ascii="Times New Roman" w:hAnsi="Times New Roman" w:cs="Times New Roman"/>
          <w:lang w:val="en-US"/>
        </w:rPr>
        <w:t xml:space="preserve">) </w:t>
      </w:r>
      <w:r>
        <w:rPr>
          <w:rFonts w:ascii="Times New Roman" w:hAnsi="Times New Roman" w:cs="Times New Roman"/>
        </w:rPr>
        <w:t xml:space="preserve">with minimum distance to centroid of </w:t>
      </w:r>
      <w:r>
        <w:rPr>
          <w:rFonts w:ascii="Times New Roman" w:hAnsi="Times New Roman" w:cs="Times New Roman"/>
          <w:color w:val="000000"/>
        </w:rPr>
        <w:t>2472.88</w:t>
      </w:r>
      <w:r>
        <w:rPr>
          <w:rFonts w:ascii="Times New Roman" w:hAnsi="Times New Roman" w:cs="Times New Roman"/>
          <w:color w:val="000000"/>
          <w:lang w:val="en-US"/>
        </w:rPr>
        <w:t xml:space="preserve">; Cluster 3 shows one sample (De Font Quer) with minimum distance to centroid of 1816.44. According to the inter-cluster distances, it was observed that Mas lait and De Fort Quer, characterized by high values of phytochemicals, differs significantly to the samples from Cluster 1. K-mean analysis clusters </w:t>
      </w:r>
      <w:r w:rsidRPr="00533380">
        <w:rPr>
          <w:rFonts w:ascii="Times New Roman" w:hAnsi="Times New Roman" w:cs="Times New Roman"/>
          <w:i/>
          <w:color w:val="000000"/>
          <w:lang w:val="en-US"/>
        </w:rPr>
        <w:t>M. oleifera</w:t>
      </w:r>
      <w:r>
        <w:rPr>
          <w:rFonts w:ascii="Times New Roman" w:hAnsi="Times New Roman" w:cs="Times New Roman"/>
          <w:color w:val="000000"/>
          <w:lang w:val="en-US"/>
        </w:rPr>
        <w:t xml:space="preserve"> samples into different groups, clearly showing that this method can adequately discriminate different products using TLC. </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sidRPr="004060AD">
        <w:rPr>
          <w:rFonts w:ascii="Times New Roman" w:hAnsi="Times New Roman"/>
          <w:sz w:val="20"/>
          <w:szCs w:val="20"/>
        </w:rPr>
        <w:t>Based on the comparison of the Rfs with standard compounds, the spots obtained in all the tracks were analyzed and the Rf values were compared to the standard.</w:t>
      </w:r>
      <w:r w:rsidR="007336BC">
        <w:rPr>
          <w:rFonts w:ascii="Times New Roman" w:hAnsi="Times New Roman"/>
          <w:sz w:val="20"/>
          <w:szCs w:val="20"/>
        </w:rPr>
        <w:t xml:space="preserve"> </w:t>
      </w:r>
      <w:r w:rsidRPr="004060AD">
        <w:rPr>
          <w:rFonts w:ascii="Times New Roman" w:hAnsi="Times New Roman"/>
          <w:sz w:val="20"/>
          <w:szCs w:val="20"/>
        </w:rPr>
        <w:t xml:space="preserve"> If </w:t>
      </w:r>
      <w:r w:rsidR="007336BC">
        <w:rPr>
          <w:rFonts w:ascii="Times New Roman" w:hAnsi="Times New Roman"/>
          <w:sz w:val="20"/>
          <w:szCs w:val="20"/>
        </w:rPr>
        <w:t xml:space="preserve"> </w:t>
      </w:r>
      <w:r w:rsidRPr="004060AD">
        <w:rPr>
          <w:rFonts w:ascii="Times New Roman" w:hAnsi="Times New Roman"/>
          <w:sz w:val="20"/>
          <w:szCs w:val="20"/>
        </w:rPr>
        <w:t xml:space="preserve">Rf </w:t>
      </w:r>
      <w:r w:rsidR="007336BC">
        <w:rPr>
          <w:rFonts w:ascii="Times New Roman" w:hAnsi="Times New Roman"/>
          <w:sz w:val="20"/>
          <w:szCs w:val="20"/>
        </w:rPr>
        <w:t xml:space="preserve"> </w:t>
      </w:r>
      <w:r w:rsidRPr="004060AD">
        <w:rPr>
          <w:rFonts w:ascii="Times New Roman" w:hAnsi="Times New Roman"/>
          <w:sz w:val="20"/>
          <w:szCs w:val="20"/>
        </w:rPr>
        <w:t xml:space="preserve">value of pure compound is matching to any Rf value of extract shows the presence of that standard in the extract. The presence of specific peaks for quercetin, gallic acid and rutin at Rfs around 0.8, 0.5, and 0.32 were recorded and considered a positive result for polyphenols (Figure 4). The spots observed under UV light and DPPH stain indicate the absence or few abundances of these compounds in the De Font Quer sample extract. Natural products are extremely complex, containing many components of various composition, size, and acid-base properties. Additionally, Rf values are affect by several factors such as depth of mobile phase, nature of the TLC plate, and solvent parameters. Therefore, these results indicating that TLC has low resolution and its necessity the confirmation of extract by HPLC-DAD. </w:t>
      </w:r>
    </w:p>
    <w:p w:rsidR="00EF3780" w:rsidRDefault="00EF3780" w:rsidP="00EF3780">
      <w:pPr>
        <w:spacing w:after="0"/>
        <w:jc w:val="both"/>
        <w:rPr>
          <w:rFonts w:ascii="Times New Roman" w:hAnsi="Times New Roman"/>
          <w:sz w:val="20"/>
          <w:szCs w:val="20"/>
        </w:rPr>
      </w:pPr>
      <w:r>
        <w:rPr>
          <w:rFonts w:ascii="Times New Roman" w:hAnsi="Times New Roman"/>
          <w:sz w:val="20"/>
          <w:szCs w:val="20"/>
        </w:rPr>
        <w:lastRenderedPageBreak/>
        <w:t xml:space="preserve">When developing a new analytical method, it is desirable to compare the results from the new method with those from an accepted method. The HPLC-DAD chromatogram of the hydroalcoholic extract of </w:t>
      </w:r>
      <w:r>
        <w:rPr>
          <w:rFonts w:ascii="Times New Roman" w:hAnsi="Times New Roman"/>
          <w:i/>
          <w:sz w:val="20"/>
          <w:szCs w:val="20"/>
        </w:rPr>
        <w:t>M. oleifera</w:t>
      </w:r>
      <w:r>
        <w:rPr>
          <w:rFonts w:ascii="Times New Roman" w:hAnsi="Times New Roman"/>
          <w:sz w:val="20"/>
          <w:szCs w:val="20"/>
        </w:rPr>
        <w:t xml:space="preserve"> revealed the presence of various compounds with corresponding peaks at different times (Figure 5). The compounds identified in the extracts are shown in Table 2. Based on a comparison of the retention times with those of the standards, peaks 1, 2, 4, 5, 7 and 9 were identified as chlorogenic acid, syringic acid, luteolin, rutin, isoquercetin and astragalin, respectively. The most abundant flavonoids in all samples were chlorogenic acid and isoquercetin, while luteolin was found at lower concentration. Among the main detected peaks 3, 4, 7, 8 and 10, did not match any compounds previously identified in our laboratory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{"citationItems":[{"id":"ITEM-1","itemData":{"DOI":"10.1155/2015/860381","ISSN":"20909071","abstract":"Moringa oleifera is a tree distributed in Mexican semiarid and coastal regions. M. oleifera is used in practice in the treatment of various diseases and is available without a medical prescription, often in the form of an herbal infusion for everyday use. The aim of the present study was to evaluate the chemical composition and nutritional values of dried M. oleifera leaf powder collected from two different regions in Mexico. All samples of M. oleifera exhibited moisture levels varying from 3.06 to 3.34%, lipids from 10.21 to 10.31%, fiber from 7.29 to 9.46%, ashes from 10.71 to 11.18%, crude protein from 10.74 to 11.48%, and carbohydrates from 54.61 to 57.61%. The predominant mineral elements in the leaf powder according to ICP-MS were Ca (2016.5-2620.5 mg/100 g), K (1817-1845 mg/100 g), and Mg (322.5-340.6 mg/100 g). The HPLC analysis indicated the presence of phenolic acids (gallic and chlorogenic acids) and flavonoids (rutin, luteolin, quercetin, apigenin, and kaempferol). We concluded that Lombardia M. oleifera samples could be employed in edible and commercial applications. Our results showed that the highest mean value of As from the San Pedro samples exceeds the recommended level and may constitute a health hazard to consumers.","author":[{"dropping-particle":"","family":"Valdez-Solana","given":"Mónica A.","non-dropping-particle":"","parse-names":false,"suffix":""},{"dropping-particle":"","family":"Mejía-García","given":"Verónica Y.","non-dropping-particle":"","parse-names":false,"suffix":""},{"dropping-particle":"","family":"Téllez-Valencia","given":"Alfredo","non-dropping-particle":"","parse-names":false,"suffix":""},{"dropping-particle":"","family":"García-Arenas","given":"Guadalupe","non-dropping-particle":"","parse-names":false,"suffix":""},{"dropping-particle":"","family":"Salas-Pacheco","given":"José","non-dropping-particle":"","parse-names":false,"suffix":""},{"dropping-particle":"","family":"Alba-Romero","given":"José J.","non-dropping-particle":"","parse-names":false,"suffix":""},{"dropping-particle":"","family":"Sierra-Campos","given":"Erick","non-dropping-particle":"","parse-names":false,"suffix":""}],"container-title":"Journal of Chemistry","id":"ITEM-1","issued":{"date-parts":[["2015"]]},"title":"Nutritional content and elemental and phytochemical analyses of moringa oleifera grown in Mexico","type":"article-journal","volume":"2015"},"uris":["http://www.mendeley.com/documents/?uuid=16e5c634-134b-46bb-b141-fe2c1e361346"]}],"mendeley":{"formattedCitation":"[14]","plainTextFormattedCitation":"[14]","previouslyFormattedCitation":"[14]"},"properties":{"noteIndex":0},"schema":"https://github.com/citation-style-language/schema/raw/master/csl-citation.json"}</w:instrText>
      </w:r>
      <w:r w:rsidR="00DB1E60">
        <w:rPr>
          <w:rFonts w:ascii="Times New Roman" w:hAnsi="Times New Roman"/>
          <w:sz w:val="20"/>
          <w:szCs w:val="20"/>
        </w:rPr>
        <w:fldChar w:fldCharType="separate"/>
      </w:r>
      <w:r w:rsidRPr="002F77C2">
        <w:rPr>
          <w:rFonts w:ascii="Times New Roman" w:hAnsi="Times New Roman"/>
          <w:noProof/>
          <w:sz w:val="20"/>
          <w:szCs w:val="20"/>
        </w:rPr>
        <w:t>[14]</w:t>
      </w:r>
      <w:r w:rsidR="00DB1E60">
        <w:rPr>
          <w:rFonts w:ascii="Times New Roman" w:hAnsi="Times New Roman"/>
          <w:sz w:val="20"/>
          <w:szCs w:val="20"/>
        </w:rPr>
        <w:fldChar w:fldCharType="end"/>
      </w:r>
      <w:r>
        <w:rPr>
          <w:rFonts w:ascii="Times New Roman" w:hAnsi="Times New Roman"/>
          <w:sz w:val="20"/>
          <w:szCs w:val="20"/>
        </w:rPr>
        <w:t xml:space="preserve">. However, kaempferol and quercetin derivatives were the most predominant flavonoids in </w:t>
      </w:r>
      <w:r>
        <w:rPr>
          <w:rFonts w:ascii="Times New Roman" w:hAnsi="Times New Roman"/>
          <w:i/>
          <w:sz w:val="20"/>
          <w:szCs w:val="20"/>
        </w:rPr>
        <w:t>M. oleifera</w:t>
      </w:r>
      <w:r>
        <w:rPr>
          <w:rFonts w:ascii="Times New Roman" w:hAnsi="Times New Roman"/>
          <w:sz w:val="20"/>
          <w:szCs w:val="20"/>
        </w:rPr>
        <w:t xml:space="preserve"> leaves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author":[{"dropping-particle":"","family":"Lin","given":"Hongqiang","non-dropping-particle":"","parse-names":false,"suffix":""},{"dropping-particle":"","family":"Zhu","given":"Hailin","non-dropping-particle":"","parse-names":false,"suffix":""},{"dropping-particle":"","family":"Tan","given":"Jing","non-dropping-particle":"","parse-names":false,"suffix":""},{"dropping-particle":"","family":"Wang","given":"Han","non-dropping-particle":"","parse-names":false,"suffix":""},{"dropping-particle":"","family":"Wang","given":"Zhongyao","non-dropping-particle":"","parse-names":false,"suffix":""},{"dropping-particle":"","family":"Li","given":"Pingya","non-dropping-particle":"","parse-names":false,"suffix":""},{"dropping-particle":"","family":"Zhao","given":"Chunfang","non-dropping-particle":"","parse-names":false,"suffix":""},{"dropping-particle":"","family":"Liu","given":"Jinping","non-dropping-particle":"","parse-names":false,"suffix":""}],"container-title":"Molecules","id":"ITEM-1","issue":"5","issued":{"date-parts":[["2019"]]},"page":"942","publisher":"Multidisciplinary Digital Publishing Institute","title":"Comparative Analysis of Chemical Constituents of Moringa oleifera Leaves from China and India by Ultra-Performance Liquid Chromatography Coupled with Quadrupole-Time-Of-Flight Mass Spectrometry","type":"article-journal","volume":"24"},"uris":["http://www.mendeley.com/documents/?uuid=d2eb5eed-59ab-4bd7-b27f-4f7a2c514e60"]},{"id":"ITEM-2","itemData":{"ISSN":"0926-6690","author":[{"dropping-particle":"","family":"Rodríguez-Pérez","given":"C","non-dropping-particle":"","parse-names":false,"suffix":""},{"dropping-particle":"","family":"Quirantes-Piné","given":"R","non-dropping-particle":"","parse-names":false,"suffix":""},{"dropping-particle":"","family":"Fernández-Gutiérrez","given":"A","non-dropping-particle":"","parse-names":false,"suffix":""},{"dropping-particle":"","family":"Segura-Carretero","given":"A","non-dropping-particle":"","parse-names":false,"suffix":""}],"container-title":"Industrial Crops and Products","id":"ITEM-2","issued":{"date-parts":[["2015"]]},"page":"246-254","publisher":"Elsevier","title":"Optimization of extraction method to obtain a phenolic compounds-rich extract from Moringa oleifera Lam leaves","type":"article-journal","volume":"66"},"uris":["http://www.mendeley.com/documents/?uuid=a4b3094a-d6fa-457b-9cd7-595de3843056"]}],"mendeley":{"formattedCitation":"[28,29]","plainTextFormattedCitation":"[28,29]","previouslyFormattedCitation":"[28,29]"},"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[28,</w:t>
      </w:r>
      <w:r>
        <w:rPr>
          <w:rFonts w:ascii="Times New Roman" w:hAnsi="Times New Roman"/>
          <w:noProof/>
          <w:sz w:val="20"/>
          <w:szCs w:val="20"/>
        </w:rPr>
        <w:t xml:space="preserve"> </w:t>
      </w:r>
      <w:r w:rsidRPr="00F25DE0">
        <w:rPr>
          <w:rFonts w:ascii="Times New Roman" w:hAnsi="Times New Roman"/>
          <w:noProof/>
          <w:sz w:val="20"/>
          <w:szCs w:val="20"/>
        </w:rPr>
        <w:t>29]</w:t>
      </w:r>
      <w:r w:rsidR="00DB1E60">
        <w:rPr>
          <w:rFonts w:ascii="Times New Roman" w:hAnsi="Times New Roman"/>
          <w:sz w:val="20"/>
          <w:szCs w:val="20"/>
        </w:rPr>
        <w:fldChar w:fldCharType="end"/>
      </w:r>
      <w:r>
        <w:rPr>
          <w:rFonts w:ascii="Times New Roman" w:hAnsi="Times New Roman"/>
          <w:sz w:val="20"/>
          <w:szCs w:val="20"/>
        </w:rPr>
        <w:t>. Therefore, additional mass-spectrometry studies are required to know the identity of the unknown compounds.</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The HPLC-DAD fingerprints of herbal products were obtained and are shown in Figure 5. It was found that all samples (S1-S5) had similar spectra which indicated the similar chemical composition of these products. There were 10 main common peaks, which were marked (1-10) in each chromatogram. Peak 7 (TR = 28.49±0.8 min) was selected as the reference peak because it was the maximum peak in each sample. </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Statistically significant differences were observed among the different samples for all single bioactive compounds: the most important differences were observed in the concentration of syringic acid, isoquercetin and astragalin. All were previously described in </w:t>
      </w:r>
      <w:r>
        <w:rPr>
          <w:rFonts w:ascii="Times New Roman" w:hAnsi="Times New Roman"/>
          <w:i/>
          <w:sz w:val="20"/>
          <w:szCs w:val="20"/>
        </w:rPr>
        <w:t>M. oleifera</w:t>
      </w:r>
      <w:r>
        <w:rPr>
          <w:rFonts w:ascii="Times New Roman" w:hAnsi="Times New Roman"/>
          <w:sz w:val="20"/>
          <w:szCs w:val="20"/>
        </w:rPr>
        <w:t xml:space="preserve"> leaves. However, the values are extremely variable across the five samples, most likely because both </w:t>
      </w:r>
      <w:r>
        <w:rPr>
          <w:rFonts w:ascii="Times New Roman" w:hAnsi="Times New Roman"/>
          <w:i/>
          <w:sz w:val="20"/>
          <w:szCs w:val="20"/>
        </w:rPr>
        <w:t>M. oleifera</w:t>
      </w:r>
      <w:r>
        <w:rPr>
          <w:rFonts w:ascii="Times New Roman" w:hAnsi="Times New Roman"/>
          <w:sz w:val="20"/>
          <w:szCs w:val="20"/>
        </w:rPr>
        <w:t xml:space="preserve"> variety and industrial product manufacturing affect the amount of flavonoids eventually present in the final product. </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sectPr w:rsidR="00EF3780" w:rsidSect="005F4B75">
          <w:headerReference w:type="even" r:id="rId28"/>
          <w:headerReference w:type="default" r:id="rId29"/>
          <w:footerReference w:type="default" r:id="rId30"/>
          <w:headerReference w:type="first" r:id="rId31"/>
          <w:type w:val="oddPage"/>
          <w:pgSz w:w="12240" w:h="15840" w:code="1"/>
          <w:pgMar w:top="1800" w:right="1469" w:bottom="1699" w:left="1440" w:header="706" w:footer="706" w:gutter="0"/>
          <w:pgNumType w:start="448"/>
          <w:cols w:num="2" w:space="403"/>
          <w:docGrid w:linePitch="360"/>
        </w:sect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lastRenderedPageBreak/>
        <w:t>The major constituents of the extract were:</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Peak 1 was found to be chlorogenic acid which is an ester of caffeic acid and quinic acid and is made up of 20.5% of the S1 extract. The chlorogenic acid content did not drastically vary, although S2 and S4 contained slightly lower concentration and it agreed with </w:t>
      </w:r>
      <w:r w:rsidRPr="001D02B4">
        <w:rPr>
          <w:rFonts w:ascii="Times New Roman" w:hAnsi="Times New Roman"/>
          <w:sz w:val="20"/>
          <w:szCs w:val="20"/>
        </w:rPr>
        <w:t>Vergara</w:t>
      </w:r>
      <w:r w:rsidRPr="00F35FB1">
        <w:rPr>
          <w:rFonts w:ascii="Times New Roman" w:hAnsi="Times New Roman"/>
          <w:sz w:val="20"/>
          <w:szCs w:val="20"/>
        </w:rPr>
        <w:t xml:space="preserve">-Jimenez </w:t>
      </w:r>
      <w:r w:rsidR="00DB1E60" w:rsidRPr="00F35FB1">
        <w:rPr>
          <w:rFonts w:ascii="Times New Roman" w:hAnsi="Times New Roman"/>
          <w:sz w:val="20"/>
          <w:szCs w:val="20"/>
        </w:rPr>
        <w:fldChar w:fldCharType="begin" w:fldLock="1"/>
      </w:r>
      <w:r w:rsidRPr="00F35FB1">
        <w:rPr>
          <w:rFonts w:ascii="Times New Roman" w:hAnsi="Times New Roman"/>
          <w:sz w:val="20"/>
          <w:szCs w:val="20"/>
        </w:rPr>
        <w:instrText>ADDIN CSL_CITATION {"citationItems":[{"id":"ITEM-1","itemData":{"author":[{"dropping-particle":"","family":"Vergara-Jimenez","given":"Marcela","non-dropping-particle":"","parse-names":false,"suffix":""},{"dropping-particle":"","family":"Almatrafi","given":"Manal Mused","non-dropping-particle":"","parse-names":false,"suffix":""},{"dropping-particle":"","family":"Fernandez","given":"Maria Luz","non-dropping-particle":"","parse-names":false,"suffix":""}],"container-title":"Antioxidants","id":"ITEM-1","issue":"4","issued":{"date-parts":[["2017"]]},"page":"91","publisher":"Multidisciplinary Digital Publishing Institute","title":"Bioactive components in Moringa Oleifera leaves protect against chronic disease","type":"article-journal","volume":"6"},"uris":["http://www.mendeley.com/documents/?uuid=d984dffc-a598-40ac-a4c2-727b40245a82"]}],"mendeley":{"formattedCitation":"[30]","plainTextFormattedCitation":"[30]","previouslyFormattedCitation":"[30]"},"properties":{"noteIndex":0},"schema":"https://github.com/citation-style-language/schema/raw/master/csl-citation.json"}</w:instrText>
      </w:r>
      <w:r w:rsidR="00DB1E60" w:rsidRPr="00F35FB1">
        <w:rPr>
          <w:rFonts w:ascii="Times New Roman" w:hAnsi="Times New Roman"/>
          <w:sz w:val="20"/>
          <w:szCs w:val="20"/>
        </w:rPr>
        <w:fldChar w:fldCharType="separate"/>
      </w:r>
      <w:r w:rsidRPr="00F35FB1">
        <w:rPr>
          <w:rFonts w:ascii="Times New Roman" w:hAnsi="Times New Roman"/>
          <w:noProof/>
          <w:sz w:val="20"/>
          <w:szCs w:val="20"/>
        </w:rPr>
        <w:t>[30]</w:t>
      </w:r>
      <w:r w:rsidR="00DB1E60" w:rsidRPr="00F35FB1">
        <w:rPr>
          <w:rFonts w:ascii="Times New Roman" w:hAnsi="Times New Roman"/>
          <w:sz w:val="20"/>
          <w:szCs w:val="20"/>
        </w:rPr>
        <w:fldChar w:fldCharType="end"/>
      </w:r>
      <w:r>
        <w:rPr>
          <w:rFonts w:ascii="Times New Roman" w:hAnsi="Times New Roman"/>
          <w:sz w:val="20"/>
          <w:szCs w:val="20"/>
        </w:rPr>
        <w:t xml:space="preserve"> which reported higher concentration of cinnamic acids in </w:t>
      </w:r>
      <w:r>
        <w:rPr>
          <w:rFonts w:ascii="Times New Roman" w:hAnsi="Times New Roman"/>
          <w:i/>
          <w:sz w:val="20"/>
          <w:szCs w:val="20"/>
        </w:rPr>
        <w:t>M. oleifera</w:t>
      </w:r>
      <w:r>
        <w:rPr>
          <w:rFonts w:ascii="Times New Roman" w:hAnsi="Times New Roman"/>
          <w:sz w:val="20"/>
          <w:szCs w:val="20"/>
        </w:rPr>
        <w:t xml:space="preserve">. This compound is a potent antioxidant that protects plants from lipid peroxidation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{"citationItems":[{"id":"ITEM-1","itemData":{"DOI":"10.1016/S0278-6915(00)00014-4","ISSN":"02786915","abstract":"Various plant extracts, such as carrot, burdock (gobou), apricot and prune, showed inhibitory effects in an in vitro assay of lipid peroxide-induced 8-hydroxydeoxyguanosine (8-OH-dG) formation. The major inhibitor purified from various plants extracts was identified as chlorogenic acid (CA), on the basis of UV- and mass-spectra and comparison with a standard sample. To examine whether CA also inhibits 8-OH-dG formation in animal organs, an oxygen radical-forming carcinogen, 4-nitroquinoline-1-oxide, was administered to rats, with or without CA. The 8-OH-dG level in the DNA of the rat tongue, the target organ, was significantly reduced in the CA-treated group. Copyright (C) 2000 Elsevier Science Ltd.","author":[{"dropping-particle":"","family":"Kasai","given":"H.","non-dropping-particle":"","parse-names":false,"suffix":""},{"dropping-particle":"","family":"Fukada","given":"S.","non-dropping-particle":"","parse-names":false,"suffix":""},{"dropping-particle":"","family":"Yamaizumi","given":"Z.","non-dropping-particle":"","parse-names":false,"suffix":""},{"dropping-particle":"","family":"Sugie","given":"S.","non-dropping-particle":"","parse-names":false,"suffix":""},{"dropping-particle":"","family":"Mori","given":"H.","non-dropping-particle":"","parse-names":false,"suffix":""}],"container-title":"Food and Chemical Toxicology","id":"ITEM-1","issue":"5","issued":{"date-parts":[["2000"]]},"page":"467-471","title":"Action of chlorogenic acid in vegetables and fruits as an inhibitor of 8-hydroxydeoxyguanosine formation in vitro and in a rat carcinogenesis model","type":"article-journal","volume":"38"},"uris":["http://www.mendeley.com/documents/?uuid=47ef8c26-7d41-4050-8ae0-a8206fdd2537"]}],"mendeley":{"formattedCitation":"[31]","plainTextFormattedCitation":"[31]","previouslyFormattedCitation":"[31]"},"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[31]</w:t>
      </w:r>
      <w:r w:rsidR="00DB1E60">
        <w:rPr>
          <w:rFonts w:ascii="Times New Roman" w:hAnsi="Times New Roman"/>
          <w:sz w:val="20"/>
          <w:szCs w:val="20"/>
        </w:rPr>
        <w:fldChar w:fldCharType="end"/>
      </w:r>
      <w:r>
        <w:rPr>
          <w:rFonts w:ascii="Times New Roman" w:hAnsi="Times New Roman"/>
          <w:sz w:val="20"/>
          <w:szCs w:val="20"/>
        </w:rPr>
        <w:t xml:space="preserve">. Peak 2 was identified as syringic acid a dimethoxybenzene that is 3, 5 dimethyl ether derivatives of gallic acid and it made up 5.37% of the S4 extract. The level of syringic acid was 3.3-times higher in S4 versus S1. Leaves of </w:t>
      </w:r>
      <w:r>
        <w:rPr>
          <w:rFonts w:ascii="Times New Roman" w:hAnsi="Times New Roman"/>
          <w:i/>
          <w:sz w:val="20"/>
          <w:szCs w:val="20"/>
        </w:rPr>
        <w:t>M. oleifera</w:t>
      </w:r>
      <w:r>
        <w:rPr>
          <w:rFonts w:ascii="Times New Roman" w:hAnsi="Times New Roman"/>
          <w:sz w:val="20"/>
          <w:szCs w:val="20"/>
        </w:rPr>
        <w:t xml:space="preserve"> are a good source of syringic acid and an excellent compound to be used as a therapeutic agent in various diseases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{"citationItems":[{"id":"ITEM-1","itemData":{"ISSN":"1478-6419","author":[{"dropping-particle":"","family":"Manguro","given":"Lawrence Onyango Arot","non-dropping-particle":"","parse-names":false,"suffix":""},{"dropping-particle":"","family":"Lemmen","given":"Peter","non-dropping-particle":"","parse-names":false,"suffix":""}],"container-title":"Natural product research","id":"ITEM-1","issue":"1","issued":{"date-parts":[["2007"]]},"page":"56-68","publisher":"Taylor &amp; Francis","title":"Phenolics of Moringa oleifera leaves","type":"article-journal","volume":"21"},"uris":["http://www.mendeley.com/documents/?uuid=40ab6895-8682-452d-b1dc-8562ed5b895b"]},{"id":"ITEM-2","itemData":{"ISSN":"0753-3322","author":[{"dropping-particle":"","family":"Srinivasulu","given":"Cheemanapalli","non-dropping-particle":"","parse-names":false,"suffix":""},{"dropping-particle":"","family":"Ramgopal","given":"Mopuri","non-dropping-particle":"","parse-names":false,"suffix":""},{"dropping-particle":"","family":"Ramanjaneyulu","given":"Golla","non-dropping-particle":"","parse-names":false,"suffix":""},{"dropping-particle":"","family":"Anuradha","given":"C M","non-dropping-particle":"","parse-names":false,"suffix":""},{"dropping-particle":"","family":"Kumar","given":"Chitta Suresh","non-dropping-particle":"","parse-names":false,"suffix":""}],"container-title":"Biomedicine &amp; Pharmacotherapy","id":"ITEM-2","issued":{"date-parts":[["2018"]]},"page":"547-557","publisher":"Elsevier","title":"Syringic acid (SA)‒a review of its occurrence, biosynthesis, pharmacological and industrial importance","type":"article-journal","volume":"108"},"uris":["http://www.mendeley.com/documents/?uuid=64bde5d0-e477-4a4f-870a-9fd218e83ed7"]}],"mendeley":{"formattedCitation":"[32,33]","plainTextFormattedCitation":"[32,33]","previouslyFormattedCitation":"[32,33]"},"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[32,</w:t>
      </w:r>
      <w:r>
        <w:rPr>
          <w:rFonts w:ascii="Times New Roman" w:hAnsi="Times New Roman"/>
          <w:noProof/>
          <w:sz w:val="20"/>
          <w:szCs w:val="20"/>
        </w:rPr>
        <w:t xml:space="preserve"> </w:t>
      </w:r>
      <w:r w:rsidRPr="00F25DE0">
        <w:rPr>
          <w:rFonts w:ascii="Times New Roman" w:hAnsi="Times New Roman"/>
          <w:noProof/>
          <w:sz w:val="20"/>
          <w:szCs w:val="20"/>
        </w:rPr>
        <w:t>33]</w:t>
      </w:r>
      <w:r w:rsidR="00DB1E60">
        <w:rPr>
          <w:rFonts w:ascii="Times New Roman" w:hAnsi="Times New Roman"/>
          <w:sz w:val="20"/>
          <w:szCs w:val="20"/>
        </w:rPr>
        <w:fldChar w:fldCharType="end"/>
      </w:r>
      <w:r>
        <w:rPr>
          <w:rFonts w:ascii="Times New Roman" w:hAnsi="Times New Roman"/>
          <w:sz w:val="20"/>
          <w:szCs w:val="20"/>
        </w:rPr>
        <w:t>.</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Peak 3 was not identified and made up 6.11% of the 6.49% of the S3 extract. Peak 4 was identified as luteolin, 3´,4´,5,7-tetrahydroxy flavone and it made up 2.31% of the S5 extract. Luteolin (3´,4´,5,7-tetrahydroxyflavone) possesses antioxidant activity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{"citationItems":[{"id":"ITEM-1","itemData":{"DOI":"10.1155/2014/506971","ISSN":"1537744X","abstract":"An efficient microwave-assisted extraction (MAE) technique was employed in simultaneous extraction of luteolin and apigenin from tree peony pod. The MAE procedure was optimized using response surface methodology (RSM) and compared with other conventional extraction techniques of macerate extraction (ME) and heat reflux extraction (HRE). The optimal conditions of MAE were as follows: employing 70% ethanol volume fraction as solvent, soaking time of 4 h, liquid-solid ratio of 10 (mL/g), microwave irradiation power of 265 W, microwave irradiation time of 9.6 min, and 3 extraction cycles. Under the optimal conditions, 151 μg/g luteolin and 104 μg/g apigenin were extracted from the tree peony pod. Compared with ME and HRE, MAE gave the highest extraction efficiency. The antioxidant activities of the extracts obtained by MAE, ME, and HRE were evaluated using a 2,2-di(4-tert-octylphenyl)-1-picrylhydrazyl (DPPH) free radical-scavenging assay, a ferric reducing antioxidant power assay (FRAP), and a reducing power assay. Meanwhile, the structural changes of the unprocessed and processed tree peony pod samples were analyzed by scanning electron microscopy.","author":[{"dropping-particle":"","family":"Wang","given":"Hongzheng","non-dropping-particle":"","parse-names":false,"suffix":""},{"dropping-particle":"","family":"Yang","given":"Lei","non-dropping-particle":"","parse-names":false,"suffix":""},{"dropping-particle":"","family":"Zu","given":"Yuangang","non-dropping-particle":"","parse-names":false,"suffix":""},{"dropping-particle":"","family":"Zhao","given":"Xiuhua","non-dropping-particle":"","parse-names":false,"suffix":""}],"container-title":"Scientific World Journal","id":"ITEM-1","issued":{"date-parts":[["2014"]]},"title":"Microwave-assisted simultaneous extraction of luteolin and apigenin from tree peony pod and evaluation of its antioxidant activity","type":"article-journal","volume":"2014"},"uris":["http://www.mendeley.com/documents/?uuid=6b8114f6-20f6-40bf-859d-5d70438ddabe"]}],"mendeley":{"formattedCitation":"[34]","plainTextFormattedCitation":"[34]","previouslyFormattedCitation":"[34]"},"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[34]</w:t>
      </w:r>
      <w:r w:rsidR="00DB1E60">
        <w:rPr>
          <w:rFonts w:ascii="Times New Roman" w:hAnsi="Times New Roman"/>
          <w:sz w:val="20"/>
          <w:szCs w:val="20"/>
        </w:rPr>
        <w:fldChar w:fldCharType="end"/>
      </w:r>
      <w:r>
        <w:rPr>
          <w:rFonts w:ascii="Times New Roman" w:hAnsi="Times New Roman"/>
          <w:sz w:val="20"/>
          <w:szCs w:val="20"/>
        </w:rPr>
        <w:t xml:space="preserve">. Peak 5 was found to be rutin, a dietary flavonoid and it made up 2.79% of the S5 extract. It has demonstrated that rutin has strong antioxidant properties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{"citationItems":[{"id":"ITEM-1","itemData":{"DOI":"10.1016/j.jsps.2016.04.025","ISSN":"13190164","abstract":"The contemporary scientific community has presently recognized flavonoids to be a unique class of therapeutic molecules due to their diverse therapeutic properties. Of these, rutin, also known as vitamin P or rutoside, has been explored for a number of pharmacological effects. Tea leaves, apples, and many more possess rutin as one of the active constituents. Today, rutin has been observed for its nutraceutical effect. The present review highlights current information and health-promoting effects of rutin. Along with this, safety pharmacology issues and SAR of the same have also been discussed.","author":[{"dropping-particle":"","family":"Ganeshpurkar","given":"Aditya","non-dropping-particle":"","parse-names":false,"suffix":""},{"dropping-particle":"","family":"Saluja","given":"Ajay K.","non-dropping-particle":"","parse-names":false,"suffix":""}],"container-title":"Saudi Pharmaceutical Journal","id":"ITEM-1","issue":"2","issued":{"date-parts":[["2017"]]},"page":"149-164","title":"The Pharmacological Potential of Rutin","type":"article","volume":"25"},"uris":["http://www.mendeley.com/documents/?uuid=ea26c68e-3ba9-4f25-8eeb-2c6ce731429e"]}],"mendeley":{"formattedCitation":"[35]","plainTextFormattedCitation":"[35]","previouslyFormattedCitation":"[35]"},"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[35]</w:t>
      </w:r>
      <w:r w:rsidR="00DB1E60">
        <w:rPr>
          <w:rFonts w:ascii="Times New Roman" w:hAnsi="Times New Roman"/>
          <w:sz w:val="20"/>
          <w:szCs w:val="20"/>
        </w:rPr>
        <w:fldChar w:fldCharType="end"/>
      </w:r>
      <w:r>
        <w:rPr>
          <w:rFonts w:ascii="Times New Roman" w:hAnsi="Times New Roman"/>
          <w:sz w:val="20"/>
          <w:szCs w:val="20"/>
        </w:rPr>
        <w:t>. Peak 6 was not identified and made up 21.6% of the S3 extract.</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Peak 7 was identified as isoquercetin, a flavonoid that makes up 42.15% of the S3 extract. The S3 showed the high amount of isoquercetin. It is well established that one of the mechanisms for cancer development is oxidative stress, therefore the chemopreventive effects of isoquercetin could be attributed to its antioxidant and oxidative damage preventive activities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{"citationItems":[{"id":"ITEM-1","itemData":{"author":[{"dropping-particle":"","family":"Camillo Orfali","given":"Guilherme","non-dropping-particle":"di","parse-names":false,"suffix":""},{"dropping-particle":"","family":"Duarte","given":"Ana Carolina","non-dropping-particle":"","parse-names":false,"suffix":""},{"dropping-particle":"","family":"Bonadio","given":"Vivien","non-dropping-particle":"","parse-names":false,"suffix":""},{"dropping-particle":"","family":"Martinez","given":"Natalia Peres","non-dropping-particle":"","parse-names":false,"suffix":""},{"dropping-particle":"","family":"Araújo","given":"Maria Elisa Melo Branco","non-dropping-particle":"De","parse-names":false,"suffix":""},{"dropping-particle":"","family":"Priviero","given":"Fernanda Bruschi Marinho","non-dropping-particle":"","parse-names":false,"suffix":""},{"dropping-particle":"","family":"Carvalho","given":"Patricia Oliveira","non-dropping-particle":"","parse-names":false,"suffix":""},{"dropping-particle":"","family":"Priolli","given":"Denise Gonçalves","non-dropping-particle":"","parse-names":false,"suffix":""}],"container-title":"World journal of clinical oncology","id":"ITEM-1","issue":"2","issued":{"date-parts":[["2016"]]},"page":"189","publisher":"Baishideng Publishing Group Inc","title":"Review of anticancer mechanisms of isoquercitin","type":"article-journal","volume":"7"},"uris":["http://www.mendeley.com/documents/?uuid=bb0752f1-072e-4362-8e23-655b03f58661"]}],"mendeley":{"formattedCitation":"[36]","plainTextFormattedCitation":"[36]","previouslyFormattedCitation":"[36]"},"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[36]</w:t>
      </w:r>
      <w:r w:rsidR="00DB1E60">
        <w:rPr>
          <w:rFonts w:ascii="Times New Roman" w:hAnsi="Times New Roman"/>
          <w:sz w:val="20"/>
          <w:szCs w:val="20"/>
        </w:rPr>
        <w:fldChar w:fldCharType="end"/>
      </w:r>
      <w:r>
        <w:rPr>
          <w:rFonts w:ascii="Times New Roman" w:hAnsi="Times New Roman"/>
          <w:sz w:val="20"/>
          <w:szCs w:val="20"/>
        </w:rPr>
        <w:t>. Peak 8 was not identified and made up 19.26% of the S5 extract. This compound can be tentatively identified as quercetin derivative.</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Peak 9 was characterized as astragalin is a 3-O-glucoside of kaempferol and it made up 7.24% of the S5 extract. It has been reported to exhibit multiple pharmacological properties including antioxidant, anti-inflammatory, anticancer, neuroprotective, and </w:t>
      </w:r>
      <w:r>
        <w:rPr>
          <w:rFonts w:ascii="Times New Roman" w:hAnsi="Times New Roman"/>
          <w:sz w:val="20"/>
          <w:szCs w:val="20"/>
        </w:rPr>
        <w:lastRenderedPageBreak/>
        <w:t xml:space="preserve">cardioprotective property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ISSN":"1687-6334","author":[{"dropping-particle":"","family":"Riaz","given":"Ammara","non-dropping-particle":"","parse-names":false,"suffix":""},{"dropping-particle":"","family":"Rasul","given":"Azhar","non-dropping-particle":"","parse-names":false,"suffix":""},{"dropping-particle":"","family":"Hussain","given":"Ghulam","non-dropping-particle":"","parse-names":false,"suffix":""},{"dropping-particle":"","family":"Zahoor","given":"Muhammad Kashif","non-dropping-particle":"","parse-names":false,"suffix":""},{"dropping-particle":"","family":"Jabeen","given":"Farhat","non-dropping-particle":"","parse-names":false,"suffix":""},{"dropping-particle":"","family":"Subhani","given":"Zinayyera","non-dropping-particle":"","parse-names":false,"suffix":""},{"dropping-particle":"","family":"Younis","given":"Tahira","non-dropping-particle":"","parse-names":false,"suffix":""},{"dropping-particle":"","family":"Ali","given":"Muhammad","non-dropping-particle":"","parse-names":false,"suffix":""},{"dropping-particle":"","family":"Sarfraz","given":"Iqra","non-dropping-particle":"","parse-names":false,"suffix":""},{"dropping-particle":"","family":"Selamoglu","given":"Zeliha","non-dropping-particle":"","parse-names":false,"suffix":""}],"container-title":"Advances in pharmacological sciences","id":"ITEM-1","issued":{"date-parts":[["2018"]]},"publisher":"Hindawi","title":"Astragalin: a bioactive phytochemical with potential therapeutic activities","type":"article-journal","volume":"2018"},"uris":["http://www.mendeley.com/documents/?uuid=c43acf37-98f6-48ce-ac79-e7fa2d016601"]}],"mendeley":{"formattedCitation":"[37]","plainTextFormattedCitation":"[37]","previouslyFormattedCitation":"[37]"},"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[37]</w:t>
      </w:r>
      <w:r w:rsidR="00DB1E60">
        <w:rPr>
          <w:rFonts w:ascii="Times New Roman" w:hAnsi="Times New Roman"/>
          <w:sz w:val="20"/>
          <w:szCs w:val="20"/>
        </w:rPr>
        <w:fldChar w:fldCharType="end"/>
      </w:r>
      <w:r>
        <w:rPr>
          <w:rFonts w:ascii="Times New Roman" w:hAnsi="Times New Roman"/>
          <w:sz w:val="20"/>
          <w:szCs w:val="20"/>
        </w:rPr>
        <w:t>. Peak 10 was not identified and made up 5.97% of the S3 extract. This compound can be tentatively identified as Kaempferol derivative. The peaks remained unidentified: they likely represent other bioactive markers with potential therapeutically important effects on human health.</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As expected, the predominant group of phenolic compounds in all samples was flavonols. In recent years, they have been studied primarily for their antioxidant activity, free radical scavenging capacity, coronary heart disease prevention, hepatoprotective anti-inflammatory, anticancer and potential antiviral activities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{"citationItems":[{"id":"ITEM-1","itemData":{"author":[{"dropping-particle":"","family":"Kumar","given":"Shashank","non-dropping-particle":"","parse-names":false,"suffix":""},{"dropping-particle":"","family":"Pandey","given":"Abhay K","non-dropping-particle":"","parse-names":false,"suffix":""}],"container-title":"The Scientific World Journal","id":"ITEM-1","issued":{"date-parts":[["2013"]]},"publisher":"Hindawi","title":"Chemistry and biological activities of flavonoids: an overview","type":"article-journal","volume":"2013"},"uris":["http://www.mendeley.com/documents/?uuid=83a5dc60-3bbf-4b84-86ee-e33be857e206"]}],"mendeley":{"formattedCitation":"[38]","plainTextFormattedCitation":"[38]","previouslyFormattedCitation":"[38]"},"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[38]</w:t>
      </w:r>
      <w:r w:rsidR="00DB1E60">
        <w:rPr>
          <w:rFonts w:ascii="Times New Roman" w:hAnsi="Times New Roman"/>
          <w:sz w:val="20"/>
          <w:szCs w:val="20"/>
        </w:rPr>
        <w:fldChar w:fldCharType="end"/>
      </w:r>
      <w:r>
        <w:rPr>
          <w:rFonts w:ascii="Times New Roman" w:hAnsi="Times New Roman"/>
          <w:sz w:val="20"/>
          <w:szCs w:val="20"/>
        </w:rPr>
        <w:t>.</w:t>
      </w:r>
    </w:p>
    <w:p w:rsidR="00EF3780" w:rsidRDefault="00EF3780" w:rsidP="00EF3780">
      <w:pPr>
        <w:spacing w:after="0"/>
        <w:jc w:val="both"/>
        <w:rPr>
          <w:rFonts w:ascii="Times New Roman" w:hAnsi="Times New Roman"/>
          <w:sz w:val="20"/>
          <w:szCs w:val="20"/>
        </w:rPr>
      </w:pPr>
    </w:p>
    <w:p w:rsidR="00EF3780" w:rsidRDefault="00EF3780" w:rsidP="00EF3780">
      <w:pPr>
        <w:pStyle w:val="HTMLPreformatted"/>
        <w:spacing w:line="276" w:lineRule="auto"/>
        <w:jc w:val="both"/>
        <w:rPr>
          <w:rFonts w:ascii="Times New Roman" w:hAnsi="Times New Roman" w:cs="Times New Roman"/>
        </w:rPr>
      </w:pPr>
      <w:r>
        <w:rPr>
          <w:rFonts w:ascii="Times New Roman" w:hAnsi="Times New Roman" w:cs="Times New Roman"/>
        </w:rPr>
        <w:t>The scree plot gave two principal components, where the contribution of variance for individual components was: component 1 explaining 59.18%, and component 2 explaining 31.42%. Furthermore, the total contribution of variance from the two components was 90.6%. In terms of major contribution, compounds 2-6 and 9 made the greatest contribution toward F1 whereas compounds 1, 7, 8, and 10 were the contributors for F2. Through PCA, it can be seen that, in plot, the five samples are discernibly separated.</w:t>
      </w:r>
    </w:p>
    <w:p w:rsidR="00EF3780" w:rsidRDefault="00EF3780" w:rsidP="00EF3780">
      <w:pPr>
        <w:pStyle w:val="HTMLPreformatted"/>
        <w:spacing w:line="276" w:lineRule="auto"/>
        <w:jc w:val="both"/>
        <w:rPr>
          <w:rFonts w:ascii="Times New Roman" w:hAnsi="Times New Roman" w:cs="Times New Roman"/>
        </w:rPr>
      </w:pPr>
    </w:p>
    <w:p w:rsidR="00EF3780" w:rsidRDefault="00EF3780" w:rsidP="00EF3780">
      <w:pPr>
        <w:pStyle w:val="HTMLPreformatted"/>
        <w:spacing w:line="276" w:lineRule="auto"/>
        <w:jc w:val="both"/>
        <w:rPr>
          <w:rFonts w:ascii="Times New Roman" w:hAnsi="Times New Roman" w:cs="Times New Roman"/>
          <w:lang w:val="en-US"/>
        </w:rPr>
      </w:pPr>
      <w:r>
        <w:rPr>
          <w:rFonts w:ascii="Times New Roman" w:hAnsi="Times New Roman" w:cs="Times New Roman"/>
        </w:rPr>
        <w:t xml:space="preserve">In the first quadrant, we have the samples of Akuanandi and De Fort Quer that are characterized by the compounds 1, 2, 3, 4, 5, 6, 9 and 10. In contrast, Terbal sample is located in the third quadrant, but not it is characterized by some compounds. In the second quadrant we have the Infusionate sample that is characterized by compounds 7 and 8 (Figure 6). </w:t>
      </w:r>
      <w:r>
        <w:rPr>
          <w:rFonts w:ascii="Times New Roman" w:hAnsi="Times New Roman" w:cs="Times New Roman"/>
          <w:color w:val="000000"/>
          <w:lang w:val="en-US"/>
        </w:rPr>
        <w:t xml:space="preserve">The results indicated that the internal qualities of five </w:t>
      </w:r>
      <w:r>
        <w:rPr>
          <w:rFonts w:ascii="Times New Roman" w:hAnsi="Times New Roman" w:cs="Times New Roman"/>
          <w:i/>
          <w:iCs/>
          <w:color w:val="000000"/>
          <w:lang w:val="en-US"/>
        </w:rPr>
        <w:t>M. oleifera</w:t>
      </w:r>
      <w:r>
        <w:rPr>
          <w:rFonts w:ascii="Times New Roman" w:hAnsi="Times New Roman" w:cs="Times New Roman"/>
          <w:color w:val="000000"/>
          <w:lang w:val="en-US"/>
        </w:rPr>
        <w:t xml:space="preserve"> herbal samples from different sources had market chemical variations. Therefore, this comparative study indicates that Akuanandi, </w:t>
      </w:r>
      <w:r>
        <w:rPr>
          <w:rFonts w:ascii="Times New Roman" w:hAnsi="Times New Roman" w:cs="Times New Roman"/>
        </w:rPr>
        <w:t>Mas lait, and De Font Quer can be considered appropriate sources of bioactive phytochemicals.</w:t>
      </w:r>
    </w:p>
    <w:p w:rsidR="00EF3780" w:rsidRDefault="00EF3780" w:rsidP="00EF3780">
      <w:pPr>
        <w:pStyle w:val="HTMLPreformatted"/>
        <w:spacing w:line="276" w:lineRule="auto"/>
        <w:jc w:val="both"/>
        <w:rPr>
          <w:rFonts w:ascii="Times New Roman" w:hAnsi="Times New Roman" w:cs="Times New Roman"/>
        </w:rPr>
      </w:pPr>
    </w:p>
    <w:p w:rsidR="00EF3780" w:rsidRDefault="00EF3780" w:rsidP="00EF3780">
      <w:pPr>
        <w:pStyle w:val="HTMLPreformatted"/>
        <w:spacing w:line="276" w:lineRule="auto"/>
        <w:jc w:val="both"/>
        <w:rPr>
          <w:rFonts w:ascii="Times New Roman" w:hAnsi="Times New Roman" w:cs="Times New Roman"/>
          <w:color w:val="000000"/>
          <w:lang w:val="en-US"/>
        </w:rPr>
        <w:sectPr w:rsidR="00EF3780" w:rsidSect="005F4B75">
          <w:headerReference w:type="even" r:id="rId32"/>
          <w:headerReference w:type="default" r:id="rId33"/>
          <w:footerReference w:type="even" r:id="rId34"/>
          <w:headerReference w:type="first" r:id="rId35"/>
          <w:type w:val="evenPage"/>
          <w:pgSz w:w="12240" w:h="15840" w:code="1"/>
          <w:pgMar w:top="1800" w:right="1469" w:bottom="1699" w:left="1440" w:header="706" w:footer="706" w:gutter="0"/>
          <w:pgNumType w:start="448"/>
          <w:cols w:num="2" w:space="403"/>
          <w:docGrid w:linePitch="360"/>
        </w:sectPr>
      </w:pPr>
      <w:r>
        <w:rPr>
          <w:rFonts w:ascii="Times New Roman" w:hAnsi="Times New Roman" w:cs="Times New Roman"/>
        </w:rPr>
        <w:t xml:space="preserve">The K-mean cluster showed distribution of data into two clusters: 1 (3) and 2 (2). Cluster 1 shows three samples (Infusionate, Terbal and Akanandi) with minimum distance to centroid of </w:t>
      </w:r>
      <w:r>
        <w:rPr>
          <w:rFonts w:ascii="Times New Roman" w:hAnsi="Times New Roman" w:cs="Times New Roman"/>
          <w:color w:val="000000"/>
          <w:lang w:val="en-US"/>
        </w:rPr>
        <w:t>597.359, 558.341 and 1080.808, respectively. Cluster 2 shows two sample</w:t>
      </w:r>
    </w:p>
    <w:p w:rsidR="00EF3780" w:rsidRDefault="00EF3780" w:rsidP="00EF3780">
      <w:pPr>
        <w:pStyle w:val="HTMLPreformatted"/>
        <w:spacing w:line="276" w:lineRule="auto"/>
        <w:jc w:val="both"/>
        <w:rPr>
          <w:rFonts w:ascii="Times New Roman" w:hAnsi="Times New Roman" w:cs="Times New Roman"/>
          <w:color w:val="000000"/>
          <w:lang w:val="en-US"/>
        </w:rPr>
        <w:sectPr w:rsidR="00EF3780" w:rsidSect="005F4B75">
          <w:headerReference w:type="even" r:id="rId36"/>
          <w:headerReference w:type="default" r:id="rId37"/>
          <w:footerReference w:type="default" r:id="rId38"/>
          <w:headerReference w:type="first" r:id="rId39"/>
          <w:type w:val="oddPage"/>
          <w:pgSz w:w="12240" w:h="15840" w:code="1"/>
          <w:pgMar w:top="1800" w:right="1469" w:bottom="1699" w:left="1440" w:header="706" w:footer="706" w:gutter="0"/>
          <w:pgNumType w:start="448"/>
          <w:cols w:num="2" w:space="403"/>
          <w:docGrid w:linePitch="360"/>
        </w:sectPr>
      </w:pPr>
    </w:p>
    <w:p w:rsidR="00EF3780" w:rsidRDefault="00EF3780" w:rsidP="00EF3780">
      <w:pPr>
        <w:pStyle w:val="HTMLPreformatted"/>
        <w:spacing w:line="276" w:lineRule="auto"/>
        <w:jc w:val="both"/>
        <w:rPr>
          <w:rFonts w:ascii="Times New Roman" w:hAnsi="Times New Roman" w:cs="Times New Roman"/>
          <w:color w:val="000000"/>
          <w:lang w:val="en-US"/>
        </w:rPr>
      </w:pPr>
      <w:r>
        <w:rPr>
          <w:rFonts w:ascii="Times New Roman" w:hAnsi="Times New Roman" w:cs="Times New Roman"/>
          <w:color w:val="000000"/>
          <w:lang w:val="en-US"/>
        </w:rPr>
        <w:lastRenderedPageBreak/>
        <w:t xml:space="preserve">(Mas lait and </w:t>
      </w:r>
      <w:r>
        <w:rPr>
          <w:rFonts w:ascii="Times New Roman" w:hAnsi="Times New Roman" w:cs="Times New Roman"/>
          <w:lang w:val="en-US"/>
        </w:rPr>
        <w:t xml:space="preserve">De Fort Quer) </w:t>
      </w:r>
      <w:r>
        <w:rPr>
          <w:rFonts w:ascii="Times New Roman" w:hAnsi="Times New Roman" w:cs="Times New Roman"/>
        </w:rPr>
        <w:t xml:space="preserve">with minimum distance to centroid of </w:t>
      </w:r>
      <w:r>
        <w:rPr>
          <w:rFonts w:ascii="Times New Roman" w:hAnsi="Times New Roman" w:cs="Times New Roman"/>
          <w:color w:val="000000"/>
          <w:lang w:val="en-US"/>
        </w:rPr>
        <w:t xml:space="preserve">388.422. According to the inter-cluster distances, it was observed that the </w:t>
      </w:r>
      <w:r>
        <w:rPr>
          <w:rFonts w:ascii="Times New Roman" w:hAnsi="Times New Roman" w:cs="Times New Roman"/>
        </w:rPr>
        <w:t>Infusionate and Terbal</w:t>
      </w:r>
      <w:r>
        <w:rPr>
          <w:rFonts w:ascii="Times New Roman" w:hAnsi="Times New Roman" w:cs="Times New Roman"/>
          <w:color w:val="000000"/>
          <w:lang w:val="en-US"/>
        </w:rPr>
        <w:t xml:space="preserve"> from cluster 1 differ significantly to the samples from cluster 2 except for the Akanandi of Cluster 1, which agrees with the biplot.</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In contrast to the allopathic formulations that contain defined amounts of therapeutically active chemistry principles, herbal medicinal products usually comprise a defined amount of plant material but seldom mention the concentration of bioactive principles therein. Similarly, variation of bioactive metabolites in plant material obtained from a different geographical origin eventually incurs great difficulties in determination of potency, purity, consistency, and safety of medicinal plants and herbal products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{"citationItems":[{"id":"ITEM-1","itemData":{"DOI":"10.1002/pca.1307","ISSN":"09580344","abstract":"Introduction - Withania somnifera (Ashwagandha) is a high-value Ayurvedic medicinal plant and an important constituent of several dietary supplements. In order to substantiate the health claims, the herb has drawn considerable scientific attention. Objective - The objective of the study was to investigate the alterations in primary and secondary metabolites of W. somnifera fruits during its maturity using NMR spectroscopy. Methodology - Fruits at different stages of development from one week after fertilisation until maturity, classified in seven developmental stages, were analysed by a combined use of one- and two-dimensional NMR experiments. Results - Seventeen metabolites were characterised and quantified from non-polar and polar extracts of different fruit development stages of W. somnifera. The principal component analysis of polar metabolites at different stages could be grossly classified into three metabolic phases, viz. initial phase, developmental phase and maturation phase. Conclusion - Qualitative and quantitative analysis of metabolites in W. somnifera fruits indicated specific stages when fruits can be harvested for obtaining substantial bioactive ingredients for desirable pharmacological activity. This study potentially provides a complementary tool for quality control of herbal medicinal products when W. somnifera fruits are used. Copyright © 2011 John Wiley &amp; Sons, Ltd.","author":[{"dropping-particle":"","family":"Sidhu","given":"O. P.","non-dropping-particle":"","parse-names":false,"suffix":""},{"dropping-particle":"","family":"Annarao","given":"Sanjay","non-dropping-particle":"","parse-names":false,"suffix":""},{"dropping-particle":"","family":"Chatterjee","given":"Sandipan","non-dropping-particle":"","parse-names":false,"suffix":""},{"dropping-particle":"","family":"Tuli","given":"Rakesh","non-dropping-particle":"","parse-names":false,"suffix":""},{"dropping-particle":"","family":"Roy","given":"Raja","non-dropping-particle":"","parse-names":false,"suffix":""},{"dropping-particle":"","family":"Khetrapal","given":"C. L.","non-dropping-particle":"","parse-names":false,"suffix":""}],"container-title":"Phytochemical Analysis","id":"ITEM-1","issue":"6","issued":{"date-parts":[["2011"]]},"page":"492-502","title":"Metabolic alterations of Withania somnifera (L.) dunal fruits at different developmental stages by NMR spectroscopy","type":"article-journal","volume":"22"},"uris":["http://www.mendeley.com/documents/?uuid=ce7df0b3-0bfa-4750-8875-531b043724d8","http://www.mendeley.com/documents/?uuid=b4795549-8ecf-4b02-a733-a320444ef496"]}],"mendeley":{"formattedCitation":"[39]","plainTextFormattedCitation":"[39]","previouslyFormattedCitation":"[39]"},"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[39]</w:t>
      </w:r>
      <w:r w:rsidR="00DB1E60">
        <w:rPr>
          <w:rFonts w:ascii="Times New Roman" w:hAnsi="Times New Roman"/>
          <w:sz w:val="20"/>
          <w:szCs w:val="20"/>
        </w:rPr>
        <w:fldChar w:fldCharType="end"/>
      </w:r>
      <w:r>
        <w:rPr>
          <w:rFonts w:ascii="Times New Roman" w:hAnsi="Times New Roman"/>
          <w:sz w:val="20"/>
          <w:szCs w:val="20"/>
        </w:rPr>
        <w:t>.</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According to Karlund et al. </w:t>
      </w:r>
      <w:r w:rsidRPr="003330D9">
        <w:rPr>
          <w:rFonts w:ascii="Times New Roman" w:hAnsi="Times New Roman"/>
          <w:noProof/>
          <w:sz w:val="20"/>
          <w:szCs w:val="20"/>
        </w:rPr>
        <w:t>[40</w:t>
      </w:r>
      <w:r>
        <w:rPr>
          <w:rFonts w:ascii="Times New Roman" w:hAnsi="Times New Roman"/>
          <w:noProof/>
          <w:sz w:val="20"/>
          <w:szCs w:val="20"/>
        </w:rPr>
        <w:t xml:space="preserve">], </w:t>
      </w:r>
      <w:r>
        <w:rPr>
          <w:rFonts w:ascii="Times New Roman" w:hAnsi="Times New Roman"/>
          <w:sz w:val="20"/>
          <w:szCs w:val="20"/>
        </w:rPr>
        <w:t>and Zuhrotum et al.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author":[{"dropping-particle":"","family":"Kårlund","given":"Anna","non-dropping-particle":"","parse-names":false,"suffix":""},{"dropping-particle":"","family":"Moor","given":"Ulvi","non-dropping-particle":"","parse-names":false,"suffix":""},{"dropping-particle":"","family":"Sandell","given":"Mari","non-dropping-particle":"","parse-names":false,"suffix":""},{"dropping-particle":"","family":"Karjalainen","given":"Reijo O","non-dropping-particle":"","parse-names":false,"suffix":""}],"container-title":"Processes","id":"ITEM-1","issue":"3","issued":{"date-parts":[["2014"]]},"page":"596-624","publisher":"Multidisciplinary Digital Publishing Institute","title":"The impact of harvesting, storage and processing factors on health-promoting phytochemicals in berries and fruits","type":"article-journal","volume":"2"},"uris":["http://www.mendeley.com/documents/?uuid=1b4f5308-fb0d-40f4-818d-45ea92eff24b"]},{"id":"ITEM-2","itemData":{"DOI":"10.22146/agritech.12813","ISSN":"0216-0455","abstract":"Carica papaya leaves are one of the vegetables consumed by Indonesian people, especially in Java Island. Carica papaya is easy to grow in Indonesia and has many variants, so, Carica Papaya leaves is a local potent to be developed for functional food and nutraceutical. The aim of this study was to investigate antioxidant activity and total flavonoids of Carica papaya leaves with different varieties, maturity and solvent. Carica papaya leaves (CPL) was firstly extracted by methanol to select two CPLs with high antioxidant capacity and total flavonoid. The two selected CPLs were further tested with different ages mainly young and mature leaves. One selected CPL was further tested with different extraction solvents. Antioxidant activity was determined by 2.2 diphenyl-1-picrylhydrazyl, DPPH and Ferric reducing antioxidant power, FRAP. This study used five varieties of Carica papaya leaves, namely Bangkok, California, Purple, Golden and Grendel. The result showed that Golden and Grendel varieties had a higher percentage of radical scavenging property than the others, which was 78.37% and 77.40% by the DPPH method. Grendel and Purple had a higher percentage of radical scavenging property, which was 45.82 and 34.32 mmol/mg. Grendel and Purple had a higher total flavonoid property, which was 50.33 and 46.02 µg/g. Mature leaves had a higher percentage of radical scavenging property than young leaves by DPPH and FRAP methods. Mature leaves had a higher total flavonoid property than young leaves in both Grendel and Purple. Grendel had a higher antioxidant activity and a higher total flavonoid property than Purple. Grendel with water extraction had a higher antioxidant activity by DPPH and FRAP methods. The total flavonoid of Grendel papaya leaves’ extract with water extraction was lower than ethanol 70% and methanol.","author":[{"dropping-particle":"","family":"Nisa","given":"Fatma Zuhrotun","non-dropping-particle":"","parse-names":false,"suffix":""},{"dropping-particle":"","family":"Astuti","given":"Mary","non-dropping-particle":"","parse-names":false,"suffix":""},{"dropping-particle":"","family":"Haryana","given":"Sofia Mubarika","non-dropping-particle":"","parse-names":false,"suffix":""},{"dropping-particle":"","family":"Murdiati","given":"Agnes","non-dropping-particle":"","parse-names":false,"suffix":""}],"container-title":"agriTECH","id":"ITEM-2","issue":"1","issued":{"date-parts":[["2019"]]},"page":"54-59","title":"Antioxidant Activity and Total Flavonoid of Carica papaya L. Leaves with Different Varieties, Maturity and Solvent","type":"article-journal","volume":"39"},"uris":["http://www.mendeley.com/documents/?uuid=43d72e1e-88c1-48d0-9626-cf4c9195d734"]}],"mendeley":{"formattedCitation":"[40,41]","plainTextFormattedCitation":"[40,41]","previouslyFormattedCitation":"[40]"},"properties":{"noteIndex":0},"schema":"https://github.com/citation-style-language/schema/raw/master/csl-citation.json"}</w:instrText>
      </w:r>
      <w:r w:rsidR="00DB1E60">
        <w:rPr>
          <w:rFonts w:ascii="Times New Roman" w:hAnsi="Times New Roman"/>
          <w:sz w:val="20"/>
          <w:szCs w:val="20"/>
        </w:rPr>
        <w:fldChar w:fldCharType="separate"/>
      </w:r>
      <w:r w:rsidRPr="003330D9">
        <w:rPr>
          <w:rFonts w:ascii="Times New Roman" w:hAnsi="Times New Roman"/>
          <w:noProof/>
          <w:sz w:val="20"/>
          <w:szCs w:val="20"/>
        </w:rPr>
        <w:t>41]</w:t>
      </w:r>
      <w:r w:rsidR="00DB1E60">
        <w:rPr>
          <w:rFonts w:ascii="Times New Roman" w:hAnsi="Times New Roman"/>
          <w:sz w:val="20"/>
          <w:szCs w:val="20"/>
        </w:rPr>
        <w:fldChar w:fldCharType="end"/>
      </w:r>
      <w:r w:rsidRPr="002F5ACA">
        <w:rPr>
          <w:rFonts w:ascii="Times New Roman" w:hAnsi="Times New Roman"/>
          <w:color w:val="FF0000"/>
          <w:sz w:val="20"/>
          <w:szCs w:val="20"/>
        </w:rPr>
        <w:t xml:space="preserve"> </w:t>
      </w:r>
      <w:r>
        <w:rPr>
          <w:rFonts w:ascii="Times New Roman" w:hAnsi="Times New Roman"/>
          <w:sz w:val="20"/>
          <w:szCs w:val="20"/>
        </w:rPr>
        <w:t xml:space="preserve">the most common parameters that influence the composition of flavonoids include: variety, growing area, the degree of maturity of leaves, harvesting </w:t>
      </w:r>
      <w:r>
        <w:rPr>
          <w:rFonts w:ascii="Times New Roman" w:hAnsi="Times New Roman"/>
          <w:sz w:val="20"/>
          <w:szCs w:val="20"/>
        </w:rPr>
        <w:lastRenderedPageBreak/>
        <w:t xml:space="preserve">method, storage conditions, and others. Thus, phyto-equivalence is required due to the following reasons: 1) each product has variation in active constituents; 2) to meet same compendia or other standards; 3) it is necessary to match the products and doses in clinical trials; 4) to achieve the same efficacy in disease management; and 5) extracts of similar drug should demonstrate similar pharmacological and physiological activity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{"citationItems":[{"id":"ITEM-1","itemData":{"author":[{"dropping-particle":"","family":"Anju","given":"Dhiman","non-dropping-particle":"","parse-names":false,"suffix":""}],"container-title":"Annals of Pharmacology and Pharmaceutics","id":"ITEM-1","issue":"6","issued":{"date-parts":[["2017"]]},"page":"2-6","title":"Phytoequivalence: A Balanced Perspective","type":"article-journal","volume":"2"},"uris":["http://www.mendeley.com/documents/?uuid=71438f2d-37b6-40ac-8dcf-6812c5e9b3d0"]}],"mendeley":{"formattedCitation":"[42]","plainTextFormattedCitation":"[42]","previouslyFormattedCitation":"[41]"},"properties":{"noteIndex":0},"schema":"https://github.com/citation-style-language/schema/raw/master/csl-citation.json"}</w:instrText>
      </w:r>
      <w:r w:rsidR="00DB1E60">
        <w:rPr>
          <w:rFonts w:ascii="Times New Roman" w:hAnsi="Times New Roman"/>
          <w:sz w:val="20"/>
          <w:szCs w:val="20"/>
        </w:rPr>
        <w:fldChar w:fldCharType="separate"/>
      </w:r>
      <w:r w:rsidRPr="003330D9">
        <w:rPr>
          <w:rFonts w:ascii="Times New Roman" w:hAnsi="Times New Roman"/>
          <w:noProof/>
          <w:sz w:val="20"/>
          <w:szCs w:val="20"/>
        </w:rPr>
        <w:t>[42]</w:t>
      </w:r>
      <w:r w:rsidR="00DB1E60">
        <w:rPr>
          <w:rFonts w:ascii="Times New Roman" w:hAnsi="Times New Roman"/>
          <w:sz w:val="20"/>
          <w:szCs w:val="20"/>
        </w:rPr>
        <w:fldChar w:fldCharType="end"/>
      </w:r>
      <w:r>
        <w:rPr>
          <w:rFonts w:ascii="Times New Roman" w:hAnsi="Times New Roman"/>
          <w:sz w:val="20"/>
          <w:szCs w:val="20"/>
        </w:rPr>
        <w:t xml:space="preserve">. </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To date, little has been done to study phytochemical profile of </w:t>
      </w:r>
      <w:r>
        <w:rPr>
          <w:rFonts w:ascii="Times New Roman" w:hAnsi="Times New Roman"/>
          <w:i/>
          <w:sz w:val="20"/>
          <w:szCs w:val="20"/>
        </w:rPr>
        <w:t>M. oleifera</w:t>
      </w:r>
      <w:r>
        <w:rPr>
          <w:rFonts w:ascii="Times New Roman" w:hAnsi="Times New Roman"/>
          <w:sz w:val="20"/>
          <w:szCs w:val="20"/>
        </w:rPr>
        <w:t xml:space="preserve">. Several variables are important in the formulation of natural products like uniformity of plant material, harvest time, temperature, purity, and identity. Additionally, the market of </w:t>
      </w:r>
      <w:r>
        <w:rPr>
          <w:rFonts w:ascii="Times New Roman" w:hAnsi="Times New Roman"/>
          <w:i/>
          <w:sz w:val="20"/>
          <w:szCs w:val="20"/>
        </w:rPr>
        <w:t>M. oleifera</w:t>
      </w:r>
      <w:r>
        <w:rPr>
          <w:rFonts w:ascii="Times New Roman" w:hAnsi="Times New Roman"/>
          <w:sz w:val="20"/>
          <w:szCs w:val="20"/>
        </w:rPr>
        <w:t xml:space="preserve"> has grown extensively due to an increased awareness of the potential health benefits of bioactive polyphenols present in leaves. Thus, results obtained from the present study provide important information to the industry and consumers concerning polyphenols, antioxidant capacity and flavonoids composition.</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sectPr w:rsidR="00EF3780" w:rsidSect="005F4B75">
          <w:headerReference w:type="even" r:id="rId40"/>
          <w:headerReference w:type="default" r:id="rId41"/>
          <w:footerReference w:type="even" r:id="rId42"/>
          <w:headerReference w:type="first" r:id="rId43"/>
          <w:type w:val="continuous"/>
          <w:pgSz w:w="12240" w:h="15840" w:code="1"/>
          <w:pgMar w:top="1800" w:right="1469" w:bottom="1699" w:left="1440" w:header="706" w:footer="706" w:gutter="0"/>
          <w:pgNumType w:start="448"/>
          <w:cols w:num="2" w:space="403"/>
          <w:docGrid w:linePitch="360"/>
        </w:sectPr>
      </w:pPr>
    </w:p>
    <w:p w:rsidR="00EF3780" w:rsidRDefault="00EF3780" w:rsidP="00EF3780">
      <w:pPr>
        <w:spacing w:after="0"/>
        <w:jc w:val="both"/>
        <w:rPr>
          <w:rFonts w:ascii="Times New Roman" w:hAnsi="Times New Roman"/>
          <w:sz w:val="20"/>
          <w:szCs w:val="20"/>
        </w:rPr>
      </w:pPr>
    </w:p>
    <w:p w:rsidR="00EF3780" w:rsidRPr="00C510D7" w:rsidRDefault="00EF3780" w:rsidP="00EF3780">
      <w:pPr>
        <w:spacing w:after="0"/>
        <w:jc w:val="both"/>
        <w:rPr>
          <w:rFonts w:ascii="Times New Roman" w:hAnsi="Times New Roman"/>
          <w:sz w:val="20"/>
          <w:szCs w:val="20"/>
        </w:rPr>
      </w:pPr>
    </w:p>
    <w:p w:rsidR="00EF3780" w:rsidRDefault="00EF3780" w:rsidP="00EF37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Times New Roman" w:hAnsi="Times New Roman" w:cs="Times New Roman"/>
          <w:color w:val="000000"/>
          <w:lang w:val="en-US"/>
        </w:rPr>
      </w:pPr>
      <w:r>
        <w:rPr>
          <w:rFonts w:ascii="Times New Roman" w:hAnsi="Times New Roman" w:cs="Times New Roman"/>
          <w:noProof/>
          <w:sz w:val="24"/>
          <w:szCs w:val="24"/>
          <w:lang w:val="en-MY" w:eastAsia="en-MY"/>
        </w:rPr>
        <w:drawing>
          <wp:inline distT="0" distB="0" distL="0" distR="0">
            <wp:extent cx="3754091" cy="2103120"/>
            <wp:effectExtent l="19050" t="19050" r="18415" b="1143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54091" cy="2103120"/>
                    </a:xfrm>
                    <a:prstGeom prst="rect">
                      <a:avLst/>
                    </a:prstGeom>
                    <a:noFill/>
                    <a:ln w="6350">
                      <a:solidFill>
                        <a:schemeClr val="tx1"/>
                      </a:solidFill>
                    </a:ln>
                  </pic:spPr>
                </pic:pic>
              </a:graphicData>
            </a:graphic>
          </wp:inline>
        </w:drawing>
      </w:r>
    </w:p>
    <w:p w:rsidR="00EF3780" w:rsidRDefault="00EF3780" w:rsidP="00EF3780">
      <w:pPr>
        <w:spacing w:after="0"/>
        <w:ind w:left="850" w:hanging="850"/>
        <w:jc w:val="both"/>
        <w:rPr>
          <w:rFonts w:ascii="Times New Roman" w:hAnsi="Times New Roman"/>
          <w:sz w:val="20"/>
          <w:szCs w:val="20"/>
        </w:rPr>
      </w:pPr>
      <w:r>
        <w:rPr>
          <w:rFonts w:ascii="Times New Roman" w:hAnsi="Times New Roman"/>
          <w:sz w:val="20"/>
          <w:szCs w:val="20"/>
        </w:rPr>
        <w:t>Figure 1.</w:t>
      </w:r>
      <w:r>
        <w:rPr>
          <w:rFonts w:ascii="Times New Roman" w:eastAsiaTheme="minorEastAsia" w:hAnsi="Times New Roman"/>
          <w:color w:val="000000" w:themeColor="text1"/>
          <w:kern w:val="24"/>
          <w:sz w:val="20"/>
          <w:szCs w:val="20"/>
          <w:lang w:eastAsia="es-MX"/>
        </w:rPr>
        <w:t xml:space="preserve"> </w:t>
      </w:r>
      <w:r>
        <w:rPr>
          <w:rFonts w:ascii="Times New Roman" w:eastAsiaTheme="minorEastAsia" w:hAnsi="Times New Roman"/>
          <w:color w:val="000000" w:themeColor="text1"/>
          <w:kern w:val="24"/>
          <w:sz w:val="20"/>
          <w:szCs w:val="20"/>
          <w:lang w:eastAsia="es-MX"/>
        </w:rPr>
        <w:tab/>
      </w:r>
      <w:r>
        <w:rPr>
          <w:rFonts w:ascii="Times New Roman" w:hAnsi="Times New Roman"/>
          <w:sz w:val="20"/>
          <w:szCs w:val="20"/>
        </w:rPr>
        <w:t xml:space="preserve">TLC plates of different amounts of </w:t>
      </w:r>
      <w:r>
        <w:rPr>
          <w:rFonts w:ascii="Times New Roman" w:hAnsi="Times New Roman"/>
          <w:i/>
          <w:iCs/>
          <w:sz w:val="20"/>
          <w:szCs w:val="20"/>
        </w:rPr>
        <w:t xml:space="preserve">Moringa oleifera </w:t>
      </w:r>
      <w:r>
        <w:rPr>
          <w:rFonts w:ascii="Times New Roman" w:hAnsi="Times New Roman"/>
          <w:sz w:val="20"/>
          <w:szCs w:val="20"/>
        </w:rPr>
        <w:t>leaves extracts (Akuanandi) under UV 254 nm (green panel), 366 nm (blue panel) and visible (gray panel) without derivatization.</w:t>
      </w:r>
    </w:p>
    <w:p w:rsidR="00EF3780" w:rsidRDefault="00EF3780" w:rsidP="00EF3780">
      <w:pPr>
        <w:spacing w:after="0"/>
        <w:ind w:left="850" w:hanging="850"/>
        <w:jc w:val="both"/>
        <w:rPr>
          <w:rFonts w:ascii="Times New Roman" w:hAnsi="Times New Roman"/>
          <w:sz w:val="20"/>
          <w:szCs w:val="20"/>
        </w:rPr>
      </w:pPr>
    </w:p>
    <w:p w:rsidR="00EF3780" w:rsidRDefault="00EF3780" w:rsidP="00EF3780">
      <w:pPr>
        <w:pStyle w:val="HTMLPreformatted"/>
        <w:spacing w:after="120" w:line="276" w:lineRule="auto"/>
        <w:jc w:val="center"/>
        <w:rPr>
          <w:rFonts w:ascii="Times New Roman" w:hAnsi="Times New Roman" w:cs="Times New Roman"/>
          <w:color w:val="000000"/>
          <w:lang w:val="en-US"/>
        </w:rPr>
      </w:pPr>
    </w:p>
    <w:p w:rsidR="00EF3780" w:rsidRDefault="00EF3780" w:rsidP="00EF3780">
      <w:pPr>
        <w:pStyle w:val="HTMLPreformatted"/>
        <w:spacing w:after="120" w:line="276" w:lineRule="auto"/>
        <w:rPr>
          <w:rFonts w:ascii="Times New Roman" w:hAnsi="Times New Roman" w:cs="Times New Roman"/>
          <w:color w:val="000000"/>
          <w:lang w:val="en-US"/>
        </w:rPr>
        <w:sectPr w:rsidR="00EF3780" w:rsidSect="005F4B75">
          <w:headerReference w:type="even" r:id="rId45"/>
          <w:headerReference w:type="default" r:id="rId46"/>
          <w:footerReference w:type="default" r:id="rId47"/>
          <w:headerReference w:type="first" r:id="rId48"/>
          <w:type w:val="continuous"/>
          <w:pgSz w:w="12240" w:h="15840" w:code="1"/>
          <w:pgMar w:top="1800" w:right="1469" w:bottom="1699" w:left="1440" w:header="706" w:footer="706" w:gutter="0"/>
          <w:pgNumType w:start="448"/>
          <w:cols w:space="708"/>
          <w:docGrid w:linePitch="360"/>
        </w:sectPr>
      </w:pPr>
    </w:p>
    <w:p w:rsidR="00EF3780" w:rsidRDefault="00EF3780" w:rsidP="00EF3780">
      <w:pPr>
        <w:pStyle w:val="HTMLPreformatted"/>
        <w:spacing w:after="120" w:line="276" w:lineRule="auto"/>
        <w:rPr>
          <w:rFonts w:ascii="Times New Roman" w:hAnsi="Times New Roman" w:cs="Times New Roman"/>
          <w:color w:val="000000"/>
          <w:lang w:val="en-US"/>
        </w:rPr>
      </w:pPr>
    </w:p>
    <w:p w:rsidR="00EF3780" w:rsidRDefault="00EF3780" w:rsidP="00EF3780">
      <w:pPr>
        <w:spacing w:after="120"/>
        <w:jc w:val="center"/>
        <w:rPr>
          <w:rFonts w:ascii="Times New Roman" w:hAnsi="Times New Roman"/>
          <w:sz w:val="20"/>
          <w:szCs w:val="20"/>
        </w:rPr>
      </w:pPr>
      <w:r>
        <w:rPr>
          <w:rFonts w:ascii="Times New Roman" w:hAnsi="Times New Roman"/>
          <w:noProof/>
          <w:sz w:val="20"/>
          <w:szCs w:val="20"/>
          <w:lang w:val="en-MY" w:eastAsia="en-MY" w:bidi="ar-SA"/>
        </w:rPr>
        <w:drawing>
          <wp:inline distT="0" distB="0" distL="0" distR="0">
            <wp:extent cx="5390770" cy="2103120"/>
            <wp:effectExtent l="19050" t="19050" r="19685" b="1143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390770" cy="2103120"/>
                    </a:xfrm>
                    <a:prstGeom prst="rect">
                      <a:avLst/>
                    </a:prstGeom>
                    <a:noFill/>
                    <a:ln w="6350">
                      <a:solidFill>
                        <a:schemeClr val="tx1"/>
                      </a:solidFill>
                    </a:ln>
                  </pic:spPr>
                </pic:pic>
              </a:graphicData>
            </a:graphic>
          </wp:inline>
        </w:drawing>
      </w:r>
    </w:p>
    <w:p w:rsidR="00EF3780" w:rsidRDefault="00EF3780" w:rsidP="00EF3780">
      <w:pPr>
        <w:spacing w:after="120"/>
        <w:ind w:left="900" w:hanging="900"/>
        <w:jc w:val="both"/>
        <w:rPr>
          <w:rFonts w:ascii="Times New Roman" w:hAnsi="Times New Roman"/>
          <w:sz w:val="20"/>
          <w:szCs w:val="20"/>
        </w:rPr>
      </w:pPr>
      <w:r>
        <w:rPr>
          <w:rFonts w:ascii="Times New Roman" w:hAnsi="Times New Roman"/>
          <w:sz w:val="20"/>
          <w:szCs w:val="20"/>
        </w:rPr>
        <w:t xml:space="preserve">Figure 2. </w:t>
      </w:r>
      <w:r>
        <w:rPr>
          <w:rFonts w:ascii="Times New Roman" w:hAnsi="Times New Roman"/>
          <w:sz w:val="20"/>
          <w:szCs w:val="20"/>
        </w:rPr>
        <w:tab/>
        <w:t xml:space="preserve">a) Comparative plate of the hydromethanolic extracts of </w:t>
      </w:r>
      <w:r w:rsidR="007336BC">
        <w:rPr>
          <w:rFonts w:ascii="Times New Roman" w:hAnsi="Times New Roman"/>
          <w:sz w:val="20"/>
          <w:szCs w:val="20"/>
        </w:rPr>
        <w:t xml:space="preserve"> </w:t>
      </w:r>
      <w:r>
        <w:rPr>
          <w:rFonts w:ascii="Times New Roman" w:hAnsi="Times New Roman"/>
          <w:sz w:val="20"/>
          <w:szCs w:val="20"/>
        </w:rPr>
        <w:t xml:space="preserve">five commercial products of </w:t>
      </w:r>
      <w:r>
        <w:rPr>
          <w:rFonts w:ascii="Times New Roman" w:hAnsi="Times New Roman"/>
          <w:i/>
          <w:sz w:val="20"/>
          <w:szCs w:val="20"/>
        </w:rPr>
        <w:t>Moringa oleifera</w:t>
      </w:r>
      <w:r>
        <w:rPr>
          <w:rFonts w:ascii="Times New Roman" w:hAnsi="Times New Roman"/>
          <w:sz w:val="20"/>
          <w:szCs w:val="20"/>
        </w:rPr>
        <w:t xml:space="preserve"> revealed with UV 254 nm (green), UV 366 nm (blue), respectively. S1) Infusionate, S2) Terbal, S3) Akuanandi, S4) Mas lait and S5) De Font Quer. Left panel represents staining with DPPH. b) An example of a raw univariate densitogram extracted from image before denoising.</w:t>
      </w:r>
    </w:p>
    <w:p w:rsidR="00EF3780" w:rsidRDefault="00EF3780" w:rsidP="00EF3780">
      <w:pPr>
        <w:spacing w:after="120" w:line="240" w:lineRule="auto"/>
        <w:ind w:left="706" w:hanging="706"/>
        <w:jc w:val="center"/>
        <w:rPr>
          <w:rFonts w:ascii="Times New Roman" w:hAnsi="Times New Roman"/>
          <w:sz w:val="20"/>
          <w:szCs w:val="20"/>
        </w:rPr>
      </w:pPr>
    </w:p>
    <w:p w:rsidR="00EF3780" w:rsidRPr="000C76C2" w:rsidRDefault="00EF3780" w:rsidP="00EF3780">
      <w:pPr>
        <w:spacing w:after="120" w:line="240" w:lineRule="auto"/>
        <w:ind w:left="706" w:hanging="706"/>
        <w:jc w:val="center"/>
        <w:rPr>
          <w:rFonts w:ascii="Times New Roman" w:hAnsi="Times New Roman"/>
          <w:sz w:val="20"/>
          <w:szCs w:val="20"/>
        </w:rPr>
      </w:pPr>
      <w:r>
        <w:rPr>
          <w:rFonts w:ascii="Times New Roman" w:hAnsi="Times New Roman"/>
          <w:sz w:val="20"/>
          <w:szCs w:val="20"/>
        </w:rPr>
        <w:t xml:space="preserve">Table 1.  </w:t>
      </w:r>
      <w:r w:rsidRPr="000C76C2">
        <w:rPr>
          <w:rFonts w:ascii="Times New Roman" w:hAnsi="Times New Roman"/>
          <w:sz w:val="20"/>
          <w:szCs w:val="20"/>
        </w:rPr>
        <w:t xml:space="preserve">Target compounds from </w:t>
      </w:r>
      <w:r w:rsidR="007336BC">
        <w:rPr>
          <w:rFonts w:ascii="Times New Roman" w:hAnsi="Times New Roman"/>
          <w:sz w:val="20"/>
          <w:szCs w:val="20"/>
        </w:rPr>
        <w:t xml:space="preserve"> </w:t>
      </w:r>
      <w:r w:rsidRPr="000C76C2">
        <w:rPr>
          <w:rFonts w:ascii="Times New Roman" w:hAnsi="Times New Roman"/>
          <w:sz w:val="20"/>
          <w:szCs w:val="20"/>
        </w:rPr>
        <w:t xml:space="preserve">different </w:t>
      </w:r>
      <w:r w:rsidR="007336BC">
        <w:rPr>
          <w:rFonts w:ascii="Times New Roman" w:hAnsi="Times New Roman"/>
          <w:sz w:val="20"/>
          <w:szCs w:val="20"/>
        </w:rPr>
        <w:t xml:space="preserve"> </w:t>
      </w:r>
      <w:r w:rsidRPr="000C76C2">
        <w:rPr>
          <w:rFonts w:ascii="Times New Roman" w:hAnsi="Times New Roman"/>
          <w:i/>
          <w:sz w:val="20"/>
          <w:szCs w:val="20"/>
        </w:rPr>
        <w:t>M. oleifera</w:t>
      </w:r>
      <w:r w:rsidRPr="000C76C2">
        <w:rPr>
          <w:rFonts w:ascii="Times New Roman" w:hAnsi="Times New Roman"/>
          <w:sz w:val="20"/>
          <w:szCs w:val="20"/>
        </w:rPr>
        <w:t xml:space="preserve"> leaves extracts by TLC (254 nm). The retention factor and relative peak are of nine common peaks of different herbal samples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701"/>
        <w:gridCol w:w="1276"/>
        <w:gridCol w:w="1275"/>
        <w:gridCol w:w="1418"/>
        <w:gridCol w:w="1366"/>
        <w:gridCol w:w="941"/>
      </w:tblGrid>
      <w:tr w:rsidR="00EF3780" w:rsidRPr="000C76C2" w:rsidTr="005F4B75">
        <w:trPr>
          <w:jc w:val="center"/>
        </w:trPr>
        <w:tc>
          <w:tcPr>
            <w:tcW w:w="851" w:type="dxa"/>
            <w:vMerge w:val="restart"/>
            <w:tcBorders>
              <w:top w:val="single" w:sz="4" w:space="0" w:color="auto"/>
            </w:tcBorders>
            <w:hideMark/>
          </w:tcPr>
          <w:p w:rsidR="00EF3780" w:rsidRPr="000C76C2" w:rsidRDefault="00EF3780" w:rsidP="005F4B75">
            <w:pPr>
              <w:spacing w:before="60" w:after="0" w:line="240" w:lineRule="auto"/>
              <w:rPr>
                <w:rFonts w:ascii="Times New Roman" w:hAnsi="Times New Roman" w:cs="Times New Roman"/>
                <w:b/>
                <w:bCs/>
                <w:sz w:val="20"/>
                <w:szCs w:val="20"/>
              </w:rPr>
            </w:pPr>
            <w:r w:rsidRPr="000C76C2">
              <w:rPr>
                <w:rFonts w:ascii="Times New Roman" w:hAnsi="Times New Roman" w:cs="Times New Roman"/>
                <w:b/>
                <w:bCs/>
                <w:sz w:val="20"/>
                <w:szCs w:val="20"/>
              </w:rPr>
              <w:t xml:space="preserve">Peak </w:t>
            </w:r>
          </w:p>
          <w:p w:rsidR="00EF3780" w:rsidRPr="000C76C2" w:rsidRDefault="00EF3780" w:rsidP="005F4B75">
            <w:pPr>
              <w:spacing w:after="0" w:line="240" w:lineRule="auto"/>
              <w:rPr>
                <w:rFonts w:ascii="Times New Roman" w:hAnsi="Times New Roman" w:cs="Times New Roman"/>
                <w:b/>
                <w:bCs/>
                <w:sz w:val="20"/>
                <w:szCs w:val="20"/>
              </w:rPr>
            </w:pPr>
            <w:r w:rsidRPr="000C76C2">
              <w:rPr>
                <w:rFonts w:ascii="Times New Roman" w:hAnsi="Times New Roman" w:cs="Times New Roman"/>
                <w:b/>
                <w:bCs/>
                <w:sz w:val="20"/>
                <w:szCs w:val="20"/>
              </w:rPr>
              <w:t>No.</w:t>
            </w:r>
          </w:p>
        </w:tc>
        <w:tc>
          <w:tcPr>
            <w:tcW w:w="1701" w:type="dxa"/>
            <w:vMerge w:val="restart"/>
            <w:tcBorders>
              <w:top w:val="single" w:sz="4" w:space="0" w:color="auto"/>
            </w:tcBorders>
            <w:hideMark/>
          </w:tcPr>
          <w:p w:rsidR="00EF3780" w:rsidRPr="000C76C2" w:rsidRDefault="00EF3780" w:rsidP="005F4B75">
            <w:pPr>
              <w:spacing w:before="60" w:after="60" w:line="240" w:lineRule="auto"/>
              <w:jc w:val="center"/>
              <w:rPr>
                <w:rFonts w:ascii="Times New Roman" w:hAnsi="Times New Roman" w:cs="Times New Roman"/>
                <w:b/>
                <w:bCs/>
                <w:sz w:val="20"/>
                <w:szCs w:val="20"/>
              </w:rPr>
            </w:pPr>
            <w:r w:rsidRPr="000C76C2">
              <w:rPr>
                <w:rFonts w:ascii="Times New Roman" w:hAnsi="Times New Roman" w:cs="Times New Roman"/>
                <w:b/>
                <w:bCs/>
                <w:sz w:val="20"/>
                <w:szCs w:val="20"/>
              </w:rPr>
              <w:t>Retention Factor (Rf)</w:t>
            </w:r>
          </w:p>
        </w:tc>
        <w:tc>
          <w:tcPr>
            <w:tcW w:w="6276" w:type="dxa"/>
            <w:gridSpan w:val="5"/>
            <w:tcBorders>
              <w:top w:val="single" w:sz="4" w:space="0" w:color="auto"/>
              <w:bottom w:val="single" w:sz="4" w:space="0" w:color="auto"/>
            </w:tcBorders>
            <w:hideMark/>
          </w:tcPr>
          <w:p w:rsidR="00EF3780" w:rsidRPr="000C76C2" w:rsidRDefault="00EF3780" w:rsidP="005F4B75">
            <w:pPr>
              <w:spacing w:before="60" w:after="0" w:line="240" w:lineRule="auto"/>
              <w:jc w:val="center"/>
              <w:rPr>
                <w:rFonts w:ascii="Times New Roman" w:hAnsi="Times New Roman" w:cs="Times New Roman"/>
                <w:b/>
                <w:bCs/>
                <w:sz w:val="20"/>
                <w:szCs w:val="20"/>
              </w:rPr>
            </w:pPr>
            <w:r w:rsidRPr="000C76C2">
              <w:rPr>
                <w:rFonts w:ascii="Times New Roman" w:hAnsi="Times New Roman" w:cs="Times New Roman"/>
                <w:b/>
                <w:bCs/>
                <w:sz w:val="20"/>
                <w:szCs w:val="20"/>
              </w:rPr>
              <w:t>Relative Peak Area</w:t>
            </w:r>
          </w:p>
        </w:tc>
      </w:tr>
      <w:tr w:rsidR="00EF3780" w:rsidRPr="000C76C2" w:rsidTr="005F4B75">
        <w:trPr>
          <w:jc w:val="center"/>
        </w:trPr>
        <w:tc>
          <w:tcPr>
            <w:tcW w:w="851" w:type="dxa"/>
            <w:vMerge/>
            <w:tcBorders>
              <w:bottom w:val="single" w:sz="4" w:space="0" w:color="auto"/>
            </w:tcBorders>
            <w:vAlign w:val="center"/>
            <w:hideMark/>
          </w:tcPr>
          <w:p w:rsidR="00EF3780" w:rsidRPr="000C76C2" w:rsidRDefault="00EF3780" w:rsidP="005F4B75">
            <w:pPr>
              <w:spacing w:after="0" w:line="240" w:lineRule="auto"/>
              <w:rPr>
                <w:rFonts w:ascii="Times New Roman" w:hAnsi="Times New Roman" w:cs="Times New Roman"/>
                <w:b/>
                <w:bCs/>
                <w:sz w:val="20"/>
                <w:szCs w:val="20"/>
              </w:rPr>
            </w:pPr>
          </w:p>
        </w:tc>
        <w:tc>
          <w:tcPr>
            <w:tcW w:w="1701" w:type="dxa"/>
            <w:vMerge/>
            <w:tcBorders>
              <w:bottom w:val="single" w:sz="4" w:space="0" w:color="auto"/>
            </w:tcBorders>
            <w:vAlign w:val="center"/>
            <w:hideMark/>
          </w:tcPr>
          <w:p w:rsidR="00EF3780" w:rsidRPr="000C76C2" w:rsidRDefault="00EF3780" w:rsidP="005F4B75">
            <w:pPr>
              <w:spacing w:after="0" w:line="240" w:lineRule="auto"/>
              <w:jc w:val="center"/>
              <w:rPr>
                <w:rFonts w:ascii="Times New Roman" w:hAnsi="Times New Roman" w:cs="Times New Roman"/>
                <w:b/>
                <w:bCs/>
                <w:sz w:val="20"/>
                <w:szCs w:val="20"/>
              </w:rPr>
            </w:pPr>
          </w:p>
        </w:tc>
        <w:tc>
          <w:tcPr>
            <w:tcW w:w="1276" w:type="dxa"/>
            <w:tcBorders>
              <w:top w:val="single" w:sz="4" w:space="0" w:color="auto"/>
              <w:bottom w:val="single" w:sz="4" w:space="0" w:color="auto"/>
            </w:tcBorders>
            <w:hideMark/>
          </w:tcPr>
          <w:p w:rsidR="00EF3780" w:rsidRPr="000C76C2" w:rsidRDefault="00EF3780" w:rsidP="005F4B75">
            <w:pPr>
              <w:spacing w:after="0" w:line="240" w:lineRule="auto"/>
              <w:jc w:val="center"/>
              <w:rPr>
                <w:rFonts w:ascii="Times New Roman" w:hAnsi="Times New Roman" w:cs="Times New Roman"/>
                <w:b/>
                <w:bCs/>
                <w:sz w:val="20"/>
                <w:szCs w:val="20"/>
              </w:rPr>
            </w:pPr>
            <w:r w:rsidRPr="000C76C2">
              <w:rPr>
                <w:rFonts w:ascii="Times New Roman" w:hAnsi="Times New Roman" w:cs="Times New Roman"/>
                <w:b/>
                <w:bCs/>
                <w:sz w:val="20"/>
                <w:szCs w:val="20"/>
              </w:rPr>
              <w:t>S1</w:t>
            </w:r>
          </w:p>
        </w:tc>
        <w:tc>
          <w:tcPr>
            <w:tcW w:w="1275" w:type="dxa"/>
            <w:tcBorders>
              <w:top w:val="single" w:sz="4" w:space="0" w:color="auto"/>
              <w:bottom w:val="single" w:sz="4" w:space="0" w:color="auto"/>
            </w:tcBorders>
            <w:hideMark/>
          </w:tcPr>
          <w:p w:rsidR="00EF3780" w:rsidRPr="000C76C2" w:rsidRDefault="00EF3780" w:rsidP="005F4B75">
            <w:pPr>
              <w:spacing w:after="0" w:line="240" w:lineRule="auto"/>
              <w:jc w:val="center"/>
              <w:rPr>
                <w:rFonts w:ascii="Times New Roman" w:hAnsi="Times New Roman" w:cs="Times New Roman"/>
                <w:b/>
                <w:bCs/>
                <w:sz w:val="20"/>
                <w:szCs w:val="20"/>
              </w:rPr>
            </w:pPr>
            <w:r w:rsidRPr="000C76C2">
              <w:rPr>
                <w:rFonts w:ascii="Times New Roman" w:hAnsi="Times New Roman" w:cs="Times New Roman"/>
                <w:b/>
                <w:bCs/>
                <w:sz w:val="20"/>
                <w:szCs w:val="20"/>
              </w:rPr>
              <w:t>S2</w:t>
            </w:r>
          </w:p>
        </w:tc>
        <w:tc>
          <w:tcPr>
            <w:tcW w:w="1418" w:type="dxa"/>
            <w:tcBorders>
              <w:top w:val="single" w:sz="4" w:space="0" w:color="auto"/>
              <w:bottom w:val="single" w:sz="4" w:space="0" w:color="auto"/>
            </w:tcBorders>
            <w:hideMark/>
          </w:tcPr>
          <w:p w:rsidR="00EF3780" w:rsidRPr="000C76C2" w:rsidRDefault="00EF3780" w:rsidP="005F4B75">
            <w:pPr>
              <w:spacing w:after="0" w:line="240" w:lineRule="auto"/>
              <w:jc w:val="center"/>
              <w:rPr>
                <w:rFonts w:ascii="Times New Roman" w:hAnsi="Times New Roman" w:cs="Times New Roman"/>
                <w:b/>
                <w:bCs/>
                <w:sz w:val="20"/>
                <w:szCs w:val="20"/>
              </w:rPr>
            </w:pPr>
            <w:r w:rsidRPr="000C76C2">
              <w:rPr>
                <w:rFonts w:ascii="Times New Roman" w:hAnsi="Times New Roman" w:cs="Times New Roman"/>
                <w:b/>
                <w:bCs/>
                <w:sz w:val="20"/>
                <w:szCs w:val="20"/>
              </w:rPr>
              <w:t>S3</w:t>
            </w:r>
          </w:p>
        </w:tc>
        <w:tc>
          <w:tcPr>
            <w:tcW w:w="1366" w:type="dxa"/>
            <w:tcBorders>
              <w:top w:val="single" w:sz="4" w:space="0" w:color="auto"/>
              <w:bottom w:val="single" w:sz="4" w:space="0" w:color="auto"/>
            </w:tcBorders>
            <w:hideMark/>
          </w:tcPr>
          <w:p w:rsidR="00EF3780" w:rsidRPr="000C76C2" w:rsidRDefault="00EF3780" w:rsidP="005F4B75">
            <w:pPr>
              <w:spacing w:after="0" w:line="240" w:lineRule="auto"/>
              <w:jc w:val="center"/>
              <w:rPr>
                <w:rFonts w:ascii="Times New Roman" w:hAnsi="Times New Roman" w:cs="Times New Roman"/>
                <w:b/>
                <w:bCs/>
                <w:sz w:val="20"/>
                <w:szCs w:val="20"/>
              </w:rPr>
            </w:pPr>
            <w:r w:rsidRPr="000C76C2">
              <w:rPr>
                <w:rFonts w:ascii="Times New Roman" w:hAnsi="Times New Roman" w:cs="Times New Roman"/>
                <w:b/>
                <w:bCs/>
                <w:sz w:val="20"/>
                <w:szCs w:val="20"/>
              </w:rPr>
              <w:t>S4</w:t>
            </w:r>
          </w:p>
        </w:tc>
        <w:tc>
          <w:tcPr>
            <w:tcW w:w="941" w:type="dxa"/>
            <w:tcBorders>
              <w:top w:val="single" w:sz="4" w:space="0" w:color="auto"/>
              <w:bottom w:val="single" w:sz="4" w:space="0" w:color="auto"/>
            </w:tcBorders>
            <w:hideMark/>
          </w:tcPr>
          <w:p w:rsidR="00EF3780" w:rsidRPr="000C76C2" w:rsidRDefault="00EF3780" w:rsidP="005F4B75">
            <w:pPr>
              <w:spacing w:after="0" w:line="240" w:lineRule="auto"/>
              <w:jc w:val="center"/>
              <w:rPr>
                <w:rFonts w:ascii="Times New Roman" w:hAnsi="Times New Roman" w:cs="Times New Roman"/>
                <w:b/>
                <w:bCs/>
                <w:sz w:val="20"/>
                <w:szCs w:val="20"/>
              </w:rPr>
            </w:pPr>
            <w:r w:rsidRPr="000C76C2">
              <w:rPr>
                <w:rFonts w:ascii="Times New Roman" w:hAnsi="Times New Roman" w:cs="Times New Roman"/>
                <w:b/>
                <w:bCs/>
                <w:sz w:val="20"/>
                <w:szCs w:val="20"/>
              </w:rPr>
              <w:t>S5</w:t>
            </w:r>
          </w:p>
        </w:tc>
      </w:tr>
      <w:tr w:rsidR="00EF3780" w:rsidRPr="000C76C2" w:rsidTr="005F4B75">
        <w:trPr>
          <w:jc w:val="center"/>
        </w:trPr>
        <w:tc>
          <w:tcPr>
            <w:tcW w:w="851" w:type="dxa"/>
            <w:tcBorders>
              <w:top w:val="single" w:sz="4" w:space="0" w:color="auto"/>
            </w:tcBorders>
            <w:hideMark/>
          </w:tcPr>
          <w:p w:rsidR="00EF3780" w:rsidRPr="000C76C2" w:rsidRDefault="00EF3780" w:rsidP="005F4B75">
            <w:pPr>
              <w:spacing w:before="60" w:after="0" w:line="240" w:lineRule="auto"/>
              <w:rPr>
                <w:rFonts w:ascii="Times New Roman" w:hAnsi="Times New Roman" w:cs="Times New Roman"/>
                <w:sz w:val="20"/>
                <w:szCs w:val="20"/>
              </w:rPr>
            </w:pPr>
            <w:r w:rsidRPr="000C76C2">
              <w:rPr>
                <w:rFonts w:ascii="Times New Roman" w:hAnsi="Times New Roman" w:cs="Times New Roman"/>
                <w:sz w:val="20"/>
                <w:szCs w:val="20"/>
              </w:rPr>
              <w:t>1</w:t>
            </w:r>
          </w:p>
        </w:tc>
        <w:tc>
          <w:tcPr>
            <w:tcW w:w="1701" w:type="dxa"/>
            <w:tcBorders>
              <w:top w:val="single" w:sz="4" w:space="0" w:color="auto"/>
            </w:tcBorders>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0.07</w:t>
            </w:r>
          </w:p>
        </w:tc>
        <w:tc>
          <w:tcPr>
            <w:tcW w:w="1276" w:type="dxa"/>
            <w:tcBorders>
              <w:top w:val="single" w:sz="4" w:space="0" w:color="auto"/>
            </w:tcBorders>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14.82</w:t>
            </w:r>
          </w:p>
        </w:tc>
        <w:tc>
          <w:tcPr>
            <w:tcW w:w="1275" w:type="dxa"/>
            <w:tcBorders>
              <w:top w:val="single" w:sz="4" w:space="0" w:color="auto"/>
            </w:tcBorders>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0</w:t>
            </w:r>
          </w:p>
        </w:tc>
        <w:tc>
          <w:tcPr>
            <w:tcW w:w="1418" w:type="dxa"/>
            <w:tcBorders>
              <w:top w:val="single" w:sz="4" w:space="0" w:color="auto"/>
            </w:tcBorders>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23.82</w:t>
            </w:r>
          </w:p>
        </w:tc>
        <w:tc>
          <w:tcPr>
            <w:tcW w:w="1366" w:type="dxa"/>
            <w:tcBorders>
              <w:top w:val="single" w:sz="4" w:space="0" w:color="auto"/>
            </w:tcBorders>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490.96</w:t>
            </w:r>
          </w:p>
        </w:tc>
        <w:tc>
          <w:tcPr>
            <w:tcW w:w="941" w:type="dxa"/>
            <w:tcBorders>
              <w:top w:val="single" w:sz="4" w:space="0" w:color="auto"/>
            </w:tcBorders>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27.39</w:t>
            </w:r>
          </w:p>
        </w:tc>
      </w:tr>
      <w:tr w:rsidR="00EF3780" w:rsidRPr="000C76C2" w:rsidTr="005F4B75">
        <w:trPr>
          <w:jc w:val="center"/>
        </w:trPr>
        <w:tc>
          <w:tcPr>
            <w:tcW w:w="851" w:type="dxa"/>
            <w:hideMark/>
          </w:tcPr>
          <w:p w:rsidR="00EF3780" w:rsidRPr="000C76C2" w:rsidRDefault="00EF3780" w:rsidP="005F4B75">
            <w:pPr>
              <w:spacing w:before="60" w:after="0" w:line="240" w:lineRule="auto"/>
              <w:rPr>
                <w:rFonts w:ascii="Times New Roman" w:hAnsi="Times New Roman" w:cs="Times New Roman"/>
                <w:sz w:val="20"/>
                <w:szCs w:val="20"/>
              </w:rPr>
            </w:pPr>
            <w:r w:rsidRPr="000C76C2">
              <w:rPr>
                <w:rFonts w:ascii="Times New Roman" w:hAnsi="Times New Roman" w:cs="Times New Roman"/>
                <w:sz w:val="20"/>
                <w:szCs w:val="20"/>
              </w:rPr>
              <w:t>2</w:t>
            </w:r>
          </w:p>
        </w:tc>
        <w:tc>
          <w:tcPr>
            <w:tcW w:w="170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0.14</w:t>
            </w:r>
          </w:p>
        </w:tc>
        <w:tc>
          <w:tcPr>
            <w:tcW w:w="127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1,329.85</w:t>
            </w:r>
          </w:p>
        </w:tc>
        <w:tc>
          <w:tcPr>
            <w:tcW w:w="1275"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1,007.19</w:t>
            </w:r>
          </w:p>
        </w:tc>
        <w:tc>
          <w:tcPr>
            <w:tcW w:w="1418"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1,394.96</w:t>
            </w:r>
          </w:p>
        </w:tc>
        <w:tc>
          <w:tcPr>
            <w:tcW w:w="136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308.41</w:t>
            </w:r>
          </w:p>
        </w:tc>
        <w:tc>
          <w:tcPr>
            <w:tcW w:w="94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1,384.61</w:t>
            </w:r>
          </w:p>
        </w:tc>
      </w:tr>
      <w:tr w:rsidR="00EF3780" w:rsidRPr="000C76C2" w:rsidTr="005F4B75">
        <w:trPr>
          <w:jc w:val="center"/>
        </w:trPr>
        <w:tc>
          <w:tcPr>
            <w:tcW w:w="851" w:type="dxa"/>
            <w:hideMark/>
          </w:tcPr>
          <w:p w:rsidR="00EF3780" w:rsidRPr="000C76C2" w:rsidRDefault="00EF3780" w:rsidP="005F4B75">
            <w:pPr>
              <w:spacing w:before="60" w:after="0" w:line="240" w:lineRule="auto"/>
              <w:rPr>
                <w:rFonts w:ascii="Times New Roman" w:hAnsi="Times New Roman" w:cs="Times New Roman"/>
                <w:sz w:val="20"/>
                <w:szCs w:val="20"/>
              </w:rPr>
            </w:pPr>
            <w:r w:rsidRPr="000C76C2">
              <w:rPr>
                <w:rFonts w:ascii="Times New Roman" w:hAnsi="Times New Roman" w:cs="Times New Roman"/>
                <w:sz w:val="20"/>
                <w:szCs w:val="20"/>
              </w:rPr>
              <w:t>3</w:t>
            </w:r>
          </w:p>
        </w:tc>
        <w:tc>
          <w:tcPr>
            <w:tcW w:w="170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0.36</w:t>
            </w:r>
          </w:p>
        </w:tc>
        <w:tc>
          <w:tcPr>
            <w:tcW w:w="127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36.36</w:t>
            </w:r>
          </w:p>
        </w:tc>
        <w:tc>
          <w:tcPr>
            <w:tcW w:w="1275"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30.62</w:t>
            </w:r>
          </w:p>
        </w:tc>
        <w:tc>
          <w:tcPr>
            <w:tcW w:w="1418"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33.42</w:t>
            </w:r>
          </w:p>
        </w:tc>
        <w:tc>
          <w:tcPr>
            <w:tcW w:w="136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11.24</w:t>
            </w:r>
          </w:p>
        </w:tc>
        <w:tc>
          <w:tcPr>
            <w:tcW w:w="94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475.4</w:t>
            </w:r>
          </w:p>
        </w:tc>
      </w:tr>
      <w:tr w:rsidR="00EF3780" w:rsidRPr="000C76C2" w:rsidTr="005F4B75">
        <w:trPr>
          <w:jc w:val="center"/>
        </w:trPr>
        <w:tc>
          <w:tcPr>
            <w:tcW w:w="851" w:type="dxa"/>
            <w:hideMark/>
          </w:tcPr>
          <w:p w:rsidR="00EF3780" w:rsidRPr="000C76C2" w:rsidRDefault="00EF3780" w:rsidP="005F4B75">
            <w:pPr>
              <w:spacing w:before="60" w:after="0" w:line="240" w:lineRule="auto"/>
              <w:rPr>
                <w:rFonts w:ascii="Times New Roman" w:hAnsi="Times New Roman" w:cs="Times New Roman"/>
                <w:sz w:val="20"/>
                <w:szCs w:val="20"/>
              </w:rPr>
            </w:pPr>
            <w:r w:rsidRPr="000C76C2">
              <w:rPr>
                <w:rFonts w:ascii="Times New Roman" w:hAnsi="Times New Roman" w:cs="Times New Roman"/>
                <w:sz w:val="20"/>
                <w:szCs w:val="20"/>
              </w:rPr>
              <w:t>4</w:t>
            </w:r>
          </w:p>
        </w:tc>
        <w:tc>
          <w:tcPr>
            <w:tcW w:w="170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0.42</w:t>
            </w:r>
          </w:p>
        </w:tc>
        <w:tc>
          <w:tcPr>
            <w:tcW w:w="127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199.98</w:t>
            </w:r>
          </w:p>
        </w:tc>
        <w:tc>
          <w:tcPr>
            <w:tcW w:w="1275"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17.37</w:t>
            </w:r>
          </w:p>
        </w:tc>
        <w:tc>
          <w:tcPr>
            <w:tcW w:w="1418"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679.65</w:t>
            </w:r>
          </w:p>
        </w:tc>
        <w:tc>
          <w:tcPr>
            <w:tcW w:w="136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483.92</w:t>
            </w:r>
          </w:p>
        </w:tc>
        <w:tc>
          <w:tcPr>
            <w:tcW w:w="94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538.97</w:t>
            </w:r>
          </w:p>
        </w:tc>
      </w:tr>
      <w:tr w:rsidR="00EF3780" w:rsidRPr="000C76C2" w:rsidTr="005F4B75">
        <w:trPr>
          <w:jc w:val="center"/>
        </w:trPr>
        <w:tc>
          <w:tcPr>
            <w:tcW w:w="851" w:type="dxa"/>
            <w:hideMark/>
          </w:tcPr>
          <w:p w:rsidR="00EF3780" w:rsidRPr="000C76C2" w:rsidRDefault="00EF3780" w:rsidP="005F4B75">
            <w:pPr>
              <w:spacing w:before="60" w:after="0" w:line="240" w:lineRule="auto"/>
              <w:rPr>
                <w:rFonts w:ascii="Times New Roman" w:hAnsi="Times New Roman" w:cs="Times New Roman"/>
                <w:sz w:val="20"/>
                <w:szCs w:val="20"/>
              </w:rPr>
            </w:pPr>
            <w:r w:rsidRPr="000C76C2">
              <w:rPr>
                <w:rFonts w:ascii="Times New Roman" w:hAnsi="Times New Roman" w:cs="Times New Roman"/>
                <w:sz w:val="20"/>
                <w:szCs w:val="20"/>
              </w:rPr>
              <w:t>5</w:t>
            </w:r>
          </w:p>
        </w:tc>
        <w:tc>
          <w:tcPr>
            <w:tcW w:w="170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0.48</w:t>
            </w:r>
          </w:p>
        </w:tc>
        <w:tc>
          <w:tcPr>
            <w:tcW w:w="127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119.47</w:t>
            </w:r>
          </w:p>
        </w:tc>
        <w:tc>
          <w:tcPr>
            <w:tcW w:w="1275"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169.72</w:t>
            </w:r>
          </w:p>
        </w:tc>
        <w:tc>
          <w:tcPr>
            <w:tcW w:w="1418"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287.34</w:t>
            </w:r>
          </w:p>
        </w:tc>
        <w:tc>
          <w:tcPr>
            <w:tcW w:w="136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91.79</w:t>
            </w:r>
          </w:p>
        </w:tc>
        <w:tc>
          <w:tcPr>
            <w:tcW w:w="94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288.08</w:t>
            </w:r>
          </w:p>
        </w:tc>
      </w:tr>
      <w:tr w:rsidR="00EF3780" w:rsidRPr="000C76C2" w:rsidTr="005F4B75">
        <w:trPr>
          <w:jc w:val="center"/>
        </w:trPr>
        <w:tc>
          <w:tcPr>
            <w:tcW w:w="851" w:type="dxa"/>
            <w:hideMark/>
          </w:tcPr>
          <w:p w:rsidR="00EF3780" w:rsidRPr="000C76C2" w:rsidRDefault="00EF3780" w:rsidP="005F4B75">
            <w:pPr>
              <w:spacing w:before="60" w:after="0" w:line="240" w:lineRule="auto"/>
              <w:rPr>
                <w:rFonts w:ascii="Times New Roman" w:hAnsi="Times New Roman" w:cs="Times New Roman"/>
                <w:sz w:val="20"/>
                <w:szCs w:val="20"/>
              </w:rPr>
            </w:pPr>
            <w:r w:rsidRPr="000C76C2">
              <w:rPr>
                <w:rFonts w:ascii="Times New Roman" w:hAnsi="Times New Roman" w:cs="Times New Roman"/>
                <w:sz w:val="20"/>
                <w:szCs w:val="20"/>
              </w:rPr>
              <w:t>6</w:t>
            </w:r>
          </w:p>
        </w:tc>
        <w:tc>
          <w:tcPr>
            <w:tcW w:w="170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0.51</w:t>
            </w:r>
          </w:p>
        </w:tc>
        <w:tc>
          <w:tcPr>
            <w:tcW w:w="127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875.58</w:t>
            </w:r>
          </w:p>
        </w:tc>
        <w:tc>
          <w:tcPr>
            <w:tcW w:w="1275"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999.53</w:t>
            </w:r>
          </w:p>
        </w:tc>
        <w:tc>
          <w:tcPr>
            <w:tcW w:w="1418"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2,284.11</w:t>
            </w:r>
          </w:p>
        </w:tc>
        <w:tc>
          <w:tcPr>
            <w:tcW w:w="136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1,324.93</w:t>
            </w:r>
          </w:p>
        </w:tc>
        <w:tc>
          <w:tcPr>
            <w:tcW w:w="94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2,982.01</w:t>
            </w:r>
          </w:p>
        </w:tc>
      </w:tr>
      <w:tr w:rsidR="00EF3780" w:rsidRPr="000C76C2" w:rsidTr="005F4B75">
        <w:trPr>
          <w:jc w:val="center"/>
        </w:trPr>
        <w:tc>
          <w:tcPr>
            <w:tcW w:w="851" w:type="dxa"/>
            <w:hideMark/>
          </w:tcPr>
          <w:p w:rsidR="00EF3780" w:rsidRPr="000C76C2" w:rsidRDefault="00EF3780" w:rsidP="005F4B75">
            <w:pPr>
              <w:spacing w:before="60" w:after="0" w:line="240" w:lineRule="auto"/>
              <w:rPr>
                <w:rFonts w:ascii="Times New Roman" w:hAnsi="Times New Roman" w:cs="Times New Roman"/>
                <w:sz w:val="20"/>
                <w:szCs w:val="20"/>
              </w:rPr>
            </w:pPr>
            <w:r w:rsidRPr="000C76C2">
              <w:rPr>
                <w:rFonts w:ascii="Times New Roman" w:hAnsi="Times New Roman" w:cs="Times New Roman"/>
                <w:sz w:val="20"/>
                <w:szCs w:val="20"/>
              </w:rPr>
              <w:t>7</w:t>
            </w:r>
          </w:p>
        </w:tc>
        <w:tc>
          <w:tcPr>
            <w:tcW w:w="170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0.58</w:t>
            </w:r>
          </w:p>
        </w:tc>
        <w:tc>
          <w:tcPr>
            <w:tcW w:w="127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2,554.42</w:t>
            </w:r>
          </w:p>
        </w:tc>
        <w:tc>
          <w:tcPr>
            <w:tcW w:w="1275"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2,666.08</w:t>
            </w:r>
          </w:p>
        </w:tc>
        <w:tc>
          <w:tcPr>
            <w:tcW w:w="1418"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3,133.23</w:t>
            </w:r>
          </w:p>
        </w:tc>
        <w:tc>
          <w:tcPr>
            <w:tcW w:w="136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899.02</w:t>
            </w:r>
          </w:p>
        </w:tc>
        <w:tc>
          <w:tcPr>
            <w:tcW w:w="94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2,108.75</w:t>
            </w:r>
          </w:p>
        </w:tc>
      </w:tr>
      <w:tr w:rsidR="00EF3780" w:rsidRPr="000C76C2" w:rsidTr="005F4B75">
        <w:trPr>
          <w:jc w:val="center"/>
        </w:trPr>
        <w:tc>
          <w:tcPr>
            <w:tcW w:w="851" w:type="dxa"/>
            <w:hideMark/>
          </w:tcPr>
          <w:p w:rsidR="00EF3780" w:rsidRPr="000C76C2" w:rsidRDefault="00EF3780" w:rsidP="005F4B75">
            <w:pPr>
              <w:spacing w:before="60" w:after="0" w:line="240" w:lineRule="auto"/>
              <w:rPr>
                <w:rFonts w:ascii="Times New Roman" w:hAnsi="Times New Roman" w:cs="Times New Roman"/>
                <w:sz w:val="20"/>
                <w:szCs w:val="20"/>
              </w:rPr>
            </w:pPr>
            <w:r w:rsidRPr="000C76C2">
              <w:rPr>
                <w:rFonts w:ascii="Times New Roman" w:hAnsi="Times New Roman" w:cs="Times New Roman"/>
                <w:sz w:val="20"/>
                <w:szCs w:val="20"/>
              </w:rPr>
              <w:t>8</w:t>
            </w:r>
          </w:p>
        </w:tc>
        <w:tc>
          <w:tcPr>
            <w:tcW w:w="170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0.65</w:t>
            </w:r>
          </w:p>
        </w:tc>
        <w:tc>
          <w:tcPr>
            <w:tcW w:w="127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0</w:t>
            </w:r>
          </w:p>
        </w:tc>
        <w:tc>
          <w:tcPr>
            <w:tcW w:w="1275"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41.28</w:t>
            </w:r>
          </w:p>
        </w:tc>
        <w:tc>
          <w:tcPr>
            <w:tcW w:w="1418"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117.06</w:t>
            </w:r>
          </w:p>
        </w:tc>
        <w:tc>
          <w:tcPr>
            <w:tcW w:w="136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289.88</w:t>
            </w:r>
          </w:p>
        </w:tc>
        <w:tc>
          <w:tcPr>
            <w:tcW w:w="94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159.46</w:t>
            </w:r>
          </w:p>
        </w:tc>
      </w:tr>
      <w:tr w:rsidR="00EF3780" w:rsidRPr="000C76C2" w:rsidTr="005F4B75">
        <w:trPr>
          <w:jc w:val="center"/>
        </w:trPr>
        <w:tc>
          <w:tcPr>
            <w:tcW w:w="851" w:type="dxa"/>
            <w:tcBorders>
              <w:bottom w:val="single" w:sz="4" w:space="0" w:color="auto"/>
            </w:tcBorders>
            <w:hideMark/>
          </w:tcPr>
          <w:p w:rsidR="00EF3780" w:rsidRPr="000C76C2" w:rsidRDefault="00EF3780" w:rsidP="005F4B75">
            <w:pPr>
              <w:spacing w:before="60" w:after="60" w:line="240" w:lineRule="auto"/>
              <w:rPr>
                <w:rFonts w:ascii="Times New Roman" w:hAnsi="Times New Roman" w:cs="Times New Roman"/>
                <w:sz w:val="20"/>
                <w:szCs w:val="20"/>
              </w:rPr>
            </w:pPr>
            <w:r w:rsidRPr="000C76C2">
              <w:rPr>
                <w:rFonts w:ascii="Times New Roman" w:hAnsi="Times New Roman" w:cs="Times New Roman"/>
                <w:sz w:val="20"/>
                <w:szCs w:val="20"/>
              </w:rPr>
              <w:t>9</w:t>
            </w:r>
          </w:p>
        </w:tc>
        <w:tc>
          <w:tcPr>
            <w:tcW w:w="1701" w:type="dxa"/>
            <w:tcBorders>
              <w:bottom w:val="single" w:sz="4" w:space="0" w:color="auto"/>
            </w:tcBorders>
            <w:hideMark/>
          </w:tcPr>
          <w:p w:rsidR="00EF3780" w:rsidRPr="000C76C2" w:rsidRDefault="00EF3780" w:rsidP="005F4B75">
            <w:pPr>
              <w:spacing w:before="60" w:after="60" w:line="240" w:lineRule="auto"/>
              <w:jc w:val="center"/>
              <w:rPr>
                <w:rFonts w:ascii="Times New Roman" w:hAnsi="Times New Roman" w:cs="Times New Roman"/>
                <w:sz w:val="20"/>
                <w:szCs w:val="20"/>
              </w:rPr>
            </w:pPr>
            <w:r w:rsidRPr="000C76C2">
              <w:rPr>
                <w:rFonts w:ascii="Times New Roman" w:hAnsi="Times New Roman" w:cs="Times New Roman"/>
                <w:sz w:val="20"/>
                <w:szCs w:val="20"/>
              </w:rPr>
              <w:t>0.75</w:t>
            </w:r>
          </w:p>
        </w:tc>
        <w:tc>
          <w:tcPr>
            <w:tcW w:w="1276" w:type="dxa"/>
            <w:tcBorders>
              <w:bottom w:val="single" w:sz="4" w:space="0" w:color="auto"/>
            </w:tcBorders>
            <w:hideMark/>
          </w:tcPr>
          <w:p w:rsidR="00EF3780" w:rsidRPr="000C76C2" w:rsidRDefault="00EF3780" w:rsidP="005F4B75">
            <w:pPr>
              <w:spacing w:before="60" w:after="60" w:line="240" w:lineRule="auto"/>
              <w:jc w:val="center"/>
              <w:rPr>
                <w:rFonts w:ascii="Times New Roman" w:hAnsi="Times New Roman" w:cs="Times New Roman"/>
                <w:sz w:val="20"/>
                <w:szCs w:val="20"/>
              </w:rPr>
            </w:pPr>
            <w:r w:rsidRPr="000C76C2">
              <w:rPr>
                <w:rFonts w:ascii="Times New Roman" w:hAnsi="Times New Roman" w:cs="Times New Roman"/>
                <w:sz w:val="20"/>
                <w:szCs w:val="20"/>
              </w:rPr>
              <w:t>465.38</w:t>
            </w:r>
          </w:p>
        </w:tc>
        <w:tc>
          <w:tcPr>
            <w:tcW w:w="1275" w:type="dxa"/>
            <w:tcBorders>
              <w:bottom w:val="single" w:sz="4" w:space="0" w:color="auto"/>
            </w:tcBorders>
            <w:hideMark/>
          </w:tcPr>
          <w:p w:rsidR="00EF3780" w:rsidRPr="000C76C2" w:rsidRDefault="00EF3780" w:rsidP="005F4B75">
            <w:pPr>
              <w:spacing w:before="60" w:after="60" w:line="240" w:lineRule="auto"/>
              <w:jc w:val="center"/>
              <w:rPr>
                <w:rFonts w:ascii="Times New Roman" w:hAnsi="Times New Roman" w:cs="Times New Roman"/>
                <w:sz w:val="20"/>
                <w:szCs w:val="20"/>
              </w:rPr>
            </w:pPr>
            <w:r w:rsidRPr="000C76C2">
              <w:rPr>
                <w:rFonts w:ascii="Times New Roman" w:hAnsi="Times New Roman" w:cs="Times New Roman"/>
                <w:sz w:val="20"/>
                <w:szCs w:val="20"/>
              </w:rPr>
              <w:t>393.26</w:t>
            </w:r>
          </w:p>
        </w:tc>
        <w:tc>
          <w:tcPr>
            <w:tcW w:w="1418" w:type="dxa"/>
            <w:tcBorders>
              <w:bottom w:val="single" w:sz="4" w:space="0" w:color="auto"/>
            </w:tcBorders>
            <w:hideMark/>
          </w:tcPr>
          <w:p w:rsidR="00EF3780" w:rsidRPr="000C76C2" w:rsidRDefault="00EF3780" w:rsidP="005F4B75">
            <w:pPr>
              <w:spacing w:before="60" w:after="60" w:line="240" w:lineRule="auto"/>
              <w:jc w:val="center"/>
              <w:rPr>
                <w:rFonts w:ascii="Times New Roman" w:hAnsi="Times New Roman" w:cs="Times New Roman"/>
                <w:sz w:val="20"/>
                <w:szCs w:val="20"/>
              </w:rPr>
            </w:pPr>
            <w:r w:rsidRPr="000C76C2">
              <w:rPr>
                <w:rFonts w:ascii="Times New Roman" w:hAnsi="Times New Roman" w:cs="Times New Roman"/>
                <w:sz w:val="20"/>
                <w:szCs w:val="20"/>
              </w:rPr>
              <w:t>641.98</w:t>
            </w:r>
          </w:p>
        </w:tc>
        <w:tc>
          <w:tcPr>
            <w:tcW w:w="1366" w:type="dxa"/>
            <w:tcBorders>
              <w:bottom w:val="single" w:sz="4" w:space="0" w:color="auto"/>
            </w:tcBorders>
            <w:hideMark/>
          </w:tcPr>
          <w:p w:rsidR="00EF3780" w:rsidRPr="000C76C2" w:rsidRDefault="00EF3780" w:rsidP="005F4B75">
            <w:pPr>
              <w:spacing w:before="60" w:after="60" w:line="240" w:lineRule="auto"/>
              <w:jc w:val="center"/>
              <w:rPr>
                <w:rFonts w:ascii="Times New Roman" w:hAnsi="Times New Roman" w:cs="Times New Roman"/>
                <w:sz w:val="20"/>
                <w:szCs w:val="20"/>
              </w:rPr>
            </w:pPr>
            <w:r w:rsidRPr="000C76C2">
              <w:rPr>
                <w:rFonts w:ascii="Times New Roman" w:hAnsi="Times New Roman" w:cs="Times New Roman"/>
                <w:sz w:val="20"/>
                <w:szCs w:val="20"/>
              </w:rPr>
              <w:t>49.17</w:t>
            </w:r>
          </w:p>
        </w:tc>
        <w:tc>
          <w:tcPr>
            <w:tcW w:w="941" w:type="dxa"/>
            <w:tcBorders>
              <w:bottom w:val="single" w:sz="4" w:space="0" w:color="auto"/>
            </w:tcBorders>
            <w:hideMark/>
          </w:tcPr>
          <w:p w:rsidR="00EF3780" w:rsidRPr="000C76C2" w:rsidRDefault="00EF3780" w:rsidP="005F4B75">
            <w:pPr>
              <w:spacing w:before="60" w:after="60" w:line="240" w:lineRule="auto"/>
              <w:jc w:val="center"/>
              <w:rPr>
                <w:rFonts w:ascii="Times New Roman" w:hAnsi="Times New Roman" w:cs="Times New Roman"/>
                <w:sz w:val="20"/>
                <w:szCs w:val="20"/>
              </w:rPr>
            </w:pPr>
            <w:r w:rsidRPr="000C76C2">
              <w:rPr>
                <w:rFonts w:ascii="Times New Roman" w:hAnsi="Times New Roman" w:cs="Times New Roman"/>
                <w:sz w:val="20"/>
                <w:szCs w:val="20"/>
              </w:rPr>
              <w:t>557.79</w:t>
            </w:r>
          </w:p>
        </w:tc>
      </w:tr>
    </w:tbl>
    <w:p w:rsidR="00EF3780" w:rsidRDefault="00EF3780" w:rsidP="00EF3780">
      <w:pPr>
        <w:spacing w:after="0" w:line="240" w:lineRule="auto"/>
        <w:jc w:val="both"/>
        <w:rPr>
          <w:rFonts w:ascii="Times New Roman" w:hAnsi="Times New Roman"/>
          <w:sz w:val="20"/>
          <w:szCs w:val="20"/>
        </w:rPr>
      </w:pPr>
    </w:p>
    <w:p w:rsidR="00EF3780" w:rsidRPr="00F447A7" w:rsidRDefault="00EF3780" w:rsidP="00EF3780">
      <w:pPr>
        <w:spacing w:after="0"/>
        <w:jc w:val="both"/>
        <w:rPr>
          <w:rFonts w:ascii="Times New Roman" w:hAnsi="Times New Roman"/>
          <w:noProof/>
          <w:sz w:val="20"/>
          <w:szCs w:val="20"/>
          <w:lang w:bidi="ar-SA"/>
        </w:rPr>
      </w:pPr>
    </w:p>
    <w:p w:rsidR="00EF3780" w:rsidRDefault="00EF3780" w:rsidP="00EF3780">
      <w:pPr>
        <w:spacing w:after="0"/>
        <w:jc w:val="center"/>
        <w:rPr>
          <w:rFonts w:ascii="Times New Roman" w:hAnsi="Times New Roman"/>
          <w:noProof/>
          <w:sz w:val="20"/>
          <w:szCs w:val="20"/>
          <w:lang w:bidi="ar-SA"/>
        </w:rPr>
      </w:pPr>
    </w:p>
    <w:p w:rsidR="00EF3780" w:rsidRDefault="00EF3780" w:rsidP="00EF3780">
      <w:pPr>
        <w:spacing w:after="0"/>
        <w:jc w:val="center"/>
        <w:rPr>
          <w:rFonts w:ascii="Times New Roman" w:hAnsi="Times New Roman"/>
          <w:noProof/>
          <w:sz w:val="20"/>
          <w:szCs w:val="20"/>
          <w:lang w:bidi="ar-SA"/>
        </w:rPr>
        <w:sectPr w:rsidR="00EF3780" w:rsidSect="005F4B75">
          <w:headerReference w:type="even" r:id="rId50"/>
          <w:headerReference w:type="default" r:id="rId51"/>
          <w:footerReference w:type="even" r:id="rId52"/>
          <w:headerReference w:type="first" r:id="rId53"/>
          <w:type w:val="evenPage"/>
          <w:pgSz w:w="12240" w:h="15840" w:code="1"/>
          <w:pgMar w:top="1800" w:right="1469" w:bottom="1699" w:left="1440" w:header="706" w:footer="706" w:gutter="0"/>
          <w:pgNumType w:start="448"/>
          <w:cols w:space="708"/>
          <w:docGrid w:linePitch="360"/>
        </w:sectPr>
      </w:pPr>
    </w:p>
    <w:p w:rsidR="00EF3780" w:rsidRDefault="00EF3780" w:rsidP="00EF3780">
      <w:pPr>
        <w:spacing w:after="0"/>
        <w:rPr>
          <w:rFonts w:ascii="Times New Roman" w:hAnsi="Times New Roman"/>
          <w:noProof/>
          <w:sz w:val="20"/>
          <w:szCs w:val="20"/>
          <w:lang w:bidi="ar-SA"/>
        </w:rPr>
      </w:pPr>
    </w:p>
    <w:p w:rsidR="00EF3780" w:rsidRPr="00181EFD" w:rsidRDefault="00EF3780" w:rsidP="00EF3780">
      <w:pPr>
        <w:spacing w:after="0"/>
        <w:jc w:val="center"/>
        <w:rPr>
          <w:rFonts w:ascii="Times New Roman" w:hAnsi="Times New Roman"/>
          <w:noProof/>
          <w:sz w:val="20"/>
          <w:szCs w:val="20"/>
          <w:lang w:bidi="ar-SA"/>
        </w:rPr>
      </w:pPr>
      <w:r>
        <w:rPr>
          <w:rFonts w:ascii="Times New Roman" w:hAnsi="Times New Roman"/>
          <w:noProof/>
          <w:sz w:val="20"/>
          <w:szCs w:val="20"/>
          <w:lang w:val="en-MY" w:eastAsia="en-MY" w:bidi="ar-SA"/>
        </w:rPr>
        <w:drawing>
          <wp:anchor distT="0" distB="0" distL="114300" distR="114300" simplePos="0" relativeHeight="251659776" behindDoc="0" locked="0" layoutInCell="1" allowOverlap="1">
            <wp:simplePos x="0" y="0"/>
            <wp:positionH relativeFrom="margin">
              <wp:posOffset>1046480</wp:posOffset>
            </wp:positionH>
            <wp:positionV relativeFrom="paragraph">
              <wp:posOffset>69850</wp:posOffset>
            </wp:positionV>
            <wp:extent cx="3846830" cy="2411730"/>
            <wp:effectExtent l="0" t="0" r="20320" b="26670"/>
            <wp:wrapSquare wrapText="bothSides"/>
            <wp:docPr id="4" name="Gráfico 4">
              <a:extLst xmlns:a="http://schemas.openxmlformats.org/drawingml/2006/main">
                <a:ext uri="{FF2B5EF4-FFF2-40B4-BE49-F238E27FC236}">
                  <a16:creationId xmlns:ve="http://schemas.openxmlformats.org/markup-compatibility/2006"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7F4074FD-E5E5-4B94-9169-E74F42BB2D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anchor>
        </w:drawing>
      </w: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r>
        <w:rPr>
          <w:rFonts w:ascii="Times New Roman" w:hAnsi="Times New Roman"/>
          <w:sz w:val="20"/>
          <w:szCs w:val="20"/>
        </w:rPr>
        <w:t>Figure 3. Two-dimensional scatter plots of the loadings of the first two factors. Biplot (axes F1 y F2: 96.9%)</w:t>
      </w:r>
    </w:p>
    <w:p w:rsidR="00EF3780" w:rsidRDefault="00EF3780" w:rsidP="00EF3780">
      <w:pPr>
        <w:spacing w:before="120" w:after="0"/>
        <w:jc w:val="center"/>
        <w:rPr>
          <w:rFonts w:ascii="Times New Roman" w:hAnsi="Times New Roman"/>
          <w:b/>
          <w:noProof/>
          <w:sz w:val="20"/>
          <w:szCs w:val="20"/>
          <w:lang w:bidi="ar-SA"/>
        </w:rPr>
      </w:pPr>
    </w:p>
    <w:p w:rsidR="00EF3780" w:rsidRDefault="00EF3780" w:rsidP="00EF3780">
      <w:pPr>
        <w:spacing w:after="120"/>
        <w:jc w:val="center"/>
        <w:rPr>
          <w:rFonts w:ascii="Times New Roman" w:hAnsi="Times New Roman"/>
          <w:b/>
          <w:noProof/>
          <w:sz w:val="20"/>
          <w:szCs w:val="20"/>
          <w:lang w:bidi="ar-SA"/>
        </w:rPr>
      </w:pPr>
      <w:r>
        <w:rPr>
          <w:rFonts w:ascii="Times New Roman" w:hAnsi="Times New Roman"/>
          <w:noProof/>
          <w:sz w:val="20"/>
          <w:szCs w:val="20"/>
          <w:lang w:val="en-MY" w:eastAsia="en-MY" w:bidi="ar-SA"/>
        </w:rPr>
        <w:drawing>
          <wp:inline distT="0" distB="0" distL="0" distR="0">
            <wp:extent cx="3061970" cy="2052320"/>
            <wp:effectExtent l="19050" t="19050" r="24130" b="241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061970" cy="2052320"/>
                    </a:xfrm>
                    <a:prstGeom prst="rect">
                      <a:avLst/>
                    </a:prstGeom>
                    <a:noFill/>
                    <a:ln w="6350">
                      <a:solidFill>
                        <a:schemeClr val="tx1"/>
                      </a:solidFill>
                    </a:ln>
                  </pic:spPr>
                </pic:pic>
              </a:graphicData>
            </a:graphic>
          </wp:inline>
        </w:drawing>
      </w:r>
    </w:p>
    <w:p w:rsidR="00EF3780" w:rsidRDefault="00EF3780" w:rsidP="00EF3780">
      <w:pPr>
        <w:pStyle w:val="HTMLPreformatted"/>
        <w:spacing w:line="276" w:lineRule="auto"/>
        <w:ind w:left="850" w:hanging="850"/>
        <w:jc w:val="both"/>
        <w:rPr>
          <w:rFonts w:ascii="Times New Roman" w:hAnsi="Times New Roman" w:cs="Times New Roman"/>
        </w:rPr>
      </w:pPr>
      <w:r>
        <w:rPr>
          <w:rFonts w:ascii="Times New Roman" w:hAnsi="Times New Roman" w:cs="Times New Roman"/>
          <w:lang w:val="en-US"/>
        </w:rPr>
        <w:t>Figure 4</w:t>
      </w:r>
      <w:r>
        <w:rPr>
          <w:rFonts w:ascii="Times New Roman" w:hAnsi="Times New Roman" w:cs="Times New Roman"/>
        </w:rPr>
        <w:t xml:space="preserve">. </w:t>
      </w:r>
      <w:r>
        <w:rPr>
          <w:rFonts w:ascii="Times New Roman" w:hAnsi="Times New Roman" w:cs="Times New Roman"/>
        </w:rPr>
        <w:tab/>
        <w:t xml:space="preserve">Hydromethanolic extract plate of </w:t>
      </w:r>
      <w:r>
        <w:rPr>
          <w:rFonts w:ascii="Times New Roman" w:hAnsi="Times New Roman" w:cs="Times New Roman"/>
          <w:i/>
        </w:rPr>
        <w:t xml:space="preserve">Moringa oleifera </w:t>
      </w:r>
      <w:r>
        <w:rPr>
          <w:rFonts w:ascii="Times New Roman" w:hAnsi="Times New Roman" w:cs="Times New Roman"/>
        </w:rPr>
        <w:t>(S5, De Font Quer) revealed with UV 254 nm (green), UV 366 nm (blue) and DPPH (gray), respectively. The red arrow heads indicate the band of each standard (Q, Que</w:t>
      </w:r>
      <w:r w:rsidR="007336BC">
        <w:rPr>
          <w:rFonts w:ascii="Times New Roman" w:hAnsi="Times New Roman" w:cs="Times New Roman"/>
        </w:rPr>
        <w:t>rcetin; G, Gallic acid and R, Rutin</w:t>
      </w:r>
      <w:r>
        <w:rPr>
          <w:rFonts w:ascii="Times New Roman" w:hAnsi="Times New Roman" w:cs="Times New Roman"/>
        </w:rPr>
        <w:t>). M, reference antioxidants; S5, De Font Quer; S5Q, sample plus quercetin and S4R, sample plus rutin</w:t>
      </w:r>
    </w:p>
    <w:p w:rsidR="00EF3780" w:rsidRDefault="00EF3780" w:rsidP="00EF3780">
      <w:pPr>
        <w:spacing w:after="120"/>
        <w:jc w:val="center"/>
        <w:rPr>
          <w:rFonts w:ascii="Times New Roman" w:hAnsi="Times New Roman"/>
          <w:b/>
          <w:noProof/>
          <w:sz w:val="20"/>
          <w:szCs w:val="20"/>
          <w:lang w:bidi="ar-SA"/>
        </w:rPr>
        <w:sectPr w:rsidR="00EF3780" w:rsidSect="005F4B75">
          <w:headerReference w:type="even" r:id="rId56"/>
          <w:headerReference w:type="default" r:id="rId57"/>
          <w:footerReference w:type="default" r:id="rId58"/>
          <w:headerReference w:type="first" r:id="rId59"/>
          <w:type w:val="oddPage"/>
          <w:pgSz w:w="12240" w:h="15840" w:code="1"/>
          <w:pgMar w:top="1800" w:right="1469" w:bottom="1699" w:left="1440" w:header="706" w:footer="706" w:gutter="0"/>
          <w:pgNumType w:start="448"/>
          <w:cols w:space="708"/>
          <w:docGrid w:linePitch="360"/>
        </w:sectPr>
      </w:pPr>
    </w:p>
    <w:p w:rsidR="00EF3780" w:rsidRDefault="00EF3780" w:rsidP="00EF3780">
      <w:pPr>
        <w:spacing w:after="120"/>
        <w:jc w:val="center"/>
        <w:rPr>
          <w:rFonts w:ascii="Times New Roman" w:hAnsi="Times New Roman"/>
          <w:b/>
          <w:noProof/>
          <w:sz w:val="20"/>
          <w:szCs w:val="20"/>
          <w:lang w:bidi="ar-SA"/>
        </w:rPr>
      </w:pPr>
    </w:p>
    <w:p w:rsidR="00EF3780" w:rsidRDefault="00EF3780" w:rsidP="00EF3780">
      <w:pPr>
        <w:spacing w:after="120"/>
        <w:jc w:val="center"/>
        <w:rPr>
          <w:rFonts w:ascii="Times New Roman" w:hAnsi="Times New Roman"/>
          <w:b/>
          <w:noProof/>
          <w:sz w:val="20"/>
          <w:szCs w:val="20"/>
          <w:lang w:bidi="ar-SA"/>
        </w:rPr>
      </w:pPr>
      <w:r>
        <w:rPr>
          <w:rFonts w:ascii="Times New Roman" w:hAnsi="Times New Roman"/>
          <w:noProof/>
          <w:sz w:val="20"/>
          <w:szCs w:val="20"/>
          <w:lang w:val="en-MY" w:eastAsia="en-MY" w:bidi="ar-SA"/>
        </w:rPr>
        <w:drawing>
          <wp:inline distT="0" distB="0" distL="0" distR="0">
            <wp:extent cx="3540711" cy="2688590"/>
            <wp:effectExtent l="19050" t="19050" r="22225" b="165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546011" cy="2692614"/>
                    </a:xfrm>
                    <a:prstGeom prst="rect">
                      <a:avLst/>
                    </a:prstGeom>
                    <a:noFill/>
                    <a:ln w="6350">
                      <a:solidFill>
                        <a:schemeClr val="tx1"/>
                      </a:solidFill>
                    </a:ln>
                  </pic:spPr>
                </pic:pic>
              </a:graphicData>
            </a:graphic>
          </wp:inline>
        </w:drawing>
      </w:r>
    </w:p>
    <w:p w:rsidR="00EF3780" w:rsidRPr="004060AD" w:rsidRDefault="00EF3780" w:rsidP="00EF3780">
      <w:pPr>
        <w:spacing w:after="0"/>
        <w:ind w:left="850" w:hanging="850"/>
        <w:jc w:val="both"/>
        <w:rPr>
          <w:rFonts w:ascii="Times New Roman" w:hAnsi="Times New Roman"/>
          <w:sz w:val="20"/>
          <w:szCs w:val="20"/>
        </w:rPr>
      </w:pPr>
      <w:r>
        <w:rPr>
          <w:rFonts w:ascii="Times New Roman" w:hAnsi="Times New Roman"/>
          <w:sz w:val="20"/>
          <w:szCs w:val="20"/>
        </w:rPr>
        <w:t xml:space="preserve">Figure 5. </w:t>
      </w:r>
      <w:r>
        <w:rPr>
          <w:rFonts w:ascii="Times New Roman" w:hAnsi="Times New Roman"/>
          <w:sz w:val="20"/>
          <w:szCs w:val="20"/>
        </w:rPr>
        <w:tab/>
        <w:t xml:space="preserve">Characterization of gradient HPLC analysis of different </w:t>
      </w:r>
      <w:r>
        <w:rPr>
          <w:rFonts w:ascii="Times New Roman" w:hAnsi="Times New Roman"/>
          <w:i/>
          <w:sz w:val="20"/>
          <w:szCs w:val="20"/>
        </w:rPr>
        <w:t>M. oleifera</w:t>
      </w:r>
      <w:r>
        <w:rPr>
          <w:rFonts w:ascii="Times New Roman" w:hAnsi="Times New Roman"/>
          <w:sz w:val="20"/>
          <w:szCs w:val="20"/>
        </w:rPr>
        <w:t xml:space="preserve"> leaves extracts. S1) Infusionate (purple), S2) Terbal (black), S3) Akuanandi (green), S4) Mas lait (blue), and S5) De Font Quer (red).</w:t>
      </w:r>
    </w:p>
    <w:p w:rsidR="00EF3780" w:rsidRDefault="00EF3780" w:rsidP="00EF3780">
      <w:pPr>
        <w:spacing w:after="120"/>
        <w:jc w:val="center"/>
        <w:rPr>
          <w:rFonts w:ascii="Times New Roman" w:hAnsi="Times New Roman"/>
          <w:b/>
          <w:noProof/>
          <w:sz w:val="20"/>
          <w:szCs w:val="20"/>
          <w:lang w:bidi="ar-SA"/>
        </w:rPr>
      </w:pPr>
    </w:p>
    <w:p w:rsidR="00EF3780" w:rsidRDefault="00EF3780" w:rsidP="00EF3780">
      <w:pPr>
        <w:spacing w:after="120"/>
        <w:ind w:left="706" w:hanging="706"/>
        <w:jc w:val="center"/>
        <w:rPr>
          <w:rFonts w:ascii="Times New Roman" w:hAnsi="Times New Roman"/>
          <w:sz w:val="20"/>
          <w:szCs w:val="20"/>
        </w:rPr>
      </w:pPr>
      <w:r w:rsidRPr="006C2BCB">
        <w:rPr>
          <w:rFonts w:ascii="Times New Roman" w:hAnsi="Times New Roman"/>
          <w:sz w:val="20"/>
          <w:szCs w:val="20"/>
        </w:rPr>
        <w:t xml:space="preserve">Table 2. </w:t>
      </w:r>
      <w:r>
        <w:rPr>
          <w:rFonts w:ascii="Times New Roman" w:hAnsi="Times New Roman"/>
          <w:sz w:val="20"/>
          <w:szCs w:val="20"/>
        </w:rPr>
        <w:t xml:space="preserve"> </w:t>
      </w:r>
      <w:r w:rsidRPr="006C2BCB">
        <w:rPr>
          <w:rFonts w:ascii="Times New Roman" w:hAnsi="Times New Roman"/>
          <w:sz w:val="20"/>
          <w:szCs w:val="20"/>
        </w:rPr>
        <w:t xml:space="preserve">Target compounds </w:t>
      </w:r>
      <w:r w:rsidR="007336BC">
        <w:rPr>
          <w:rFonts w:ascii="Times New Roman" w:hAnsi="Times New Roman"/>
          <w:sz w:val="20"/>
          <w:szCs w:val="20"/>
        </w:rPr>
        <w:t xml:space="preserve"> </w:t>
      </w:r>
      <w:r w:rsidRPr="006C2BCB">
        <w:rPr>
          <w:rFonts w:ascii="Times New Roman" w:hAnsi="Times New Roman"/>
          <w:sz w:val="20"/>
          <w:szCs w:val="20"/>
        </w:rPr>
        <w:t xml:space="preserve">from </w:t>
      </w:r>
      <w:r w:rsidR="007336BC">
        <w:rPr>
          <w:rFonts w:ascii="Times New Roman" w:hAnsi="Times New Roman"/>
          <w:sz w:val="20"/>
          <w:szCs w:val="20"/>
        </w:rPr>
        <w:t xml:space="preserve"> </w:t>
      </w:r>
      <w:r w:rsidRPr="006C2BCB">
        <w:rPr>
          <w:rFonts w:ascii="Times New Roman" w:hAnsi="Times New Roman"/>
          <w:sz w:val="20"/>
          <w:szCs w:val="20"/>
        </w:rPr>
        <w:t xml:space="preserve">different </w:t>
      </w:r>
      <w:r w:rsidR="007336BC">
        <w:rPr>
          <w:rFonts w:ascii="Times New Roman" w:hAnsi="Times New Roman"/>
          <w:sz w:val="20"/>
          <w:szCs w:val="20"/>
        </w:rPr>
        <w:t xml:space="preserve"> </w:t>
      </w:r>
      <w:r w:rsidRPr="006C2BCB">
        <w:rPr>
          <w:rFonts w:ascii="Times New Roman" w:hAnsi="Times New Roman"/>
          <w:i/>
          <w:sz w:val="20"/>
          <w:szCs w:val="20"/>
        </w:rPr>
        <w:t>M. oleifera</w:t>
      </w:r>
      <w:r w:rsidRPr="006C2BCB">
        <w:rPr>
          <w:rFonts w:ascii="Times New Roman" w:hAnsi="Times New Roman"/>
          <w:sz w:val="20"/>
          <w:szCs w:val="20"/>
        </w:rPr>
        <w:t xml:space="preserve"> leaves extracts by HPLC-DAD (352 nm). The retention time and relative peak are of </w:t>
      </w:r>
      <w:r>
        <w:rPr>
          <w:rFonts w:ascii="Times New Roman" w:hAnsi="Times New Roman"/>
          <w:sz w:val="20"/>
          <w:szCs w:val="20"/>
        </w:rPr>
        <w:t>10</w:t>
      </w:r>
      <w:r w:rsidRPr="006C2BCB">
        <w:rPr>
          <w:rFonts w:ascii="Times New Roman" w:hAnsi="Times New Roman"/>
          <w:sz w:val="20"/>
          <w:szCs w:val="20"/>
        </w:rPr>
        <w:t xml:space="preserve"> common peaks of </w:t>
      </w:r>
      <w:r w:rsidRPr="006C2BCB">
        <w:rPr>
          <w:rFonts w:ascii="Times New Roman" w:hAnsi="Times New Roman"/>
          <w:i/>
          <w:sz w:val="20"/>
          <w:szCs w:val="20"/>
        </w:rPr>
        <w:t>M. oleifera</w:t>
      </w:r>
      <w:r w:rsidRPr="006C2BCB">
        <w:rPr>
          <w:rFonts w:ascii="Times New Roman" w:hAnsi="Times New Roman"/>
          <w:sz w:val="20"/>
          <w:szCs w:val="20"/>
        </w:rPr>
        <w:t xml:space="preserve"> samples</w:t>
      </w:r>
    </w:p>
    <w:tbl>
      <w:tblPr>
        <w:tblStyle w:val="TableGrid"/>
        <w:tblpPr w:leftFromText="141" w:rightFromText="141" w:vertAnchor="text" w:horzAnchor="margin" w:tblpXSpec="center" w:tblpY="16"/>
        <w:tblW w:w="8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584"/>
        <w:gridCol w:w="1104"/>
        <w:gridCol w:w="1152"/>
        <w:gridCol w:w="989"/>
        <w:gridCol w:w="992"/>
        <w:gridCol w:w="1154"/>
        <w:gridCol w:w="22"/>
      </w:tblGrid>
      <w:tr w:rsidR="00EF3780" w:rsidTr="005F4B75">
        <w:trPr>
          <w:trHeight w:val="345"/>
        </w:trPr>
        <w:tc>
          <w:tcPr>
            <w:tcW w:w="1985" w:type="dxa"/>
            <w:vMerge w:val="restart"/>
            <w:tcBorders>
              <w:top w:val="single" w:sz="4" w:space="0" w:color="auto"/>
            </w:tcBorders>
          </w:tcPr>
          <w:p w:rsidR="00EF3780" w:rsidRPr="00E10EC6" w:rsidRDefault="00EF3780" w:rsidP="005F4B75">
            <w:pPr>
              <w:spacing w:after="0"/>
              <w:rPr>
                <w:rFonts w:ascii="Times New Roman" w:hAnsi="Times New Roman" w:cs="Times New Roman"/>
                <w:b/>
                <w:sz w:val="20"/>
                <w:szCs w:val="20"/>
              </w:rPr>
            </w:pPr>
          </w:p>
          <w:p w:rsidR="00EF3780" w:rsidRPr="00E10EC6" w:rsidRDefault="00EF3780" w:rsidP="005F4B75">
            <w:pPr>
              <w:spacing w:after="0"/>
              <w:rPr>
                <w:rFonts w:ascii="Times New Roman" w:hAnsi="Times New Roman" w:cs="Times New Roman"/>
                <w:b/>
                <w:sz w:val="20"/>
                <w:szCs w:val="20"/>
              </w:rPr>
            </w:pPr>
            <w:r w:rsidRPr="00E10EC6">
              <w:rPr>
                <w:rFonts w:ascii="Times New Roman" w:hAnsi="Times New Roman" w:cs="Times New Roman"/>
                <w:b/>
                <w:sz w:val="20"/>
                <w:szCs w:val="20"/>
              </w:rPr>
              <w:t>Biomarkers</w:t>
            </w:r>
          </w:p>
        </w:tc>
        <w:tc>
          <w:tcPr>
            <w:tcW w:w="1584" w:type="dxa"/>
            <w:tcBorders>
              <w:top w:val="single" w:sz="4" w:space="0" w:color="auto"/>
            </w:tcBorders>
          </w:tcPr>
          <w:p w:rsidR="00EF3780" w:rsidRPr="00E10EC6" w:rsidRDefault="00EF3780" w:rsidP="005F4B75">
            <w:pPr>
              <w:spacing w:before="60" w:after="0"/>
              <w:jc w:val="center"/>
              <w:rPr>
                <w:rFonts w:ascii="Times New Roman" w:hAnsi="Times New Roman"/>
                <w:b/>
                <w:sz w:val="20"/>
                <w:szCs w:val="20"/>
              </w:rPr>
            </w:pPr>
            <w:r>
              <w:rPr>
                <w:rFonts w:ascii="Times New Roman" w:hAnsi="Times New Roman"/>
                <w:b/>
                <w:sz w:val="20"/>
                <w:szCs w:val="20"/>
              </w:rPr>
              <w:t>Retention time</w:t>
            </w:r>
          </w:p>
        </w:tc>
        <w:tc>
          <w:tcPr>
            <w:tcW w:w="5413" w:type="dxa"/>
            <w:gridSpan w:val="6"/>
            <w:tcBorders>
              <w:top w:val="single" w:sz="4" w:space="0" w:color="auto"/>
              <w:bottom w:val="single" w:sz="4" w:space="0" w:color="auto"/>
            </w:tcBorders>
            <w:hideMark/>
          </w:tcPr>
          <w:p w:rsidR="00EF3780" w:rsidRPr="00E10EC6" w:rsidRDefault="00EF3780" w:rsidP="005F4B75">
            <w:pPr>
              <w:spacing w:before="60" w:after="0"/>
              <w:jc w:val="center"/>
              <w:rPr>
                <w:rFonts w:ascii="Times New Roman" w:hAnsi="Times New Roman" w:cs="Times New Roman"/>
                <w:b/>
                <w:sz w:val="20"/>
                <w:szCs w:val="20"/>
              </w:rPr>
            </w:pPr>
            <w:r w:rsidRPr="00E10EC6">
              <w:rPr>
                <w:rFonts w:ascii="Times New Roman" w:hAnsi="Times New Roman" w:cs="Times New Roman"/>
                <w:b/>
                <w:sz w:val="20"/>
                <w:szCs w:val="20"/>
              </w:rPr>
              <w:t>Relative Peak Area</w:t>
            </w:r>
          </w:p>
        </w:tc>
      </w:tr>
      <w:tr w:rsidR="00EF3780" w:rsidTr="005F4B75">
        <w:trPr>
          <w:gridAfter w:val="1"/>
          <w:wAfter w:w="22" w:type="dxa"/>
          <w:trHeight w:val="260"/>
        </w:trPr>
        <w:tc>
          <w:tcPr>
            <w:tcW w:w="1985" w:type="dxa"/>
            <w:vMerge/>
            <w:tcBorders>
              <w:bottom w:val="single" w:sz="4" w:space="0" w:color="auto"/>
            </w:tcBorders>
            <w:vAlign w:val="center"/>
            <w:hideMark/>
          </w:tcPr>
          <w:p w:rsidR="00EF3780" w:rsidRPr="00E10EC6" w:rsidRDefault="00EF3780" w:rsidP="005F4B75">
            <w:pPr>
              <w:spacing w:after="0"/>
              <w:rPr>
                <w:rFonts w:ascii="Times New Roman" w:hAnsi="Times New Roman" w:cs="Times New Roman"/>
                <w:b/>
                <w:sz w:val="20"/>
                <w:szCs w:val="20"/>
              </w:rPr>
            </w:pPr>
          </w:p>
        </w:tc>
        <w:tc>
          <w:tcPr>
            <w:tcW w:w="1584" w:type="dxa"/>
            <w:tcBorders>
              <w:bottom w:val="single" w:sz="4" w:space="0" w:color="auto"/>
            </w:tcBorders>
          </w:tcPr>
          <w:p w:rsidR="00EF3780" w:rsidRPr="00E10EC6" w:rsidRDefault="00EF3780" w:rsidP="005F4B75">
            <w:pPr>
              <w:spacing w:after="60"/>
              <w:jc w:val="center"/>
              <w:rPr>
                <w:rFonts w:ascii="Times New Roman" w:hAnsi="Times New Roman"/>
                <w:b/>
                <w:sz w:val="20"/>
                <w:szCs w:val="20"/>
              </w:rPr>
            </w:pPr>
            <w:r>
              <w:rPr>
                <w:rFonts w:ascii="Times New Roman" w:hAnsi="Times New Roman"/>
                <w:b/>
                <w:sz w:val="20"/>
                <w:szCs w:val="20"/>
              </w:rPr>
              <w:t>(min)</w:t>
            </w:r>
          </w:p>
        </w:tc>
        <w:tc>
          <w:tcPr>
            <w:tcW w:w="1104" w:type="dxa"/>
            <w:tcBorders>
              <w:bottom w:val="single" w:sz="4" w:space="0" w:color="auto"/>
            </w:tcBorders>
            <w:hideMark/>
          </w:tcPr>
          <w:p w:rsidR="00EF3780" w:rsidRPr="00E10EC6" w:rsidRDefault="00EF3780" w:rsidP="005F4B75">
            <w:pPr>
              <w:spacing w:after="0"/>
              <w:rPr>
                <w:rFonts w:ascii="Times New Roman" w:hAnsi="Times New Roman" w:cs="Times New Roman"/>
                <w:b/>
                <w:sz w:val="20"/>
                <w:szCs w:val="20"/>
              </w:rPr>
            </w:pPr>
            <w:r w:rsidRPr="00E10EC6">
              <w:rPr>
                <w:rFonts w:ascii="Times New Roman" w:hAnsi="Times New Roman" w:cs="Times New Roman"/>
                <w:b/>
                <w:sz w:val="20"/>
                <w:szCs w:val="20"/>
              </w:rPr>
              <w:t>S1</w:t>
            </w:r>
          </w:p>
        </w:tc>
        <w:tc>
          <w:tcPr>
            <w:tcW w:w="1152" w:type="dxa"/>
            <w:tcBorders>
              <w:bottom w:val="single" w:sz="4" w:space="0" w:color="auto"/>
            </w:tcBorders>
            <w:hideMark/>
          </w:tcPr>
          <w:p w:rsidR="00EF3780" w:rsidRPr="00E10EC6" w:rsidRDefault="00EF3780" w:rsidP="005F4B75">
            <w:pPr>
              <w:spacing w:after="0"/>
              <w:jc w:val="center"/>
              <w:rPr>
                <w:rFonts w:ascii="Times New Roman" w:hAnsi="Times New Roman" w:cs="Times New Roman"/>
                <w:b/>
                <w:sz w:val="20"/>
                <w:szCs w:val="20"/>
              </w:rPr>
            </w:pPr>
            <w:r w:rsidRPr="00E10EC6">
              <w:rPr>
                <w:rFonts w:ascii="Times New Roman" w:hAnsi="Times New Roman" w:cs="Times New Roman"/>
                <w:b/>
                <w:sz w:val="20"/>
                <w:szCs w:val="20"/>
              </w:rPr>
              <w:t>S2</w:t>
            </w:r>
          </w:p>
        </w:tc>
        <w:tc>
          <w:tcPr>
            <w:tcW w:w="989" w:type="dxa"/>
            <w:tcBorders>
              <w:bottom w:val="single" w:sz="4" w:space="0" w:color="auto"/>
            </w:tcBorders>
            <w:hideMark/>
          </w:tcPr>
          <w:p w:rsidR="00EF3780" w:rsidRPr="00E10EC6" w:rsidRDefault="00EF3780" w:rsidP="005F4B75">
            <w:pPr>
              <w:spacing w:after="0"/>
              <w:jc w:val="center"/>
              <w:rPr>
                <w:rFonts w:ascii="Times New Roman" w:hAnsi="Times New Roman" w:cs="Times New Roman"/>
                <w:b/>
                <w:sz w:val="20"/>
                <w:szCs w:val="20"/>
              </w:rPr>
            </w:pPr>
            <w:r w:rsidRPr="00E10EC6">
              <w:rPr>
                <w:rFonts w:ascii="Times New Roman" w:hAnsi="Times New Roman" w:cs="Times New Roman"/>
                <w:b/>
                <w:sz w:val="20"/>
                <w:szCs w:val="20"/>
              </w:rPr>
              <w:t>S3</w:t>
            </w:r>
          </w:p>
        </w:tc>
        <w:tc>
          <w:tcPr>
            <w:tcW w:w="992" w:type="dxa"/>
            <w:tcBorders>
              <w:bottom w:val="single" w:sz="4" w:space="0" w:color="auto"/>
            </w:tcBorders>
            <w:hideMark/>
          </w:tcPr>
          <w:p w:rsidR="00EF3780" w:rsidRPr="00E10EC6" w:rsidRDefault="00EF3780" w:rsidP="005F4B75">
            <w:pPr>
              <w:spacing w:after="0"/>
              <w:jc w:val="center"/>
              <w:rPr>
                <w:rFonts w:ascii="Times New Roman" w:hAnsi="Times New Roman" w:cs="Times New Roman"/>
                <w:b/>
                <w:sz w:val="20"/>
                <w:szCs w:val="20"/>
              </w:rPr>
            </w:pPr>
            <w:r w:rsidRPr="00E10EC6">
              <w:rPr>
                <w:rFonts w:ascii="Times New Roman" w:hAnsi="Times New Roman" w:cs="Times New Roman"/>
                <w:b/>
                <w:sz w:val="20"/>
                <w:szCs w:val="20"/>
              </w:rPr>
              <w:t>S4</w:t>
            </w:r>
          </w:p>
        </w:tc>
        <w:tc>
          <w:tcPr>
            <w:tcW w:w="1154" w:type="dxa"/>
            <w:tcBorders>
              <w:bottom w:val="single" w:sz="4" w:space="0" w:color="auto"/>
            </w:tcBorders>
            <w:hideMark/>
          </w:tcPr>
          <w:p w:rsidR="00EF3780" w:rsidRPr="00E10EC6" w:rsidRDefault="00EF3780" w:rsidP="005F4B75">
            <w:pPr>
              <w:spacing w:after="0"/>
              <w:jc w:val="center"/>
              <w:rPr>
                <w:rFonts w:ascii="Times New Roman" w:hAnsi="Times New Roman" w:cs="Times New Roman"/>
                <w:b/>
                <w:sz w:val="20"/>
                <w:szCs w:val="20"/>
              </w:rPr>
            </w:pPr>
            <w:r w:rsidRPr="00E10EC6">
              <w:rPr>
                <w:rFonts w:ascii="Times New Roman" w:hAnsi="Times New Roman" w:cs="Times New Roman"/>
                <w:b/>
                <w:sz w:val="20"/>
                <w:szCs w:val="20"/>
              </w:rPr>
              <w:t>S5</w:t>
            </w:r>
          </w:p>
        </w:tc>
      </w:tr>
      <w:tr w:rsidR="00EF3780" w:rsidTr="005F4B75">
        <w:trPr>
          <w:gridAfter w:val="1"/>
          <w:wAfter w:w="22" w:type="dxa"/>
          <w:trHeight w:val="262"/>
        </w:trPr>
        <w:tc>
          <w:tcPr>
            <w:tcW w:w="1985" w:type="dxa"/>
            <w:tcBorders>
              <w:top w:val="single" w:sz="4" w:space="0" w:color="auto"/>
            </w:tcBorders>
            <w:hideMark/>
          </w:tcPr>
          <w:p w:rsidR="00EF3780" w:rsidRPr="00E10EC6" w:rsidRDefault="00EF3780" w:rsidP="005F4B75">
            <w:pPr>
              <w:spacing w:before="60" w:after="0" w:line="240" w:lineRule="auto"/>
              <w:rPr>
                <w:rFonts w:ascii="Times New Roman" w:hAnsi="Times New Roman" w:cs="Times New Roman"/>
                <w:sz w:val="20"/>
                <w:szCs w:val="20"/>
              </w:rPr>
            </w:pPr>
            <w:r w:rsidRPr="00E10EC6">
              <w:rPr>
                <w:rFonts w:ascii="Times New Roman" w:hAnsi="Times New Roman" w:cs="Times New Roman"/>
                <w:sz w:val="20"/>
                <w:szCs w:val="20"/>
              </w:rPr>
              <w:t>1 (chlorogenic acid)</w:t>
            </w:r>
          </w:p>
        </w:tc>
        <w:tc>
          <w:tcPr>
            <w:tcW w:w="1584" w:type="dxa"/>
            <w:tcBorders>
              <w:top w:val="single" w:sz="4" w:space="0" w:color="auto"/>
            </w:tcBorders>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4.79±0.2</w:t>
            </w:r>
          </w:p>
        </w:tc>
        <w:tc>
          <w:tcPr>
            <w:tcW w:w="1104" w:type="dxa"/>
            <w:tcBorders>
              <w:top w:val="single" w:sz="4" w:space="0" w:color="auto"/>
            </w:tcBorders>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1329.8</w:t>
            </w:r>
          </w:p>
        </w:tc>
        <w:tc>
          <w:tcPr>
            <w:tcW w:w="1152" w:type="dxa"/>
            <w:tcBorders>
              <w:top w:val="single" w:sz="4" w:space="0" w:color="auto"/>
            </w:tcBorders>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1007.2</w:t>
            </w:r>
          </w:p>
        </w:tc>
        <w:tc>
          <w:tcPr>
            <w:tcW w:w="989" w:type="dxa"/>
            <w:tcBorders>
              <w:top w:val="single" w:sz="4" w:space="0" w:color="auto"/>
            </w:tcBorders>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1394.9</w:t>
            </w:r>
          </w:p>
        </w:tc>
        <w:tc>
          <w:tcPr>
            <w:tcW w:w="992" w:type="dxa"/>
            <w:tcBorders>
              <w:top w:val="single" w:sz="4" w:space="0" w:color="auto"/>
            </w:tcBorders>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981.9</w:t>
            </w:r>
          </w:p>
        </w:tc>
        <w:tc>
          <w:tcPr>
            <w:tcW w:w="1154" w:type="dxa"/>
            <w:tcBorders>
              <w:top w:val="single" w:sz="4" w:space="0" w:color="auto"/>
            </w:tcBorders>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1384.6</w:t>
            </w:r>
          </w:p>
        </w:tc>
      </w:tr>
      <w:tr w:rsidR="00EF3780" w:rsidTr="005F4B75">
        <w:trPr>
          <w:gridAfter w:val="1"/>
          <w:wAfter w:w="22" w:type="dxa"/>
          <w:trHeight w:val="60"/>
        </w:trPr>
        <w:tc>
          <w:tcPr>
            <w:tcW w:w="1985" w:type="dxa"/>
            <w:hideMark/>
          </w:tcPr>
          <w:p w:rsidR="00EF3780" w:rsidRPr="00E10EC6" w:rsidRDefault="00EF3780" w:rsidP="005F4B75">
            <w:pPr>
              <w:spacing w:before="60" w:after="0" w:line="240" w:lineRule="auto"/>
              <w:rPr>
                <w:rFonts w:ascii="Times New Roman" w:hAnsi="Times New Roman" w:cs="Times New Roman"/>
                <w:sz w:val="20"/>
                <w:szCs w:val="20"/>
              </w:rPr>
            </w:pPr>
            <w:r w:rsidRPr="00E10EC6">
              <w:rPr>
                <w:rFonts w:ascii="Times New Roman" w:hAnsi="Times New Roman" w:cs="Times New Roman"/>
                <w:sz w:val="20"/>
                <w:szCs w:val="20"/>
              </w:rPr>
              <w:t>2 (syringic acid)</w:t>
            </w:r>
          </w:p>
        </w:tc>
        <w:tc>
          <w:tcPr>
            <w:tcW w:w="1584" w:type="dxa"/>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8.33±0.3</w:t>
            </w:r>
          </w:p>
        </w:tc>
        <w:tc>
          <w:tcPr>
            <w:tcW w:w="110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185.2</w:t>
            </w:r>
          </w:p>
        </w:tc>
        <w:tc>
          <w:tcPr>
            <w:tcW w:w="115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253.8</w:t>
            </w:r>
          </w:p>
        </w:tc>
        <w:tc>
          <w:tcPr>
            <w:tcW w:w="989"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346.7</w:t>
            </w:r>
          </w:p>
        </w:tc>
        <w:tc>
          <w:tcPr>
            <w:tcW w:w="99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616.8</w:t>
            </w:r>
          </w:p>
        </w:tc>
        <w:tc>
          <w:tcPr>
            <w:tcW w:w="115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475.4</w:t>
            </w:r>
          </w:p>
        </w:tc>
      </w:tr>
      <w:tr w:rsidR="00EF3780" w:rsidTr="005F4B75">
        <w:trPr>
          <w:gridAfter w:val="1"/>
          <w:wAfter w:w="22" w:type="dxa"/>
          <w:trHeight w:val="199"/>
        </w:trPr>
        <w:tc>
          <w:tcPr>
            <w:tcW w:w="1985" w:type="dxa"/>
            <w:hideMark/>
          </w:tcPr>
          <w:p w:rsidR="00EF3780" w:rsidRPr="00E10EC6" w:rsidRDefault="00EF3780" w:rsidP="005F4B75">
            <w:pPr>
              <w:spacing w:before="60" w:after="0" w:line="240" w:lineRule="auto"/>
              <w:rPr>
                <w:rFonts w:ascii="Times New Roman" w:hAnsi="Times New Roman" w:cs="Times New Roman"/>
                <w:sz w:val="20"/>
                <w:szCs w:val="20"/>
              </w:rPr>
            </w:pPr>
            <w:r w:rsidRPr="00E10EC6">
              <w:rPr>
                <w:rFonts w:ascii="Times New Roman" w:hAnsi="Times New Roman" w:cs="Times New Roman"/>
                <w:sz w:val="20"/>
                <w:szCs w:val="20"/>
              </w:rPr>
              <w:t>3 (unknown)</w:t>
            </w:r>
          </w:p>
        </w:tc>
        <w:tc>
          <w:tcPr>
            <w:tcW w:w="1584" w:type="dxa"/>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13.64±0.5</w:t>
            </w:r>
          </w:p>
        </w:tc>
        <w:tc>
          <w:tcPr>
            <w:tcW w:w="110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199.9</w:t>
            </w:r>
          </w:p>
        </w:tc>
        <w:tc>
          <w:tcPr>
            <w:tcW w:w="115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58.78</w:t>
            </w:r>
          </w:p>
        </w:tc>
        <w:tc>
          <w:tcPr>
            <w:tcW w:w="989"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679.6</w:t>
            </w:r>
          </w:p>
        </w:tc>
        <w:tc>
          <w:tcPr>
            <w:tcW w:w="99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967.84</w:t>
            </w:r>
          </w:p>
        </w:tc>
        <w:tc>
          <w:tcPr>
            <w:tcW w:w="115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538.9</w:t>
            </w:r>
          </w:p>
        </w:tc>
      </w:tr>
      <w:tr w:rsidR="00EF3780" w:rsidTr="005F4B75">
        <w:trPr>
          <w:gridAfter w:val="1"/>
          <w:wAfter w:w="22" w:type="dxa"/>
          <w:trHeight w:val="117"/>
        </w:trPr>
        <w:tc>
          <w:tcPr>
            <w:tcW w:w="1985" w:type="dxa"/>
            <w:hideMark/>
          </w:tcPr>
          <w:p w:rsidR="00EF3780" w:rsidRPr="00E10EC6" w:rsidRDefault="00EF3780" w:rsidP="005F4B75">
            <w:pPr>
              <w:spacing w:before="60" w:after="0" w:line="240" w:lineRule="auto"/>
              <w:rPr>
                <w:rFonts w:ascii="Times New Roman" w:hAnsi="Times New Roman" w:cs="Times New Roman"/>
                <w:sz w:val="20"/>
                <w:szCs w:val="20"/>
              </w:rPr>
            </w:pPr>
            <w:r w:rsidRPr="00E10EC6">
              <w:rPr>
                <w:rFonts w:ascii="Times New Roman" w:hAnsi="Times New Roman" w:cs="Times New Roman"/>
                <w:sz w:val="20"/>
                <w:szCs w:val="20"/>
              </w:rPr>
              <w:t>4 (luteolin)</w:t>
            </w:r>
          </w:p>
        </w:tc>
        <w:tc>
          <w:tcPr>
            <w:tcW w:w="1584" w:type="dxa"/>
          </w:tcPr>
          <w:p w:rsidR="00EF3780" w:rsidRPr="00E10EC6" w:rsidRDefault="00EF3780" w:rsidP="005F4B75">
            <w:pPr>
              <w:spacing w:before="60" w:after="0" w:line="240" w:lineRule="auto"/>
              <w:jc w:val="center"/>
              <w:rPr>
                <w:rFonts w:ascii="Times New Roman" w:hAnsi="Times New Roman"/>
                <w:sz w:val="20"/>
                <w:szCs w:val="20"/>
              </w:rPr>
            </w:pPr>
            <w:r w:rsidRPr="00E10EC6">
              <w:rPr>
                <w:rFonts w:ascii="Times New Roman" w:hAnsi="Times New Roman" w:cs="Times New Roman"/>
                <w:sz w:val="20"/>
                <w:szCs w:val="20"/>
              </w:rPr>
              <w:t>19.92±1.0</w:t>
            </w:r>
          </w:p>
        </w:tc>
        <w:tc>
          <w:tcPr>
            <w:tcW w:w="110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77.0</w:t>
            </w:r>
          </w:p>
        </w:tc>
        <w:tc>
          <w:tcPr>
            <w:tcW w:w="115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110.5</w:t>
            </w:r>
          </w:p>
        </w:tc>
        <w:tc>
          <w:tcPr>
            <w:tcW w:w="989"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186.2</w:t>
            </w:r>
          </w:p>
        </w:tc>
        <w:tc>
          <w:tcPr>
            <w:tcW w:w="99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185.8</w:t>
            </w:r>
          </w:p>
        </w:tc>
        <w:tc>
          <w:tcPr>
            <w:tcW w:w="115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193.6</w:t>
            </w:r>
          </w:p>
        </w:tc>
      </w:tr>
      <w:tr w:rsidR="00EF3780" w:rsidTr="005F4B75">
        <w:trPr>
          <w:gridAfter w:val="1"/>
          <w:wAfter w:w="22" w:type="dxa"/>
          <w:trHeight w:val="60"/>
        </w:trPr>
        <w:tc>
          <w:tcPr>
            <w:tcW w:w="1985" w:type="dxa"/>
            <w:hideMark/>
          </w:tcPr>
          <w:p w:rsidR="00EF3780" w:rsidRPr="00E10EC6" w:rsidRDefault="00EF3780" w:rsidP="005F4B75">
            <w:pPr>
              <w:spacing w:before="60" w:after="0" w:line="240" w:lineRule="auto"/>
              <w:rPr>
                <w:rFonts w:ascii="Times New Roman" w:hAnsi="Times New Roman" w:cs="Times New Roman"/>
                <w:sz w:val="20"/>
                <w:szCs w:val="20"/>
              </w:rPr>
            </w:pPr>
            <w:r w:rsidRPr="00E10EC6">
              <w:rPr>
                <w:rFonts w:ascii="Times New Roman" w:hAnsi="Times New Roman" w:cs="Times New Roman"/>
                <w:sz w:val="20"/>
                <w:szCs w:val="20"/>
              </w:rPr>
              <w:t>5 (rutin)</w:t>
            </w:r>
          </w:p>
        </w:tc>
        <w:tc>
          <w:tcPr>
            <w:tcW w:w="1584" w:type="dxa"/>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23.81±0.7</w:t>
            </w:r>
          </w:p>
        </w:tc>
        <w:tc>
          <w:tcPr>
            <w:tcW w:w="110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119.4</w:t>
            </w:r>
          </w:p>
        </w:tc>
        <w:tc>
          <w:tcPr>
            <w:tcW w:w="115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169.7</w:t>
            </w:r>
          </w:p>
        </w:tc>
        <w:tc>
          <w:tcPr>
            <w:tcW w:w="989"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287.3</w:t>
            </w:r>
          </w:p>
        </w:tc>
        <w:tc>
          <w:tcPr>
            <w:tcW w:w="99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307.2</w:t>
            </w:r>
          </w:p>
        </w:tc>
        <w:tc>
          <w:tcPr>
            <w:tcW w:w="115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288.0</w:t>
            </w:r>
          </w:p>
        </w:tc>
      </w:tr>
      <w:tr w:rsidR="00EF3780" w:rsidTr="005F4B75">
        <w:trPr>
          <w:gridAfter w:val="1"/>
          <w:wAfter w:w="22" w:type="dxa"/>
          <w:trHeight w:val="81"/>
        </w:trPr>
        <w:tc>
          <w:tcPr>
            <w:tcW w:w="1985" w:type="dxa"/>
            <w:hideMark/>
          </w:tcPr>
          <w:p w:rsidR="00EF3780" w:rsidRPr="00E10EC6" w:rsidRDefault="00EF3780" w:rsidP="005F4B75">
            <w:pPr>
              <w:spacing w:before="60" w:after="0" w:line="240" w:lineRule="auto"/>
              <w:rPr>
                <w:rFonts w:ascii="Times New Roman" w:hAnsi="Times New Roman" w:cs="Times New Roman"/>
                <w:sz w:val="20"/>
                <w:szCs w:val="20"/>
              </w:rPr>
            </w:pPr>
            <w:r w:rsidRPr="00E10EC6">
              <w:rPr>
                <w:rFonts w:ascii="Times New Roman" w:hAnsi="Times New Roman" w:cs="Times New Roman"/>
                <w:sz w:val="20"/>
                <w:szCs w:val="20"/>
              </w:rPr>
              <w:t>6 (unknown)</w:t>
            </w:r>
          </w:p>
        </w:tc>
        <w:tc>
          <w:tcPr>
            <w:tcW w:w="1584" w:type="dxa"/>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27.96±1.2</w:t>
            </w:r>
          </w:p>
        </w:tc>
        <w:tc>
          <w:tcPr>
            <w:tcW w:w="110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875.6</w:t>
            </w:r>
          </w:p>
        </w:tc>
        <w:tc>
          <w:tcPr>
            <w:tcW w:w="115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999.5</w:t>
            </w:r>
          </w:p>
        </w:tc>
        <w:tc>
          <w:tcPr>
            <w:tcW w:w="989"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2284.1</w:t>
            </w:r>
          </w:p>
        </w:tc>
        <w:tc>
          <w:tcPr>
            <w:tcW w:w="99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2649.8</w:t>
            </w:r>
          </w:p>
        </w:tc>
        <w:tc>
          <w:tcPr>
            <w:tcW w:w="115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2982.0</w:t>
            </w:r>
          </w:p>
        </w:tc>
      </w:tr>
      <w:tr w:rsidR="00EF3780" w:rsidTr="005F4B75">
        <w:trPr>
          <w:gridAfter w:val="1"/>
          <w:wAfter w:w="22" w:type="dxa"/>
          <w:trHeight w:val="60"/>
        </w:trPr>
        <w:tc>
          <w:tcPr>
            <w:tcW w:w="1985" w:type="dxa"/>
            <w:hideMark/>
          </w:tcPr>
          <w:p w:rsidR="00EF3780" w:rsidRPr="00E10EC6" w:rsidRDefault="00EF3780" w:rsidP="005F4B75">
            <w:pPr>
              <w:spacing w:before="60" w:after="0" w:line="240" w:lineRule="auto"/>
              <w:rPr>
                <w:rFonts w:ascii="Times New Roman" w:hAnsi="Times New Roman" w:cs="Times New Roman"/>
                <w:sz w:val="20"/>
                <w:szCs w:val="20"/>
              </w:rPr>
            </w:pPr>
            <w:r w:rsidRPr="00E10EC6">
              <w:rPr>
                <w:rFonts w:ascii="Times New Roman" w:hAnsi="Times New Roman" w:cs="Times New Roman"/>
                <w:sz w:val="20"/>
                <w:szCs w:val="20"/>
              </w:rPr>
              <w:t xml:space="preserve">7 (isoquercetin) </w:t>
            </w:r>
          </w:p>
        </w:tc>
        <w:tc>
          <w:tcPr>
            <w:tcW w:w="1584" w:type="dxa"/>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28.66±0.8</w:t>
            </w:r>
          </w:p>
        </w:tc>
        <w:tc>
          <w:tcPr>
            <w:tcW w:w="110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2554.4</w:t>
            </w:r>
          </w:p>
        </w:tc>
        <w:tc>
          <w:tcPr>
            <w:tcW w:w="115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2666.0</w:t>
            </w:r>
          </w:p>
        </w:tc>
        <w:tc>
          <w:tcPr>
            <w:tcW w:w="989"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3133.2</w:t>
            </w:r>
          </w:p>
        </w:tc>
        <w:tc>
          <w:tcPr>
            <w:tcW w:w="99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1798.0</w:t>
            </w:r>
          </w:p>
        </w:tc>
        <w:tc>
          <w:tcPr>
            <w:tcW w:w="115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2108.7</w:t>
            </w:r>
          </w:p>
        </w:tc>
      </w:tr>
      <w:tr w:rsidR="00EF3780" w:rsidTr="005F4B75">
        <w:trPr>
          <w:gridAfter w:val="1"/>
          <w:wAfter w:w="22" w:type="dxa"/>
          <w:trHeight w:val="60"/>
        </w:trPr>
        <w:tc>
          <w:tcPr>
            <w:tcW w:w="1985" w:type="dxa"/>
            <w:hideMark/>
          </w:tcPr>
          <w:p w:rsidR="00EF3780" w:rsidRPr="00E10EC6" w:rsidRDefault="00EF3780" w:rsidP="005F4B75">
            <w:pPr>
              <w:spacing w:before="60" w:after="0" w:line="240" w:lineRule="auto"/>
              <w:rPr>
                <w:rFonts w:ascii="Times New Roman" w:hAnsi="Times New Roman" w:cs="Times New Roman"/>
                <w:sz w:val="20"/>
                <w:szCs w:val="20"/>
              </w:rPr>
            </w:pPr>
            <w:r w:rsidRPr="00E10EC6">
              <w:rPr>
                <w:rFonts w:ascii="Times New Roman" w:hAnsi="Times New Roman" w:cs="Times New Roman"/>
                <w:sz w:val="20"/>
                <w:szCs w:val="20"/>
              </w:rPr>
              <w:t>8 (unknown)</w:t>
            </w:r>
          </w:p>
        </w:tc>
        <w:tc>
          <w:tcPr>
            <w:tcW w:w="1584" w:type="dxa"/>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29.39±1.9</w:t>
            </w:r>
          </w:p>
        </w:tc>
        <w:tc>
          <w:tcPr>
            <w:tcW w:w="110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205.3</w:t>
            </w:r>
          </w:p>
        </w:tc>
        <w:tc>
          <w:tcPr>
            <w:tcW w:w="115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145.3</w:t>
            </w:r>
          </w:p>
        </w:tc>
        <w:tc>
          <w:tcPr>
            <w:tcW w:w="989"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312.7</w:t>
            </w:r>
          </w:p>
        </w:tc>
        <w:tc>
          <w:tcPr>
            <w:tcW w:w="99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134.9</w:t>
            </w:r>
          </w:p>
        </w:tc>
        <w:tc>
          <w:tcPr>
            <w:tcW w:w="115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159.4</w:t>
            </w:r>
          </w:p>
        </w:tc>
      </w:tr>
      <w:tr w:rsidR="00EF3780" w:rsidTr="005F4B75">
        <w:trPr>
          <w:gridAfter w:val="1"/>
          <w:wAfter w:w="22" w:type="dxa"/>
          <w:trHeight w:val="91"/>
        </w:trPr>
        <w:tc>
          <w:tcPr>
            <w:tcW w:w="1985" w:type="dxa"/>
            <w:hideMark/>
          </w:tcPr>
          <w:p w:rsidR="00EF3780" w:rsidRPr="00E10EC6" w:rsidRDefault="00EF3780" w:rsidP="005F4B75">
            <w:pPr>
              <w:spacing w:before="60" w:after="0" w:line="240" w:lineRule="auto"/>
              <w:rPr>
                <w:rFonts w:ascii="Times New Roman" w:hAnsi="Times New Roman" w:cs="Times New Roman"/>
                <w:sz w:val="20"/>
                <w:szCs w:val="20"/>
              </w:rPr>
            </w:pPr>
            <w:r w:rsidRPr="00E10EC6">
              <w:rPr>
                <w:rFonts w:ascii="Times New Roman" w:hAnsi="Times New Roman" w:cs="Times New Roman"/>
                <w:sz w:val="20"/>
                <w:szCs w:val="20"/>
              </w:rPr>
              <w:t>9 (astragalin)</w:t>
            </w:r>
          </w:p>
        </w:tc>
        <w:tc>
          <w:tcPr>
            <w:tcW w:w="1584" w:type="dxa"/>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32.13±1.5</w:t>
            </w:r>
          </w:p>
        </w:tc>
        <w:tc>
          <w:tcPr>
            <w:tcW w:w="110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118.8</w:t>
            </w:r>
          </w:p>
        </w:tc>
        <w:tc>
          <w:tcPr>
            <w:tcW w:w="115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110.6</w:t>
            </w:r>
          </w:p>
        </w:tc>
        <w:tc>
          <w:tcPr>
            <w:tcW w:w="989"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394.6</w:t>
            </w:r>
          </w:p>
        </w:tc>
        <w:tc>
          <w:tcPr>
            <w:tcW w:w="99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579.76</w:t>
            </w:r>
          </w:p>
        </w:tc>
        <w:tc>
          <w:tcPr>
            <w:tcW w:w="115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713.6</w:t>
            </w:r>
          </w:p>
        </w:tc>
      </w:tr>
      <w:tr w:rsidR="00EF3780" w:rsidTr="005F4B75">
        <w:trPr>
          <w:gridAfter w:val="1"/>
          <w:wAfter w:w="22" w:type="dxa"/>
          <w:trHeight w:val="125"/>
        </w:trPr>
        <w:tc>
          <w:tcPr>
            <w:tcW w:w="1985" w:type="dxa"/>
            <w:tcBorders>
              <w:bottom w:val="single" w:sz="4" w:space="0" w:color="auto"/>
            </w:tcBorders>
            <w:hideMark/>
          </w:tcPr>
          <w:p w:rsidR="00EF3780" w:rsidRPr="00E10EC6" w:rsidRDefault="00EF3780" w:rsidP="005F4B75">
            <w:pPr>
              <w:spacing w:before="60" w:after="60" w:line="240" w:lineRule="auto"/>
              <w:rPr>
                <w:rFonts w:ascii="Times New Roman" w:hAnsi="Times New Roman" w:cs="Times New Roman"/>
                <w:sz w:val="20"/>
                <w:szCs w:val="20"/>
              </w:rPr>
            </w:pPr>
            <w:r w:rsidRPr="00E10EC6">
              <w:rPr>
                <w:rFonts w:ascii="Times New Roman" w:hAnsi="Times New Roman" w:cs="Times New Roman"/>
                <w:sz w:val="20"/>
                <w:szCs w:val="20"/>
              </w:rPr>
              <w:t>10 (unknown)</w:t>
            </w:r>
          </w:p>
        </w:tc>
        <w:tc>
          <w:tcPr>
            <w:tcW w:w="1584" w:type="dxa"/>
            <w:tcBorders>
              <w:bottom w:val="single" w:sz="4" w:space="0" w:color="auto"/>
            </w:tcBorders>
          </w:tcPr>
          <w:p w:rsidR="00EF3780" w:rsidRPr="00E10EC6" w:rsidRDefault="00EF3780" w:rsidP="005F4B75">
            <w:pPr>
              <w:spacing w:before="60" w:after="60" w:line="240" w:lineRule="auto"/>
              <w:jc w:val="center"/>
              <w:rPr>
                <w:rFonts w:ascii="Times New Roman" w:hAnsi="Times New Roman" w:cs="Times New Roman"/>
                <w:sz w:val="20"/>
                <w:szCs w:val="20"/>
              </w:rPr>
            </w:pPr>
            <w:r w:rsidRPr="00E10EC6">
              <w:rPr>
                <w:rFonts w:ascii="Times New Roman" w:hAnsi="Times New Roman" w:cs="Times New Roman"/>
                <w:sz w:val="20"/>
                <w:szCs w:val="20"/>
              </w:rPr>
              <w:t>33.65±1.1</w:t>
            </w:r>
          </w:p>
        </w:tc>
        <w:tc>
          <w:tcPr>
            <w:tcW w:w="1104" w:type="dxa"/>
            <w:tcBorders>
              <w:bottom w:val="single" w:sz="4" w:space="0" w:color="auto"/>
            </w:tcBorders>
            <w:hideMark/>
          </w:tcPr>
          <w:p w:rsidR="00EF3780" w:rsidRPr="00E10EC6" w:rsidRDefault="00EF3780" w:rsidP="005F4B75">
            <w:pPr>
              <w:spacing w:before="60" w:after="60" w:line="240" w:lineRule="auto"/>
              <w:jc w:val="center"/>
              <w:rPr>
                <w:rFonts w:ascii="Times New Roman" w:hAnsi="Times New Roman" w:cs="Times New Roman"/>
                <w:sz w:val="20"/>
                <w:szCs w:val="20"/>
              </w:rPr>
            </w:pPr>
            <w:r w:rsidRPr="00E10EC6">
              <w:rPr>
                <w:rFonts w:ascii="Times New Roman" w:hAnsi="Times New Roman" w:cs="Times New Roman"/>
                <w:sz w:val="20"/>
                <w:szCs w:val="20"/>
              </w:rPr>
              <w:t>465.38</w:t>
            </w:r>
          </w:p>
        </w:tc>
        <w:tc>
          <w:tcPr>
            <w:tcW w:w="1152" w:type="dxa"/>
            <w:tcBorders>
              <w:bottom w:val="single" w:sz="4" w:space="0" w:color="auto"/>
            </w:tcBorders>
            <w:hideMark/>
          </w:tcPr>
          <w:p w:rsidR="00EF3780" w:rsidRPr="00E10EC6" w:rsidRDefault="00EF3780" w:rsidP="005F4B75">
            <w:pPr>
              <w:spacing w:before="60" w:after="60" w:line="240" w:lineRule="auto"/>
              <w:jc w:val="center"/>
              <w:rPr>
                <w:rFonts w:ascii="Times New Roman" w:hAnsi="Times New Roman" w:cs="Times New Roman"/>
                <w:sz w:val="20"/>
                <w:szCs w:val="20"/>
              </w:rPr>
            </w:pPr>
            <w:r w:rsidRPr="00E10EC6">
              <w:rPr>
                <w:rFonts w:ascii="Times New Roman" w:hAnsi="Times New Roman" w:cs="Times New Roman"/>
                <w:sz w:val="20"/>
                <w:szCs w:val="20"/>
              </w:rPr>
              <w:t>393.26</w:t>
            </w:r>
          </w:p>
        </w:tc>
        <w:tc>
          <w:tcPr>
            <w:tcW w:w="989" w:type="dxa"/>
            <w:tcBorders>
              <w:bottom w:val="single" w:sz="4" w:space="0" w:color="auto"/>
            </w:tcBorders>
            <w:hideMark/>
          </w:tcPr>
          <w:p w:rsidR="00EF3780" w:rsidRPr="00E10EC6" w:rsidRDefault="00EF3780" w:rsidP="005F4B75">
            <w:pPr>
              <w:spacing w:before="60" w:after="60" w:line="240" w:lineRule="auto"/>
              <w:jc w:val="center"/>
              <w:rPr>
                <w:rFonts w:ascii="Times New Roman" w:hAnsi="Times New Roman" w:cs="Times New Roman"/>
                <w:sz w:val="20"/>
                <w:szCs w:val="20"/>
              </w:rPr>
            </w:pPr>
            <w:r w:rsidRPr="00E10EC6">
              <w:rPr>
                <w:rFonts w:ascii="Times New Roman" w:hAnsi="Times New Roman" w:cs="Times New Roman"/>
                <w:sz w:val="20"/>
                <w:szCs w:val="20"/>
              </w:rPr>
              <w:t>642.0</w:t>
            </w:r>
          </w:p>
        </w:tc>
        <w:tc>
          <w:tcPr>
            <w:tcW w:w="992" w:type="dxa"/>
            <w:tcBorders>
              <w:bottom w:val="single" w:sz="4" w:space="0" w:color="auto"/>
            </w:tcBorders>
            <w:hideMark/>
          </w:tcPr>
          <w:p w:rsidR="00EF3780" w:rsidRPr="00E10EC6" w:rsidRDefault="00EF3780" w:rsidP="005F4B75">
            <w:pPr>
              <w:spacing w:before="60" w:after="60" w:line="240" w:lineRule="auto"/>
              <w:jc w:val="center"/>
              <w:rPr>
                <w:rFonts w:ascii="Times New Roman" w:hAnsi="Times New Roman" w:cs="Times New Roman"/>
                <w:sz w:val="20"/>
                <w:szCs w:val="20"/>
              </w:rPr>
            </w:pPr>
            <w:r w:rsidRPr="00E10EC6">
              <w:rPr>
                <w:rFonts w:ascii="Times New Roman" w:hAnsi="Times New Roman" w:cs="Times New Roman"/>
                <w:sz w:val="20"/>
                <w:szCs w:val="20"/>
              </w:rPr>
              <w:t>450.56</w:t>
            </w:r>
          </w:p>
        </w:tc>
        <w:tc>
          <w:tcPr>
            <w:tcW w:w="1154" w:type="dxa"/>
            <w:tcBorders>
              <w:bottom w:val="single" w:sz="4" w:space="0" w:color="auto"/>
            </w:tcBorders>
            <w:hideMark/>
          </w:tcPr>
          <w:p w:rsidR="00EF3780" w:rsidRPr="00E10EC6" w:rsidRDefault="00EF3780" w:rsidP="005F4B75">
            <w:pPr>
              <w:spacing w:before="60" w:after="60" w:line="240" w:lineRule="auto"/>
              <w:jc w:val="center"/>
              <w:rPr>
                <w:rFonts w:ascii="Times New Roman" w:hAnsi="Times New Roman" w:cs="Times New Roman"/>
                <w:sz w:val="20"/>
                <w:szCs w:val="20"/>
              </w:rPr>
            </w:pPr>
            <w:r w:rsidRPr="00E10EC6">
              <w:rPr>
                <w:rFonts w:ascii="Times New Roman" w:hAnsi="Times New Roman" w:cs="Times New Roman"/>
                <w:sz w:val="20"/>
                <w:szCs w:val="20"/>
              </w:rPr>
              <w:t>557.8</w:t>
            </w:r>
          </w:p>
        </w:tc>
      </w:tr>
    </w:tbl>
    <w:p w:rsidR="00EF3780" w:rsidRDefault="00EF3780" w:rsidP="00EF3780">
      <w:pPr>
        <w:spacing w:after="0"/>
        <w:jc w:val="center"/>
        <w:rPr>
          <w:rFonts w:ascii="Times New Roman" w:hAnsi="Times New Roman"/>
          <w:b/>
          <w:noProof/>
          <w:sz w:val="20"/>
          <w:szCs w:val="20"/>
          <w:lang w:bidi="ar-SA"/>
        </w:rPr>
      </w:pPr>
    </w:p>
    <w:p w:rsidR="00EF3780" w:rsidRDefault="00EF3780" w:rsidP="00EF3780">
      <w:pPr>
        <w:spacing w:after="0"/>
        <w:jc w:val="center"/>
        <w:rPr>
          <w:rFonts w:ascii="Times New Roman" w:hAnsi="Times New Roman"/>
          <w:b/>
          <w:noProof/>
          <w:sz w:val="20"/>
          <w:szCs w:val="20"/>
          <w:lang w:bidi="ar-SA"/>
        </w:rPr>
      </w:pPr>
    </w:p>
    <w:p w:rsidR="00EF3780" w:rsidRDefault="00EF3780" w:rsidP="00EF3780">
      <w:pPr>
        <w:spacing w:after="0"/>
        <w:jc w:val="center"/>
        <w:rPr>
          <w:rFonts w:ascii="Times New Roman" w:hAnsi="Times New Roman"/>
          <w:b/>
          <w:noProof/>
          <w:sz w:val="20"/>
          <w:szCs w:val="20"/>
          <w:lang w:bidi="ar-SA"/>
        </w:rPr>
      </w:pPr>
    </w:p>
    <w:p w:rsidR="00EF3780" w:rsidRDefault="00EF3780" w:rsidP="00EF3780">
      <w:pPr>
        <w:spacing w:after="0"/>
        <w:jc w:val="center"/>
        <w:rPr>
          <w:rFonts w:ascii="Times New Roman" w:hAnsi="Times New Roman"/>
          <w:b/>
          <w:noProof/>
          <w:sz w:val="20"/>
          <w:szCs w:val="20"/>
          <w:lang w:bidi="ar-SA"/>
        </w:rPr>
      </w:pPr>
    </w:p>
    <w:p w:rsidR="00EF3780" w:rsidRDefault="00EF3780" w:rsidP="00EF3780">
      <w:pPr>
        <w:spacing w:after="0"/>
        <w:jc w:val="center"/>
        <w:rPr>
          <w:rFonts w:ascii="Times New Roman" w:hAnsi="Times New Roman"/>
          <w:b/>
          <w:noProof/>
          <w:sz w:val="20"/>
          <w:szCs w:val="20"/>
          <w:lang w:bidi="ar-SA"/>
        </w:rPr>
        <w:sectPr w:rsidR="00EF3780" w:rsidSect="005F4B75">
          <w:headerReference w:type="even" r:id="rId61"/>
          <w:headerReference w:type="default" r:id="rId62"/>
          <w:footerReference w:type="even" r:id="rId63"/>
          <w:headerReference w:type="first" r:id="rId64"/>
          <w:type w:val="evenPage"/>
          <w:pgSz w:w="12240" w:h="15840" w:code="1"/>
          <w:pgMar w:top="1800" w:right="1469" w:bottom="1699" w:left="1440" w:header="706" w:footer="706" w:gutter="0"/>
          <w:pgNumType w:start="448"/>
          <w:cols w:space="708"/>
          <w:docGrid w:linePitch="360"/>
        </w:sectPr>
      </w:pPr>
    </w:p>
    <w:p w:rsidR="00EF3780" w:rsidRDefault="00EF3780" w:rsidP="00EF3780">
      <w:pPr>
        <w:spacing w:after="0"/>
        <w:rPr>
          <w:rFonts w:ascii="Times New Roman" w:hAnsi="Times New Roman"/>
          <w:b/>
          <w:noProof/>
          <w:sz w:val="20"/>
          <w:szCs w:val="20"/>
          <w:lang w:bidi="ar-SA"/>
        </w:rPr>
      </w:pPr>
    </w:p>
    <w:p w:rsidR="00EF3780" w:rsidRDefault="00EF3780" w:rsidP="00EF3780">
      <w:pPr>
        <w:spacing w:after="120"/>
        <w:jc w:val="center"/>
        <w:rPr>
          <w:rFonts w:ascii="Times New Roman" w:hAnsi="Times New Roman"/>
          <w:b/>
          <w:noProof/>
          <w:sz w:val="20"/>
          <w:szCs w:val="20"/>
          <w:lang w:bidi="ar-SA"/>
        </w:rPr>
      </w:pPr>
      <w:r>
        <w:rPr>
          <w:rFonts w:ascii="Times New Roman" w:hAnsi="Times New Roman"/>
          <w:noProof/>
          <w:sz w:val="20"/>
          <w:szCs w:val="20"/>
          <w:lang w:val="en-MY" w:eastAsia="en-MY" w:bidi="ar-SA"/>
        </w:rPr>
        <w:drawing>
          <wp:inline distT="0" distB="0" distL="0" distR="0">
            <wp:extent cx="4140000" cy="2411730"/>
            <wp:effectExtent l="0" t="0" r="13335" b="7620"/>
            <wp:docPr id="7" name="Gráfico 2">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48D51E7-7249-4341-81E6-C7D722A6EC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EF3780" w:rsidRDefault="00EF3780" w:rsidP="00EF3780">
      <w:pPr>
        <w:spacing w:after="0"/>
        <w:jc w:val="center"/>
        <w:rPr>
          <w:rFonts w:ascii="Times New Roman" w:hAnsi="Times New Roman"/>
          <w:sz w:val="20"/>
          <w:szCs w:val="20"/>
        </w:rPr>
      </w:pPr>
      <w:r>
        <w:rPr>
          <w:rFonts w:ascii="Times New Roman" w:hAnsi="Times New Roman"/>
          <w:sz w:val="20"/>
          <w:szCs w:val="20"/>
        </w:rPr>
        <w:t>Figure 6.  Two-dimensional scatter plots of the loadings of the first two factors. Biplot (axes F1 y F2: 90.6%)</w:t>
      </w:r>
    </w:p>
    <w:p w:rsidR="00EF3780" w:rsidRDefault="00EF3780" w:rsidP="00EF3780">
      <w:pPr>
        <w:spacing w:after="0"/>
        <w:jc w:val="center"/>
        <w:rPr>
          <w:rFonts w:ascii="Times New Roman" w:hAnsi="Times New Roman"/>
          <w:b/>
          <w:noProof/>
          <w:sz w:val="20"/>
          <w:szCs w:val="20"/>
          <w:lang w:bidi="ar-SA"/>
        </w:rPr>
      </w:pPr>
    </w:p>
    <w:p w:rsidR="00EF3780" w:rsidRDefault="00EF3780" w:rsidP="00EF3780">
      <w:pPr>
        <w:spacing w:after="0"/>
        <w:jc w:val="center"/>
        <w:rPr>
          <w:rFonts w:ascii="Times New Roman" w:hAnsi="Times New Roman"/>
          <w:b/>
          <w:noProof/>
          <w:sz w:val="20"/>
          <w:szCs w:val="20"/>
          <w:lang w:bidi="ar-SA"/>
        </w:rPr>
      </w:pPr>
    </w:p>
    <w:p w:rsidR="00EF3780" w:rsidRDefault="00EF3780" w:rsidP="00EF3780">
      <w:pPr>
        <w:spacing w:after="0"/>
        <w:jc w:val="center"/>
        <w:rPr>
          <w:rFonts w:ascii="Times New Roman" w:hAnsi="Times New Roman"/>
          <w:b/>
          <w:noProof/>
          <w:sz w:val="20"/>
          <w:szCs w:val="20"/>
          <w:lang w:bidi="ar-SA"/>
        </w:rPr>
        <w:sectPr w:rsidR="00EF3780" w:rsidSect="005F4B75">
          <w:headerReference w:type="even" r:id="rId66"/>
          <w:headerReference w:type="default" r:id="rId67"/>
          <w:footerReference w:type="default" r:id="rId68"/>
          <w:headerReference w:type="first" r:id="rId69"/>
          <w:type w:val="oddPage"/>
          <w:pgSz w:w="12240" w:h="15840" w:code="1"/>
          <w:pgMar w:top="1800" w:right="1469" w:bottom="1699" w:left="1440" w:header="706" w:footer="706" w:gutter="0"/>
          <w:pgNumType w:start="448"/>
          <w:cols w:space="708"/>
          <w:docGrid w:linePitch="360"/>
        </w:sectPr>
      </w:pPr>
    </w:p>
    <w:p w:rsidR="00EF3780" w:rsidRPr="00F447A7" w:rsidRDefault="00EF3780" w:rsidP="00EF378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EF3780" w:rsidRPr="00DA691C" w:rsidRDefault="00EF3780" w:rsidP="00EF3780">
      <w:pPr>
        <w:spacing w:after="0"/>
        <w:jc w:val="both"/>
        <w:rPr>
          <w:rFonts w:ascii="Times New Roman" w:hAnsi="Times New Roman"/>
          <w:sz w:val="20"/>
          <w:szCs w:val="20"/>
        </w:rPr>
      </w:pPr>
      <w:r>
        <w:rPr>
          <w:rFonts w:ascii="Times New Roman" w:hAnsi="Times New Roman"/>
          <w:sz w:val="20"/>
          <w:szCs w:val="20"/>
        </w:rPr>
        <w:t xml:space="preserve">This study indicated that TLC and HPLC-DAD fingerprint analysis can be readily utilized as a quality control method for </w:t>
      </w:r>
      <w:r>
        <w:rPr>
          <w:rFonts w:ascii="Times New Roman" w:hAnsi="Times New Roman"/>
          <w:i/>
          <w:iCs/>
          <w:sz w:val="20"/>
          <w:szCs w:val="20"/>
        </w:rPr>
        <w:t>M. oleifera</w:t>
      </w:r>
      <w:r>
        <w:rPr>
          <w:rFonts w:ascii="Times New Roman" w:hAnsi="Times New Roman"/>
          <w:sz w:val="20"/>
          <w:szCs w:val="20"/>
        </w:rPr>
        <w:t xml:space="preserve"> herbal products. The advantages of </w:t>
      </w:r>
      <w:r w:rsidR="007336BC">
        <w:rPr>
          <w:rFonts w:ascii="Times New Roman" w:hAnsi="Times New Roman"/>
          <w:sz w:val="20"/>
          <w:szCs w:val="20"/>
        </w:rPr>
        <w:t xml:space="preserve"> </w:t>
      </w:r>
      <w:r>
        <w:rPr>
          <w:rFonts w:ascii="Times New Roman" w:hAnsi="Times New Roman"/>
          <w:sz w:val="20"/>
          <w:szCs w:val="20"/>
        </w:rPr>
        <w:t xml:space="preserve">using </w:t>
      </w:r>
      <w:r w:rsidR="007336BC">
        <w:rPr>
          <w:rFonts w:ascii="Times New Roman" w:hAnsi="Times New Roman"/>
          <w:sz w:val="20"/>
          <w:szCs w:val="20"/>
        </w:rPr>
        <w:t xml:space="preserve"> </w:t>
      </w:r>
      <w:r>
        <w:rPr>
          <w:rFonts w:ascii="Times New Roman" w:hAnsi="Times New Roman"/>
          <w:sz w:val="20"/>
          <w:szCs w:val="20"/>
        </w:rPr>
        <w:t xml:space="preserve">TLC </w:t>
      </w:r>
      <w:r w:rsidR="007336BC">
        <w:rPr>
          <w:rFonts w:ascii="Times New Roman" w:hAnsi="Times New Roman"/>
          <w:sz w:val="20"/>
          <w:szCs w:val="20"/>
        </w:rPr>
        <w:t xml:space="preserve"> </w:t>
      </w:r>
      <w:r>
        <w:rPr>
          <w:rFonts w:ascii="Times New Roman" w:hAnsi="Times New Roman"/>
          <w:sz w:val="20"/>
          <w:szCs w:val="20"/>
        </w:rPr>
        <w:t xml:space="preserve">to construct the fingerprints of </w:t>
      </w:r>
      <w:r>
        <w:rPr>
          <w:rFonts w:ascii="Times New Roman" w:hAnsi="Times New Roman"/>
          <w:i/>
          <w:sz w:val="20"/>
          <w:szCs w:val="20"/>
        </w:rPr>
        <w:t>Moringa oleifera</w:t>
      </w:r>
      <w:r>
        <w:rPr>
          <w:rFonts w:ascii="Times New Roman" w:hAnsi="Times New Roman"/>
          <w:sz w:val="20"/>
          <w:szCs w:val="20"/>
        </w:rPr>
        <w:t xml:space="preserve"> based products are its simplicity, versatility, specific, sensitivity and simple sample preparation. Quantitative data generated by means of an image processing program enabled comparison of phytochemical composition. Furthermore, the clear discrimination of compounds of herbal products in PCA analysis indicated that </w:t>
      </w:r>
      <w:r>
        <w:rPr>
          <w:rFonts w:ascii="Times New Roman" w:hAnsi="Times New Roman"/>
          <w:color w:val="000000"/>
          <w:sz w:val="20"/>
          <w:szCs w:val="20"/>
        </w:rPr>
        <w:t xml:space="preserve">the internal qualities of five </w:t>
      </w:r>
      <w:r>
        <w:rPr>
          <w:rFonts w:ascii="Times New Roman" w:hAnsi="Times New Roman"/>
          <w:i/>
          <w:iCs/>
          <w:color w:val="000000"/>
          <w:sz w:val="20"/>
          <w:szCs w:val="20"/>
        </w:rPr>
        <w:t>M. oleifera</w:t>
      </w:r>
      <w:r>
        <w:rPr>
          <w:rFonts w:ascii="Times New Roman" w:hAnsi="Times New Roman"/>
          <w:color w:val="000000"/>
          <w:sz w:val="20"/>
          <w:szCs w:val="20"/>
        </w:rPr>
        <w:t xml:space="preserve"> herbal samples from different sources had market chemical variations. </w:t>
      </w:r>
      <w:r>
        <w:rPr>
          <w:rFonts w:ascii="Times New Roman" w:hAnsi="Times New Roman"/>
          <w:sz w:val="20"/>
          <w:szCs w:val="20"/>
        </w:rPr>
        <w:t xml:space="preserve">Additional researches are required to obtain more detailed identification of unknown peaks by HPLC-MS/MS. </w:t>
      </w:r>
      <w:r>
        <w:rPr>
          <w:rFonts w:ascii="Times New Roman" w:hAnsi="Times New Roman"/>
          <w:color w:val="000000"/>
          <w:sz w:val="20"/>
          <w:szCs w:val="20"/>
        </w:rPr>
        <w:t xml:space="preserve">Akuanandi, </w:t>
      </w:r>
      <w:r>
        <w:rPr>
          <w:rFonts w:ascii="Times New Roman" w:hAnsi="Times New Roman"/>
          <w:sz w:val="20"/>
          <w:szCs w:val="20"/>
        </w:rPr>
        <w:t>Mas lait, and De Font Quer samples can be considered as appropriate sources of antioxidants.</w:t>
      </w:r>
      <w:r>
        <w:rPr>
          <w:rFonts w:ascii="Times New Roman" w:hAnsi="Times New Roman"/>
          <w:color w:val="000000"/>
          <w:sz w:val="20"/>
          <w:szCs w:val="20"/>
        </w:rPr>
        <w:t xml:space="preserve"> </w:t>
      </w:r>
      <w:r>
        <w:rPr>
          <w:rFonts w:ascii="Times New Roman" w:hAnsi="Times New Roman"/>
          <w:sz w:val="20"/>
          <w:szCs w:val="20"/>
        </w:rPr>
        <w:t xml:space="preserve">Thus, the proposed TLC and HPLC-DAD screening methods could be an easy way to evaluate the phytochemicals screening and determine the quality and possible adulteration of </w:t>
      </w:r>
      <w:r>
        <w:rPr>
          <w:rFonts w:ascii="Times New Roman" w:hAnsi="Times New Roman"/>
          <w:i/>
          <w:sz w:val="20"/>
          <w:szCs w:val="20"/>
        </w:rPr>
        <w:t>M. oleifera</w:t>
      </w:r>
      <w:r>
        <w:rPr>
          <w:rFonts w:ascii="Times New Roman" w:hAnsi="Times New Roman"/>
          <w:sz w:val="20"/>
          <w:szCs w:val="20"/>
        </w:rPr>
        <w:t xml:space="preserve"> products. </w:t>
      </w: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b/>
          <w:sz w:val="20"/>
          <w:szCs w:val="20"/>
        </w:rPr>
      </w:pPr>
      <w:r>
        <w:rPr>
          <w:rFonts w:ascii="Times New Roman" w:hAnsi="Times New Roman"/>
          <w:b/>
          <w:sz w:val="20"/>
          <w:szCs w:val="20"/>
        </w:rPr>
        <w:t>Acknowledgements</w:t>
      </w: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A special acknowledgement is due to Guadalupe Arely Suárez-Adame for his technical assistance in the course of this research. The authors are also grateful to the </w:t>
      </w:r>
      <w:r>
        <w:rPr>
          <w:rFonts w:ascii="Times New Roman" w:hAnsi="Times New Roman"/>
          <w:sz w:val="20"/>
          <w:szCs w:val="20"/>
        </w:rPr>
        <w:lastRenderedPageBreak/>
        <w:t>Mexican Moringa producers for the supply of samples used in this study. They thank Ilse Andrea Marcial-Martínez for her technical support. We thanks to Iván Artemio Corral-Guerrero for helpful discussions and critical reading of this paper.</w:t>
      </w:r>
    </w:p>
    <w:p w:rsidR="00EF3780" w:rsidRDefault="00EF3780" w:rsidP="00EF3780">
      <w:pPr>
        <w:spacing w:after="0"/>
        <w:jc w:val="center"/>
        <w:rPr>
          <w:rFonts w:ascii="Times New Roman" w:hAnsi="Times New Roman"/>
          <w:noProof/>
          <w:sz w:val="20"/>
          <w:szCs w:val="20"/>
          <w:lang w:bidi="ar-SA"/>
        </w:rPr>
      </w:pPr>
    </w:p>
    <w:p w:rsidR="00EF3780" w:rsidRPr="00F447A7" w:rsidRDefault="00EF3780" w:rsidP="00EF378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sz w:val="20"/>
          <w:szCs w:val="20"/>
        </w:rPr>
        <w:t xml:space="preserve">World Health Organization (2008). Herbal medicine research and global health: an ethical analysis access from </w:t>
      </w:r>
      <w:r w:rsidR="000063DA" w:rsidRPr="000063DA">
        <w:rPr>
          <w:rFonts w:ascii="Times New Roman" w:hAnsi="Times New Roman"/>
          <w:noProof/>
          <w:sz w:val="20"/>
          <w:szCs w:val="20"/>
        </w:rPr>
        <w:t>https://www.who.int/bulletin/</w:t>
      </w:r>
      <w:r w:rsidR="000063DA">
        <w:rPr>
          <w:rFonts w:ascii="Times New Roman" w:hAnsi="Times New Roman"/>
          <w:noProof/>
          <w:sz w:val="20"/>
          <w:szCs w:val="20"/>
        </w:rPr>
        <w:t xml:space="preserve"> </w:t>
      </w:r>
      <w:r w:rsidRPr="0091716B">
        <w:rPr>
          <w:rFonts w:ascii="Times New Roman" w:hAnsi="Times New Roman"/>
          <w:noProof/>
          <w:sz w:val="20"/>
          <w:szCs w:val="20"/>
        </w:rPr>
        <w:t>volumes/86/8/07-042820/en/</w:t>
      </w:r>
      <w:r w:rsidRPr="00EF18A1">
        <w:rPr>
          <w:rFonts w:ascii="Times New Roman" w:hAnsi="Times New Roman"/>
          <w:noProof/>
          <w:sz w:val="20"/>
          <w:szCs w:val="20"/>
        </w:rPr>
        <w:t xml:space="preserve"> [Date access April 2020].</w:t>
      </w:r>
    </w:p>
    <w:p w:rsidR="00EF3780" w:rsidRPr="00AF4B61" w:rsidRDefault="00DB1E6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b/>
          <w:bCs/>
          <w:sz w:val="20"/>
          <w:szCs w:val="20"/>
        </w:rPr>
        <w:fldChar w:fldCharType="begin" w:fldLock="1"/>
      </w:r>
      <w:r w:rsidR="00EF3780" w:rsidRPr="00EF18A1">
        <w:rPr>
          <w:rFonts w:ascii="Times New Roman" w:hAnsi="Times New Roman"/>
          <w:b/>
          <w:bCs/>
          <w:sz w:val="20"/>
          <w:szCs w:val="20"/>
        </w:rPr>
        <w:instrText xml:space="preserve">ADDIN Mendeley Bibliography CSL_BIBLIOGRAPHY </w:instrText>
      </w:r>
      <w:r w:rsidRPr="00EF18A1">
        <w:rPr>
          <w:rFonts w:ascii="Times New Roman" w:hAnsi="Times New Roman"/>
          <w:b/>
          <w:bCs/>
          <w:sz w:val="20"/>
          <w:szCs w:val="20"/>
        </w:rPr>
        <w:fldChar w:fldCharType="separate"/>
      </w:r>
      <w:r w:rsidR="00EF3780" w:rsidRPr="00EF18A1">
        <w:rPr>
          <w:rFonts w:ascii="Times New Roman" w:hAnsi="Times New Roman"/>
          <w:noProof/>
          <w:sz w:val="20"/>
          <w:szCs w:val="20"/>
        </w:rPr>
        <w:t xml:space="preserve">Zhang, J., Onakpoya, I. J., Posadzki, P. and Eddouks, M. (2015). The safety of herbal medicine: From prejudice to evidence. </w:t>
      </w:r>
      <w:r w:rsidR="00EF3780" w:rsidRPr="00EF18A1">
        <w:rPr>
          <w:rFonts w:ascii="Times New Roman" w:hAnsi="Times New Roman"/>
          <w:i/>
          <w:iCs/>
          <w:noProof/>
          <w:sz w:val="20"/>
          <w:szCs w:val="20"/>
        </w:rPr>
        <w:t>Evidence-Based Complementary and Alternative Medicine</w:t>
      </w:r>
      <w:r w:rsidR="00EF3780">
        <w:rPr>
          <w:rFonts w:ascii="Times New Roman" w:hAnsi="Times New Roman"/>
          <w:noProof/>
          <w:sz w:val="20"/>
          <w:szCs w:val="20"/>
        </w:rPr>
        <w:t>, 2015: 1-3.</w:t>
      </w:r>
    </w:p>
    <w:p w:rsidR="00EF3780" w:rsidRPr="00AF4B61" w:rsidRDefault="00EF3780" w:rsidP="00EF3780">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AF4B61">
        <w:rPr>
          <w:rFonts w:ascii="Times New Roman" w:hAnsi="Times New Roman"/>
          <w:noProof/>
          <w:sz w:val="20"/>
          <w:szCs w:val="20"/>
        </w:rPr>
        <w:t xml:space="preserve">Cimpoiu, C. (2006). Analysis of some natural antioxidants by thin-layer chromatography and high performance thin-layer chromatography. </w:t>
      </w:r>
      <w:r w:rsidRPr="00AF4B61">
        <w:rPr>
          <w:rFonts w:ascii="Times New Roman" w:hAnsi="Times New Roman"/>
          <w:i/>
          <w:iCs/>
          <w:noProof/>
          <w:sz w:val="20"/>
          <w:szCs w:val="20"/>
        </w:rPr>
        <w:t>Journal of Liquid Chromatography and Related Technologies</w:t>
      </w:r>
      <w:r w:rsidRPr="00AF4B61">
        <w:rPr>
          <w:rFonts w:ascii="Times New Roman" w:hAnsi="Times New Roman"/>
          <w:noProof/>
          <w:sz w:val="20"/>
          <w:szCs w:val="20"/>
        </w:rPr>
        <w:t xml:space="preserve">, 29: 1125-1142. </w:t>
      </w:r>
    </w:p>
    <w:p w:rsidR="00EF3780"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Abd Rani, N.Z., Husain, K. and Kumolosasi, E. (2018). Moringa genus: A review of phytochemistry and pharmacology. </w:t>
      </w:r>
      <w:r w:rsidRPr="00EF18A1">
        <w:rPr>
          <w:rFonts w:ascii="Times New Roman" w:hAnsi="Times New Roman"/>
          <w:i/>
          <w:iCs/>
          <w:noProof/>
          <w:sz w:val="20"/>
          <w:szCs w:val="20"/>
        </w:rPr>
        <w:t>Frontiers in Pharmacology</w:t>
      </w:r>
      <w:r w:rsidRPr="00EF18A1">
        <w:rPr>
          <w:rFonts w:ascii="Times New Roman" w:hAnsi="Times New Roman"/>
          <w:noProof/>
          <w:sz w:val="20"/>
          <w:szCs w:val="20"/>
        </w:rPr>
        <w:t xml:space="preserve">. 2018(9: 108. </w:t>
      </w:r>
    </w:p>
    <w:p w:rsidR="00EF3780" w:rsidRPr="00FB1494" w:rsidRDefault="00EF3780" w:rsidP="00EF3780">
      <w:pPr>
        <w:widowControl w:val="0"/>
        <w:autoSpaceDE w:val="0"/>
        <w:autoSpaceDN w:val="0"/>
        <w:adjustRightInd w:val="0"/>
        <w:spacing w:after="0"/>
        <w:jc w:val="both"/>
        <w:rPr>
          <w:rFonts w:ascii="Times New Roman" w:hAnsi="Times New Roman"/>
          <w:noProof/>
          <w:sz w:val="20"/>
          <w:szCs w:val="20"/>
        </w:rPr>
        <w:sectPr w:rsidR="00EF3780" w:rsidRPr="00FB1494" w:rsidSect="005F4B75">
          <w:type w:val="continuous"/>
          <w:pgSz w:w="12240" w:h="15840" w:code="1"/>
          <w:pgMar w:top="1800" w:right="1469" w:bottom="1699" w:left="1440" w:header="706" w:footer="706" w:gutter="0"/>
          <w:pgNumType w:start="448"/>
          <w:cols w:num="2" w:space="403"/>
          <w:docGrid w:linePitch="360"/>
        </w:sectPr>
      </w:pPr>
    </w:p>
    <w:p w:rsidR="00EF3780" w:rsidRPr="0091716B" w:rsidRDefault="00EF3780" w:rsidP="00EF3780">
      <w:pPr>
        <w:widowControl w:val="0"/>
        <w:autoSpaceDE w:val="0"/>
        <w:autoSpaceDN w:val="0"/>
        <w:adjustRightInd w:val="0"/>
        <w:spacing w:after="0"/>
        <w:jc w:val="both"/>
        <w:rPr>
          <w:rFonts w:ascii="Times New Roman" w:hAnsi="Times New Roman"/>
          <w:noProof/>
          <w:sz w:val="20"/>
          <w:szCs w:val="20"/>
        </w:rPr>
      </w:pP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Leone, A., Fiorillo, G., Criscuoli, F., Ravasenghi, S., Santagostini, L., Fico, G., Spadafranca A., Battezzati, A., Schiraldi, A., Pozzi, F., di Lello, S., Filippini, S. and Bertoli S. (2015). Nutritional characterization and phenolic profiling of moringa oleifera leaves grown in Chad, Sahrawi refugee camps, and Haiti. </w:t>
      </w:r>
      <w:r w:rsidRPr="00EF18A1">
        <w:rPr>
          <w:rFonts w:ascii="Times New Roman" w:hAnsi="Times New Roman"/>
          <w:i/>
          <w:iCs/>
          <w:noProof/>
          <w:sz w:val="20"/>
          <w:szCs w:val="20"/>
        </w:rPr>
        <w:t>International Journal of Molecular Sciences</w:t>
      </w:r>
      <w:r w:rsidRPr="00EF18A1">
        <w:rPr>
          <w:rFonts w:ascii="Times New Roman" w:hAnsi="Times New Roman"/>
          <w:noProof/>
          <w:sz w:val="20"/>
          <w:szCs w:val="20"/>
        </w:rPr>
        <w:t>, 16(8): 18923-18937.</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Srirama, R., Kumar, J. U. S., Seethapathy, G. S., Newmaster, S. G., Ragupathy, S., Ganeshaiah, K. N., Uma, S. and Gudasalami, R. (2017). Species adulteration in the herbal trade: Causes, consequences and mitigation. </w:t>
      </w:r>
      <w:r w:rsidRPr="00EF18A1">
        <w:rPr>
          <w:rFonts w:ascii="Times New Roman" w:hAnsi="Times New Roman"/>
          <w:i/>
          <w:iCs/>
          <w:noProof/>
          <w:sz w:val="20"/>
          <w:szCs w:val="20"/>
        </w:rPr>
        <w:t>Drug Safety</w:t>
      </w:r>
      <w:r w:rsidRPr="00EF18A1">
        <w:rPr>
          <w:rFonts w:ascii="Times New Roman" w:hAnsi="Times New Roman"/>
          <w:noProof/>
          <w:sz w:val="20"/>
          <w:szCs w:val="20"/>
        </w:rPr>
        <w:t xml:space="preserve">, 40(8): 651-661. </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Ichim, M. C. (2019). The DNA-based authentication of commercial herbal products reveals their globally widespread adulteration. </w:t>
      </w:r>
      <w:r w:rsidRPr="00EF18A1">
        <w:rPr>
          <w:rFonts w:ascii="Times New Roman" w:hAnsi="Times New Roman"/>
          <w:i/>
          <w:iCs/>
          <w:noProof/>
          <w:sz w:val="20"/>
          <w:szCs w:val="20"/>
        </w:rPr>
        <w:t>Frontiers in Pharmacology</w:t>
      </w:r>
      <w:r w:rsidRPr="00EF18A1">
        <w:rPr>
          <w:rFonts w:ascii="Times New Roman" w:hAnsi="Times New Roman"/>
          <w:noProof/>
          <w:sz w:val="20"/>
          <w:szCs w:val="20"/>
        </w:rPr>
        <w:t xml:space="preserve">, 10: 1227. </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Saslis-Lagoudakis, C. H., Bruun-Lund, S., Iwanycki, N. E., Seberg, O., Petersen, G., Jäger, A. K. and Rønsted, N. (2015). Identification of common horsetail (</w:t>
      </w:r>
      <w:r w:rsidRPr="00EF18A1">
        <w:rPr>
          <w:rFonts w:ascii="Times New Roman" w:hAnsi="Times New Roman"/>
          <w:i/>
          <w:iCs/>
          <w:noProof/>
          <w:sz w:val="20"/>
          <w:szCs w:val="20"/>
        </w:rPr>
        <w:t>Equisetum arvense</w:t>
      </w:r>
      <w:r w:rsidRPr="00EF18A1">
        <w:rPr>
          <w:rFonts w:ascii="Times New Roman" w:hAnsi="Times New Roman"/>
          <w:noProof/>
          <w:sz w:val="20"/>
          <w:szCs w:val="20"/>
        </w:rPr>
        <w:t xml:space="preserve"> L.; Equisetaceae) using thin layer chromatography versus DNA barcoding. </w:t>
      </w:r>
      <w:r w:rsidRPr="00EF18A1">
        <w:rPr>
          <w:rFonts w:ascii="Times New Roman" w:hAnsi="Times New Roman"/>
          <w:i/>
          <w:iCs/>
          <w:noProof/>
          <w:sz w:val="20"/>
          <w:szCs w:val="20"/>
        </w:rPr>
        <w:t>Scientific Reports</w:t>
      </w:r>
      <w:r w:rsidRPr="00EF18A1">
        <w:rPr>
          <w:rFonts w:ascii="Times New Roman" w:hAnsi="Times New Roman"/>
          <w:noProof/>
          <w:sz w:val="20"/>
          <w:szCs w:val="20"/>
        </w:rPr>
        <w:t xml:space="preserve">, 5: 11942. </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Farah, M. H., Olsson, S., Bate, J., Lindquist, M., Edwards, R., Simmonds, M. S. J., Christine, L., Hugo, J. d. B. and Mats, T. (2006). Botanical nomenclature in pharmacovigilance and a recommendation for standardisation. </w:t>
      </w:r>
      <w:r w:rsidRPr="00EF18A1">
        <w:rPr>
          <w:rFonts w:ascii="Times New Roman" w:hAnsi="Times New Roman"/>
          <w:i/>
          <w:iCs/>
          <w:noProof/>
          <w:sz w:val="20"/>
          <w:szCs w:val="20"/>
        </w:rPr>
        <w:t>Drug Safety</w:t>
      </w:r>
      <w:r w:rsidRPr="00EF18A1">
        <w:rPr>
          <w:rFonts w:ascii="Times New Roman" w:hAnsi="Times New Roman"/>
          <w:noProof/>
          <w:sz w:val="20"/>
          <w:szCs w:val="20"/>
        </w:rPr>
        <w:t xml:space="preserve">, 29(11): 1023-1029. </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Wright, R. J., Lee, K. S., Hyacinth, H. I., Hibbert, J. M., Reid, M. E., Wheatley, A. O. and Asemota, H. N. (2017). An investigation of the antioxidant capacity in extracts from </w:t>
      </w:r>
      <w:r w:rsidRPr="00EF18A1">
        <w:rPr>
          <w:rFonts w:ascii="Times New Roman" w:hAnsi="Times New Roman"/>
          <w:i/>
          <w:iCs/>
          <w:noProof/>
          <w:sz w:val="20"/>
          <w:szCs w:val="20"/>
        </w:rPr>
        <w:t>Moringa oleifera</w:t>
      </w:r>
      <w:r w:rsidRPr="00EF18A1">
        <w:rPr>
          <w:rFonts w:ascii="Times New Roman" w:hAnsi="Times New Roman"/>
          <w:noProof/>
          <w:sz w:val="20"/>
          <w:szCs w:val="20"/>
        </w:rPr>
        <w:t xml:space="preserve"> plants grown in Jamaica. </w:t>
      </w:r>
      <w:r w:rsidRPr="00EF18A1">
        <w:rPr>
          <w:rFonts w:ascii="Times New Roman" w:hAnsi="Times New Roman"/>
          <w:i/>
          <w:iCs/>
          <w:noProof/>
          <w:sz w:val="20"/>
          <w:szCs w:val="20"/>
        </w:rPr>
        <w:t>Plants</w:t>
      </w:r>
      <w:r w:rsidRPr="00EF18A1">
        <w:rPr>
          <w:rFonts w:ascii="Times New Roman" w:hAnsi="Times New Roman"/>
          <w:noProof/>
          <w:sz w:val="20"/>
          <w:szCs w:val="20"/>
        </w:rPr>
        <w:t xml:space="preserve">, 6(4): 48. </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Vongsak, B., Mangmool, S. and Gritsanapan, W. (2015). Antioxidant activity and induction of mRNA expressions of antioxidant enzymes in HEK-293 cells of </w:t>
      </w:r>
      <w:r w:rsidRPr="00EF18A1">
        <w:rPr>
          <w:rFonts w:ascii="Times New Roman" w:hAnsi="Times New Roman"/>
          <w:i/>
          <w:iCs/>
          <w:noProof/>
          <w:sz w:val="20"/>
          <w:szCs w:val="20"/>
        </w:rPr>
        <w:t>Moringa oleifera</w:t>
      </w:r>
      <w:r w:rsidRPr="00EF18A1">
        <w:rPr>
          <w:rFonts w:ascii="Times New Roman" w:hAnsi="Times New Roman"/>
          <w:noProof/>
          <w:sz w:val="20"/>
          <w:szCs w:val="20"/>
        </w:rPr>
        <w:t xml:space="preserve"> leaf extract. </w:t>
      </w:r>
      <w:r w:rsidRPr="00EF18A1">
        <w:rPr>
          <w:rFonts w:ascii="Times New Roman" w:hAnsi="Times New Roman"/>
          <w:i/>
          <w:iCs/>
          <w:noProof/>
          <w:sz w:val="20"/>
          <w:szCs w:val="20"/>
        </w:rPr>
        <w:t>Planta Medica</w:t>
      </w:r>
      <w:r w:rsidRPr="00EF18A1">
        <w:rPr>
          <w:rFonts w:ascii="Times New Roman" w:hAnsi="Times New Roman"/>
          <w:noProof/>
          <w:sz w:val="20"/>
          <w:szCs w:val="20"/>
        </w:rPr>
        <w:t xml:space="preserve">, 81 (12–13): 1084-1089. </w:t>
      </w:r>
    </w:p>
    <w:p w:rsidR="00EF3780"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Sreelatha, S. and Padma, P. R. (2009). Antioxidant activity and total phenolic content of </w:t>
      </w:r>
      <w:r w:rsidRPr="00EF18A1">
        <w:rPr>
          <w:rFonts w:ascii="Times New Roman" w:hAnsi="Times New Roman"/>
          <w:i/>
          <w:iCs/>
          <w:noProof/>
          <w:sz w:val="20"/>
          <w:szCs w:val="20"/>
        </w:rPr>
        <w:t xml:space="preserve">Moringa oleifera </w:t>
      </w:r>
      <w:r w:rsidRPr="00EF18A1">
        <w:rPr>
          <w:rFonts w:ascii="Times New Roman" w:hAnsi="Times New Roman"/>
          <w:noProof/>
          <w:sz w:val="20"/>
          <w:szCs w:val="20"/>
        </w:rPr>
        <w:t xml:space="preserve">leaves in two stages of maturity. </w:t>
      </w:r>
      <w:r w:rsidRPr="00EF18A1">
        <w:rPr>
          <w:rFonts w:ascii="Times New Roman" w:hAnsi="Times New Roman"/>
          <w:i/>
          <w:iCs/>
          <w:noProof/>
          <w:sz w:val="20"/>
          <w:szCs w:val="20"/>
        </w:rPr>
        <w:t>Plant Foods for Human Nutrition</w:t>
      </w:r>
      <w:r w:rsidRPr="00EF18A1">
        <w:rPr>
          <w:rFonts w:ascii="Times New Roman" w:hAnsi="Times New Roman"/>
          <w:noProof/>
          <w:sz w:val="20"/>
          <w:szCs w:val="20"/>
        </w:rPr>
        <w:t xml:space="preserve">, 64(4): 303-311. </w:t>
      </w:r>
    </w:p>
    <w:p w:rsidR="00EF3780" w:rsidRPr="00445212" w:rsidRDefault="00EF3780" w:rsidP="00EF3780">
      <w:pPr>
        <w:widowControl w:val="0"/>
        <w:autoSpaceDE w:val="0"/>
        <w:autoSpaceDN w:val="0"/>
        <w:adjustRightInd w:val="0"/>
        <w:spacing w:after="0"/>
        <w:jc w:val="both"/>
        <w:rPr>
          <w:rFonts w:ascii="Times New Roman" w:hAnsi="Times New Roman"/>
          <w:noProof/>
          <w:sz w:val="20"/>
          <w:szCs w:val="20"/>
        </w:rPr>
      </w:pP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Falowo, A. B., Mukumbo, F. E., Idamokoro, E. M., Lorenzo, J. M., Afolayan, A. J. and Muchenje, V. (2018). Multi-functional application of </w:t>
      </w:r>
      <w:r w:rsidRPr="00EF18A1">
        <w:rPr>
          <w:rFonts w:ascii="Times New Roman" w:hAnsi="Times New Roman"/>
          <w:i/>
          <w:iCs/>
          <w:noProof/>
          <w:sz w:val="20"/>
          <w:szCs w:val="20"/>
        </w:rPr>
        <w:t>Moringa oleifera</w:t>
      </w:r>
      <w:r w:rsidRPr="00EF18A1">
        <w:rPr>
          <w:rFonts w:ascii="Times New Roman" w:hAnsi="Times New Roman"/>
          <w:noProof/>
          <w:sz w:val="20"/>
          <w:szCs w:val="20"/>
        </w:rPr>
        <w:t xml:space="preserve"> Lam. in nutrition and animal food products: A review. </w:t>
      </w:r>
      <w:r w:rsidRPr="00EF18A1">
        <w:rPr>
          <w:rFonts w:ascii="Times New Roman" w:hAnsi="Times New Roman"/>
          <w:i/>
          <w:iCs/>
          <w:noProof/>
          <w:sz w:val="20"/>
          <w:szCs w:val="20"/>
        </w:rPr>
        <w:t>Food Research International</w:t>
      </w:r>
      <w:r w:rsidRPr="00EF18A1">
        <w:rPr>
          <w:rFonts w:ascii="Times New Roman" w:hAnsi="Times New Roman"/>
          <w:noProof/>
          <w:sz w:val="20"/>
          <w:szCs w:val="20"/>
        </w:rPr>
        <w:t xml:space="preserve">, 106: 317–334. </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Valdez-Solana, M. A., Mejía-García, V.Y., Téllez-Valencia, A., García-Arenas, G., Salas-Pacheco, J., Alba-Romero, J. J. and Sierra-Campos, E. (2015). Nutritional content and elemental and phytochemical analyses of </w:t>
      </w:r>
      <w:r w:rsidRPr="00EF18A1">
        <w:rPr>
          <w:rFonts w:ascii="Times New Roman" w:hAnsi="Times New Roman"/>
          <w:i/>
          <w:iCs/>
          <w:noProof/>
          <w:sz w:val="20"/>
          <w:szCs w:val="20"/>
        </w:rPr>
        <w:t>Moringa oleifera</w:t>
      </w:r>
      <w:r w:rsidRPr="00EF18A1">
        <w:rPr>
          <w:rFonts w:ascii="Times New Roman" w:hAnsi="Times New Roman"/>
          <w:noProof/>
          <w:sz w:val="20"/>
          <w:szCs w:val="20"/>
        </w:rPr>
        <w:t xml:space="preserve"> grown in Mexico. </w:t>
      </w:r>
      <w:r w:rsidRPr="00EF18A1">
        <w:rPr>
          <w:rFonts w:ascii="Times New Roman" w:hAnsi="Times New Roman"/>
          <w:i/>
          <w:iCs/>
          <w:noProof/>
          <w:sz w:val="20"/>
          <w:szCs w:val="20"/>
        </w:rPr>
        <w:t>Journal of Chemistry</w:t>
      </w:r>
      <w:r w:rsidRPr="00EF18A1">
        <w:rPr>
          <w:rFonts w:ascii="Times New Roman" w:hAnsi="Times New Roman"/>
          <w:noProof/>
          <w:sz w:val="20"/>
          <w:szCs w:val="20"/>
        </w:rPr>
        <w:t xml:space="preserve">, 2015: 1-9. </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Mao, Q.-Q., Xu, X.-Y., Cao, S.-Y., Gan, R.-Y., Corke, H. and Beta, T. (2019). Bioactive compounds and bioactivities of ginger (</w:t>
      </w:r>
      <w:r w:rsidRPr="00EF18A1">
        <w:rPr>
          <w:rFonts w:ascii="Times New Roman" w:hAnsi="Times New Roman"/>
          <w:i/>
          <w:iCs/>
          <w:noProof/>
          <w:sz w:val="20"/>
          <w:szCs w:val="20"/>
        </w:rPr>
        <w:t>Zingiber officinale</w:t>
      </w:r>
      <w:r w:rsidRPr="00EF18A1">
        <w:rPr>
          <w:rFonts w:ascii="Times New Roman" w:hAnsi="Times New Roman"/>
          <w:noProof/>
          <w:sz w:val="20"/>
          <w:szCs w:val="20"/>
        </w:rPr>
        <w:t xml:space="preserve"> roscoe). </w:t>
      </w:r>
      <w:r w:rsidRPr="00EF18A1">
        <w:rPr>
          <w:rFonts w:ascii="Times New Roman" w:hAnsi="Times New Roman"/>
          <w:i/>
          <w:iCs/>
          <w:noProof/>
          <w:sz w:val="20"/>
          <w:szCs w:val="20"/>
        </w:rPr>
        <w:t>Foods</w:t>
      </w:r>
      <w:r w:rsidRPr="00EF18A1">
        <w:rPr>
          <w:rFonts w:ascii="Times New Roman" w:hAnsi="Times New Roman"/>
          <w:noProof/>
          <w:sz w:val="20"/>
          <w:szCs w:val="20"/>
        </w:rPr>
        <w:t xml:space="preserve">, 8(6): 185. </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Rajani, M. and Kanaki, N. S. (2008). Phytochemical standardization of herbal drugs and polyherbal formulations. Bioactive Molecule and Medicinal Plants: pp. 349-369. </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Hiremath, R., Jalalpure, S. S. and Pethakar, S. (2016). Chromatographic fingerprint analysis of hydroalcoholic extract of medicinally important plant </w:t>
      </w:r>
      <w:r w:rsidRPr="00EF18A1">
        <w:rPr>
          <w:rFonts w:ascii="Times New Roman" w:hAnsi="Times New Roman"/>
          <w:i/>
          <w:iCs/>
          <w:noProof/>
          <w:sz w:val="20"/>
          <w:szCs w:val="20"/>
        </w:rPr>
        <w:t>Elephantopus scaber</w:t>
      </w:r>
      <w:r w:rsidRPr="00EF18A1">
        <w:rPr>
          <w:rFonts w:ascii="Times New Roman" w:hAnsi="Times New Roman"/>
          <w:noProof/>
          <w:sz w:val="20"/>
          <w:szCs w:val="20"/>
        </w:rPr>
        <w:t xml:space="preserve"> L. using HPTLC technique. </w:t>
      </w:r>
      <w:r w:rsidRPr="00EF18A1">
        <w:rPr>
          <w:rFonts w:ascii="Times New Roman" w:hAnsi="Times New Roman"/>
          <w:i/>
          <w:iCs/>
          <w:noProof/>
          <w:sz w:val="20"/>
          <w:szCs w:val="20"/>
        </w:rPr>
        <w:t>Indian Journal of Pharmaceutical Education and Research</w:t>
      </w:r>
      <w:r w:rsidRPr="00EF18A1">
        <w:rPr>
          <w:rFonts w:ascii="Times New Roman" w:hAnsi="Times New Roman"/>
          <w:noProof/>
          <w:sz w:val="20"/>
          <w:szCs w:val="20"/>
        </w:rPr>
        <w:t xml:space="preserve">, 50(4): 689-694. </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Gibbons, S. (2012). An introduction to planar chromatography and its application to natural products isolation. </w:t>
      </w:r>
      <w:r w:rsidRPr="00EF18A1">
        <w:rPr>
          <w:rFonts w:ascii="Times New Roman" w:hAnsi="Times New Roman"/>
          <w:i/>
          <w:iCs/>
          <w:noProof/>
          <w:sz w:val="20"/>
          <w:szCs w:val="20"/>
        </w:rPr>
        <w:t>Methods in Molecular Biology</w:t>
      </w:r>
      <w:r w:rsidRPr="00EF18A1">
        <w:rPr>
          <w:rFonts w:ascii="Times New Roman" w:hAnsi="Times New Roman"/>
          <w:noProof/>
          <w:sz w:val="20"/>
          <w:szCs w:val="20"/>
        </w:rPr>
        <w:t xml:space="preserve">, 864: 117-153. </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Marston, A. (2011). Thin-layer chromatography with biological detection in phytochemistry. </w:t>
      </w:r>
      <w:r w:rsidRPr="00EF18A1">
        <w:rPr>
          <w:rFonts w:ascii="Times New Roman" w:hAnsi="Times New Roman"/>
          <w:i/>
          <w:iCs/>
          <w:noProof/>
          <w:sz w:val="20"/>
          <w:szCs w:val="20"/>
        </w:rPr>
        <w:t>Journal of Chromatography A</w:t>
      </w:r>
      <w:r w:rsidRPr="00EF18A1">
        <w:rPr>
          <w:rFonts w:ascii="Times New Roman" w:hAnsi="Times New Roman"/>
          <w:noProof/>
          <w:sz w:val="20"/>
          <w:szCs w:val="20"/>
        </w:rPr>
        <w:t xml:space="preserve">, 1218(19): 2676-2683. </w:t>
      </w:r>
    </w:p>
    <w:p w:rsidR="00EF3780" w:rsidRPr="00AF4B6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Sarkar, R. and Mandal, N. (2012). Hydroalcoholic extracts of Indian medicinal plants can help in amelioration from oxidative stress through antioxidant properties. </w:t>
      </w:r>
      <w:r w:rsidRPr="00EF18A1">
        <w:rPr>
          <w:rFonts w:ascii="Times New Roman" w:hAnsi="Times New Roman"/>
          <w:i/>
          <w:iCs/>
          <w:noProof/>
          <w:sz w:val="20"/>
          <w:szCs w:val="20"/>
        </w:rPr>
        <w:t>Journal of Complementary &amp; Integrative Medicine</w:t>
      </w:r>
      <w:r w:rsidRPr="00EF18A1">
        <w:rPr>
          <w:rFonts w:ascii="Times New Roman" w:hAnsi="Times New Roman"/>
          <w:noProof/>
          <w:sz w:val="20"/>
          <w:szCs w:val="20"/>
        </w:rPr>
        <w:t xml:space="preserve">, 9: 1-9. </w:t>
      </w:r>
    </w:p>
    <w:p w:rsidR="00EF3780"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Cieśla, Ł. (2012). Biological fingerprinting of herbal samples by means of liquid chromatography. </w:t>
      </w:r>
      <w:r w:rsidRPr="00EF18A1">
        <w:rPr>
          <w:rFonts w:ascii="Times New Roman" w:hAnsi="Times New Roman"/>
          <w:i/>
          <w:iCs/>
          <w:noProof/>
          <w:sz w:val="20"/>
          <w:szCs w:val="20"/>
        </w:rPr>
        <w:t>Chromatography Research International</w:t>
      </w:r>
      <w:r w:rsidRPr="00EF18A1">
        <w:rPr>
          <w:rFonts w:ascii="Times New Roman" w:hAnsi="Times New Roman"/>
          <w:noProof/>
          <w:sz w:val="20"/>
          <w:szCs w:val="20"/>
        </w:rPr>
        <w:t>, 2012: 1-9</w:t>
      </w:r>
      <w:r w:rsidR="00255A61">
        <w:rPr>
          <w:rFonts w:ascii="Times New Roman" w:hAnsi="Times New Roman"/>
          <w:noProof/>
          <w:sz w:val="20"/>
          <w:szCs w:val="20"/>
        </w:rPr>
        <w:t>.</w:t>
      </w:r>
    </w:p>
    <w:p w:rsidR="009E5A06" w:rsidRDefault="009E5A06"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sectPr w:rsidR="009E5A06" w:rsidSect="005F4B75">
          <w:headerReference w:type="even" r:id="rId70"/>
          <w:headerReference w:type="default" r:id="rId71"/>
          <w:footerReference w:type="even" r:id="rId72"/>
          <w:footerReference w:type="default" r:id="rId73"/>
          <w:headerReference w:type="first" r:id="rId74"/>
          <w:type w:val="evenPage"/>
          <w:pgSz w:w="12240" w:h="15840" w:code="1"/>
          <w:pgMar w:top="1800" w:right="1469" w:bottom="1699" w:left="1440" w:header="706" w:footer="706" w:gutter="0"/>
          <w:pgNumType w:start="448"/>
          <w:cols w:num="2" w:space="403"/>
          <w:docGrid w:linePitch="360"/>
        </w:sectPr>
      </w:pP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lastRenderedPageBreak/>
        <w:t>22.</w:t>
      </w:r>
      <w:r w:rsidRPr="009E5A06">
        <w:rPr>
          <w:rFonts w:ascii="Times New Roman" w:hAnsi="Times New Roman"/>
          <w:noProof/>
          <w:sz w:val="20"/>
          <w:szCs w:val="20"/>
        </w:rPr>
        <w:tab/>
        <w:t xml:space="preserve">Wang, C., Zhang, C.-X., Shao, C.-F., Li, C.-W., Liu, S.-H., Peng, X.-P. and Xu, Y. Q. (2016). Chemical fingerprint analysis for the quality evaluation of deepure instant pu-erh tea by HPLC combined with chemometrics. </w:t>
      </w:r>
      <w:r w:rsidRPr="009E5A06">
        <w:rPr>
          <w:rFonts w:ascii="Times New Roman" w:hAnsi="Times New Roman"/>
          <w:i/>
          <w:iCs/>
          <w:noProof/>
          <w:sz w:val="20"/>
          <w:szCs w:val="20"/>
        </w:rPr>
        <w:t>Food Analytical Methods</w:t>
      </w:r>
      <w:r w:rsidRPr="009E5A06">
        <w:rPr>
          <w:rFonts w:ascii="Times New Roman" w:hAnsi="Times New Roman"/>
          <w:noProof/>
          <w:sz w:val="20"/>
          <w:szCs w:val="20"/>
        </w:rPr>
        <w:t>, 9(12): 3298-3309.</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23.</w:t>
      </w:r>
      <w:r w:rsidRPr="009E5A06">
        <w:rPr>
          <w:rFonts w:ascii="Times New Roman" w:hAnsi="Times New Roman"/>
          <w:noProof/>
          <w:sz w:val="20"/>
          <w:szCs w:val="20"/>
        </w:rPr>
        <w:tab/>
        <w:t xml:space="preserve">Vongsak, B., Sithisarn, P. and Gritsanapan, W. (2013). Simultaneous determination of crypto-chlorogenic acid, isoquercetin, and astragalin contents in </w:t>
      </w:r>
      <w:r w:rsidRPr="009E5A06">
        <w:rPr>
          <w:rFonts w:ascii="Times New Roman" w:hAnsi="Times New Roman"/>
          <w:i/>
          <w:iCs/>
          <w:noProof/>
          <w:sz w:val="20"/>
          <w:szCs w:val="20"/>
        </w:rPr>
        <w:t>Moringa oleifera</w:t>
      </w:r>
      <w:r w:rsidRPr="009E5A06">
        <w:rPr>
          <w:rFonts w:ascii="Times New Roman" w:hAnsi="Times New Roman"/>
          <w:noProof/>
          <w:sz w:val="20"/>
          <w:szCs w:val="20"/>
        </w:rPr>
        <w:t xml:space="preserve"> leaf extracts by TLC-densitometric method. </w:t>
      </w:r>
      <w:r w:rsidRPr="009E5A06">
        <w:rPr>
          <w:rFonts w:ascii="Times New Roman" w:hAnsi="Times New Roman"/>
          <w:i/>
          <w:iCs/>
          <w:noProof/>
          <w:sz w:val="20"/>
          <w:szCs w:val="20"/>
        </w:rPr>
        <w:t>Evidence-Based Complementary and Alternative Medicine</w:t>
      </w:r>
      <w:r w:rsidRPr="009E5A06">
        <w:rPr>
          <w:rFonts w:ascii="Times New Roman" w:hAnsi="Times New Roman"/>
          <w:noProof/>
          <w:sz w:val="20"/>
          <w:szCs w:val="20"/>
        </w:rPr>
        <w:t xml:space="preserve">, 2013: 1-7.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24.</w:t>
      </w:r>
      <w:r w:rsidRPr="009E5A06">
        <w:rPr>
          <w:rFonts w:ascii="Times New Roman" w:hAnsi="Times New Roman"/>
          <w:noProof/>
          <w:sz w:val="20"/>
          <w:szCs w:val="20"/>
        </w:rPr>
        <w:tab/>
        <w:t xml:space="preserve">Tumer, T. B., Rojas-Silva, P., Poulev, A., Raskin, I. and Waterman, C. (2015). Direct and indirect antioxidant activity of polyphenol- and isothiocyanate-enriched fractions from </w:t>
      </w:r>
      <w:r w:rsidRPr="009E5A06">
        <w:rPr>
          <w:rFonts w:ascii="Times New Roman" w:hAnsi="Times New Roman"/>
          <w:i/>
          <w:iCs/>
          <w:noProof/>
          <w:sz w:val="20"/>
          <w:szCs w:val="20"/>
        </w:rPr>
        <w:t>Moringa oleifera</w:t>
      </w:r>
      <w:r w:rsidRPr="009E5A06">
        <w:rPr>
          <w:rFonts w:ascii="Times New Roman" w:hAnsi="Times New Roman"/>
          <w:noProof/>
          <w:sz w:val="20"/>
          <w:szCs w:val="20"/>
        </w:rPr>
        <w:t xml:space="preserve">. </w:t>
      </w:r>
      <w:r w:rsidRPr="009E5A06">
        <w:rPr>
          <w:rFonts w:ascii="Times New Roman" w:hAnsi="Times New Roman"/>
          <w:i/>
          <w:iCs/>
          <w:noProof/>
          <w:sz w:val="20"/>
          <w:szCs w:val="20"/>
        </w:rPr>
        <w:t>Journal of Agricultural and Food Chemistry</w:t>
      </w:r>
      <w:r w:rsidRPr="009E5A06">
        <w:rPr>
          <w:rFonts w:ascii="Times New Roman" w:hAnsi="Times New Roman"/>
          <w:noProof/>
          <w:sz w:val="20"/>
          <w:szCs w:val="20"/>
        </w:rPr>
        <w:t xml:space="preserve">, 63(5): 1505-1513.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25.</w:t>
      </w:r>
      <w:r w:rsidRPr="009E5A06">
        <w:rPr>
          <w:rFonts w:ascii="Times New Roman" w:hAnsi="Times New Roman"/>
          <w:noProof/>
          <w:sz w:val="20"/>
          <w:szCs w:val="20"/>
        </w:rPr>
        <w:tab/>
        <w:t xml:space="preserve">Komsta, Ł. (2012). Chemometrics in fingerprinting by means of thin layer chromatography. </w:t>
      </w:r>
      <w:r w:rsidRPr="009E5A06">
        <w:rPr>
          <w:rFonts w:ascii="Times New Roman" w:hAnsi="Times New Roman"/>
          <w:i/>
          <w:iCs/>
          <w:noProof/>
          <w:sz w:val="20"/>
          <w:szCs w:val="20"/>
        </w:rPr>
        <w:t>Chromatography Research International</w:t>
      </w:r>
      <w:r w:rsidRPr="009E5A06">
        <w:rPr>
          <w:rFonts w:ascii="Times New Roman" w:hAnsi="Times New Roman"/>
          <w:noProof/>
          <w:sz w:val="20"/>
          <w:szCs w:val="20"/>
        </w:rPr>
        <w:t xml:space="preserve">, 2012: 1-5.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26.</w:t>
      </w:r>
      <w:r w:rsidRPr="009E5A06">
        <w:rPr>
          <w:rFonts w:ascii="Times New Roman" w:hAnsi="Times New Roman"/>
          <w:noProof/>
          <w:sz w:val="20"/>
          <w:szCs w:val="20"/>
        </w:rPr>
        <w:tab/>
        <w:t xml:space="preserve">Olech, M., Komsta, Ł., Nowak, R., Cieśla, Ł. and Waksmundzka-Hajnos, M. (2012). Investigation of antiradical activity of plant material by thin-layer chromatography with image processing. </w:t>
      </w:r>
      <w:r w:rsidRPr="009E5A06">
        <w:rPr>
          <w:rFonts w:ascii="Times New Roman" w:hAnsi="Times New Roman"/>
          <w:i/>
          <w:iCs/>
          <w:noProof/>
          <w:sz w:val="20"/>
          <w:szCs w:val="20"/>
        </w:rPr>
        <w:t>Food Chemistry</w:t>
      </w:r>
      <w:r w:rsidRPr="009E5A06">
        <w:rPr>
          <w:rFonts w:ascii="Times New Roman" w:hAnsi="Times New Roman"/>
          <w:noProof/>
          <w:sz w:val="20"/>
          <w:szCs w:val="20"/>
        </w:rPr>
        <w:t xml:space="preserve">, 132(1): 549-553.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27.</w:t>
      </w:r>
      <w:r w:rsidRPr="009E5A06">
        <w:rPr>
          <w:rFonts w:ascii="Times New Roman" w:hAnsi="Times New Roman"/>
          <w:noProof/>
          <w:sz w:val="20"/>
          <w:szCs w:val="20"/>
        </w:rPr>
        <w:tab/>
        <w:t xml:space="preserve">Kupski, L. and Badiale-Furlong, E. (2015). Principal components analysis: An innovative approach to establish interferences in ochratoxin A detection. </w:t>
      </w:r>
      <w:r w:rsidRPr="009E5A06">
        <w:rPr>
          <w:rFonts w:ascii="Times New Roman" w:hAnsi="Times New Roman"/>
          <w:i/>
          <w:iCs/>
          <w:noProof/>
          <w:sz w:val="20"/>
          <w:szCs w:val="20"/>
        </w:rPr>
        <w:t>Food Chemistry</w:t>
      </w:r>
      <w:r w:rsidRPr="009E5A06">
        <w:rPr>
          <w:rFonts w:ascii="Times New Roman" w:hAnsi="Times New Roman"/>
          <w:noProof/>
          <w:sz w:val="20"/>
          <w:szCs w:val="20"/>
        </w:rPr>
        <w:t xml:space="preserve">, 177: 354-360.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28.</w:t>
      </w:r>
      <w:r w:rsidRPr="009E5A06">
        <w:rPr>
          <w:rFonts w:ascii="Times New Roman" w:hAnsi="Times New Roman"/>
          <w:noProof/>
          <w:sz w:val="20"/>
          <w:szCs w:val="20"/>
        </w:rPr>
        <w:tab/>
        <w:t xml:space="preserve">Lin, H., Zhu, H., Tan, J., Wang, H., Wang, Z., Li, P., Zhao, C. and Liu, J. (2019). Comparative analysis of chemical constituents of </w:t>
      </w:r>
      <w:r w:rsidRPr="009E5A06">
        <w:rPr>
          <w:rFonts w:ascii="Times New Roman" w:hAnsi="Times New Roman"/>
          <w:i/>
          <w:iCs/>
          <w:noProof/>
          <w:sz w:val="20"/>
          <w:szCs w:val="20"/>
        </w:rPr>
        <w:t>Moringa oleifera</w:t>
      </w:r>
      <w:r w:rsidRPr="009E5A06">
        <w:rPr>
          <w:rFonts w:ascii="Times New Roman" w:hAnsi="Times New Roman"/>
          <w:noProof/>
          <w:sz w:val="20"/>
          <w:szCs w:val="20"/>
        </w:rPr>
        <w:t xml:space="preserve"> leaves from China and India by ultra-performance liquid chromatography coupled with quadrupole-time-of-flight mass spectrometry. </w:t>
      </w:r>
      <w:r w:rsidRPr="009E5A06">
        <w:rPr>
          <w:rFonts w:ascii="Times New Roman" w:hAnsi="Times New Roman"/>
          <w:i/>
          <w:iCs/>
          <w:noProof/>
          <w:sz w:val="20"/>
          <w:szCs w:val="20"/>
        </w:rPr>
        <w:t>Molecules</w:t>
      </w:r>
      <w:r w:rsidRPr="009E5A06">
        <w:rPr>
          <w:rFonts w:ascii="Times New Roman" w:hAnsi="Times New Roman"/>
          <w:noProof/>
          <w:sz w:val="20"/>
          <w:szCs w:val="20"/>
        </w:rPr>
        <w:t xml:space="preserve">, 24(5): 942.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29.</w:t>
      </w:r>
      <w:r w:rsidRPr="009E5A06">
        <w:rPr>
          <w:rFonts w:ascii="Times New Roman" w:hAnsi="Times New Roman"/>
          <w:noProof/>
          <w:sz w:val="20"/>
          <w:szCs w:val="20"/>
        </w:rPr>
        <w:tab/>
        <w:t xml:space="preserve">Rodríguez-Pérez, C., Quirantes-Piné, R., Fernández-Gutiérrez, A. and Segura-Carretero, A. (2015). Optimization of extraction method to obtain a phenolic compounds-rich extract from </w:t>
      </w:r>
      <w:r w:rsidRPr="009E5A06">
        <w:rPr>
          <w:rFonts w:ascii="Times New Roman" w:hAnsi="Times New Roman"/>
          <w:i/>
          <w:iCs/>
          <w:noProof/>
          <w:sz w:val="20"/>
          <w:szCs w:val="20"/>
        </w:rPr>
        <w:t>Moringa oleifera</w:t>
      </w:r>
      <w:r w:rsidRPr="009E5A06">
        <w:rPr>
          <w:rFonts w:ascii="Times New Roman" w:hAnsi="Times New Roman"/>
          <w:noProof/>
          <w:sz w:val="20"/>
          <w:szCs w:val="20"/>
        </w:rPr>
        <w:t xml:space="preserve"> Lam leaves. </w:t>
      </w:r>
      <w:r w:rsidRPr="009E5A06">
        <w:rPr>
          <w:rFonts w:ascii="Times New Roman" w:hAnsi="Times New Roman"/>
          <w:i/>
          <w:iCs/>
          <w:noProof/>
          <w:sz w:val="20"/>
          <w:szCs w:val="20"/>
        </w:rPr>
        <w:t>Industrial Crops and Products</w:t>
      </w:r>
      <w:r w:rsidRPr="009E5A06">
        <w:rPr>
          <w:rFonts w:ascii="Times New Roman" w:hAnsi="Times New Roman"/>
          <w:noProof/>
          <w:sz w:val="20"/>
          <w:szCs w:val="20"/>
        </w:rPr>
        <w:t xml:space="preserve">, 66: 246-254. </w:t>
      </w:r>
    </w:p>
    <w:p w:rsidR="009E5A06" w:rsidRPr="009E5A06" w:rsidRDefault="009E5A06" w:rsidP="009E5A06">
      <w:pPr>
        <w:pStyle w:val="ListParagraph"/>
        <w:widowControl w:val="0"/>
        <w:autoSpaceDE w:val="0"/>
        <w:autoSpaceDN w:val="0"/>
        <w:adjustRightInd w:val="0"/>
        <w:spacing w:after="0"/>
        <w:ind w:left="360"/>
        <w:jc w:val="both"/>
        <w:rPr>
          <w:rFonts w:ascii="Times New Roman" w:hAnsi="Times New Roman"/>
          <w:noProof/>
          <w:sz w:val="20"/>
          <w:szCs w:val="20"/>
        </w:rPr>
      </w:pP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lastRenderedPageBreak/>
        <w:t xml:space="preserve">Vergara-Jimenez, M., Almatrafi, M. M. and Fernandez, M. L. (2017). Bioactive components in </w:t>
      </w:r>
      <w:r w:rsidRPr="009E5A06">
        <w:rPr>
          <w:rFonts w:ascii="Times New Roman" w:hAnsi="Times New Roman"/>
          <w:i/>
          <w:iCs/>
          <w:noProof/>
          <w:sz w:val="20"/>
          <w:szCs w:val="20"/>
        </w:rPr>
        <w:t xml:space="preserve">Moringa oleifera </w:t>
      </w:r>
      <w:r w:rsidRPr="009E5A06">
        <w:rPr>
          <w:rFonts w:ascii="Times New Roman" w:hAnsi="Times New Roman"/>
          <w:noProof/>
          <w:sz w:val="20"/>
          <w:szCs w:val="20"/>
        </w:rPr>
        <w:t xml:space="preserve">leaves protect against chronic disease. </w:t>
      </w:r>
      <w:r w:rsidRPr="009E5A06">
        <w:rPr>
          <w:rFonts w:ascii="Times New Roman" w:hAnsi="Times New Roman"/>
          <w:i/>
          <w:iCs/>
          <w:noProof/>
          <w:sz w:val="20"/>
          <w:szCs w:val="20"/>
        </w:rPr>
        <w:t>Antioxidants</w:t>
      </w:r>
      <w:r w:rsidRPr="009E5A06">
        <w:rPr>
          <w:rFonts w:ascii="Times New Roman" w:hAnsi="Times New Roman"/>
          <w:noProof/>
          <w:sz w:val="20"/>
          <w:szCs w:val="20"/>
        </w:rPr>
        <w:t xml:space="preserve">, 6(4): 91.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31.</w:t>
      </w:r>
      <w:r w:rsidRPr="009E5A06">
        <w:rPr>
          <w:rFonts w:ascii="Times New Roman" w:hAnsi="Times New Roman"/>
          <w:noProof/>
          <w:sz w:val="20"/>
          <w:szCs w:val="20"/>
        </w:rPr>
        <w:tab/>
        <w:t xml:space="preserve">Kasai, H., Fukada, S., Yamaizumi, Z., Sugie, S. and Mori, H. (2000). Action of chlorogenic acid in vegetables and fruits as an inhibitor of 8-hydroxydeoxyguanosine formation in vitro and in a rat carcinogenesis model. </w:t>
      </w:r>
      <w:r w:rsidRPr="009E5A06">
        <w:rPr>
          <w:rFonts w:ascii="Times New Roman" w:hAnsi="Times New Roman"/>
          <w:i/>
          <w:iCs/>
          <w:noProof/>
          <w:sz w:val="20"/>
          <w:szCs w:val="20"/>
        </w:rPr>
        <w:t>Food and Chemical Toxicology</w:t>
      </w:r>
      <w:r w:rsidRPr="009E5A06">
        <w:rPr>
          <w:rFonts w:ascii="Times New Roman" w:hAnsi="Times New Roman"/>
          <w:noProof/>
          <w:sz w:val="20"/>
          <w:szCs w:val="20"/>
        </w:rPr>
        <w:t xml:space="preserve">, 38(5): 467-471.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32.</w:t>
      </w:r>
      <w:r w:rsidRPr="009E5A06">
        <w:rPr>
          <w:rFonts w:ascii="Times New Roman" w:hAnsi="Times New Roman"/>
          <w:noProof/>
          <w:sz w:val="20"/>
          <w:szCs w:val="20"/>
        </w:rPr>
        <w:tab/>
        <w:t xml:space="preserve">Manguro, L. O. A. and Lemmen, P. (2007). Phenolics of </w:t>
      </w:r>
      <w:r w:rsidRPr="009E5A06">
        <w:rPr>
          <w:rFonts w:ascii="Times New Roman" w:hAnsi="Times New Roman"/>
          <w:i/>
          <w:iCs/>
          <w:noProof/>
          <w:sz w:val="20"/>
          <w:szCs w:val="20"/>
        </w:rPr>
        <w:t>Moringa oleifera</w:t>
      </w:r>
      <w:r w:rsidRPr="009E5A06">
        <w:rPr>
          <w:rFonts w:ascii="Times New Roman" w:hAnsi="Times New Roman"/>
          <w:noProof/>
          <w:sz w:val="20"/>
          <w:szCs w:val="20"/>
        </w:rPr>
        <w:t xml:space="preserve"> leaves. </w:t>
      </w:r>
      <w:r w:rsidRPr="009E5A06">
        <w:rPr>
          <w:rFonts w:ascii="Times New Roman" w:hAnsi="Times New Roman"/>
          <w:i/>
          <w:iCs/>
          <w:noProof/>
          <w:sz w:val="20"/>
          <w:szCs w:val="20"/>
        </w:rPr>
        <w:t>Natural Product Research</w:t>
      </w:r>
      <w:r w:rsidRPr="009E5A06">
        <w:rPr>
          <w:rFonts w:ascii="Times New Roman" w:hAnsi="Times New Roman"/>
          <w:noProof/>
          <w:sz w:val="20"/>
          <w:szCs w:val="20"/>
        </w:rPr>
        <w:t xml:space="preserve">, 21(1): 56-68.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33.</w:t>
      </w:r>
      <w:r w:rsidRPr="009E5A06">
        <w:rPr>
          <w:rFonts w:ascii="Times New Roman" w:hAnsi="Times New Roman"/>
          <w:noProof/>
          <w:sz w:val="20"/>
          <w:szCs w:val="20"/>
        </w:rPr>
        <w:tab/>
        <w:t xml:space="preserve">Srinivasulu, C., Ramgopal, M., Ramanjaneyulu, G., Anuradha, C. M., and Kumar, C. S. (2018). Syringic acid (SA)‒a review of its occurrence, biosynthesis, pharmacological and industrial importance. </w:t>
      </w:r>
      <w:r w:rsidRPr="009E5A06">
        <w:rPr>
          <w:rFonts w:ascii="Times New Roman" w:hAnsi="Times New Roman"/>
          <w:i/>
          <w:iCs/>
          <w:noProof/>
          <w:sz w:val="20"/>
          <w:szCs w:val="20"/>
        </w:rPr>
        <w:t>Biomedicine &amp; Pharmacotherapy</w:t>
      </w:r>
      <w:r w:rsidRPr="009E5A06">
        <w:rPr>
          <w:rFonts w:ascii="Times New Roman" w:hAnsi="Times New Roman"/>
          <w:noProof/>
          <w:sz w:val="20"/>
          <w:szCs w:val="20"/>
        </w:rPr>
        <w:t xml:space="preserve">, 108: 547-557.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34.</w:t>
      </w:r>
      <w:r w:rsidRPr="009E5A06">
        <w:rPr>
          <w:rFonts w:ascii="Times New Roman" w:hAnsi="Times New Roman"/>
          <w:noProof/>
          <w:sz w:val="20"/>
          <w:szCs w:val="20"/>
        </w:rPr>
        <w:tab/>
        <w:t xml:space="preserve">Wang, H., Yang, L., Zu, Y. and Zhao, X. (2014). Microwave-assisted simultaneous extraction of luteolin and apigenin from tree peony pod and evaluation of its antioxidant activity. </w:t>
      </w:r>
      <w:r w:rsidRPr="009E5A06">
        <w:rPr>
          <w:rFonts w:ascii="Times New Roman" w:hAnsi="Times New Roman"/>
          <w:i/>
          <w:iCs/>
          <w:noProof/>
          <w:sz w:val="20"/>
          <w:szCs w:val="20"/>
        </w:rPr>
        <w:t>Scientific World Journal</w:t>
      </w:r>
      <w:r w:rsidRPr="009E5A06">
        <w:rPr>
          <w:rFonts w:ascii="Times New Roman" w:hAnsi="Times New Roman"/>
          <w:noProof/>
          <w:sz w:val="20"/>
          <w:szCs w:val="20"/>
        </w:rPr>
        <w:t xml:space="preserve">, 2014: 1-12.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35.</w:t>
      </w:r>
      <w:r w:rsidRPr="009E5A06">
        <w:rPr>
          <w:rFonts w:ascii="Times New Roman" w:hAnsi="Times New Roman"/>
          <w:noProof/>
          <w:sz w:val="20"/>
          <w:szCs w:val="20"/>
        </w:rPr>
        <w:tab/>
        <w:t xml:space="preserve">Ganeshpurkar, A. and Saluja, A. K. (2017). The pharmacological potential of rutin. </w:t>
      </w:r>
      <w:r w:rsidRPr="009E5A06">
        <w:rPr>
          <w:rFonts w:ascii="Times New Roman" w:hAnsi="Times New Roman"/>
          <w:i/>
          <w:iCs/>
          <w:noProof/>
          <w:sz w:val="20"/>
          <w:szCs w:val="20"/>
        </w:rPr>
        <w:t>Saudi Pharmaceutical Journal</w:t>
      </w:r>
      <w:r w:rsidRPr="009E5A06">
        <w:rPr>
          <w:rFonts w:ascii="Times New Roman" w:hAnsi="Times New Roman"/>
          <w:noProof/>
          <w:sz w:val="20"/>
          <w:szCs w:val="20"/>
        </w:rPr>
        <w:t xml:space="preserve">, 25(2): 149-164.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36.</w:t>
      </w:r>
      <w:r w:rsidRPr="009E5A06">
        <w:rPr>
          <w:rFonts w:ascii="Times New Roman" w:hAnsi="Times New Roman"/>
          <w:noProof/>
          <w:sz w:val="20"/>
          <w:szCs w:val="20"/>
        </w:rPr>
        <w:tab/>
        <w:t xml:space="preserve">di Camillo Orfali, G., Duarte, A. C., Bonadio, V., Martinez, N. P., De Araújo, M. E. M. B., Priviero, F. B. M., Calvalho, P. O. and Priolli, D. G. (2016). Review of anticancer mechanisms of isoquercitin. </w:t>
      </w:r>
      <w:r w:rsidRPr="009E5A06">
        <w:rPr>
          <w:rFonts w:ascii="Times New Roman" w:hAnsi="Times New Roman"/>
          <w:i/>
          <w:iCs/>
          <w:noProof/>
          <w:sz w:val="20"/>
          <w:szCs w:val="20"/>
        </w:rPr>
        <w:t>World Journal of Clinical Oncology</w:t>
      </w:r>
      <w:r w:rsidRPr="009E5A06">
        <w:rPr>
          <w:rFonts w:ascii="Times New Roman" w:hAnsi="Times New Roman"/>
          <w:noProof/>
          <w:sz w:val="20"/>
          <w:szCs w:val="20"/>
        </w:rPr>
        <w:t xml:space="preserve">, 7(2): 189.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37.</w:t>
      </w:r>
      <w:r w:rsidRPr="009E5A06">
        <w:rPr>
          <w:rFonts w:ascii="Times New Roman" w:hAnsi="Times New Roman"/>
          <w:noProof/>
          <w:sz w:val="20"/>
          <w:szCs w:val="20"/>
        </w:rPr>
        <w:tab/>
        <w:t xml:space="preserve">Riaz, A., Rasul, A., Hussain, G., Zahoor, M. K., Jabeen, F., Subhani, Z., Younis, T., Ali, M., Sarfraz, I. and Selamoglu, Z. (2018). Astragalin: a bioactive phytochemical with potential therapeutic activities. </w:t>
      </w:r>
      <w:r w:rsidRPr="009E5A06">
        <w:rPr>
          <w:rFonts w:ascii="Times New Roman" w:hAnsi="Times New Roman"/>
          <w:i/>
          <w:iCs/>
          <w:noProof/>
          <w:sz w:val="20"/>
          <w:szCs w:val="20"/>
        </w:rPr>
        <w:t>Advances in Pharmacological Sciences</w:t>
      </w:r>
      <w:r w:rsidRPr="009E5A06">
        <w:rPr>
          <w:rFonts w:ascii="Times New Roman" w:hAnsi="Times New Roman"/>
          <w:noProof/>
          <w:sz w:val="20"/>
          <w:szCs w:val="20"/>
        </w:rPr>
        <w:t xml:space="preserve">, 2018: 1-15.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38.</w:t>
      </w:r>
      <w:r w:rsidRPr="009E5A06">
        <w:rPr>
          <w:rFonts w:ascii="Times New Roman" w:hAnsi="Times New Roman"/>
          <w:noProof/>
          <w:sz w:val="20"/>
          <w:szCs w:val="20"/>
        </w:rPr>
        <w:tab/>
        <w:t xml:space="preserve">Kumar, S. and Pandey, A. K. (2013). Chemistry and biological activities of flavonoids: an overview. </w:t>
      </w:r>
      <w:r w:rsidRPr="009E5A06">
        <w:rPr>
          <w:rFonts w:ascii="Times New Roman" w:hAnsi="Times New Roman"/>
          <w:i/>
          <w:iCs/>
          <w:noProof/>
          <w:sz w:val="20"/>
          <w:szCs w:val="20"/>
        </w:rPr>
        <w:t>The Scientific World Journal</w:t>
      </w:r>
      <w:r w:rsidRPr="009E5A06">
        <w:rPr>
          <w:rFonts w:ascii="Times New Roman" w:hAnsi="Times New Roman"/>
          <w:noProof/>
          <w:sz w:val="20"/>
          <w:szCs w:val="20"/>
        </w:rPr>
        <w:t xml:space="preserve">, 2013: 1-17. </w:t>
      </w:r>
    </w:p>
    <w:p w:rsidR="00255A61" w:rsidRPr="009E5A06" w:rsidRDefault="00255A61"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sectPr w:rsidR="00255A61" w:rsidRPr="009E5A06" w:rsidSect="009E5A06">
          <w:footerReference w:type="default" r:id="rId75"/>
          <w:type w:val="oddPage"/>
          <w:pgSz w:w="12240" w:h="15840" w:code="1"/>
          <w:pgMar w:top="1800" w:right="1469" w:bottom="1699" w:left="1440" w:header="706" w:footer="706" w:gutter="0"/>
          <w:pgNumType w:start="448"/>
          <w:cols w:num="2" w:space="403"/>
          <w:docGrid w:linePitch="360"/>
        </w:sectPr>
      </w:pPr>
    </w:p>
    <w:p w:rsidR="000C72D4" w:rsidRPr="000C72D4" w:rsidRDefault="000C72D4" w:rsidP="000C72D4">
      <w:pPr>
        <w:widowControl w:val="0"/>
        <w:autoSpaceDE w:val="0"/>
        <w:autoSpaceDN w:val="0"/>
        <w:adjustRightInd w:val="0"/>
        <w:spacing w:after="0"/>
        <w:jc w:val="both"/>
        <w:rPr>
          <w:rFonts w:ascii="Times New Roman" w:hAnsi="Times New Roman"/>
          <w:noProof/>
          <w:sz w:val="20"/>
          <w:szCs w:val="20"/>
        </w:rPr>
      </w:pPr>
    </w:p>
    <w:p w:rsidR="000C72D4" w:rsidRDefault="000C72D4" w:rsidP="000C72D4">
      <w:pPr>
        <w:widowControl w:val="0"/>
        <w:autoSpaceDE w:val="0"/>
        <w:autoSpaceDN w:val="0"/>
        <w:adjustRightInd w:val="0"/>
        <w:spacing w:after="0"/>
        <w:jc w:val="both"/>
        <w:rPr>
          <w:rFonts w:ascii="Times New Roman" w:hAnsi="Times New Roman"/>
          <w:noProof/>
          <w:sz w:val="20"/>
          <w:szCs w:val="20"/>
        </w:rPr>
      </w:pPr>
    </w:p>
    <w:p w:rsidR="000C72D4" w:rsidRPr="000C72D4" w:rsidRDefault="000C72D4" w:rsidP="000C72D4">
      <w:pPr>
        <w:widowControl w:val="0"/>
        <w:autoSpaceDE w:val="0"/>
        <w:autoSpaceDN w:val="0"/>
        <w:adjustRightInd w:val="0"/>
        <w:spacing w:after="0"/>
        <w:jc w:val="both"/>
        <w:rPr>
          <w:rFonts w:ascii="Times New Roman" w:hAnsi="Times New Roman"/>
          <w:noProof/>
          <w:sz w:val="20"/>
          <w:szCs w:val="20"/>
        </w:rPr>
        <w:sectPr w:rsidR="000C72D4" w:rsidRPr="000C72D4" w:rsidSect="005F4B75">
          <w:headerReference w:type="even" r:id="rId76"/>
          <w:footerReference w:type="even" r:id="rId77"/>
          <w:type w:val="evenPage"/>
          <w:pgSz w:w="12240" w:h="15840" w:code="1"/>
          <w:pgMar w:top="1800" w:right="1469" w:bottom="1699" w:left="1440" w:header="706" w:footer="706" w:gutter="0"/>
          <w:pgNumType w:start="448"/>
          <w:cols w:num="2" w:space="403"/>
          <w:docGrid w:linePitch="360"/>
        </w:sectPr>
      </w:pPr>
    </w:p>
    <w:p w:rsidR="00255A61" w:rsidRDefault="00A02F97" w:rsidP="00255A61">
      <w:pPr>
        <w:pStyle w:val="ListParagraph"/>
        <w:widowControl w:val="0"/>
        <w:autoSpaceDE w:val="0"/>
        <w:autoSpaceDN w:val="0"/>
        <w:adjustRightInd w:val="0"/>
        <w:spacing w:after="0"/>
        <w:ind w:left="284" w:hanging="284"/>
        <w:contextualSpacing w:val="0"/>
        <w:jc w:val="both"/>
        <w:rPr>
          <w:rFonts w:ascii="Times New Roman" w:hAnsi="Times New Roman"/>
          <w:noProof/>
          <w:sz w:val="20"/>
          <w:szCs w:val="20"/>
        </w:rPr>
      </w:pPr>
      <w:r>
        <w:rPr>
          <w:rFonts w:ascii="Times New Roman" w:hAnsi="Times New Roman"/>
          <w:noProof/>
          <w:sz w:val="20"/>
          <w:szCs w:val="20"/>
        </w:rPr>
        <w:lastRenderedPageBreak/>
        <w:t>39.</w:t>
      </w:r>
      <w:r>
        <w:rPr>
          <w:rFonts w:ascii="Times New Roman" w:hAnsi="Times New Roman"/>
          <w:noProof/>
          <w:sz w:val="20"/>
          <w:szCs w:val="20"/>
        </w:rPr>
        <w:tab/>
      </w:r>
      <w:r w:rsidR="00EF3780" w:rsidRPr="000C72D4">
        <w:rPr>
          <w:rFonts w:ascii="Times New Roman" w:hAnsi="Times New Roman"/>
          <w:noProof/>
          <w:sz w:val="20"/>
          <w:szCs w:val="20"/>
        </w:rPr>
        <w:t xml:space="preserve">Sidhu, O. P., Annarao, S., Chatterjee, S., Tuli, R., Roy, R. and Khetrapal, C. L. (2011). Metabolic alterations of </w:t>
      </w:r>
      <w:r w:rsidR="00EF3780" w:rsidRPr="000C72D4">
        <w:rPr>
          <w:rFonts w:ascii="Times New Roman" w:hAnsi="Times New Roman"/>
          <w:i/>
          <w:iCs/>
          <w:noProof/>
          <w:sz w:val="20"/>
          <w:szCs w:val="20"/>
        </w:rPr>
        <w:t>Withania somnifera</w:t>
      </w:r>
      <w:r w:rsidR="00EF3780" w:rsidRPr="000C72D4">
        <w:rPr>
          <w:rFonts w:ascii="Times New Roman" w:hAnsi="Times New Roman"/>
          <w:noProof/>
          <w:sz w:val="20"/>
          <w:szCs w:val="20"/>
        </w:rPr>
        <w:t xml:space="preserve"> (L.) dunal fruits at different developmental stages by NMR spectroscopy. </w:t>
      </w:r>
      <w:r w:rsidR="00EF3780" w:rsidRPr="000C72D4">
        <w:rPr>
          <w:rFonts w:ascii="Times New Roman" w:hAnsi="Times New Roman"/>
          <w:i/>
          <w:iCs/>
          <w:noProof/>
          <w:sz w:val="20"/>
          <w:szCs w:val="20"/>
        </w:rPr>
        <w:t>Phytochemical Analysis</w:t>
      </w:r>
      <w:r w:rsidR="00EF3780" w:rsidRPr="000C72D4">
        <w:rPr>
          <w:rFonts w:ascii="Times New Roman" w:hAnsi="Times New Roman"/>
          <w:noProof/>
          <w:sz w:val="20"/>
          <w:szCs w:val="20"/>
        </w:rPr>
        <w:t xml:space="preserve">, 22(6): 492-502. </w:t>
      </w:r>
    </w:p>
    <w:p w:rsidR="00255A61" w:rsidRDefault="00A02F97" w:rsidP="00255A61">
      <w:pPr>
        <w:pStyle w:val="ListParagraph"/>
        <w:widowControl w:val="0"/>
        <w:autoSpaceDE w:val="0"/>
        <w:autoSpaceDN w:val="0"/>
        <w:adjustRightInd w:val="0"/>
        <w:spacing w:after="0"/>
        <w:ind w:left="284" w:hanging="284"/>
        <w:contextualSpacing w:val="0"/>
        <w:jc w:val="both"/>
        <w:rPr>
          <w:rFonts w:ascii="Times New Roman" w:hAnsi="Times New Roman"/>
          <w:noProof/>
          <w:sz w:val="20"/>
          <w:szCs w:val="20"/>
        </w:rPr>
      </w:pPr>
      <w:r>
        <w:rPr>
          <w:rFonts w:ascii="Times New Roman" w:hAnsi="Times New Roman"/>
          <w:noProof/>
          <w:sz w:val="20"/>
          <w:szCs w:val="20"/>
        </w:rPr>
        <w:t>40.</w:t>
      </w:r>
      <w:r>
        <w:rPr>
          <w:rFonts w:ascii="Times New Roman" w:hAnsi="Times New Roman"/>
          <w:noProof/>
          <w:sz w:val="20"/>
          <w:szCs w:val="20"/>
        </w:rPr>
        <w:tab/>
      </w:r>
      <w:r w:rsidR="00EF3780" w:rsidRPr="008E6A1B">
        <w:rPr>
          <w:rFonts w:ascii="Times New Roman" w:hAnsi="Times New Roman"/>
          <w:noProof/>
          <w:sz w:val="20"/>
          <w:szCs w:val="20"/>
        </w:rPr>
        <w:t xml:space="preserve">Kårlund, A., Moor, U., Sandell, M. and Karjalainen, R. O. (2014). The impact of harvesting, storage and processing factors on health-promoting phytochemicals in berries and </w:t>
      </w:r>
      <w:r w:rsidR="00EF3780" w:rsidRPr="008E6A1B">
        <w:rPr>
          <w:rFonts w:ascii="Times New Roman" w:hAnsi="Times New Roman"/>
          <w:noProof/>
          <w:sz w:val="20"/>
          <w:szCs w:val="20"/>
        </w:rPr>
        <w:lastRenderedPageBreak/>
        <w:t xml:space="preserve">fruits. </w:t>
      </w:r>
      <w:r w:rsidR="00EF3780" w:rsidRPr="008E6A1B">
        <w:rPr>
          <w:rFonts w:ascii="Times New Roman" w:hAnsi="Times New Roman"/>
          <w:i/>
          <w:iCs/>
          <w:noProof/>
          <w:sz w:val="20"/>
          <w:szCs w:val="20"/>
        </w:rPr>
        <w:t>Processes</w:t>
      </w:r>
      <w:r w:rsidR="00EF3780" w:rsidRPr="008E6A1B">
        <w:rPr>
          <w:rFonts w:ascii="Times New Roman" w:hAnsi="Times New Roman"/>
          <w:noProof/>
          <w:sz w:val="20"/>
          <w:szCs w:val="20"/>
        </w:rPr>
        <w:t xml:space="preserve">, 2(3): 596-624. </w:t>
      </w:r>
    </w:p>
    <w:p w:rsidR="00255A61" w:rsidRDefault="00A02F97" w:rsidP="00255A61">
      <w:pPr>
        <w:pStyle w:val="ListParagraph"/>
        <w:widowControl w:val="0"/>
        <w:autoSpaceDE w:val="0"/>
        <w:autoSpaceDN w:val="0"/>
        <w:adjustRightInd w:val="0"/>
        <w:spacing w:after="0"/>
        <w:ind w:left="284" w:hanging="284"/>
        <w:contextualSpacing w:val="0"/>
        <w:jc w:val="both"/>
        <w:rPr>
          <w:rFonts w:ascii="Times New Roman" w:hAnsi="Times New Roman"/>
          <w:noProof/>
          <w:sz w:val="20"/>
          <w:szCs w:val="20"/>
        </w:rPr>
      </w:pPr>
      <w:r>
        <w:rPr>
          <w:rFonts w:ascii="Times New Roman" w:hAnsi="Times New Roman"/>
          <w:noProof/>
          <w:sz w:val="20"/>
          <w:szCs w:val="20"/>
        </w:rPr>
        <w:t>41.</w:t>
      </w:r>
      <w:r>
        <w:rPr>
          <w:rFonts w:ascii="Times New Roman" w:hAnsi="Times New Roman"/>
          <w:noProof/>
          <w:sz w:val="20"/>
          <w:szCs w:val="20"/>
        </w:rPr>
        <w:tab/>
      </w:r>
      <w:r w:rsidR="00EF3780" w:rsidRPr="008E6A1B">
        <w:rPr>
          <w:rFonts w:ascii="Times New Roman" w:hAnsi="Times New Roman"/>
          <w:noProof/>
          <w:sz w:val="20"/>
          <w:szCs w:val="20"/>
        </w:rPr>
        <w:t xml:space="preserve">Nisa, F. Z., Astuti, M., Haryana, S. M. and Murdiati, A. (2019). Antioxidant activity and total flavonoid of </w:t>
      </w:r>
      <w:r w:rsidR="00EF3780" w:rsidRPr="008E6A1B">
        <w:rPr>
          <w:rFonts w:ascii="Times New Roman" w:hAnsi="Times New Roman"/>
          <w:i/>
          <w:iCs/>
          <w:noProof/>
          <w:sz w:val="20"/>
          <w:szCs w:val="20"/>
        </w:rPr>
        <w:t>Carica papaya</w:t>
      </w:r>
      <w:r w:rsidR="00EF3780" w:rsidRPr="008E6A1B">
        <w:rPr>
          <w:rFonts w:ascii="Times New Roman" w:hAnsi="Times New Roman"/>
          <w:noProof/>
          <w:sz w:val="20"/>
          <w:szCs w:val="20"/>
        </w:rPr>
        <w:t xml:space="preserve"> L. leaves with different varieties, maturity and solvent. </w:t>
      </w:r>
      <w:r w:rsidR="00EF3780" w:rsidRPr="008E6A1B">
        <w:rPr>
          <w:rFonts w:ascii="Times New Roman" w:hAnsi="Times New Roman"/>
          <w:i/>
          <w:iCs/>
          <w:noProof/>
          <w:sz w:val="20"/>
          <w:szCs w:val="20"/>
        </w:rPr>
        <w:t>AgriTECH</w:t>
      </w:r>
      <w:r w:rsidR="00EF3780" w:rsidRPr="008E6A1B">
        <w:rPr>
          <w:rFonts w:ascii="Times New Roman" w:hAnsi="Times New Roman"/>
          <w:noProof/>
          <w:sz w:val="20"/>
          <w:szCs w:val="20"/>
        </w:rPr>
        <w:t xml:space="preserve">, 39(1): 54-59. </w:t>
      </w:r>
    </w:p>
    <w:p w:rsidR="000C72D4" w:rsidRDefault="00A02F97" w:rsidP="00255A61">
      <w:pPr>
        <w:pStyle w:val="ListParagraph"/>
        <w:widowControl w:val="0"/>
        <w:autoSpaceDE w:val="0"/>
        <w:autoSpaceDN w:val="0"/>
        <w:adjustRightInd w:val="0"/>
        <w:spacing w:after="0"/>
        <w:ind w:left="284" w:hanging="284"/>
        <w:contextualSpacing w:val="0"/>
        <w:jc w:val="both"/>
        <w:rPr>
          <w:rFonts w:ascii="Times New Roman" w:hAnsi="Times New Roman"/>
          <w:noProof/>
          <w:sz w:val="20"/>
          <w:szCs w:val="20"/>
        </w:rPr>
      </w:pPr>
      <w:r>
        <w:rPr>
          <w:rFonts w:ascii="Times New Roman" w:hAnsi="Times New Roman"/>
          <w:noProof/>
          <w:sz w:val="20"/>
          <w:szCs w:val="20"/>
        </w:rPr>
        <w:t>42.</w:t>
      </w:r>
      <w:r>
        <w:rPr>
          <w:rFonts w:ascii="Times New Roman" w:hAnsi="Times New Roman"/>
          <w:noProof/>
          <w:sz w:val="20"/>
          <w:szCs w:val="20"/>
        </w:rPr>
        <w:tab/>
      </w:r>
      <w:r w:rsidR="00EF3780" w:rsidRPr="008E6A1B">
        <w:rPr>
          <w:rFonts w:ascii="Times New Roman" w:hAnsi="Times New Roman"/>
          <w:noProof/>
          <w:sz w:val="20"/>
          <w:szCs w:val="20"/>
        </w:rPr>
        <w:t>Anju, D. (2017). Phytoeq</w:t>
      </w:r>
      <w:r w:rsidR="000C72D4">
        <w:rPr>
          <w:rFonts w:ascii="Times New Roman" w:hAnsi="Times New Roman"/>
          <w:noProof/>
          <w:sz w:val="20"/>
          <w:szCs w:val="20"/>
        </w:rPr>
        <w:t xml:space="preserve"> </w:t>
      </w:r>
      <w:r w:rsidR="000C72D4" w:rsidRPr="008E6A1B">
        <w:rPr>
          <w:rFonts w:ascii="Times New Roman" w:hAnsi="Times New Roman"/>
          <w:noProof/>
          <w:sz w:val="20"/>
          <w:szCs w:val="20"/>
        </w:rPr>
        <w:t xml:space="preserve">uivalence: A balanced perspective. </w:t>
      </w:r>
      <w:r w:rsidR="000C72D4" w:rsidRPr="008E6A1B">
        <w:rPr>
          <w:rFonts w:ascii="Times New Roman" w:hAnsi="Times New Roman"/>
          <w:i/>
          <w:iCs/>
          <w:noProof/>
          <w:sz w:val="20"/>
          <w:szCs w:val="20"/>
        </w:rPr>
        <w:t>Annals of Pharmacology and Pharmaceutics</w:t>
      </w:r>
      <w:r w:rsidR="000C72D4" w:rsidRPr="008E6A1B">
        <w:rPr>
          <w:rFonts w:ascii="Times New Roman" w:hAnsi="Times New Roman"/>
          <w:noProof/>
          <w:sz w:val="20"/>
          <w:szCs w:val="20"/>
        </w:rPr>
        <w:t xml:space="preserve">, 2(6): 2-6. </w:t>
      </w:r>
    </w:p>
    <w:p w:rsidR="000C72D4" w:rsidRDefault="000C72D4" w:rsidP="00681A2C">
      <w:pPr>
        <w:widowControl w:val="0"/>
        <w:autoSpaceDE w:val="0"/>
        <w:autoSpaceDN w:val="0"/>
        <w:adjustRightInd w:val="0"/>
        <w:spacing w:after="0"/>
        <w:ind w:left="360" w:hanging="360"/>
        <w:jc w:val="both"/>
        <w:rPr>
          <w:rFonts w:ascii="Times New Roman" w:hAnsi="Times New Roman"/>
          <w:noProof/>
          <w:sz w:val="20"/>
          <w:szCs w:val="20"/>
        </w:rPr>
        <w:sectPr w:rsidR="000C72D4" w:rsidSect="000C72D4">
          <w:type w:val="continuous"/>
          <w:pgSz w:w="12240" w:h="15840" w:code="1"/>
          <w:pgMar w:top="1800" w:right="1469" w:bottom="1699" w:left="1440" w:header="706" w:footer="706" w:gutter="0"/>
          <w:pgNumType w:start="448"/>
          <w:cols w:num="2" w:space="403"/>
          <w:docGrid w:linePitch="360"/>
        </w:sectPr>
      </w:pPr>
    </w:p>
    <w:p w:rsidR="00681A2C" w:rsidRPr="001B00EB" w:rsidRDefault="00681A2C" w:rsidP="00681A2C">
      <w:pPr>
        <w:widowControl w:val="0"/>
        <w:autoSpaceDE w:val="0"/>
        <w:autoSpaceDN w:val="0"/>
        <w:adjustRightInd w:val="0"/>
        <w:spacing w:after="0"/>
        <w:ind w:left="360" w:hanging="360"/>
        <w:jc w:val="both"/>
        <w:rPr>
          <w:rFonts w:ascii="Times New Roman" w:hAnsi="Times New Roman"/>
          <w:noProof/>
          <w:sz w:val="20"/>
          <w:szCs w:val="20"/>
        </w:rPr>
        <w:sectPr w:rsidR="00681A2C" w:rsidRPr="001B00EB" w:rsidSect="000C72D4">
          <w:type w:val="continuous"/>
          <w:pgSz w:w="12240" w:h="15840" w:code="1"/>
          <w:pgMar w:top="1800" w:right="1469" w:bottom="1699" w:left="1440" w:header="706" w:footer="706" w:gutter="0"/>
          <w:pgNumType w:start="448"/>
          <w:cols w:num="2" w:space="403"/>
          <w:docGrid w:linePitch="360"/>
        </w:sectPr>
      </w:pPr>
    </w:p>
    <w:p w:rsidR="00EF3780" w:rsidRPr="00681A2C" w:rsidRDefault="00EF3780" w:rsidP="00681A2C">
      <w:pPr>
        <w:widowControl w:val="0"/>
        <w:autoSpaceDE w:val="0"/>
        <w:autoSpaceDN w:val="0"/>
        <w:adjustRightInd w:val="0"/>
        <w:spacing w:after="0"/>
        <w:jc w:val="both"/>
        <w:rPr>
          <w:rFonts w:ascii="Times New Roman" w:hAnsi="Times New Roman"/>
          <w:noProof/>
          <w:sz w:val="20"/>
          <w:szCs w:val="20"/>
        </w:rPr>
      </w:pPr>
    </w:p>
    <w:p w:rsidR="00A74A7E" w:rsidRPr="007A738C" w:rsidRDefault="00DB1E60" w:rsidP="00EF3780">
      <w:pPr>
        <w:spacing w:after="0" w:line="240" w:lineRule="auto"/>
        <w:rPr>
          <w:rFonts w:ascii="Times New Roman" w:hAnsi="Times New Roman"/>
          <w:noProof/>
          <w:lang w:bidi="ar-SA"/>
        </w:rPr>
      </w:pPr>
      <w:r w:rsidRPr="00EF18A1">
        <w:rPr>
          <w:rFonts w:ascii="Times New Roman" w:hAnsi="Times New Roman"/>
          <w:b/>
          <w:bCs/>
          <w:sz w:val="20"/>
          <w:szCs w:val="20"/>
        </w:rPr>
        <w:fldChar w:fldCharType="end"/>
      </w:r>
    </w:p>
    <w:sectPr w:rsidR="00A74A7E" w:rsidRPr="007A738C" w:rsidSect="00A74A7E">
      <w:headerReference w:type="even" r:id="rId78"/>
      <w:headerReference w:type="default" r:id="rId79"/>
      <w:footerReference w:type="even" r:id="rId80"/>
      <w:footerReference w:type="default" r:id="rId81"/>
      <w:headerReference w:type="first" r:id="rId82"/>
      <w:footerReference w:type="first" r:id="rId83"/>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A61" w:rsidRDefault="00255A61" w:rsidP="00FB4C59">
      <w:pPr>
        <w:spacing w:after="0" w:line="240" w:lineRule="auto"/>
      </w:pPr>
      <w:r>
        <w:separator/>
      </w:r>
    </w:p>
  </w:endnote>
  <w:endnote w:type="continuationSeparator" w:id="0">
    <w:p w:rsidR="00255A61" w:rsidRDefault="00255A6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Pr="00D248D5" w:rsidRDefault="00255A61" w:rsidP="00EF3780">
    <w:pPr>
      <w:pStyle w:val="Footer"/>
      <w:jc w:val="right"/>
      <w:rPr>
        <w:lang w:val="en-MY"/>
      </w:rPr>
    </w:pPr>
    <w:r>
      <w:ptab w:relativeTo="margin" w:alignment="center" w:leader="none"/>
    </w:r>
    <w:r>
      <w:ptab w:relativeTo="margin" w:alignment="right" w:leader="none"/>
    </w:r>
    <w:r>
      <w:rPr>
        <w:lang w:val="en-MY"/>
      </w:rPr>
      <w:t>448</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Pr="008A5305" w:rsidRDefault="00255A61" w:rsidP="008A5305">
    <w:pPr>
      <w:pStyle w:val="Footer"/>
      <w:rPr>
        <w:rFonts w:ascii="Times New Roman" w:hAnsi="Times New Roman"/>
        <w:noProof/>
      </w:rPr>
    </w:pPr>
    <w:r>
      <w:rPr>
        <w:rFonts w:ascii="Times New Roman" w:hAnsi="Times New Roman"/>
      </w:rPr>
      <w:tab/>
    </w:r>
    <w:r>
      <w:rPr>
        <w:rFonts w:ascii="Times New Roman" w:hAnsi="Times New Roman"/>
      </w:rPr>
      <w:tab/>
      <w:t>0</w:t>
    </w:r>
  </w:p>
  <w:p w:rsidR="00255A61" w:rsidRPr="00C0756D" w:rsidRDefault="00255A61">
    <w:pPr>
      <w:pStyle w:val="Footer"/>
      <w:jc w:val="right"/>
      <w:rPr>
        <w:rFonts w:ascii="Times New Roman" w:hAnsi="Times New Roman"/>
      </w:rPr>
    </w:pPr>
  </w:p>
  <w:p w:rsidR="00255A61" w:rsidRDefault="00255A6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Pr="008A5305" w:rsidRDefault="00255A61">
    <w:pPr>
      <w:pStyle w:val="Footer"/>
      <w:rPr>
        <w:rFonts w:ascii="Times New Roman" w:hAnsi="Times New Roman"/>
        <w:noProof/>
      </w:rPr>
    </w:pPr>
    <w:r>
      <w:rPr>
        <w:rFonts w:ascii="Times New Roman" w:hAnsi="Times New Roman"/>
      </w:rPr>
      <w:t>1</w:t>
    </w:r>
  </w:p>
  <w:p w:rsidR="00255A61" w:rsidRPr="00C0756D" w:rsidRDefault="00255A61">
    <w:pPr>
      <w:pStyle w:val="Footer"/>
      <w:rPr>
        <w:rFonts w:ascii="Times New Roman" w:hAnsi="Times New Roman"/>
      </w:rPr>
    </w:pPr>
  </w:p>
  <w:p w:rsidR="00255A61" w:rsidRPr="004B43FF" w:rsidRDefault="00255A61">
    <w:pPr>
      <w:pStyle w:val="Footer"/>
      <w:rPr>
        <w:rFonts w:ascii="Times New Roman" w:hAnsi="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Footer"/>
    </w:pPr>
    <w:r w:rsidRPr="00355881">
      <w:rPr>
        <w:rFonts w:ascii="Times New Roman" w:hAnsi="Times New Roman"/>
      </w:rPr>
      <w:ptab w:relativeTo="margin" w:alignment="center" w:leader="none"/>
    </w:r>
    <w:r w:rsidRPr="00355881">
      <w:rPr>
        <w:rFonts w:ascii="Times New Roman" w:hAnsi="Times New Roman"/>
      </w:rPr>
      <w:ptab w:relativeTo="margin" w:alignment="right" w:leader="none"/>
    </w:r>
    <w:r w:rsidR="005947F7">
      <w:rPr>
        <w:rFonts w:ascii="Times New Roman" w:hAnsi="Times New Roman"/>
      </w:rPr>
      <w:t>457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Pr="004B43FF" w:rsidRDefault="005947F7">
    <w:pPr>
      <w:pStyle w:val="Footer"/>
      <w:rPr>
        <w:rFonts w:ascii="Times New Roman" w:hAnsi="Times New Roman"/>
      </w:rPr>
    </w:pPr>
    <w:r>
      <w:rPr>
        <w:rFonts w:ascii="Times New Roman" w:hAnsi="Times New Roman"/>
      </w:rPr>
      <w:t>458</w:t>
    </w:r>
    <w:r w:rsidR="00255A61" w:rsidRPr="001C277C">
      <w:rPr>
        <w:rFonts w:ascii="Times New Roman" w:hAnsi="Times New Roman"/>
      </w:rPr>
      <w:ptab w:relativeTo="margin" w:alignment="center" w:leader="none"/>
    </w:r>
    <w:r w:rsidR="00255A61" w:rsidRPr="001C277C">
      <w:rPr>
        <w:rFonts w:ascii="Times New Roman" w:hAnsi="Times New Roman"/>
      </w:rPr>
      <w:ptab w:relativeTo="margin" w:alignment="right" w:leader="none"/>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Footer"/>
    </w:pPr>
    <w:r w:rsidRPr="001C277C">
      <w:rPr>
        <w:rFonts w:ascii="Times New Roman" w:hAnsi="Times New Roman"/>
      </w:rPr>
      <w:ptab w:relativeTo="margin" w:alignment="center" w:leader="none"/>
    </w:r>
    <w:r w:rsidRPr="001C277C">
      <w:rPr>
        <w:rFonts w:ascii="Times New Roman" w:hAnsi="Times New Roman"/>
      </w:rPr>
      <w:ptab w:relativeTo="margin" w:alignment="right" w:leader="none"/>
    </w:r>
    <w:r w:rsidR="005947F7">
      <w:rPr>
        <w:rFonts w:ascii="Times New Roman" w:hAnsi="Times New Roman"/>
      </w:rPr>
      <w:t>459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Pr="004B43FF" w:rsidRDefault="005947F7">
    <w:pPr>
      <w:pStyle w:val="Footer"/>
      <w:rPr>
        <w:rFonts w:ascii="Times New Roman" w:hAnsi="Times New Roman"/>
      </w:rPr>
    </w:pPr>
    <w:r>
      <w:rPr>
        <w:rFonts w:ascii="Times New Roman" w:hAnsi="Times New Roman"/>
      </w:rPr>
      <w:t>460</w:t>
    </w:r>
    <w:r w:rsidR="00255A61" w:rsidRPr="001C277C">
      <w:rPr>
        <w:rFonts w:ascii="Times New Roman" w:hAnsi="Times New Roman"/>
      </w:rPr>
      <w:ptab w:relativeTo="margin" w:alignment="center" w:leader="none"/>
    </w:r>
    <w:r w:rsidR="00255A61" w:rsidRPr="001C277C">
      <w:rPr>
        <w:rFonts w:ascii="Times New Roman" w:hAnsi="Times New Roman"/>
      </w:rPr>
      <w:ptab w:relativeTo="margin" w:alignment="right" w:leader="none"/>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Footer"/>
    </w:pPr>
    <w:r>
      <w:ptab w:relativeTo="margin" w:alignment="center" w:leader="none"/>
    </w:r>
    <w:r>
      <w:ptab w:relativeTo="margin" w:alignment="right" w:leader="none"/>
    </w:r>
    <w:r w:rsidR="005947F7">
      <w:rPr>
        <w:lang w:val="en-MY"/>
      </w:rPr>
      <w:t>461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Pr="008A5305" w:rsidRDefault="00255A61">
    <w:pPr>
      <w:pStyle w:val="Footer"/>
      <w:rPr>
        <w:rFonts w:ascii="Times New Roman" w:hAnsi="Times New Roman"/>
        <w:noProof/>
      </w:rPr>
    </w:pPr>
  </w:p>
  <w:p w:rsidR="00255A61" w:rsidRPr="00C0756D" w:rsidRDefault="00255A61">
    <w:pPr>
      <w:pStyle w:val="Footer"/>
      <w:rPr>
        <w:rFonts w:ascii="Times New Roman" w:hAnsi="Times New Roman"/>
      </w:rPr>
    </w:pPr>
  </w:p>
  <w:p w:rsidR="00255A61" w:rsidRPr="004B43FF" w:rsidRDefault="00255A61">
    <w:pPr>
      <w:pStyle w:val="Footer"/>
      <w:rPr>
        <w:rFonts w:ascii="Times New Roman" w:hAnsi="Times New Roman"/>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A06" w:rsidRPr="004B43FF" w:rsidRDefault="005947F7">
    <w:pPr>
      <w:pStyle w:val="Footer"/>
      <w:rPr>
        <w:rFonts w:ascii="Times New Roman" w:hAnsi="Times New Roman"/>
      </w:rPr>
    </w:pPr>
    <w:r>
      <w:rPr>
        <w:rFonts w:ascii="Times New Roman" w:hAnsi="Times New Roman"/>
        <w:noProof/>
      </w:rPr>
      <w:t>462</w:t>
    </w:r>
    <w:r w:rsidR="009E5A06" w:rsidRPr="009E5A06">
      <w:rPr>
        <w:rFonts w:ascii="Times New Roman" w:hAnsi="Times New Roman"/>
        <w:noProof/>
      </w:rPr>
      <w:ptab w:relativeTo="margin" w:alignment="center" w:leader="none"/>
    </w:r>
    <w:r w:rsidR="009E5A06" w:rsidRPr="009E5A06">
      <w:rPr>
        <w:rFonts w:ascii="Times New Roman" w:hAnsi="Times New Roman"/>
        <w:noProof/>
      </w:rPr>
      <w:ptab w:relativeTo="margin" w:alignment="right" w:leader="none"/>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Footer"/>
    </w:pPr>
    <w:r w:rsidRPr="001B00EB">
      <w:ptab w:relativeTo="margin" w:alignment="center" w:leader="none"/>
    </w:r>
    <w:r w:rsidRPr="001B00EB">
      <w:ptab w:relativeTo="margin" w:alignment="right" w:leader="none"/>
    </w:r>
    <w:r w:rsidR="005947F7">
      <w:rPr>
        <w:lang w:val="en-MY"/>
      </w:rPr>
      <w:t>463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Pr="004B43FF" w:rsidRDefault="005947F7">
    <w:pPr>
      <w:pStyle w:val="Footer"/>
      <w:rPr>
        <w:rFonts w:ascii="Times New Roman" w:hAnsi="Times New Roman"/>
      </w:rPr>
    </w:pPr>
    <w:r w:rsidRPr="005947F7">
      <w:rPr>
        <w:rFonts w:ascii="Times New Roman" w:hAnsi="Times New Roman"/>
      </w:rPr>
      <w:ptab w:relativeTo="margin" w:alignment="center" w:leader="none"/>
    </w:r>
    <w:r w:rsidRPr="005947F7">
      <w:rPr>
        <w:rFonts w:ascii="Times New Roman" w:hAnsi="Times New Roman"/>
      </w:rPr>
      <w:ptab w:relativeTo="margin" w:alignment="right" w:leader="none"/>
    </w:r>
    <w:r>
      <w:rPr>
        <w:rFonts w:ascii="Times New Roman" w:hAnsi="Times New Roman"/>
      </w:rPr>
      <w:t>449</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Pr="008A5305" w:rsidRDefault="00255A61" w:rsidP="008A5305">
    <w:pPr>
      <w:pStyle w:val="Footer"/>
      <w:rPr>
        <w:rFonts w:ascii="Times New Roman" w:hAnsi="Times New Roman"/>
        <w:noProof/>
      </w:rPr>
    </w:pPr>
    <w:r>
      <w:rPr>
        <w:rFonts w:ascii="Times New Roman" w:hAnsi="Times New Roman"/>
      </w:rPr>
      <w:tab/>
    </w:r>
    <w:r>
      <w:rPr>
        <w:rFonts w:ascii="Times New Roman" w:hAnsi="Times New Roman"/>
      </w:rPr>
      <w:tab/>
    </w:r>
  </w:p>
  <w:p w:rsidR="00255A61" w:rsidRPr="00C0756D" w:rsidRDefault="00255A61">
    <w:pPr>
      <w:pStyle w:val="Footer"/>
      <w:jc w:val="right"/>
      <w:rPr>
        <w:rFonts w:ascii="Times New Roman" w:hAnsi="Times New Roman"/>
      </w:rPr>
    </w:pPr>
  </w:p>
  <w:p w:rsidR="00255A61" w:rsidRDefault="00255A61">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Pr="008A5305" w:rsidRDefault="00255A61">
    <w:pPr>
      <w:pStyle w:val="Footer"/>
      <w:rPr>
        <w:rFonts w:ascii="Times New Roman" w:hAnsi="Times New Roman"/>
        <w:noProof/>
      </w:rPr>
    </w:pPr>
    <w:r>
      <w:rPr>
        <w:rFonts w:ascii="Times New Roman" w:hAnsi="Times New Roman"/>
      </w:rPr>
      <w:t>1</w:t>
    </w:r>
  </w:p>
  <w:p w:rsidR="00255A61" w:rsidRPr="00C0756D" w:rsidRDefault="00255A61">
    <w:pPr>
      <w:pStyle w:val="Footer"/>
      <w:rPr>
        <w:rFonts w:ascii="Times New Roman" w:hAnsi="Times New Roman"/>
      </w:rPr>
    </w:pPr>
  </w:p>
  <w:p w:rsidR="00255A61" w:rsidRPr="004B43FF" w:rsidRDefault="00255A61">
    <w:pPr>
      <w:pStyle w:val="Footer"/>
      <w:rPr>
        <w:rFonts w:ascii="Times New Roman" w:hAnsi="Times New Roman"/>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Pr="004B43FF" w:rsidRDefault="005947F7">
    <w:pPr>
      <w:pStyle w:val="Footer"/>
      <w:rPr>
        <w:rFonts w:ascii="Times New Roman" w:hAnsi="Times New Roman"/>
      </w:rPr>
    </w:pPr>
    <w:r>
      <w:rPr>
        <w:rFonts w:ascii="Times New Roman" w:hAnsi="Times New Roman"/>
        <w:noProof/>
      </w:rPr>
      <w:t>450</w:t>
    </w:r>
    <w:r w:rsidR="00255A61" w:rsidRPr="00681A2C">
      <w:rPr>
        <w:rFonts w:ascii="Times New Roman" w:hAnsi="Times New Roman"/>
        <w:noProof/>
      </w:rPr>
      <w:ptab w:relativeTo="margin" w:alignment="center" w:leader="none"/>
    </w:r>
    <w:r w:rsidR="00255A61" w:rsidRPr="00681A2C">
      <w:rPr>
        <w:rFonts w:ascii="Times New Roman" w:hAnsi="Times New Roman"/>
        <w:noProof/>
      </w:rP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Footer"/>
    </w:pPr>
    <w:r w:rsidRPr="00355881">
      <w:rPr>
        <w:rFonts w:ascii="Times New Roman" w:hAnsi="Times New Roman"/>
      </w:rPr>
      <w:ptab w:relativeTo="margin" w:alignment="center" w:leader="none"/>
    </w:r>
    <w:r w:rsidRPr="00355881">
      <w:rPr>
        <w:rFonts w:ascii="Times New Roman" w:hAnsi="Times New Roman"/>
      </w:rPr>
      <w:ptab w:relativeTo="margin" w:alignment="right" w:leader="none"/>
    </w:r>
    <w:r w:rsidR="005947F7">
      <w:rPr>
        <w:rFonts w:ascii="Times New Roman" w:hAnsi="Times New Roman"/>
      </w:rPr>
      <w:t>451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Pr="004B43FF" w:rsidRDefault="005947F7">
    <w:pPr>
      <w:pStyle w:val="Footer"/>
      <w:rPr>
        <w:rFonts w:ascii="Times New Roman" w:hAnsi="Times New Roman"/>
      </w:rPr>
    </w:pPr>
    <w:r>
      <w:rPr>
        <w:rFonts w:ascii="Times New Roman" w:hAnsi="Times New Roman"/>
      </w:rPr>
      <w:t>452</w:t>
    </w:r>
    <w:r w:rsidR="00255A61" w:rsidRPr="00355881">
      <w:rPr>
        <w:rFonts w:ascii="Times New Roman" w:hAnsi="Times New Roman"/>
      </w:rPr>
      <w:ptab w:relativeTo="margin" w:alignment="center" w:leader="none"/>
    </w:r>
    <w:r w:rsidR="00255A61" w:rsidRPr="00355881">
      <w:rPr>
        <w:rFonts w:ascii="Times New Roman" w:hAnsi="Times New Roman"/>
      </w:rPr>
      <w:ptab w:relativeTo="margin" w:alignment="right" w:leader="none"/>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Footer"/>
    </w:pPr>
    <w:r w:rsidRPr="00355881">
      <w:rPr>
        <w:rFonts w:ascii="Times New Roman" w:hAnsi="Times New Roman"/>
      </w:rPr>
      <w:ptab w:relativeTo="margin" w:alignment="center" w:leader="none"/>
    </w:r>
    <w:r w:rsidRPr="00355881">
      <w:rPr>
        <w:rFonts w:ascii="Times New Roman" w:hAnsi="Times New Roman"/>
      </w:rPr>
      <w:ptab w:relativeTo="margin" w:alignment="right" w:leader="none"/>
    </w:r>
    <w:r w:rsidR="005947F7">
      <w:rPr>
        <w:rFonts w:ascii="Times New Roman" w:hAnsi="Times New Roman"/>
      </w:rPr>
      <w:t>453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Pr="004B43FF" w:rsidRDefault="005947F7">
    <w:pPr>
      <w:pStyle w:val="Footer"/>
      <w:rPr>
        <w:rFonts w:ascii="Times New Roman" w:hAnsi="Times New Roman"/>
      </w:rPr>
    </w:pPr>
    <w:r>
      <w:rPr>
        <w:rFonts w:ascii="Times New Roman" w:hAnsi="Times New Roman"/>
      </w:rPr>
      <w:t>454</w:t>
    </w:r>
    <w:r w:rsidR="00255A61" w:rsidRPr="00355881">
      <w:rPr>
        <w:rFonts w:ascii="Times New Roman" w:hAnsi="Times New Roman"/>
      </w:rPr>
      <w:ptab w:relativeTo="margin" w:alignment="center" w:leader="none"/>
    </w:r>
    <w:r w:rsidR="00255A61" w:rsidRPr="00355881">
      <w:rPr>
        <w:rFonts w:ascii="Times New Roman" w:hAnsi="Times New Roman"/>
      </w:rPr>
      <w:ptab w:relativeTo="margin" w:alignment="right" w:leader="none"/>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Footer"/>
    </w:pPr>
    <w:r w:rsidRPr="00355881">
      <w:rPr>
        <w:rFonts w:ascii="Times New Roman" w:hAnsi="Times New Roman"/>
      </w:rPr>
      <w:ptab w:relativeTo="margin" w:alignment="center" w:leader="none"/>
    </w:r>
    <w:r w:rsidRPr="00355881">
      <w:rPr>
        <w:rFonts w:ascii="Times New Roman" w:hAnsi="Times New Roman"/>
      </w:rPr>
      <w:ptab w:relativeTo="margin" w:alignment="right" w:leader="none"/>
    </w:r>
    <w:r w:rsidR="005947F7">
      <w:rPr>
        <w:rFonts w:ascii="Times New Roman" w:hAnsi="Times New Roman"/>
      </w:rPr>
      <w:t>455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Pr="004B43FF" w:rsidRDefault="005947F7">
    <w:pPr>
      <w:pStyle w:val="Footer"/>
      <w:rPr>
        <w:rFonts w:ascii="Times New Roman" w:hAnsi="Times New Roman"/>
      </w:rPr>
    </w:pPr>
    <w:r>
      <w:rPr>
        <w:rFonts w:ascii="Times New Roman" w:hAnsi="Times New Roman"/>
      </w:rPr>
      <w:t>456</w:t>
    </w:r>
    <w:r w:rsidR="00255A61" w:rsidRPr="00355881">
      <w:rPr>
        <w:rFonts w:ascii="Times New Roman" w:hAnsi="Times New Roman"/>
      </w:rPr>
      <w:ptab w:relativeTo="margin" w:alignment="center" w:leader="none"/>
    </w:r>
    <w:r w:rsidR="00255A61" w:rsidRPr="00355881">
      <w:rPr>
        <w:rFonts w:ascii="Times New Roman" w:hAnsi="Times New Roman"/>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A61" w:rsidRDefault="00255A61" w:rsidP="00FB4C59">
      <w:pPr>
        <w:spacing w:after="0" w:line="240" w:lineRule="auto"/>
      </w:pPr>
      <w:r>
        <w:separator/>
      </w:r>
    </w:p>
  </w:footnote>
  <w:footnote w:type="continuationSeparator" w:id="0">
    <w:p w:rsidR="00255A61" w:rsidRDefault="00255A6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rsidP="00EF3780">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5947F7">
      <w:rPr>
        <w:rFonts w:ascii="Times New Roman" w:hAnsi="Times New Roman"/>
        <w:i/>
      </w:rPr>
      <w:t>449 - 463</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rsidP="005F4B75">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5947F7">
      <w:rPr>
        <w:rFonts w:ascii="Times New Roman" w:hAnsi="Times New Roman"/>
        <w:i/>
      </w:rPr>
      <w:t>449 - 463</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rsidP="005F4B75">
    <w:pPr>
      <w:pStyle w:val="Header"/>
      <w:ind w:left="1800" w:hanging="1800"/>
    </w:pPr>
    <w:r>
      <w:rPr>
        <w:rFonts w:ascii="Times New Roman" w:hAnsi="Times New Roman"/>
      </w:rPr>
      <w:t>Sierra-Campos et al</w:t>
    </w:r>
    <w:r w:rsidRPr="00F04251">
      <w:rPr>
        <w:rFonts w:ascii="Times New Roman" w:hAnsi="Times New Roman"/>
      </w:rPr>
      <w:t xml:space="preserve">:   </w:t>
    </w:r>
    <w:r>
      <w:rPr>
        <w:rFonts w:ascii="Times New Roman" w:hAnsi="Times New Roman"/>
      </w:rPr>
      <w:tab/>
    </w:r>
    <w:r w:rsidRPr="00F04251">
      <w:rPr>
        <w:rFonts w:ascii="Times New Roman" w:hAnsi="Times New Roman"/>
      </w:rPr>
      <w:t xml:space="preserve">STANDARIZATION BASED ON CHEMICAL MARKERS OF </w:t>
    </w:r>
    <w:r w:rsidRPr="00F04251">
      <w:rPr>
        <w:rFonts w:ascii="Times New Roman" w:hAnsi="Times New Roman"/>
        <w:i/>
      </w:rPr>
      <w:t>Moringa oleifera</w:t>
    </w:r>
    <w:r w:rsidRPr="00F04251">
      <w:rPr>
        <w:rFonts w:ascii="Times New Roman" w:hAnsi="Times New Roman"/>
      </w:rPr>
      <w:t xml:space="preserve"> HERBAL PRODUCTS USING BIOAUTOGRAPHY ASSAY, THIN LAYER CHROMATOGRAPHY AND HIGH PERFORMANCE LIQUID CHROMATOGRAPHY-DIODE ARRAY DETECTOR</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rsidP="005F4B75">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5947F7">
      <w:rPr>
        <w:rFonts w:ascii="Times New Roman" w:hAnsi="Times New Roman"/>
        <w:i/>
      </w:rPr>
      <w:t>449 - 463</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7F7" w:rsidRDefault="005947F7" w:rsidP="005947F7">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Pr>
        <w:rFonts w:ascii="Times New Roman" w:hAnsi="Times New Roman"/>
        <w:i/>
      </w:rPr>
      <w:t>449 - 463</w:t>
    </w:r>
  </w:p>
  <w:p w:rsidR="00255A61" w:rsidRPr="002373A8" w:rsidRDefault="00255A61" w:rsidP="005947F7">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rsidP="005F4B75">
    <w:pPr>
      <w:pStyle w:val="Header"/>
      <w:ind w:left="1800" w:hanging="1800"/>
    </w:pPr>
    <w:r>
      <w:rPr>
        <w:rFonts w:ascii="Times New Roman" w:hAnsi="Times New Roman"/>
      </w:rPr>
      <w:t>Sierra-Campos et al</w:t>
    </w:r>
    <w:r w:rsidRPr="00F04251">
      <w:rPr>
        <w:rFonts w:ascii="Times New Roman" w:hAnsi="Times New Roman"/>
      </w:rPr>
      <w:t xml:space="preserve">:   </w:t>
    </w:r>
    <w:r>
      <w:rPr>
        <w:rFonts w:ascii="Times New Roman" w:hAnsi="Times New Roman"/>
      </w:rPr>
      <w:tab/>
    </w:r>
    <w:r w:rsidRPr="00F04251">
      <w:rPr>
        <w:rFonts w:ascii="Times New Roman" w:hAnsi="Times New Roman"/>
      </w:rPr>
      <w:t xml:space="preserve">STANDARIZATION BASED ON CHEMICAL MARKERS OF </w:t>
    </w:r>
    <w:r w:rsidRPr="00F04251">
      <w:rPr>
        <w:rFonts w:ascii="Times New Roman" w:hAnsi="Times New Roman"/>
        <w:i/>
      </w:rPr>
      <w:t>Moringa oleifera</w:t>
    </w:r>
    <w:r w:rsidRPr="00F04251">
      <w:rPr>
        <w:rFonts w:ascii="Times New Roman" w:hAnsi="Times New Roman"/>
      </w:rPr>
      <w:t xml:space="preserve"> HERBAL PRODUCTS USING BIOAUTOGRAPHY ASSAY, THIN LAYER CHROMATOGRAPHY AND HIGH PERFORMANCE LIQUID CHROMATOGRAPHY-DIODE ARRAY DETECTOR</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rsidP="005F4B75">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5947F7">
      <w:rPr>
        <w:rFonts w:ascii="Times New Roman" w:hAnsi="Times New Roman"/>
        <w:i/>
      </w:rPr>
      <w:t>449 - 463</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7F7" w:rsidRPr="002373A8" w:rsidRDefault="005947F7" w:rsidP="005947F7">
    <w:pPr>
      <w:pStyle w:val="Header"/>
      <w:ind w:left="1800" w:hanging="1800"/>
    </w:pPr>
    <w:r>
      <w:rPr>
        <w:rFonts w:ascii="Times New Roman" w:hAnsi="Times New Roman"/>
      </w:rPr>
      <w:t>Sierra-Campos et al</w:t>
    </w:r>
    <w:r w:rsidRPr="00F04251">
      <w:rPr>
        <w:rFonts w:ascii="Times New Roman" w:hAnsi="Times New Roman"/>
      </w:rPr>
      <w:t xml:space="preserve">:   </w:t>
    </w:r>
    <w:r>
      <w:rPr>
        <w:rFonts w:ascii="Times New Roman" w:hAnsi="Times New Roman"/>
      </w:rPr>
      <w:tab/>
    </w:r>
    <w:r w:rsidRPr="00F04251">
      <w:rPr>
        <w:rFonts w:ascii="Times New Roman" w:hAnsi="Times New Roman"/>
      </w:rPr>
      <w:t xml:space="preserve">STANDARIZATION BASED ON CHEMICAL MARKERS OF </w:t>
    </w:r>
    <w:r w:rsidRPr="00F04251">
      <w:rPr>
        <w:rFonts w:ascii="Times New Roman" w:hAnsi="Times New Roman"/>
        <w:i/>
      </w:rPr>
      <w:t>Moringa oleifera</w:t>
    </w:r>
    <w:r w:rsidRPr="00F04251">
      <w:rPr>
        <w:rFonts w:ascii="Times New Roman" w:hAnsi="Times New Roman"/>
      </w:rPr>
      <w:t xml:space="preserve"> HERBAL PRODUCTS USING BIOAUTOGRAPHY ASSAY, THIN LAYER CHROMATOGRAPHY AND HIGH PERFORMANCE LIQUID CHROMATOGRAPHY-DIODE ARRAY DETECTOR</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rsidP="005F4B75">
    <w:pPr>
      <w:pStyle w:val="Header"/>
      <w:ind w:left="1800" w:hanging="1800"/>
    </w:pPr>
    <w:r>
      <w:rPr>
        <w:rFonts w:ascii="Times New Roman" w:hAnsi="Times New Roman"/>
      </w:rPr>
      <w:t>Sierra-Campos et al</w:t>
    </w:r>
    <w:r w:rsidRPr="00F04251">
      <w:rPr>
        <w:rFonts w:ascii="Times New Roman" w:hAnsi="Times New Roman"/>
      </w:rPr>
      <w:t xml:space="preserve">:   </w:t>
    </w:r>
    <w:r>
      <w:rPr>
        <w:rFonts w:ascii="Times New Roman" w:hAnsi="Times New Roman"/>
      </w:rPr>
      <w:tab/>
    </w:r>
    <w:r w:rsidRPr="00F04251">
      <w:rPr>
        <w:rFonts w:ascii="Times New Roman" w:hAnsi="Times New Roman"/>
      </w:rPr>
      <w:t xml:space="preserve">STANDARIZATION BASED ON CHEMICAL MARKERS OF </w:t>
    </w:r>
    <w:r w:rsidRPr="00F04251">
      <w:rPr>
        <w:rFonts w:ascii="Times New Roman" w:hAnsi="Times New Roman"/>
        <w:i/>
      </w:rPr>
      <w:t>Moringa oleifera</w:t>
    </w:r>
    <w:r w:rsidRPr="00F04251">
      <w:rPr>
        <w:rFonts w:ascii="Times New Roman" w:hAnsi="Times New Roman"/>
      </w:rPr>
      <w:t xml:space="preserve"> HERBAL PRODUCTS USING BIOAUTOGRAPHY ASSAY, THIN LAYER CHROMATOGRAPHY AND HIGH PERFORMANCE LIQUID CHROMATOGRAPHY-DIODE ARRAY DETECTOR</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rsidP="005F4B75">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5947F7">
      <w:rPr>
        <w:rFonts w:ascii="Times New Roman" w:hAnsi="Times New Roman"/>
        <w:i/>
      </w:rPr>
      <w:t>449 - 463</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rsidP="005F4B75">
    <w:pPr>
      <w:pStyle w:val="Header"/>
      <w:ind w:left="1800" w:hanging="1800"/>
    </w:pPr>
    <w:r>
      <w:rPr>
        <w:rFonts w:ascii="Times New Roman" w:hAnsi="Times New Roman"/>
      </w:rPr>
      <w:t>Sierra-Campos et al</w:t>
    </w:r>
    <w:r w:rsidRPr="00F04251">
      <w:rPr>
        <w:rFonts w:ascii="Times New Roman" w:hAnsi="Times New Roman"/>
      </w:rPr>
      <w:t xml:space="preserve">:   </w:t>
    </w:r>
    <w:r>
      <w:rPr>
        <w:rFonts w:ascii="Times New Roman" w:hAnsi="Times New Roman"/>
      </w:rPr>
      <w:tab/>
    </w:r>
    <w:r w:rsidRPr="00F04251">
      <w:rPr>
        <w:rFonts w:ascii="Times New Roman" w:hAnsi="Times New Roman"/>
      </w:rPr>
      <w:t xml:space="preserve">STANDARIZATION BASED ON CHEMICAL MARKERS OF </w:t>
    </w:r>
    <w:r w:rsidRPr="00F04251">
      <w:rPr>
        <w:rFonts w:ascii="Times New Roman" w:hAnsi="Times New Roman"/>
        <w:i/>
      </w:rPr>
      <w:t>Moringa oleifera</w:t>
    </w:r>
    <w:r w:rsidRPr="00F04251">
      <w:rPr>
        <w:rFonts w:ascii="Times New Roman" w:hAnsi="Times New Roman"/>
      </w:rPr>
      <w:t xml:space="preserve"> HERBAL PRODUCTS USING BIOAUTOGRAPHY ASSAY, THIN LAYER CHROMATOGRAPHY AND HIGH PERFORMANCE LIQUID CHROMATOGRAPHY-DIODE ARRAY DETECTOR</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rsidP="005F4B75">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5947F7">
      <w:rPr>
        <w:rFonts w:ascii="Times New Roman" w:hAnsi="Times New Roman"/>
        <w:i/>
      </w:rPr>
      <w:t>449 - 463</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rsidP="005F4B75">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5947F7">
      <w:rPr>
        <w:rFonts w:ascii="Times New Roman" w:hAnsi="Times New Roman"/>
        <w:i/>
      </w:rPr>
      <w:t>449 - 463</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9E5A06" w:rsidP="009E5A06">
    <w:pPr>
      <w:pStyle w:val="Header"/>
      <w:ind w:left="1800" w:hanging="1800"/>
    </w:pPr>
    <w:r>
      <w:rPr>
        <w:rFonts w:ascii="Times New Roman" w:hAnsi="Times New Roman"/>
      </w:rPr>
      <w:t>Sierra-Campos et al</w:t>
    </w:r>
    <w:r w:rsidRPr="00F04251">
      <w:rPr>
        <w:rFonts w:ascii="Times New Roman" w:hAnsi="Times New Roman"/>
      </w:rPr>
      <w:t xml:space="preserve">:   </w:t>
    </w:r>
    <w:r>
      <w:rPr>
        <w:rFonts w:ascii="Times New Roman" w:hAnsi="Times New Roman"/>
      </w:rPr>
      <w:tab/>
    </w:r>
    <w:r w:rsidRPr="00F04251">
      <w:rPr>
        <w:rFonts w:ascii="Times New Roman" w:hAnsi="Times New Roman"/>
      </w:rPr>
      <w:t xml:space="preserve">STANDARIZATION BASED ON CHEMICAL MARKERS OF </w:t>
    </w:r>
    <w:r w:rsidRPr="00F04251">
      <w:rPr>
        <w:rFonts w:ascii="Times New Roman" w:hAnsi="Times New Roman"/>
        <w:i/>
      </w:rPr>
      <w:t>Moringa oleifera</w:t>
    </w:r>
    <w:r w:rsidRPr="00F04251">
      <w:rPr>
        <w:rFonts w:ascii="Times New Roman" w:hAnsi="Times New Roman"/>
      </w:rPr>
      <w:t xml:space="preserve"> HERBAL PRODUCTS USING BIOAUTOGRAPHY ASSAY, THIN LAYER CHROMATOGRAPHY AND HIGH PERFORMANCE LIQUID CHROMATOGRAPHY-DIODE ARRAY DETECTOR</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rsidP="005F4B75">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5947F7">
      <w:rPr>
        <w:rFonts w:ascii="Times New Roman" w:hAnsi="Times New Roman"/>
        <w:i/>
      </w:rPr>
      <w:t>449 - 463</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Pr="00B75BF6" w:rsidRDefault="00255A61" w:rsidP="008E6968">
    <w:pPr>
      <w:pStyle w:val="Header"/>
      <w:rPr>
        <w:rFonts w:ascii="Times New Roman" w:hAnsi="Times New Roman"/>
      </w:rPr>
    </w:pPr>
    <w:r>
      <w:rPr>
        <w:rFonts w:ascii="Times New Roman" w:hAnsi="Times New Roman"/>
      </w:rPr>
      <w:t>Author(s):   TITLE IN ENGLISH</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rsidP="005F4B75">
    <w:pPr>
      <w:pStyle w:val="Header"/>
      <w:ind w:left="1800" w:hanging="1800"/>
    </w:pPr>
    <w:r>
      <w:rPr>
        <w:rFonts w:ascii="Times New Roman" w:hAnsi="Times New Roman"/>
      </w:rPr>
      <w:t>Sierra-Campos et al</w:t>
    </w:r>
    <w:r w:rsidRPr="00F04251">
      <w:rPr>
        <w:rFonts w:ascii="Times New Roman" w:hAnsi="Times New Roman"/>
      </w:rPr>
      <w:t xml:space="preserve">:   </w:t>
    </w:r>
    <w:r>
      <w:rPr>
        <w:rFonts w:ascii="Times New Roman" w:hAnsi="Times New Roman"/>
      </w:rPr>
      <w:tab/>
    </w:r>
    <w:r w:rsidRPr="00F04251">
      <w:rPr>
        <w:rFonts w:ascii="Times New Roman" w:hAnsi="Times New Roman"/>
      </w:rPr>
      <w:t xml:space="preserve">STANDARIZATION BASED ON CHEMICAL MARKERS OF </w:t>
    </w:r>
    <w:r w:rsidRPr="00F04251">
      <w:rPr>
        <w:rFonts w:ascii="Times New Roman" w:hAnsi="Times New Roman"/>
        <w:i/>
      </w:rPr>
      <w:t>Moringa oleifera</w:t>
    </w:r>
    <w:r w:rsidRPr="00F04251">
      <w:rPr>
        <w:rFonts w:ascii="Times New Roman" w:hAnsi="Times New Roman"/>
      </w:rPr>
      <w:t xml:space="preserve"> HERBAL PRODUCTS USING BIOAUTOGRAPHY ASSAY, THIN LAYER CHROMATOGRAPHY AND HIGH PERFORMANCE LIQUID CHROMATOGRAPHY-DIODE ARRAY DETECTOR</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61" w:rsidRDefault="00255A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B3DBA"/>
    <w:multiLevelType w:val="hybridMultilevel"/>
    <w:tmpl w:val="50F05DEA"/>
    <w:lvl w:ilvl="0" w:tplc="0409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2"/>
  </w:compat>
  <w:rsids>
    <w:rsidRoot w:val="008B470E"/>
    <w:rsid w:val="000029F0"/>
    <w:rsid w:val="000044E1"/>
    <w:rsid w:val="000063DA"/>
    <w:rsid w:val="00006EBC"/>
    <w:rsid w:val="00010F97"/>
    <w:rsid w:val="00016385"/>
    <w:rsid w:val="00022C54"/>
    <w:rsid w:val="00070690"/>
    <w:rsid w:val="00084936"/>
    <w:rsid w:val="000B5911"/>
    <w:rsid w:val="000C49FF"/>
    <w:rsid w:val="000C5261"/>
    <w:rsid w:val="000C6F45"/>
    <w:rsid w:val="000C72D4"/>
    <w:rsid w:val="000E07DE"/>
    <w:rsid w:val="000E5AF1"/>
    <w:rsid w:val="000F77DA"/>
    <w:rsid w:val="001068E8"/>
    <w:rsid w:val="00117BCD"/>
    <w:rsid w:val="001A411B"/>
    <w:rsid w:val="001D035A"/>
    <w:rsid w:val="001D3855"/>
    <w:rsid w:val="001D6F2C"/>
    <w:rsid w:val="001F72B9"/>
    <w:rsid w:val="002004F5"/>
    <w:rsid w:val="00221D39"/>
    <w:rsid w:val="002359BD"/>
    <w:rsid w:val="00255A61"/>
    <w:rsid w:val="002752F0"/>
    <w:rsid w:val="002867F0"/>
    <w:rsid w:val="0029079C"/>
    <w:rsid w:val="002B188F"/>
    <w:rsid w:val="002B3BD8"/>
    <w:rsid w:val="002F3F91"/>
    <w:rsid w:val="00304767"/>
    <w:rsid w:val="00304B34"/>
    <w:rsid w:val="00312C0E"/>
    <w:rsid w:val="00316771"/>
    <w:rsid w:val="00345738"/>
    <w:rsid w:val="00361BAF"/>
    <w:rsid w:val="00367D1F"/>
    <w:rsid w:val="00373A9B"/>
    <w:rsid w:val="0038323C"/>
    <w:rsid w:val="00383F26"/>
    <w:rsid w:val="0039005B"/>
    <w:rsid w:val="003B0AC0"/>
    <w:rsid w:val="003D585B"/>
    <w:rsid w:val="003D6F56"/>
    <w:rsid w:val="003E7DA6"/>
    <w:rsid w:val="003F12FF"/>
    <w:rsid w:val="00420074"/>
    <w:rsid w:val="004760D4"/>
    <w:rsid w:val="00494C46"/>
    <w:rsid w:val="004A12DD"/>
    <w:rsid w:val="004B43FF"/>
    <w:rsid w:val="00502641"/>
    <w:rsid w:val="00534441"/>
    <w:rsid w:val="00545363"/>
    <w:rsid w:val="00567D9E"/>
    <w:rsid w:val="00583C85"/>
    <w:rsid w:val="00584156"/>
    <w:rsid w:val="005947F7"/>
    <w:rsid w:val="005C6768"/>
    <w:rsid w:val="005F2C9C"/>
    <w:rsid w:val="005F4B75"/>
    <w:rsid w:val="00624C7C"/>
    <w:rsid w:val="00634C25"/>
    <w:rsid w:val="006416AB"/>
    <w:rsid w:val="00672075"/>
    <w:rsid w:val="006768E9"/>
    <w:rsid w:val="00681A2C"/>
    <w:rsid w:val="00687982"/>
    <w:rsid w:val="00695D0E"/>
    <w:rsid w:val="006A3A0F"/>
    <w:rsid w:val="006B3EC8"/>
    <w:rsid w:val="006D695E"/>
    <w:rsid w:val="006E2FA1"/>
    <w:rsid w:val="00725A6A"/>
    <w:rsid w:val="00730CB3"/>
    <w:rsid w:val="007336BC"/>
    <w:rsid w:val="00735444"/>
    <w:rsid w:val="007402DA"/>
    <w:rsid w:val="007703FE"/>
    <w:rsid w:val="007859BE"/>
    <w:rsid w:val="007943F3"/>
    <w:rsid w:val="007A4DFB"/>
    <w:rsid w:val="007A738C"/>
    <w:rsid w:val="007B1349"/>
    <w:rsid w:val="007E25BD"/>
    <w:rsid w:val="007F4ECC"/>
    <w:rsid w:val="00801E18"/>
    <w:rsid w:val="00802C35"/>
    <w:rsid w:val="0082181A"/>
    <w:rsid w:val="0086622B"/>
    <w:rsid w:val="008A5305"/>
    <w:rsid w:val="008B02C7"/>
    <w:rsid w:val="008B4302"/>
    <w:rsid w:val="008B470E"/>
    <w:rsid w:val="008C14D6"/>
    <w:rsid w:val="008E1211"/>
    <w:rsid w:val="008E5BBF"/>
    <w:rsid w:val="008E6968"/>
    <w:rsid w:val="008F2DC2"/>
    <w:rsid w:val="0090462D"/>
    <w:rsid w:val="009110FB"/>
    <w:rsid w:val="00917637"/>
    <w:rsid w:val="00992776"/>
    <w:rsid w:val="009E5A06"/>
    <w:rsid w:val="00A02F97"/>
    <w:rsid w:val="00A14DB9"/>
    <w:rsid w:val="00A4762A"/>
    <w:rsid w:val="00A74A7E"/>
    <w:rsid w:val="00A87399"/>
    <w:rsid w:val="00AA1687"/>
    <w:rsid w:val="00AD1B8A"/>
    <w:rsid w:val="00AD76AF"/>
    <w:rsid w:val="00AE713F"/>
    <w:rsid w:val="00AF7EA9"/>
    <w:rsid w:val="00B00E0A"/>
    <w:rsid w:val="00B1121C"/>
    <w:rsid w:val="00B25B65"/>
    <w:rsid w:val="00B2770A"/>
    <w:rsid w:val="00B314AD"/>
    <w:rsid w:val="00B36193"/>
    <w:rsid w:val="00B7255A"/>
    <w:rsid w:val="00B75BF6"/>
    <w:rsid w:val="00BA1F7B"/>
    <w:rsid w:val="00BB58AF"/>
    <w:rsid w:val="00BD2480"/>
    <w:rsid w:val="00BE2D36"/>
    <w:rsid w:val="00BE7C30"/>
    <w:rsid w:val="00C055BF"/>
    <w:rsid w:val="00C0756D"/>
    <w:rsid w:val="00C2226A"/>
    <w:rsid w:val="00C7166E"/>
    <w:rsid w:val="00C80273"/>
    <w:rsid w:val="00C943DD"/>
    <w:rsid w:val="00C94D92"/>
    <w:rsid w:val="00C97340"/>
    <w:rsid w:val="00CA513F"/>
    <w:rsid w:val="00CC6D67"/>
    <w:rsid w:val="00CD41CA"/>
    <w:rsid w:val="00CE7341"/>
    <w:rsid w:val="00CF05FF"/>
    <w:rsid w:val="00D248D5"/>
    <w:rsid w:val="00D33D1A"/>
    <w:rsid w:val="00D340BB"/>
    <w:rsid w:val="00D505D5"/>
    <w:rsid w:val="00D63C28"/>
    <w:rsid w:val="00D75B35"/>
    <w:rsid w:val="00D76E09"/>
    <w:rsid w:val="00D87A99"/>
    <w:rsid w:val="00D9736F"/>
    <w:rsid w:val="00D97773"/>
    <w:rsid w:val="00D9792A"/>
    <w:rsid w:val="00DB1E60"/>
    <w:rsid w:val="00DD377F"/>
    <w:rsid w:val="00E229C4"/>
    <w:rsid w:val="00E25547"/>
    <w:rsid w:val="00E2773B"/>
    <w:rsid w:val="00E3287E"/>
    <w:rsid w:val="00E42EBF"/>
    <w:rsid w:val="00E66197"/>
    <w:rsid w:val="00EB5BA5"/>
    <w:rsid w:val="00EF3780"/>
    <w:rsid w:val="00EF4195"/>
    <w:rsid w:val="00F202C3"/>
    <w:rsid w:val="00F23D94"/>
    <w:rsid w:val="00F31093"/>
    <w:rsid w:val="00F3283E"/>
    <w:rsid w:val="00F412AF"/>
    <w:rsid w:val="00F43667"/>
    <w:rsid w:val="00F447A7"/>
    <w:rsid w:val="00F467A2"/>
    <w:rsid w:val="00F60D4A"/>
    <w:rsid w:val="00F84166"/>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HTMLPreformatted">
    <w:name w:val="HTML Preformatted"/>
    <w:basedOn w:val="Normal"/>
    <w:link w:val="HTMLPreformattedChar"/>
    <w:uiPriority w:val="99"/>
    <w:semiHidden/>
    <w:unhideWhenUsed/>
    <w:rsid w:val="00EF3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MX" w:eastAsia="es-MX" w:bidi="ar-SA"/>
    </w:rPr>
  </w:style>
  <w:style w:type="character" w:customStyle="1" w:styleId="HTMLPreformattedChar">
    <w:name w:val="HTML Preformatted Char"/>
    <w:basedOn w:val="DefaultParagraphFont"/>
    <w:link w:val="HTMLPreformatted"/>
    <w:uiPriority w:val="99"/>
    <w:semiHidden/>
    <w:rsid w:val="00EF3780"/>
    <w:rPr>
      <w:rFonts w:ascii="Courier New" w:eastAsia="Times New Roman" w:hAnsi="Courier New" w:cs="Courier New"/>
      <w:lang w:val="es-MX" w:eastAsia="es-MX"/>
    </w:rPr>
  </w:style>
  <w:style w:type="table" w:styleId="TableGrid">
    <w:name w:val="Table Grid"/>
    <w:basedOn w:val="TableNormal"/>
    <w:uiPriority w:val="59"/>
    <w:rsid w:val="00EF3780"/>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3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HTMLPreformatted">
    <w:name w:val="HTML Preformatted"/>
    <w:basedOn w:val="Normal"/>
    <w:link w:val="HTMLPreformattedChar"/>
    <w:uiPriority w:val="99"/>
    <w:semiHidden/>
    <w:unhideWhenUsed/>
    <w:rsid w:val="00EF3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MX" w:eastAsia="es-MX" w:bidi="ar-SA"/>
    </w:rPr>
  </w:style>
  <w:style w:type="character" w:customStyle="1" w:styleId="HTMLPreformattedChar">
    <w:name w:val="HTML Preformatted Char"/>
    <w:basedOn w:val="DefaultParagraphFont"/>
    <w:link w:val="HTMLPreformatted"/>
    <w:uiPriority w:val="99"/>
    <w:semiHidden/>
    <w:rsid w:val="00EF3780"/>
    <w:rPr>
      <w:rFonts w:ascii="Courier New" w:eastAsia="Times New Roman" w:hAnsi="Courier New" w:cs="Courier New"/>
      <w:lang w:val="es-MX" w:eastAsia="es-MX"/>
    </w:rPr>
  </w:style>
  <w:style w:type="table" w:styleId="TableGrid">
    <w:name w:val="Table Grid"/>
    <w:basedOn w:val="TableNormal"/>
    <w:uiPriority w:val="59"/>
    <w:rsid w:val="00EF3780"/>
    <w:rPr>
      <w:rFonts w:asciiTheme="minorHAnsi" w:eastAsiaTheme="minorHAnsi" w:hAnsiTheme="minorHAnsi" w:cstheme="minorBidi"/>
      <w:sz w:val="22"/>
      <w:szCs w:val="22"/>
      <w:lang w:val="es-MX"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3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header" Target="header21.xml"/><Relationship Id="rId21" Type="http://schemas.openxmlformats.org/officeDocument/2006/relationships/header" Target="header8.xml"/><Relationship Id="rId34" Type="http://schemas.openxmlformats.org/officeDocument/2006/relationships/footer" Target="footer8.xml"/><Relationship Id="rId42" Type="http://schemas.openxmlformats.org/officeDocument/2006/relationships/footer" Target="footer10.xml"/><Relationship Id="rId47" Type="http://schemas.openxmlformats.org/officeDocument/2006/relationships/footer" Target="footer11.xml"/><Relationship Id="rId50" Type="http://schemas.openxmlformats.org/officeDocument/2006/relationships/header" Target="header28.xml"/><Relationship Id="rId55" Type="http://schemas.openxmlformats.org/officeDocument/2006/relationships/image" Target="media/image4.jpeg"/><Relationship Id="rId63" Type="http://schemas.openxmlformats.org/officeDocument/2006/relationships/footer" Target="footer14.xml"/><Relationship Id="rId68" Type="http://schemas.openxmlformats.org/officeDocument/2006/relationships/footer" Target="footer15.xml"/><Relationship Id="rId76" Type="http://schemas.openxmlformats.org/officeDocument/2006/relationships/header" Target="header43.xm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eader" Target="header41.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4.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eader" Target="header25.xml"/><Relationship Id="rId53" Type="http://schemas.openxmlformats.org/officeDocument/2006/relationships/header" Target="header30.xml"/><Relationship Id="rId58" Type="http://schemas.openxmlformats.org/officeDocument/2006/relationships/footer" Target="footer13.xml"/><Relationship Id="rId66" Type="http://schemas.openxmlformats.org/officeDocument/2006/relationships/header" Target="header37.xml"/><Relationship Id="rId74" Type="http://schemas.openxmlformats.org/officeDocument/2006/relationships/header" Target="header42.xml"/><Relationship Id="rId79" Type="http://schemas.openxmlformats.org/officeDocument/2006/relationships/header" Target="header45.xml"/><Relationship Id="rId5" Type="http://schemas.openxmlformats.org/officeDocument/2006/relationships/settings" Target="settings.xml"/><Relationship Id="rId61" Type="http://schemas.openxmlformats.org/officeDocument/2006/relationships/header" Target="header34.xml"/><Relationship Id="rId82" Type="http://schemas.openxmlformats.org/officeDocument/2006/relationships/header" Target="header46.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8.xml"/><Relationship Id="rId43" Type="http://schemas.openxmlformats.org/officeDocument/2006/relationships/header" Target="header24.xml"/><Relationship Id="rId48" Type="http://schemas.openxmlformats.org/officeDocument/2006/relationships/header" Target="header27.xml"/><Relationship Id="rId56" Type="http://schemas.openxmlformats.org/officeDocument/2006/relationships/header" Target="header31.xml"/><Relationship Id="rId64" Type="http://schemas.openxmlformats.org/officeDocument/2006/relationships/header" Target="header36.xml"/><Relationship Id="rId69" Type="http://schemas.openxmlformats.org/officeDocument/2006/relationships/header" Target="header39.xml"/><Relationship Id="rId77" Type="http://schemas.openxmlformats.org/officeDocument/2006/relationships/footer" Target="footer19.xml"/><Relationship Id="rId8" Type="http://schemas.openxmlformats.org/officeDocument/2006/relationships/endnotes" Target="endnotes.xml"/><Relationship Id="rId51" Type="http://schemas.openxmlformats.org/officeDocument/2006/relationships/header" Target="header29.xml"/><Relationship Id="rId72" Type="http://schemas.openxmlformats.org/officeDocument/2006/relationships/footer" Target="footer16.xml"/><Relationship Id="rId80" Type="http://schemas.openxmlformats.org/officeDocument/2006/relationships/footer" Target="footer20.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9.xml"/><Relationship Id="rId46" Type="http://schemas.openxmlformats.org/officeDocument/2006/relationships/header" Target="header26.xml"/><Relationship Id="rId59" Type="http://schemas.openxmlformats.org/officeDocument/2006/relationships/header" Target="header33.xml"/><Relationship Id="rId67" Type="http://schemas.openxmlformats.org/officeDocument/2006/relationships/header" Target="header38.xml"/><Relationship Id="rId20" Type="http://schemas.openxmlformats.org/officeDocument/2006/relationships/header" Target="header7.xml"/><Relationship Id="rId41" Type="http://schemas.openxmlformats.org/officeDocument/2006/relationships/header" Target="header23.xml"/><Relationship Id="rId54" Type="http://schemas.openxmlformats.org/officeDocument/2006/relationships/chart" Target="charts/chart1.xml"/><Relationship Id="rId62" Type="http://schemas.openxmlformats.org/officeDocument/2006/relationships/header" Target="header35.xml"/><Relationship Id="rId70" Type="http://schemas.openxmlformats.org/officeDocument/2006/relationships/header" Target="header40.xml"/><Relationship Id="rId75" Type="http://schemas.openxmlformats.org/officeDocument/2006/relationships/footer" Target="footer18.xml"/><Relationship Id="rId83"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49" Type="http://schemas.openxmlformats.org/officeDocument/2006/relationships/image" Target="media/image3.jpeg"/><Relationship Id="rId57" Type="http://schemas.openxmlformats.org/officeDocument/2006/relationships/header" Target="header32.xml"/><Relationship Id="rId10" Type="http://schemas.openxmlformats.org/officeDocument/2006/relationships/header" Target="header1.xml"/><Relationship Id="rId31" Type="http://schemas.openxmlformats.org/officeDocument/2006/relationships/header" Target="header15.xml"/><Relationship Id="rId44" Type="http://schemas.openxmlformats.org/officeDocument/2006/relationships/image" Target="media/image2.jpeg"/><Relationship Id="rId52" Type="http://schemas.openxmlformats.org/officeDocument/2006/relationships/footer" Target="footer12.xml"/><Relationship Id="rId60" Type="http://schemas.openxmlformats.org/officeDocument/2006/relationships/image" Target="media/image5.jpeg"/><Relationship Id="rId65" Type="http://schemas.openxmlformats.org/officeDocument/2006/relationships/chart" Target="charts/chart2.xml"/><Relationship Id="rId73" Type="http://schemas.openxmlformats.org/officeDocument/2006/relationships/footer" Target="footer17.xml"/><Relationship Id="rId78" Type="http://schemas.openxmlformats.org/officeDocument/2006/relationships/header" Target="header44.xml"/><Relationship Id="rId81" Type="http://schemas.openxmlformats.org/officeDocument/2006/relationships/footer" Target="footer21.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latin typeface="Arial"/>
                <a:ea typeface="Arial"/>
                <a:cs typeface="Arial"/>
              </a:defRPr>
            </a:pPr>
            <a:r>
              <a:rPr lang="es-MX"/>
              <a:t>Biplot (axes F1 y F2: 96.99 %)</a:t>
            </a:r>
          </a:p>
        </c:rich>
      </c:tx>
      <c:layout/>
      <c:overlay val="0"/>
    </c:title>
    <c:autoTitleDeleted val="0"/>
    <c:plotArea>
      <c:layout/>
      <c:scatterChart>
        <c:scatterStyle val="lineMarker"/>
        <c:varyColors val="0"/>
        <c:ser>
          <c:idx val="0"/>
          <c:order val="0"/>
          <c:tx>
            <c:v>Variables activas</c:v>
          </c:tx>
          <c:spPr>
            <a:ln w="25400">
              <a:noFill/>
            </a:ln>
            <a:effectLst/>
          </c:spPr>
          <c:marker>
            <c:symbol val="circle"/>
            <c:size val="3"/>
            <c:spPr>
              <a:solidFill>
                <a:srgbClr val="FF0000"/>
              </a:solidFill>
              <a:ln w="6350">
                <a:solidFill>
                  <a:srgbClr val="FF0000"/>
                </a:solidFill>
                <a:prstDash val="solid"/>
              </a:ln>
            </c:spPr>
          </c:marker>
          <c:dLbls>
            <c:dLbl>
              <c:idx val="0"/>
              <c:layout>
                <c:manualLayout>
                  <c:x val="-1.6025641025641024E-2"/>
                  <c:y val="1.7361111111111053E-2"/>
                </c:manualLayout>
              </c:layout>
              <c:tx>
                <c:rich>
                  <a:bodyPr/>
                  <a:lstStyle/>
                  <a:p>
                    <a:r>
                      <a:rPr lang="en-US"/>
                      <a:t>Akuanandi</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3C7-4CE4-B7E9-66D1C56780C1}"/>
                </c:ext>
              </c:extLst>
            </c:dLbl>
            <c:dLbl>
              <c:idx val="1"/>
              <c:layout>
                <c:manualLayout>
                  <c:x val="-1.6025641025641142E-2"/>
                  <c:y val="1.7361111111111126E-2"/>
                </c:manualLayout>
              </c:layout>
              <c:tx>
                <c:rich>
                  <a:bodyPr/>
                  <a:lstStyle/>
                  <a:p>
                    <a:r>
                      <a:rPr lang="en-US"/>
                      <a:t>Terbal</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3C7-4CE4-B7E9-66D1C56780C1}"/>
                </c:ext>
              </c:extLst>
            </c:dLbl>
            <c:dLbl>
              <c:idx val="2"/>
              <c:layout>
                <c:manualLayout>
                  <c:x val="-1.6025641025641024E-2"/>
                  <c:y val="1.7361111111111126E-2"/>
                </c:manualLayout>
              </c:layout>
              <c:tx>
                <c:rich>
                  <a:bodyPr/>
                  <a:lstStyle/>
                  <a:p>
                    <a:r>
                      <a:rPr lang="en-US"/>
                      <a:t>Infusionate</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3C7-4CE4-B7E9-66D1C56780C1}"/>
                </c:ext>
              </c:extLst>
            </c:dLbl>
            <c:dLbl>
              <c:idx val="3"/>
              <c:layout>
                <c:manualLayout>
                  <c:x val="-1.6025641025641142E-2"/>
                  <c:y val="-3.0864197530864213E-2"/>
                </c:manualLayout>
              </c:layout>
              <c:tx>
                <c:rich>
                  <a:bodyPr/>
                  <a:lstStyle/>
                  <a:p>
                    <a:r>
                      <a:rPr lang="en-US"/>
                      <a:t>Mas lait</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3C7-4CE4-B7E9-66D1C56780C1}"/>
                </c:ext>
              </c:extLst>
            </c:dLbl>
            <c:dLbl>
              <c:idx val="4"/>
              <c:layout>
                <c:manualLayout>
                  <c:x val="-1.6025641025641024E-2"/>
                  <c:y val="-3.0864197530864213E-2"/>
                </c:manualLayout>
              </c:layout>
              <c:tx>
                <c:rich>
                  <a:bodyPr/>
                  <a:lstStyle/>
                  <a:p>
                    <a:r>
                      <a:rPr lang="en-US"/>
                      <a:t>De Font Quer</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3C7-4CE4-B7E9-66D1C56780C1}"/>
                </c:ext>
              </c:extLst>
            </c:dLbl>
            <c:spPr>
              <a:noFill/>
              <a:ln>
                <a:noFill/>
              </a:ln>
              <a:effectLst/>
            </c:spPr>
            <c:txPr>
              <a:bodyPr rot="0" vert="horz" wrap="square" lIns="38100" tIns="19050" rIns="38100" bIns="19050" anchor="ctr">
                <a:spAutoFit/>
              </a:bodyPr>
              <a:lstStyle/>
              <a:p>
                <a:pPr>
                  <a:defRPr sz="700">
                    <a:solidFill>
                      <a:srgbClr val="FF0000"/>
                    </a:solidFill>
                  </a:defRPr>
                </a:pPr>
                <a:endParaRPr lang="en-US"/>
              </a:p>
            </c:txPr>
            <c:dLblPos val="r"/>
            <c:showLegendKey val="0"/>
            <c:showVal val="0"/>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ACP_HID2!$A$1:$A$5</c:f>
              <c:numCache>
                <c:formatCode>General</c:formatCode>
                <c:ptCount val="5"/>
                <c:pt idx="0">
                  <c:v>3.3821453643996784</c:v>
                </c:pt>
                <c:pt idx="1">
                  <c:v>3.1795285300074192</c:v>
                </c:pt>
                <c:pt idx="2">
                  <c:v>3.115619212480905</c:v>
                </c:pt>
                <c:pt idx="3">
                  <c:v>2.7202027805361002</c:v>
                </c:pt>
                <c:pt idx="4">
                  <c:v>3.1177137602081233</c:v>
                </c:pt>
              </c:numCache>
            </c:numRef>
          </c:xVal>
          <c:yVal>
            <c:numRef>
              <c:f>ACP_HID2!$B$1:$B$5</c:f>
              <c:numCache>
                <c:formatCode>General</c:formatCode>
                <c:ptCount val="5"/>
                <c:pt idx="0">
                  <c:v>-0.33469461598186817</c:v>
                </c:pt>
                <c:pt idx="1">
                  <c:v>-2.8632989688855184</c:v>
                </c:pt>
                <c:pt idx="2">
                  <c:v>-3.3381908587127422</c:v>
                </c:pt>
                <c:pt idx="3">
                  <c:v>4.7945308322841065</c:v>
                </c:pt>
                <c:pt idx="4">
                  <c:v>2.435875344093883</c:v>
                </c:pt>
              </c:numCache>
            </c:numRef>
          </c:yVal>
          <c:smooth val="0"/>
          <c:extLst xmlns:c16r2="http://schemas.microsoft.com/office/drawing/2015/06/chart">
            <c:ext xmlns:c16="http://schemas.microsoft.com/office/drawing/2014/chart" uri="{C3380CC4-5D6E-409C-BE32-E72D297353CC}">
              <c16:uniqueId val="{00000005-13C7-4CE4-B7E9-66D1C56780C1}"/>
            </c:ext>
          </c:extLst>
        </c:ser>
        <c:ser>
          <c:idx val="1"/>
          <c:order val="1"/>
          <c:tx>
            <c:v>Observaciones activas</c:v>
          </c:tx>
          <c:spPr>
            <a:ln w="25400">
              <a:noFill/>
            </a:ln>
            <a:effectLst/>
          </c:spPr>
          <c:marker>
            <c:symbol val="circle"/>
            <c:size val="3"/>
            <c:spPr>
              <a:solidFill>
                <a:srgbClr val="003CE6"/>
              </a:solidFill>
              <a:ln w="6350">
                <a:solidFill>
                  <a:srgbClr val="003CE6"/>
                </a:solidFill>
                <a:prstDash val="solid"/>
              </a:ln>
            </c:spPr>
          </c:marker>
          <c:dLbls>
            <c:dLbl>
              <c:idx val="0"/>
              <c:layout>
                <c:manualLayout>
                  <c:x val="-8.6600545124167233E-2"/>
                  <c:y val="-3.0864197530864286E-2"/>
                </c:manualLayout>
              </c:layout>
              <c:tx>
                <c:rich>
                  <a:bodyPr/>
                  <a:lstStyle/>
                  <a:p>
                    <a:r>
                      <a:rPr lang="en-US"/>
                      <a:t>Peak1</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3C7-4CE4-B7E9-66D1C56780C1}"/>
                </c:ext>
              </c:extLst>
            </c:dLbl>
            <c:dLbl>
              <c:idx val="1"/>
              <c:layout>
                <c:manualLayout>
                  <c:x val="-1.6025641025641083E-2"/>
                  <c:y val="1.7361111111111126E-2"/>
                </c:manualLayout>
              </c:layout>
              <c:tx>
                <c:rich>
                  <a:bodyPr/>
                  <a:lstStyle/>
                  <a:p>
                    <a:r>
                      <a:rPr lang="en-US"/>
                      <a:t>Peak2</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3C7-4CE4-B7E9-66D1C56780C1}"/>
                </c:ext>
              </c:extLst>
            </c:dLbl>
            <c:dLbl>
              <c:idx val="2"/>
              <c:layout>
                <c:manualLayout>
                  <c:x val="-6.9960125176660642E-2"/>
                  <c:y val="1.7361111111111126E-2"/>
                </c:manualLayout>
              </c:layout>
              <c:tx>
                <c:rich>
                  <a:bodyPr/>
                  <a:lstStyle/>
                  <a:p>
                    <a:r>
                      <a:rPr lang="en-US"/>
                      <a:t>Peak3</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3C7-4CE4-B7E9-66D1C56780C1}"/>
                </c:ext>
              </c:extLst>
            </c:dLbl>
            <c:dLbl>
              <c:idx val="3"/>
              <c:layout>
                <c:manualLayout>
                  <c:x val="-8.7131284070260454E-2"/>
                  <c:y val="-3.0864197530864213E-2"/>
                </c:manualLayout>
              </c:layout>
              <c:tx>
                <c:rich>
                  <a:bodyPr/>
                  <a:lstStyle/>
                  <a:p>
                    <a:r>
                      <a:rPr lang="en-US"/>
                      <a:t>Peak4</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3C7-4CE4-B7E9-66D1C56780C1}"/>
                </c:ext>
              </c:extLst>
            </c:dLbl>
            <c:dLbl>
              <c:idx val="4"/>
              <c:layout>
                <c:manualLayout>
                  <c:x val="-8.7131284070260454E-2"/>
                  <c:y val="1.7361111111111053E-2"/>
                </c:manualLayout>
              </c:layout>
              <c:tx>
                <c:rich>
                  <a:bodyPr/>
                  <a:lstStyle/>
                  <a:p>
                    <a:r>
                      <a:rPr lang="en-US"/>
                      <a:t>Peak5</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13C7-4CE4-B7E9-66D1C56780C1}"/>
                </c:ext>
              </c:extLst>
            </c:dLbl>
            <c:dLbl>
              <c:idx val="5"/>
              <c:layout>
                <c:manualLayout>
                  <c:x val="-1.6025641025641083E-2"/>
                  <c:y val="-3.0864197530864286E-2"/>
                </c:manualLayout>
              </c:layout>
              <c:tx>
                <c:rich>
                  <a:bodyPr/>
                  <a:lstStyle/>
                  <a:p>
                    <a:r>
                      <a:rPr lang="en-US"/>
                      <a:t>Peak6</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13C7-4CE4-B7E9-66D1C56780C1}"/>
                </c:ext>
              </c:extLst>
            </c:dLbl>
            <c:dLbl>
              <c:idx val="6"/>
              <c:layout>
                <c:manualLayout>
                  <c:x val="-1.6025641025641024E-2"/>
                  <c:y val="1.7361111111111126E-2"/>
                </c:manualLayout>
              </c:layout>
              <c:tx>
                <c:rich>
                  <a:bodyPr/>
                  <a:lstStyle/>
                  <a:p>
                    <a:r>
                      <a:rPr lang="en-US"/>
                      <a:t>Peak7</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13C7-4CE4-B7E9-66D1C56780C1}"/>
                </c:ext>
              </c:extLst>
            </c:dLbl>
            <c:dLbl>
              <c:idx val="7"/>
              <c:layout>
                <c:manualLayout>
                  <c:x val="-8.1006713103169828E-2"/>
                  <c:y val="-3.0864197530864286E-2"/>
                </c:manualLayout>
              </c:layout>
              <c:tx>
                <c:rich>
                  <a:bodyPr/>
                  <a:lstStyle/>
                  <a:p>
                    <a:r>
                      <a:rPr lang="en-US"/>
                      <a:t>Peak8</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13C7-4CE4-B7E9-66D1C56780C1}"/>
                </c:ext>
              </c:extLst>
            </c:dLbl>
            <c:dLbl>
              <c:idx val="8"/>
              <c:layout>
                <c:manualLayout>
                  <c:x val="-8.7131284070260454E-2"/>
                  <c:y val="1.7361111111111126E-2"/>
                </c:manualLayout>
              </c:layout>
              <c:tx>
                <c:rich>
                  <a:bodyPr/>
                  <a:lstStyle/>
                  <a:p>
                    <a:r>
                      <a:rPr lang="en-US"/>
                      <a:t>Peak9</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13C7-4CE4-B7E9-66D1C56780C1}"/>
                </c:ext>
              </c:extLst>
            </c:dLbl>
            <c:spPr>
              <a:noFill/>
              <a:ln>
                <a:noFill/>
              </a:ln>
              <a:effectLst/>
            </c:spPr>
            <c:txPr>
              <a:bodyPr rot="0" vert="horz" wrap="square" lIns="38100" tIns="19050" rIns="38100" bIns="19050" anchor="ctr">
                <a:spAutoFit/>
              </a:bodyPr>
              <a:lstStyle/>
              <a:p>
                <a:pPr>
                  <a:defRPr sz="700">
                    <a:solidFill>
                      <a:srgbClr val="003CE6"/>
                    </a:solidFill>
                  </a:defRPr>
                </a:pPr>
                <a:endParaRPr lang="en-US"/>
              </a:p>
            </c:txPr>
            <c:dLblPos val="r"/>
            <c:showLegendKey val="0"/>
            <c:showVal val="0"/>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ACP_HID2!$A$6:$A$14</c:f>
              <c:numCache>
                <c:formatCode>General</c:formatCode>
                <c:ptCount val="9"/>
                <c:pt idx="0">
                  <c:v>-1.4832323636054108</c:v>
                </c:pt>
                <c:pt idx="1">
                  <c:v>0.90997766685573034</c:v>
                </c:pt>
                <c:pt idx="2">
                  <c:v>-1.6986567701984527</c:v>
                </c:pt>
                <c:pt idx="3">
                  <c:v>-0.82964009089799962</c:v>
                </c:pt>
                <c:pt idx="4">
                  <c:v>-1.4680532937336439</c:v>
                </c:pt>
                <c:pt idx="5">
                  <c:v>2.7978150305924179</c:v>
                </c:pt>
                <c:pt idx="6">
                  <c:v>4.2276817054995988</c:v>
                </c:pt>
                <c:pt idx="7">
                  <c:v>-1.5556488288218084</c:v>
                </c:pt>
                <c:pt idx="8">
                  <c:v>-0.90024305569043361</c:v>
                </c:pt>
              </c:numCache>
            </c:numRef>
          </c:xVal>
          <c:yVal>
            <c:numRef>
              <c:f>ACP_HID2!$B$6:$B$14</c:f>
              <c:numCache>
                <c:formatCode>General</c:formatCode>
                <c:ptCount val="9"/>
                <c:pt idx="0">
                  <c:v>0.44795588708375911</c:v>
                </c:pt>
                <c:pt idx="1">
                  <c:v>-0.70771078972576829</c:v>
                </c:pt>
                <c:pt idx="2">
                  <c:v>-0.22649867043676775</c:v>
                </c:pt>
                <c:pt idx="3">
                  <c:v>0.47547046364492063</c:v>
                </c:pt>
                <c:pt idx="4">
                  <c:v>-0.2897992611305697</c:v>
                </c:pt>
                <c:pt idx="5">
                  <c:v>1.8329377653573307</c:v>
                </c:pt>
                <c:pt idx="6">
                  <c:v>-1.0770129607835246</c:v>
                </c:pt>
                <c:pt idx="7">
                  <c:v>0.14061963719979553</c:v>
                </c:pt>
                <c:pt idx="8">
                  <c:v>-0.59596207120917721</c:v>
                </c:pt>
              </c:numCache>
            </c:numRef>
          </c:yVal>
          <c:smooth val="0"/>
          <c:extLst xmlns:c16r2="http://schemas.microsoft.com/office/drawing/2015/06/chart">
            <c:ext xmlns:c16="http://schemas.microsoft.com/office/drawing/2014/chart" uri="{C3380CC4-5D6E-409C-BE32-E72D297353CC}">
              <c16:uniqueId val="{0000000F-13C7-4CE4-B7E9-66D1C56780C1}"/>
            </c:ext>
          </c:extLst>
        </c:ser>
        <c:ser>
          <c:idx val="2"/>
          <c:order val="2"/>
          <c:tx>
            <c:v/>
          </c:tx>
          <c:spPr>
            <a:ln w="6350">
              <a:solidFill>
                <a:srgbClr val="FF0000"/>
              </a:solidFill>
              <a:prstDash val="solid"/>
            </a:ln>
            <a:effectLst/>
          </c:spPr>
          <c:marker>
            <c:symbol val="none"/>
          </c:marker>
          <c:xVal>
            <c:numLit>
              <c:formatCode>General</c:formatCode>
              <c:ptCount val="2"/>
              <c:pt idx="0">
                <c:v>0</c:v>
              </c:pt>
              <c:pt idx="1">
                <c:v>3.3821453643996784</c:v>
              </c:pt>
            </c:numLit>
          </c:xVal>
          <c:yVal>
            <c:numLit>
              <c:formatCode>General</c:formatCode>
              <c:ptCount val="2"/>
              <c:pt idx="0">
                <c:v>0</c:v>
              </c:pt>
              <c:pt idx="1">
                <c:v>-0.33469461598186817</c:v>
              </c:pt>
            </c:numLit>
          </c:yVal>
          <c:smooth val="0"/>
          <c:extLst xmlns:c16r2="http://schemas.microsoft.com/office/drawing/2015/06/chart">
            <c:ext xmlns:c16="http://schemas.microsoft.com/office/drawing/2014/chart" uri="{C3380CC4-5D6E-409C-BE32-E72D297353CC}">
              <c16:uniqueId val="{00000010-13C7-4CE4-B7E9-66D1C56780C1}"/>
            </c:ext>
          </c:extLst>
        </c:ser>
        <c:ser>
          <c:idx val="3"/>
          <c:order val="3"/>
          <c:tx>
            <c:v/>
          </c:tx>
          <c:spPr>
            <a:ln w="6350">
              <a:solidFill>
                <a:srgbClr val="FF0000"/>
              </a:solidFill>
              <a:prstDash val="solid"/>
            </a:ln>
            <a:effectLst/>
          </c:spPr>
          <c:marker>
            <c:symbol val="none"/>
          </c:marker>
          <c:xVal>
            <c:numLit>
              <c:formatCode>General</c:formatCode>
              <c:ptCount val="2"/>
              <c:pt idx="0">
                <c:v>0</c:v>
              </c:pt>
              <c:pt idx="1">
                <c:v>3.1795285300074192</c:v>
              </c:pt>
            </c:numLit>
          </c:xVal>
          <c:yVal>
            <c:numLit>
              <c:formatCode>General</c:formatCode>
              <c:ptCount val="2"/>
              <c:pt idx="0">
                <c:v>0</c:v>
              </c:pt>
              <c:pt idx="1">
                <c:v>-2.8632989688855184</c:v>
              </c:pt>
            </c:numLit>
          </c:yVal>
          <c:smooth val="0"/>
          <c:extLst xmlns:c16r2="http://schemas.microsoft.com/office/drawing/2015/06/chart">
            <c:ext xmlns:c16="http://schemas.microsoft.com/office/drawing/2014/chart" uri="{C3380CC4-5D6E-409C-BE32-E72D297353CC}">
              <c16:uniqueId val="{00000011-13C7-4CE4-B7E9-66D1C56780C1}"/>
            </c:ext>
          </c:extLst>
        </c:ser>
        <c:ser>
          <c:idx val="4"/>
          <c:order val="4"/>
          <c:tx>
            <c:v/>
          </c:tx>
          <c:spPr>
            <a:ln w="6350">
              <a:solidFill>
                <a:srgbClr val="FF0000"/>
              </a:solidFill>
              <a:prstDash val="solid"/>
            </a:ln>
            <a:effectLst/>
          </c:spPr>
          <c:marker>
            <c:symbol val="none"/>
          </c:marker>
          <c:xVal>
            <c:numLit>
              <c:formatCode>General</c:formatCode>
              <c:ptCount val="2"/>
              <c:pt idx="0">
                <c:v>0</c:v>
              </c:pt>
              <c:pt idx="1">
                <c:v>3.115619212480905</c:v>
              </c:pt>
            </c:numLit>
          </c:xVal>
          <c:yVal>
            <c:numLit>
              <c:formatCode>General</c:formatCode>
              <c:ptCount val="2"/>
              <c:pt idx="0">
                <c:v>0</c:v>
              </c:pt>
              <c:pt idx="1">
                <c:v>-3.3381908587127422</c:v>
              </c:pt>
            </c:numLit>
          </c:yVal>
          <c:smooth val="0"/>
          <c:extLst xmlns:c16r2="http://schemas.microsoft.com/office/drawing/2015/06/chart">
            <c:ext xmlns:c16="http://schemas.microsoft.com/office/drawing/2014/chart" uri="{C3380CC4-5D6E-409C-BE32-E72D297353CC}">
              <c16:uniqueId val="{00000012-13C7-4CE4-B7E9-66D1C56780C1}"/>
            </c:ext>
          </c:extLst>
        </c:ser>
        <c:ser>
          <c:idx val="5"/>
          <c:order val="5"/>
          <c:tx>
            <c:v/>
          </c:tx>
          <c:spPr>
            <a:ln w="6350">
              <a:solidFill>
                <a:srgbClr val="FF0000"/>
              </a:solidFill>
              <a:prstDash val="solid"/>
            </a:ln>
            <a:effectLst/>
          </c:spPr>
          <c:marker>
            <c:symbol val="none"/>
          </c:marker>
          <c:xVal>
            <c:numLit>
              <c:formatCode>General</c:formatCode>
              <c:ptCount val="2"/>
              <c:pt idx="0">
                <c:v>0</c:v>
              </c:pt>
              <c:pt idx="1">
                <c:v>2.7202027805361002</c:v>
              </c:pt>
            </c:numLit>
          </c:xVal>
          <c:yVal>
            <c:numLit>
              <c:formatCode>General</c:formatCode>
              <c:ptCount val="2"/>
              <c:pt idx="0">
                <c:v>0</c:v>
              </c:pt>
              <c:pt idx="1">
                <c:v>4.7945308322841065</c:v>
              </c:pt>
            </c:numLit>
          </c:yVal>
          <c:smooth val="0"/>
          <c:extLst xmlns:c16r2="http://schemas.microsoft.com/office/drawing/2015/06/chart">
            <c:ext xmlns:c16="http://schemas.microsoft.com/office/drawing/2014/chart" uri="{C3380CC4-5D6E-409C-BE32-E72D297353CC}">
              <c16:uniqueId val="{00000013-13C7-4CE4-B7E9-66D1C56780C1}"/>
            </c:ext>
          </c:extLst>
        </c:ser>
        <c:ser>
          <c:idx val="6"/>
          <c:order val="6"/>
          <c:tx>
            <c:v/>
          </c:tx>
          <c:spPr>
            <a:ln w="6350">
              <a:solidFill>
                <a:srgbClr val="FF0000"/>
              </a:solidFill>
              <a:prstDash val="solid"/>
            </a:ln>
            <a:effectLst/>
          </c:spPr>
          <c:marker>
            <c:symbol val="none"/>
          </c:marker>
          <c:xVal>
            <c:numLit>
              <c:formatCode>General</c:formatCode>
              <c:ptCount val="2"/>
              <c:pt idx="0">
                <c:v>0</c:v>
              </c:pt>
              <c:pt idx="1">
                <c:v>3.1177137602081233</c:v>
              </c:pt>
            </c:numLit>
          </c:xVal>
          <c:yVal>
            <c:numLit>
              <c:formatCode>General</c:formatCode>
              <c:ptCount val="2"/>
              <c:pt idx="0">
                <c:v>0</c:v>
              </c:pt>
              <c:pt idx="1">
                <c:v>2.435875344093883</c:v>
              </c:pt>
            </c:numLit>
          </c:yVal>
          <c:smooth val="0"/>
          <c:extLst xmlns:c16r2="http://schemas.microsoft.com/office/drawing/2015/06/chart">
            <c:ext xmlns:c16="http://schemas.microsoft.com/office/drawing/2014/chart" uri="{C3380CC4-5D6E-409C-BE32-E72D297353CC}">
              <c16:uniqueId val="{00000014-13C7-4CE4-B7E9-66D1C56780C1}"/>
            </c:ext>
          </c:extLst>
        </c:ser>
        <c:dLbls>
          <c:showLegendKey val="0"/>
          <c:showVal val="0"/>
          <c:showCatName val="0"/>
          <c:showSerName val="0"/>
          <c:showPercent val="0"/>
          <c:showBubbleSize val="0"/>
        </c:dLbls>
        <c:axId val="136124288"/>
        <c:axId val="136155136"/>
      </c:scatterChart>
      <c:valAx>
        <c:axId val="136124288"/>
        <c:scaling>
          <c:orientation val="minMax"/>
        </c:scaling>
        <c:delete val="0"/>
        <c:axPos val="b"/>
        <c:title>
          <c:tx>
            <c:rich>
              <a:bodyPr/>
              <a:lstStyle/>
              <a:p>
                <a:pPr>
                  <a:defRPr sz="800" b="0">
                    <a:latin typeface="Arial"/>
                    <a:ea typeface="Arial"/>
                    <a:cs typeface="Arial"/>
                  </a:defRPr>
                </a:pPr>
                <a:r>
                  <a:rPr lang="es-MX"/>
                  <a:t>F1 (83.75 %)</a:t>
                </a:r>
              </a:p>
            </c:rich>
          </c:tx>
          <c:layout/>
          <c:overlay val="0"/>
        </c:title>
        <c:numFmt formatCode="General" sourceLinked="0"/>
        <c:majorTickMark val="none"/>
        <c:minorTickMark val="none"/>
        <c:tickLblPos val="low"/>
        <c:txPr>
          <a:bodyPr rot="0" vert="horz"/>
          <a:lstStyle/>
          <a:p>
            <a:pPr>
              <a:defRPr sz="700"/>
            </a:pPr>
            <a:endParaRPr lang="en-US"/>
          </a:p>
        </c:txPr>
        <c:crossAx val="136155136"/>
        <c:crosses val="autoZero"/>
        <c:crossBetween val="midCat"/>
      </c:valAx>
      <c:valAx>
        <c:axId val="136155136"/>
        <c:scaling>
          <c:orientation val="minMax"/>
        </c:scaling>
        <c:delete val="0"/>
        <c:axPos val="l"/>
        <c:title>
          <c:tx>
            <c:rich>
              <a:bodyPr/>
              <a:lstStyle/>
              <a:p>
                <a:pPr>
                  <a:defRPr sz="800" b="0">
                    <a:latin typeface="Arial"/>
                    <a:ea typeface="Arial"/>
                    <a:cs typeface="Arial"/>
                  </a:defRPr>
                </a:pPr>
                <a:r>
                  <a:rPr lang="es-MX"/>
                  <a:t>F2 (13.24 %)</a:t>
                </a:r>
              </a:p>
            </c:rich>
          </c:tx>
          <c:layout/>
          <c:overlay val="0"/>
        </c:title>
        <c:numFmt formatCode="General" sourceLinked="0"/>
        <c:majorTickMark val="cross"/>
        <c:minorTickMark val="none"/>
        <c:tickLblPos val="low"/>
        <c:txPr>
          <a:bodyPr/>
          <a:lstStyle/>
          <a:p>
            <a:pPr>
              <a:defRPr sz="700"/>
            </a:pPr>
            <a:endParaRPr lang="en-US"/>
          </a:p>
        </c:txPr>
        <c:crossAx val="136124288"/>
        <c:crosses val="autoZero"/>
        <c:crossBetween val="midCat"/>
      </c:valAx>
      <c:spPr>
        <a:ln>
          <a:solidFill>
            <a:srgbClr val="C0C0C0"/>
          </a:solidFill>
          <a:prstDash val="solid"/>
        </a:ln>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latin typeface="Arial"/>
                <a:ea typeface="Arial"/>
                <a:cs typeface="Arial"/>
              </a:defRPr>
            </a:pPr>
            <a:r>
              <a:rPr lang="es-MX"/>
              <a:t>Biplot (axes F1 y F2: 90.60 %)</a:t>
            </a:r>
          </a:p>
        </c:rich>
      </c:tx>
      <c:overlay val="0"/>
    </c:title>
    <c:autoTitleDeleted val="0"/>
    <c:plotArea>
      <c:layout/>
      <c:scatterChart>
        <c:scatterStyle val="lineMarker"/>
        <c:varyColors val="0"/>
        <c:ser>
          <c:idx val="0"/>
          <c:order val="0"/>
          <c:tx>
            <c:v>Variables activas</c:v>
          </c:tx>
          <c:spPr>
            <a:ln w="25400">
              <a:noFill/>
            </a:ln>
            <a:effectLst/>
          </c:spPr>
          <c:marker>
            <c:symbol val="circle"/>
            <c:size val="3"/>
            <c:spPr>
              <a:solidFill>
                <a:srgbClr val="FF0000"/>
              </a:solidFill>
              <a:ln w="6350">
                <a:solidFill>
                  <a:srgbClr val="FF0000"/>
                </a:solidFill>
                <a:prstDash val="solid"/>
              </a:ln>
            </c:spPr>
          </c:marker>
          <c:dLbls>
            <c:dLbl>
              <c:idx val="0"/>
              <c:layout>
                <c:manualLayout>
                  <c:x val="-1.6025641025641024E-2"/>
                  <c:y val="-3.0864197530864231E-2"/>
                </c:manualLayout>
              </c:layout>
              <c:tx>
                <c:rich>
                  <a:bodyPr/>
                  <a:lstStyle/>
                  <a:p>
                    <a:r>
                      <a:rPr lang="en-US"/>
                      <a:t>peak1</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C3D-487F-A1E8-49C92DBFAB8F}"/>
                </c:ext>
              </c:extLst>
            </c:dLbl>
            <c:dLbl>
              <c:idx val="1"/>
              <c:layout>
                <c:manualLayout>
                  <c:x val="-1.6025641025641024E-2"/>
                  <c:y val="1.7361111111111119E-2"/>
                </c:manualLayout>
              </c:layout>
              <c:tx>
                <c:rich>
                  <a:bodyPr/>
                  <a:lstStyle/>
                  <a:p>
                    <a:r>
                      <a:rPr lang="en-US"/>
                      <a:t>peak2</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C3D-487F-A1E8-49C92DBFAB8F}"/>
                </c:ext>
              </c:extLst>
            </c:dLbl>
            <c:dLbl>
              <c:idx val="2"/>
              <c:layout>
                <c:manualLayout>
                  <c:x val="-1.6025641025641024E-2"/>
                  <c:y val="-3.0864197530864279E-2"/>
                </c:manualLayout>
              </c:layout>
              <c:tx>
                <c:rich>
                  <a:bodyPr/>
                  <a:lstStyle/>
                  <a:p>
                    <a:r>
                      <a:rPr lang="en-US"/>
                      <a:t>comp3</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C3D-487F-A1E8-49C92DBFAB8F}"/>
                </c:ext>
              </c:extLst>
            </c:dLbl>
            <c:dLbl>
              <c:idx val="3"/>
              <c:layout>
                <c:manualLayout>
                  <c:x val="-1.6025641025641024E-2"/>
                  <c:y val="-3.0864197530864206E-2"/>
                </c:manualLayout>
              </c:layout>
              <c:tx>
                <c:rich>
                  <a:bodyPr/>
                  <a:lstStyle/>
                  <a:p>
                    <a:r>
                      <a:rPr lang="en-US"/>
                      <a:t>peak4</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C3D-487F-A1E8-49C92DBFAB8F}"/>
                </c:ext>
              </c:extLst>
            </c:dLbl>
            <c:dLbl>
              <c:idx val="4"/>
              <c:layout>
                <c:manualLayout>
                  <c:x val="-1.6025641025641142E-2"/>
                  <c:y val="-3.0864197530864279E-2"/>
                </c:manualLayout>
              </c:layout>
              <c:tx>
                <c:rich>
                  <a:bodyPr/>
                  <a:lstStyle/>
                  <a:p>
                    <a:r>
                      <a:rPr lang="en-US"/>
                      <a:t>comp5</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C3D-487F-A1E8-49C92DBFAB8F}"/>
                </c:ext>
              </c:extLst>
            </c:dLbl>
            <c:dLbl>
              <c:idx val="5"/>
              <c:layout>
                <c:manualLayout>
                  <c:x val="-1.6025641025641142E-2"/>
                  <c:y val="-3.0864197530864206E-2"/>
                </c:manualLayout>
              </c:layout>
              <c:tx>
                <c:rich>
                  <a:bodyPr/>
                  <a:lstStyle/>
                  <a:p>
                    <a:r>
                      <a:rPr lang="en-US"/>
                      <a:t>comp6</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C3D-487F-A1E8-49C92DBFAB8F}"/>
                </c:ext>
              </c:extLst>
            </c:dLbl>
            <c:dLbl>
              <c:idx val="6"/>
              <c:layout>
                <c:manualLayout>
                  <c:x val="-9.4455128205128205E-2"/>
                  <c:y val="-3.0864197530864206E-2"/>
                </c:manualLayout>
              </c:layout>
              <c:tx>
                <c:rich>
                  <a:bodyPr/>
                  <a:lstStyle/>
                  <a:p>
                    <a:r>
                      <a:rPr lang="en-US"/>
                      <a:t>peak7</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C3D-487F-A1E8-49C92DBFAB8F}"/>
                </c:ext>
              </c:extLst>
            </c:dLbl>
            <c:dLbl>
              <c:idx val="7"/>
              <c:layout>
                <c:manualLayout>
                  <c:x val="-9.4455128205128205E-2"/>
                  <c:y val="-3.0864197530864206E-2"/>
                </c:manualLayout>
              </c:layout>
              <c:tx>
                <c:rich>
                  <a:bodyPr/>
                  <a:lstStyle/>
                  <a:p>
                    <a:r>
                      <a:rPr lang="en-US"/>
                      <a:t>peak8</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C3D-487F-A1E8-49C92DBFAB8F}"/>
                </c:ext>
              </c:extLst>
            </c:dLbl>
            <c:dLbl>
              <c:idx val="8"/>
              <c:layout>
                <c:manualLayout>
                  <c:x val="-1.6025641025641142E-2"/>
                  <c:y val="1.7361111111111119E-2"/>
                </c:manualLayout>
              </c:layout>
              <c:tx>
                <c:rich>
                  <a:bodyPr/>
                  <a:lstStyle/>
                  <a:p>
                    <a:r>
                      <a:rPr lang="en-US"/>
                      <a:t>peak9</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C3D-487F-A1E8-49C92DBFAB8F}"/>
                </c:ext>
              </c:extLst>
            </c:dLbl>
            <c:dLbl>
              <c:idx val="9"/>
              <c:layout>
                <c:manualLayout>
                  <c:x val="-3.1258379854221018E-3"/>
                  <c:y val="-3.7649638307406719E-4"/>
                </c:manualLayout>
              </c:layout>
              <c:tx>
                <c:rich>
                  <a:bodyPr/>
                  <a:lstStyle/>
                  <a:p>
                    <a:r>
                      <a:rPr lang="en-US"/>
                      <a:t>peak10</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C3D-487F-A1E8-49C92DBFAB8F}"/>
                </c:ext>
              </c:extLst>
            </c:dLbl>
            <c:spPr>
              <a:noFill/>
              <a:ln>
                <a:noFill/>
              </a:ln>
              <a:effectLst/>
            </c:spPr>
            <c:txPr>
              <a:bodyPr rot="0" vert="horz" wrap="square" lIns="38100" tIns="19050" rIns="38100" bIns="19050" anchor="ctr">
                <a:spAutoFit/>
              </a:bodyPr>
              <a:lstStyle/>
              <a:p>
                <a:pPr>
                  <a:defRPr sz="700">
                    <a:solidFill>
                      <a:srgbClr val="FF0000"/>
                    </a:solidFill>
                  </a:defRPr>
                </a:pPr>
                <a:endParaRPr lang="en-US"/>
              </a:p>
            </c:txPr>
            <c:dLblPos val="r"/>
            <c:showLegendKey val="0"/>
            <c:showVal val="0"/>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ACP_HID2!$A$1:$A$10</c:f>
              <c:numCache>
                <c:formatCode>General</c:formatCode>
                <c:ptCount val="10"/>
                <c:pt idx="0">
                  <c:v>0.18004896023264444</c:v>
                </c:pt>
                <c:pt idx="1">
                  <c:v>2.2966108673414198</c:v>
                </c:pt>
                <c:pt idx="2">
                  <c:v>2.2401833291474347</c:v>
                </c:pt>
                <c:pt idx="3">
                  <c:v>2.3864420325412961</c:v>
                </c:pt>
                <c:pt idx="4">
                  <c:v>2.4109796734020197</c:v>
                </c:pt>
                <c:pt idx="5">
                  <c:v>2.4528373047702687</c:v>
                </c:pt>
                <c:pt idx="6">
                  <c:v>-1.2133266425822273</c:v>
                </c:pt>
                <c:pt idx="7">
                  <c:v>-7.3319463250476877E-2</c:v>
                </c:pt>
                <c:pt idx="8">
                  <c:v>2.3890306462334001</c:v>
                </c:pt>
                <c:pt idx="9">
                  <c:v>1.2395557134541912</c:v>
                </c:pt>
              </c:numCache>
            </c:numRef>
          </c:xVal>
          <c:yVal>
            <c:numRef>
              <c:f>ACP_HID2!$B$1:$B$10</c:f>
              <c:numCache>
                <c:formatCode>General</c:formatCode>
                <c:ptCount val="10"/>
                <c:pt idx="0">
                  <c:v>2.8678305523301479</c:v>
                </c:pt>
                <c:pt idx="1">
                  <c:v>-1.2519393170695094</c:v>
                </c:pt>
                <c:pt idx="2">
                  <c:v>1.526469920572218E-3</c:v>
                </c:pt>
                <c:pt idx="3">
                  <c:v>0.52565681808269815</c:v>
                </c:pt>
                <c:pt idx="4">
                  <c:v>0.28289047429415243</c:v>
                </c:pt>
                <c:pt idx="5">
                  <c:v>0.22586075562207761</c:v>
                </c:pt>
                <c:pt idx="6">
                  <c:v>2.6678248723124263</c:v>
                </c:pt>
                <c:pt idx="7">
                  <c:v>3.2480002987770771</c:v>
                </c:pt>
                <c:pt idx="8">
                  <c:v>-0.13125992791654578</c:v>
                </c:pt>
                <c:pt idx="9">
                  <c:v>2.9475272052373787</c:v>
                </c:pt>
              </c:numCache>
            </c:numRef>
          </c:yVal>
          <c:smooth val="0"/>
          <c:extLst xmlns:c16r2="http://schemas.microsoft.com/office/drawing/2015/06/chart">
            <c:ext xmlns:c16="http://schemas.microsoft.com/office/drawing/2014/chart" uri="{C3380CC4-5D6E-409C-BE32-E72D297353CC}">
              <c16:uniqueId val="{0000000A-1C3D-487F-A1E8-49C92DBFAB8F}"/>
            </c:ext>
          </c:extLst>
        </c:ser>
        <c:ser>
          <c:idx val="1"/>
          <c:order val="1"/>
          <c:tx>
            <c:v>Observaciones activas</c:v>
          </c:tx>
          <c:spPr>
            <a:ln w="25400">
              <a:noFill/>
            </a:ln>
            <a:effectLst/>
          </c:spPr>
          <c:marker>
            <c:symbol val="circle"/>
            <c:size val="3"/>
            <c:spPr>
              <a:solidFill>
                <a:srgbClr val="003CE6"/>
              </a:solidFill>
              <a:ln w="6350">
                <a:solidFill>
                  <a:srgbClr val="003CE6"/>
                </a:solidFill>
                <a:prstDash val="solid"/>
              </a:ln>
            </c:spPr>
          </c:marker>
          <c:dLbls>
            <c:dLbl>
              <c:idx val="0"/>
              <c:layout>
                <c:manualLayout>
                  <c:x val="-1.6025641025641083E-2"/>
                  <c:y val="-3.0864197530864206E-2"/>
                </c:manualLayout>
              </c:layout>
              <c:tx>
                <c:rich>
                  <a:bodyPr/>
                  <a:lstStyle/>
                  <a:p>
                    <a:r>
                      <a:rPr lang="en-US"/>
                      <a:t>Akuanandi</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1C3D-487F-A1E8-49C92DBFAB8F}"/>
                </c:ext>
              </c:extLst>
            </c:dLbl>
            <c:dLbl>
              <c:idx val="1"/>
              <c:layout>
                <c:manualLayout>
                  <c:x val="-1.6025641025641024E-2"/>
                  <c:y val="-3.0864197530864144E-2"/>
                </c:manualLayout>
              </c:layout>
              <c:tx>
                <c:rich>
                  <a:bodyPr/>
                  <a:lstStyle/>
                  <a:p>
                    <a:r>
                      <a:rPr lang="en-US"/>
                      <a:t>De Font Quer</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1C3D-487F-A1E8-49C92DBFAB8F}"/>
                </c:ext>
              </c:extLst>
            </c:dLbl>
            <c:dLbl>
              <c:idx val="2"/>
              <c:layout>
                <c:manualLayout>
                  <c:x val="-1.6025641025641024E-2"/>
                  <c:y val="1.7361111111111119E-2"/>
                </c:manualLayout>
              </c:layout>
              <c:tx>
                <c:rich>
                  <a:bodyPr/>
                  <a:lstStyle/>
                  <a:p>
                    <a:r>
                      <a:rPr lang="en-US"/>
                      <a:t>Mas lait</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1C3D-487F-A1E8-49C92DBFAB8F}"/>
                </c:ext>
              </c:extLst>
            </c:dLbl>
            <c:dLbl>
              <c:idx val="3"/>
              <c:layout>
                <c:manualLayout>
                  <c:x val="-8.9663587724611332E-2"/>
                  <c:y val="1.7361111111110977E-2"/>
                </c:manualLayout>
              </c:layout>
              <c:tx>
                <c:rich>
                  <a:bodyPr/>
                  <a:lstStyle/>
                  <a:p>
                    <a:r>
                      <a:rPr lang="en-US"/>
                      <a:t>Terbal</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1C3D-487F-A1E8-49C92DBFAB8F}"/>
                </c:ext>
              </c:extLst>
            </c:dLbl>
            <c:dLbl>
              <c:idx val="4"/>
              <c:layout>
                <c:manualLayout>
                  <c:x val="-0.11882646880678377"/>
                  <c:y val="-3.0864197530864206E-2"/>
                </c:manualLayout>
              </c:layout>
              <c:tx>
                <c:rich>
                  <a:bodyPr/>
                  <a:lstStyle/>
                  <a:p>
                    <a:r>
                      <a:rPr lang="en-US"/>
                      <a:t>Infusionate</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1C3D-487F-A1E8-49C92DBFAB8F}"/>
                </c:ext>
              </c:extLst>
            </c:dLbl>
            <c:spPr>
              <a:noFill/>
              <a:ln>
                <a:noFill/>
              </a:ln>
              <a:effectLst/>
            </c:spPr>
            <c:txPr>
              <a:bodyPr rot="0" vert="horz" wrap="square" lIns="38100" tIns="19050" rIns="38100" bIns="19050" anchor="ctr">
                <a:spAutoFit/>
              </a:bodyPr>
              <a:lstStyle/>
              <a:p>
                <a:pPr>
                  <a:defRPr sz="700">
                    <a:solidFill>
                      <a:srgbClr val="003CE6"/>
                    </a:solidFill>
                  </a:defRPr>
                </a:pPr>
                <a:endParaRPr lang="en-US"/>
              </a:p>
            </c:txPr>
            <c:dLblPos val="r"/>
            <c:showLegendKey val="0"/>
            <c:showVal val="0"/>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ACP_HID2!$A$11:$A$15</c:f>
              <c:numCache>
                <c:formatCode>General</c:formatCode>
                <c:ptCount val="5"/>
                <c:pt idx="0">
                  <c:v>0.92819575694891565</c:v>
                </c:pt>
                <c:pt idx="1">
                  <c:v>2.2736647593245398</c:v>
                </c:pt>
                <c:pt idx="2">
                  <c:v>2.5917618298261136</c:v>
                </c:pt>
                <c:pt idx="3">
                  <c:v>-2.727575715136735</c:v>
                </c:pt>
                <c:pt idx="4">
                  <c:v>-3.0660466309628367</c:v>
                </c:pt>
              </c:numCache>
            </c:numRef>
          </c:xVal>
          <c:yVal>
            <c:numRef>
              <c:f>ACP_HID2!$B$11:$B$15</c:f>
              <c:numCache>
                <c:formatCode>General</c:formatCode>
                <c:ptCount val="5"/>
                <c:pt idx="0">
                  <c:v>3.0257014525013766</c:v>
                </c:pt>
                <c:pt idx="1">
                  <c:v>0.13328008569589436</c:v>
                </c:pt>
                <c:pt idx="2">
                  <c:v>-2.1846197094043762</c:v>
                </c:pt>
                <c:pt idx="3">
                  <c:v>-1.2908119738893717</c:v>
                </c:pt>
                <c:pt idx="4">
                  <c:v>0.31645014509647384</c:v>
                </c:pt>
              </c:numCache>
            </c:numRef>
          </c:yVal>
          <c:smooth val="0"/>
          <c:extLst xmlns:c16r2="http://schemas.microsoft.com/office/drawing/2015/06/chart">
            <c:ext xmlns:c16="http://schemas.microsoft.com/office/drawing/2014/chart" uri="{C3380CC4-5D6E-409C-BE32-E72D297353CC}">
              <c16:uniqueId val="{00000010-1C3D-487F-A1E8-49C92DBFAB8F}"/>
            </c:ext>
          </c:extLst>
        </c:ser>
        <c:ser>
          <c:idx val="2"/>
          <c:order val="2"/>
          <c:tx>
            <c:v/>
          </c:tx>
          <c:spPr>
            <a:ln w="6350">
              <a:solidFill>
                <a:srgbClr val="FF0000"/>
              </a:solidFill>
              <a:prstDash val="solid"/>
            </a:ln>
            <a:effectLst/>
          </c:spPr>
          <c:marker>
            <c:symbol val="none"/>
          </c:marker>
          <c:xVal>
            <c:numLit>
              <c:formatCode>General</c:formatCode>
              <c:ptCount val="2"/>
              <c:pt idx="0">
                <c:v>0</c:v>
              </c:pt>
              <c:pt idx="1">
                <c:v>0.18004896023264444</c:v>
              </c:pt>
            </c:numLit>
          </c:xVal>
          <c:yVal>
            <c:numLit>
              <c:formatCode>General</c:formatCode>
              <c:ptCount val="2"/>
              <c:pt idx="0">
                <c:v>0</c:v>
              </c:pt>
              <c:pt idx="1">
                <c:v>2.8678305523301479</c:v>
              </c:pt>
            </c:numLit>
          </c:yVal>
          <c:smooth val="0"/>
          <c:extLst xmlns:c16r2="http://schemas.microsoft.com/office/drawing/2015/06/chart">
            <c:ext xmlns:c16="http://schemas.microsoft.com/office/drawing/2014/chart" uri="{C3380CC4-5D6E-409C-BE32-E72D297353CC}">
              <c16:uniqueId val="{00000011-1C3D-487F-A1E8-49C92DBFAB8F}"/>
            </c:ext>
          </c:extLst>
        </c:ser>
        <c:ser>
          <c:idx val="3"/>
          <c:order val="3"/>
          <c:tx>
            <c:v/>
          </c:tx>
          <c:spPr>
            <a:ln w="6350">
              <a:solidFill>
                <a:srgbClr val="FF0000"/>
              </a:solidFill>
              <a:prstDash val="solid"/>
            </a:ln>
            <a:effectLst/>
          </c:spPr>
          <c:marker>
            <c:symbol val="none"/>
          </c:marker>
          <c:xVal>
            <c:numLit>
              <c:formatCode>General</c:formatCode>
              <c:ptCount val="2"/>
              <c:pt idx="0">
                <c:v>0</c:v>
              </c:pt>
              <c:pt idx="1">
                <c:v>2.2966108673414198</c:v>
              </c:pt>
            </c:numLit>
          </c:xVal>
          <c:yVal>
            <c:numLit>
              <c:formatCode>General</c:formatCode>
              <c:ptCount val="2"/>
              <c:pt idx="0">
                <c:v>0</c:v>
              </c:pt>
              <c:pt idx="1">
                <c:v>-1.2519393170695094</c:v>
              </c:pt>
            </c:numLit>
          </c:yVal>
          <c:smooth val="0"/>
          <c:extLst xmlns:c16r2="http://schemas.microsoft.com/office/drawing/2015/06/chart">
            <c:ext xmlns:c16="http://schemas.microsoft.com/office/drawing/2014/chart" uri="{C3380CC4-5D6E-409C-BE32-E72D297353CC}">
              <c16:uniqueId val="{00000012-1C3D-487F-A1E8-49C92DBFAB8F}"/>
            </c:ext>
          </c:extLst>
        </c:ser>
        <c:ser>
          <c:idx val="4"/>
          <c:order val="4"/>
          <c:tx>
            <c:v/>
          </c:tx>
          <c:spPr>
            <a:ln w="6350">
              <a:solidFill>
                <a:srgbClr val="FF0000"/>
              </a:solidFill>
              <a:prstDash val="solid"/>
            </a:ln>
            <a:effectLst/>
          </c:spPr>
          <c:marker>
            <c:symbol val="none"/>
          </c:marker>
          <c:xVal>
            <c:numLit>
              <c:formatCode>General</c:formatCode>
              <c:ptCount val="2"/>
              <c:pt idx="0">
                <c:v>0</c:v>
              </c:pt>
              <c:pt idx="1">
                <c:v>2.2401833291474347</c:v>
              </c:pt>
            </c:numLit>
          </c:xVal>
          <c:yVal>
            <c:numLit>
              <c:formatCode>General</c:formatCode>
              <c:ptCount val="2"/>
              <c:pt idx="0">
                <c:v>0</c:v>
              </c:pt>
              <c:pt idx="1">
                <c:v>1.526469920572218E-3</c:v>
              </c:pt>
            </c:numLit>
          </c:yVal>
          <c:smooth val="0"/>
          <c:extLst xmlns:c16r2="http://schemas.microsoft.com/office/drawing/2015/06/chart">
            <c:ext xmlns:c16="http://schemas.microsoft.com/office/drawing/2014/chart" uri="{C3380CC4-5D6E-409C-BE32-E72D297353CC}">
              <c16:uniqueId val="{00000013-1C3D-487F-A1E8-49C92DBFAB8F}"/>
            </c:ext>
          </c:extLst>
        </c:ser>
        <c:ser>
          <c:idx val="5"/>
          <c:order val="5"/>
          <c:tx>
            <c:v/>
          </c:tx>
          <c:spPr>
            <a:ln w="6350">
              <a:solidFill>
                <a:srgbClr val="FF0000"/>
              </a:solidFill>
              <a:prstDash val="solid"/>
            </a:ln>
            <a:effectLst/>
          </c:spPr>
          <c:marker>
            <c:symbol val="none"/>
          </c:marker>
          <c:xVal>
            <c:numLit>
              <c:formatCode>General</c:formatCode>
              <c:ptCount val="2"/>
              <c:pt idx="0">
                <c:v>0</c:v>
              </c:pt>
              <c:pt idx="1">
                <c:v>2.3864420325412961</c:v>
              </c:pt>
            </c:numLit>
          </c:xVal>
          <c:yVal>
            <c:numLit>
              <c:formatCode>General</c:formatCode>
              <c:ptCount val="2"/>
              <c:pt idx="0">
                <c:v>0</c:v>
              </c:pt>
              <c:pt idx="1">
                <c:v>0.52565681808269815</c:v>
              </c:pt>
            </c:numLit>
          </c:yVal>
          <c:smooth val="0"/>
          <c:extLst xmlns:c16r2="http://schemas.microsoft.com/office/drawing/2015/06/chart">
            <c:ext xmlns:c16="http://schemas.microsoft.com/office/drawing/2014/chart" uri="{C3380CC4-5D6E-409C-BE32-E72D297353CC}">
              <c16:uniqueId val="{00000014-1C3D-487F-A1E8-49C92DBFAB8F}"/>
            </c:ext>
          </c:extLst>
        </c:ser>
        <c:ser>
          <c:idx val="6"/>
          <c:order val="6"/>
          <c:tx>
            <c:v/>
          </c:tx>
          <c:spPr>
            <a:ln w="6350">
              <a:solidFill>
                <a:srgbClr val="FF0000"/>
              </a:solidFill>
              <a:prstDash val="solid"/>
            </a:ln>
            <a:effectLst/>
          </c:spPr>
          <c:marker>
            <c:symbol val="none"/>
          </c:marker>
          <c:xVal>
            <c:numLit>
              <c:formatCode>General</c:formatCode>
              <c:ptCount val="2"/>
              <c:pt idx="0">
                <c:v>0</c:v>
              </c:pt>
              <c:pt idx="1">
                <c:v>2.4109796734020197</c:v>
              </c:pt>
            </c:numLit>
          </c:xVal>
          <c:yVal>
            <c:numLit>
              <c:formatCode>General</c:formatCode>
              <c:ptCount val="2"/>
              <c:pt idx="0">
                <c:v>0</c:v>
              </c:pt>
              <c:pt idx="1">
                <c:v>0.28289047429415243</c:v>
              </c:pt>
            </c:numLit>
          </c:yVal>
          <c:smooth val="0"/>
          <c:extLst xmlns:c16r2="http://schemas.microsoft.com/office/drawing/2015/06/chart">
            <c:ext xmlns:c16="http://schemas.microsoft.com/office/drawing/2014/chart" uri="{C3380CC4-5D6E-409C-BE32-E72D297353CC}">
              <c16:uniqueId val="{00000015-1C3D-487F-A1E8-49C92DBFAB8F}"/>
            </c:ext>
          </c:extLst>
        </c:ser>
        <c:ser>
          <c:idx val="7"/>
          <c:order val="7"/>
          <c:tx>
            <c:v/>
          </c:tx>
          <c:spPr>
            <a:ln w="6350">
              <a:solidFill>
                <a:srgbClr val="FF0000"/>
              </a:solidFill>
              <a:prstDash val="solid"/>
            </a:ln>
            <a:effectLst/>
          </c:spPr>
          <c:marker>
            <c:symbol val="none"/>
          </c:marker>
          <c:xVal>
            <c:numLit>
              <c:formatCode>General</c:formatCode>
              <c:ptCount val="2"/>
              <c:pt idx="0">
                <c:v>0</c:v>
              </c:pt>
              <c:pt idx="1">
                <c:v>2.4528373047702687</c:v>
              </c:pt>
            </c:numLit>
          </c:xVal>
          <c:yVal>
            <c:numLit>
              <c:formatCode>General</c:formatCode>
              <c:ptCount val="2"/>
              <c:pt idx="0">
                <c:v>0</c:v>
              </c:pt>
              <c:pt idx="1">
                <c:v>0.22586075562207761</c:v>
              </c:pt>
            </c:numLit>
          </c:yVal>
          <c:smooth val="0"/>
          <c:extLst xmlns:c16r2="http://schemas.microsoft.com/office/drawing/2015/06/chart">
            <c:ext xmlns:c16="http://schemas.microsoft.com/office/drawing/2014/chart" uri="{C3380CC4-5D6E-409C-BE32-E72D297353CC}">
              <c16:uniqueId val="{00000016-1C3D-487F-A1E8-49C92DBFAB8F}"/>
            </c:ext>
          </c:extLst>
        </c:ser>
        <c:ser>
          <c:idx val="8"/>
          <c:order val="8"/>
          <c:tx>
            <c:v/>
          </c:tx>
          <c:spPr>
            <a:ln w="6350">
              <a:solidFill>
                <a:srgbClr val="FF0000"/>
              </a:solidFill>
              <a:prstDash val="solid"/>
            </a:ln>
            <a:effectLst/>
          </c:spPr>
          <c:marker>
            <c:symbol val="none"/>
          </c:marker>
          <c:xVal>
            <c:numLit>
              <c:formatCode>General</c:formatCode>
              <c:ptCount val="2"/>
              <c:pt idx="0">
                <c:v>0</c:v>
              </c:pt>
              <c:pt idx="1">
                <c:v>-1.2133266425822273</c:v>
              </c:pt>
            </c:numLit>
          </c:xVal>
          <c:yVal>
            <c:numLit>
              <c:formatCode>General</c:formatCode>
              <c:ptCount val="2"/>
              <c:pt idx="0">
                <c:v>0</c:v>
              </c:pt>
              <c:pt idx="1">
                <c:v>2.6678248723124263</c:v>
              </c:pt>
            </c:numLit>
          </c:yVal>
          <c:smooth val="0"/>
          <c:extLst xmlns:c16r2="http://schemas.microsoft.com/office/drawing/2015/06/chart">
            <c:ext xmlns:c16="http://schemas.microsoft.com/office/drawing/2014/chart" uri="{C3380CC4-5D6E-409C-BE32-E72D297353CC}">
              <c16:uniqueId val="{00000017-1C3D-487F-A1E8-49C92DBFAB8F}"/>
            </c:ext>
          </c:extLst>
        </c:ser>
        <c:ser>
          <c:idx val="9"/>
          <c:order val="9"/>
          <c:tx>
            <c:v/>
          </c:tx>
          <c:spPr>
            <a:ln w="6350">
              <a:solidFill>
                <a:srgbClr val="FF0000"/>
              </a:solidFill>
              <a:prstDash val="solid"/>
            </a:ln>
            <a:effectLst/>
          </c:spPr>
          <c:marker>
            <c:symbol val="none"/>
          </c:marker>
          <c:xVal>
            <c:numLit>
              <c:formatCode>General</c:formatCode>
              <c:ptCount val="2"/>
              <c:pt idx="0">
                <c:v>0</c:v>
              </c:pt>
              <c:pt idx="1">
                <c:v>-7.3319463250476877E-2</c:v>
              </c:pt>
            </c:numLit>
          </c:xVal>
          <c:yVal>
            <c:numLit>
              <c:formatCode>General</c:formatCode>
              <c:ptCount val="2"/>
              <c:pt idx="0">
                <c:v>0</c:v>
              </c:pt>
              <c:pt idx="1">
                <c:v>3.2480002987770771</c:v>
              </c:pt>
            </c:numLit>
          </c:yVal>
          <c:smooth val="0"/>
          <c:extLst xmlns:c16r2="http://schemas.microsoft.com/office/drawing/2015/06/chart">
            <c:ext xmlns:c16="http://schemas.microsoft.com/office/drawing/2014/chart" uri="{C3380CC4-5D6E-409C-BE32-E72D297353CC}">
              <c16:uniqueId val="{00000018-1C3D-487F-A1E8-49C92DBFAB8F}"/>
            </c:ext>
          </c:extLst>
        </c:ser>
        <c:ser>
          <c:idx val="10"/>
          <c:order val="10"/>
          <c:tx>
            <c:v/>
          </c:tx>
          <c:spPr>
            <a:ln w="6350">
              <a:solidFill>
                <a:srgbClr val="FF0000"/>
              </a:solidFill>
              <a:prstDash val="solid"/>
            </a:ln>
            <a:effectLst/>
          </c:spPr>
          <c:marker>
            <c:symbol val="none"/>
          </c:marker>
          <c:xVal>
            <c:numLit>
              <c:formatCode>General</c:formatCode>
              <c:ptCount val="2"/>
              <c:pt idx="0">
                <c:v>0</c:v>
              </c:pt>
              <c:pt idx="1">
                <c:v>2.3890306462334001</c:v>
              </c:pt>
            </c:numLit>
          </c:xVal>
          <c:yVal>
            <c:numLit>
              <c:formatCode>General</c:formatCode>
              <c:ptCount val="2"/>
              <c:pt idx="0">
                <c:v>0</c:v>
              </c:pt>
              <c:pt idx="1">
                <c:v>-0.13125992791654578</c:v>
              </c:pt>
            </c:numLit>
          </c:yVal>
          <c:smooth val="0"/>
          <c:extLst xmlns:c16r2="http://schemas.microsoft.com/office/drawing/2015/06/chart">
            <c:ext xmlns:c16="http://schemas.microsoft.com/office/drawing/2014/chart" uri="{C3380CC4-5D6E-409C-BE32-E72D297353CC}">
              <c16:uniqueId val="{00000019-1C3D-487F-A1E8-49C92DBFAB8F}"/>
            </c:ext>
          </c:extLst>
        </c:ser>
        <c:ser>
          <c:idx val="11"/>
          <c:order val="11"/>
          <c:tx>
            <c:v/>
          </c:tx>
          <c:spPr>
            <a:ln w="6350">
              <a:solidFill>
                <a:srgbClr val="FF0000"/>
              </a:solidFill>
              <a:prstDash val="solid"/>
            </a:ln>
            <a:effectLst/>
          </c:spPr>
          <c:marker>
            <c:symbol val="none"/>
          </c:marker>
          <c:xVal>
            <c:numLit>
              <c:formatCode>General</c:formatCode>
              <c:ptCount val="2"/>
              <c:pt idx="0">
                <c:v>0</c:v>
              </c:pt>
              <c:pt idx="1">
                <c:v>1.2395557134541912</c:v>
              </c:pt>
            </c:numLit>
          </c:xVal>
          <c:yVal>
            <c:numLit>
              <c:formatCode>General</c:formatCode>
              <c:ptCount val="2"/>
              <c:pt idx="0">
                <c:v>0</c:v>
              </c:pt>
              <c:pt idx="1">
                <c:v>2.9475272052373787</c:v>
              </c:pt>
            </c:numLit>
          </c:yVal>
          <c:smooth val="0"/>
          <c:extLst xmlns:c16r2="http://schemas.microsoft.com/office/drawing/2015/06/chart">
            <c:ext xmlns:c16="http://schemas.microsoft.com/office/drawing/2014/chart" uri="{C3380CC4-5D6E-409C-BE32-E72D297353CC}">
              <c16:uniqueId val="{0000001A-1C3D-487F-A1E8-49C92DBFAB8F}"/>
            </c:ext>
          </c:extLst>
        </c:ser>
        <c:dLbls>
          <c:showLegendKey val="0"/>
          <c:showVal val="0"/>
          <c:showCatName val="0"/>
          <c:showSerName val="0"/>
          <c:showPercent val="0"/>
          <c:showBubbleSize val="0"/>
        </c:dLbls>
        <c:axId val="137655424"/>
        <c:axId val="137657344"/>
      </c:scatterChart>
      <c:valAx>
        <c:axId val="137655424"/>
        <c:scaling>
          <c:orientation val="minMax"/>
        </c:scaling>
        <c:delete val="0"/>
        <c:axPos val="b"/>
        <c:title>
          <c:tx>
            <c:rich>
              <a:bodyPr/>
              <a:lstStyle/>
              <a:p>
                <a:pPr>
                  <a:defRPr sz="800" b="0">
                    <a:latin typeface="Arial"/>
                    <a:ea typeface="Arial"/>
                    <a:cs typeface="Arial"/>
                  </a:defRPr>
                </a:pPr>
                <a:r>
                  <a:rPr lang="es-MX"/>
                  <a:t>F1 (59.18 %)</a:t>
                </a:r>
              </a:p>
            </c:rich>
          </c:tx>
          <c:overlay val="0"/>
        </c:title>
        <c:numFmt formatCode="General" sourceLinked="0"/>
        <c:majorTickMark val="none"/>
        <c:minorTickMark val="none"/>
        <c:tickLblPos val="low"/>
        <c:txPr>
          <a:bodyPr rot="0" vert="horz"/>
          <a:lstStyle/>
          <a:p>
            <a:pPr>
              <a:defRPr sz="700"/>
            </a:pPr>
            <a:endParaRPr lang="en-US"/>
          </a:p>
        </c:txPr>
        <c:crossAx val="137657344"/>
        <c:crosses val="autoZero"/>
        <c:crossBetween val="midCat"/>
      </c:valAx>
      <c:valAx>
        <c:axId val="137657344"/>
        <c:scaling>
          <c:orientation val="minMax"/>
        </c:scaling>
        <c:delete val="0"/>
        <c:axPos val="l"/>
        <c:title>
          <c:tx>
            <c:rich>
              <a:bodyPr/>
              <a:lstStyle/>
              <a:p>
                <a:pPr>
                  <a:defRPr sz="800" b="0">
                    <a:latin typeface="Arial"/>
                    <a:ea typeface="Arial"/>
                    <a:cs typeface="Arial"/>
                  </a:defRPr>
                </a:pPr>
                <a:r>
                  <a:rPr lang="es-MX"/>
                  <a:t>F2 (31.42 %)</a:t>
                </a:r>
              </a:p>
            </c:rich>
          </c:tx>
          <c:overlay val="0"/>
        </c:title>
        <c:numFmt formatCode="General" sourceLinked="0"/>
        <c:majorTickMark val="cross"/>
        <c:minorTickMark val="none"/>
        <c:tickLblPos val="low"/>
        <c:txPr>
          <a:bodyPr/>
          <a:lstStyle/>
          <a:p>
            <a:pPr>
              <a:defRPr sz="700"/>
            </a:pPr>
            <a:endParaRPr lang="en-US"/>
          </a:p>
        </c:txPr>
        <c:crossAx val="137655424"/>
        <c:crosses val="autoZero"/>
        <c:crossBetween val="midCat"/>
      </c:valAx>
      <c:spPr>
        <a:ln>
          <a:solidFill>
            <a:srgbClr val="C0C0C0"/>
          </a:solidFill>
          <a:prstDash val="solid"/>
        </a:ln>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89033-D16D-4FD6-A9CA-92BBB8C85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18</Pages>
  <Words>17718</Words>
  <Characters>100996</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MJAS Vol 24 No 3 (2020)</vt:lpstr>
    </vt:vector>
  </TitlesOfParts>
  <Company>UKM</Company>
  <LinksUpToDate>false</LinksUpToDate>
  <CharactersWithSpaces>118478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3 (2020)</dc:title>
  <dc:creator>Harun Hj Hamzah</dc:creator>
  <cp:lastModifiedBy>Harun</cp:lastModifiedBy>
  <cp:revision>35</cp:revision>
  <cp:lastPrinted>2020-06-02T02:38:00Z</cp:lastPrinted>
  <dcterms:created xsi:type="dcterms:W3CDTF">2020-05-20T03:45:00Z</dcterms:created>
  <dcterms:modified xsi:type="dcterms:W3CDTF">2020-06-04T04:47:00Z</dcterms:modified>
</cp:coreProperties>
</file>