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0D7C37" w:rsidRPr="0045064D" w:rsidRDefault="000D7C37" w:rsidP="000D7C37">
      <w:pPr>
        <w:spacing w:after="0"/>
        <w:jc w:val="center"/>
        <w:outlineLvl w:val="0"/>
        <w:rPr>
          <w:rFonts w:ascii="Times New Roman" w:hAnsi="Times New Roman"/>
          <w:sz w:val="28"/>
        </w:rPr>
      </w:pPr>
      <w:r w:rsidRPr="0045064D">
        <w:rPr>
          <w:rFonts w:ascii="Times New Roman" w:hAnsi="Times New Roman"/>
          <w:sz w:val="28"/>
        </w:rPr>
        <w:t>PERFORMANCE OF CERAMIC MEMBRANE COATED WITH GRAPHE</w:t>
      </w:r>
      <w:r>
        <w:rPr>
          <w:rFonts w:ascii="Times New Roman" w:hAnsi="Times New Roman"/>
          <w:sz w:val="28"/>
        </w:rPr>
        <w:t xml:space="preserve">NE OXIDE AS ALTERNATIVE FOR OILY </w:t>
      </w:r>
      <w:r w:rsidRPr="0045064D">
        <w:rPr>
          <w:rFonts w:ascii="Times New Roman" w:hAnsi="Times New Roman"/>
          <w:sz w:val="28"/>
        </w:rPr>
        <w:t>WASTEWATER TREATMENT</w:t>
      </w:r>
    </w:p>
    <w:p w:rsidR="000D7C37" w:rsidRPr="0045064D" w:rsidRDefault="000D7C37" w:rsidP="000D7C37">
      <w:pPr>
        <w:spacing w:after="0"/>
        <w:jc w:val="center"/>
        <w:outlineLvl w:val="0"/>
        <w:rPr>
          <w:rFonts w:ascii="Times New Roman" w:hAnsi="Times New Roman"/>
          <w:b/>
          <w:sz w:val="24"/>
        </w:rPr>
      </w:pPr>
    </w:p>
    <w:p w:rsidR="000D7C37" w:rsidRPr="0045064D" w:rsidRDefault="000D7C37" w:rsidP="000D7C37">
      <w:pPr>
        <w:spacing w:after="0"/>
        <w:jc w:val="center"/>
        <w:outlineLvl w:val="0"/>
        <w:rPr>
          <w:rFonts w:ascii="Times New Roman" w:hAnsi="Times New Roman"/>
          <w:noProof/>
          <w:sz w:val="24"/>
        </w:rPr>
      </w:pPr>
      <w:r w:rsidRPr="0045064D">
        <w:rPr>
          <w:rFonts w:ascii="Times New Roman" w:hAnsi="Times New Roman"/>
          <w:sz w:val="24"/>
        </w:rPr>
        <w:t>(</w:t>
      </w:r>
      <w:r w:rsidRPr="0045064D">
        <w:rPr>
          <w:rFonts w:ascii="Times New Roman" w:hAnsi="Times New Roman"/>
          <w:noProof/>
          <w:sz w:val="24"/>
        </w:rPr>
        <w:t>Prestasi Selaput Seramik Grafin Oksida Sebagai Pilihan Untuk</w:t>
      </w:r>
      <w:r>
        <w:rPr>
          <w:rFonts w:ascii="Times New Roman" w:hAnsi="Times New Roman"/>
          <w:noProof/>
          <w:sz w:val="24"/>
        </w:rPr>
        <w:t xml:space="preserve"> </w:t>
      </w:r>
      <w:r w:rsidRPr="0045064D">
        <w:rPr>
          <w:rFonts w:ascii="Times New Roman" w:hAnsi="Times New Roman"/>
          <w:noProof/>
          <w:sz w:val="24"/>
        </w:rPr>
        <w:t>Rawatan Air Sisa Berminyak</w:t>
      </w:r>
      <w:r w:rsidRPr="0045064D">
        <w:rPr>
          <w:rFonts w:ascii="Times New Roman" w:hAnsi="Times New Roman"/>
          <w:sz w:val="24"/>
        </w:rPr>
        <w:t>)</w:t>
      </w:r>
    </w:p>
    <w:p w:rsidR="000D7C37" w:rsidRPr="000D7C37" w:rsidRDefault="000D7C37" w:rsidP="000D7C37">
      <w:pPr>
        <w:spacing w:after="0"/>
        <w:jc w:val="center"/>
        <w:outlineLvl w:val="0"/>
        <w:rPr>
          <w:rFonts w:ascii="Times New Roman" w:hAnsi="Times New Roman"/>
          <w:b/>
          <w:sz w:val="20"/>
          <w:szCs w:val="20"/>
        </w:rPr>
      </w:pPr>
    </w:p>
    <w:p w:rsidR="000D7C37" w:rsidRPr="000D7C37" w:rsidRDefault="000D7C37" w:rsidP="000D7C37">
      <w:pPr>
        <w:spacing w:after="0"/>
        <w:jc w:val="center"/>
        <w:outlineLvl w:val="0"/>
        <w:rPr>
          <w:rFonts w:ascii="Times New Roman" w:hAnsi="Times New Roman"/>
          <w:b/>
          <w:sz w:val="20"/>
          <w:szCs w:val="20"/>
        </w:rPr>
      </w:pPr>
      <w:r w:rsidRPr="000D7C37">
        <w:rPr>
          <w:rFonts w:ascii="Times New Roman" w:hAnsi="Times New Roman"/>
          <w:sz w:val="20"/>
          <w:szCs w:val="20"/>
        </w:rPr>
        <w:t>Nurdiyana Nabilah Kasim</w:t>
      </w:r>
      <w:r w:rsidRPr="000D7C37">
        <w:rPr>
          <w:rFonts w:ascii="Times New Roman" w:hAnsi="Times New Roman"/>
          <w:sz w:val="20"/>
          <w:szCs w:val="20"/>
          <w:vertAlign w:val="superscript"/>
        </w:rPr>
        <w:t>1</w:t>
      </w:r>
      <w:r w:rsidRPr="000D7C37">
        <w:rPr>
          <w:rFonts w:ascii="Times New Roman" w:hAnsi="Times New Roman"/>
          <w:sz w:val="20"/>
          <w:szCs w:val="20"/>
        </w:rPr>
        <w:t>, Sharifah Abdullah</w:t>
      </w:r>
      <w:r w:rsidRPr="000D7C37">
        <w:rPr>
          <w:rFonts w:ascii="Times New Roman" w:hAnsi="Times New Roman"/>
          <w:sz w:val="20"/>
          <w:szCs w:val="20"/>
          <w:vertAlign w:val="superscript"/>
        </w:rPr>
        <w:t>1</w:t>
      </w:r>
      <w:r w:rsidRPr="000D7C37">
        <w:rPr>
          <w:rFonts w:ascii="Times New Roman" w:hAnsi="Times New Roman"/>
          <w:sz w:val="20"/>
          <w:szCs w:val="20"/>
        </w:rPr>
        <w:t>, Nur Asmaliza Mohd Noor</w:t>
      </w:r>
      <w:r w:rsidRPr="000D7C37">
        <w:rPr>
          <w:rFonts w:ascii="Times New Roman" w:hAnsi="Times New Roman"/>
          <w:sz w:val="20"/>
          <w:szCs w:val="20"/>
          <w:vertAlign w:val="superscript"/>
        </w:rPr>
        <w:t>2</w:t>
      </w:r>
      <w:r w:rsidRPr="000D7C37">
        <w:rPr>
          <w:rFonts w:ascii="Times New Roman" w:hAnsi="Times New Roman"/>
          <w:b/>
          <w:sz w:val="20"/>
          <w:szCs w:val="20"/>
        </w:rPr>
        <w:t>*</w:t>
      </w:r>
    </w:p>
    <w:p w:rsidR="000D7C37" w:rsidRPr="0045064D" w:rsidRDefault="000D7C37" w:rsidP="000D7C37">
      <w:pPr>
        <w:spacing w:after="0"/>
        <w:jc w:val="center"/>
        <w:outlineLvl w:val="0"/>
        <w:rPr>
          <w:rFonts w:ascii="Times New Roman" w:hAnsi="Times New Roman"/>
          <w:b/>
          <w:sz w:val="18"/>
          <w:szCs w:val="18"/>
        </w:rPr>
      </w:pPr>
    </w:p>
    <w:p w:rsidR="000D7C37"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vertAlign w:val="superscript"/>
        </w:rPr>
        <w:t>1</w:t>
      </w:r>
      <w:r w:rsidRPr="0045064D">
        <w:rPr>
          <w:rFonts w:ascii="Times New Roman" w:hAnsi="Times New Roman"/>
          <w:i/>
          <w:noProof/>
          <w:sz w:val="18"/>
          <w:szCs w:val="18"/>
        </w:rPr>
        <w:t>Faculty of Civil Engineering,</w:t>
      </w:r>
    </w:p>
    <w:p w:rsidR="000D7C37" w:rsidRPr="0045064D"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rPr>
        <w:t>Universiti Teknologi M</w:t>
      </w:r>
      <w:r>
        <w:rPr>
          <w:rFonts w:ascii="Times New Roman" w:hAnsi="Times New Roman"/>
          <w:i/>
          <w:noProof/>
          <w:sz w:val="18"/>
          <w:szCs w:val="18"/>
        </w:rPr>
        <w:t>ARA</w:t>
      </w:r>
      <w:r w:rsidRPr="0045064D">
        <w:rPr>
          <w:rFonts w:ascii="Times New Roman" w:hAnsi="Times New Roman"/>
          <w:i/>
          <w:noProof/>
          <w:sz w:val="18"/>
          <w:szCs w:val="18"/>
        </w:rPr>
        <w:t>, 40450 Shah Alam, Selangor</w:t>
      </w:r>
      <w:r>
        <w:rPr>
          <w:rFonts w:ascii="Times New Roman" w:hAnsi="Times New Roman"/>
          <w:i/>
          <w:noProof/>
          <w:sz w:val="18"/>
          <w:szCs w:val="18"/>
        </w:rPr>
        <w:t>, Malaysia</w:t>
      </w:r>
    </w:p>
    <w:p w:rsidR="000D7C37"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vertAlign w:val="superscript"/>
        </w:rPr>
        <w:t>2</w:t>
      </w:r>
      <w:r w:rsidRPr="0045064D">
        <w:rPr>
          <w:rFonts w:ascii="Times New Roman" w:hAnsi="Times New Roman"/>
          <w:i/>
          <w:noProof/>
          <w:sz w:val="18"/>
          <w:szCs w:val="18"/>
        </w:rPr>
        <w:t>Faculty of Civil Engineering,</w:t>
      </w:r>
    </w:p>
    <w:p w:rsidR="000D7C37" w:rsidRPr="0045064D" w:rsidRDefault="000D7C37" w:rsidP="000D7C37">
      <w:pPr>
        <w:spacing w:after="0"/>
        <w:jc w:val="center"/>
        <w:outlineLvl w:val="0"/>
        <w:rPr>
          <w:rFonts w:ascii="Times New Roman" w:hAnsi="Times New Roman"/>
          <w:i/>
          <w:noProof/>
          <w:sz w:val="18"/>
          <w:szCs w:val="18"/>
        </w:rPr>
      </w:pPr>
      <w:r w:rsidRPr="0045064D">
        <w:rPr>
          <w:rFonts w:ascii="Times New Roman" w:hAnsi="Times New Roman"/>
          <w:i/>
          <w:noProof/>
          <w:sz w:val="18"/>
          <w:szCs w:val="18"/>
        </w:rPr>
        <w:t>Universiti Teknologi M</w:t>
      </w:r>
      <w:r>
        <w:rPr>
          <w:rFonts w:ascii="Times New Roman" w:hAnsi="Times New Roman"/>
          <w:i/>
          <w:noProof/>
          <w:sz w:val="18"/>
          <w:szCs w:val="18"/>
        </w:rPr>
        <w:t>ARA</w:t>
      </w:r>
      <w:r w:rsidRPr="0045064D">
        <w:rPr>
          <w:rFonts w:ascii="Times New Roman" w:hAnsi="Times New Roman"/>
          <w:i/>
          <w:noProof/>
          <w:sz w:val="18"/>
          <w:szCs w:val="18"/>
        </w:rPr>
        <w:t xml:space="preserve"> Pahang</w:t>
      </w:r>
      <w:r w:rsidRPr="0045064D">
        <w:rPr>
          <w:rFonts w:ascii="Times New Roman" w:hAnsi="Times New Roman"/>
          <w:i/>
          <w:noProof/>
          <w:sz w:val="18"/>
          <w:szCs w:val="18"/>
          <w:shd w:val="clear" w:color="auto" w:fill="FFFFFF"/>
        </w:rPr>
        <w:t>, Lintasan Semarak 26400 Jengka, Pahang</w:t>
      </w:r>
      <w:r>
        <w:rPr>
          <w:rFonts w:ascii="Times New Roman" w:hAnsi="Times New Roman"/>
          <w:i/>
          <w:noProof/>
          <w:sz w:val="18"/>
          <w:szCs w:val="18"/>
          <w:shd w:val="clear" w:color="auto" w:fill="FFFFFF"/>
        </w:rPr>
        <w:t>, Malaysia</w:t>
      </w:r>
    </w:p>
    <w:p w:rsidR="000D7C37" w:rsidRPr="0045064D" w:rsidRDefault="000D7C37" w:rsidP="000D7C37">
      <w:pPr>
        <w:spacing w:after="0"/>
        <w:jc w:val="center"/>
        <w:outlineLvl w:val="0"/>
        <w:rPr>
          <w:rFonts w:ascii="Times New Roman" w:hAnsi="Times New Roman"/>
          <w:b/>
          <w:noProof/>
          <w:sz w:val="18"/>
          <w:szCs w:val="18"/>
        </w:rPr>
      </w:pPr>
    </w:p>
    <w:p w:rsidR="000D7C37" w:rsidRPr="0045064D" w:rsidRDefault="000D7C37" w:rsidP="000D7C37">
      <w:pPr>
        <w:spacing w:after="0"/>
        <w:jc w:val="center"/>
        <w:outlineLvl w:val="0"/>
        <w:rPr>
          <w:rFonts w:ascii="Times New Roman" w:hAnsi="Times New Roman"/>
          <w:i/>
          <w:sz w:val="18"/>
        </w:rPr>
      </w:pPr>
      <w:r w:rsidRPr="000D7C37">
        <w:rPr>
          <w:rFonts w:ascii="Times New Roman" w:hAnsi="Times New Roman"/>
          <w:i/>
          <w:sz w:val="18"/>
        </w:rPr>
        <w:t>*</w:t>
      </w:r>
      <w:r w:rsidRPr="0045064D">
        <w:rPr>
          <w:rFonts w:ascii="Times New Roman" w:hAnsi="Times New Roman"/>
          <w:i/>
          <w:sz w:val="18"/>
        </w:rPr>
        <w:t xml:space="preserve">Corresponding author: </w:t>
      </w:r>
      <w:r>
        <w:rPr>
          <w:rFonts w:ascii="Times New Roman" w:hAnsi="Times New Roman"/>
          <w:i/>
          <w:sz w:val="18"/>
        </w:rPr>
        <w:t xml:space="preserve"> </w:t>
      </w:r>
      <w:r w:rsidRPr="001E5784">
        <w:rPr>
          <w:rFonts w:ascii="Times New Roman" w:hAnsi="Times New Roman"/>
          <w:i/>
          <w:sz w:val="18"/>
        </w:rPr>
        <w:t>nurasmaliza@uitm.edu.my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D56A7">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AD56A7">
        <w:rPr>
          <w:rFonts w:ascii="Times New Roman" w:hAnsi="Times New Roman"/>
          <w:noProof/>
          <w:sz w:val="18"/>
          <w:szCs w:val="18"/>
          <w:lang w:bidi="ar-SA"/>
        </w:rPr>
        <w:t>5 April 2020</w:t>
      </w:r>
      <w:r w:rsidR="00F82059">
        <w:rPr>
          <w:rFonts w:ascii="Times New Roman" w:hAnsi="Times New Roman"/>
          <w:noProof/>
          <w:sz w:val="18"/>
          <w:szCs w:val="18"/>
          <w:lang w:bidi="ar-SA"/>
        </w:rPr>
        <w:t xml:space="preserve">; Published:  </w:t>
      </w:r>
      <w:r w:rsidR="000148FF">
        <w:rPr>
          <w:rFonts w:ascii="Times New Roman" w:hAnsi="Times New Roman"/>
          <w:noProof/>
          <w:sz w:val="18"/>
          <w:szCs w:val="18"/>
          <w:lang w:bidi="ar-SA"/>
        </w:rPr>
        <w:t xml:space="preserve">9 </w:t>
      </w:r>
      <w:bookmarkStart w:id="0" w:name="_GoBack"/>
      <w:bookmarkEnd w:id="0"/>
      <w:r w:rsidR="00AD56A7">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D7C37" w:rsidRPr="0045064D" w:rsidRDefault="000D7C37" w:rsidP="000D7C37">
      <w:pPr>
        <w:spacing w:after="0"/>
        <w:jc w:val="both"/>
        <w:outlineLvl w:val="0"/>
        <w:rPr>
          <w:rFonts w:ascii="Times New Roman" w:hAnsi="Times New Roman"/>
          <w:sz w:val="18"/>
          <w:szCs w:val="18"/>
        </w:rPr>
      </w:pPr>
      <w:r w:rsidRPr="0045064D">
        <w:rPr>
          <w:rFonts w:ascii="Times New Roman" w:hAnsi="Times New Roman"/>
          <w:sz w:val="18"/>
          <w:szCs w:val="18"/>
        </w:rPr>
        <w:t>The high demand for liquefied natural gas (LNG) contributes to the increasing production of LNG thus leading to the increment of oily wastewater. The membrane technology shows a very promising alternative to replace the conventional method to treat oily wastewater. The objectives of this study are to synthesize graphene oxide (GO) as a modifier to graphitic carbon nitride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for alumina ceramic membrane, to characterize the structure of nanosheet and bulk of graphitic carbon nitride, graphene oxide and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composite which leads to the study of the performance of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coated alumina ceramic photocatalytic membrane to degrade oil in oily wastewater. The methodology started with the material preparation, photocatalyse membrane preparation and the characterization of material using X-</w:t>
      </w:r>
      <w:r>
        <w:rPr>
          <w:rFonts w:ascii="Times New Roman" w:hAnsi="Times New Roman"/>
          <w:sz w:val="18"/>
          <w:szCs w:val="18"/>
        </w:rPr>
        <w:t>r</w:t>
      </w:r>
      <w:r w:rsidRPr="0045064D">
        <w:rPr>
          <w:rFonts w:ascii="Times New Roman" w:hAnsi="Times New Roman"/>
          <w:sz w:val="18"/>
          <w:szCs w:val="18"/>
        </w:rPr>
        <w:t xml:space="preserve">ay diffraction (XRD), </w:t>
      </w:r>
      <w:r>
        <w:rPr>
          <w:rFonts w:ascii="Times New Roman" w:hAnsi="Times New Roman"/>
          <w:sz w:val="18"/>
          <w:szCs w:val="18"/>
        </w:rPr>
        <w:t>Fourier Transformation Infrared (</w:t>
      </w:r>
      <w:r w:rsidRPr="0045064D">
        <w:rPr>
          <w:rFonts w:ascii="Times New Roman" w:hAnsi="Times New Roman"/>
          <w:sz w:val="18"/>
          <w:szCs w:val="18"/>
        </w:rPr>
        <w:t>FTIR</w:t>
      </w:r>
      <w:r>
        <w:rPr>
          <w:rFonts w:ascii="Times New Roman" w:hAnsi="Times New Roman"/>
          <w:sz w:val="18"/>
          <w:szCs w:val="18"/>
        </w:rPr>
        <w:t>)</w:t>
      </w:r>
      <w:r w:rsidRPr="0045064D">
        <w:rPr>
          <w:rFonts w:ascii="Times New Roman" w:hAnsi="Times New Roman"/>
          <w:sz w:val="18"/>
          <w:szCs w:val="18"/>
        </w:rPr>
        <w:t xml:space="preserve"> analysis, Brunauer Emmet Teller (BET) surface area analyses and UV-V</w:t>
      </w:r>
      <w:r>
        <w:rPr>
          <w:rFonts w:ascii="Times New Roman" w:hAnsi="Times New Roman"/>
          <w:sz w:val="18"/>
          <w:szCs w:val="18"/>
        </w:rPr>
        <w:t>is-</w:t>
      </w:r>
      <w:r w:rsidRPr="0045064D">
        <w:rPr>
          <w:rFonts w:ascii="Times New Roman" w:hAnsi="Times New Roman"/>
          <w:sz w:val="18"/>
          <w:szCs w:val="18"/>
        </w:rPr>
        <w:t>NIR spectrophotometer analysis. The last method is the degradation of methylene blue (MB) dye and photocatalytic study degradation of oil in wastewater using synthesis oily wastewater. The results indicated the g- 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reduced 73.79% of the MB dye compared to 38.85% and 62.71% for bulk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and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nanosheet respectively. The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/GO composite photocatalyst showed remarkable photocatalytic efficiency rather than bulk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and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nanosheet. Thus, the introduction of GO into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has improved the charge separation efficiency of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 xml:space="preserve"> and improving the organic degradation potential of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w:t>
      </w:r>
    </w:p>
    <w:p w:rsidR="000D7C37" w:rsidRPr="0045064D" w:rsidRDefault="000D7C37" w:rsidP="000D7C37">
      <w:pPr>
        <w:spacing w:after="0"/>
        <w:jc w:val="both"/>
        <w:outlineLvl w:val="0"/>
        <w:rPr>
          <w:rFonts w:ascii="Times New Roman" w:hAnsi="Times New Roman"/>
          <w:b/>
          <w:sz w:val="18"/>
          <w:szCs w:val="18"/>
        </w:rPr>
      </w:pPr>
    </w:p>
    <w:p w:rsidR="000D7C37" w:rsidRPr="0045064D" w:rsidRDefault="000D7C37" w:rsidP="000D7C37">
      <w:pPr>
        <w:spacing w:after="0"/>
        <w:jc w:val="both"/>
        <w:outlineLvl w:val="0"/>
        <w:rPr>
          <w:rFonts w:ascii="Times New Roman" w:hAnsi="Times New Roman"/>
        </w:rPr>
      </w:pPr>
      <w:r w:rsidRPr="0045064D">
        <w:rPr>
          <w:rFonts w:ascii="Times New Roman" w:hAnsi="Times New Roman"/>
          <w:b/>
          <w:sz w:val="18"/>
          <w:szCs w:val="18"/>
        </w:rPr>
        <w:t>Keywords</w:t>
      </w:r>
      <w:r w:rsidRPr="0045064D">
        <w:rPr>
          <w:rFonts w:ascii="Times New Roman" w:hAnsi="Times New Roman"/>
          <w:b/>
          <w:bCs/>
          <w:sz w:val="18"/>
          <w:szCs w:val="18"/>
        </w:rPr>
        <w:t>:</w:t>
      </w:r>
      <w:r w:rsidRPr="0045064D">
        <w:rPr>
          <w:rFonts w:ascii="Times New Roman" w:hAnsi="Times New Roman"/>
          <w:b/>
          <w:bCs/>
          <w:position w:val="1"/>
          <w:sz w:val="24"/>
          <w:szCs w:val="24"/>
        </w:rPr>
        <w:t xml:space="preserve"> </w:t>
      </w:r>
      <w:r>
        <w:rPr>
          <w:rFonts w:ascii="Times New Roman" w:hAnsi="Times New Roman"/>
          <w:b/>
          <w:bCs/>
          <w:position w:val="1"/>
          <w:sz w:val="24"/>
          <w:szCs w:val="24"/>
        </w:rPr>
        <w:t xml:space="preserve"> </w:t>
      </w:r>
      <w:r w:rsidRPr="0045064D">
        <w:rPr>
          <w:rFonts w:ascii="Times New Roman" w:hAnsi="Times New Roman"/>
          <w:sz w:val="18"/>
          <w:szCs w:val="18"/>
        </w:rPr>
        <w:t>alumina, g-C</w:t>
      </w:r>
      <w:r w:rsidRPr="0045064D">
        <w:rPr>
          <w:rFonts w:ascii="Times New Roman" w:hAnsi="Times New Roman"/>
          <w:sz w:val="18"/>
          <w:szCs w:val="18"/>
          <w:vertAlign w:val="subscript"/>
        </w:rPr>
        <w:t>3</w:t>
      </w:r>
      <w:r w:rsidRPr="0045064D">
        <w:rPr>
          <w:rFonts w:ascii="Times New Roman" w:hAnsi="Times New Roman"/>
          <w:sz w:val="18"/>
          <w:szCs w:val="18"/>
        </w:rPr>
        <w:t>N</w:t>
      </w:r>
      <w:r w:rsidRPr="0045064D">
        <w:rPr>
          <w:rFonts w:ascii="Times New Roman" w:hAnsi="Times New Roman"/>
          <w:sz w:val="18"/>
          <w:szCs w:val="18"/>
          <w:vertAlign w:val="subscript"/>
        </w:rPr>
        <w:t>4</w:t>
      </w:r>
      <w:r w:rsidRPr="0045064D">
        <w:rPr>
          <w:rFonts w:ascii="Times New Roman" w:hAnsi="Times New Roman"/>
          <w:sz w:val="18"/>
          <w:szCs w:val="18"/>
        </w:rPr>
        <w:t>,</w:t>
      </w:r>
      <w:r>
        <w:rPr>
          <w:rFonts w:ascii="Times New Roman" w:hAnsi="Times New Roman"/>
          <w:sz w:val="18"/>
          <w:szCs w:val="18"/>
        </w:rPr>
        <w:t xml:space="preserve"> </w:t>
      </w:r>
      <w:r w:rsidRPr="0045064D">
        <w:rPr>
          <w:rFonts w:ascii="Times New Roman" w:hAnsi="Times New Roman"/>
          <w:sz w:val="18"/>
          <w:szCs w:val="18"/>
        </w:rPr>
        <w:t>graphene oxide, photocatalytic membrane,</w:t>
      </w:r>
      <w:bookmarkStart w:id="1" w:name="I._INTRODUCTION"/>
      <w:bookmarkEnd w:id="1"/>
      <w:r w:rsidR="00E219DD">
        <w:rPr>
          <w:rFonts w:ascii="Times New Roman" w:hAnsi="Times New Roman"/>
          <w:sz w:val="18"/>
          <w:szCs w:val="18"/>
        </w:rPr>
        <w:t xml:space="preserve"> oily wastewater</w:t>
      </w:r>
    </w:p>
    <w:p w:rsidR="000D7C37" w:rsidRPr="0045064D" w:rsidRDefault="000D7C37" w:rsidP="000D7C37">
      <w:pPr>
        <w:spacing w:after="0"/>
        <w:jc w:val="center"/>
        <w:outlineLvl w:val="0"/>
        <w:rPr>
          <w:rFonts w:ascii="Times New Roman" w:hAnsi="Times New Roman"/>
          <w:b/>
          <w:sz w:val="18"/>
          <w:szCs w:val="18"/>
        </w:rPr>
      </w:pPr>
    </w:p>
    <w:p w:rsidR="000D7C37" w:rsidRPr="0045064D" w:rsidRDefault="000D7C37" w:rsidP="000D7C37">
      <w:pPr>
        <w:spacing w:after="0"/>
        <w:jc w:val="center"/>
        <w:outlineLvl w:val="0"/>
        <w:rPr>
          <w:rFonts w:ascii="Times New Roman" w:hAnsi="Times New Roman"/>
          <w:b/>
          <w:noProof/>
          <w:sz w:val="18"/>
          <w:szCs w:val="18"/>
          <w:lang w:val="ms-MY"/>
        </w:rPr>
      </w:pPr>
      <w:r w:rsidRPr="0045064D">
        <w:rPr>
          <w:rFonts w:ascii="Times New Roman" w:hAnsi="Times New Roman"/>
          <w:b/>
          <w:noProof/>
          <w:sz w:val="18"/>
          <w:szCs w:val="18"/>
          <w:lang w:val="ms-MY"/>
        </w:rPr>
        <w:t>Abstrak</w:t>
      </w:r>
    </w:p>
    <w:p w:rsidR="000D7C37" w:rsidRPr="0045064D" w:rsidRDefault="000D7C37" w:rsidP="000D7C37">
      <w:pPr>
        <w:spacing w:after="0"/>
        <w:jc w:val="both"/>
        <w:outlineLvl w:val="0"/>
        <w:rPr>
          <w:rFonts w:ascii="Times New Roman" w:eastAsia="SimSun" w:hAnsi="Times New Roman"/>
          <w:noProof/>
          <w:sz w:val="18"/>
          <w:szCs w:val="18"/>
          <w:lang w:val="ms-MY"/>
        </w:rPr>
      </w:pPr>
      <w:r w:rsidRPr="0045064D">
        <w:rPr>
          <w:rFonts w:ascii="Times New Roman" w:eastAsia="SimSun" w:hAnsi="Times New Roman"/>
          <w:noProof/>
          <w:sz w:val="18"/>
          <w:szCs w:val="18"/>
          <w:lang w:val="ms-MY"/>
        </w:rPr>
        <w:t xml:space="preserve">Permintaan yang tinggi terhadap gas asli cecair </w:t>
      </w:r>
      <w:r>
        <w:rPr>
          <w:rFonts w:ascii="Times New Roman" w:eastAsia="SimSun" w:hAnsi="Times New Roman"/>
          <w:noProof/>
          <w:sz w:val="18"/>
          <w:szCs w:val="18"/>
          <w:lang w:val="ms-MY"/>
        </w:rPr>
        <w:t xml:space="preserve">(LNG) </w:t>
      </w:r>
      <w:r w:rsidRPr="0045064D">
        <w:rPr>
          <w:rFonts w:ascii="Times New Roman" w:eastAsia="SimSun" w:hAnsi="Times New Roman"/>
          <w:noProof/>
          <w:sz w:val="18"/>
          <w:szCs w:val="18"/>
          <w:lang w:val="ms-MY"/>
        </w:rPr>
        <w:t xml:space="preserve">menyumbang kepada peningkatan pengeluaran </w:t>
      </w:r>
      <w:r>
        <w:rPr>
          <w:rFonts w:ascii="Times New Roman" w:eastAsia="SimSun" w:hAnsi="Times New Roman"/>
          <w:noProof/>
          <w:sz w:val="18"/>
          <w:szCs w:val="18"/>
          <w:lang w:val="ms-MY"/>
        </w:rPr>
        <w:t>LNG</w:t>
      </w:r>
      <w:r w:rsidRPr="0045064D">
        <w:rPr>
          <w:rFonts w:ascii="Times New Roman" w:eastAsia="SimSun" w:hAnsi="Times New Roman"/>
          <w:noProof/>
          <w:sz w:val="18"/>
          <w:szCs w:val="18"/>
          <w:lang w:val="ms-MY"/>
        </w:rPr>
        <w:t xml:space="preserve"> sehingga mengakibatkan pertambahan terhadap air sisa berminyak. Teknologi selaput menjadi pilihan yang menggantikan kaedah konvensional dalam merawat air sisa berminyak. Objektif kajian ini adalah untuk melakukan sintesis grafin oksida (GO) sebagai pengubahsuai karbon nitrida grafit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untuk memperincikan struktur </w:t>
      </w:r>
      <w:r>
        <w:rPr>
          <w:rFonts w:ascii="Times New Roman" w:eastAsia="SimSun" w:hAnsi="Times New Roman"/>
          <w:noProof/>
          <w:sz w:val="18"/>
          <w:szCs w:val="18"/>
          <w:lang w:val="ms-MY"/>
        </w:rPr>
        <w:t xml:space="preserve">lapisan </w:t>
      </w:r>
      <w:r w:rsidRPr="0045064D">
        <w:rPr>
          <w:rFonts w:ascii="Times New Roman" w:eastAsia="SimSun" w:hAnsi="Times New Roman"/>
          <w:noProof/>
          <w:sz w:val="18"/>
          <w:szCs w:val="18"/>
          <w:lang w:val="ms-MY"/>
        </w:rPr>
        <w:t>nano, karbon nitrida grafit, grafin oksida dan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komposit yang membawa kepada kajian prestasi selaput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seramik alumina bersalut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untuk degradasi minyak dalam air sisa berminyak. Kaedah kajian bermula dengan penyediaan bahan, penyediaan selaput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dan pencirian bahan menggunakan </w:t>
      </w:r>
      <w:r>
        <w:rPr>
          <w:rFonts w:ascii="Times New Roman" w:eastAsia="SimSun" w:hAnsi="Times New Roman"/>
          <w:noProof/>
          <w:sz w:val="18"/>
          <w:szCs w:val="18"/>
          <w:lang w:val="ms-MY"/>
        </w:rPr>
        <w:t>pembelauan sinar-</w:t>
      </w:r>
      <w:r w:rsidRPr="0045064D">
        <w:rPr>
          <w:rFonts w:ascii="Times New Roman" w:eastAsia="SimSun" w:hAnsi="Times New Roman"/>
          <w:noProof/>
          <w:sz w:val="18"/>
          <w:szCs w:val="18"/>
          <w:lang w:val="ms-MY"/>
        </w:rPr>
        <w:t>X</w:t>
      </w:r>
      <w:r>
        <w:rPr>
          <w:rFonts w:ascii="Times New Roman" w:eastAsia="SimSun" w:hAnsi="Times New Roman"/>
          <w:noProof/>
          <w:sz w:val="18"/>
          <w:szCs w:val="18"/>
          <w:lang w:val="ms-MY"/>
        </w:rPr>
        <w:t xml:space="preserve"> </w:t>
      </w:r>
      <w:r w:rsidRPr="0045064D">
        <w:rPr>
          <w:rFonts w:ascii="Times New Roman" w:eastAsia="SimSun" w:hAnsi="Times New Roman"/>
          <w:noProof/>
          <w:sz w:val="18"/>
          <w:szCs w:val="18"/>
          <w:lang w:val="ms-MY"/>
        </w:rPr>
        <w:t xml:space="preserve">(XRD), analisis </w:t>
      </w:r>
      <w:r>
        <w:rPr>
          <w:rFonts w:ascii="Times New Roman" w:eastAsia="SimSun" w:hAnsi="Times New Roman"/>
          <w:noProof/>
          <w:sz w:val="18"/>
          <w:szCs w:val="18"/>
          <w:lang w:val="ms-MY"/>
        </w:rPr>
        <w:t>inframerah trasnformasi Fourier (</w:t>
      </w:r>
      <w:r w:rsidRPr="0045064D">
        <w:rPr>
          <w:rFonts w:ascii="Times New Roman" w:eastAsia="SimSun" w:hAnsi="Times New Roman"/>
          <w:noProof/>
          <w:sz w:val="18"/>
          <w:szCs w:val="18"/>
          <w:lang w:val="ms-MY"/>
        </w:rPr>
        <w:t>FTIR</w:t>
      </w:r>
      <w:r>
        <w:rPr>
          <w:rFonts w:ascii="Times New Roman" w:eastAsia="SimSun" w:hAnsi="Times New Roman"/>
          <w:noProof/>
          <w:sz w:val="18"/>
          <w:szCs w:val="18"/>
          <w:lang w:val="ms-MY"/>
        </w:rPr>
        <w:t>)</w:t>
      </w:r>
      <w:r w:rsidRPr="0045064D">
        <w:rPr>
          <w:rFonts w:ascii="Times New Roman" w:eastAsia="SimSun" w:hAnsi="Times New Roman"/>
          <w:noProof/>
          <w:sz w:val="18"/>
          <w:szCs w:val="18"/>
          <w:lang w:val="ms-MY"/>
        </w:rPr>
        <w:t>, analisis kawasan permukaan Brunauer Emmet Teller (BET) dan analisis spektrofotometer UV-V</w:t>
      </w:r>
      <w:r>
        <w:rPr>
          <w:rFonts w:ascii="Times New Roman" w:eastAsia="SimSun" w:hAnsi="Times New Roman"/>
          <w:noProof/>
          <w:sz w:val="18"/>
          <w:szCs w:val="18"/>
          <w:lang w:val="ms-MY"/>
        </w:rPr>
        <w:t>is-NIR</w:t>
      </w:r>
      <w:r w:rsidRPr="0045064D">
        <w:rPr>
          <w:rFonts w:ascii="Times New Roman" w:eastAsia="SimSun" w:hAnsi="Times New Roman"/>
          <w:noProof/>
          <w:sz w:val="18"/>
          <w:szCs w:val="18"/>
          <w:lang w:val="ms-MY"/>
        </w:rPr>
        <w:t xml:space="preserve">. Kaedah terakhir adalah degradasi </w:t>
      </w:r>
      <w:r>
        <w:rPr>
          <w:rFonts w:ascii="Times New Roman" w:eastAsia="SimSun" w:hAnsi="Times New Roman"/>
          <w:noProof/>
          <w:sz w:val="18"/>
          <w:szCs w:val="18"/>
          <w:lang w:val="ms-MY"/>
        </w:rPr>
        <w:t xml:space="preserve">pewarna metilena biru </w:t>
      </w:r>
      <w:r w:rsidRPr="0045064D">
        <w:rPr>
          <w:rFonts w:ascii="Times New Roman" w:eastAsia="SimSun" w:hAnsi="Times New Roman"/>
          <w:noProof/>
          <w:sz w:val="18"/>
          <w:szCs w:val="18"/>
          <w:lang w:val="ms-MY"/>
        </w:rPr>
        <w:t>(MB) dan kaedah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dalam </w:t>
      </w:r>
      <w:r>
        <w:rPr>
          <w:rFonts w:ascii="Times New Roman" w:eastAsia="SimSun" w:hAnsi="Times New Roman"/>
          <w:noProof/>
          <w:sz w:val="18"/>
          <w:szCs w:val="18"/>
          <w:lang w:val="ms-MY"/>
        </w:rPr>
        <w:t>degradasi</w:t>
      </w:r>
      <w:r w:rsidRPr="0045064D">
        <w:rPr>
          <w:rFonts w:ascii="Times New Roman" w:eastAsia="SimSun" w:hAnsi="Times New Roman"/>
          <w:noProof/>
          <w:sz w:val="18"/>
          <w:szCs w:val="18"/>
          <w:lang w:val="ms-MY"/>
        </w:rPr>
        <w:t xml:space="preserve"> minyak dalam air sisa menggunakan </w:t>
      </w:r>
      <w:r>
        <w:rPr>
          <w:rFonts w:ascii="Times New Roman" w:eastAsia="SimSun" w:hAnsi="Times New Roman"/>
          <w:noProof/>
          <w:sz w:val="18"/>
          <w:szCs w:val="18"/>
          <w:lang w:val="ms-MY"/>
        </w:rPr>
        <w:t xml:space="preserve">jenis </w:t>
      </w:r>
      <w:r w:rsidRPr="0045064D">
        <w:rPr>
          <w:rFonts w:ascii="Times New Roman" w:eastAsia="SimSun" w:hAnsi="Times New Roman"/>
          <w:noProof/>
          <w:sz w:val="18"/>
          <w:szCs w:val="18"/>
          <w:lang w:val="ms-MY"/>
        </w:rPr>
        <w:lastRenderedPageBreak/>
        <w:t>tiruan. Keputusan kajian ini telah menunjukkan bahawa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berkurang kepada 73.79% daripada pewarna MB berbanding 38.85% untuk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dan 62.71% untuk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w:t>
      </w:r>
      <w:r>
        <w:rPr>
          <w:rFonts w:ascii="Times New Roman" w:eastAsia="SimSun" w:hAnsi="Times New Roman"/>
          <w:noProof/>
          <w:sz w:val="18"/>
          <w:szCs w:val="18"/>
          <w:lang w:val="ms-MY"/>
        </w:rPr>
        <w:t xml:space="preserve">lapisan </w:t>
      </w:r>
      <w:r w:rsidRPr="0045064D">
        <w:rPr>
          <w:rFonts w:ascii="Times New Roman" w:eastAsia="SimSun" w:hAnsi="Times New Roman"/>
          <w:noProof/>
          <w:sz w:val="18"/>
          <w:szCs w:val="18"/>
          <w:lang w:val="ms-MY"/>
        </w:rPr>
        <w:t>nano. Manakala kaedah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bagi komposit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/GO menunjukkan kecekapan foto</w:t>
      </w:r>
      <w:r>
        <w:rPr>
          <w:rFonts w:ascii="Times New Roman" w:eastAsia="SimSun" w:hAnsi="Times New Roman"/>
          <w:noProof/>
          <w:sz w:val="18"/>
          <w:szCs w:val="18"/>
          <w:lang w:val="ms-MY"/>
        </w:rPr>
        <w:t>mangkin</w:t>
      </w:r>
      <w:r w:rsidRPr="0045064D">
        <w:rPr>
          <w:rFonts w:ascii="Times New Roman" w:eastAsia="SimSun" w:hAnsi="Times New Roman"/>
          <w:noProof/>
          <w:sz w:val="18"/>
          <w:szCs w:val="18"/>
          <w:lang w:val="ms-MY"/>
        </w:rPr>
        <w:t xml:space="preserve"> yang luar biasa berbanding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dan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w:t>
      </w:r>
      <w:r>
        <w:rPr>
          <w:rFonts w:ascii="Times New Roman" w:eastAsia="SimSun" w:hAnsi="Times New Roman"/>
          <w:noProof/>
          <w:sz w:val="18"/>
          <w:szCs w:val="18"/>
          <w:lang w:val="ms-MY"/>
        </w:rPr>
        <w:t xml:space="preserve">lapisan </w:t>
      </w:r>
      <w:r w:rsidRPr="0045064D">
        <w:rPr>
          <w:rFonts w:ascii="Times New Roman" w:eastAsia="SimSun" w:hAnsi="Times New Roman"/>
          <w:noProof/>
          <w:sz w:val="18"/>
          <w:szCs w:val="18"/>
          <w:lang w:val="ms-MY"/>
        </w:rPr>
        <w:t>nano. Oleh itu, pengenalan GO ke dalam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telah meningkatkan kecekapan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4</w:t>
      </w:r>
      <w:r w:rsidRPr="0045064D">
        <w:rPr>
          <w:rFonts w:ascii="Times New Roman" w:eastAsia="SimSun" w:hAnsi="Times New Roman"/>
          <w:noProof/>
          <w:sz w:val="18"/>
          <w:szCs w:val="18"/>
          <w:lang w:val="ms-MY"/>
        </w:rPr>
        <w:t xml:space="preserve"> sebagai agen pemisahan sekali gus meningkatkan potensi g-C</w:t>
      </w:r>
      <w:r w:rsidRPr="0045064D">
        <w:rPr>
          <w:rFonts w:ascii="Times New Roman" w:eastAsia="SimSun" w:hAnsi="Times New Roman"/>
          <w:noProof/>
          <w:sz w:val="18"/>
          <w:szCs w:val="18"/>
          <w:vertAlign w:val="subscript"/>
          <w:lang w:val="ms-MY"/>
        </w:rPr>
        <w:t>3</w:t>
      </w:r>
      <w:r w:rsidRPr="0045064D">
        <w:rPr>
          <w:rFonts w:ascii="Times New Roman" w:eastAsia="SimSun" w:hAnsi="Times New Roman"/>
          <w:noProof/>
          <w:sz w:val="18"/>
          <w:szCs w:val="18"/>
          <w:lang w:val="ms-MY"/>
        </w:rPr>
        <w:t>N</w:t>
      </w:r>
      <w:r w:rsidRPr="0045064D">
        <w:rPr>
          <w:rFonts w:ascii="Times New Roman" w:eastAsia="SimSun" w:hAnsi="Times New Roman"/>
          <w:noProof/>
          <w:sz w:val="18"/>
          <w:szCs w:val="18"/>
          <w:vertAlign w:val="subscript"/>
          <w:lang w:val="ms-MY"/>
        </w:rPr>
        <w:t xml:space="preserve">4 </w:t>
      </w:r>
      <w:r w:rsidRPr="0045064D">
        <w:rPr>
          <w:rFonts w:ascii="Times New Roman" w:eastAsia="SimSun" w:hAnsi="Times New Roman"/>
          <w:noProof/>
          <w:sz w:val="18"/>
          <w:szCs w:val="18"/>
          <w:lang w:val="ms-MY"/>
        </w:rPr>
        <w:t>sebagai degradasi organi</w:t>
      </w:r>
      <w:r>
        <w:rPr>
          <w:rFonts w:ascii="Times New Roman" w:eastAsia="SimSun" w:hAnsi="Times New Roman"/>
          <w:noProof/>
          <w:sz w:val="18"/>
          <w:szCs w:val="18"/>
          <w:lang w:val="ms-MY"/>
        </w:rPr>
        <w:t>k</w:t>
      </w:r>
      <w:r w:rsidRPr="0045064D">
        <w:rPr>
          <w:rFonts w:ascii="Times New Roman" w:eastAsia="SimSun" w:hAnsi="Times New Roman"/>
          <w:noProof/>
          <w:sz w:val="18"/>
          <w:szCs w:val="18"/>
          <w:lang w:val="ms-MY"/>
        </w:rPr>
        <w:t xml:space="preserve">. </w:t>
      </w:r>
    </w:p>
    <w:p w:rsidR="000D7C37" w:rsidRPr="0045064D" w:rsidRDefault="000D7C37" w:rsidP="000D7C37">
      <w:pPr>
        <w:spacing w:after="0"/>
        <w:jc w:val="both"/>
        <w:outlineLvl w:val="0"/>
        <w:rPr>
          <w:rFonts w:ascii="Times New Roman" w:hAnsi="Times New Roman"/>
          <w:noProof/>
          <w:sz w:val="18"/>
          <w:szCs w:val="18"/>
          <w:lang w:val="ms-MY"/>
        </w:rPr>
      </w:pPr>
    </w:p>
    <w:p w:rsidR="000D7C37" w:rsidRPr="0045064D" w:rsidRDefault="000D7C37" w:rsidP="000D7C37">
      <w:pPr>
        <w:spacing w:after="0"/>
        <w:jc w:val="both"/>
        <w:outlineLvl w:val="0"/>
        <w:rPr>
          <w:rFonts w:ascii="Times New Roman" w:hAnsi="Times New Roman"/>
          <w:b/>
          <w:noProof/>
          <w:szCs w:val="20"/>
          <w:lang w:val="ms-MY"/>
        </w:rPr>
      </w:pPr>
      <w:r w:rsidRPr="0045064D">
        <w:rPr>
          <w:rFonts w:ascii="Times New Roman" w:hAnsi="Times New Roman"/>
          <w:b/>
          <w:noProof/>
          <w:sz w:val="18"/>
          <w:szCs w:val="18"/>
          <w:lang w:val="ms-MY"/>
        </w:rPr>
        <w:t>Kata kunci:</w:t>
      </w:r>
      <w:r>
        <w:rPr>
          <w:rFonts w:ascii="Times New Roman" w:hAnsi="Times New Roman"/>
          <w:b/>
          <w:noProof/>
          <w:sz w:val="18"/>
          <w:szCs w:val="18"/>
          <w:lang w:val="ms-MY"/>
        </w:rPr>
        <w:t xml:space="preserve"> </w:t>
      </w:r>
      <w:r w:rsidRPr="0045064D">
        <w:rPr>
          <w:rFonts w:ascii="Times New Roman" w:hAnsi="Times New Roman"/>
          <w:b/>
          <w:noProof/>
          <w:sz w:val="18"/>
          <w:szCs w:val="18"/>
          <w:lang w:val="ms-MY"/>
        </w:rPr>
        <w:t xml:space="preserve"> </w:t>
      </w:r>
      <w:r w:rsidRPr="0045064D">
        <w:rPr>
          <w:rFonts w:ascii="Times New Roman" w:hAnsi="Times New Roman"/>
          <w:noProof/>
          <w:sz w:val="18"/>
          <w:szCs w:val="18"/>
          <w:lang w:val="ms-MY"/>
        </w:rPr>
        <w:t>alumina, g-C</w:t>
      </w:r>
      <w:r w:rsidRPr="0045064D">
        <w:rPr>
          <w:rFonts w:ascii="Times New Roman" w:hAnsi="Times New Roman"/>
          <w:noProof/>
          <w:sz w:val="18"/>
          <w:szCs w:val="18"/>
          <w:vertAlign w:val="subscript"/>
          <w:lang w:val="ms-MY"/>
        </w:rPr>
        <w:t>3</w:t>
      </w:r>
      <w:r w:rsidRPr="0045064D">
        <w:rPr>
          <w:rFonts w:ascii="Times New Roman" w:hAnsi="Times New Roman"/>
          <w:noProof/>
          <w:sz w:val="18"/>
          <w:szCs w:val="18"/>
          <w:lang w:val="ms-MY"/>
        </w:rPr>
        <w:t>N</w:t>
      </w:r>
      <w:r w:rsidRPr="0045064D">
        <w:rPr>
          <w:rFonts w:ascii="Times New Roman" w:hAnsi="Times New Roman"/>
          <w:noProof/>
          <w:sz w:val="18"/>
          <w:szCs w:val="18"/>
          <w:vertAlign w:val="subscript"/>
          <w:lang w:val="ms-MY"/>
        </w:rPr>
        <w:t>4</w:t>
      </w:r>
      <w:r w:rsidRPr="0045064D">
        <w:rPr>
          <w:rFonts w:ascii="Times New Roman" w:hAnsi="Times New Roman"/>
          <w:noProof/>
          <w:sz w:val="18"/>
          <w:szCs w:val="18"/>
          <w:lang w:val="ms-MY"/>
        </w:rPr>
        <w:t>,</w:t>
      </w:r>
      <w:r>
        <w:rPr>
          <w:rFonts w:ascii="Times New Roman" w:hAnsi="Times New Roman"/>
          <w:noProof/>
          <w:sz w:val="18"/>
          <w:szCs w:val="18"/>
          <w:lang w:val="ms-MY"/>
        </w:rPr>
        <w:t xml:space="preserve"> grafin oksida</w:t>
      </w:r>
      <w:r w:rsidRPr="0045064D">
        <w:rPr>
          <w:rFonts w:ascii="Times New Roman" w:hAnsi="Times New Roman"/>
          <w:noProof/>
          <w:sz w:val="18"/>
          <w:szCs w:val="18"/>
          <w:lang w:val="ms-MY"/>
        </w:rPr>
        <w:t xml:space="preserve">, fotokatalik, selaput, air sisa berminyak </w:t>
      </w:r>
      <w:r w:rsidRPr="0045064D">
        <w:rPr>
          <w:rFonts w:ascii="Times New Roman" w:hAnsi="Times New Roman"/>
          <w:b/>
          <w:noProof/>
          <w:lang w:val="ms-MY"/>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007984" w:rsidRDefault="00007984" w:rsidP="00F447A7">
      <w:pPr>
        <w:spacing w:after="0" w:line="240" w:lineRule="auto"/>
        <w:jc w:val="center"/>
        <w:rPr>
          <w:rFonts w:ascii="Times New Roman" w:hAnsi="Times New Roman"/>
          <w:b/>
          <w:noProof/>
          <w:sz w:val="20"/>
          <w:szCs w:val="20"/>
          <w:lang w:bidi="ar-SA"/>
        </w:rPr>
        <w:sectPr w:rsidR="00007984" w:rsidSect="00EA63FD">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 xml:space="preserve">Numerous processes and activities in various industries that have led to the production of wastewater are food processing, textile and oil and gas. In Malaysia, oil and gas industries are the major contribution in economy and thus a lot of activities related to these industries and causing major contribution to the production of wastewater. There are a few activities in oil and gas that produces wastewater such as raw natural gas that is fed into gas treating facilities such as acid gas removal unit (AGRU), mercury removal unit, and dehydration unit and then passed into the liquefaction unit to convert it into LNG. These units’ associated facility leads to the generation of wastewater which can be divided into the conventional and non-conventional pollutants. The types of conventional pollutants which are also known as oily wastewater are oil and grease and suspended solids while the non-conventional pollutants which are known as chemically contaminated wastewater are phenolic compounds, sulphide and ammonia [1]. In this study, oily wastewater is emphasized due to the increase of its group therefore the proper and better oily wastewater treatment technology or strategies are needed to tackle these issues. It is necessary to purify the wastewater in order to meet the environment’s discharge standards by the Department of Environment (DOE) Malaysia because oily wastewater can cause adverse effects to the environment especially marine life </w:t>
      </w:r>
      <w:bookmarkStart w:id="2" w:name="_Hlk36020624"/>
      <w:r w:rsidRPr="000D7C37">
        <w:rPr>
          <w:rFonts w:ascii="Times New Roman" w:hAnsi="Times New Roman"/>
          <w:sz w:val="20"/>
          <w:szCs w:val="20"/>
        </w:rPr>
        <w:t>as shown in Table 1 [2].</w:t>
      </w:r>
    </w:p>
    <w:p w:rsidR="00007984" w:rsidRPr="000D7C37" w:rsidRDefault="00007984" w:rsidP="00007984">
      <w:pPr>
        <w:spacing w:after="0"/>
        <w:jc w:val="both"/>
        <w:outlineLvl w:val="0"/>
        <w:rPr>
          <w:rFonts w:ascii="Times New Roman" w:hAnsi="Times New Roman"/>
          <w:sz w:val="20"/>
          <w:szCs w:val="20"/>
        </w:rPr>
      </w:pPr>
      <w:r w:rsidRPr="000D7C37">
        <w:rPr>
          <w:rFonts w:ascii="Times New Roman" w:hAnsi="Times New Roman"/>
          <w:sz w:val="20"/>
          <w:szCs w:val="20"/>
        </w:rPr>
        <w:lastRenderedPageBreak/>
        <w:t>New technology has been introduced to treat oily wastewater using the membrane [3] where it has a function to act as a selective barrier to separate the pollutants from water. Previously, most of the studies have been conducted to improve the efficiency of alumina ceramic membrane to separate and treat wastewater. However recently, the addition of the degradation capability to facilitate the membrane separation process using photocatalyst such as carbon nitride,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on the surface of the ceramic membrane as quite a promising method has been introduced. Despite the fact that the membrane presents great potential to be applied in the separating process, yet it has fouling problems [4]. The fouling is hard to be removed and it could weaken the permeation rate through the membrane and affect the quality of treated wastewater [3]. Thus, the introduction of photocatalyst on the surface of the membrane could contribute antifouling functions under light irradiation, sustain the clean membrane surface and improve the quality of treated wastewater. Therefore, the objectives of this study are to synthesize graphene oxide (GO) as a modifier to graphitic carbon nitride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for alumina ceramic membrane, to characterize the structure of nanosheet and the bulk of graphitic carbon nitride, graphene oxide and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/GO composite and to study the performance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coated alumina ceramic photocatalytic membrane to degrade oil in oily wastewater.</w:t>
      </w:r>
    </w:p>
    <w:p w:rsidR="00007984" w:rsidRDefault="00007984" w:rsidP="000D7C37">
      <w:pPr>
        <w:spacing w:after="0"/>
        <w:jc w:val="both"/>
        <w:outlineLvl w:val="0"/>
        <w:rPr>
          <w:rFonts w:ascii="Times New Roman" w:hAnsi="Times New Roman"/>
          <w:sz w:val="20"/>
          <w:szCs w:val="20"/>
        </w:rPr>
        <w:sectPr w:rsidR="00007984" w:rsidSect="00007984">
          <w:type w:val="continuous"/>
          <w:pgSz w:w="12240" w:h="15840" w:code="1"/>
          <w:pgMar w:top="1800" w:right="1469" w:bottom="1699" w:left="1440" w:header="706" w:footer="706" w:gutter="0"/>
          <w:pgNumType w:start="1"/>
          <w:cols w:num="2" w:space="403"/>
          <w:docGrid w:linePitch="360"/>
        </w:sectPr>
      </w:pPr>
    </w:p>
    <w:p w:rsidR="00AC12DC" w:rsidRDefault="00AC12DC" w:rsidP="00007984">
      <w:pPr>
        <w:spacing w:after="120"/>
        <w:jc w:val="both"/>
        <w:outlineLvl w:val="0"/>
        <w:rPr>
          <w:rFonts w:ascii="Times New Roman" w:hAnsi="Times New Roman"/>
          <w:sz w:val="20"/>
          <w:szCs w:val="20"/>
        </w:rPr>
        <w:sectPr w:rsidR="00AC12DC" w:rsidSect="00007984">
          <w:type w:val="continuous"/>
          <w:pgSz w:w="12240" w:h="15840" w:code="1"/>
          <w:pgMar w:top="1800" w:right="1469" w:bottom="1699" w:left="1440" w:header="706" w:footer="706" w:gutter="0"/>
          <w:pgNumType w:start="1"/>
          <w:cols w:space="708"/>
          <w:docGrid w:linePitch="360"/>
        </w:sectPr>
      </w:pPr>
    </w:p>
    <w:p w:rsidR="00007984" w:rsidRPr="000D7C37" w:rsidRDefault="00007984" w:rsidP="00007984">
      <w:pPr>
        <w:spacing w:after="120"/>
        <w:jc w:val="both"/>
        <w:outlineLvl w:val="0"/>
        <w:rPr>
          <w:rFonts w:ascii="Times New Roman" w:hAnsi="Times New Roman"/>
          <w:sz w:val="20"/>
          <w:szCs w:val="20"/>
        </w:rPr>
      </w:pPr>
    </w:p>
    <w:p w:rsidR="000D7C37" w:rsidRPr="000D7C37" w:rsidRDefault="000D7C37" w:rsidP="00007984">
      <w:pPr>
        <w:spacing w:after="120"/>
        <w:jc w:val="center"/>
        <w:outlineLvl w:val="0"/>
        <w:rPr>
          <w:rFonts w:ascii="Times New Roman" w:hAnsi="Times New Roman"/>
          <w:sz w:val="20"/>
          <w:szCs w:val="20"/>
        </w:rPr>
      </w:pPr>
      <w:r w:rsidRPr="000D7C37">
        <w:rPr>
          <w:rFonts w:ascii="Times New Roman" w:hAnsi="Times New Roman"/>
          <w:sz w:val="20"/>
          <w:szCs w:val="20"/>
        </w:rPr>
        <w:t xml:space="preserve">Table 1. </w:t>
      </w:r>
      <w:r w:rsidR="00007984">
        <w:rPr>
          <w:rFonts w:ascii="Times New Roman" w:hAnsi="Times New Roman"/>
          <w:sz w:val="20"/>
          <w:szCs w:val="20"/>
        </w:rPr>
        <w:t xml:space="preserve"> </w:t>
      </w:r>
      <w:r w:rsidRPr="000D7C37">
        <w:rPr>
          <w:rFonts w:ascii="Times New Roman" w:hAnsi="Times New Roman"/>
          <w:sz w:val="20"/>
          <w:szCs w:val="20"/>
        </w:rPr>
        <w:t>Discharge of industrial effluent or mixed effluent of standard A and B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750"/>
        <w:gridCol w:w="1211"/>
        <w:gridCol w:w="1200"/>
      </w:tblGrid>
      <w:tr w:rsidR="000D7C37" w:rsidRPr="000D7C37" w:rsidTr="00007984">
        <w:trPr>
          <w:jc w:val="center"/>
        </w:trPr>
        <w:tc>
          <w:tcPr>
            <w:tcW w:w="0" w:type="auto"/>
            <w:tcBorders>
              <w:top w:val="single" w:sz="4" w:space="0" w:color="auto"/>
              <w:bottom w:val="single" w:sz="4" w:space="0" w:color="auto"/>
            </w:tcBorders>
          </w:tcPr>
          <w:p w:rsidR="000D7C37" w:rsidRPr="000D7C37" w:rsidRDefault="000D7C37" w:rsidP="00007984">
            <w:pPr>
              <w:spacing w:before="60" w:after="60"/>
              <w:outlineLvl w:val="0"/>
              <w:rPr>
                <w:rFonts w:ascii="Times New Roman" w:hAnsi="Times New Roman" w:cs="Times New Roman"/>
                <w:b/>
                <w:bCs/>
                <w:sz w:val="20"/>
                <w:szCs w:val="20"/>
              </w:rPr>
            </w:pPr>
            <w:r w:rsidRPr="000D7C37">
              <w:rPr>
                <w:rFonts w:ascii="Times New Roman" w:hAnsi="Times New Roman" w:cs="Times New Roman"/>
                <w:b/>
                <w:bCs/>
                <w:sz w:val="20"/>
                <w:szCs w:val="20"/>
              </w:rPr>
              <w:t>Parameter</w:t>
            </w:r>
          </w:p>
        </w:tc>
        <w:tc>
          <w:tcPr>
            <w:tcW w:w="0" w:type="auto"/>
            <w:tcBorders>
              <w:top w:val="single" w:sz="4" w:space="0" w:color="auto"/>
              <w:bottom w:val="single" w:sz="4" w:space="0" w:color="auto"/>
            </w:tcBorders>
          </w:tcPr>
          <w:p w:rsidR="000D7C37" w:rsidRPr="000D7C37" w:rsidRDefault="000D7C37" w:rsidP="00007984">
            <w:pPr>
              <w:spacing w:before="60" w:after="60"/>
              <w:outlineLvl w:val="0"/>
              <w:rPr>
                <w:rFonts w:ascii="Times New Roman" w:hAnsi="Times New Roman" w:cs="Times New Roman"/>
                <w:b/>
                <w:bCs/>
                <w:sz w:val="20"/>
                <w:szCs w:val="20"/>
              </w:rPr>
            </w:pPr>
            <w:r w:rsidRPr="000D7C37">
              <w:rPr>
                <w:rFonts w:ascii="Times New Roman" w:hAnsi="Times New Roman" w:cs="Times New Roman"/>
                <w:b/>
                <w:bCs/>
                <w:sz w:val="20"/>
                <w:szCs w:val="20"/>
              </w:rPr>
              <w:t>Unit</w:t>
            </w:r>
          </w:p>
        </w:tc>
        <w:tc>
          <w:tcPr>
            <w:tcW w:w="0" w:type="auto"/>
            <w:tcBorders>
              <w:top w:val="single" w:sz="4" w:space="0" w:color="auto"/>
              <w:bottom w:val="single" w:sz="4" w:space="0" w:color="auto"/>
            </w:tcBorders>
          </w:tcPr>
          <w:p w:rsidR="000D7C37" w:rsidRPr="000D7C37" w:rsidRDefault="000D7C37" w:rsidP="00007984">
            <w:pPr>
              <w:spacing w:before="60" w:after="60"/>
              <w:jc w:val="center"/>
              <w:outlineLvl w:val="0"/>
              <w:rPr>
                <w:rFonts w:ascii="Times New Roman" w:hAnsi="Times New Roman" w:cs="Times New Roman"/>
                <w:b/>
                <w:bCs/>
                <w:sz w:val="20"/>
                <w:szCs w:val="20"/>
              </w:rPr>
            </w:pPr>
            <w:r w:rsidRPr="000D7C37">
              <w:rPr>
                <w:rFonts w:ascii="Times New Roman" w:hAnsi="Times New Roman" w:cs="Times New Roman"/>
                <w:b/>
                <w:bCs/>
                <w:sz w:val="20"/>
                <w:szCs w:val="20"/>
              </w:rPr>
              <w:t>Standard A</w:t>
            </w:r>
          </w:p>
        </w:tc>
        <w:tc>
          <w:tcPr>
            <w:tcW w:w="0" w:type="auto"/>
            <w:tcBorders>
              <w:top w:val="single" w:sz="4" w:space="0" w:color="auto"/>
              <w:bottom w:val="single" w:sz="4" w:space="0" w:color="auto"/>
            </w:tcBorders>
          </w:tcPr>
          <w:p w:rsidR="000D7C37" w:rsidRPr="000D7C37" w:rsidRDefault="000D7C37" w:rsidP="00007984">
            <w:pPr>
              <w:spacing w:before="60" w:after="60"/>
              <w:jc w:val="center"/>
              <w:outlineLvl w:val="0"/>
              <w:rPr>
                <w:rFonts w:ascii="Times New Roman" w:hAnsi="Times New Roman" w:cs="Times New Roman"/>
                <w:b/>
                <w:bCs/>
                <w:sz w:val="20"/>
                <w:szCs w:val="20"/>
              </w:rPr>
            </w:pPr>
            <w:r w:rsidRPr="000D7C37">
              <w:rPr>
                <w:rFonts w:ascii="Times New Roman" w:hAnsi="Times New Roman" w:cs="Times New Roman"/>
                <w:b/>
                <w:bCs/>
                <w:sz w:val="20"/>
                <w:szCs w:val="20"/>
              </w:rPr>
              <w:t>Standard B</w:t>
            </w:r>
          </w:p>
        </w:tc>
      </w:tr>
      <w:tr w:rsidR="000D7C37" w:rsidRPr="000D7C37" w:rsidTr="00007984">
        <w:trPr>
          <w:jc w:val="center"/>
        </w:trPr>
        <w:tc>
          <w:tcPr>
            <w:tcW w:w="0" w:type="auto"/>
            <w:tcBorders>
              <w:top w:val="single" w:sz="4" w:space="0" w:color="auto"/>
            </w:tcBorders>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Temperature</w:t>
            </w:r>
          </w:p>
        </w:tc>
        <w:tc>
          <w:tcPr>
            <w:tcW w:w="0" w:type="auto"/>
            <w:tcBorders>
              <w:top w:val="single" w:sz="4" w:space="0" w:color="auto"/>
            </w:tcBorders>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vertAlign w:val="superscript"/>
              </w:rPr>
              <w:t>0</w:t>
            </w:r>
            <w:r w:rsidRPr="000D7C37">
              <w:rPr>
                <w:rFonts w:ascii="Times New Roman" w:hAnsi="Times New Roman" w:cs="Times New Roman"/>
                <w:sz w:val="20"/>
                <w:szCs w:val="20"/>
              </w:rPr>
              <w:t>C</w:t>
            </w:r>
          </w:p>
        </w:tc>
        <w:tc>
          <w:tcPr>
            <w:tcW w:w="0" w:type="auto"/>
            <w:tcBorders>
              <w:top w:val="single" w:sz="4" w:space="0" w:color="auto"/>
            </w:tcBorders>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40</w:t>
            </w:r>
          </w:p>
        </w:tc>
        <w:tc>
          <w:tcPr>
            <w:tcW w:w="0" w:type="auto"/>
            <w:tcBorders>
              <w:top w:val="single" w:sz="4" w:space="0" w:color="auto"/>
            </w:tcBorders>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40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pH Value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6.0-9.0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5.5-9.0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BOD</w:t>
            </w:r>
            <w:r w:rsidRPr="000D7C37">
              <w:rPr>
                <w:rFonts w:ascii="Times New Roman" w:hAnsi="Times New Roman" w:cs="Times New Roman"/>
                <w:sz w:val="20"/>
                <w:szCs w:val="20"/>
                <w:vertAlign w:val="subscript"/>
              </w:rPr>
              <w:t>5</w:t>
            </w:r>
            <w:r w:rsidRPr="000D7C37">
              <w:rPr>
                <w:rFonts w:ascii="Times New Roman" w:hAnsi="Times New Roman" w:cs="Times New Roman"/>
                <w:sz w:val="20"/>
                <w:szCs w:val="20"/>
              </w:rPr>
              <w:t xml:space="preserve"> at 20</w:t>
            </w:r>
            <w:r w:rsidRPr="000D7C37">
              <w:rPr>
                <w:rFonts w:ascii="Times New Roman" w:hAnsi="Times New Roman" w:cs="Times New Roman"/>
                <w:sz w:val="20"/>
                <w:szCs w:val="20"/>
                <w:vertAlign w:val="superscript"/>
              </w:rPr>
              <w:t>0</w:t>
            </w:r>
            <w:r w:rsidRPr="000D7C37">
              <w:rPr>
                <w:rFonts w:ascii="Times New Roman" w:hAnsi="Times New Roman" w:cs="Times New Roman"/>
                <w:sz w:val="20"/>
                <w:szCs w:val="20"/>
              </w:rPr>
              <w:t>C</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Suspended Solid</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Mercury</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Cadmium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0.01</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0.02</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Chromium Hexavalent</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Chromium Trivalent</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Arsenic</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Cyanide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Lead</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Copper</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Manganese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Nickel</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Tin</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Zinc</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Boron</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4.00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Iron (Fe)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Silver</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Aluminum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Selenium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0.02</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0.50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Barium</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Fluoride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5.00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Formaldehyde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Phenol</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0.001</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Free Chlorine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Sulphide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0.05</w:t>
            </w:r>
          </w:p>
        </w:tc>
      </w:tr>
      <w:tr w:rsidR="000D7C37" w:rsidRPr="000D7C37" w:rsidTr="004053F0">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Oil and Grease</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r>
      <w:tr w:rsidR="000D7C37" w:rsidRPr="000D7C37" w:rsidTr="00007984">
        <w:trPr>
          <w:jc w:val="center"/>
        </w:trPr>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Ammoniacal Nitrogen</w:t>
            </w:r>
          </w:p>
        </w:tc>
        <w:tc>
          <w:tcPr>
            <w:tcW w:w="0" w:type="auto"/>
          </w:tcPr>
          <w:p w:rsidR="000D7C37" w:rsidRPr="000D7C37" w:rsidRDefault="000D7C37" w:rsidP="00007984">
            <w:pPr>
              <w:spacing w:before="60" w:after="0"/>
              <w:outlineLvl w:val="0"/>
              <w:rPr>
                <w:rFonts w:ascii="Times New Roman" w:hAnsi="Times New Roman" w:cs="Times New Roman"/>
                <w:sz w:val="20"/>
                <w:szCs w:val="20"/>
              </w:rPr>
            </w:pPr>
            <w:r w:rsidRPr="000D7C37">
              <w:rPr>
                <w:rFonts w:ascii="Times New Roman" w:hAnsi="Times New Roman" w:cs="Times New Roman"/>
                <w:sz w:val="20"/>
                <w:szCs w:val="20"/>
              </w:rPr>
              <w:t>mg/L</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10</w:t>
            </w:r>
          </w:p>
        </w:tc>
        <w:tc>
          <w:tcPr>
            <w:tcW w:w="0" w:type="auto"/>
          </w:tcPr>
          <w:p w:rsidR="000D7C37" w:rsidRPr="000D7C37" w:rsidRDefault="000D7C37" w:rsidP="00007984">
            <w:pPr>
              <w:spacing w:before="60" w:after="0"/>
              <w:jc w:val="center"/>
              <w:outlineLvl w:val="0"/>
              <w:rPr>
                <w:rFonts w:ascii="Times New Roman" w:hAnsi="Times New Roman" w:cs="Times New Roman"/>
                <w:sz w:val="20"/>
                <w:szCs w:val="20"/>
              </w:rPr>
            </w:pPr>
            <w:r w:rsidRPr="000D7C37">
              <w:rPr>
                <w:rFonts w:ascii="Times New Roman" w:hAnsi="Times New Roman" w:cs="Times New Roman"/>
                <w:sz w:val="20"/>
                <w:szCs w:val="20"/>
              </w:rPr>
              <w:t>20</w:t>
            </w:r>
          </w:p>
        </w:tc>
      </w:tr>
      <w:tr w:rsidR="000D7C37" w:rsidRPr="000D7C37" w:rsidTr="00007984">
        <w:trPr>
          <w:jc w:val="center"/>
        </w:trPr>
        <w:tc>
          <w:tcPr>
            <w:tcW w:w="0" w:type="auto"/>
            <w:tcBorders>
              <w:bottom w:val="single" w:sz="4" w:space="0" w:color="auto"/>
            </w:tcBorders>
          </w:tcPr>
          <w:p w:rsidR="000D7C37" w:rsidRPr="000D7C37" w:rsidRDefault="000D7C37" w:rsidP="00007984">
            <w:pPr>
              <w:spacing w:before="60" w:after="60"/>
              <w:outlineLvl w:val="0"/>
              <w:rPr>
                <w:rFonts w:ascii="Times New Roman" w:hAnsi="Times New Roman" w:cs="Times New Roman"/>
                <w:sz w:val="20"/>
                <w:szCs w:val="20"/>
              </w:rPr>
            </w:pPr>
            <w:r w:rsidRPr="000D7C37">
              <w:rPr>
                <w:rFonts w:ascii="Times New Roman" w:hAnsi="Times New Roman" w:cs="Times New Roman"/>
                <w:sz w:val="20"/>
                <w:szCs w:val="20"/>
              </w:rPr>
              <w:t>Color</w:t>
            </w:r>
          </w:p>
        </w:tc>
        <w:tc>
          <w:tcPr>
            <w:tcW w:w="0" w:type="auto"/>
            <w:tcBorders>
              <w:bottom w:val="single" w:sz="4" w:space="0" w:color="auto"/>
            </w:tcBorders>
          </w:tcPr>
          <w:p w:rsidR="000D7C37" w:rsidRPr="000D7C37" w:rsidRDefault="000D7C37" w:rsidP="00007984">
            <w:pPr>
              <w:spacing w:before="60" w:after="60"/>
              <w:outlineLvl w:val="0"/>
              <w:rPr>
                <w:rFonts w:ascii="Times New Roman" w:hAnsi="Times New Roman" w:cs="Times New Roman"/>
                <w:sz w:val="20"/>
                <w:szCs w:val="20"/>
              </w:rPr>
            </w:pPr>
            <w:r w:rsidRPr="000D7C37">
              <w:rPr>
                <w:rFonts w:ascii="Times New Roman" w:hAnsi="Times New Roman" w:cs="Times New Roman"/>
                <w:sz w:val="20"/>
                <w:szCs w:val="20"/>
              </w:rPr>
              <w:t>ADMI</w:t>
            </w:r>
          </w:p>
        </w:tc>
        <w:tc>
          <w:tcPr>
            <w:tcW w:w="0" w:type="auto"/>
            <w:tcBorders>
              <w:bottom w:val="single" w:sz="4" w:space="0" w:color="auto"/>
            </w:tcBorders>
          </w:tcPr>
          <w:p w:rsidR="000D7C37" w:rsidRPr="000D7C37" w:rsidRDefault="000D7C37" w:rsidP="00007984">
            <w:pPr>
              <w:spacing w:before="60" w:after="60"/>
              <w:jc w:val="center"/>
              <w:outlineLvl w:val="0"/>
              <w:rPr>
                <w:rFonts w:ascii="Times New Roman" w:hAnsi="Times New Roman" w:cs="Times New Roman"/>
                <w:sz w:val="20"/>
                <w:szCs w:val="20"/>
              </w:rPr>
            </w:pPr>
            <w:r w:rsidRPr="000D7C37">
              <w:rPr>
                <w:rFonts w:ascii="Times New Roman" w:hAnsi="Times New Roman" w:cs="Times New Roman"/>
                <w:sz w:val="20"/>
                <w:szCs w:val="20"/>
              </w:rPr>
              <w:t>100</w:t>
            </w:r>
          </w:p>
        </w:tc>
        <w:tc>
          <w:tcPr>
            <w:tcW w:w="0" w:type="auto"/>
            <w:tcBorders>
              <w:bottom w:val="single" w:sz="4" w:space="0" w:color="auto"/>
            </w:tcBorders>
          </w:tcPr>
          <w:p w:rsidR="000D7C37" w:rsidRPr="000D7C37" w:rsidRDefault="000D7C37" w:rsidP="00007984">
            <w:pPr>
              <w:spacing w:before="60" w:after="60"/>
              <w:jc w:val="center"/>
              <w:outlineLvl w:val="0"/>
              <w:rPr>
                <w:rFonts w:ascii="Times New Roman" w:hAnsi="Times New Roman" w:cs="Times New Roman"/>
                <w:sz w:val="20"/>
                <w:szCs w:val="20"/>
              </w:rPr>
            </w:pPr>
            <w:r w:rsidRPr="000D7C37">
              <w:rPr>
                <w:rFonts w:ascii="Times New Roman" w:hAnsi="Times New Roman" w:cs="Times New Roman"/>
                <w:sz w:val="20"/>
                <w:szCs w:val="20"/>
              </w:rPr>
              <w:t>200</w:t>
            </w:r>
          </w:p>
        </w:tc>
      </w:tr>
      <w:bookmarkEnd w:id="2"/>
    </w:tbl>
    <w:p w:rsidR="000D7C37" w:rsidRPr="000D7C37" w:rsidRDefault="000D7C37" w:rsidP="000D7C37">
      <w:pPr>
        <w:spacing w:after="0"/>
        <w:jc w:val="both"/>
        <w:outlineLvl w:val="0"/>
        <w:rPr>
          <w:rFonts w:ascii="Times New Roman" w:hAnsi="Times New Roman"/>
          <w:sz w:val="20"/>
          <w:szCs w:val="20"/>
        </w:rPr>
      </w:pPr>
    </w:p>
    <w:p w:rsidR="000D7C37" w:rsidRDefault="000D7C37"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sz w:val="20"/>
          <w:szCs w:val="20"/>
        </w:rPr>
      </w:pPr>
    </w:p>
    <w:p w:rsidR="00007984" w:rsidRPr="000D7C37" w:rsidRDefault="00007984" w:rsidP="00007984">
      <w:pPr>
        <w:spacing w:after="0"/>
        <w:jc w:val="center"/>
        <w:outlineLvl w:val="0"/>
        <w:rPr>
          <w:rFonts w:ascii="Times New Roman" w:hAnsi="Times New Roman"/>
          <w:sz w:val="20"/>
          <w:szCs w:val="20"/>
        </w:rPr>
      </w:pPr>
    </w:p>
    <w:p w:rsidR="00007984" w:rsidRDefault="00007984" w:rsidP="00007984">
      <w:pPr>
        <w:spacing w:after="0"/>
        <w:jc w:val="center"/>
        <w:outlineLvl w:val="0"/>
        <w:rPr>
          <w:rFonts w:ascii="Times New Roman" w:hAnsi="Times New Roman"/>
          <w:b/>
          <w:sz w:val="20"/>
          <w:szCs w:val="20"/>
        </w:rPr>
        <w:sectPr w:rsidR="00007984" w:rsidSect="00AC12DC">
          <w:headerReference w:type="even" r:id="rId14"/>
          <w:headerReference w:type="default" r:id="rId15"/>
          <w:footerReference w:type="even" r:id="rId16"/>
          <w:footerReference w:type="default" r:id="rId17"/>
          <w:headerReference w:type="first" r:id="rId18"/>
          <w:type w:val="oddPage"/>
          <w:pgSz w:w="12240" w:h="15840" w:code="1"/>
          <w:pgMar w:top="1800" w:right="1469" w:bottom="1699" w:left="1440" w:header="706" w:footer="706" w:gutter="0"/>
          <w:pgNumType w:start="1"/>
          <w:cols w:space="708"/>
          <w:docGrid w:linePitch="360"/>
        </w:sectPr>
      </w:pPr>
    </w:p>
    <w:p w:rsidR="00007984" w:rsidRPr="000D7C37" w:rsidRDefault="00007984" w:rsidP="00007984">
      <w:pPr>
        <w:spacing w:after="0"/>
        <w:jc w:val="center"/>
        <w:outlineLvl w:val="0"/>
        <w:rPr>
          <w:rFonts w:ascii="Times New Roman" w:hAnsi="Times New Roman"/>
          <w:b/>
          <w:sz w:val="20"/>
          <w:szCs w:val="20"/>
        </w:rPr>
      </w:pPr>
      <w:r w:rsidRPr="000D7C37">
        <w:rPr>
          <w:rFonts w:ascii="Times New Roman" w:hAnsi="Times New Roman"/>
          <w:b/>
          <w:sz w:val="20"/>
          <w:szCs w:val="20"/>
        </w:rPr>
        <w:lastRenderedPageBreak/>
        <w:t>Materials and Methods</w:t>
      </w:r>
    </w:p>
    <w:p w:rsidR="00007984" w:rsidRPr="000D7C37" w:rsidRDefault="00007984" w:rsidP="00007984">
      <w:pPr>
        <w:spacing w:after="0"/>
        <w:jc w:val="both"/>
        <w:outlineLvl w:val="0"/>
        <w:rPr>
          <w:rFonts w:ascii="Times New Roman" w:hAnsi="Times New Roman"/>
          <w:sz w:val="20"/>
          <w:szCs w:val="20"/>
        </w:rPr>
      </w:pPr>
      <w:bookmarkStart w:id="3" w:name="A._Synthesis_of_Bulk_Graphitic_Carbon_Ni"/>
      <w:bookmarkEnd w:id="3"/>
      <w:r w:rsidRPr="000D7C37">
        <w:rPr>
          <w:rFonts w:ascii="Times New Roman" w:hAnsi="Times New Roman"/>
          <w:sz w:val="20"/>
          <w:szCs w:val="20"/>
        </w:rPr>
        <w:t>To achieve the objectives of this study, the methodology can be divided into 4 Parts. Part 1 covers the material preparation, that is, synthesis of bulk graphitic carbon nitride synthesis of bulk graphitic carbon nitrite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nanosheet and synthesis of GO. Part 2 involves the photocatalyst membrane preparation, that is, synthesis alumina ceramic, disc membrane, preparation of ceramic dope solution, fabrication of alumina ceramic disc membrane and synthesis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alumina ceramic membrane. The work on material characterization of materials is done in Part 3 utilizing analyzes </w:t>
      </w:r>
      <w:r w:rsidRPr="000D7C37">
        <w:rPr>
          <w:rFonts w:ascii="Times New Roman" w:hAnsi="Times New Roman"/>
          <w:i/>
          <w:iCs/>
          <w:sz w:val="20"/>
          <w:szCs w:val="20"/>
        </w:rPr>
        <w:t>via</w:t>
      </w:r>
      <w:r w:rsidRPr="000D7C37">
        <w:rPr>
          <w:rFonts w:ascii="Times New Roman" w:hAnsi="Times New Roman"/>
          <w:sz w:val="20"/>
          <w:szCs w:val="20"/>
        </w:rPr>
        <w:t xml:space="preserve"> XRD, FTIR, BET and UV-Vis-NIR. The last part which is Part 4 involves related pre photocatalysis studies such as degradation measurement of methylene blue (MB) dye and photocatalytic studies on the degradation of oil in wastewater using synthetic oily wastewater. Details of each above-mentioned methodology parts are discussed as follows:</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sz w:val="20"/>
          <w:szCs w:val="20"/>
        </w:rPr>
      </w:pPr>
      <w:r w:rsidRPr="000D7C37">
        <w:rPr>
          <w:rFonts w:ascii="Times New Roman" w:hAnsi="Times New Roman"/>
          <w:b/>
          <w:sz w:val="20"/>
          <w:szCs w:val="20"/>
        </w:rPr>
        <w:t>Material preparation</w:t>
      </w:r>
    </w:p>
    <w:p w:rsidR="000D7C37" w:rsidRPr="000D7C37" w:rsidRDefault="000D7C37" w:rsidP="000D7C37">
      <w:pPr>
        <w:spacing w:after="0"/>
        <w:jc w:val="both"/>
        <w:outlineLvl w:val="0"/>
        <w:rPr>
          <w:rFonts w:ascii="Times New Roman" w:hAnsi="Times New Roman"/>
          <w:bCs/>
          <w:sz w:val="20"/>
          <w:szCs w:val="20"/>
        </w:rPr>
      </w:pPr>
      <w:r w:rsidRPr="000D7C37">
        <w:rPr>
          <w:rFonts w:ascii="Times New Roman" w:hAnsi="Times New Roman"/>
          <w:bCs/>
          <w:sz w:val="20"/>
          <w:szCs w:val="20"/>
        </w:rPr>
        <w:t>The facile temperature free method was used for preparation of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 xml:space="preserve"> by using urea powder (HmbG Chemical Germany) and isopropanol alcohol (IPA, 99.7%, M = 60.10 g/mol) bought from Hypercube IT Solution as dispersion medium to exfoliate the bulk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 xml:space="preserve"> into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 xml:space="preserve"> nanosheet. GO was prepared by Hummers’ method by using graphite powder (Comak) and sodium nitrate (Systerm, NaNO</w:t>
      </w:r>
      <w:r w:rsidRPr="000D7C37">
        <w:rPr>
          <w:rFonts w:ascii="Times New Roman" w:hAnsi="Times New Roman"/>
          <w:bCs/>
          <w:sz w:val="20"/>
          <w:szCs w:val="20"/>
          <w:vertAlign w:val="subscript"/>
        </w:rPr>
        <w:t>3</w:t>
      </w:r>
      <w:r w:rsidRPr="000D7C37">
        <w:rPr>
          <w:rFonts w:ascii="Times New Roman" w:hAnsi="Times New Roman"/>
          <w:bCs/>
          <w:sz w:val="20"/>
          <w:szCs w:val="20"/>
        </w:rPr>
        <w:t>, ChemAR). Sonochemical method was used to prepare gC</w:t>
      </w:r>
      <w:r w:rsidRPr="000D7C37">
        <w:rPr>
          <w:rFonts w:ascii="Times New Roman" w:hAnsi="Times New Roman"/>
          <w:bCs/>
          <w:sz w:val="20"/>
          <w:szCs w:val="20"/>
          <w:vertAlign w:val="subscript"/>
        </w:rPr>
        <w:t>3</w:t>
      </w:r>
      <w:r w:rsidRPr="000D7C37">
        <w:rPr>
          <w:rFonts w:ascii="Times New Roman" w:hAnsi="Times New Roman"/>
          <w:bCs/>
          <w:sz w:val="20"/>
          <w:szCs w:val="20"/>
        </w:rPr>
        <w:t>N</w:t>
      </w:r>
      <w:r w:rsidRPr="000D7C37">
        <w:rPr>
          <w:rFonts w:ascii="Times New Roman" w:hAnsi="Times New Roman"/>
          <w:bCs/>
          <w:sz w:val="20"/>
          <w:szCs w:val="20"/>
          <w:vertAlign w:val="subscript"/>
        </w:rPr>
        <w:t>4</w:t>
      </w:r>
      <w:r w:rsidRPr="000D7C37">
        <w:rPr>
          <w:rFonts w:ascii="Times New Roman" w:hAnsi="Times New Roman"/>
          <w:bCs/>
          <w:sz w:val="20"/>
          <w:szCs w:val="20"/>
        </w:rPr>
        <w:t>/GO composite.</w:t>
      </w:r>
    </w:p>
    <w:p w:rsidR="000D7C37" w:rsidRPr="000D7C37" w:rsidRDefault="000D7C37" w:rsidP="000D7C37">
      <w:pPr>
        <w:spacing w:after="0"/>
        <w:jc w:val="both"/>
        <w:outlineLvl w:val="0"/>
        <w:rPr>
          <w:rFonts w:ascii="Times New Roman" w:hAnsi="Times New Roman"/>
          <w:bCs/>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bulk graphitic carbon nitride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synthesis of bulk graphitic carbon nitride is achieved using the urea powder by applying facile template-free method [6]. An amount 20 g of urea powder purchased from HmbG Chemical was settled in a lidded alumina crucible and heated for 550 °C in a carbolite furnace for 4 hours using the heating rate of 15</w:t>
      </w:r>
      <w:r w:rsidRPr="000D7C37">
        <w:rPr>
          <w:rFonts w:ascii="Times New Roman" w:hAnsi="Times New Roman"/>
          <w:sz w:val="20"/>
          <w:szCs w:val="20"/>
          <w:vertAlign w:val="superscript"/>
        </w:rPr>
        <w:t xml:space="preserve"> </w:t>
      </w:r>
      <w:r w:rsidRPr="000D7C37">
        <w:rPr>
          <w:rFonts w:ascii="Times New Roman" w:hAnsi="Times New Roman"/>
          <w:sz w:val="20"/>
          <w:szCs w:val="20"/>
        </w:rPr>
        <w:t xml:space="preserve">°C/min. </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bulk g-C</w:t>
      </w:r>
      <w:r w:rsidRPr="000D7C37">
        <w:rPr>
          <w:rFonts w:ascii="Times New Roman" w:hAnsi="Times New Roman"/>
          <w:b/>
          <w:bCs/>
          <w:sz w:val="20"/>
          <w:szCs w:val="20"/>
          <w:vertAlign w:val="subscript"/>
        </w:rPr>
        <w:t>3</w:t>
      </w:r>
      <w:r w:rsidRPr="000D7C37">
        <w:rPr>
          <w:rFonts w:ascii="Times New Roman" w:hAnsi="Times New Roman"/>
          <w:b/>
          <w:bCs/>
          <w:sz w:val="20"/>
          <w:szCs w:val="20"/>
        </w:rPr>
        <w:t>N</w:t>
      </w:r>
      <w:r w:rsidRPr="000D7C37">
        <w:rPr>
          <w:rFonts w:ascii="Times New Roman" w:hAnsi="Times New Roman"/>
          <w:b/>
          <w:bCs/>
          <w:sz w:val="20"/>
          <w:szCs w:val="20"/>
          <w:vertAlign w:val="subscript"/>
        </w:rPr>
        <w:t>4</w:t>
      </w:r>
      <w:r w:rsidRPr="000D7C37">
        <w:rPr>
          <w:rFonts w:ascii="Times New Roman" w:hAnsi="Times New Roman"/>
          <w:b/>
          <w:bCs/>
          <w:sz w:val="20"/>
          <w:szCs w:val="20"/>
        </w:rPr>
        <w:t xml:space="preserve"> nanosheet</w:t>
      </w:r>
    </w:p>
    <w:p w:rsidR="000D7C37" w:rsidRPr="000D7C37" w:rsidRDefault="000D7C37" w:rsidP="000D7C37">
      <w:pPr>
        <w:spacing w:after="0"/>
        <w:jc w:val="both"/>
        <w:outlineLvl w:val="0"/>
        <w:rPr>
          <w:rFonts w:ascii="Times New Roman" w:hAnsi="Times New Roman"/>
          <w:sz w:val="20"/>
          <w:szCs w:val="20"/>
        </w:rPr>
      </w:pPr>
      <w:bookmarkStart w:id="4" w:name="B._Synthesis_of_Bulk_Graphitic_Carbon_Ni"/>
      <w:bookmarkEnd w:id="4"/>
      <w:r w:rsidRPr="000D7C37">
        <w:rPr>
          <w:rFonts w:ascii="Times New Roman" w:hAnsi="Times New Roman"/>
          <w:sz w:val="20"/>
          <w:szCs w:val="20"/>
        </w:rPr>
        <w:t>Nanosheet form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was synthesized using the liquid exfoliation method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[7] in order to </w:t>
      </w:r>
      <w:r w:rsidRPr="000D7C37">
        <w:rPr>
          <w:rFonts w:ascii="Times New Roman" w:hAnsi="Times New Roman"/>
          <w:sz w:val="20"/>
          <w:szCs w:val="20"/>
        </w:rPr>
        <w:lastRenderedPageBreak/>
        <w:t>have improved photocatalytic effect. This method used organic solvent isopropanol alcohol (IPA, 99.7%, M = 60.10 g/mol) brought from Hypercube IT Solution as a dispersion medium where 0.3 g of bulk graphitic carbon nitride was dispersed into 100 mL of isopropanol alcohol. The dispersion was sonicated in room temperature for 8 hours to exfoliate the bulk g-CN then centrifuged at 3000 rpm for 30 minutes in order to give the homogenous dispersion of exfoliated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nanosheet. After that, the dispersion was dried at 50</w:t>
      </w:r>
      <w:r w:rsidRPr="000D7C37">
        <w:rPr>
          <w:rFonts w:ascii="Times New Roman" w:hAnsi="Times New Roman"/>
          <w:sz w:val="20"/>
          <w:szCs w:val="20"/>
          <w:vertAlign w:val="superscript"/>
        </w:rPr>
        <w:t xml:space="preserve"> °</w:t>
      </w:r>
      <w:r w:rsidRPr="000D7C37">
        <w:rPr>
          <w:rFonts w:ascii="Times New Roman" w:hAnsi="Times New Roman"/>
          <w:sz w:val="20"/>
          <w:szCs w:val="20"/>
        </w:rPr>
        <w:t>C for 6 hours in order to form and collect the final product which was a light-yellow powder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nanosheet.</w:t>
      </w:r>
      <w:bookmarkStart w:id="5" w:name="C._Synthesis_of_Graphene_Oxide_(GO)"/>
      <w:bookmarkEnd w:id="5"/>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GO</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GO was synthesized using the Hummers’ method [8] where 5 g of graphite powder and 2.5 g of sodium nitrate was put in 1000 mL of concentrated sulphuric acid (H</w:t>
      </w:r>
      <w:r w:rsidRPr="000D7C37">
        <w:rPr>
          <w:rFonts w:ascii="Times New Roman" w:hAnsi="Times New Roman"/>
          <w:sz w:val="20"/>
          <w:szCs w:val="20"/>
          <w:vertAlign w:val="subscript"/>
        </w:rPr>
        <w:t>2</w:t>
      </w:r>
      <w:r w:rsidRPr="000D7C37">
        <w:rPr>
          <w:rFonts w:ascii="Times New Roman" w:hAnsi="Times New Roman"/>
          <w:sz w:val="20"/>
          <w:szCs w:val="20"/>
        </w:rPr>
        <w:t>SO</w:t>
      </w:r>
      <w:r w:rsidRPr="000D7C37">
        <w:rPr>
          <w:rFonts w:ascii="Times New Roman" w:hAnsi="Times New Roman"/>
          <w:sz w:val="20"/>
          <w:szCs w:val="20"/>
          <w:vertAlign w:val="subscript"/>
        </w:rPr>
        <w:t>4</w:t>
      </w:r>
      <w:r w:rsidRPr="000D7C37">
        <w:rPr>
          <w:rFonts w:ascii="Times New Roman" w:hAnsi="Times New Roman"/>
          <w:sz w:val="20"/>
          <w:szCs w:val="20"/>
        </w:rPr>
        <w:t>). Subsequently, the mixture was stirred for 1 hour and kept under low temperature by placing it in ice. After that, the 30 g of KMnO</w:t>
      </w:r>
      <w:r w:rsidRPr="000D7C37">
        <w:rPr>
          <w:rFonts w:ascii="Times New Roman" w:hAnsi="Times New Roman"/>
          <w:sz w:val="20"/>
          <w:szCs w:val="20"/>
          <w:vertAlign w:val="subscript"/>
        </w:rPr>
        <w:t>4</w:t>
      </w:r>
      <w:r w:rsidRPr="000D7C37">
        <w:rPr>
          <w:rFonts w:ascii="Times New Roman" w:hAnsi="Times New Roman"/>
          <w:sz w:val="20"/>
          <w:szCs w:val="20"/>
        </w:rPr>
        <w:t xml:space="preserve"> was gradually added for 2 hours and continuously stirred for another 2 hours in room temperature and then heated with a temperature of 70 </w:t>
      </w:r>
      <w:r w:rsidRPr="000D7C37">
        <w:rPr>
          <w:rFonts w:ascii="Times New Roman" w:hAnsi="Times New Roman"/>
          <w:sz w:val="20"/>
          <w:szCs w:val="20"/>
          <w:vertAlign w:val="superscript"/>
        </w:rPr>
        <w:t>°</w:t>
      </w:r>
      <w:r w:rsidRPr="000D7C37">
        <w:rPr>
          <w:rFonts w:ascii="Times New Roman" w:hAnsi="Times New Roman"/>
          <w:sz w:val="20"/>
          <w:szCs w:val="20"/>
        </w:rPr>
        <w:t>C. Next, the 100 mL of water was gradually added to the mixture and stirred for another 1 hour. The 30 mL of H</w:t>
      </w:r>
      <w:r w:rsidRPr="000D7C37">
        <w:rPr>
          <w:rFonts w:ascii="Times New Roman" w:hAnsi="Times New Roman"/>
          <w:sz w:val="20"/>
          <w:szCs w:val="20"/>
          <w:vertAlign w:val="subscript"/>
        </w:rPr>
        <w:t>2</w:t>
      </w:r>
      <w:r w:rsidRPr="000D7C37">
        <w:rPr>
          <w:rFonts w:ascii="Times New Roman" w:hAnsi="Times New Roman"/>
          <w:sz w:val="20"/>
          <w:szCs w:val="20"/>
        </w:rPr>
        <w:t>O</w:t>
      </w:r>
      <w:r w:rsidRPr="000D7C37">
        <w:rPr>
          <w:rFonts w:ascii="Times New Roman" w:hAnsi="Times New Roman"/>
          <w:sz w:val="20"/>
          <w:szCs w:val="20"/>
          <w:vertAlign w:val="subscript"/>
        </w:rPr>
        <w:t>2</w:t>
      </w:r>
      <w:r w:rsidRPr="000D7C37">
        <w:rPr>
          <w:rFonts w:ascii="Times New Roman" w:hAnsi="Times New Roman"/>
          <w:sz w:val="20"/>
          <w:szCs w:val="20"/>
        </w:rPr>
        <w:t xml:space="preserve"> was added into the mixture to stop the reaction and the color of the suspension turned to bright yellow. In order to purify the suspension, 0.2M of HCI was added once and the 200 mL of distilled water, 3 times until pH 7 (neutral). Then the sample was dried in the furnace with a temperature of 80 </w:t>
      </w:r>
      <w:r w:rsidRPr="000D7C37">
        <w:rPr>
          <w:rFonts w:ascii="Times New Roman" w:hAnsi="Times New Roman"/>
          <w:sz w:val="20"/>
          <w:szCs w:val="20"/>
          <w:vertAlign w:val="superscript"/>
        </w:rPr>
        <w:t>°</w:t>
      </w:r>
      <w:r w:rsidRPr="000D7C37">
        <w:rPr>
          <w:rFonts w:ascii="Times New Roman" w:hAnsi="Times New Roman"/>
          <w:sz w:val="20"/>
          <w:szCs w:val="20"/>
        </w:rPr>
        <w:t>C for a day in order to form GO.</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g-C</w:t>
      </w:r>
      <w:r w:rsidRPr="000D7C37">
        <w:rPr>
          <w:rFonts w:ascii="Times New Roman" w:hAnsi="Times New Roman"/>
          <w:b/>
          <w:bCs/>
          <w:sz w:val="20"/>
          <w:szCs w:val="20"/>
          <w:vertAlign w:val="subscript"/>
        </w:rPr>
        <w:t>3</w:t>
      </w:r>
      <w:r w:rsidRPr="000D7C37">
        <w:rPr>
          <w:rFonts w:ascii="Times New Roman" w:hAnsi="Times New Roman"/>
          <w:b/>
          <w:bCs/>
          <w:sz w:val="20"/>
          <w:szCs w:val="20"/>
        </w:rPr>
        <w:t>N</w:t>
      </w:r>
      <w:r w:rsidRPr="000D7C37">
        <w:rPr>
          <w:rFonts w:ascii="Times New Roman" w:hAnsi="Times New Roman"/>
          <w:b/>
          <w:bCs/>
          <w:sz w:val="20"/>
          <w:szCs w:val="20"/>
          <w:vertAlign w:val="subscript"/>
        </w:rPr>
        <w:t>4</w:t>
      </w:r>
      <w:r w:rsidRPr="000D7C37">
        <w:rPr>
          <w:rFonts w:ascii="Times New Roman" w:hAnsi="Times New Roman"/>
          <w:b/>
          <w:bCs/>
          <w:sz w:val="20"/>
          <w:szCs w:val="20"/>
        </w:rPr>
        <w:t xml:space="preserve">/GO composite photocatalyst             </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synthesis followed the sonochemical method ([9]) where 0.2 g of GO of previous synthesis was added into 200 mL of high purity water, 0.2g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 xml:space="preserve">4 </w:t>
      </w:r>
      <w:r w:rsidRPr="000D7C37">
        <w:rPr>
          <w:rFonts w:ascii="Times New Roman" w:hAnsi="Times New Roman"/>
          <w:sz w:val="20"/>
          <w:szCs w:val="20"/>
        </w:rPr>
        <w:t xml:space="preserve">nanosheet  was added into the mixture, sonicated for 12 hours, furnace dried in a temperature of 80 </w:t>
      </w:r>
      <w:r w:rsidRPr="000D7C37">
        <w:rPr>
          <w:rFonts w:ascii="Times New Roman" w:hAnsi="Times New Roman"/>
          <w:sz w:val="20"/>
          <w:szCs w:val="20"/>
          <w:vertAlign w:val="superscript"/>
        </w:rPr>
        <w:t>°</w:t>
      </w:r>
      <w:r w:rsidRPr="000D7C37">
        <w:rPr>
          <w:rFonts w:ascii="Times New Roman" w:hAnsi="Times New Roman"/>
          <w:sz w:val="20"/>
          <w:szCs w:val="20"/>
        </w:rPr>
        <w:t>C for a day.</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sz w:val="20"/>
          <w:szCs w:val="20"/>
        </w:rPr>
      </w:pPr>
      <w:r w:rsidRPr="000D7C37">
        <w:rPr>
          <w:rFonts w:ascii="Times New Roman" w:hAnsi="Times New Roman"/>
          <w:b/>
          <w:sz w:val="20"/>
          <w:szCs w:val="20"/>
        </w:rPr>
        <w:t>Photocatalyst membrane preparation</w:t>
      </w:r>
    </w:p>
    <w:p w:rsidR="00AC12DC" w:rsidRDefault="000D7C37" w:rsidP="000D7C37">
      <w:pPr>
        <w:spacing w:after="0"/>
        <w:jc w:val="both"/>
        <w:outlineLvl w:val="0"/>
        <w:rPr>
          <w:rFonts w:ascii="Times New Roman" w:hAnsi="Times New Roman"/>
          <w:sz w:val="20"/>
          <w:szCs w:val="20"/>
        </w:rPr>
        <w:sectPr w:rsidR="00AC12DC" w:rsidSect="00007984">
          <w:type w:val="continuous"/>
          <w:pgSz w:w="12240" w:h="15840" w:code="1"/>
          <w:pgMar w:top="1800" w:right="1469" w:bottom="1699" w:left="1440" w:header="706" w:footer="706" w:gutter="0"/>
          <w:pgNumType w:start="1"/>
          <w:cols w:num="2" w:space="403"/>
          <w:docGrid w:linePitch="360"/>
        </w:sectPr>
      </w:pPr>
      <w:r w:rsidRPr="000D7C37">
        <w:rPr>
          <w:rFonts w:ascii="Times New Roman" w:hAnsi="Times New Roman"/>
          <w:sz w:val="20"/>
          <w:szCs w:val="20"/>
        </w:rPr>
        <w:t xml:space="preserve">This part started with the synthesis of alumina ceramic disc membrane as it was used as the base membrane in </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lastRenderedPageBreak/>
        <w:t>this study. The other steps for preparation for photocatalyst membrane are as follows:</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Preparation of ceramic dope solution</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ceramic dope solution was prepared first for the process fabrication of the ceramic membrane. It consisted of the composition of ceramic particle, a polymeric binder, solvent, additive that acts as the dispersant [10]. The ceramic particle was used as Al</w:t>
      </w:r>
      <w:r w:rsidRPr="000D7C37">
        <w:rPr>
          <w:rFonts w:ascii="Times New Roman" w:hAnsi="Times New Roman"/>
          <w:sz w:val="20"/>
          <w:szCs w:val="20"/>
          <w:vertAlign w:val="subscript"/>
        </w:rPr>
        <w:t>2</w:t>
      </w:r>
      <w:r w:rsidRPr="000D7C37">
        <w:rPr>
          <w:rFonts w:ascii="Times New Roman" w:hAnsi="Times New Roman"/>
          <w:sz w:val="20"/>
          <w:szCs w:val="20"/>
        </w:rPr>
        <w:t>O</w:t>
      </w:r>
      <w:r w:rsidRPr="000D7C37">
        <w:rPr>
          <w:rFonts w:ascii="Times New Roman" w:hAnsi="Times New Roman"/>
          <w:sz w:val="20"/>
          <w:szCs w:val="20"/>
          <w:vertAlign w:val="subscript"/>
        </w:rPr>
        <w:t>3</w:t>
      </w:r>
      <w:r w:rsidRPr="000D7C37">
        <w:rPr>
          <w:rFonts w:ascii="Times New Roman" w:hAnsi="Times New Roman"/>
          <w:sz w:val="20"/>
          <w:szCs w:val="20"/>
        </w:rPr>
        <w:t>, alpha; 99.9% metal basis, surface area 6-8 m</w:t>
      </w:r>
      <w:r w:rsidRPr="000D7C37">
        <w:rPr>
          <w:rFonts w:ascii="Times New Roman" w:hAnsi="Times New Roman"/>
          <w:sz w:val="20"/>
          <w:szCs w:val="20"/>
          <w:vertAlign w:val="superscript"/>
        </w:rPr>
        <w:t>2</w:t>
      </w:r>
      <w:r w:rsidRPr="000D7C37">
        <w:rPr>
          <w:rFonts w:ascii="Times New Roman" w:hAnsi="Times New Roman"/>
          <w:sz w:val="20"/>
          <w:szCs w:val="20"/>
        </w:rPr>
        <w:t xml:space="preserve">/g, &lt;1.0-micron APS powder, Alfa Aesar for this research. Meanwhile dimethyl sulfoxide (HPLC grade, VWR), and polymeric binder polyethersulfone (PESf, Ameco Performance, USA) were used. Arlacel P135 (polyethylene glycol 30-dipolyhydroxystearate, Uniqema) was used as the additive. The process of preparation started with 55 wt.% of aluminum oxide powder, 0.38 wt.% of Arlacel weighed and added into 39.12 wt.% of the solvent, DMSO. Additionally, the mixture was rolled/milled with grinding balls for 48 hours. The ceramic dope solution was ready to be used to fabricate the ceramic disc membrane after adding 5.5 wt.% of PESf into the mixture and rolled for another 48 hours. </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Fabrication of alumina ceramic disc membrane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 xml:space="preserve">The ceramic dope solution went through the inversion method where it needs to be poured into a stainless-steel mold with a diameter of 3 cm and placed in a water bath for 30 minutes and after it hardens, the precursor ceramic disk was removed. The next process was sintering the precursor ceramic disc calcite by using furnace CARBOLITE to obtain the final ceramic disc membrane. The temperature of the furnace was set at 600 </w:t>
      </w:r>
      <w:r w:rsidRPr="000D7C37">
        <w:rPr>
          <w:rFonts w:ascii="Times New Roman" w:hAnsi="Times New Roman"/>
          <w:sz w:val="20"/>
          <w:szCs w:val="20"/>
          <w:vertAlign w:val="superscript"/>
        </w:rPr>
        <w:t>°</w:t>
      </w:r>
      <w:r w:rsidRPr="000D7C37">
        <w:rPr>
          <w:rFonts w:ascii="Times New Roman" w:hAnsi="Times New Roman"/>
          <w:sz w:val="20"/>
          <w:szCs w:val="20"/>
        </w:rPr>
        <w:t xml:space="preserve">C at a rate of 2 </w:t>
      </w:r>
      <w:r w:rsidRPr="000D7C37">
        <w:rPr>
          <w:rFonts w:ascii="Times New Roman" w:hAnsi="Times New Roman"/>
          <w:sz w:val="20"/>
          <w:szCs w:val="20"/>
          <w:vertAlign w:val="superscript"/>
        </w:rPr>
        <w:t>°</w:t>
      </w:r>
      <w:r w:rsidRPr="000D7C37">
        <w:rPr>
          <w:rFonts w:ascii="Times New Roman" w:hAnsi="Times New Roman"/>
          <w:sz w:val="20"/>
          <w:szCs w:val="20"/>
        </w:rPr>
        <w:t>C/minute with a dwell time of 2 hours and has been increased to the targeted temperature of 1400</w:t>
      </w:r>
      <w:r w:rsidRPr="000D7C37">
        <w:rPr>
          <w:rFonts w:ascii="Times New Roman" w:hAnsi="Times New Roman"/>
          <w:sz w:val="20"/>
          <w:szCs w:val="20"/>
          <w:vertAlign w:val="superscript"/>
        </w:rPr>
        <w:t xml:space="preserve"> </w:t>
      </w:r>
      <w:r w:rsidRPr="000D7C37">
        <w:rPr>
          <w:rFonts w:ascii="Times New Roman" w:hAnsi="Times New Roman"/>
          <w:sz w:val="20"/>
          <w:szCs w:val="20"/>
        </w:rPr>
        <w:t xml:space="preserve">°C at a rate of 5 </w:t>
      </w:r>
      <w:r w:rsidRPr="000D7C37">
        <w:rPr>
          <w:rFonts w:ascii="Times New Roman" w:hAnsi="Times New Roman"/>
          <w:sz w:val="20"/>
          <w:szCs w:val="20"/>
          <w:vertAlign w:val="superscript"/>
        </w:rPr>
        <w:t>°</w:t>
      </w:r>
      <w:r w:rsidRPr="000D7C37">
        <w:rPr>
          <w:rFonts w:ascii="Times New Roman" w:hAnsi="Times New Roman"/>
          <w:sz w:val="20"/>
          <w:szCs w:val="20"/>
        </w:rPr>
        <w:t>C/minute with a dwell time of 4 hours. Then, the temperature was reduced to room temperature at a rate of 5</w:t>
      </w:r>
      <w:r w:rsidRPr="000D7C37">
        <w:rPr>
          <w:rFonts w:ascii="Times New Roman" w:hAnsi="Times New Roman"/>
          <w:sz w:val="20"/>
          <w:szCs w:val="20"/>
          <w:vertAlign w:val="superscript"/>
        </w:rPr>
        <w:t xml:space="preserve"> </w:t>
      </w:r>
      <w:r w:rsidRPr="000D7C37">
        <w:rPr>
          <w:rFonts w:ascii="Times New Roman" w:hAnsi="Times New Roman"/>
          <w:sz w:val="20"/>
          <w:szCs w:val="20"/>
        </w:rPr>
        <w:t>°C/minute and the alumina ceramic membrane was ready to be coated with the composite photocatalyst.</w:t>
      </w:r>
      <w:bookmarkStart w:id="6" w:name="F._Fabrication_of_Alumina_Ceramic_Disc_M"/>
      <w:bookmarkStart w:id="7" w:name="G._Synthesis_of_g-C3N4/GO_Alumina_Cerami"/>
      <w:bookmarkEnd w:id="6"/>
      <w:bookmarkEnd w:id="7"/>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Synthesis of g-C</w:t>
      </w:r>
      <w:r w:rsidRPr="000D7C37">
        <w:rPr>
          <w:rFonts w:ascii="Times New Roman" w:hAnsi="Times New Roman"/>
          <w:b/>
          <w:bCs/>
          <w:sz w:val="20"/>
          <w:szCs w:val="20"/>
          <w:vertAlign w:val="subscript"/>
        </w:rPr>
        <w:t>3</w:t>
      </w:r>
      <w:r w:rsidRPr="000D7C37">
        <w:rPr>
          <w:rFonts w:ascii="Times New Roman" w:hAnsi="Times New Roman"/>
          <w:b/>
          <w:bCs/>
          <w:sz w:val="20"/>
          <w:szCs w:val="20"/>
        </w:rPr>
        <w:t>N</w:t>
      </w:r>
      <w:r w:rsidRPr="000D7C37">
        <w:rPr>
          <w:rFonts w:ascii="Times New Roman" w:hAnsi="Times New Roman"/>
          <w:b/>
          <w:bCs/>
          <w:sz w:val="20"/>
          <w:szCs w:val="20"/>
          <w:vertAlign w:val="subscript"/>
        </w:rPr>
        <w:t>4</w:t>
      </w:r>
      <w:r w:rsidRPr="000D7C37">
        <w:rPr>
          <w:rFonts w:ascii="Times New Roman" w:hAnsi="Times New Roman"/>
          <w:b/>
          <w:bCs/>
          <w:sz w:val="20"/>
          <w:szCs w:val="20"/>
        </w:rPr>
        <w:t>/GO alumina ceramic membrane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0.3 g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composite was dissolved in 50 mL of distilled water and sonicated for 1 hour. Then, g-</w:t>
      </w:r>
      <w:r w:rsidRPr="000D7C37">
        <w:rPr>
          <w:rFonts w:ascii="Times New Roman" w:hAnsi="Times New Roman"/>
          <w:sz w:val="20"/>
          <w:szCs w:val="20"/>
        </w:rPr>
        <w:lastRenderedPageBreak/>
        <w:t>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solution was coated with alumina ceramic membrane by pouring the solution on the ceramic membrane surface and dried in the furnace at 50 </w:t>
      </w:r>
      <w:r w:rsidRPr="000D7C37">
        <w:rPr>
          <w:rFonts w:ascii="Times New Roman" w:hAnsi="Times New Roman"/>
          <w:sz w:val="20"/>
          <w:szCs w:val="20"/>
          <w:vertAlign w:val="superscript"/>
        </w:rPr>
        <w:t>°</w:t>
      </w:r>
      <w:r w:rsidRPr="000D7C37">
        <w:rPr>
          <w:rFonts w:ascii="Times New Roman" w:hAnsi="Times New Roman"/>
          <w:sz w:val="20"/>
          <w:szCs w:val="20"/>
        </w:rPr>
        <w:t>C for a day.</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b/>
          <w:sz w:val="20"/>
          <w:szCs w:val="20"/>
        </w:rPr>
        <w:t>Characterization of material</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Characterization of material for synthesized GO, bulk and nanosheet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and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composites used the XRD method which operated with 40 kV and 40 mA and the scanning rate was 2</w:t>
      </w:r>
      <w:r w:rsidRPr="000D7C37">
        <w:rPr>
          <w:rFonts w:ascii="Times New Roman" w:hAnsi="Times New Roman"/>
          <w:sz w:val="20"/>
          <w:szCs w:val="20"/>
          <w:vertAlign w:val="superscript"/>
        </w:rPr>
        <w:t xml:space="preserve"> </w:t>
      </w:r>
      <w:r w:rsidRPr="000D7C37">
        <w:rPr>
          <w:rFonts w:ascii="Times New Roman" w:hAnsi="Times New Roman"/>
          <w:sz w:val="20"/>
          <w:szCs w:val="20"/>
        </w:rPr>
        <w:t>°/minute. Besides, the FTIR was also used to characterize the material with the operation of wavelength around 800-3800 cm</w:t>
      </w:r>
      <w:r w:rsidRPr="000D7C37">
        <w:rPr>
          <w:rFonts w:ascii="Times New Roman" w:hAnsi="Times New Roman"/>
          <w:sz w:val="20"/>
          <w:szCs w:val="20"/>
          <w:vertAlign w:val="superscript"/>
        </w:rPr>
        <w:t>-1</w:t>
      </w:r>
      <w:r w:rsidRPr="000D7C37">
        <w:rPr>
          <w:rFonts w:ascii="Times New Roman" w:hAnsi="Times New Roman"/>
          <w:sz w:val="20"/>
          <w:szCs w:val="20"/>
        </w:rPr>
        <w:t xml:space="preserve">. Other methods that used to characterize material was BET Surface Area Analysis where the specific surface area and pore size distribution of synthesized materials in powder was determined by the adsorption of nitrogen gas on the surface of the solid powder by calculating the amount of adsorbate gas on the layer of surface. It was done by using 3-Flex Micromeritics system. </w:t>
      </w:r>
      <w:r w:rsidR="004D504E">
        <w:rPr>
          <w:rFonts w:ascii="Times New Roman" w:hAnsi="Times New Roman"/>
          <w:sz w:val="20"/>
          <w:szCs w:val="20"/>
        </w:rPr>
        <w:t xml:space="preserve"> </w:t>
      </w:r>
      <w:r w:rsidRPr="000D7C37">
        <w:rPr>
          <w:rFonts w:ascii="Times New Roman" w:hAnsi="Times New Roman"/>
          <w:sz w:val="20"/>
          <w:szCs w:val="20"/>
        </w:rPr>
        <w:t>As for determination of degradation rate of MB dye a</w:t>
      </w:r>
      <w:r w:rsidR="004D504E">
        <w:rPr>
          <w:rFonts w:ascii="Times New Roman" w:hAnsi="Times New Roman"/>
          <w:sz w:val="20"/>
          <w:szCs w:val="20"/>
        </w:rPr>
        <w:t>nd oily wastewater, the UV-Vis-</w:t>
      </w:r>
      <w:r w:rsidRPr="000D7C37">
        <w:rPr>
          <w:rFonts w:ascii="Times New Roman" w:hAnsi="Times New Roman"/>
          <w:sz w:val="20"/>
          <w:szCs w:val="20"/>
        </w:rPr>
        <w:t>NIR spectrophotometer (Perkin Elmer, LAMBDA 750) was used to obtain spectra.</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sz w:val="20"/>
          <w:szCs w:val="20"/>
        </w:rPr>
      </w:pPr>
      <w:r w:rsidRPr="000D7C37">
        <w:rPr>
          <w:rFonts w:ascii="Times New Roman" w:hAnsi="Times New Roman"/>
          <w:b/>
          <w:sz w:val="20"/>
          <w:szCs w:val="20"/>
        </w:rPr>
        <w:t>Photocatalytic study: Degradation of MB dye</w:t>
      </w:r>
    </w:p>
    <w:p w:rsidR="000D7C37" w:rsidRP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The preliminary photodegradation study was conducted on MB dye by using bulk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 nanosheet, and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composite powder under sunlight. An amount 0.1 g of each material added into a beaker that contained 50 mL of 25 mb/L MB dye. Then the solution was placed under sunlight for 2 hours and for every 30 minutes, 3 mL of solutions was extracted using a syringe and this was used to analyze and determine the degradation efficiency by using the UV-Vis-NIR Spectrophotometer at </w:t>
      </w:r>
      <w:r w:rsidRPr="000D7C37">
        <w:rPr>
          <w:rFonts w:ascii="Times New Roman" w:hAnsi="Times New Roman"/>
          <w:sz w:val="20"/>
          <w:szCs w:val="20"/>
        </w:rPr>
        <w:sym w:font="Symbol" w:char="F06C"/>
      </w:r>
      <w:r w:rsidRPr="000D7C37">
        <w:rPr>
          <w:rFonts w:ascii="Times New Roman" w:hAnsi="Times New Roman"/>
          <w:sz w:val="20"/>
          <w:szCs w:val="20"/>
        </w:rPr>
        <w:t>&gt; 400 nm.</w:t>
      </w:r>
    </w:p>
    <w:p w:rsidR="000D7C37" w:rsidRPr="000D7C37" w:rsidRDefault="000D7C37" w:rsidP="000D7C37">
      <w:pPr>
        <w:spacing w:after="0"/>
        <w:jc w:val="both"/>
        <w:outlineLvl w:val="0"/>
        <w:rPr>
          <w:rFonts w:ascii="Times New Roman" w:hAnsi="Times New Roman"/>
          <w:sz w:val="20"/>
          <w:szCs w:val="20"/>
        </w:rPr>
      </w:pPr>
    </w:p>
    <w:p w:rsidR="000D7C37" w:rsidRPr="000D7C37" w:rsidRDefault="000D7C37" w:rsidP="000D7C37">
      <w:pPr>
        <w:spacing w:after="0"/>
        <w:jc w:val="both"/>
        <w:outlineLvl w:val="0"/>
        <w:rPr>
          <w:rFonts w:ascii="Times New Roman" w:hAnsi="Times New Roman"/>
          <w:b/>
          <w:bCs/>
          <w:sz w:val="20"/>
          <w:szCs w:val="20"/>
        </w:rPr>
      </w:pPr>
      <w:r w:rsidRPr="000D7C37">
        <w:rPr>
          <w:rFonts w:ascii="Times New Roman" w:hAnsi="Times New Roman"/>
          <w:b/>
          <w:bCs/>
          <w:sz w:val="20"/>
          <w:szCs w:val="20"/>
        </w:rPr>
        <w:t>Photocatalytic study: Degradation of oil in wastewater</w:t>
      </w:r>
    </w:p>
    <w:p w:rsidR="000D7C37" w:rsidRDefault="000D7C37" w:rsidP="000D7C37">
      <w:pPr>
        <w:spacing w:after="0"/>
        <w:jc w:val="both"/>
        <w:outlineLvl w:val="0"/>
        <w:rPr>
          <w:rFonts w:ascii="Times New Roman" w:hAnsi="Times New Roman"/>
          <w:sz w:val="20"/>
          <w:szCs w:val="20"/>
        </w:rPr>
      </w:pPr>
      <w:r w:rsidRPr="000D7C37">
        <w:rPr>
          <w:rFonts w:ascii="Times New Roman" w:hAnsi="Times New Roman"/>
          <w:sz w:val="20"/>
          <w:szCs w:val="20"/>
        </w:rPr>
        <w:t>Photodegradation study on synthetic oily wastewater was conducted by using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/GO composite powder. The synthetic oily wastewater was prepared by mixing 1 L of distilled water and of 1mL West Lutong light crude oil (SG 0.84, API 37.7) in room temperature but under sunlight. Then, an amount 0.1g of g-C</w:t>
      </w:r>
      <w:r w:rsidRPr="000D7C37">
        <w:rPr>
          <w:rFonts w:ascii="Times New Roman" w:hAnsi="Times New Roman"/>
          <w:sz w:val="20"/>
          <w:szCs w:val="20"/>
          <w:vertAlign w:val="subscript"/>
        </w:rPr>
        <w:t>3</w:t>
      </w:r>
      <w:r w:rsidRPr="000D7C37">
        <w:rPr>
          <w:rFonts w:ascii="Times New Roman" w:hAnsi="Times New Roman"/>
          <w:sz w:val="20"/>
          <w:szCs w:val="20"/>
        </w:rPr>
        <w:t>N</w:t>
      </w:r>
      <w:r w:rsidRPr="000D7C37">
        <w:rPr>
          <w:rFonts w:ascii="Times New Roman" w:hAnsi="Times New Roman"/>
          <w:sz w:val="20"/>
          <w:szCs w:val="20"/>
          <w:vertAlign w:val="subscript"/>
        </w:rPr>
        <w:t>4</w:t>
      </w:r>
      <w:r w:rsidRPr="000D7C37">
        <w:rPr>
          <w:rFonts w:ascii="Times New Roman" w:hAnsi="Times New Roman"/>
          <w:sz w:val="20"/>
          <w:szCs w:val="20"/>
        </w:rPr>
        <w:t xml:space="preserve">/GO composite was added into a beaker which contained 50 mL oily wastewater. The solutions were needed to be </w:t>
      </w:r>
      <w:r w:rsidRPr="000D7C37">
        <w:rPr>
          <w:rFonts w:ascii="Times New Roman" w:hAnsi="Times New Roman"/>
          <w:sz w:val="20"/>
          <w:szCs w:val="20"/>
        </w:rPr>
        <w:lastRenderedPageBreak/>
        <w:t xml:space="preserve">placed under sunlight for 2 hours, 3 mL of solution was extracted using a syringe for every 30 minutes to determine the degradation efficiency using UV-Vis-NIR spectrophotometer. </w:t>
      </w:r>
    </w:p>
    <w:p w:rsidR="00125B33" w:rsidRPr="000D7C37" w:rsidRDefault="00125B33" w:rsidP="000D7C37">
      <w:pPr>
        <w:spacing w:after="0"/>
        <w:jc w:val="both"/>
        <w:outlineLvl w:val="0"/>
        <w:rPr>
          <w:rFonts w:ascii="Times New Roman" w:hAnsi="Times New Roman"/>
          <w:b/>
          <w:sz w:val="20"/>
          <w:szCs w:val="20"/>
        </w:rPr>
      </w:pPr>
    </w:p>
    <w:p w:rsidR="00125B33" w:rsidRPr="00125B33" w:rsidRDefault="00125B33" w:rsidP="00125B33">
      <w:pPr>
        <w:spacing w:after="0"/>
        <w:jc w:val="center"/>
        <w:outlineLvl w:val="0"/>
        <w:rPr>
          <w:rFonts w:ascii="Times New Roman" w:hAnsi="Times New Roman"/>
          <w:b/>
          <w:sz w:val="20"/>
          <w:szCs w:val="20"/>
        </w:rPr>
      </w:pPr>
      <w:r w:rsidRPr="00125B33">
        <w:rPr>
          <w:rFonts w:ascii="Times New Roman" w:hAnsi="Times New Roman"/>
          <w:b/>
          <w:sz w:val="20"/>
          <w:szCs w:val="20"/>
        </w:rPr>
        <w:t>Results and Discussion</w:t>
      </w:r>
    </w:p>
    <w:p w:rsidR="00125B33" w:rsidRPr="00125B33" w:rsidRDefault="00125B33" w:rsidP="00125B33">
      <w:pPr>
        <w:spacing w:after="0"/>
        <w:jc w:val="both"/>
        <w:outlineLvl w:val="0"/>
        <w:rPr>
          <w:rFonts w:ascii="Times New Roman" w:hAnsi="Times New Roman"/>
          <w:b/>
          <w:sz w:val="20"/>
          <w:szCs w:val="20"/>
        </w:rPr>
      </w:pPr>
      <w:r w:rsidRPr="00125B33">
        <w:rPr>
          <w:rFonts w:ascii="Times New Roman" w:hAnsi="Times New Roman"/>
          <w:b/>
          <w:sz w:val="20"/>
          <w:szCs w:val="20"/>
        </w:rPr>
        <w:t>Characterization of material: XRD analysis</w:t>
      </w:r>
    </w:p>
    <w:p w:rsidR="00125B33" w:rsidRDefault="00125B33" w:rsidP="00125B33">
      <w:pPr>
        <w:spacing w:after="0"/>
        <w:jc w:val="both"/>
        <w:outlineLvl w:val="0"/>
        <w:rPr>
          <w:rFonts w:ascii="Times New Roman" w:hAnsi="Times New Roman"/>
          <w:sz w:val="20"/>
          <w:szCs w:val="20"/>
        </w:rPr>
      </w:pPr>
      <w:r w:rsidRPr="00125B33">
        <w:rPr>
          <w:rFonts w:ascii="Times New Roman" w:hAnsi="Times New Roman"/>
          <w:sz w:val="20"/>
          <w:szCs w:val="20"/>
        </w:rPr>
        <w:t>Figure 1 shows the XRD pattern of fabricated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and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Two peaks were identified for both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where for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dominant (002) diffraction peak was identified at 2</w:t>
      </w:r>
      <w:r w:rsidR="00DD1101">
        <w:rPr>
          <w:rFonts w:ascii="Times New Roman" w:hAnsi="Times New Roman"/>
          <w:sz w:val="20"/>
          <w:szCs w:val="20"/>
        </w:rPr>
        <w:t>θ</w:t>
      </w:r>
      <w:r w:rsidRPr="00125B33">
        <w:rPr>
          <w:rFonts w:ascii="Times New Roman" w:hAnsi="Times New Roman"/>
          <w:sz w:val="20"/>
          <w:szCs w:val="20"/>
        </w:rPr>
        <w:t xml:space="preserve"> = 27.2</w:t>
      </w:r>
      <w:r w:rsidRPr="00125B33">
        <w:rPr>
          <w:rFonts w:ascii="Times New Roman" w:hAnsi="Times New Roman"/>
          <w:sz w:val="20"/>
          <w:szCs w:val="20"/>
          <w:vertAlign w:val="superscript"/>
        </w:rPr>
        <w:t>o</w:t>
      </w:r>
      <w:r w:rsidRPr="00125B33">
        <w:rPr>
          <w:rFonts w:ascii="Times New Roman" w:hAnsi="Times New Roman"/>
          <w:sz w:val="20"/>
          <w:szCs w:val="20"/>
        </w:rPr>
        <w:t>. It was indicated in the interlayer stacking of conjugated aromatic CN unit with d = 3.27 μm. The improvement of (002) peak’s intensity was found in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due to the enhancement in crystallinity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after liquid exfoliation [11].The small degree of shifting in (002) diffraction peak’s point was identified from 27.2</w:t>
      </w:r>
      <w:r w:rsidRPr="00125B33">
        <w:rPr>
          <w:rFonts w:ascii="Times New Roman" w:hAnsi="Times New Roman"/>
          <w:sz w:val="20"/>
          <w:szCs w:val="20"/>
          <w:vertAlign w:val="superscript"/>
        </w:rPr>
        <w:t>o</w:t>
      </w:r>
      <w:r w:rsidRPr="00125B33">
        <w:rPr>
          <w:rFonts w:ascii="Times New Roman" w:hAnsi="Times New Roman"/>
          <w:sz w:val="20"/>
          <w:szCs w:val="20"/>
        </w:rPr>
        <w:t xml:space="preserve"> in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to 27.4</w:t>
      </w:r>
      <w:r w:rsidRPr="00125B33">
        <w:rPr>
          <w:rFonts w:ascii="Times New Roman" w:hAnsi="Times New Roman"/>
          <w:sz w:val="20"/>
          <w:szCs w:val="20"/>
          <w:vertAlign w:val="superscript"/>
        </w:rPr>
        <w:t>o</w:t>
      </w:r>
      <w:r w:rsidRPr="00125B33">
        <w:rPr>
          <w:rFonts w:ascii="Times New Roman" w:hAnsi="Times New Roman"/>
          <w:sz w:val="20"/>
          <w:szCs w:val="20"/>
        </w:rPr>
        <w:t xml:space="preserve"> in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The same goes to the stacking distance from d= 3.27µm in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to d= 3.25 µm. Both bulk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and g- 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indicated minor (100) diffraction peak around 13.0</w:t>
      </w:r>
      <w:r w:rsidRPr="00125B33">
        <w:rPr>
          <w:rFonts w:ascii="Times New Roman" w:hAnsi="Times New Roman"/>
          <w:sz w:val="20"/>
          <w:szCs w:val="20"/>
          <w:vertAlign w:val="superscript"/>
        </w:rPr>
        <w:t>o</w:t>
      </w:r>
      <w:r w:rsidRPr="00125B33">
        <w:rPr>
          <w:rFonts w:ascii="Times New Roman" w:hAnsi="Times New Roman"/>
          <w:sz w:val="20"/>
          <w:szCs w:val="20"/>
        </w:rPr>
        <w:t xml:space="preserve"> which corresponds to the in-plane structural packing of triazine units while the distance between pores of nitride in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are specified with planar distance of d = 6.79 µm for (100) diffraction peak. The diffraction peak at a lower angle of about 11.4</w:t>
      </w:r>
      <w:r w:rsidRPr="00125B33">
        <w:rPr>
          <w:rFonts w:ascii="Times New Roman" w:hAnsi="Times New Roman"/>
          <w:sz w:val="20"/>
          <w:szCs w:val="20"/>
          <w:vertAlign w:val="superscript"/>
        </w:rPr>
        <w:t>o</w:t>
      </w:r>
      <w:r w:rsidRPr="00125B33">
        <w:rPr>
          <w:rFonts w:ascii="Times New Roman" w:hAnsi="Times New Roman"/>
          <w:sz w:val="20"/>
          <w:szCs w:val="20"/>
        </w:rPr>
        <w:t xml:space="preserve"> GO implies the introduction of oxygen containing functional group of GO [12,13].</w:t>
      </w:r>
    </w:p>
    <w:p w:rsidR="00125B33" w:rsidRPr="00125B33" w:rsidRDefault="00125B33" w:rsidP="00125B33">
      <w:pPr>
        <w:spacing w:after="0"/>
        <w:jc w:val="both"/>
        <w:rPr>
          <w:rFonts w:ascii="Times New Roman" w:hAnsi="Times New Roman"/>
          <w:sz w:val="20"/>
          <w:szCs w:val="20"/>
        </w:rPr>
      </w:pPr>
      <w:r w:rsidRPr="00125B33">
        <w:rPr>
          <w:rFonts w:ascii="Times New Roman" w:hAnsi="Times New Roman"/>
          <w:sz w:val="20"/>
          <w:szCs w:val="20"/>
        </w:rPr>
        <w:lastRenderedPageBreak/>
        <w:t>The XRD patterns of fabricated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nanosheet, GO and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/GO composite are shown in Figure 2. GO shows intense (001) diffraction peak at </w:t>
      </w:r>
      <w:bookmarkStart w:id="8" w:name="_Hlk35876290"/>
      <w:r w:rsidRPr="00125B33">
        <w:rPr>
          <w:rFonts w:ascii="Times New Roman" w:hAnsi="Times New Roman"/>
          <w:sz w:val="20"/>
          <w:szCs w:val="20"/>
        </w:rPr>
        <w:t>2</w:t>
      </w:r>
      <w:r w:rsidR="005C51B2">
        <w:rPr>
          <w:rFonts w:ascii="Times New Roman" w:hAnsi="Times New Roman"/>
          <w:sz w:val="20"/>
          <w:szCs w:val="20"/>
        </w:rPr>
        <w:t>θ</w:t>
      </w:r>
      <w:r w:rsidRPr="00125B33">
        <w:rPr>
          <w:rFonts w:ascii="Times New Roman" w:hAnsi="Times New Roman"/>
          <w:sz w:val="20"/>
          <w:szCs w:val="20"/>
        </w:rPr>
        <w:t xml:space="preserve"> </w:t>
      </w:r>
      <w:bookmarkEnd w:id="8"/>
      <w:r w:rsidRPr="00125B33">
        <w:rPr>
          <w:rFonts w:ascii="Times New Roman" w:hAnsi="Times New Roman"/>
          <w:sz w:val="20"/>
          <w:szCs w:val="20"/>
        </w:rPr>
        <w:t>= 9.8</w:t>
      </w:r>
      <w:r w:rsidRPr="00125B33">
        <w:rPr>
          <w:rFonts w:ascii="Times New Roman" w:hAnsi="Times New Roman"/>
          <w:sz w:val="20"/>
          <w:szCs w:val="20"/>
          <w:vertAlign w:val="superscript"/>
        </w:rPr>
        <w:t>o</w:t>
      </w:r>
      <w:r w:rsidRPr="00125B33">
        <w:rPr>
          <w:rFonts w:ascii="Times New Roman" w:hAnsi="Times New Roman"/>
          <w:sz w:val="20"/>
          <w:szCs w:val="20"/>
        </w:rPr>
        <w:t xml:space="preserve"> which is typical for GO and the same pattern has been reported by Dutrow and Clark [11]. The factors that contributed to that pattern were the existence of oxygenated functional group and introduction of H</w:t>
      </w:r>
      <w:r w:rsidRPr="00125B33">
        <w:rPr>
          <w:rFonts w:ascii="Times New Roman" w:hAnsi="Times New Roman"/>
          <w:sz w:val="20"/>
          <w:szCs w:val="20"/>
          <w:vertAlign w:val="subscript"/>
        </w:rPr>
        <w:t>2</w:t>
      </w:r>
      <w:r w:rsidRPr="00125B33">
        <w:rPr>
          <w:rFonts w:ascii="Times New Roman" w:hAnsi="Times New Roman"/>
          <w:sz w:val="20"/>
          <w:szCs w:val="20"/>
        </w:rPr>
        <w:t xml:space="preserve">O molecule. </w:t>
      </w:r>
      <w:bookmarkStart w:id="9" w:name="_Hlk36746386"/>
      <w:r w:rsidRPr="00125B33">
        <w:rPr>
          <w:rFonts w:ascii="Times New Roman" w:hAnsi="Times New Roman"/>
          <w:sz w:val="20"/>
          <w:szCs w:val="20"/>
        </w:rPr>
        <w:t>A study conducted by Olumurewa et al. [14] indicated that the introduction of diffraction peak at low angle furnace that the graphite was successfully oxidized to the GO. The XRD pattern for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composite showed the two diffraction peaks which was around 27.3</w:t>
      </w:r>
      <w:r w:rsidRPr="00125B33">
        <w:rPr>
          <w:rFonts w:ascii="Times New Roman" w:hAnsi="Times New Roman"/>
          <w:sz w:val="20"/>
          <w:szCs w:val="20"/>
          <w:vertAlign w:val="superscript"/>
        </w:rPr>
        <w:t>o</w:t>
      </w:r>
      <w:r w:rsidRPr="00125B33">
        <w:rPr>
          <w:rFonts w:ascii="Times New Roman" w:hAnsi="Times New Roman"/>
          <w:sz w:val="20"/>
          <w:szCs w:val="20"/>
        </w:rPr>
        <w:t xml:space="preserve"> and this was quite similar with the XRD pattern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(002) peak thus indicating that the composite contains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This was consistent with the findings by Alam et al. [15] that introduction of GO into the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 xml:space="preserve">4 </w:t>
      </w:r>
      <w:r w:rsidRPr="00125B33">
        <w:rPr>
          <w:rFonts w:ascii="Times New Roman" w:hAnsi="Times New Roman"/>
          <w:sz w:val="20"/>
          <w:szCs w:val="20"/>
        </w:rPr>
        <w:t>did not affect the structure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The introduction of GO has caused the intensity of (002) diffraction peak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to decrease and this proved that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has less layers than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and this is parallel with the report by Dutrow and Clark [11]. Besides that, the modification of GO into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 xml:space="preserve"> also caused the widening of (002) diffraction peak and this condition was explained by authors, where it is caused by the wavelike motion of the layer of g-C</w:t>
      </w:r>
      <w:r w:rsidRPr="00125B33">
        <w:rPr>
          <w:rFonts w:ascii="Times New Roman" w:hAnsi="Times New Roman"/>
          <w:sz w:val="20"/>
          <w:szCs w:val="20"/>
          <w:vertAlign w:val="subscript"/>
        </w:rPr>
        <w:t>3</w:t>
      </w:r>
      <w:r w:rsidRPr="00125B33">
        <w:rPr>
          <w:rFonts w:ascii="Times New Roman" w:hAnsi="Times New Roman"/>
          <w:sz w:val="20"/>
          <w:szCs w:val="20"/>
        </w:rPr>
        <w:t>N</w:t>
      </w:r>
      <w:r w:rsidRPr="00125B33">
        <w:rPr>
          <w:rFonts w:ascii="Times New Roman" w:hAnsi="Times New Roman"/>
          <w:sz w:val="20"/>
          <w:szCs w:val="20"/>
          <w:vertAlign w:val="subscript"/>
        </w:rPr>
        <w:t>4</w:t>
      </w:r>
      <w:r w:rsidRPr="00125B33">
        <w:rPr>
          <w:rFonts w:ascii="Times New Roman" w:hAnsi="Times New Roman"/>
          <w:sz w:val="20"/>
          <w:szCs w:val="20"/>
        </w:rPr>
        <w:t>/GO composite</w:t>
      </w:r>
      <w:bookmarkEnd w:id="9"/>
      <w:r w:rsidRPr="00125B33">
        <w:rPr>
          <w:rFonts w:ascii="Times New Roman" w:hAnsi="Times New Roman"/>
          <w:sz w:val="20"/>
          <w:szCs w:val="20"/>
        </w:rPr>
        <w:t xml:space="preserve">. </w:t>
      </w:r>
    </w:p>
    <w:p w:rsidR="00125B33" w:rsidRPr="00935968" w:rsidRDefault="00125B33" w:rsidP="00125B33">
      <w:pPr>
        <w:rPr>
          <w:rFonts w:ascii="Times New Roman" w:hAnsi="Times New Roman"/>
        </w:rPr>
      </w:pPr>
    </w:p>
    <w:p w:rsidR="00007984" w:rsidRDefault="00007984" w:rsidP="00BA1F7B">
      <w:pPr>
        <w:spacing w:after="0" w:line="240" w:lineRule="auto"/>
        <w:jc w:val="center"/>
        <w:rPr>
          <w:rFonts w:ascii="Times New Roman" w:hAnsi="Times New Roman"/>
          <w:noProof/>
          <w:sz w:val="20"/>
          <w:szCs w:val="20"/>
          <w:lang w:bidi="ar-SA"/>
        </w:rPr>
        <w:sectPr w:rsidR="00007984" w:rsidSect="00AC12DC">
          <w:headerReference w:type="even" r:id="rId19"/>
          <w:headerReference w:type="default" r:id="rId20"/>
          <w:footerReference w:type="even" r:id="rId21"/>
          <w:footerReference w:type="default" r:id="rId22"/>
          <w:headerReference w:type="first" r:id="rId23"/>
          <w:type w:val="oddPage"/>
          <w:pgSz w:w="12240" w:h="15840" w:code="1"/>
          <w:pgMar w:top="1800" w:right="1469" w:bottom="1699" w:left="1440" w:header="706" w:footer="706" w:gutter="0"/>
          <w:pgNumType w:start="1"/>
          <w:cols w:num="2" w:space="403"/>
          <w:docGrid w:linePitch="360"/>
        </w:sectPr>
      </w:pPr>
    </w:p>
    <w:p w:rsidR="00DD1101" w:rsidRDefault="00DD1101" w:rsidP="00BA1F7B">
      <w:pPr>
        <w:spacing w:after="0" w:line="240" w:lineRule="auto"/>
        <w:jc w:val="center"/>
        <w:rPr>
          <w:rFonts w:ascii="Times New Roman" w:hAnsi="Times New Roman"/>
          <w:noProof/>
          <w:sz w:val="20"/>
          <w:szCs w:val="20"/>
          <w:lang w:bidi="ar-SA"/>
        </w:rPr>
      </w:pPr>
    </w:p>
    <w:p w:rsidR="00656B3F" w:rsidRPr="00F447A7" w:rsidRDefault="00656B3F" w:rsidP="00BA1F7B">
      <w:pPr>
        <w:spacing w:after="0" w:line="240" w:lineRule="auto"/>
        <w:jc w:val="center"/>
        <w:rPr>
          <w:rFonts w:ascii="Times New Roman" w:hAnsi="Times New Roman"/>
          <w:noProof/>
          <w:sz w:val="20"/>
          <w:szCs w:val="20"/>
          <w:lang w:bidi="ar-SA"/>
        </w:rPr>
      </w:pPr>
    </w:p>
    <w:p w:rsidR="00DD1101" w:rsidRDefault="00DD1101" w:rsidP="00DD1101">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extent cx="3849915" cy="2160000"/>
            <wp:effectExtent l="19050" t="19050" r="17780"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3849915" cy="2160000"/>
                    </a:xfrm>
                    <a:prstGeom prst="rect">
                      <a:avLst/>
                    </a:prstGeom>
                    <a:ln w="6350">
                      <a:solidFill>
                        <a:schemeClr val="tx1"/>
                      </a:solidFill>
                    </a:ln>
                  </pic:spPr>
                </pic:pic>
              </a:graphicData>
            </a:graphic>
          </wp:inline>
        </w:drawing>
      </w:r>
    </w:p>
    <w:p w:rsidR="00DD1101" w:rsidRPr="00DD1101" w:rsidRDefault="00DD1101" w:rsidP="00DD1101">
      <w:pPr>
        <w:spacing w:after="0"/>
        <w:jc w:val="center"/>
        <w:rPr>
          <w:rFonts w:ascii="Times New Roman" w:hAnsi="Times New Roman"/>
          <w:position w:val="1"/>
          <w:sz w:val="20"/>
          <w:szCs w:val="20"/>
        </w:rPr>
      </w:pPr>
      <w:r w:rsidRPr="00DD1101">
        <w:rPr>
          <w:rFonts w:ascii="Times New Roman" w:hAnsi="Times New Roman"/>
          <w:position w:val="1"/>
          <w:sz w:val="20"/>
          <w:szCs w:val="20"/>
        </w:rPr>
        <w:t xml:space="preserve">Figure 1. </w:t>
      </w:r>
      <w:r>
        <w:rPr>
          <w:rFonts w:ascii="Times New Roman" w:hAnsi="Times New Roman"/>
          <w:position w:val="1"/>
          <w:sz w:val="20"/>
          <w:szCs w:val="20"/>
        </w:rPr>
        <w:t xml:space="preserve"> </w:t>
      </w:r>
      <w:r w:rsidRPr="00DD1101">
        <w:rPr>
          <w:rFonts w:ascii="Times New Roman" w:hAnsi="Times New Roman"/>
          <w:position w:val="1"/>
          <w:sz w:val="20"/>
          <w:szCs w:val="20"/>
        </w:rPr>
        <w:t>XRD pattern for bulk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sz w:val="20"/>
          <w:szCs w:val="20"/>
        </w:rPr>
        <w:t xml:space="preserve"> </w:t>
      </w:r>
      <w:r w:rsidRPr="00DD1101">
        <w:rPr>
          <w:rFonts w:ascii="Times New Roman" w:hAnsi="Times New Roman"/>
          <w:position w:val="1"/>
          <w:sz w:val="20"/>
          <w:szCs w:val="20"/>
        </w:rPr>
        <w:t>and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sz w:val="20"/>
          <w:szCs w:val="20"/>
        </w:rPr>
        <w:t xml:space="preserve"> </w:t>
      </w:r>
      <w:r w:rsidRPr="00DD1101">
        <w:rPr>
          <w:rFonts w:ascii="Times New Roman" w:hAnsi="Times New Roman"/>
          <w:position w:val="1"/>
          <w:sz w:val="20"/>
          <w:szCs w:val="20"/>
        </w:rPr>
        <w:t>nanosheet</w:t>
      </w:r>
    </w:p>
    <w:p w:rsidR="00AC12DC" w:rsidRDefault="00AC12DC" w:rsidP="00AC12DC">
      <w:pPr>
        <w:spacing w:after="0" w:line="240" w:lineRule="auto"/>
        <w:rPr>
          <w:rFonts w:ascii="Times New Roman" w:hAnsi="Times New Roman"/>
          <w:noProof/>
          <w:sz w:val="20"/>
          <w:szCs w:val="20"/>
          <w:lang w:bidi="ar-SA"/>
        </w:rPr>
        <w:sectPr w:rsidR="00AC12DC" w:rsidSect="00007984">
          <w:type w:val="continuous"/>
          <w:pgSz w:w="12240" w:h="15840" w:code="1"/>
          <w:pgMar w:top="1800" w:right="1469" w:bottom="1699" w:left="1440" w:header="706" w:footer="706" w:gutter="0"/>
          <w:pgNumType w:start="1"/>
          <w:cols w:space="708"/>
          <w:docGrid w:linePitch="360"/>
        </w:sectPr>
      </w:pPr>
    </w:p>
    <w:p w:rsidR="00DD1101" w:rsidRDefault="00DD1101" w:rsidP="00AC12DC">
      <w:pPr>
        <w:spacing w:after="0" w:line="240" w:lineRule="auto"/>
        <w:rPr>
          <w:rFonts w:ascii="Times New Roman" w:hAnsi="Times New Roman"/>
          <w:noProof/>
          <w:sz w:val="20"/>
          <w:szCs w:val="20"/>
          <w:lang w:bidi="ar-SA"/>
        </w:rPr>
      </w:pPr>
    </w:p>
    <w:p w:rsidR="00DD1101" w:rsidRDefault="00DD1101" w:rsidP="00DD1101">
      <w:pPr>
        <w:spacing w:after="120"/>
        <w:jc w:val="center"/>
        <w:rPr>
          <w:rFonts w:ascii="Times New Roman" w:hAnsi="Times New Roman"/>
          <w:noProof/>
          <w:sz w:val="20"/>
          <w:szCs w:val="20"/>
          <w:lang w:bidi="ar-SA"/>
        </w:rPr>
      </w:pPr>
      <w:r w:rsidRPr="0045064D">
        <w:rPr>
          <w:rFonts w:ascii="Times New Roman" w:hAnsi="Times New Roman"/>
          <w:noProof/>
          <w:lang w:val="en-MY" w:eastAsia="en-MY" w:bidi="ar-SA"/>
        </w:rPr>
        <w:drawing>
          <wp:inline distT="0" distB="0" distL="0" distR="0">
            <wp:extent cx="3596005" cy="2102358"/>
            <wp:effectExtent l="19050" t="19050" r="23495"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3617826" cy="2115115"/>
                    </a:xfrm>
                    <a:prstGeom prst="rect">
                      <a:avLst/>
                    </a:prstGeom>
                    <a:ln w="6350">
                      <a:solidFill>
                        <a:schemeClr val="tx1"/>
                      </a:solidFill>
                    </a:ln>
                  </pic:spPr>
                </pic:pic>
              </a:graphicData>
            </a:graphic>
          </wp:inline>
        </w:drawing>
      </w:r>
    </w:p>
    <w:p w:rsidR="00DD1101" w:rsidRPr="00DD1101" w:rsidRDefault="00DD1101" w:rsidP="00DD1101">
      <w:pPr>
        <w:spacing w:after="0"/>
        <w:jc w:val="center"/>
        <w:rPr>
          <w:rFonts w:ascii="Times New Roman" w:hAnsi="Times New Roman"/>
          <w:noProof/>
          <w:sz w:val="20"/>
          <w:szCs w:val="20"/>
          <w:lang w:bidi="ar-SA"/>
        </w:rPr>
      </w:pPr>
      <w:r w:rsidRPr="00DD1101">
        <w:rPr>
          <w:rFonts w:ascii="Times New Roman" w:hAnsi="Times New Roman"/>
          <w:position w:val="1"/>
          <w:sz w:val="20"/>
          <w:szCs w:val="20"/>
        </w:rPr>
        <w:t xml:space="preserve">Figure 2. </w:t>
      </w:r>
      <w:r w:rsidR="00D641A3">
        <w:rPr>
          <w:rFonts w:ascii="Times New Roman" w:hAnsi="Times New Roman"/>
          <w:position w:val="1"/>
          <w:sz w:val="20"/>
          <w:szCs w:val="20"/>
        </w:rPr>
        <w:t xml:space="preserve"> </w:t>
      </w:r>
      <w:r w:rsidRPr="00DD1101">
        <w:rPr>
          <w:rFonts w:ascii="Times New Roman" w:hAnsi="Times New Roman"/>
          <w:position w:val="1"/>
          <w:sz w:val="20"/>
          <w:szCs w:val="20"/>
        </w:rPr>
        <w:t>XRD patterns of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sz w:val="20"/>
          <w:szCs w:val="20"/>
        </w:rPr>
        <w:t xml:space="preserve"> </w:t>
      </w:r>
      <w:r w:rsidRPr="00DD1101">
        <w:rPr>
          <w:rFonts w:ascii="Times New Roman" w:hAnsi="Times New Roman"/>
          <w:position w:val="1"/>
          <w:sz w:val="20"/>
          <w:szCs w:val="20"/>
        </w:rPr>
        <w:t>nanosheet, GO and g-C</w:t>
      </w:r>
      <w:r w:rsidRPr="00DD1101">
        <w:rPr>
          <w:rFonts w:ascii="Times New Roman" w:hAnsi="Times New Roman"/>
          <w:sz w:val="20"/>
          <w:szCs w:val="20"/>
          <w:vertAlign w:val="subscript"/>
        </w:rPr>
        <w:t>3</w:t>
      </w:r>
      <w:r w:rsidRPr="00DD1101">
        <w:rPr>
          <w:rFonts w:ascii="Times New Roman" w:hAnsi="Times New Roman"/>
          <w:position w:val="1"/>
          <w:sz w:val="20"/>
          <w:szCs w:val="20"/>
        </w:rPr>
        <w:t>N</w:t>
      </w:r>
      <w:r w:rsidRPr="00DD1101">
        <w:rPr>
          <w:rFonts w:ascii="Times New Roman" w:hAnsi="Times New Roman"/>
          <w:sz w:val="20"/>
          <w:szCs w:val="20"/>
          <w:vertAlign w:val="subscript"/>
        </w:rPr>
        <w:t>4</w:t>
      </w:r>
      <w:r w:rsidRPr="00DD1101">
        <w:rPr>
          <w:rFonts w:ascii="Times New Roman" w:hAnsi="Times New Roman"/>
          <w:position w:val="1"/>
          <w:sz w:val="20"/>
          <w:szCs w:val="20"/>
        </w:rPr>
        <w:t xml:space="preserve">/GO </w:t>
      </w:r>
      <w:r w:rsidRPr="00DD1101">
        <w:rPr>
          <w:rFonts w:ascii="Times New Roman" w:hAnsi="Times New Roman"/>
          <w:sz w:val="20"/>
          <w:szCs w:val="20"/>
        </w:rPr>
        <w:t>composite</w:t>
      </w:r>
    </w:p>
    <w:p w:rsidR="00DD1101" w:rsidRDefault="00DD1101" w:rsidP="00AC12DC">
      <w:pPr>
        <w:spacing w:after="0" w:line="240" w:lineRule="auto"/>
        <w:rPr>
          <w:rFonts w:ascii="Times New Roman" w:hAnsi="Times New Roman"/>
          <w:noProof/>
          <w:sz w:val="20"/>
          <w:szCs w:val="20"/>
          <w:lang w:bidi="ar-SA"/>
        </w:rPr>
      </w:pPr>
    </w:p>
    <w:p w:rsidR="00DD1101" w:rsidRDefault="00DD1101" w:rsidP="00F447A7">
      <w:pPr>
        <w:spacing w:after="0" w:line="240" w:lineRule="auto"/>
        <w:jc w:val="center"/>
        <w:rPr>
          <w:rFonts w:ascii="Times New Roman" w:hAnsi="Times New Roman"/>
          <w:noProof/>
          <w:sz w:val="20"/>
          <w:szCs w:val="20"/>
          <w:lang w:bidi="ar-SA"/>
        </w:rPr>
      </w:pPr>
    </w:p>
    <w:p w:rsidR="00D641A3" w:rsidRDefault="00D641A3" w:rsidP="00D641A3">
      <w:pPr>
        <w:spacing w:after="0"/>
        <w:jc w:val="both"/>
        <w:outlineLvl w:val="0"/>
        <w:rPr>
          <w:rFonts w:ascii="Times New Roman" w:hAnsi="Times New Roman"/>
          <w:b/>
          <w:bCs/>
          <w:sz w:val="20"/>
          <w:szCs w:val="20"/>
        </w:rPr>
        <w:sectPr w:rsidR="00D641A3" w:rsidSect="00AC12DC">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1"/>
          <w:cols w:space="708"/>
          <w:docGrid w:linePitch="360"/>
        </w:sectPr>
      </w:pPr>
    </w:p>
    <w:p w:rsidR="00D641A3" w:rsidRPr="00D641A3" w:rsidRDefault="00D641A3" w:rsidP="00D641A3">
      <w:pPr>
        <w:spacing w:after="0"/>
        <w:jc w:val="both"/>
        <w:outlineLvl w:val="0"/>
        <w:rPr>
          <w:rFonts w:ascii="Times New Roman" w:hAnsi="Times New Roman"/>
          <w:b/>
          <w:bCs/>
          <w:sz w:val="20"/>
          <w:szCs w:val="20"/>
        </w:rPr>
      </w:pPr>
      <w:r w:rsidRPr="00D641A3">
        <w:rPr>
          <w:rFonts w:ascii="Times New Roman" w:hAnsi="Times New Roman"/>
          <w:b/>
          <w:bCs/>
          <w:sz w:val="20"/>
          <w:szCs w:val="20"/>
        </w:rPr>
        <w:lastRenderedPageBreak/>
        <w:t>FTIR analysis</w:t>
      </w:r>
    </w:p>
    <w:p w:rsidR="00D641A3" w:rsidRPr="00D641A3" w:rsidRDefault="00D641A3" w:rsidP="00D641A3">
      <w:pPr>
        <w:spacing w:after="0"/>
        <w:jc w:val="both"/>
        <w:outlineLvl w:val="0"/>
        <w:rPr>
          <w:rFonts w:ascii="Times New Roman" w:hAnsi="Times New Roman"/>
          <w:sz w:val="20"/>
          <w:szCs w:val="20"/>
        </w:rPr>
      </w:pPr>
      <w:r w:rsidRPr="00D641A3">
        <w:rPr>
          <w:rFonts w:ascii="Times New Roman" w:hAnsi="Times New Roman"/>
          <w:sz w:val="20"/>
          <w:szCs w:val="20"/>
        </w:rPr>
        <w:t>Figure 3 shows FTIR spectrum of fabricated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with th</w:t>
      </w:r>
      <w:r w:rsidR="004D504E">
        <w:rPr>
          <w:rFonts w:ascii="Times New Roman" w:hAnsi="Times New Roman"/>
          <w:sz w:val="20"/>
          <w:szCs w:val="20"/>
        </w:rPr>
        <w:t>e wide absorption band at 3000 -</w:t>
      </w:r>
      <w:r w:rsidRPr="00D641A3">
        <w:rPr>
          <w:rFonts w:ascii="Times New Roman" w:hAnsi="Times New Roman"/>
          <w:sz w:val="20"/>
          <w:szCs w:val="20"/>
        </w:rPr>
        <w:t xml:space="preserve"> 3400 cm</w:t>
      </w:r>
      <w:r w:rsidRPr="00D641A3">
        <w:rPr>
          <w:rFonts w:ascii="Times New Roman" w:hAnsi="Times New Roman"/>
          <w:sz w:val="20"/>
          <w:szCs w:val="20"/>
          <w:vertAlign w:val="superscript"/>
        </w:rPr>
        <w:t>-1</w:t>
      </w:r>
      <w:r w:rsidRPr="00D641A3">
        <w:rPr>
          <w:rFonts w:ascii="Times New Roman" w:hAnsi="Times New Roman"/>
          <w:sz w:val="20"/>
          <w:szCs w:val="20"/>
        </w:rPr>
        <w:t>. According to Sheha [16], this is caused by the hydroxyl group due to the adsorption of H</w:t>
      </w:r>
      <w:r w:rsidRPr="00D641A3">
        <w:rPr>
          <w:rFonts w:ascii="Times New Roman" w:hAnsi="Times New Roman"/>
          <w:sz w:val="20"/>
          <w:szCs w:val="20"/>
          <w:vertAlign w:val="subscript"/>
        </w:rPr>
        <w:t>2</w:t>
      </w:r>
      <w:r w:rsidRPr="00D641A3">
        <w:rPr>
          <w:rFonts w:ascii="Times New Roman" w:hAnsi="Times New Roman"/>
          <w:sz w:val="20"/>
          <w:szCs w:val="20"/>
        </w:rPr>
        <w:t>O molecule and uncondensed amine (-NH</w:t>
      </w:r>
      <w:r w:rsidRPr="00D641A3">
        <w:rPr>
          <w:rFonts w:ascii="Times New Roman" w:hAnsi="Times New Roman"/>
          <w:sz w:val="20"/>
          <w:szCs w:val="20"/>
          <w:vertAlign w:val="subscript"/>
        </w:rPr>
        <w:t>2</w:t>
      </w:r>
      <w:r w:rsidRPr="00D641A3">
        <w:rPr>
          <w:rFonts w:ascii="Times New Roman" w:hAnsi="Times New Roman"/>
          <w:sz w:val="20"/>
          <w:szCs w:val="20"/>
        </w:rPr>
        <w:t>) or amine (-CH=NH). FTIR spectra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showed that at 1200 and 1220 cm</w:t>
      </w:r>
      <w:r w:rsidRPr="00D641A3">
        <w:rPr>
          <w:rFonts w:ascii="Times New Roman" w:hAnsi="Times New Roman"/>
          <w:sz w:val="20"/>
          <w:szCs w:val="20"/>
          <w:vertAlign w:val="superscript"/>
        </w:rPr>
        <w:t>-1</w:t>
      </w:r>
      <w:r w:rsidRPr="00D641A3">
        <w:rPr>
          <w:rFonts w:ascii="Times New Roman" w:hAnsi="Times New Roman"/>
          <w:sz w:val="20"/>
          <w:szCs w:val="20"/>
        </w:rPr>
        <w:t xml:space="preserve"> respectively due to the characteristics of the breathing mode of heptazine ring system [17]. FTIR spectrum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in Figure 3 are clearly identified and can be concluded that the exfoliation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still retain their chemical structure as bulk g- 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this is aligned with the study conducted by Raphael [18].</w:t>
      </w:r>
    </w:p>
    <w:p w:rsidR="00DD1101" w:rsidRDefault="00DD1101" w:rsidP="00D641A3">
      <w:pPr>
        <w:spacing w:after="0" w:line="240" w:lineRule="auto"/>
        <w:jc w:val="both"/>
        <w:rPr>
          <w:rFonts w:ascii="Times New Roman" w:hAnsi="Times New Roman"/>
          <w:noProof/>
          <w:sz w:val="20"/>
          <w:szCs w:val="20"/>
          <w:lang w:bidi="ar-SA"/>
        </w:rPr>
      </w:pPr>
    </w:p>
    <w:p w:rsidR="00D641A3" w:rsidRDefault="00D641A3" w:rsidP="00D641A3">
      <w:pPr>
        <w:spacing w:after="0"/>
        <w:jc w:val="both"/>
        <w:outlineLvl w:val="0"/>
        <w:rPr>
          <w:rFonts w:ascii="Times New Roman" w:hAnsi="Times New Roman"/>
          <w:sz w:val="20"/>
          <w:szCs w:val="20"/>
        </w:rPr>
      </w:pPr>
      <w:r w:rsidRPr="00D641A3">
        <w:rPr>
          <w:rFonts w:ascii="Times New Roman" w:hAnsi="Times New Roman"/>
          <w:sz w:val="20"/>
          <w:szCs w:val="20"/>
        </w:rPr>
        <w:t>The FTIR spectrum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/GO composite shows the </w:t>
      </w:r>
      <w:r w:rsidR="00B718B0">
        <w:rPr>
          <w:rFonts w:ascii="Times New Roman" w:hAnsi="Times New Roman"/>
          <w:sz w:val="20"/>
          <w:szCs w:val="20"/>
        </w:rPr>
        <w:t xml:space="preserve"> </w:t>
      </w:r>
      <w:r w:rsidRPr="00D641A3">
        <w:rPr>
          <w:rFonts w:ascii="Times New Roman" w:hAnsi="Times New Roman"/>
          <w:sz w:val="20"/>
          <w:szCs w:val="20"/>
        </w:rPr>
        <w:t xml:space="preserve">resemblance </w:t>
      </w:r>
      <w:r w:rsidR="00B718B0">
        <w:rPr>
          <w:rFonts w:ascii="Times New Roman" w:hAnsi="Times New Roman"/>
          <w:sz w:val="20"/>
          <w:szCs w:val="20"/>
        </w:rPr>
        <w:t xml:space="preserve"> </w:t>
      </w:r>
      <w:r w:rsidRPr="00D641A3">
        <w:rPr>
          <w:rFonts w:ascii="Times New Roman" w:hAnsi="Times New Roman"/>
          <w:sz w:val="20"/>
          <w:szCs w:val="20"/>
        </w:rPr>
        <w:t>pattern</w:t>
      </w:r>
      <w:r w:rsidR="00B718B0">
        <w:rPr>
          <w:rFonts w:ascii="Times New Roman" w:hAnsi="Times New Roman"/>
          <w:sz w:val="20"/>
          <w:szCs w:val="20"/>
        </w:rPr>
        <w:t xml:space="preserve"> </w:t>
      </w:r>
      <w:r w:rsidRPr="00D641A3">
        <w:rPr>
          <w:rFonts w:ascii="Times New Roman" w:hAnsi="Times New Roman"/>
          <w:sz w:val="20"/>
          <w:szCs w:val="20"/>
        </w:rPr>
        <w:t xml:space="preserve"> to the </w:t>
      </w:r>
      <w:r w:rsidR="00B718B0">
        <w:rPr>
          <w:rFonts w:ascii="Times New Roman" w:hAnsi="Times New Roman"/>
          <w:sz w:val="20"/>
          <w:szCs w:val="20"/>
        </w:rPr>
        <w:t xml:space="preserve"> </w:t>
      </w:r>
      <w:r w:rsidRPr="00D641A3">
        <w:rPr>
          <w:rFonts w:ascii="Times New Roman" w:hAnsi="Times New Roman"/>
          <w:sz w:val="20"/>
          <w:szCs w:val="20"/>
        </w:rPr>
        <w:t>FTIR</w:t>
      </w:r>
      <w:r w:rsidR="00B718B0">
        <w:rPr>
          <w:rFonts w:ascii="Times New Roman" w:hAnsi="Times New Roman"/>
          <w:sz w:val="20"/>
          <w:szCs w:val="20"/>
        </w:rPr>
        <w:t xml:space="preserve"> </w:t>
      </w:r>
      <w:r w:rsidRPr="00D641A3">
        <w:rPr>
          <w:rFonts w:ascii="Times New Roman" w:hAnsi="Times New Roman"/>
          <w:sz w:val="20"/>
          <w:szCs w:val="20"/>
        </w:rPr>
        <w:t xml:space="preserve"> spectrum </w:t>
      </w:r>
      <w:r w:rsidR="00B718B0">
        <w:rPr>
          <w:rFonts w:ascii="Times New Roman" w:hAnsi="Times New Roman"/>
          <w:sz w:val="20"/>
          <w:szCs w:val="20"/>
        </w:rPr>
        <w:t xml:space="preserve"> </w:t>
      </w:r>
      <w:r w:rsidRPr="00D641A3">
        <w:rPr>
          <w:rFonts w:ascii="Times New Roman" w:hAnsi="Times New Roman"/>
          <w:sz w:val="20"/>
          <w:szCs w:val="20"/>
        </w:rPr>
        <w:t xml:space="preserve">of </w:t>
      </w:r>
      <w:r w:rsidR="00B718B0">
        <w:rPr>
          <w:rFonts w:ascii="Times New Roman" w:hAnsi="Times New Roman"/>
          <w:sz w:val="20"/>
          <w:szCs w:val="20"/>
        </w:rPr>
        <w:t xml:space="preserve"> </w:t>
      </w:r>
      <w:r w:rsidRPr="00D641A3">
        <w:rPr>
          <w:rFonts w:ascii="Times New Roman" w:hAnsi="Times New Roman"/>
          <w:sz w:val="20"/>
          <w:szCs w:val="20"/>
        </w:rPr>
        <w:t>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but with a slight difference to the GO as shown in Figure 4 .The spectrum of GO shows the wider absorption band at a range of 3000-3500 cm</w:t>
      </w:r>
      <w:r w:rsidRPr="00D641A3">
        <w:rPr>
          <w:rFonts w:ascii="Times New Roman" w:hAnsi="Times New Roman"/>
          <w:sz w:val="20"/>
          <w:szCs w:val="20"/>
          <w:vertAlign w:val="superscript"/>
        </w:rPr>
        <w:t>-1</w:t>
      </w:r>
      <w:r w:rsidRPr="00D641A3">
        <w:rPr>
          <w:rFonts w:ascii="Times New Roman" w:hAnsi="Times New Roman"/>
          <w:sz w:val="20"/>
          <w:szCs w:val="20"/>
        </w:rPr>
        <w:t xml:space="preserve"> attributed by the stretching of OH group of water molecules. Meanwhile, the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/GO composite shows the same pattern of absorption band as GO and this is contributed by the </w:t>
      </w:r>
      <w:r w:rsidR="00B718B0">
        <w:rPr>
          <w:rFonts w:ascii="Times New Roman" w:hAnsi="Times New Roman"/>
          <w:sz w:val="20"/>
          <w:szCs w:val="20"/>
        </w:rPr>
        <w:t xml:space="preserve"> </w:t>
      </w:r>
      <w:r w:rsidRPr="00D641A3">
        <w:rPr>
          <w:rFonts w:ascii="Times New Roman" w:hAnsi="Times New Roman"/>
          <w:sz w:val="20"/>
          <w:szCs w:val="20"/>
        </w:rPr>
        <w:t xml:space="preserve">stretching of </w:t>
      </w:r>
      <w:r w:rsidR="00B718B0">
        <w:rPr>
          <w:rFonts w:ascii="Times New Roman" w:hAnsi="Times New Roman"/>
          <w:sz w:val="20"/>
          <w:szCs w:val="20"/>
        </w:rPr>
        <w:t xml:space="preserve"> </w:t>
      </w:r>
      <w:r w:rsidRPr="00D641A3">
        <w:rPr>
          <w:rFonts w:ascii="Times New Roman" w:hAnsi="Times New Roman"/>
          <w:sz w:val="20"/>
          <w:szCs w:val="20"/>
        </w:rPr>
        <w:t xml:space="preserve">N-H </w:t>
      </w:r>
      <w:r w:rsidR="00B718B0">
        <w:rPr>
          <w:rFonts w:ascii="Times New Roman" w:hAnsi="Times New Roman"/>
          <w:sz w:val="20"/>
          <w:szCs w:val="20"/>
        </w:rPr>
        <w:t xml:space="preserve"> </w:t>
      </w:r>
      <w:r w:rsidRPr="00D641A3">
        <w:rPr>
          <w:rFonts w:ascii="Times New Roman" w:hAnsi="Times New Roman"/>
          <w:sz w:val="20"/>
          <w:szCs w:val="20"/>
        </w:rPr>
        <w:t>group. The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/GO composite exhibited the sharp peak at 804.19 cm</w:t>
      </w:r>
      <w:r w:rsidRPr="00D641A3">
        <w:rPr>
          <w:rFonts w:ascii="Times New Roman" w:hAnsi="Times New Roman"/>
          <w:sz w:val="20"/>
          <w:szCs w:val="20"/>
          <w:vertAlign w:val="superscript"/>
        </w:rPr>
        <w:t>-1</w:t>
      </w:r>
      <w:r w:rsidRPr="00D641A3">
        <w:rPr>
          <w:rFonts w:ascii="Times New Roman" w:hAnsi="Times New Roman"/>
          <w:sz w:val="20"/>
          <w:szCs w:val="20"/>
        </w:rPr>
        <w:t xml:space="preserve"> and the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depicted the sharp peak at 1220 cm</w:t>
      </w:r>
      <w:r w:rsidRPr="00D641A3">
        <w:rPr>
          <w:rFonts w:ascii="Times New Roman" w:hAnsi="Times New Roman"/>
          <w:sz w:val="20"/>
          <w:szCs w:val="20"/>
          <w:vertAlign w:val="superscript"/>
        </w:rPr>
        <w:t>-1</w:t>
      </w:r>
      <w:r w:rsidRPr="00D641A3">
        <w:rPr>
          <w:rFonts w:ascii="Times New Roman" w:hAnsi="Times New Roman"/>
          <w:sz w:val="20"/>
          <w:szCs w:val="20"/>
        </w:rPr>
        <w:t>. [19] conducted a study and found that the peak at 1039.31 cm</w:t>
      </w:r>
      <w:r w:rsidRPr="00D641A3">
        <w:rPr>
          <w:rFonts w:ascii="Times New Roman" w:hAnsi="Times New Roman"/>
          <w:sz w:val="20"/>
          <w:szCs w:val="20"/>
          <w:vertAlign w:val="superscript"/>
        </w:rPr>
        <w:t>-1</w:t>
      </w:r>
      <w:r w:rsidRPr="00D641A3">
        <w:rPr>
          <w:rFonts w:ascii="Times New Roman" w:hAnsi="Times New Roman"/>
          <w:sz w:val="20"/>
          <w:szCs w:val="20"/>
        </w:rPr>
        <w:t xml:space="preserve"> </w:t>
      </w:r>
      <w:r w:rsidR="004D504E">
        <w:rPr>
          <w:rFonts w:ascii="Times New Roman" w:hAnsi="Times New Roman"/>
          <w:sz w:val="20"/>
          <w:szCs w:val="20"/>
        </w:rPr>
        <w:t xml:space="preserve"> </w:t>
      </w:r>
      <w:r w:rsidRPr="00D641A3">
        <w:rPr>
          <w:rFonts w:ascii="Times New Roman" w:hAnsi="Times New Roman"/>
          <w:sz w:val="20"/>
          <w:szCs w:val="20"/>
        </w:rPr>
        <w:t xml:space="preserve">caused </w:t>
      </w:r>
      <w:r w:rsidR="004D504E">
        <w:rPr>
          <w:rFonts w:ascii="Times New Roman" w:hAnsi="Times New Roman"/>
          <w:sz w:val="20"/>
          <w:szCs w:val="20"/>
        </w:rPr>
        <w:t xml:space="preserve"> </w:t>
      </w:r>
      <w:r w:rsidRPr="00D641A3">
        <w:rPr>
          <w:rFonts w:ascii="Times New Roman" w:hAnsi="Times New Roman"/>
          <w:sz w:val="20"/>
          <w:szCs w:val="20"/>
        </w:rPr>
        <w:t>by</w:t>
      </w:r>
      <w:r w:rsidR="004D504E">
        <w:rPr>
          <w:rFonts w:ascii="Times New Roman" w:hAnsi="Times New Roman"/>
          <w:sz w:val="20"/>
          <w:szCs w:val="20"/>
        </w:rPr>
        <w:t xml:space="preserve"> </w:t>
      </w:r>
      <w:r w:rsidRPr="00D641A3">
        <w:rPr>
          <w:rFonts w:ascii="Times New Roman" w:hAnsi="Times New Roman"/>
          <w:sz w:val="20"/>
          <w:szCs w:val="20"/>
        </w:rPr>
        <w:t xml:space="preserve"> the </w:t>
      </w:r>
      <w:r w:rsidR="004D504E">
        <w:rPr>
          <w:rFonts w:ascii="Times New Roman" w:hAnsi="Times New Roman"/>
          <w:sz w:val="20"/>
          <w:szCs w:val="20"/>
        </w:rPr>
        <w:t xml:space="preserve"> </w:t>
      </w:r>
      <w:r w:rsidRPr="00D641A3">
        <w:rPr>
          <w:rFonts w:ascii="Times New Roman" w:hAnsi="Times New Roman"/>
          <w:sz w:val="20"/>
          <w:szCs w:val="20"/>
        </w:rPr>
        <w:t>presence of</w:t>
      </w:r>
      <w:r w:rsidR="004D504E">
        <w:rPr>
          <w:rFonts w:ascii="Times New Roman" w:hAnsi="Times New Roman"/>
          <w:sz w:val="20"/>
          <w:szCs w:val="20"/>
        </w:rPr>
        <w:t xml:space="preserve"> </w:t>
      </w:r>
      <w:r w:rsidRPr="00D641A3">
        <w:rPr>
          <w:rFonts w:ascii="Times New Roman" w:hAnsi="Times New Roman"/>
          <w:sz w:val="20"/>
          <w:szCs w:val="20"/>
        </w:rPr>
        <w:t xml:space="preserve"> the </w:t>
      </w:r>
      <w:r w:rsidRPr="00D641A3">
        <w:rPr>
          <w:rFonts w:ascii="Times New Roman" w:hAnsi="Times New Roman"/>
          <w:sz w:val="20"/>
          <w:szCs w:val="20"/>
        </w:rPr>
        <w:lastRenderedPageBreak/>
        <w:t>C-O functional group. Literature study [20] described that the peak at 1618.65 cm</w:t>
      </w:r>
      <w:r w:rsidRPr="00D641A3">
        <w:rPr>
          <w:rFonts w:ascii="Times New Roman" w:hAnsi="Times New Roman"/>
          <w:sz w:val="20"/>
          <w:szCs w:val="20"/>
          <w:vertAlign w:val="superscript"/>
        </w:rPr>
        <w:t>-1</w:t>
      </w:r>
      <w:r w:rsidRPr="00D641A3">
        <w:rPr>
          <w:rFonts w:ascii="Times New Roman" w:hAnsi="Times New Roman"/>
          <w:sz w:val="20"/>
          <w:szCs w:val="20"/>
        </w:rPr>
        <w:t xml:space="preserve"> was contributed by C=O stretching when at this stage the C=C bonds are still intact even after the oxidation process. Thus, this finding supports the justification for XRD analysis by introducing the GO into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not altering the chemical structure of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w:t>
      </w:r>
    </w:p>
    <w:p w:rsidR="00D641A3" w:rsidRDefault="00D641A3" w:rsidP="00D641A3">
      <w:pPr>
        <w:spacing w:after="0"/>
        <w:jc w:val="both"/>
        <w:outlineLvl w:val="0"/>
        <w:rPr>
          <w:rFonts w:ascii="Times New Roman" w:hAnsi="Times New Roman"/>
          <w:b/>
          <w:bCs/>
          <w:sz w:val="20"/>
          <w:szCs w:val="20"/>
        </w:rPr>
      </w:pPr>
    </w:p>
    <w:p w:rsidR="00D641A3" w:rsidRPr="00D641A3" w:rsidRDefault="00D641A3" w:rsidP="00D641A3">
      <w:pPr>
        <w:spacing w:after="0"/>
        <w:jc w:val="both"/>
        <w:outlineLvl w:val="0"/>
        <w:rPr>
          <w:rFonts w:ascii="Times New Roman" w:hAnsi="Times New Roman"/>
          <w:b/>
          <w:bCs/>
          <w:sz w:val="20"/>
          <w:szCs w:val="20"/>
        </w:rPr>
      </w:pPr>
      <w:r w:rsidRPr="00D641A3">
        <w:rPr>
          <w:rFonts w:ascii="Times New Roman" w:hAnsi="Times New Roman"/>
          <w:b/>
          <w:bCs/>
          <w:sz w:val="20"/>
          <w:szCs w:val="20"/>
        </w:rPr>
        <w:t>BET analysis</w:t>
      </w:r>
    </w:p>
    <w:p w:rsidR="00D641A3" w:rsidRPr="00D641A3" w:rsidRDefault="00D641A3" w:rsidP="00D641A3">
      <w:pPr>
        <w:spacing w:after="0"/>
        <w:jc w:val="both"/>
        <w:outlineLvl w:val="0"/>
        <w:rPr>
          <w:rFonts w:ascii="Times New Roman" w:hAnsi="Times New Roman"/>
          <w:sz w:val="20"/>
          <w:szCs w:val="20"/>
        </w:rPr>
      </w:pPr>
      <w:r w:rsidRPr="00D641A3">
        <w:rPr>
          <w:rFonts w:ascii="Times New Roman" w:hAnsi="Times New Roman"/>
          <w:sz w:val="20"/>
          <w:szCs w:val="20"/>
        </w:rPr>
        <w:t>Table 1 shows the value of surface area and pore volume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/GO composite and GO that was identified through the BET analysis. </w:t>
      </w:r>
    </w:p>
    <w:p w:rsidR="00D641A3" w:rsidRPr="00D641A3" w:rsidRDefault="00D641A3" w:rsidP="00D641A3">
      <w:pPr>
        <w:spacing w:after="0"/>
        <w:jc w:val="both"/>
        <w:outlineLvl w:val="0"/>
        <w:rPr>
          <w:rFonts w:ascii="Times New Roman" w:hAnsi="Times New Roman"/>
          <w:sz w:val="20"/>
          <w:szCs w:val="20"/>
        </w:rPr>
      </w:pPr>
    </w:p>
    <w:p w:rsidR="00D641A3" w:rsidRPr="00D641A3" w:rsidRDefault="00D641A3" w:rsidP="00D641A3">
      <w:pPr>
        <w:spacing w:after="0"/>
        <w:jc w:val="both"/>
        <w:outlineLvl w:val="0"/>
        <w:rPr>
          <w:rFonts w:ascii="Times New Roman" w:hAnsi="Times New Roman"/>
          <w:bCs/>
          <w:sz w:val="20"/>
          <w:szCs w:val="20"/>
        </w:rPr>
      </w:pPr>
      <w:r w:rsidRPr="00D641A3">
        <w:rPr>
          <w:rFonts w:ascii="Times New Roman" w:hAnsi="Times New Roman"/>
          <w:bCs/>
          <w:sz w:val="20"/>
          <w:szCs w:val="20"/>
        </w:rPr>
        <w:t>The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indicated the greater surface area and large pore volume compared to the other materials. The liquid exfoliation of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has been minimized to the size of the nanometer thus the increase of specific areas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was due to the bond cleavage of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BET surface area of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 xml:space="preserve">4 </w:t>
      </w:r>
      <w:r w:rsidRPr="00D641A3">
        <w:rPr>
          <w:rFonts w:ascii="Times New Roman" w:hAnsi="Times New Roman"/>
          <w:bCs/>
          <w:sz w:val="20"/>
          <w:szCs w:val="20"/>
        </w:rPr>
        <w:t>nanosheet was 94.08 m</w:t>
      </w:r>
      <w:r w:rsidRPr="00D641A3">
        <w:rPr>
          <w:rFonts w:ascii="Times New Roman" w:hAnsi="Times New Roman"/>
          <w:bCs/>
          <w:sz w:val="20"/>
          <w:szCs w:val="20"/>
          <w:vertAlign w:val="superscript"/>
        </w:rPr>
        <w:t>2</w:t>
      </w:r>
      <w:r w:rsidRPr="00D641A3">
        <w:rPr>
          <w:rFonts w:ascii="Times New Roman" w:hAnsi="Times New Roman"/>
          <w:bCs/>
          <w:sz w:val="20"/>
          <w:szCs w:val="20"/>
        </w:rPr>
        <w:t>/g greater than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that was 79.84 m</w:t>
      </w:r>
      <w:r w:rsidRPr="00D641A3">
        <w:rPr>
          <w:rFonts w:ascii="Times New Roman" w:hAnsi="Times New Roman"/>
          <w:bCs/>
          <w:sz w:val="20"/>
          <w:szCs w:val="20"/>
          <w:vertAlign w:val="superscript"/>
        </w:rPr>
        <w:t>2</w:t>
      </w:r>
      <w:r w:rsidRPr="00D641A3">
        <w:rPr>
          <w:rFonts w:ascii="Times New Roman" w:hAnsi="Times New Roman"/>
          <w:bCs/>
          <w:sz w:val="20"/>
          <w:szCs w:val="20"/>
        </w:rPr>
        <w:t xml:space="preserve">/g as shown in Table 1. </w:t>
      </w:r>
      <w:bookmarkStart w:id="10" w:name="_Hlk36737722"/>
      <w:r w:rsidRPr="00D641A3">
        <w:rPr>
          <w:rFonts w:ascii="Times New Roman" w:hAnsi="Times New Roman"/>
          <w:bCs/>
          <w:sz w:val="20"/>
          <w:szCs w:val="20"/>
        </w:rPr>
        <w:t>According to [21] the high surface area of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would have the significant presence of active sites with nitrogen atom where it is very suitable to be used as a photocatalyst. Meanwhile, th</w:t>
      </w:r>
      <w:r w:rsidR="004D504E">
        <w:rPr>
          <w:rFonts w:ascii="Times New Roman" w:hAnsi="Times New Roman"/>
          <w:bCs/>
          <w:sz w:val="20"/>
          <w:szCs w:val="20"/>
        </w:rPr>
        <w:t>e BET surface area of GO and g-</w:t>
      </w:r>
      <w:r w:rsidRPr="00D641A3">
        <w:rPr>
          <w:rFonts w:ascii="Times New Roman" w:hAnsi="Times New Roman"/>
          <w:bCs/>
          <w:sz w:val="20"/>
          <w:szCs w:val="20"/>
        </w:rPr>
        <w:t>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were 2.01 m</w:t>
      </w:r>
      <w:r w:rsidRPr="00D641A3">
        <w:rPr>
          <w:rFonts w:ascii="Times New Roman" w:hAnsi="Times New Roman"/>
          <w:bCs/>
          <w:sz w:val="20"/>
          <w:szCs w:val="20"/>
          <w:vertAlign w:val="superscript"/>
        </w:rPr>
        <w:t>2</w:t>
      </w:r>
      <w:r w:rsidRPr="00D641A3">
        <w:rPr>
          <w:rFonts w:ascii="Times New Roman" w:hAnsi="Times New Roman"/>
          <w:bCs/>
          <w:sz w:val="20"/>
          <w:szCs w:val="20"/>
        </w:rPr>
        <w:t>/g and 45.57 m</w:t>
      </w:r>
      <w:r w:rsidRPr="00D641A3">
        <w:rPr>
          <w:rFonts w:ascii="Times New Roman" w:hAnsi="Times New Roman"/>
          <w:bCs/>
          <w:sz w:val="20"/>
          <w:szCs w:val="20"/>
          <w:vertAlign w:val="superscript"/>
        </w:rPr>
        <w:t>2</w:t>
      </w:r>
      <w:r w:rsidRPr="00D641A3">
        <w:rPr>
          <w:rFonts w:ascii="Times New Roman" w:hAnsi="Times New Roman"/>
          <w:bCs/>
          <w:sz w:val="20"/>
          <w:szCs w:val="20"/>
        </w:rPr>
        <w:t xml:space="preserve">/g respectively. These results have been agreed with the results produced by </w:t>
      </w:r>
      <w:r w:rsidRPr="00D641A3">
        <w:rPr>
          <w:rFonts w:ascii="Times New Roman" w:hAnsi="Times New Roman"/>
          <w:sz w:val="20"/>
          <w:szCs w:val="20"/>
        </w:rPr>
        <w:t>Vlachos</w:t>
      </w:r>
      <w:r w:rsidRPr="00D641A3">
        <w:rPr>
          <w:rFonts w:ascii="Times New Roman" w:hAnsi="Times New Roman"/>
          <w:bCs/>
          <w:sz w:val="20"/>
          <w:szCs w:val="20"/>
        </w:rPr>
        <w:t xml:space="preserve"> et al. [22].</w:t>
      </w:r>
      <w:bookmarkEnd w:id="10"/>
    </w:p>
    <w:p w:rsidR="00AC12DC" w:rsidRDefault="00AC12DC" w:rsidP="00D641A3">
      <w:pPr>
        <w:spacing w:after="0"/>
        <w:jc w:val="both"/>
        <w:outlineLvl w:val="0"/>
        <w:rPr>
          <w:rFonts w:ascii="Times New Roman" w:hAnsi="Times New Roman"/>
          <w:sz w:val="20"/>
          <w:szCs w:val="20"/>
        </w:rPr>
        <w:sectPr w:rsidR="00AC12DC" w:rsidSect="00D641A3">
          <w:type w:val="continuous"/>
          <w:pgSz w:w="12240" w:h="15840" w:code="1"/>
          <w:pgMar w:top="1800" w:right="1469" w:bottom="1699" w:left="1440" w:header="706" w:footer="706" w:gutter="0"/>
          <w:pgNumType w:start="1"/>
          <w:cols w:num="2" w:space="403"/>
          <w:docGrid w:linePitch="360"/>
        </w:sectPr>
      </w:pPr>
    </w:p>
    <w:p w:rsidR="00D641A3" w:rsidRDefault="00D641A3" w:rsidP="00D641A3">
      <w:pPr>
        <w:spacing w:after="0"/>
        <w:jc w:val="both"/>
        <w:outlineLvl w:val="0"/>
        <w:rPr>
          <w:rFonts w:ascii="Times New Roman" w:hAnsi="Times New Roman"/>
          <w:sz w:val="20"/>
          <w:szCs w:val="20"/>
        </w:rPr>
        <w:sectPr w:rsidR="00D641A3" w:rsidSect="00AC12DC">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1"/>
          <w:cols w:num="2" w:space="403"/>
          <w:docGrid w:linePitch="360"/>
        </w:sectPr>
      </w:pPr>
    </w:p>
    <w:p w:rsidR="00D641A3" w:rsidRDefault="00D641A3" w:rsidP="00D641A3">
      <w:pPr>
        <w:spacing w:after="120"/>
        <w:jc w:val="center"/>
        <w:outlineLvl w:val="0"/>
        <w:rPr>
          <w:rFonts w:ascii="Times New Roman" w:hAnsi="Times New Roman"/>
          <w:sz w:val="20"/>
          <w:szCs w:val="20"/>
        </w:rPr>
        <w:sectPr w:rsidR="00D641A3" w:rsidSect="00D641A3">
          <w:type w:val="continuous"/>
          <w:pgSz w:w="12240" w:h="15840" w:code="1"/>
          <w:pgMar w:top="1800" w:right="1469" w:bottom="1699" w:left="1440" w:header="706" w:footer="706" w:gutter="0"/>
          <w:pgNumType w:start="1"/>
          <w:cols w:space="403"/>
          <w:docGrid w:linePitch="360"/>
        </w:sectPr>
      </w:pPr>
      <w:r w:rsidRPr="0045064D">
        <w:rPr>
          <w:rFonts w:ascii="Times New Roman" w:hAnsi="Times New Roman"/>
          <w:noProof/>
          <w:szCs w:val="20"/>
          <w:lang w:val="en-MY" w:eastAsia="en-MY" w:bidi="ar-SA"/>
        </w:rPr>
        <w:lastRenderedPageBreak/>
        <w:drawing>
          <wp:inline distT="0" distB="0" distL="0" distR="0">
            <wp:extent cx="3665617" cy="2103120"/>
            <wp:effectExtent l="19050" t="19050" r="1143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3665617" cy="2103120"/>
                    </a:xfrm>
                    <a:prstGeom prst="rect">
                      <a:avLst/>
                    </a:prstGeom>
                    <a:ln w="6350">
                      <a:solidFill>
                        <a:sysClr val="windowText" lastClr="000000"/>
                      </a:solidFill>
                    </a:ln>
                  </pic:spPr>
                </pic:pic>
              </a:graphicData>
            </a:graphic>
          </wp:inline>
        </w:drawing>
      </w:r>
    </w:p>
    <w:p w:rsidR="00D641A3" w:rsidRPr="00D641A3" w:rsidRDefault="00D641A3" w:rsidP="00605ADE">
      <w:pPr>
        <w:spacing w:after="120"/>
        <w:jc w:val="center"/>
        <w:outlineLvl w:val="0"/>
        <w:rPr>
          <w:rFonts w:ascii="Times New Roman" w:hAnsi="Times New Roman"/>
          <w:sz w:val="20"/>
          <w:szCs w:val="20"/>
        </w:rPr>
      </w:pPr>
      <w:r w:rsidRPr="00D641A3">
        <w:rPr>
          <w:rFonts w:ascii="Times New Roman" w:hAnsi="Times New Roman"/>
          <w:sz w:val="20"/>
          <w:szCs w:val="20"/>
        </w:rPr>
        <w:lastRenderedPageBreak/>
        <w:t xml:space="preserve">Figure 3. </w:t>
      </w:r>
      <w:r>
        <w:rPr>
          <w:rFonts w:ascii="Times New Roman" w:hAnsi="Times New Roman"/>
          <w:sz w:val="20"/>
          <w:szCs w:val="20"/>
        </w:rPr>
        <w:t xml:space="preserve"> </w:t>
      </w:r>
      <w:r w:rsidRPr="00D641A3">
        <w:rPr>
          <w:rFonts w:ascii="Times New Roman" w:hAnsi="Times New Roman"/>
          <w:sz w:val="20"/>
          <w:szCs w:val="20"/>
        </w:rPr>
        <w:t>FTIR spectrum of bulk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and g-C</w:t>
      </w:r>
      <w:r w:rsidRPr="00D641A3">
        <w:rPr>
          <w:rFonts w:ascii="Times New Roman" w:hAnsi="Times New Roman"/>
          <w:sz w:val="20"/>
          <w:szCs w:val="20"/>
          <w:vertAlign w:val="subscript"/>
        </w:rPr>
        <w:t>3</w:t>
      </w:r>
      <w:r w:rsidRPr="00D641A3">
        <w:rPr>
          <w:rFonts w:ascii="Times New Roman" w:hAnsi="Times New Roman"/>
          <w:sz w:val="20"/>
          <w:szCs w:val="20"/>
        </w:rPr>
        <w:t>N</w:t>
      </w:r>
      <w:r w:rsidRPr="00D641A3">
        <w:rPr>
          <w:rFonts w:ascii="Times New Roman" w:hAnsi="Times New Roman"/>
          <w:sz w:val="20"/>
          <w:szCs w:val="20"/>
          <w:vertAlign w:val="subscript"/>
        </w:rPr>
        <w:t>4</w:t>
      </w:r>
      <w:r w:rsidRPr="00D641A3">
        <w:rPr>
          <w:rFonts w:ascii="Times New Roman" w:hAnsi="Times New Roman"/>
          <w:sz w:val="20"/>
          <w:szCs w:val="20"/>
        </w:rPr>
        <w:t xml:space="preserve"> nanosheet</w:t>
      </w:r>
    </w:p>
    <w:p w:rsidR="00D641A3" w:rsidRDefault="00D641A3" w:rsidP="00D641A3">
      <w:pPr>
        <w:spacing w:after="0"/>
        <w:jc w:val="both"/>
        <w:outlineLvl w:val="0"/>
        <w:rPr>
          <w:rFonts w:ascii="Times New Roman" w:hAnsi="Times New Roman"/>
          <w:sz w:val="20"/>
          <w:szCs w:val="20"/>
        </w:rPr>
      </w:pPr>
    </w:p>
    <w:p w:rsidR="00D641A3" w:rsidRPr="00D641A3" w:rsidRDefault="00605ADE" w:rsidP="00605ADE">
      <w:pPr>
        <w:spacing w:after="120"/>
        <w:jc w:val="center"/>
        <w:outlineLvl w:val="0"/>
        <w:rPr>
          <w:rFonts w:ascii="Times New Roman" w:hAnsi="Times New Roman"/>
          <w:sz w:val="20"/>
          <w:szCs w:val="20"/>
        </w:rPr>
      </w:pPr>
      <w:r w:rsidRPr="0045064D">
        <w:rPr>
          <w:rFonts w:ascii="Times New Roman" w:hAnsi="Times New Roman"/>
          <w:noProof/>
          <w:szCs w:val="20"/>
          <w:lang w:val="en-MY" w:eastAsia="en-MY" w:bidi="ar-SA"/>
        </w:rPr>
        <w:drawing>
          <wp:inline distT="0" distB="0" distL="0" distR="0">
            <wp:extent cx="3657600" cy="2060468"/>
            <wp:effectExtent l="19050" t="19050" r="19050" b="165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3657600" cy="2060468"/>
                    </a:xfrm>
                    <a:prstGeom prst="rect">
                      <a:avLst/>
                    </a:prstGeom>
                    <a:ln w="6350">
                      <a:solidFill>
                        <a:sysClr val="windowText" lastClr="000000"/>
                      </a:solidFill>
                    </a:ln>
                  </pic:spPr>
                </pic:pic>
              </a:graphicData>
            </a:graphic>
          </wp:inline>
        </w:drawing>
      </w:r>
    </w:p>
    <w:p w:rsidR="00605ADE" w:rsidRDefault="00605ADE" w:rsidP="00605ADE">
      <w:pPr>
        <w:spacing w:after="0"/>
        <w:jc w:val="center"/>
        <w:outlineLvl w:val="0"/>
        <w:rPr>
          <w:rFonts w:ascii="Times New Roman" w:hAnsi="Times New Roman"/>
          <w:sz w:val="20"/>
          <w:szCs w:val="20"/>
        </w:rPr>
      </w:pPr>
      <w:r w:rsidRPr="00605ADE">
        <w:rPr>
          <w:rFonts w:ascii="Times New Roman" w:hAnsi="Times New Roman"/>
          <w:sz w:val="20"/>
          <w:szCs w:val="20"/>
        </w:rPr>
        <w:t>Figure 4. FTIR spectrum of g-C</w:t>
      </w:r>
      <w:r w:rsidRPr="00605ADE">
        <w:rPr>
          <w:rFonts w:ascii="Times New Roman" w:hAnsi="Times New Roman"/>
          <w:sz w:val="20"/>
          <w:szCs w:val="20"/>
          <w:vertAlign w:val="subscript"/>
        </w:rPr>
        <w:t>3</w:t>
      </w:r>
      <w:r w:rsidRPr="00605ADE">
        <w:rPr>
          <w:rFonts w:ascii="Times New Roman" w:hAnsi="Times New Roman"/>
          <w:sz w:val="20"/>
          <w:szCs w:val="20"/>
        </w:rPr>
        <w:t>N</w:t>
      </w:r>
      <w:r w:rsidRPr="00605ADE">
        <w:rPr>
          <w:rFonts w:ascii="Times New Roman" w:hAnsi="Times New Roman"/>
          <w:sz w:val="20"/>
          <w:szCs w:val="20"/>
          <w:vertAlign w:val="subscript"/>
        </w:rPr>
        <w:t xml:space="preserve">4 </w:t>
      </w:r>
      <w:r w:rsidRPr="00605ADE">
        <w:rPr>
          <w:rFonts w:ascii="Times New Roman" w:hAnsi="Times New Roman"/>
          <w:sz w:val="20"/>
          <w:szCs w:val="20"/>
        </w:rPr>
        <w:t>nanosheet, GO and g-C</w:t>
      </w:r>
      <w:r w:rsidRPr="00605ADE">
        <w:rPr>
          <w:rFonts w:ascii="Times New Roman" w:hAnsi="Times New Roman"/>
          <w:sz w:val="20"/>
          <w:szCs w:val="20"/>
          <w:vertAlign w:val="subscript"/>
        </w:rPr>
        <w:t>3</w:t>
      </w:r>
      <w:r w:rsidRPr="00605ADE">
        <w:rPr>
          <w:rFonts w:ascii="Times New Roman" w:hAnsi="Times New Roman"/>
          <w:sz w:val="20"/>
          <w:szCs w:val="20"/>
        </w:rPr>
        <w:t>N</w:t>
      </w:r>
      <w:r w:rsidRPr="00605ADE">
        <w:rPr>
          <w:rFonts w:ascii="Times New Roman" w:hAnsi="Times New Roman"/>
          <w:sz w:val="20"/>
          <w:szCs w:val="20"/>
          <w:vertAlign w:val="subscript"/>
        </w:rPr>
        <w:t>4</w:t>
      </w:r>
      <w:r w:rsidRPr="00605ADE">
        <w:rPr>
          <w:rFonts w:ascii="Times New Roman" w:hAnsi="Times New Roman"/>
          <w:sz w:val="20"/>
          <w:szCs w:val="20"/>
        </w:rPr>
        <w:t>/GO composite</w:t>
      </w:r>
    </w:p>
    <w:p w:rsidR="00605ADE" w:rsidRDefault="00605ADE" w:rsidP="00605ADE">
      <w:pPr>
        <w:spacing w:after="0"/>
        <w:jc w:val="center"/>
        <w:outlineLvl w:val="0"/>
        <w:rPr>
          <w:rFonts w:ascii="Times New Roman" w:hAnsi="Times New Roman"/>
          <w:sz w:val="20"/>
          <w:szCs w:val="20"/>
        </w:rPr>
      </w:pPr>
    </w:p>
    <w:p w:rsidR="00605ADE" w:rsidRPr="00605ADE" w:rsidRDefault="00605ADE" w:rsidP="00605ADE">
      <w:pPr>
        <w:spacing w:after="0"/>
        <w:jc w:val="center"/>
        <w:outlineLvl w:val="0"/>
        <w:rPr>
          <w:rFonts w:ascii="Times New Roman" w:hAnsi="Times New Roman"/>
          <w:sz w:val="20"/>
          <w:szCs w:val="20"/>
        </w:rPr>
      </w:pPr>
    </w:p>
    <w:p w:rsidR="00605ADE" w:rsidRPr="00605ADE" w:rsidRDefault="00605ADE" w:rsidP="00605ADE">
      <w:pPr>
        <w:spacing w:after="120"/>
        <w:jc w:val="center"/>
        <w:outlineLvl w:val="0"/>
        <w:rPr>
          <w:rFonts w:ascii="Times New Roman" w:hAnsi="Times New Roman"/>
          <w:sz w:val="20"/>
          <w:szCs w:val="20"/>
        </w:rPr>
      </w:pPr>
      <w:r>
        <w:rPr>
          <w:rFonts w:ascii="Times New Roman" w:hAnsi="Times New Roman"/>
          <w:sz w:val="20"/>
          <w:szCs w:val="20"/>
        </w:rPr>
        <w:t xml:space="preserve">Table 1.  </w:t>
      </w:r>
      <w:r w:rsidRPr="00605ADE">
        <w:rPr>
          <w:rFonts w:ascii="Times New Roman" w:hAnsi="Times New Roman"/>
          <w:sz w:val="20"/>
          <w:szCs w:val="20"/>
        </w:rPr>
        <w:t>BET surface area and pore volume of material</w:t>
      </w:r>
    </w:p>
    <w:tbl>
      <w:tblPr>
        <w:tblStyle w:val="TableGrid"/>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1641"/>
        <w:gridCol w:w="1344"/>
        <w:gridCol w:w="766"/>
        <w:gridCol w:w="1333"/>
      </w:tblGrid>
      <w:tr w:rsidR="00605ADE" w:rsidRPr="0045064D" w:rsidTr="00605ADE">
        <w:trPr>
          <w:jc w:val="center"/>
        </w:trPr>
        <w:tc>
          <w:tcPr>
            <w:tcW w:w="0" w:type="auto"/>
            <w:tcBorders>
              <w:top w:val="single" w:sz="4" w:space="0" w:color="auto"/>
              <w:bottom w:val="single" w:sz="4" w:space="0" w:color="auto"/>
              <w:right w:val="nil"/>
            </w:tcBorders>
          </w:tcPr>
          <w:p w:rsidR="00605ADE" w:rsidRPr="00605ADE" w:rsidRDefault="00605ADE" w:rsidP="00605ADE">
            <w:pPr>
              <w:spacing w:before="60" w:after="0"/>
              <w:outlineLvl w:val="0"/>
              <w:rPr>
                <w:rFonts w:ascii="Times New Roman" w:hAnsi="Times New Roman" w:cs="Times New Roman"/>
                <w:b/>
                <w:bCs/>
                <w:sz w:val="20"/>
                <w:szCs w:val="20"/>
              </w:rPr>
            </w:pPr>
            <w:r w:rsidRPr="00605ADE">
              <w:rPr>
                <w:rFonts w:ascii="Times New Roman" w:hAnsi="Times New Roman" w:cs="Times New Roman"/>
                <w:b/>
                <w:bCs/>
                <w:sz w:val="20"/>
                <w:szCs w:val="20"/>
              </w:rPr>
              <w:t>Sample Name</w:t>
            </w:r>
          </w:p>
        </w:tc>
        <w:tc>
          <w:tcPr>
            <w:tcW w:w="0" w:type="auto"/>
            <w:tcBorders>
              <w:top w:val="single" w:sz="4" w:space="0" w:color="auto"/>
              <w:left w:val="nil"/>
              <w:bottom w:val="single" w:sz="4" w:space="0" w:color="auto"/>
              <w:right w:val="nil"/>
            </w:tcBorders>
          </w:tcPr>
          <w:p w:rsidR="00605ADE" w:rsidRPr="00605ADE" w:rsidRDefault="00605ADE" w:rsidP="00605ADE">
            <w:pPr>
              <w:spacing w:before="60"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Sample Mass</w:t>
            </w:r>
          </w:p>
          <w:p w:rsidR="00605ADE" w:rsidRPr="00605ADE" w:rsidRDefault="00605ADE" w:rsidP="00605ADE">
            <w:pPr>
              <w:spacing w:after="6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(g)</w:t>
            </w:r>
          </w:p>
        </w:tc>
        <w:tc>
          <w:tcPr>
            <w:tcW w:w="0" w:type="auto"/>
            <w:tcBorders>
              <w:top w:val="single" w:sz="4" w:space="0" w:color="auto"/>
              <w:left w:val="nil"/>
              <w:bottom w:val="single" w:sz="4" w:space="0" w:color="auto"/>
              <w:right w:val="nil"/>
            </w:tcBorders>
          </w:tcPr>
          <w:p w:rsidR="00605ADE" w:rsidRPr="00605ADE" w:rsidRDefault="00605ADE" w:rsidP="00605ADE">
            <w:pPr>
              <w:spacing w:before="60"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SBET</w:t>
            </w:r>
          </w:p>
          <w:p w:rsidR="00605ADE" w:rsidRPr="00605ADE" w:rsidRDefault="00605ADE" w:rsidP="00605ADE">
            <w:pPr>
              <w:spacing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(m</w:t>
            </w:r>
            <w:r w:rsidRPr="00605ADE">
              <w:rPr>
                <w:rFonts w:ascii="Times New Roman" w:hAnsi="Times New Roman" w:cs="Times New Roman"/>
                <w:b/>
                <w:bCs/>
                <w:sz w:val="20"/>
                <w:szCs w:val="20"/>
                <w:vertAlign w:val="superscript"/>
              </w:rPr>
              <w:t>2</w:t>
            </w:r>
            <w:r w:rsidRPr="00605ADE">
              <w:rPr>
                <w:rFonts w:ascii="Times New Roman" w:hAnsi="Times New Roman" w:cs="Times New Roman"/>
                <w:b/>
                <w:bCs/>
                <w:sz w:val="20"/>
                <w:szCs w:val="20"/>
              </w:rPr>
              <w:t>/g)</w:t>
            </w:r>
          </w:p>
        </w:tc>
        <w:tc>
          <w:tcPr>
            <w:tcW w:w="0" w:type="auto"/>
            <w:tcBorders>
              <w:top w:val="single" w:sz="4" w:space="0" w:color="auto"/>
              <w:left w:val="nil"/>
              <w:bottom w:val="single" w:sz="4" w:space="0" w:color="auto"/>
            </w:tcBorders>
          </w:tcPr>
          <w:p w:rsidR="00605ADE" w:rsidRPr="00605ADE" w:rsidRDefault="00605ADE" w:rsidP="00605ADE">
            <w:pPr>
              <w:spacing w:before="60"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Pore Volume</w:t>
            </w:r>
          </w:p>
          <w:p w:rsidR="00605ADE" w:rsidRPr="00605ADE" w:rsidRDefault="00605ADE" w:rsidP="00605ADE">
            <w:pPr>
              <w:spacing w:after="0"/>
              <w:jc w:val="center"/>
              <w:outlineLvl w:val="0"/>
              <w:rPr>
                <w:rFonts w:ascii="Times New Roman" w:hAnsi="Times New Roman" w:cs="Times New Roman"/>
                <w:b/>
                <w:bCs/>
                <w:sz w:val="20"/>
                <w:szCs w:val="20"/>
              </w:rPr>
            </w:pPr>
            <w:r w:rsidRPr="00605ADE">
              <w:rPr>
                <w:rFonts w:ascii="Times New Roman" w:hAnsi="Times New Roman" w:cs="Times New Roman"/>
                <w:b/>
                <w:bCs/>
                <w:sz w:val="20"/>
                <w:szCs w:val="20"/>
              </w:rPr>
              <w:t>(cm</w:t>
            </w:r>
            <w:r w:rsidRPr="00605ADE">
              <w:rPr>
                <w:rFonts w:ascii="Times New Roman" w:hAnsi="Times New Roman" w:cs="Times New Roman"/>
                <w:b/>
                <w:bCs/>
                <w:sz w:val="20"/>
                <w:szCs w:val="20"/>
                <w:vertAlign w:val="superscript"/>
              </w:rPr>
              <w:t>2</w:t>
            </w:r>
            <w:r w:rsidRPr="00605ADE">
              <w:rPr>
                <w:rFonts w:ascii="Times New Roman" w:hAnsi="Times New Roman" w:cs="Times New Roman"/>
                <w:b/>
                <w:bCs/>
                <w:sz w:val="20"/>
                <w:szCs w:val="20"/>
              </w:rPr>
              <w:t>/g)</w:t>
            </w:r>
          </w:p>
        </w:tc>
      </w:tr>
      <w:tr w:rsidR="00605ADE" w:rsidRPr="0045064D" w:rsidTr="00605ADE">
        <w:trPr>
          <w:jc w:val="center"/>
        </w:trPr>
        <w:tc>
          <w:tcPr>
            <w:tcW w:w="0" w:type="auto"/>
            <w:tcBorders>
              <w:top w:val="single" w:sz="4" w:space="0" w:color="auto"/>
              <w:bottom w:val="nil"/>
              <w:right w:val="nil"/>
            </w:tcBorders>
          </w:tcPr>
          <w:p w:rsidR="00605ADE" w:rsidRPr="00605ADE" w:rsidRDefault="00605ADE" w:rsidP="00605ADE">
            <w:pPr>
              <w:spacing w:before="60" w:after="0"/>
              <w:outlineLvl w:val="0"/>
              <w:rPr>
                <w:rFonts w:ascii="Times New Roman" w:hAnsi="Times New Roman" w:cs="Times New Roman"/>
                <w:bCs/>
                <w:sz w:val="20"/>
                <w:szCs w:val="20"/>
              </w:rPr>
            </w:pPr>
            <w:r w:rsidRPr="00605ADE">
              <w:rPr>
                <w:rFonts w:ascii="Times New Roman" w:hAnsi="Times New Roman" w:cs="Times New Roman"/>
                <w:bCs/>
                <w:sz w:val="20"/>
                <w:szCs w:val="20"/>
              </w:rPr>
              <w:t>Bulk g-C</w:t>
            </w:r>
            <w:r w:rsidRPr="00605ADE">
              <w:rPr>
                <w:rFonts w:ascii="Times New Roman" w:hAnsi="Times New Roman" w:cs="Times New Roman"/>
                <w:bCs/>
                <w:sz w:val="20"/>
                <w:szCs w:val="20"/>
                <w:vertAlign w:val="subscript"/>
              </w:rPr>
              <w:t>3</w:t>
            </w:r>
            <w:r w:rsidRPr="00605ADE">
              <w:rPr>
                <w:rFonts w:ascii="Times New Roman" w:hAnsi="Times New Roman" w:cs="Times New Roman"/>
                <w:bCs/>
                <w:sz w:val="20"/>
                <w:szCs w:val="20"/>
              </w:rPr>
              <w:t>N</w:t>
            </w:r>
            <w:r w:rsidRPr="00605ADE">
              <w:rPr>
                <w:rFonts w:ascii="Times New Roman" w:hAnsi="Times New Roman" w:cs="Times New Roman"/>
                <w:bCs/>
                <w:sz w:val="20"/>
                <w:szCs w:val="20"/>
                <w:vertAlign w:val="subscript"/>
              </w:rPr>
              <w:t>4</w:t>
            </w:r>
          </w:p>
        </w:tc>
        <w:tc>
          <w:tcPr>
            <w:tcW w:w="0" w:type="auto"/>
            <w:tcBorders>
              <w:top w:val="single" w:sz="4" w:space="0" w:color="auto"/>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0.086</w:t>
            </w:r>
          </w:p>
        </w:tc>
        <w:tc>
          <w:tcPr>
            <w:tcW w:w="0" w:type="auto"/>
            <w:tcBorders>
              <w:top w:val="single" w:sz="4" w:space="0" w:color="auto"/>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79.840</w:t>
            </w:r>
          </w:p>
        </w:tc>
        <w:tc>
          <w:tcPr>
            <w:tcW w:w="0" w:type="auto"/>
            <w:tcBorders>
              <w:top w:val="single" w:sz="4" w:space="0" w:color="auto"/>
              <w:left w:val="nil"/>
              <w:bottom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0.465</w:t>
            </w:r>
          </w:p>
        </w:tc>
      </w:tr>
      <w:tr w:rsidR="00605ADE" w:rsidRPr="0045064D" w:rsidTr="004053F0">
        <w:trPr>
          <w:jc w:val="center"/>
        </w:trPr>
        <w:tc>
          <w:tcPr>
            <w:tcW w:w="0" w:type="auto"/>
            <w:tcBorders>
              <w:top w:val="nil"/>
              <w:bottom w:val="nil"/>
              <w:right w:val="nil"/>
            </w:tcBorders>
          </w:tcPr>
          <w:p w:rsidR="00605ADE" w:rsidRPr="00605ADE" w:rsidRDefault="00605ADE" w:rsidP="00605ADE">
            <w:pPr>
              <w:spacing w:before="60" w:after="0"/>
              <w:outlineLvl w:val="0"/>
              <w:rPr>
                <w:rFonts w:ascii="Times New Roman" w:hAnsi="Times New Roman" w:cs="Times New Roman"/>
                <w:bCs/>
                <w:sz w:val="20"/>
                <w:szCs w:val="20"/>
              </w:rPr>
            </w:pPr>
            <w:r w:rsidRPr="00605ADE">
              <w:rPr>
                <w:rFonts w:ascii="Times New Roman" w:hAnsi="Times New Roman" w:cs="Times New Roman"/>
                <w:bCs/>
                <w:sz w:val="20"/>
                <w:szCs w:val="20"/>
              </w:rPr>
              <w:t>g-C</w:t>
            </w:r>
            <w:r w:rsidRPr="00605ADE">
              <w:rPr>
                <w:rFonts w:ascii="Times New Roman" w:hAnsi="Times New Roman" w:cs="Times New Roman"/>
                <w:bCs/>
                <w:sz w:val="20"/>
                <w:szCs w:val="20"/>
                <w:vertAlign w:val="subscript"/>
              </w:rPr>
              <w:t>3</w:t>
            </w:r>
            <w:r w:rsidRPr="00605ADE">
              <w:rPr>
                <w:rFonts w:ascii="Times New Roman" w:hAnsi="Times New Roman" w:cs="Times New Roman"/>
                <w:bCs/>
                <w:sz w:val="20"/>
                <w:szCs w:val="20"/>
              </w:rPr>
              <w:t>N</w:t>
            </w:r>
            <w:r w:rsidRPr="00605ADE">
              <w:rPr>
                <w:rFonts w:ascii="Times New Roman" w:hAnsi="Times New Roman" w:cs="Times New Roman"/>
                <w:bCs/>
                <w:sz w:val="20"/>
                <w:szCs w:val="20"/>
                <w:vertAlign w:val="subscript"/>
              </w:rPr>
              <w:t>4</w:t>
            </w:r>
            <w:r w:rsidRPr="00605ADE">
              <w:rPr>
                <w:rFonts w:ascii="Times New Roman" w:hAnsi="Times New Roman" w:cs="Times New Roman"/>
                <w:bCs/>
                <w:sz w:val="20"/>
                <w:szCs w:val="20"/>
              </w:rPr>
              <w:t xml:space="preserve"> nanosheet</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0.048</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94.079</w:t>
            </w:r>
          </w:p>
        </w:tc>
        <w:tc>
          <w:tcPr>
            <w:tcW w:w="0" w:type="auto"/>
            <w:tcBorders>
              <w:top w:val="nil"/>
              <w:left w:val="nil"/>
              <w:bottom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0.639</w:t>
            </w:r>
          </w:p>
        </w:tc>
      </w:tr>
      <w:tr w:rsidR="00605ADE" w:rsidRPr="0045064D" w:rsidTr="00605ADE">
        <w:trPr>
          <w:jc w:val="center"/>
        </w:trPr>
        <w:tc>
          <w:tcPr>
            <w:tcW w:w="0" w:type="auto"/>
            <w:tcBorders>
              <w:top w:val="nil"/>
              <w:bottom w:val="nil"/>
              <w:right w:val="nil"/>
            </w:tcBorders>
          </w:tcPr>
          <w:p w:rsidR="00605ADE" w:rsidRPr="00605ADE" w:rsidRDefault="00605ADE" w:rsidP="00605ADE">
            <w:pPr>
              <w:spacing w:before="60" w:after="0"/>
              <w:outlineLvl w:val="0"/>
              <w:rPr>
                <w:rFonts w:ascii="Times New Roman" w:hAnsi="Times New Roman" w:cs="Times New Roman"/>
                <w:bCs/>
                <w:sz w:val="20"/>
                <w:szCs w:val="20"/>
              </w:rPr>
            </w:pPr>
            <w:r w:rsidRPr="00605ADE">
              <w:rPr>
                <w:rFonts w:ascii="Times New Roman" w:hAnsi="Times New Roman" w:cs="Times New Roman"/>
                <w:bCs/>
                <w:sz w:val="20"/>
                <w:szCs w:val="20"/>
              </w:rPr>
              <w:t>g-C</w:t>
            </w:r>
            <w:r w:rsidRPr="00605ADE">
              <w:rPr>
                <w:rFonts w:ascii="Times New Roman" w:hAnsi="Times New Roman" w:cs="Times New Roman"/>
                <w:bCs/>
                <w:sz w:val="20"/>
                <w:szCs w:val="20"/>
                <w:vertAlign w:val="subscript"/>
              </w:rPr>
              <w:t>3</w:t>
            </w:r>
            <w:r w:rsidRPr="00605ADE">
              <w:rPr>
                <w:rFonts w:ascii="Times New Roman" w:hAnsi="Times New Roman" w:cs="Times New Roman"/>
                <w:bCs/>
                <w:sz w:val="20"/>
                <w:szCs w:val="20"/>
              </w:rPr>
              <w:t>N</w:t>
            </w:r>
            <w:r w:rsidRPr="00605ADE">
              <w:rPr>
                <w:rFonts w:ascii="Times New Roman" w:hAnsi="Times New Roman" w:cs="Times New Roman"/>
                <w:bCs/>
                <w:sz w:val="20"/>
                <w:szCs w:val="20"/>
                <w:vertAlign w:val="subscript"/>
              </w:rPr>
              <w:t>4</w:t>
            </w:r>
            <w:r w:rsidRPr="00605ADE">
              <w:rPr>
                <w:rFonts w:ascii="Times New Roman" w:hAnsi="Times New Roman" w:cs="Times New Roman"/>
                <w:bCs/>
                <w:sz w:val="20"/>
                <w:szCs w:val="20"/>
              </w:rPr>
              <w:t>/GO</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0.224</w:t>
            </w:r>
          </w:p>
        </w:tc>
        <w:tc>
          <w:tcPr>
            <w:tcW w:w="0" w:type="auto"/>
            <w:tcBorders>
              <w:top w:val="nil"/>
              <w:left w:val="nil"/>
              <w:bottom w:val="nil"/>
              <w:right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45.572</w:t>
            </w:r>
          </w:p>
        </w:tc>
        <w:tc>
          <w:tcPr>
            <w:tcW w:w="0" w:type="auto"/>
            <w:tcBorders>
              <w:top w:val="nil"/>
              <w:left w:val="nil"/>
              <w:bottom w:val="nil"/>
            </w:tcBorders>
          </w:tcPr>
          <w:p w:rsidR="00605ADE" w:rsidRPr="00605ADE" w:rsidRDefault="00605ADE" w:rsidP="00605ADE">
            <w:pPr>
              <w:spacing w:before="60" w:after="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0.057</w:t>
            </w:r>
          </w:p>
        </w:tc>
      </w:tr>
      <w:tr w:rsidR="00605ADE" w:rsidRPr="0045064D" w:rsidTr="00605ADE">
        <w:trPr>
          <w:jc w:val="center"/>
        </w:trPr>
        <w:tc>
          <w:tcPr>
            <w:tcW w:w="0" w:type="auto"/>
            <w:tcBorders>
              <w:top w:val="nil"/>
              <w:bottom w:val="single" w:sz="4" w:space="0" w:color="auto"/>
              <w:right w:val="nil"/>
            </w:tcBorders>
          </w:tcPr>
          <w:p w:rsidR="00605ADE" w:rsidRPr="00605ADE" w:rsidRDefault="00605ADE" w:rsidP="00605ADE">
            <w:pPr>
              <w:spacing w:before="60" w:after="60"/>
              <w:outlineLvl w:val="0"/>
              <w:rPr>
                <w:rFonts w:ascii="Times New Roman" w:hAnsi="Times New Roman" w:cs="Times New Roman"/>
                <w:bCs/>
                <w:sz w:val="20"/>
                <w:szCs w:val="20"/>
              </w:rPr>
            </w:pPr>
            <w:r w:rsidRPr="00605ADE">
              <w:rPr>
                <w:rFonts w:ascii="Times New Roman" w:hAnsi="Times New Roman" w:cs="Times New Roman"/>
                <w:bCs/>
                <w:sz w:val="20"/>
                <w:szCs w:val="20"/>
              </w:rPr>
              <w:t>GO</w:t>
            </w:r>
          </w:p>
        </w:tc>
        <w:tc>
          <w:tcPr>
            <w:tcW w:w="0" w:type="auto"/>
            <w:tcBorders>
              <w:top w:val="nil"/>
              <w:left w:val="nil"/>
              <w:bottom w:val="single" w:sz="4" w:space="0" w:color="auto"/>
              <w:right w:val="nil"/>
            </w:tcBorders>
          </w:tcPr>
          <w:p w:rsidR="00605ADE" w:rsidRPr="00605ADE" w:rsidRDefault="00605ADE" w:rsidP="00605ADE">
            <w:pPr>
              <w:spacing w:before="60" w:after="6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0.188</w:t>
            </w:r>
          </w:p>
        </w:tc>
        <w:tc>
          <w:tcPr>
            <w:tcW w:w="0" w:type="auto"/>
            <w:tcBorders>
              <w:top w:val="nil"/>
              <w:left w:val="nil"/>
              <w:bottom w:val="single" w:sz="4" w:space="0" w:color="auto"/>
              <w:right w:val="nil"/>
            </w:tcBorders>
          </w:tcPr>
          <w:p w:rsidR="00605ADE" w:rsidRPr="00605ADE" w:rsidRDefault="00605ADE" w:rsidP="00605ADE">
            <w:pPr>
              <w:spacing w:before="60" w:after="6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2.010</w:t>
            </w:r>
          </w:p>
        </w:tc>
        <w:tc>
          <w:tcPr>
            <w:tcW w:w="0" w:type="auto"/>
            <w:tcBorders>
              <w:top w:val="nil"/>
              <w:left w:val="nil"/>
              <w:bottom w:val="single" w:sz="4" w:space="0" w:color="auto"/>
            </w:tcBorders>
          </w:tcPr>
          <w:p w:rsidR="00605ADE" w:rsidRPr="00605ADE" w:rsidRDefault="00605ADE" w:rsidP="00605ADE">
            <w:pPr>
              <w:spacing w:before="60" w:after="60"/>
              <w:jc w:val="center"/>
              <w:outlineLvl w:val="0"/>
              <w:rPr>
                <w:rFonts w:ascii="Times New Roman" w:hAnsi="Times New Roman" w:cs="Times New Roman"/>
                <w:bCs/>
                <w:sz w:val="20"/>
                <w:szCs w:val="20"/>
              </w:rPr>
            </w:pPr>
            <w:r w:rsidRPr="00605ADE">
              <w:rPr>
                <w:rFonts w:ascii="Times New Roman" w:hAnsi="Times New Roman" w:cs="Times New Roman"/>
                <w:bCs/>
                <w:sz w:val="20"/>
                <w:szCs w:val="20"/>
              </w:rPr>
              <w:t>0.003</w:t>
            </w:r>
          </w:p>
        </w:tc>
      </w:tr>
    </w:tbl>
    <w:p w:rsidR="00605ADE" w:rsidRDefault="00605ADE" w:rsidP="00D641A3">
      <w:pPr>
        <w:spacing w:after="0"/>
        <w:jc w:val="both"/>
        <w:outlineLvl w:val="0"/>
        <w:rPr>
          <w:rFonts w:ascii="Times New Roman" w:hAnsi="Times New Roman"/>
          <w:b/>
          <w:bCs/>
          <w:iCs/>
          <w:sz w:val="20"/>
          <w:szCs w:val="20"/>
        </w:rPr>
        <w:sectPr w:rsidR="00605ADE" w:rsidSect="00007984">
          <w:type w:val="continuous"/>
          <w:pgSz w:w="12240" w:h="15840" w:code="1"/>
          <w:pgMar w:top="1800" w:right="1469" w:bottom="1699" w:left="1440" w:header="706" w:footer="706" w:gutter="0"/>
          <w:pgNumType w:start="1"/>
          <w:cols w:space="708"/>
          <w:docGrid w:linePitch="360"/>
        </w:sectPr>
      </w:pPr>
    </w:p>
    <w:p w:rsidR="00AC12DC" w:rsidRDefault="00AC12DC"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AC12DC" w:rsidRDefault="00AC12DC" w:rsidP="00D641A3">
      <w:pPr>
        <w:spacing w:after="0"/>
        <w:jc w:val="both"/>
        <w:outlineLvl w:val="0"/>
        <w:rPr>
          <w:rFonts w:ascii="Times New Roman" w:hAnsi="Times New Roman"/>
          <w:b/>
          <w:bCs/>
          <w:iCs/>
          <w:sz w:val="20"/>
          <w:szCs w:val="20"/>
        </w:rPr>
      </w:pPr>
    </w:p>
    <w:p w:rsidR="00605ADE" w:rsidRDefault="00605ADE" w:rsidP="00D641A3">
      <w:pPr>
        <w:spacing w:after="0"/>
        <w:jc w:val="both"/>
        <w:outlineLvl w:val="0"/>
        <w:rPr>
          <w:rFonts w:ascii="Times New Roman" w:hAnsi="Times New Roman"/>
          <w:b/>
          <w:bCs/>
          <w:iCs/>
          <w:sz w:val="20"/>
          <w:szCs w:val="20"/>
        </w:rPr>
      </w:pPr>
    </w:p>
    <w:p w:rsidR="00605ADE" w:rsidRDefault="00605ADE" w:rsidP="00D641A3">
      <w:pPr>
        <w:spacing w:after="0"/>
        <w:jc w:val="both"/>
        <w:outlineLvl w:val="0"/>
        <w:rPr>
          <w:rFonts w:ascii="Times New Roman" w:hAnsi="Times New Roman"/>
          <w:b/>
          <w:bCs/>
          <w:iCs/>
          <w:sz w:val="20"/>
          <w:szCs w:val="20"/>
        </w:rPr>
        <w:sectPr w:rsidR="00605ADE" w:rsidSect="00605ADE">
          <w:type w:val="continuous"/>
          <w:pgSz w:w="12240" w:h="15840" w:code="1"/>
          <w:pgMar w:top="1800" w:right="1469" w:bottom="1699" w:left="1440" w:header="706" w:footer="706" w:gutter="0"/>
          <w:pgNumType w:start="1"/>
          <w:cols w:space="403"/>
          <w:docGrid w:linePitch="360"/>
        </w:sectPr>
      </w:pPr>
    </w:p>
    <w:p w:rsidR="00605ADE" w:rsidRDefault="00D641A3" w:rsidP="00D641A3">
      <w:pPr>
        <w:spacing w:after="0"/>
        <w:jc w:val="both"/>
        <w:outlineLvl w:val="0"/>
        <w:rPr>
          <w:rFonts w:ascii="Times New Roman" w:hAnsi="Times New Roman"/>
          <w:b/>
          <w:bCs/>
          <w:iCs/>
          <w:sz w:val="20"/>
          <w:szCs w:val="20"/>
        </w:rPr>
      </w:pPr>
      <w:r w:rsidRPr="00D641A3">
        <w:rPr>
          <w:rFonts w:ascii="Times New Roman" w:hAnsi="Times New Roman"/>
          <w:b/>
          <w:bCs/>
          <w:iCs/>
          <w:sz w:val="20"/>
          <w:szCs w:val="20"/>
        </w:rPr>
        <w:lastRenderedPageBreak/>
        <w:t>Photocatalytic study</w:t>
      </w:r>
    </w:p>
    <w:p w:rsidR="00D641A3" w:rsidRPr="00605ADE" w:rsidRDefault="00D641A3" w:rsidP="00D641A3">
      <w:pPr>
        <w:spacing w:after="0"/>
        <w:jc w:val="both"/>
        <w:outlineLvl w:val="0"/>
        <w:rPr>
          <w:rFonts w:ascii="Times New Roman" w:hAnsi="Times New Roman"/>
          <w:b/>
          <w:bCs/>
          <w:i/>
          <w:iCs/>
          <w:sz w:val="20"/>
          <w:szCs w:val="20"/>
        </w:rPr>
      </w:pPr>
      <w:r w:rsidRPr="00605ADE">
        <w:rPr>
          <w:rFonts w:ascii="Times New Roman" w:hAnsi="Times New Roman"/>
          <w:b/>
          <w:bCs/>
          <w:i/>
          <w:iCs/>
          <w:sz w:val="20"/>
          <w:szCs w:val="20"/>
        </w:rPr>
        <w:t>Degradation of MB dye</w:t>
      </w:r>
    </w:p>
    <w:p w:rsidR="00D641A3" w:rsidRPr="00D641A3" w:rsidRDefault="00D641A3" w:rsidP="00D641A3">
      <w:pPr>
        <w:spacing w:after="0"/>
        <w:jc w:val="both"/>
        <w:outlineLvl w:val="0"/>
        <w:rPr>
          <w:rFonts w:ascii="Times New Roman" w:hAnsi="Times New Roman"/>
          <w:bCs/>
          <w:sz w:val="20"/>
          <w:szCs w:val="20"/>
        </w:rPr>
      </w:pPr>
      <w:r w:rsidRPr="00D641A3">
        <w:rPr>
          <w:rFonts w:ascii="Times New Roman" w:hAnsi="Times New Roman"/>
          <w:bCs/>
          <w:sz w:val="20"/>
          <w:szCs w:val="20"/>
        </w:rPr>
        <w:t>Photocatalysis is the method to measure the acceleration of chemical</w:t>
      </w:r>
      <w:r w:rsidRPr="00D641A3">
        <w:rPr>
          <w:rFonts w:ascii="Times New Roman" w:hAnsi="Times New Roman"/>
          <w:sz w:val="20"/>
          <w:szCs w:val="20"/>
        </w:rPr>
        <w:t xml:space="preserve"> conversion through the activation of a catalyst. </w:t>
      </w:r>
      <w:r w:rsidRPr="00D641A3">
        <w:rPr>
          <w:rFonts w:ascii="Times New Roman" w:hAnsi="Times New Roman"/>
          <w:bCs/>
          <w:sz w:val="20"/>
          <w:szCs w:val="20"/>
        </w:rPr>
        <w:t>The preliminary photo</w:t>
      </w:r>
      <w:r w:rsidR="00656B3F">
        <w:rPr>
          <w:rFonts w:ascii="Times New Roman" w:hAnsi="Times New Roman"/>
          <w:bCs/>
          <w:sz w:val="20"/>
          <w:szCs w:val="20"/>
        </w:rPr>
        <w:t>-</w:t>
      </w:r>
      <w:r w:rsidRPr="00D641A3">
        <w:rPr>
          <w:rFonts w:ascii="Times New Roman" w:hAnsi="Times New Roman"/>
          <w:bCs/>
          <w:sz w:val="20"/>
          <w:szCs w:val="20"/>
        </w:rPr>
        <w:t>degradation study under sunlight study was conducted on MB dye by using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powder. Figure 5 shows the process of photocatalytic degradation of MB dye under sunlight for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powder. The photocatalytic potential for different photocatalysts was evaluated by comparing the degradation efficiency for MB dye. The amount of MB dye degradation is 42.75%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50.77%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31.29% for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after 1 hour of exposure to sunlight can be seen through Figure 5. However, after 2 hours of exposure to sunlight, the amount of MB dye degradation has increased to 73.79%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62.71% for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and 38.85% for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According to the findings, the bulk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and g-C</w:t>
      </w:r>
      <w:r w:rsidRPr="00D641A3">
        <w:rPr>
          <w:rFonts w:ascii="Times New Roman" w:hAnsi="Times New Roman"/>
          <w:bCs/>
          <w:sz w:val="20"/>
          <w:szCs w:val="20"/>
          <w:vertAlign w:val="subscript"/>
        </w:rPr>
        <w:t xml:space="preserve">3 </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nanosheet depicted the reduction of degradation efficiency after 30 minutes and 90 minutes of exposure to sunlight. However, the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/GO composite indicated the consistency of the degradation efficiency throughout 2 hours of exposure. The g-C</w:t>
      </w:r>
      <w:r w:rsidRPr="00D641A3">
        <w:rPr>
          <w:rFonts w:ascii="Times New Roman" w:hAnsi="Times New Roman"/>
          <w:bCs/>
          <w:sz w:val="20"/>
          <w:szCs w:val="20"/>
          <w:vertAlign w:val="subscript"/>
        </w:rPr>
        <w:t>3</w:t>
      </w:r>
      <w:r w:rsidRPr="00D641A3">
        <w:rPr>
          <w:rFonts w:ascii="Times New Roman" w:hAnsi="Times New Roman"/>
          <w:bCs/>
          <w:sz w:val="20"/>
          <w:szCs w:val="20"/>
        </w:rPr>
        <w:t>N</w:t>
      </w:r>
      <w:r w:rsidRPr="00D641A3">
        <w:rPr>
          <w:rFonts w:ascii="Times New Roman" w:hAnsi="Times New Roman"/>
          <w:bCs/>
          <w:sz w:val="20"/>
          <w:szCs w:val="20"/>
          <w:vertAlign w:val="subscript"/>
        </w:rPr>
        <w:t>4</w:t>
      </w:r>
      <w:r w:rsidRPr="00D641A3">
        <w:rPr>
          <w:rFonts w:ascii="Times New Roman" w:hAnsi="Times New Roman"/>
          <w:bCs/>
          <w:sz w:val="20"/>
          <w:szCs w:val="20"/>
        </w:rPr>
        <w:t xml:space="preserve"> is to be the potential photocatalysts for the degradation of numerous pollutants with photophysical potential of the parent nitride altered through doping with heteroatoms, heterojunction formation with other materials and textural enhancements to expand the surface area and porosity [23].</w:t>
      </w:r>
    </w:p>
    <w:p w:rsidR="00605ADE" w:rsidRDefault="00605ADE" w:rsidP="00D641A3">
      <w:pPr>
        <w:spacing w:after="0" w:line="240" w:lineRule="auto"/>
        <w:jc w:val="both"/>
        <w:rPr>
          <w:rFonts w:ascii="Times New Roman" w:hAnsi="Times New Roman"/>
          <w:noProof/>
          <w:sz w:val="20"/>
          <w:szCs w:val="20"/>
          <w:lang w:bidi="ar-SA"/>
        </w:rPr>
      </w:pPr>
    </w:p>
    <w:p w:rsidR="004A6F87" w:rsidRPr="004A6F87" w:rsidRDefault="004A6F87" w:rsidP="004A6F87">
      <w:pPr>
        <w:spacing w:after="0"/>
        <w:jc w:val="both"/>
        <w:outlineLvl w:val="0"/>
        <w:rPr>
          <w:rFonts w:ascii="Times New Roman" w:hAnsi="Times New Roman"/>
          <w:sz w:val="20"/>
          <w:szCs w:val="20"/>
        </w:rPr>
      </w:pPr>
      <w:r w:rsidRPr="004A6F87">
        <w:rPr>
          <w:rFonts w:ascii="Times New Roman" w:hAnsi="Times New Roman"/>
          <w:sz w:val="20"/>
          <w:szCs w:val="20"/>
        </w:rPr>
        <w:t>Thus, the finding showed that the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/GO composite has a good degradation capability followed by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nanosheet and bulk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.The photocatalyst potential of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/GO composite was contributed by its characterization of chemical structure and properties. The introduction of GO has improved the charge of separation efficiency because when the visible light absorption capability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is combined with GO they act as electron sink [22] in helping the separation and storage to improve the photocatalytic capability of the composite. When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 xml:space="preserve">4 </w:t>
      </w:r>
      <w:r w:rsidRPr="004A6F87">
        <w:rPr>
          <w:rFonts w:ascii="Times New Roman" w:hAnsi="Times New Roman"/>
          <w:sz w:val="20"/>
          <w:szCs w:val="20"/>
        </w:rPr>
        <w:t xml:space="preserve">absorbed visible light, the electron is transferred to the GO layer where it reduces the chances of </w:t>
      </w:r>
      <w:r w:rsidRPr="004A6F87">
        <w:rPr>
          <w:rFonts w:ascii="Times New Roman" w:hAnsi="Times New Roman"/>
          <w:sz w:val="20"/>
          <w:szCs w:val="20"/>
        </w:rPr>
        <w:lastRenderedPageBreak/>
        <w:t>electron-hole recombination thus improving the separation efficiency. However, the left holes on the valence band of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contributed to the consistent degradation efficiency of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/GO composite. The factor that bulk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is having the lowest degradation efficiency compared to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nanosheet due to the low surface area where active site is less thus a low number of MB dye molecule is interacted with the photoexcited carrier [24]. As for g-C</w:t>
      </w:r>
      <w:r w:rsidRPr="004A6F87">
        <w:rPr>
          <w:rFonts w:ascii="Times New Roman" w:hAnsi="Times New Roman"/>
          <w:sz w:val="20"/>
          <w:szCs w:val="20"/>
          <w:vertAlign w:val="subscript"/>
        </w:rPr>
        <w:t>3</w:t>
      </w:r>
      <w:r w:rsidRPr="004A6F87">
        <w:rPr>
          <w:rFonts w:ascii="Times New Roman" w:hAnsi="Times New Roman"/>
          <w:sz w:val="20"/>
          <w:szCs w:val="20"/>
        </w:rPr>
        <w:t>N</w:t>
      </w:r>
      <w:r w:rsidRPr="004A6F87">
        <w:rPr>
          <w:rFonts w:ascii="Times New Roman" w:hAnsi="Times New Roman"/>
          <w:sz w:val="20"/>
          <w:szCs w:val="20"/>
          <w:vertAlign w:val="subscript"/>
        </w:rPr>
        <w:t>4</w:t>
      </w:r>
      <w:r w:rsidRPr="004A6F87">
        <w:rPr>
          <w:rFonts w:ascii="Times New Roman" w:hAnsi="Times New Roman"/>
          <w:sz w:val="20"/>
          <w:szCs w:val="20"/>
        </w:rPr>
        <w:t xml:space="preserve"> nanosheet, it slightly contradicts where it had a greater surface area thus greater availability of active sites to react with MB dye molecule.</w:t>
      </w:r>
    </w:p>
    <w:p w:rsidR="004A6F87" w:rsidRDefault="004A6F87" w:rsidP="00D641A3">
      <w:pPr>
        <w:spacing w:after="0" w:line="240" w:lineRule="auto"/>
        <w:jc w:val="both"/>
        <w:rPr>
          <w:rFonts w:ascii="Times New Roman" w:hAnsi="Times New Roman"/>
          <w:noProof/>
          <w:sz w:val="20"/>
          <w:szCs w:val="20"/>
          <w:lang w:bidi="ar-SA"/>
        </w:rPr>
      </w:pPr>
    </w:p>
    <w:p w:rsidR="00401B0F" w:rsidRPr="00DD50CE" w:rsidRDefault="00401B0F" w:rsidP="00401B0F">
      <w:pPr>
        <w:spacing w:after="0"/>
        <w:jc w:val="both"/>
        <w:outlineLvl w:val="0"/>
        <w:rPr>
          <w:rFonts w:ascii="Times New Roman" w:hAnsi="Times New Roman"/>
          <w:b/>
          <w:bCs/>
          <w:i/>
          <w:sz w:val="20"/>
          <w:szCs w:val="20"/>
        </w:rPr>
      </w:pPr>
      <w:r w:rsidRPr="00DD50CE">
        <w:rPr>
          <w:rFonts w:ascii="Times New Roman" w:hAnsi="Times New Roman"/>
          <w:b/>
          <w:bCs/>
          <w:i/>
          <w:sz w:val="20"/>
          <w:szCs w:val="20"/>
        </w:rPr>
        <w:t>Degradation of oil in wastewater</w:t>
      </w:r>
    </w:p>
    <w:p w:rsidR="00401B0F" w:rsidRPr="00401B0F" w:rsidRDefault="00401B0F" w:rsidP="00401B0F">
      <w:pPr>
        <w:spacing w:after="0"/>
        <w:jc w:val="both"/>
        <w:outlineLvl w:val="0"/>
        <w:rPr>
          <w:rFonts w:ascii="Times New Roman" w:hAnsi="Times New Roman"/>
          <w:sz w:val="20"/>
          <w:szCs w:val="20"/>
        </w:rPr>
      </w:pPr>
      <w:r w:rsidRPr="00401B0F">
        <w:rPr>
          <w:rFonts w:ascii="Times New Roman" w:hAnsi="Times New Roman"/>
          <w:sz w:val="20"/>
          <w:szCs w:val="20"/>
        </w:rPr>
        <w:t>The potential of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to degrade organic pollutants were tested with the evaluation of the efficiency of photocatalyst to degrade oil in synthetic oily wastewater under sunlight. Figure 6 shows the photocatalytic degradation of oil in synthetic oily wastewater under sunlight with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powder. The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shows the consistent degradation efficiency after 1 hour with 49.65% of oil degraded while the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only degraded to 35.24% of oil. After 2 hours, the results indicated that the amount of oil degraded was 75.54%, 55.89% and 44.57% for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respectively. The samples also produced initially, strong aromatic smells however, after 2 hours, the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 produced a less aromatic smell. [25,26] also conducted a study using low cost ceramic membrane to treat synthetic oily wastewater and it showed a capability to treat oily wastewater.</w:t>
      </w:r>
    </w:p>
    <w:p w:rsidR="004A6F87" w:rsidRDefault="004A6F87" w:rsidP="00D641A3">
      <w:pPr>
        <w:spacing w:after="0" w:line="240" w:lineRule="auto"/>
        <w:jc w:val="both"/>
        <w:rPr>
          <w:rFonts w:ascii="Times New Roman" w:hAnsi="Times New Roman"/>
          <w:noProof/>
          <w:sz w:val="20"/>
          <w:szCs w:val="20"/>
          <w:lang w:bidi="ar-SA"/>
        </w:rPr>
      </w:pPr>
    </w:p>
    <w:p w:rsidR="00401B0F" w:rsidRPr="00DD50CE" w:rsidRDefault="00401B0F" w:rsidP="00401B0F">
      <w:pPr>
        <w:spacing w:after="0"/>
        <w:jc w:val="both"/>
        <w:outlineLvl w:val="0"/>
        <w:rPr>
          <w:rFonts w:ascii="Times New Roman" w:hAnsi="Times New Roman"/>
          <w:b/>
          <w:bCs/>
          <w:i/>
          <w:sz w:val="20"/>
          <w:szCs w:val="20"/>
        </w:rPr>
      </w:pPr>
      <w:r w:rsidRPr="00DD50CE">
        <w:rPr>
          <w:rFonts w:ascii="Times New Roman" w:hAnsi="Times New Roman"/>
          <w:b/>
          <w:bCs/>
          <w:i/>
          <w:sz w:val="20"/>
          <w:szCs w:val="20"/>
        </w:rPr>
        <w:t>Performance of G-C</w:t>
      </w:r>
      <w:r w:rsidRPr="00DD50CE">
        <w:rPr>
          <w:rFonts w:ascii="Times New Roman" w:hAnsi="Times New Roman"/>
          <w:b/>
          <w:bCs/>
          <w:i/>
          <w:sz w:val="20"/>
          <w:szCs w:val="20"/>
          <w:vertAlign w:val="subscript"/>
        </w:rPr>
        <w:t>3</w:t>
      </w:r>
      <w:r w:rsidRPr="00DD50CE">
        <w:rPr>
          <w:rFonts w:ascii="Times New Roman" w:hAnsi="Times New Roman"/>
          <w:b/>
          <w:bCs/>
          <w:i/>
          <w:sz w:val="20"/>
          <w:szCs w:val="20"/>
        </w:rPr>
        <w:t>N</w:t>
      </w:r>
      <w:r w:rsidRPr="00DD50CE">
        <w:rPr>
          <w:rFonts w:ascii="Times New Roman" w:hAnsi="Times New Roman"/>
          <w:b/>
          <w:bCs/>
          <w:i/>
          <w:sz w:val="20"/>
          <w:szCs w:val="20"/>
          <w:vertAlign w:val="subscript"/>
        </w:rPr>
        <w:t>4</w:t>
      </w:r>
      <w:r w:rsidRPr="00DD50CE">
        <w:rPr>
          <w:rFonts w:ascii="Times New Roman" w:hAnsi="Times New Roman"/>
          <w:b/>
          <w:bCs/>
          <w:i/>
          <w:sz w:val="20"/>
          <w:szCs w:val="20"/>
        </w:rPr>
        <w:t>/GO alumina ceramic membrane</w:t>
      </w:r>
    </w:p>
    <w:p w:rsidR="00401B0F" w:rsidRPr="00401B0F" w:rsidRDefault="00401B0F" w:rsidP="00401B0F">
      <w:pPr>
        <w:spacing w:after="0"/>
        <w:jc w:val="both"/>
        <w:outlineLvl w:val="0"/>
        <w:rPr>
          <w:rFonts w:ascii="Times New Roman" w:hAnsi="Times New Roman"/>
          <w:sz w:val="20"/>
          <w:szCs w:val="20"/>
        </w:rPr>
      </w:pPr>
      <w:bookmarkStart w:id="11" w:name="_Hlk36020570"/>
      <w:r w:rsidRPr="00401B0F">
        <w:rPr>
          <w:rFonts w:ascii="Times New Roman" w:hAnsi="Times New Roman"/>
          <w:sz w:val="20"/>
          <w:szCs w:val="20"/>
        </w:rPr>
        <w:t>Figure 7 shows the process of separation and photocatalytic degradation of oil in synthetic oily wastewater in bare alumina ceramic membrane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From the results obtained, the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showed a greater percentage of oil adsorption compared to the bare alumina ceramic membrane with 47.65% and 27.66% respectively after 2 hours. After the degradation and separation process, permeate water of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/GO alumina ceramic membrane looked </w:t>
      </w:r>
      <w:r w:rsidRPr="00401B0F">
        <w:rPr>
          <w:rFonts w:ascii="Times New Roman" w:hAnsi="Times New Roman"/>
          <w:sz w:val="20"/>
          <w:szCs w:val="20"/>
        </w:rPr>
        <w:lastRenderedPageBreak/>
        <w:t>clearer compared to the permeated water of bare alumina ceramic membrane according to the clarity of red scale. Moreover, there was no change in the intensity of aromatic smell of wastewater for both samples thus indicating that the aromatic compound is mostly not degraded.</w:t>
      </w:r>
      <w:r w:rsidRPr="00401B0F">
        <w:rPr>
          <w:sz w:val="20"/>
          <w:szCs w:val="20"/>
        </w:rPr>
        <w:t xml:space="preserve"> </w:t>
      </w:r>
      <w:r w:rsidRPr="00401B0F">
        <w:rPr>
          <w:rFonts w:ascii="Times New Roman" w:hAnsi="Times New Roman"/>
          <w:sz w:val="20"/>
          <w:szCs w:val="20"/>
        </w:rPr>
        <w:t>The coating of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/GO on alumina ceramic membrane also had a greater removal efficiency of oil in oily wastewater rather than the bare </w:t>
      </w:r>
      <w:r w:rsidRPr="00401B0F">
        <w:rPr>
          <w:rFonts w:ascii="Times New Roman" w:hAnsi="Times New Roman"/>
          <w:sz w:val="20"/>
          <w:szCs w:val="20"/>
        </w:rPr>
        <w:lastRenderedPageBreak/>
        <w:t>alumina ceramic membrane. This is due to the separation process of alumina ceramic membrane coupled with the degradation process of oil in the wastewater by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[27]. In conclusion,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can be a potential candidate to treat the industrial oily wastewater</w:t>
      </w:r>
      <w:bookmarkEnd w:id="11"/>
      <w:r w:rsidRPr="00401B0F">
        <w:rPr>
          <w:rFonts w:ascii="Times New Roman" w:hAnsi="Times New Roman"/>
          <w:sz w:val="20"/>
          <w:szCs w:val="20"/>
        </w:rPr>
        <w:t>.</w:t>
      </w:r>
    </w:p>
    <w:p w:rsidR="00401B0F" w:rsidRDefault="00401B0F" w:rsidP="00D641A3">
      <w:pPr>
        <w:spacing w:after="0" w:line="240" w:lineRule="auto"/>
        <w:jc w:val="both"/>
        <w:rPr>
          <w:rFonts w:ascii="Times New Roman" w:hAnsi="Times New Roman"/>
          <w:noProof/>
          <w:sz w:val="20"/>
          <w:szCs w:val="20"/>
          <w:lang w:bidi="ar-SA"/>
        </w:rPr>
      </w:pPr>
    </w:p>
    <w:p w:rsidR="00401B0F" w:rsidRDefault="00401B0F" w:rsidP="00D641A3">
      <w:pPr>
        <w:spacing w:after="0" w:line="240" w:lineRule="auto"/>
        <w:jc w:val="both"/>
        <w:rPr>
          <w:rFonts w:ascii="Times New Roman" w:hAnsi="Times New Roman"/>
          <w:noProof/>
          <w:sz w:val="20"/>
          <w:szCs w:val="20"/>
          <w:lang w:bidi="ar-SA"/>
        </w:rPr>
        <w:sectPr w:rsidR="00401B0F" w:rsidSect="00605ADE">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num="2" w:space="403"/>
          <w:docGrid w:linePitch="360"/>
        </w:sectPr>
      </w:pPr>
    </w:p>
    <w:p w:rsidR="00D641A3" w:rsidRDefault="00D641A3" w:rsidP="00401B0F">
      <w:pPr>
        <w:spacing w:after="0" w:line="240" w:lineRule="auto"/>
        <w:jc w:val="center"/>
        <w:rPr>
          <w:rFonts w:ascii="Times New Roman" w:hAnsi="Times New Roman"/>
          <w:noProof/>
          <w:sz w:val="20"/>
          <w:szCs w:val="20"/>
          <w:lang w:bidi="ar-SA"/>
        </w:rPr>
      </w:pPr>
    </w:p>
    <w:p w:rsidR="00DD1101" w:rsidRDefault="00DD1101" w:rsidP="00F447A7">
      <w:pPr>
        <w:spacing w:after="0" w:line="240" w:lineRule="auto"/>
        <w:jc w:val="center"/>
        <w:rPr>
          <w:rFonts w:ascii="Times New Roman" w:hAnsi="Times New Roman"/>
          <w:noProof/>
          <w:sz w:val="20"/>
          <w:szCs w:val="20"/>
          <w:lang w:bidi="ar-SA"/>
        </w:rPr>
      </w:pPr>
    </w:p>
    <w:p w:rsidR="00DD1101" w:rsidRDefault="00401B0F" w:rsidP="00401B0F">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extent cx="3611254" cy="2034378"/>
            <wp:effectExtent l="19050" t="19050" r="27305" b="2349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37715" cy="2049284"/>
                    </a:xfrm>
                    <a:prstGeom prst="rect">
                      <a:avLst/>
                    </a:prstGeom>
                    <a:noFill/>
                    <a:ln w="6350">
                      <a:solidFill>
                        <a:sysClr val="windowText" lastClr="000000"/>
                      </a:solidFill>
                    </a:ln>
                  </pic:spPr>
                </pic:pic>
              </a:graphicData>
            </a:graphic>
          </wp:inline>
        </w:drawing>
      </w:r>
    </w:p>
    <w:p w:rsidR="00401B0F" w:rsidRPr="00401B0F" w:rsidRDefault="00401B0F" w:rsidP="00401B0F">
      <w:pPr>
        <w:spacing w:after="0"/>
        <w:ind w:left="850" w:hanging="850"/>
        <w:jc w:val="both"/>
        <w:outlineLvl w:val="0"/>
        <w:rPr>
          <w:rFonts w:ascii="Times New Roman" w:hAnsi="Times New Roman"/>
          <w:sz w:val="20"/>
          <w:szCs w:val="20"/>
        </w:rPr>
      </w:pPr>
      <w:r w:rsidRPr="00401B0F">
        <w:rPr>
          <w:rFonts w:ascii="Times New Roman" w:hAnsi="Times New Roman"/>
          <w:sz w:val="20"/>
          <w:szCs w:val="20"/>
        </w:rPr>
        <w:t>Figure 5. Photocatalytic degradation of MB dye under sunlight with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w:t>
      </w:r>
    </w:p>
    <w:p w:rsidR="00DD1101" w:rsidRDefault="00DD1101" w:rsidP="00401B0F">
      <w:pPr>
        <w:spacing w:after="120"/>
        <w:rPr>
          <w:rFonts w:ascii="Times New Roman" w:hAnsi="Times New Roman"/>
          <w:noProof/>
          <w:sz w:val="20"/>
          <w:szCs w:val="20"/>
          <w:lang w:bidi="ar-SA"/>
        </w:rPr>
      </w:pPr>
    </w:p>
    <w:p w:rsidR="00DD1101" w:rsidRDefault="00401B0F" w:rsidP="00401B0F">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extent cx="3611255" cy="2189363"/>
            <wp:effectExtent l="19050" t="19050" r="27305"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3644646" cy="2209607"/>
                    </a:xfrm>
                    <a:prstGeom prst="rect">
                      <a:avLst/>
                    </a:prstGeom>
                    <a:ln w="6350">
                      <a:solidFill>
                        <a:sysClr val="windowText" lastClr="000000"/>
                      </a:solidFill>
                    </a:ln>
                  </pic:spPr>
                </pic:pic>
              </a:graphicData>
            </a:graphic>
          </wp:inline>
        </w:drawing>
      </w:r>
    </w:p>
    <w:p w:rsidR="00401B0F" w:rsidRPr="00401B0F" w:rsidRDefault="00401B0F" w:rsidP="00401B0F">
      <w:pPr>
        <w:spacing w:after="0"/>
        <w:ind w:left="850" w:hanging="850"/>
        <w:jc w:val="both"/>
        <w:outlineLvl w:val="0"/>
        <w:rPr>
          <w:rFonts w:ascii="Times New Roman" w:hAnsi="Times New Roman"/>
          <w:sz w:val="20"/>
          <w:szCs w:val="20"/>
        </w:rPr>
      </w:pPr>
      <w:r w:rsidRPr="00401B0F">
        <w:rPr>
          <w:rFonts w:ascii="Times New Roman" w:hAnsi="Times New Roman"/>
          <w:sz w:val="20"/>
          <w:szCs w:val="20"/>
        </w:rPr>
        <w:t xml:space="preserve">Figure 6. </w:t>
      </w:r>
      <w:r>
        <w:rPr>
          <w:rFonts w:ascii="Times New Roman" w:hAnsi="Times New Roman"/>
          <w:sz w:val="20"/>
          <w:szCs w:val="20"/>
        </w:rPr>
        <w:tab/>
      </w:r>
      <w:r w:rsidRPr="00401B0F">
        <w:rPr>
          <w:rFonts w:ascii="Times New Roman" w:hAnsi="Times New Roman"/>
          <w:sz w:val="20"/>
          <w:szCs w:val="20"/>
        </w:rPr>
        <w:t>Photocatalytic degradation of oil in wastewater under sunlight with bulk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 nanosheet and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composite</w:t>
      </w:r>
    </w:p>
    <w:p w:rsidR="00371664" w:rsidRDefault="00371664" w:rsidP="00371664">
      <w:pPr>
        <w:spacing w:after="0" w:line="240" w:lineRule="auto"/>
        <w:rPr>
          <w:rFonts w:ascii="Times New Roman" w:hAnsi="Times New Roman"/>
          <w:noProof/>
          <w:sz w:val="20"/>
          <w:szCs w:val="20"/>
          <w:lang w:bidi="ar-SA"/>
        </w:rPr>
        <w:sectPr w:rsidR="00371664" w:rsidSect="00007984">
          <w:type w:val="continuous"/>
          <w:pgSz w:w="12240" w:h="15840" w:code="1"/>
          <w:pgMar w:top="1800" w:right="1469" w:bottom="1699" w:left="1440" w:header="706" w:footer="706" w:gutter="0"/>
          <w:pgNumType w:start="1"/>
          <w:cols w:space="708"/>
          <w:docGrid w:linePitch="360"/>
        </w:sectPr>
      </w:pPr>
    </w:p>
    <w:p w:rsidR="00DD1101" w:rsidRDefault="00DD1101" w:rsidP="00371664">
      <w:pPr>
        <w:spacing w:after="0" w:line="240" w:lineRule="auto"/>
        <w:rPr>
          <w:rFonts w:ascii="Times New Roman" w:hAnsi="Times New Roman"/>
          <w:noProof/>
          <w:sz w:val="20"/>
          <w:szCs w:val="20"/>
          <w:lang w:bidi="ar-SA"/>
        </w:rPr>
      </w:pPr>
    </w:p>
    <w:p w:rsidR="00DD1101" w:rsidRDefault="00401B0F" w:rsidP="00DD50CE">
      <w:pPr>
        <w:spacing w:after="120"/>
        <w:jc w:val="center"/>
        <w:rPr>
          <w:rFonts w:ascii="Times New Roman" w:hAnsi="Times New Roman"/>
          <w:noProof/>
          <w:sz w:val="20"/>
          <w:szCs w:val="20"/>
          <w:lang w:bidi="ar-SA"/>
        </w:rPr>
      </w:pPr>
      <w:r w:rsidRPr="0045064D">
        <w:rPr>
          <w:rFonts w:ascii="Times New Roman" w:hAnsi="Times New Roman"/>
          <w:noProof/>
          <w:szCs w:val="20"/>
          <w:lang w:val="en-MY" w:eastAsia="en-MY" w:bidi="ar-SA"/>
        </w:rPr>
        <w:drawing>
          <wp:inline distT="0" distB="0" distL="0" distR="0">
            <wp:extent cx="3942080" cy="2159395"/>
            <wp:effectExtent l="19050" t="19050" r="2032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3958906" cy="2168612"/>
                    </a:xfrm>
                    <a:prstGeom prst="rect">
                      <a:avLst/>
                    </a:prstGeom>
                    <a:ln w="6350">
                      <a:solidFill>
                        <a:sysClr val="windowText" lastClr="000000"/>
                      </a:solidFill>
                    </a:ln>
                  </pic:spPr>
                </pic:pic>
              </a:graphicData>
            </a:graphic>
          </wp:inline>
        </w:drawing>
      </w:r>
    </w:p>
    <w:p w:rsidR="00DD1101" w:rsidRDefault="00401B0F" w:rsidP="00DD50CE">
      <w:pPr>
        <w:spacing w:after="0"/>
        <w:ind w:left="850" w:hanging="850"/>
        <w:jc w:val="both"/>
        <w:outlineLvl w:val="0"/>
        <w:rPr>
          <w:rFonts w:ascii="Times New Roman" w:hAnsi="Times New Roman"/>
          <w:sz w:val="20"/>
          <w:szCs w:val="20"/>
        </w:rPr>
      </w:pPr>
      <w:r w:rsidRPr="00401B0F">
        <w:rPr>
          <w:rFonts w:ascii="Times New Roman" w:hAnsi="Times New Roman"/>
          <w:sz w:val="20"/>
          <w:szCs w:val="20"/>
        </w:rPr>
        <w:t xml:space="preserve">Figure 7. </w:t>
      </w:r>
      <w:r w:rsidR="00DD50CE">
        <w:rPr>
          <w:rFonts w:ascii="Times New Roman" w:hAnsi="Times New Roman"/>
          <w:sz w:val="20"/>
          <w:szCs w:val="20"/>
        </w:rPr>
        <w:tab/>
      </w:r>
      <w:r w:rsidRPr="00401B0F">
        <w:rPr>
          <w:rFonts w:ascii="Times New Roman" w:hAnsi="Times New Roman"/>
          <w:sz w:val="20"/>
          <w:szCs w:val="20"/>
        </w:rPr>
        <w:t>Separation and degradation of oil in synthetic oily wastewater with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 xml:space="preserve">/GO alumina membrane and bare alumina membrane </w:t>
      </w:r>
    </w:p>
    <w:p w:rsidR="00DD1101" w:rsidRDefault="00DD1101" w:rsidP="00F447A7">
      <w:pPr>
        <w:spacing w:after="0" w:line="240" w:lineRule="auto"/>
        <w:jc w:val="center"/>
        <w:rPr>
          <w:rFonts w:ascii="Times New Roman" w:hAnsi="Times New Roman"/>
          <w:noProof/>
          <w:sz w:val="20"/>
          <w:szCs w:val="20"/>
          <w:lang w:bidi="ar-SA"/>
        </w:rPr>
      </w:pPr>
    </w:p>
    <w:p w:rsidR="00DD1101" w:rsidRPr="00F447A7" w:rsidRDefault="00DD1101" w:rsidP="00F447A7">
      <w:pPr>
        <w:spacing w:after="0" w:line="240" w:lineRule="auto"/>
        <w:jc w:val="center"/>
        <w:rPr>
          <w:rFonts w:ascii="Times New Roman" w:hAnsi="Times New Roman"/>
          <w:noProof/>
          <w:sz w:val="20"/>
          <w:szCs w:val="20"/>
          <w:lang w:bidi="ar-SA"/>
        </w:rPr>
      </w:pPr>
    </w:p>
    <w:p w:rsidR="00DD50CE" w:rsidRDefault="00DD50CE" w:rsidP="00F447A7">
      <w:pPr>
        <w:spacing w:after="0" w:line="240" w:lineRule="auto"/>
        <w:jc w:val="center"/>
        <w:rPr>
          <w:rFonts w:ascii="Times New Roman" w:hAnsi="Times New Roman"/>
          <w:b/>
          <w:noProof/>
          <w:sz w:val="20"/>
          <w:szCs w:val="20"/>
          <w:lang w:bidi="ar-SA"/>
        </w:rPr>
        <w:sectPr w:rsidR="00DD50CE" w:rsidSect="00371664">
          <w:headerReference w:type="even" r:id="rId44"/>
          <w:headerReference w:type="default" r:id="rId45"/>
          <w:footerReference w:type="default" r:id="rId46"/>
          <w:headerReference w:type="first" r:id="rId47"/>
          <w:type w:val="oddPage"/>
          <w:pgSz w:w="12240" w:h="15840" w:code="1"/>
          <w:pgMar w:top="1800" w:right="1469" w:bottom="1699" w:left="1440" w:header="706" w:footer="706" w:gutter="0"/>
          <w:pgNumType w:start="1"/>
          <w:cols w:space="708"/>
          <w:docGrid w:linePitch="360"/>
        </w:sectPr>
      </w:pPr>
    </w:p>
    <w:p w:rsidR="00AC12DC" w:rsidRPr="00401B0F" w:rsidRDefault="00AC12DC" w:rsidP="00AC12DC">
      <w:pPr>
        <w:spacing w:after="0"/>
        <w:jc w:val="both"/>
        <w:outlineLvl w:val="0"/>
        <w:rPr>
          <w:rFonts w:ascii="Times New Roman" w:hAnsi="Times New Roman"/>
          <w:sz w:val="20"/>
          <w:szCs w:val="20"/>
        </w:rPr>
      </w:pPr>
      <w:r w:rsidRPr="00401B0F">
        <w:rPr>
          <w:rFonts w:ascii="Times New Roman" w:hAnsi="Times New Roman"/>
          <w:sz w:val="20"/>
          <w:szCs w:val="20"/>
        </w:rPr>
        <w:lastRenderedPageBreak/>
        <w:t>Thus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alumina ceramic membrane shows good removal capability of oil in oily wastewater when compared to bare alumina ceramic membrane. The improvement of the performance of alumina ceramic membrane to remove oil in the wastewater was contributed by the introduction of photocatalyst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on the membrane surface. The additional g-C</w:t>
      </w:r>
      <w:r w:rsidRPr="00401B0F">
        <w:rPr>
          <w:rFonts w:ascii="Times New Roman" w:hAnsi="Times New Roman"/>
          <w:sz w:val="20"/>
          <w:szCs w:val="20"/>
          <w:vertAlign w:val="subscript"/>
        </w:rPr>
        <w:t>3</w:t>
      </w:r>
      <w:r w:rsidRPr="00401B0F">
        <w:rPr>
          <w:rFonts w:ascii="Times New Roman" w:hAnsi="Times New Roman"/>
          <w:sz w:val="20"/>
          <w:szCs w:val="20"/>
        </w:rPr>
        <w:t>N</w:t>
      </w:r>
      <w:r w:rsidRPr="00401B0F">
        <w:rPr>
          <w:rFonts w:ascii="Times New Roman" w:hAnsi="Times New Roman"/>
          <w:sz w:val="20"/>
          <w:szCs w:val="20"/>
          <w:vertAlign w:val="subscript"/>
        </w:rPr>
        <w:t>4</w:t>
      </w:r>
      <w:r w:rsidRPr="00401B0F">
        <w:rPr>
          <w:rFonts w:ascii="Times New Roman" w:hAnsi="Times New Roman"/>
          <w:sz w:val="20"/>
          <w:szCs w:val="20"/>
        </w:rPr>
        <w:t>/GO photocatalyst opened up a new process that the degradation facilitates the removal of the organic compound of oil hence improving the quality of the permeated water</w:t>
      </w:r>
    </w:p>
    <w:p w:rsidR="00AC12DC" w:rsidRDefault="00AC12DC" w:rsidP="00AC12DC">
      <w:pPr>
        <w:spacing w:after="0" w:line="240" w:lineRule="auto"/>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D50CE" w:rsidRPr="00DD50CE" w:rsidRDefault="00DD50CE" w:rsidP="00DD50CE">
      <w:pPr>
        <w:spacing w:after="0"/>
        <w:jc w:val="both"/>
        <w:outlineLvl w:val="0"/>
        <w:rPr>
          <w:rFonts w:ascii="Times New Roman" w:hAnsi="Times New Roman"/>
          <w:sz w:val="20"/>
          <w:szCs w:val="20"/>
        </w:rPr>
      </w:pPr>
      <w:r w:rsidRPr="00DD50CE">
        <w:rPr>
          <w:rFonts w:ascii="Times New Roman" w:hAnsi="Times New Roman"/>
          <w:sz w:val="20"/>
          <w:szCs w:val="20"/>
        </w:rPr>
        <w:t>GO, photocatalyst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and g- 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composites were successfully synthesized and a major enhancement of photocatalytic potential under sunlight was achieved through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composite. According to the results of XRD analysis,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shows the domina</w:t>
      </w:r>
      <w:r w:rsidR="00060C8E">
        <w:rPr>
          <w:rFonts w:ascii="Times New Roman" w:hAnsi="Times New Roman"/>
          <w:sz w:val="20"/>
          <w:szCs w:val="20"/>
        </w:rPr>
        <w:t>nt (002) diffraction peaks at 2θ</w:t>
      </w:r>
      <w:r w:rsidR="00060C8E" w:rsidRPr="00DD50CE">
        <w:rPr>
          <w:rFonts w:ascii="Times New Roman" w:hAnsi="Times New Roman"/>
          <w:sz w:val="20"/>
          <w:szCs w:val="20"/>
        </w:rPr>
        <w:t xml:space="preserve"> </w:t>
      </w:r>
      <w:r w:rsidRPr="00DD50CE">
        <w:rPr>
          <w:rFonts w:ascii="Times New Roman" w:hAnsi="Times New Roman"/>
          <w:sz w:val="20"/>
          <w:szCs w:val="20"/>
        </w:rPr>
        <w:t>= 27.2</w:t>
      </w:r>
      <w:r w:rsidRPr="00DD50CE">
        <w:rPr>
          <w:rFonts w:ascii="Times New Roman" w:hAnsi="Times New Roman"/>
          <w:sz w:val="20"/>
          <w:szCs w:val="20"/>
          <w:vertAlign w:val="superscript"/>
        </w:rPr>
        <w:t>0</w:t>
      </w:r>
      <w:r w:rsidRPr="00DD50CE">
        <w:rPr>
          <w:rFonts w:ascii="Times New Roman" w:hAnsi="Times New Roman"/>
          <w:sz w:val="20"/>
          <w:szCs w:val="20"/>
        </w:rPr>
        <w:t xml:space="preserve"> and 2</w:t>
      </w:r>
      <w:r w:rsidR="00060C8E">
        <w:rPr>
          <w:rFonts w:ascii="Times New Roman" w:hAnsi="Times New Roman"/>
          <w:sz w:val="20"/>
          <w:szCs w:val="20"/>
        </w:rPr>
        <w:t>θ</w:t>
      </w:r>
      <w:r w:rsidRPr="00DD50CE">
        <w:rPr>
          <w:rFonts w:ascii="Times New Roman" w:hAnsi="Times New Roman"/>
          <w:sz w:val="20"/>
          <w:szCs w:val="20"/>
        </w:rPr>
        <w:t xml:space="preserve"> = 27.4</w:t>
      </w:r>
      <w:r w:rsidRPr="00DD50CE">
        <w:rPr>
          <w:rFonts w:ascii="Times New Roman" w:hAnsi="Times New Roman"/>
          <w:sz w:val="20"/>
          <w:szCs w:val="20"/>
          <w:vertAlign w:val="superscript"/>
        </w:rPr>
        <w:t>0</w:t>
      </w:r>
      <w:r w:rsidRPr="00DD50CE">
        <w:rPr>
          <w:rFonts w:ascii="Times New Roman" w:hAnsi="Times New Roman"/>
          <w:sz w:val="20"/>
          <w:szCs w:val="20"/>
        </w:rPr>
        <w:t xml:space="preserve"> which validated that the materials prepared were correct. Besides,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shows improvement of (002) peak’s intensity rather than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due to the enhancement in crystallinity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after liquid exfoliation. GO also successfully prepared and proved by results of XRD analysis where major (001) diffraction peak at 2</w:t>
      </w:r>
      <w:r w:rsidRPr="00DD50CE">
        <w:rPr>
          <w:rFonts w:ascii="Times New Roman" w:hAnsi="Times New Roman"/>
          <w:sz w:val="20"/>
          <w:szCs w:val="20"/>
        </w:rPr>
        <w:t> = 9.8</w:t>
      </w:r>
      <w:r w:rsidRPr="00DD50CE">
        <w:rPr>
          <w:rFonts w:ascii="Times New Roman" w:hAnsi="Times New Roman"/>
          <w:sz w:val="20"/>
          <w:szCs w:val="20"/>
          <w:vertAlign w:val="superscript"/>
        </w:rPr>
        <w:t>0</w:t>
      </w:r>
      <w:r w:rsidRPr="00DD50CE">
        <w:rPr>
          <w:rFonts w:ascii="Times New Roman" w:hAnsi="Times New Roman"/>
          <w:sz w:val="20"/>
          <w:szCs w:val="20"/>
        </w:rPr>
        <w:t>. For FTIR analysis, a wide absorption band at 3000 – 4000 cm</w:t>
      </w:r>
      <w:r w:rsidRPr="00DD50CE">
        <w:rPr>
          <w:rFonts w:ascii="Times New Roman" w:hAnsi="Times New Roman"/>
          <w:sz w:val="20"/>
          <w:szCs w:val="20"/>
          <w:vertAlign w:val="superscript"/>
        </w:rPr>
        <w:t>-1</w:t>
      </w:r>
      <w:r w:rsidRPr="00DD50CE">
        <w:rPr>
          <w:rFonts w:ascii="Times New Roman" w:hAnsi="Times New Roman"/>
          <w:sz w:val="20"/>
          <w:szCs w:val="20"/>
        </w:rPr>
        <w:t xml:space="preserve"> was </w:t>
      </w:r>
      <w:r w:rsidRPr="00DD50CE">
        <w:rPr>
          <w:rFonts w:ascii="Times New Roman" w:hAnsi="Times New Roman"/>
          <w:sz w:val="20"/>
          <w:szCs w:val="20"/>
        </w:rPr>
        <w:lastRenderedPageBreak/>
        <w:t>identified for both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where it was indicated that both had hydroxyl groups in the structure. Both photocatalysts also indicated an absorption band at 1203 – 1628 cm</w:t>
      </w:r>
      <w:r w:rsidRPr="00DD50CE">
        <w:rPr>
          <w:rFonts w:ascii="Times New Roman" w:hAnsi="Times New Roman"/>
          <w:sz w:val="20"/>
          <w:szCs w:val="20"/>
          <w:vertAlign w:val="superscript"/>
        </w:rPr>
        <w:t>-1</w:t>
      </w:r>
      <w:r w:rsidRPr="00DD50CE">
        <w:rPr>
          <w:rFonts w:ascii="Times New Roman" w:hAnsi="Times New Roman"/>
          <w:sz w:val="20"/>
          <w:szCs w:val="20"/>
        </w:rPr>
        <w:t xml:space="preserve"> due to stretching of CN units in aromatic ring (RSC). FTIR spectrum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showed the wide absorption band at 3000 –3400 m</w:t>
      </w:r>
      <w:r w:rsidRPr="00DD50CE">
        <w:rPr>
          <w:rFonts w:ascii="Times New Roman" w:hAnsi="Times New Roman"/>
          <w:sz w:val="20"/>
          <w:szCs w:val="20"/>
          <w:vertAlign w:val="superscript"/>
        </w:rPr>
        <w:t>-1</w:t>
      </w:r>
      <w:r w:rsidRPr="00DD50CE">
        <w:rPr>
          <w:rFonts w:ascii="Times New Roman" w:hAnsi="Times New Roman"/>
          <w:sz w:val="20"/>
          <w:szCs w:val="20"/>
        </w:rPr>
        <w:t xml:space="preserve"> of FTIR spectrum which was close to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which was attributed by stretching of the N-H group. This further strengthened the conclusion that introduction of GO into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did not alter the chemical structure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t>
      </w:r>
    </w:p>
    <w:p w:rsidR="00DD50CE" w:rsidRPr="00DD50CE" w:rsidRDefault="00DD50CE" w:rsidP="00DD50CE">
      <w:pPr>
        <w:spacing w:after="0"/>
        <w:jc w:val="both"/>
        <w:outlineLvl w:val="0"/>
        <w:rPr>
          <w:rFonts w:ascii="Times New Roman" w:hAnsi="Times New Roman"/>
          <w:sz w:val="20"/>
          <w:szCs w:val="20"/>
        </w:rPr>
      </w:pPr>
    </w:p>
    <w:p w:rsidR="002B7B50" w:rsidRDefault="00DD50CE" w:rsidP="00DD50CE">
      <w:pPr>
        <w:spacing w:after="0"/>
        <w:jc w:val="both"/>
        <w:outlineLvl w:val="0"/>
        <w:rPr>
          <w:rFonts w:ascii="Times New Roman" w:hAnsi="Times New Roman"/>
          <w:sz w:val="20"/>
          <w:szCs w:val="20"/>
          <w:vertAlign w:val="subscript"/>
        </w:rPr>
      </w:pPr>
      <w:r w:rsidRPr="00DD50CE">
        <w:rPr>
          <w:rFonts w:ascii="Times New Roman" w:hAnsi="Times New Roman"/>
          <w:sz w:val="20"/>
          <w:szCs w:val="20"/>
        </w:rPr>
        <w:t>The BET analysis showed that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has a greater surface area than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where the results are 94.08 m</w:t>
      </w:r>
      <w:r w:rsidRPr="00DD50CE">
        <w:rPr>
          <w:rFonts w:ascii="Times New Roman" w:hAnsi="Times New Roman"/>
          <w:sz w:val="20"/>
          <w:szCs w:val="20"/>
          <w:vertAlign w:val="superscript"/>
        </w:rPr>
        <w:t>2</w:t>
      </w:r>
      <w:r w:rsidRPr="00DD50CE">
        <w:rPr>
          <w:rFonts w:ascii="Times New Roman" w:hAnsi="Times New Roman"/>
          <w:sz w:val="20"/>
          <w:szCs w:val="20"/>
        </w:rPr>
        <w:t>/g, 79.84 m</w:t>
      </w:r>
      <w:r w:rsidRPr="00DD50CE">
        <w:rPr>
          <w:rFonts w:ascii="Times New Roman" w:hAnsi="Times New Roman"/>
          <w:sz w:val="20"/>
          <w:szCs w:val="20"/>
          <w:vertAlign w:val="superscript"/>
        </w:rPr>
        <w:t>2</w:t>
      </w:r>
      <w:r w:rsidRPr="00DD50CE">
        <w:rPr>
          <w:rFonts w:ascii="Times New Roman" w:hAnsi="Times New Roman"/>
          <w:sz w:val="20"/>
          <w:szCs w:val="20"/>
        </w:rPr>
        <w:t>/g and 2.01 m</w:t>
      </w:r>
      <w:r w:rsidRPr="00DD50CE">
        <w:rPr>
          <w:rFonts w:ascii="Times New Roman" w:hAnsi="Times New Roman"/>
          <w:sz w:val="20"/>
          <w:szCs w:val="20"/>
          <w:vertAlign w:val="superscript"/>
        </w:rPr>
        <w:t>2</w:t>
      </w:r>
      <w:r w:rsidRPr="00DD50CE">
        <w:rPr>
          <w:rFonts w:ascii="Times New Roman" w:hAnsi="Times New Roman"/>
          <w:sz w:val="20"/>
          <w:szCs w:val="20"/>
        </w:rPr>
        <w:t>/g respectively. The exfoliation of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has minimized the size of the particle and improved the specific area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This indicated that the exfoliation process was successful and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bond was cleaved. The surface area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was lower due to the stacking of layers on the structure of materials. The major enhancement of photocatalytic potential under sunlight was achieved by using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composite. The introduction of GO into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had improved the charge separation efficiency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which enhanced the capability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to MB and oil in oily wastewater. A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/GO degraded 73.79% of MB dye rather than 38.85% and 62.71% for </w:t>
      </w:r>
      <w:r w:rsidRPr="00DD50CE">
        <w:rPr>
          <w:rFonts w:ascii="Times New Roman" w:hAnsi="Times New Roman"/>
          <w:sz w:val="20"/>
          <w:szCs w:val="20"/>
        </w:rPr>
        <w:lastRenderedPageBreak/>
        <w:t>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/GO also degraded 75.54% of oil greater than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and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was 44.57% and 55.89% respectively. The exfoliation of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also showed a significant improvement in degradation capability of the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where,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4</w:t>
      </w:r>
      <w:r w:rsidRPr="00DD50CE">
        <w:rPr>
          <w:rFonts w:ascii="Times New Roman" w:hAnsi="Times New Roman"/>
          <w:sz w:val="20"/>
          <w:szCs w:val="20"/>
        </w:rPr>
        <w:t xml:space="preserve"> nanosheet has a larger surface area with abundant active sites to react with photoexcited carriers compared to the bulk g-C</w:t>
      </w:r>
      <w:r w:rsidRPr="00DD50CE">
        <w:rPr>
          <w:rFonts w:ascii="Times New Roman" w:hAnsi="Times New Roman"/>
          <w:sz w:val="20"/>
          <w:szCs w:val="20"/>
          <w:vertAlign w:val="subscript"/>
        </w:rPr>
        <w:t>3</w:t>
      </w:r>
      <w:r w:rsidRPr="00DD50CE">
        <w:rPr>
          <w:rFonts w:ascii="Times New Roman" w:hAnsi="Times New Roman"/>
          <w:sz w:val="20"/>
          <w:szCs w:val="20"/>
        </w:rPr>
        <w:t>N</w:t>
      </w:r>
      <w:r w:rsidRPr="00DD50CE">
        <w:rPr>
          <w:rFonts w:ascii="Times New Roman" w:hAnsi="Times New Roman"/>
          <w:sz w:val="20"/>
          <w:szCs w:val="20"/>
          <w:vertAlign w:val="subscript"/>
        </w:rPr>
        <w:t xml:space="preserve">4. </w:t>
      </w:r>
    </w:p>
    <w:p w:rsidR="002B7B50" w:rsidRDefault="002B7B50" w:rsidP="00DD50CE">
      <w:pPr>
        <w:spacing w:after="0"/>
        <w:jc w:val="both"/>
        <w:outlineLvl w:val="0"/>
        <w:rPr>
          <w:rFonts w:ascii="Times New Roman" w:hAnsi="Times New Roman"/>
          <w:sz w:val="20"/>
          <w:szCs w:val="20"/>
          <w:vertAlign w:val="subscript"/>
        </w:rPr>
      </w:pPr>
    </w:p>
    <w:p w:rsidR="002B7B50" w:rsidRPr="002B7B50" w:rsidRDefault="002B7B50" w:rsidP="002B7B50">
      <w:pPr>
        <w:spacing w:after="0" w:line="240" w:lineRule="auto"/>
        <w:jc w:val="center"/>
        <w:rPr>
          <w:rFonts w:ascii="Times New Roman" w:hAnsi="Times New Roman"/>
          <w:b/>
          <w:noProof/>
          <w:sz w:val="20"/>
          <w:szCs w:val="20"/>
          <w:lang w:bidi="ar-SA"/>
        </w:rPr>
      </w:pPr>
      <w:r w:rsidRPr="002B7B50">
        <w:rPr>
          <w:rFonts w:ascii="Times New Roman" w:hAnsi="Times New Roman"/>
          <w:b/>
          <w:noProof/>
          <w:sz w:val="20"/>
          <w:szCs w:val="20"/>
          <w:lang w:bidi="ar-SA"/>
        </w:rPr>
        <w:t>References</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Jacobs, D. (2011).The global market for liquefied natural gas.  </w:t>
      </w:r>
      <w:r w:rsidRPr="002B7B50">
        <w:rPr>
          <w:rFonts w:ascii="Times New Roman" w:hAnsi="Times New Roman"/>
          <w:i/>
          <w:iCs/>
          <w:sz w:val="20"/>
          <w:szCs w:val="20"/>
        </w:rPr>
        <w:t>Reserve Bank Australian Bulletin</w:t>
      </w:r>
      <w:r w:rsidRPr="002B7B50">
        <w:rPr>
          <w:rFonts w:ascii="Times New Roman" w:hAnsi="Times New Roman"/>
          <w:sz w:val="20"/>
          <w:szCs w:val="20"/>
        </w:rPr>
        <w:t>, 9: 17-28.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Department of Environment (2009). Discharge of industrial effluent or mixed effluent of standard A and B. Access from http://www.doe.gov.my/</w:t>
      </w:r>
      <w:r>
        <w:rPr>
          <w:rFonts w:ascii="Times New Roman" w:hAnsi="Times New Roman"/>
          <w:sz w:val="20"/>
          <w:szCs w:val="20"/>
        </w:rPr>
        <w:t xml:space="preserve"> </w:t>
      </w:r>
      <w:r w:rsidRPr="002B7B50">
        <w:rPr>
          <w:rFonts w:ascii="Times New Roman" w:hAnsi="Times New Roman"/>
          <w:sz w:val="20"/>
          <w:szCs w:val="20"/>
        </w:rPr>
        <w:t>eia/wp-content/uploads/2012/03/A-Guide-For-Investors1.pdf. [Access online 20 March 2020].</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Coca, J., Gutiérrez, G. and Benito, J. M. (2011). Treatment of oily wastewater. </w:t>
      </w:r>
      <w:r w:rsidRPr="002B7B50">
        <w:rPr>
          <w:rFonts w:ascii="Times New Roman" w:hAnsi="Times New Roman"/>
          <w:i/>
          <w:iCs/>
          <w:sz w:val="20"/>
          <w:szCs w:val="20"/>
        </w:rPr>
        <w:t>NATO Science Peace</w:t>
      </w:r>
      <w:r w:rsidRPr="002B7B50">
        <w:rPr>
          <w:rFonts w:ascii="Times New Roman" w:hAnsi="Times New Roman"/>
          <w:i/>
          <w:sz w:val="20"/>
          <w:szCs w:val="20"/>
        </w:rPr>
        <w:t xml:space="preserve"> and Security. Series C Environment Security, </w:t>
      </w:r>
      <w:r w:rsidRPr="002B7B50">
        <w:rPr>
          <w:rFonts w:ascii="Times New Roman" w:hAnsi="Times New Roman"/>
          <w:iCs/>
          <w:sz w:val="20"/>
          <w:szCs w:val="20"/>
        </w:rPr>
        <w:t>101: 1-55.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Won, W., Lee, S. K., Choi, K. and Kwon, Y. (2014). Current trends for the floating liquefied natural gas (FLNG) technologies. </w:t>
      </w:r>
      <w:r w:rsidRPr="002B7B50">
        <w:rPr>
          <w:rFonts w:ascii="Times New Roman" w:hAnsi="Times New Roman"/>
          <w:i/>
          <w:iCs/>
          <w:sz w:val="20"/>
          <w:szCs w:val="20"/>
        </w:rPr>
        <w:t xml:space="preserve">Korean Journal of Chemical Engineering, </w:t>
      </w:r>
      <w:r w:rsidRPr="002B7B50">
        <w:rPr>
          <w:rFonts w:ascii="Times New Roman" w:hAnsi="Times New Roman"/>
          <w:sz w:val="20"/>
          <w:szCs w:val="20"/>
        </w:rPr>
        <w:t>31: 732-743.</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De Angelis, L. and De Cortalezzi, M. M. F. (2013). Ceramic membrane filtration of organic compounds: Effect of concentration, pH, and mixtures interactions on fouling. </w:t>
      </w:r>
      <w:r w:rsidRPr="002B7B50">
        <w:rPr>
          <w:rFonts w:ascii="Times New Roman" w:hAnsi="Times New Roman"/>
          <w:i/>
          <w:sz w:val="20"/>
          <w:szCs w:val="20"/>
        </w:rPr>
        <w:t xml:space="preserve">Separation and Purification Technology, </w:t>
      </w:r>
      <w:r w:rsidRPr="002B7B50">
        <w:rPr>
          <w:rFonts w:ascii="Times New Roman" w:hAnsi="Times New Roman"/>
          <w:sz w:val="20"/>
          <w:szCs w:val="20"/>
        </w:rPr>
        <w:t>118: 762-775.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Goettmann, F., Thomas, A. and Antonietti, M. (2007). Metal-free activation of CO</w:t>
      </w:r>
      <w:r w:rsidRPr="002B7B50">
        <w:rPr>
          <w:rFonts w:ascii="Times New Roman" w:hAnsi="Times New Roman"/>
          <w:sz w:val="20"/>
          <w:szCs w:val="20"/>
          <w:vertAlign w:val="subscript"/>
        </w:rPr>
        <w:t>2</w:t>
      </w:r>
      <w:r w:rsidRPr="002B7B50">
        <w:rPr>
          <w:rFonts w:ascii="Times New Roman" w:hAnsi="Times New Roman"/>
          <w:sz w:val="20"/>
          <w:szCs w:val="20"/>
        </w:rPr>
        <w:t xml:space="preserve"> by mesoporous graphitic carbon nitride. </w:t>
      </w:r>
      <w:r w:rsidRPr="002B7B50">
        <w:rPr>
          <w:rFonts w:ascii="Times New Roman" w:hAnsi="Times New Roman"/>
          <w:i/>
          <w:sz w:val="20"/>
          <w:szCs w:val="20"/>
        </w:rPr>
        <w:t xml:space="preserve">Angewandte Chemie - International Edition, </w:t>
      </w:r>
      <w:r w:rsidRPr="002B7B50">
        <w:rPr>
          <w:rFonts w:ascii="Times New Roman" w:hAnsi="Times New Roman"/>
          <w:iCs/>
          <w:sz w:val="20"/>
          <w:szCs w:val="20"/>
        </w:rPr>
        <w:t xml:space="preserve">46(15): </w:t>
      </w:r>
      <w:r w:rsidRPr="002B7B50">
        <w:rPr>
          <w:rFonts w:ascii="Times New Roman" w:hAnsi="Times New Roman"/>
          <w:sz w:val="20"/>
          <w:szCs w:val="20"/>
        </w:rPr>
        <w:t>2717-2720.</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Liu, J, Zhang, T., Wang, Z., Dawson, G. and Chen, W. (2011).  Simple pyrolysis of urea into graphitic     carbon nitride with recyclable adsorption and photocatalytic activity. </w:t>
      </w:r>
      <w:r w:rsidRPr="002B7B50">
        <w:rPr>
          <w:rFonts w:ascii="Times New Roman" w:hAnsi="Times New Roman"/>
          <w:i/>
          <w:sz w:val="20"/>
          <w:szCs w:val="20"/>
        </w:rPr>
        <w:t xml:space="preserve">Journal of Materials Chemistry, </w:t>
      </w:r>
      <w:r w:rsidRPr="002B7B50">
        <w:rPr>
          <w:rFonts w:ascii="Times New Roman" w:hAnsi="Times New Roman"/>
          <w:iCs/>
          <w:sz w:val="20"/>
          <w:szCs w:val="20"/>
        </w:rPr>
        <w:t xml:space="preserve">21(38): </w:t>
      </w:r>
      <w:r w:rsidRPr="002B7B50">
        <w:rPr>
          <w:rFonts w:ascii="Times New Roman" w:hAnsi="Times New Roman"/>
          <w:sz w:val="20"/>
          <w:szCs w:val="20"/>
        </w:rPr>
        <w:t xml:space="preserve">14398-14401. </w:t>
      </w:r>
    </w:p>
    <w:p w:rsidR="002B7B50" w:rsidRPr="009E6BC9"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Kang, J. H., Kim, T., Choi, J., Park, J., Kim, Y. S., Chang, M. S. and Park, C. R. (2016). Hidden second oxidation step of Hummers method. </w:t>
      </w:r>
      <w:r w:rsidRPr="002B7B50">
        <w:rPr>
          <w:rFonts w:ascii="Times New Roman" w:hAnsi="Times New Roman"/>
          <w:i/>
          <w:sz w:val="20"/>
          <w:szCs w:val="20"/>
        </w:rPr>
        <w:t xml:space="preserve">Chemistry of Materials, </w:t>
      </w:r>
      <w:r w:rsidRPr="002B7B50">
        <w:rPr>
          <w:rFonts w:ascii="Times New Roman" w:hAnsi="Times New Roman"/>
          <w:iCs/>
          <w:sz w:val="20"/>
          <w:szCs w:val="20"/>
        </w:rPr>
        <w:t>28(3): 756-764.</w:t>
      </w:r>
    </w:p>
    <w:p w:rsidR="009E6BC9" w:rsidRPr="009E6BC9" w:rsidRDefault="009E6BC9" w:rsidP="009E6BC9">
      <w:pPr>
        <w:widowControl w:val="0"/>
        <w:autoSpaceDE w:val="0"/>
        <w:autoSpaceDN w:val="0"/>
        <w:spacing w:after="0"/>
        <w:ind w:right="9"/>
        <w:jc w:val="both"/>
        <w:rPr>
          <w:rFonts w:ascii="Times New Roman" w:hAnsi="Times New Roman"/>
          <w:sz w:val="20"/>
          <w:szCs w:val="20"/>
        </w:rPr>
      </w:pP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lastRenderedPageBreak/>
        <w:t xml:space="preserve">Son, W.-J., Kim, J., Kim, J. and Ahn, W.-S. (2008). Sonochemical synthesis of MOF-5. </w:t>
      </w:r>
      <w:r w:rsidRPr="002B7B50">
        <w:rPr>
          <w:rFonts w:ascii="Times New Roman" w:hAnsi="Times New Roman"/>
          <w:i/>
          <w:sz w:val="20"/>
          <w:szCs w:val="20"/>
        </w:rPr>
        <w:t xml:space="preserve">Chemical Communications, </w:t>
      </w:r>
      <w:r w:rsidRPr="002B7B50">
        <w:rPr>
          <w:rFonts w:ascii="Times New Roman" w:hAnsi="Times New Roman"/>
          <w:iCs/>
          <w:sz w:val="20"/>
          <w:szCs w:val="20"/>
        </w:rPr>
        <w:t>44(47): 6336-6338.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Kang, J. S., Won, J., Park, H. C., Kim, U. Y., Kang, Y. S. and Lee, Y. M. (2000). Morphology control of asymmetric membranes by UV irradiation on polyimide dope solution. </w:t>
      </w:r>
      <w:r w:rsidRPr="002B7B50">
        <w:rPr>
          <w:rFonts w:ascii="Times New Roman" w:hAnsi="Times New Roman"/>
          <w:i/>
          <w:sz w:val="20"/>
          <w:szCs w:val="20"/>
        </w:rPr>
        <w:t xml:space="preserve">Journal of Membrane Science,   </w:t>
      </w:r>
      <w:r w:rsidRPr="002B7B50">
        <w:rPr>
          <w:rFonts w:ascii="Times New Roman" w:hAnsi="Times New Roman"/>
          <w:iCs/>
          <w:sz w:val="20"/>
          <w:szCs w:val="20"/>
        </w:rPr>
        <w:t>169(2): 229-235.</w:t>
      </w:r>
      <w:r w:rsidRPr="002B7B50">
        <w:rPr>
          <w:rFonts w:ascii="Times New Roman" w:hAnsi="Times New Roman"/>
          <w:sz w:val="20"/>
          <w:szCs w:val="20"/>
        </w:rPr>
        <w:t xml:space="preserve"> </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Dutrow, B. and Clark, C. (2015). X-ray powder diffraction (XRD), geochemical instrumentation and analysis. Access from http://serc.carleton.edu/</w:t>
      </w:r>
      <w:r>
        <w:rPr>
          <w:rFonts w:ascii="Times New Roman" w:hAnsi="Times New Roman"/>
          <w:sz w:val="20"/>
          <w:szCs w:val="20"/>
        </w:rPr>
        <w:t xml:space="preserve"> </w:t>
      </w:r>
      <w:r w:rsidRPr="002B7B50">
        <w:rPr>
          <w:rFonts w:ascii="Times New Roman" w:hAnsi="Times New Roman"/>
          <w:sz w:val="20"/>
          <w:szCs w:val="20"/>
        </w:rPr>
        <w:t xml:space="preserve">research_education/geochemsheets/techniques/XRD.html [Accessed online: 20 March 2020]. </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Hummers, W. S. and Offeman, R. E. (1958). Preparation of oxide. </w:t>
      </w:r>
      <w:r w:rsidRPr="002B7B50">
        <w:rPr>
          <w:rFonts w:ascii="Times New Roman" w:hAnsi="Times New Roman"/>
          <w:i/>
          <w:iCs/>
          <w:sz w:val="20"/>
          <w:szCs w:val="20"/>
        </w:rPr>
        <w:t xml:space="preserve">Journal of the American Chemical    Society, </w:t>
      </w:r>
      <w:r w:rsidRPr="002B7B50">
        <w:rPr>
          <w:rFonts w:ascii="Times New Roman" w:hAnsi="Times New Roman"/>
          <w:sz w:val="20"/>
          <w:szCs w:val="20"/>
        </w:rPr>
        <w:t>80(6): 1339-1339.</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Guo, L. P., Wang, J., Fu, F. and Wu, Z (2015). Three dimensional Fe3O4-graphene macroscopic composites for arsenate removal. Journal of Hazardous Materials, 298: 28-35.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Olumurewa, K. O., Olofinjana, B., Fasakin, O., Eleruja, M. A. and Ajayi E. O. B. (2017). Characterization of high yield graphene oxide synthesized by simplified Hummers method. </w:t>
      </w:r>
      <w:r w:rsidRPr="002B7B50">
        <w:rPr>
          <w:rFonts w:ascii="Times New Roman" w:hAnsi="Times New Roman"/>
          <w:i/>
          <w:iCs/>
          <w:sz w:val="20"/>
          <w:szCs w:val="20"/>
        </w:rPr>
        <w:t>Graphene</w:t>
      </w:r>
      <w:r w:rsidRPr="002B7B50">
        <w:rPr>
          <w:rFonts w:ascii="Times New Roman" w:hAnsi="Times New Roman"/>
          <w:sz w:val="20"/>
          <w:szCs w:val="20"/>
        </w:rPr>
        <w:t>, 6(4): 85-98.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Alam, S. N., Sharma, N. and Kumar, L. (2017). Synthesis of graphene oxide (GO) by modified Hummers method and its thermal reduction to obtain reduced graphene oxide (rGO). </w:t>
      </w:r>
      <w:r w:rsidRPr="002B7B50">
        <w:rPr>
          <w:rFonts w:ascii="Times New Roman" w:hAnsi="Times New Roman"/>
          <w:i/>
          <w:iCs/>
          <w:sz w:val="20"/>
          <w:szCs w:val="20"/>
        </w:rPr>
        <w:t>Graphene,</w:t>
      </w:r>
      <w:r w:rsidRPr="002B7B50">
        <w:rPr>
          <w:rFonts w:ascii="Times New Roman" w:hAnsi="Times New Roman"/>
          <w:sz w:val="20"/>
          <w:szCs w:val="20"/>
        </w:rPr>
        <w:t xml:space="preserve"> 6(1): 1-18.</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Sheha, E. (2014). Studies on TiO</w:t>
      </w:r>
      <w:r w:rsidRPr="002B7B50">
        <w:rPr>
          <w:rFonts w:ascii="Times New Roman" w:hAnsi="Times New Roman"/>
          <w:sz w:val="20"/>
          <w:szCs w:val="20"/>
          <w:vertAlign w:val="subscript"/>
        </w:rPr>
        <w:t>2</w:t>
      </w:r>
      <w:r w:rsidRPr="002B7B50">
        <w:rPr>
          <w:rFonts w:ascii="Times New Roman" w:hAnsi="Times New Roman"/>
          <w:sz w:val="20"/>
          <w:szCs w:val="20"/>
        </w:rPr>
        <w:t xml:space="preserve">/reduced graphene oxide composites as cathode materials for magnesium-ion battery. </w:t>
      </w:r>
      <w:r w:rsidRPr="002B7B50">
        <w:rPr>
          <w:rFonts w:ascii="Times New Roman" w:hAnsi="Times New Roman"/>
          <w:i/>
          <w:iCs/>
          <w:sz w:val="20"/>
          <w:szCs w:val="20"/>
        </w:rPr>
        <w:t>Graphene</w:t>
      </w:r>
      <w:r w:rsidRPr="002B7B50">
        <w:rPr>
          <w:rFonts w:ascii="Times New Roman" w:hAnsi="Times New Roman"/>
          <w:sz w:val="20"/>
          <w:szCs w:val="20"/>
        </w:rPr>
        <w:t>, 3(3): 36-43.</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Bhargava, R., Wang, S. Q and Koenig, J. L. (2003). FTIR micro spectroscopy of polymeric systems. </w:t>
      </w:r>
      <w:r w:rsidRPr="002B7B50">
        <w:rPr>
          <w:rFonts w:ascii="Times New Roman" w:hAnsi="Times New Roman"/>
          <w:i/>
          <w:iCs/>
          <w:sz w:val="20"/>
          <w:szCs w:val="20"/>
        </w:rPr>
        <w:t>Advances in Polymer Science</w:t>
      </w:r>
      <w:r w:rsidRPr="002B7B50">
        <w:rPr>
          <w:rFonts w:ascii="Times New Roman" w:hAnsi="Times New Roman"/>
          <w:sz w:val="20"/>
          <w:szCs w:val="20"/>
        </w:rPr>
        <w:t>, 163: 137-191.</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Raphael, L. (2011). Application of FTIR spectroscopy to agricultural soils analysis. </w:t>
      </w:r>
      <w:r w:rsidRPr="002B7B50">
        <w:rPr>
          <w:rFonts w:ascii="Times New Roman" w:hAnsi="Times New Roman"/>
          <w:i/>
          <w:iCs/>
          <w:sz w:val="20"/>
          <w:szCs w:val="20"/>
        </w:rPr>
        <w:t>Fourier Transforms -   New Analytical Approaches FTIR Strategies</w:t>
      </w:r>
      <w:r w:rsidRPr="002B7B50">
        <w:rPr>
          <w:rFonts w:ascii="Times New Roman" w:hAnsi="Times New Roman"/>
          <w:sz w:val="20"/>
          <w:szCs w:val="20"/>
        </w:rPr>
        <w:t>: pp. 385-404.</w:t>
      </w:r>
    </w:p>
    <w:p w:rsid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Gao, W. (2015). The chemistry of graphene oxide in Graphene oxide: Reduction recipes, spectroscopy and applications: pp. 61-95.</w:t>
      </w:r>
    </w:p>
    <w:p w:rsidR="004D504E" w:rsidRDefault="004D504E" w:rsidP="004D504E">
      <w:pPr>
        <w:widowControl w:val="0"/>
        <w:autoSpaceDE w:val="0"/>
        <w:autoSpaceDN w:val="0"/>
        <w:spacing w:after="0"/>
        <w:ind w:right="9"/>
        <w:jc w:val="both"/>
        <w:rPr>
          <w:rFonts w:ascii="Times New Roman" w:hAnsi="Times New Roman"/>
          <w:sz w:val="20"/>
          <w:szCs w:val="20"/>
        </w:rPr>
      </w:pPr>
    </w:p>
    <w:p w:rsidR="004D504E" w:rsidRPr="004D504E" w:rsidRDefault="004D504E" w:rsidP="004D504E">
      <w:pPr>
        <w:widowControl w:val="0"/>
        <w:autoSpaceDE w:val="0"/>
        <w:autoSpaceDN w:val="0"/>
        <w:spacing w:after="0"/>
        <w:ind w:right="9"/>
        <w:jc w:val="both"/>
        <w:rPr>
          <w:rFonts w:ascii="Times New Roman" w:hAnsi="Times New Roman"/>
          <w:sz w:val="20"/>
          <w:szCs w:val="20"/>
        </w:rPr>
      </w:pPr>
    </w:p>
    <w:p w:rsidR="002B7B50" w:rsidRPr="009E6BC9" w:rsidRDefault="002B7B50" w:rsidP="009E6BC9">
      <w:pPr>
        <w:pStyle w:val="ListParagraph"/>
        <w:widowControl w:val="0"/>
        <w:numPr>
          <w:ilvl w:val="0"/>
          <w:numId w:val="3"/>
        </w:numPr>
        <w:autoSpaceDE w:val="0"/>
        <w:autoSpaceDN w:val="0"/>
        <w:spacing w:after="0"/>
        <w:ind w:left="360" w:right="9"/>
        <w:jc w:val="both"/>
        <w:rPr>
          <w:rFonts w:ascii="Times New Roman" w:hAnsi="Times New Roman"/>
          <w:sz w:val="20"/>
          <w:szCs w:val="20"/>
        </w:rPr>
      </w:pPr>
      <w:r w:rsidRPr="009E6BC9">
        <w:rPr>
          <w:rFonts w:ascii="Times New Roman" w:hAnsi="Times New Roman"/>
          <w:sz w:val="20"/>
          <w:szCs w:val="20"/>
        </w:rPr>
        <w:lastRenderedPageBreak/>
        <w:t>Yang, K., Peng, H., Wen, Y. and Li, N. (2010). Re-examination of characteristic FTIR spectrum of secondary layer in bilayer oleic acid-coated Fe</w:t>
      </w:r>
      <w:r w:rsidRPr="009E6BC9">
        <w:rPr>
          <w:rFonts w:ascii="Times New Roman" w:hAnsi="Times New Roman"/>
          <w:sz w:val="20"/>
          <w:szCs w:val="20"/>
          <w:vertAlign w:val="subscript"/>
        </w:rPr>
        <w:t>3</w:t>
      </w:r>
      <w:r w:rsidRPr="009E6BC9">
        <w:rPr>
          <w:rFonts w:ascii="Times New Roman" w:hAnsi="Times New Roman"/>
          <w:sz w:val="20"/>
          <w:szCs w:val="20"/>
        </w:rPr>
        <w:t>O</w:t>
      </w:r>
      <w:r w:rsidRPr="009E6BC9">
        <w:rPr>
          <w:rFonts w:ascii="Times New Roman" w:hAnsi="Times New Roman"/>
          <w:sz w:val="20"/>
          <w:szCs w:val="20"/>
          <w:vertAlign w:val="subscript"/>
        </w:rPr>
        <w:t>4</w:t>
      </w:r>
      <w:r w:rsidRPr="009E6BC9">
        <w:rPr>
          <w:rFonts w:ascii="Times New Roman" w:hAnsi="Times New Roman"/>
          <w:sz w:val="20"/>
          <w:szCs w:val="20"/>
        </w:rPr>
        <w:t xml:space="preserve"> nanoparticles. </w:t>
      </w:r>
      <w:r w:rsidRPr="009E6BC9">
        <w:rPr>
          <w:rFonts w:ascii="Times New Roman" w:hAnsi="Times New Roman"/>
          <w:i/>
          <w:iCs/>
          <w:sz w:val="20"/>
          <w:szCs w:val="20"/>
        </w:rPr>
        <w:t>Applied Surface Science</w:t>
      </w:r>
      <w:r w:rsidRPr="009E6BC9">
        <w:rPr>
          <w:rFonts w:ascii="Times New Roman" w:hAnsi="Times New Roman"/>
          <w:sz w:val="20"/>
          <w:szCs w:val="20"/>
        </w:rPr>
        <w:t xml:space="preserve">, 256(10): 3093-3097. </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Vlachos, N., Skopelitis, Y., Psaroudaki, M., Konstantinidou, V., Chatzilazarou, A. and Tegou, E. (2006). Applications of Fourier transform-infrared spectroscopy to edible oils. </w:t>
      </w:r>
      <w:r w:rsidRPr="002B7B50">
        <w:rPr>
          <w:rFonts w:ascii="Times New Roman" w:hAnsi="Times New Roman"/>
          <w:i/>
          <w:iCs/>
          <w:sz w:val="20"/>
          <w:szCs w:val="20"/>
        </w:rPr>
        <w:t xml:space="preserve">Analytica Chimica Acta, </w:t>
      </w:r>
      <w:r w:rsidRPr="002B7B50">
        <w:rPr>
          <w:rFonts w:ascii="Times New Roman" w:hAnsi="Times New Roman"/>
          <w:sz w:val="20"/>
          <w:szCs w:val="20"/>
        </w:rPr>
        <w:t>573: 459-465.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Gulmine, J.V., Janissek, P. R. Heise, H. M. and Akcelrud, L. (2002). Polyethylene character</w:t>
      </w:r>
      <w:r w:rsidR="004D504E">
        <w:rPr>
          <w:rFonts w:ascii="Times New Roman" w:hAnsi="Times New Roman"/>
          <w:sz w:val="20"/>
          <w:szCs w:val="20"/>
        </w:rPr>
        <w:t xml:space="preserve">ization by  </w:t>
      </w:r>
      <w:r w:rsidRPr="002B7B50">
        <w:rPr>
          <w:rFonts w:ascii="Times New Roman" w:hAnsi="Times New Roman"/>
          <w:sz w:val="20"/>
          <w:szCs w:val="20"/>
        </w:rPr>
        <w:t xml:space="preserve">FTIR. </w:t>
      </w:r>
      <w:r w:rsidRPr="002B7B50">
        <w:rPr>
          <w:rFonts w:ascii="Times New Roman" w:hAnsi="Times New Roman"/>
          <w:i/>
          <w:sz w:val="20"/>
          <w:szCs w:val="20"/>
        </w:rPr>
        <w:t xml:space="preserve">Polymer Testing, </w:t>
      </w:r>
      <w:r w:rsidRPr="002B7B50">
        <w:rPr>
          <w:rFonts w:ascii="Times New Roman" w:hAnsi="Times New Roman"/>
          <w:iCs/>
          <w:sz w:val="20"/>
          <w:szCs w:val="20"/>
        </w:rPr>
        <w:t>21(5):</w:t>
      </w:r>
      <w:r w:rsidRPr="002B7B50">
        <w:rPr>
          <w:rFonts w:ascii="Times New Roman" w:hAnsi="Times New Roman"/>
          <w:sz w:val="20"/>
          <w:szCs w:val="20"/>
        </w:rPr>
        <w:t xml:space="preserve"> 557563.</w:t>
      </w:r>
    </w:p>
    <w:p w:rsidR="004D504E" w:rsidRPr="004D504E" w:rsidRDefault="002B7B50" w:rsidP="004D504E">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Darkwah, K. W. and Ao, Y. (2018). Mini review on structure and properties (photocatalysis) and preparation techniques of graphitic carbon nitride nano-based particles and its application. </w:t>
      </w:r>
      <w:r w:rsidRPr="002B7B50">
        <w:rPr>
          <w:rFonts w:ascii="Times New Roman" w:hAnsi="Times New Roman"/>
          <w:i/>
          <w:iCs/>
          <w:sz w:val="20"/>
          <w:szCs w:val="20"/>
        </w:rPr>
        <w:t xml:space="preserve">Nanoscale Research Letter, </w:t>
      </w:r>
      <w:r w:rsidRPr="002B7B50">
        <w:rPr>
          <w:rFonts w:ascii="Times New Roman" w:hAnsi="Times New Roman"/>
          <w:sz w:val="20"/>
          <w:szCs w:val="20"/>
        </w:rPr>
        <w:t>13(388): 3-15.</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Huh, Y. S. and Chang, Y. K. (2015). Selective silver ion adsorption onto mesoporous graphitic carbon nitride. </w:t>
      </w:r>
      <w:r w:rsidRPr="002B7B50">
        <w:rPr>
          <w:rFonts w:ascii="Times New Roman" w:hAnsi="Times New Roman"/>
          <w:i/>
          <w:iCs/>
          <w:sz w:val="20"/>
          <w:szCs w:val="20"/>
        </w:rPr>
        <w:t>Carbon,</w:t>
      </w:r>
      <w:r w:rsidRPr="002B7B50">
        <w:rPr>
          <w:rFonts w:ascii="Times New Roman" w:hAnsi="Times New Roman"/>
          <w:sz w:val="20"/>
          <w:szCs w:val="20"/>
        </w:rPr>
        <w:t xml:space="preserve"> 95: 58-64.</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lastRenderedPageBreak/>
        <w:t xml:space="preserve">Nandi, B. K., Das B., Uppaluri R., Purkait M. K. (2010). Studies on submicron range microfiltration inorganic membranes: Preparation characterization. </w:t>
      </w:r>
      <w:r w:rsidRPr="002B7B50">
        <w:rPr>
          <w:rFonts w:ascii="Times New Roman" w:hAnsi="Times New Roman"/>
          <w:i/>
          <w:iCs/>
          <w:sz w:val="20"/>
          <w:szCs w:val="20"/>
        </w:rPr>
        <w:t>Membrane Water Treatment</w:t>
      </w:r>
      <w:r w:rsidRPr="002B7B50">
        <w:rPr>
          <w:rFonts w:ascii="Times New Roman" w:hAnsi="Times New Roman"/>
          <w:sz w:val="20"/>
          <w:szCs w:val="20"/>
        </w:rPr>
        <w:t>,  1(2): 121-137.</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Ranfang, Z., Gaoxiang, D., Weiwei, Z., Lianhua, L., Yanming, L., Lefu, M. and Zhoahui, L.(2014). Photocatalytic degradation of methane blue using TiO</w:t>
      </w:r>
      <w:r w:rsidRPr="002B7B50">
        <w:rPr>
          <w:rFonts w:ascii="Times New Roman" w:hAnsi="Times New Roman"/>
          <w:sz w:val="20"/>
          <w:szCs w:val="20"/>
          <w:vertAlign w:val="subscript"/>
        </w:rPr>
        <w:t>2</w:t>
      </w:r>
      <w:r w:rsidRPr="002B7B50">
        <w:rPr>
          <w:rFonts w:ascii="Times New Roman" w:hAnsi="Times New Roman"/>
          <w:sz w:val="20"/>
          <w:szCs w:val="20"/>
        </w:rPr>
        <w:t xml:space="preserve"> impregnated diatomite. </w:t>
      </w:r>
      <w:r w:rsidRPr="002B7B50">
        <w:rPr>
          <w:rFonts w:ascii="Times New Roman" w:hAnsi="Times New Roman"/>
          <w:i/>
          <w:iCs/>
          <w:sz w:val="20"/>
          <w:szCs w:val="20"/>
        </w:rPr>
        <w:t>Advances in Materials Science and Engineering</w:t>
      </w:r>
      <w:r w:rsidRPr="002B7B50">
        <w:rPr>
          <w:rFonts w:ascii="Times New Roman" w:hAnsi="Times New Roman"/>
          <w:sz w:val="20"/>
          <w:szCs w:val="20"/>
        </w:rPr>
        <w:t>, 2014: 1-7.</w:t>
      </w:r>
    </w:p>
    <w:p w:rsidR="002B7B50" w:rsidRPr="002B7B50" w:rsidRDefault="002B7B50" w:rsidP="002B7B50">
      <w:pPr>
        <w:pStyle w:val="ListParagraph"/>
        <w:widowControl w:val="0"/>
        <w:numPr>
          <w:ilvl w:val="0"/>
          <w:numId w:val="3"/>
        </w:numPr>
        <w:autoSpaceDE w:val="0"/>
        <w:autoSpaceDN w:val="0"/>
        <w:spacing w:after="0"/>
        <w:ind w:left="360" w:right="9"/>
        <w:contextualSpacing w:val="0"/>
        <w:jc w:val="both"/>
        <w:rPr>
          <w:rFonts w:ascii="Times New Roman" w:hAnsi="Times New Roman"/>
          <w:sz w:val="20"/>
          <w:szCs w:val="20"/>
        </w:rPr>
      </w:pPr>
      <w:r w:rsidRPr="002B7B50">
        <w:rPr>
          <w:rFonts w:ascii="Times New Roman" w:hAnsi="Times New Roman"/>
          <w:sz w:val="20"/>
          <w:szCs w:val="20"/>
        </w:rPr>
        <w:t xml:space="preserve">Nguyen, H. T. V., Ngo, T. H. A., Do, K. D., Nguyen, M. N., To Dang, N. T., Nong Yuen, T. T. and Anh Vu, V. T (2019). Preparation and characterization of hydrophilic polysulfide membrane using graphene oxide. </w:t>
      </w:r>
      <w:r w:rsidRPr="002B7B50">
        <w:rPr>
          <w:rFonts w:ascii="Times New Roman" w:hAnsi="Times New Roman"/>
          <w:i/>
          <w:iCs/>
          <w:sz w:val="20"/>
          <w:szCs w:val="20"/>
        </w:rPr>
        <w:t>Hindawi Journal of Chemistry</w:t>
      </w:r>
      <w:r w:rsidRPr="002B7B50">
        <w:rPr>
          <w:rFonts w:ascii="Times New Roman" w:hAnsi="Times New Roman"/>
          <w:sz w:val="20"/>
          <w:szCs w:val="20"/>
        </w:rPr>
        <w:t>, 2019: 1-10.</w:t>
      </w:r>
    </w:p>
    <w:p w:rsidR="002B7B50" w:rsidRPr="002B7B50" w:rsidRDefault="002B7B50" w:rsidP="002B7B50">
      <w:pPr>
        <w:spacing w:after="0" w:line="240" w:lineRule="auto"/>
        <w:ind w:left="360"/>
        <w:jc w:val="both"/>
        <w:rPr>
          <w:rFonts w:ascii="Times New Roman" w:hAnsi="Times New Roman"/>
          <w:noProof/>
          <w:sz w:val="20"/>
          <w:szCs w:val="20"/>
          <w:lang w:bidi="ar-SA"/>
        </w:rPr>
      </w:pPr>
    </w:p>
    <w:p w:rsidR="002B7B50" w:rsidRDefault="002B7B50" w:rsidP="00DD50CE">
      <w:pPr>
        <w:spacing w:after="0"/>
        <w:jc w:val="both"/>
        <w:outlineLvl w:val="0"/>
        <w:rPr>
          <w:rFonts w:ascii="Times New Roman" w:hAnsi="Times New Roman"/>
          <w:sz w:val="20"/>
          <w:szCs w:val="20"/>
          <w:vertAlign w:val="subscript"/>
        </w:rPr>
      </w:pPr>
    </w:p>
    <w:p w:rsidR="002B7B50" w:rsidRPr="00DD50CE" w:rsidRDefault="002B7B50" w:rsidP="00DD50CE">
      <w:pPr>
        <w:spacing w:after="0"/>
        <w:jc w:val="both"/>
        <w:outlineLvl w:val="0"/>
        <w:rPr>
          <w:rFonts w:ascii="Times New Roman" w:hAnsi="Times New Roman"/>
          <w:sz w:val="20"/>
          <w:szCs w:val="20"/>
        </w:rPr>
      </w:pPr>
    </w:p>
    <w:p w:rsidR="00DD50CE" w:rsidRDefault="00DD50CE" w:rsidP="00BA1F7B">
      <w:pPr>
        <w:spacing w:after="0" w:line="240" w:lineRule="auto"/>
        <w:jc w:val="center"/>
        <w:rPr>
          <w:rFonts w:ascii="Times New Roman" w:hAnsi="Times New Roman"/>
          <w:noProof/>
          <w:sz w:val="20"/>
          <w:szCs w:val="20"/>
          <w:lang w:bidi="ar-SA"/>
        </w:rPr>
      </w:pPr>
    </w:p>
    <w:p w:rsidR="00C709E6" w:rsidRDefault="00C709E6" w:rsidP="00C709E6">
      <w:pPr>
        <w:spacing w:after="0" w:line="240" w:lineRule="auto"/>
        <w:jc w:val="both"/>
        <w:rPr>
          <w:rFonts w:ascii="Times New Roman" w:hAnsi="Times New Roman"/>
          <w:noProof/>
          <w:sz w:val="20"/>
          <w:szCs w:val="20"/>
          <w:lang w:bidi="ar-SA"/>
        </w:rPr>
        <w:sectPr w:rsidR="00C709E6" w:rsidSect="00DD50CE">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sectPr w:rsidR="006768E9" w:rsidRPr="00F447A7" w:rsidSect="00007984">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EA63FD">
    <w:pPr>
      <w:pStyle w:val="Footer"/>
    </w:pPr>
    <w:r>
      <w:ptab w:relativeTo="margin" w:alignment="center" w:leader="none"/>
    </w:r>
    <w:r>
      <w:ptab w:relativeTo="margin" w:alignment="right" w:leader="none"/>
    </w:r>
    <w:r>
      <w:rPr>
        <w:lang w:val="en-MY"/>
      </w:rPr>
      <w:t>350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rsidRPr="00AB6C57">
      <w:ptab w:relativeTo="margin" w:alignment="center" w:leader="none"/>
    </w:r>
    <w:r w:rsidRPr="00AB6C57">
      <w:ptab w:relativeTo="margin" w:alignment="right" w:leader="none"/>
    </w:r>
    <w:r w:rsidR="00EA63FD">
      <w:t>358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AB6C57" w:rsidRDefault="00EA63FD" w:rsidP="007D4BAB">
    <w:pPr>
      <w:pStyle w:val="Footer"/>
      <w:jc w:val="right"/>
      <w:rPr>
        <w:lang w:val="en-MY"/>
      </w:rPr>
    </w:pPr>
    <w:r>
      <w:rPr>
        <w:lang w:val="en-MY"/>
      </w:rPr>
      <w:t>360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EA63FD">
    <w:pPr>
      <w:pStyle w:val="Footer"/>
    </w:pPr>
    <w:r>
      <w:rPr>
        <w:rFonts w:ascii="Times New Roman" w:hAnsi="Times New Roman"/>
      </w:rPr>
      <w:t>361</w:t>
    </w:r>
    <w:r w:rsidR="00AB6C57" w:rsidRPr="00AB6C57">
      <w:rPr>
        <w:rFonts w:ascii="Times New Roman" w:hAnsi="Times New Roman"/>
      </w:rPr>
      <w:ptab w:relativeTo="margin" w:alignment="center" w:leader="none"/>
    </w:r>
    <w:r w:rsidR="00AB6C57" w:rsidRPr="00AB6C57">
      <w:rPr>
        <w:rFonts w:ascii="Times New Roman" w:hAnsi="Times New Roman"/>
      </w:rPr>
      <w:ptab w:relativeTo="margin" w:alignment="right" w:leader="none"/>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ptab w:relativeTo="margin" w:alignment="center" w:leader="none"/>
    </w:r>
    <w:r>
      <w:ptab w:relativeTo="margin" w:alignment="right" w:leader="none"/>
    </w:r>
    <w:r w:rsidR="00EA63FD">
      <w:rPr>
        <w:lang w:val="en-MY"/>
      </w:rPr>
      <w:t>362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D4BAB" w:rsidRDefault="00EA63FD" w:rsidP="007D4BAB">
    <w:pPr>
      <w:pStyle w:val="Footer"/>
      <w:jc w:val="right"/>
    </w:pPr>
    <w:r>
      <w:t>351</w:t>
    </w:r>
    <w:r w:rsidRPr="00EA63FD">
      <w:ptab w:relativeTo="margin" w:alignment="center" w:leader="none"/>
    </w:r>
    <w:r w:rsidRPr="00EA63FD">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EA63FD">
    <w:pPr>
      <w:pStyle w:val="Footer"/>
    </w:pPr>
    <w:r>
      <w:rPr>
        <w:rFonts w:ascii="Times New Roman" w:hAnsi="Times New Roman"/>
      </w:rPr>
      <w:t>353</w:t>
    </w:r>
    <w:r w:rsidR="00AB6C57" w:rsidRPr="00AB6C57">
      <w:rPr>
        <w:rFonts w:ascii="Times New Roman" w:hAnsi="Times New Roman"/>
      </w:rPr>
      <w:ptab w:relativeTo="margin" w:alignment="center" w:leader="none"/>
    </w:r>
    <w:r w:rsidR="00AB6C57" w:rsidRPr="00AB6C57">
      <w:rPr>
        <w:rFonts w:ascii="Times New Roman" w:hAnsi="Times New Roman"/>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rsidRPr="00AB6C57">
      <w:ptab w:relativeTo="margin" w:alignment="center" w:leader="none"/>
    </w:r>
    <w:r w:rsidRPr="00AB6C57">
      <w:ptab w:relativeTo="margin" w:alignment="right" w:leader="none"/>
    </w:r>
    <w:r>
      <w:t>3</w:t>
    </w:r>
    <w:r w:rsidR="00EA63FD">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EA63FD">
    <w:pPr>
      <w:pStyle w:val="Footer"/>
    </w:pPr>
    <w:r>
      <w:rPr>
        <w:rFonts w:ascii="Times New Roman" w:hAnsi="Times New Roman"/>
      </w:rPr>
      <w:t>355</w:t>
    </w:r>
    <w:r w:rsidR="00AB6C57" w:rsidRPr="00AB6C57">
      <w:rPr>
        <w:rFonts w:ascii="Times New Roman" w:hAnsi="Times New Roman"/>
      </w:rPr>
      <w:ptab w:relativeTo="margin" w:alignment="center" w:leader="none"/>
    </w:r>
    <w:r w:rsidR="00AB6C57" w:rsidRPr="00AB6C57">
      <w:rPr>
        <w:rFonts w:ascii="Times New Roman" w:hAnsi="Times New Roman"/>
      </w:rP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AB6C57" w:rsidRDefault="00627C28" w:rsidP="007D4BAB">
    <w:pPr>
      <w:pStyle w:val="Footer"/>
      <w:jc w:val="right"/>
      <w:rPr>
        <w:lang w:val="en-MY"/>
      </w:rPr>
    </w:pPr>
    <w:r>
      <w:rPr>
        <w:lang w:val="en-MY"/>
      </w:rPr>
      <w:t>3</w:t>
    </w:r>
    <w:r w:rsidR="00AB6C57">
      <w:rPr>
        <w:lang w:val="en-MY"/>
      </w:rPr>
      <w:t>5</w:t>
    </w:r>
    <w:r w:rsidR="00EA63FD">
      <w:rPr>
        <w:lang w:val="en-MY"/>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Pr="007D4BAB" w:rsidRDefault="00AB6C57" w:rsidP="007D4BAB">
    <w:pPr>
      <w:pStyle w:val="Footer"/>
      <w:jc w:val="right"/>
    </w:pPr>
    <w:r w:rsidRPr="00AB6C57">
      <w:ptab w:relativeTo="margin" w:alignment="center" w:leader="none"/>
    </w:r>
    <w:r w:rsidRPr="00AB6C57">
      <w:ptab w:relativeTo="margin" w:alignment="right" w:leader="none"/>
    </w:r>
    <w:r w:rsidR="00EA63FD">
      <w:t>356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EA63FD">
    <w:pPr>
      <w:pStyle w:val="Footer"/>
    </w:pPr>
    <w:r>
      <w:rPr>
        <w:rFonts w:ascii="Times New Roman" w:hAnsi="Times New Roman"/>
      </w:rPr>
      <w:t>357</w:t>
    </w:r>
    <w:r w:rsidR="00AB6C57" w:rsidRPr="00AB6C57">
      <w:rPr>
        <w:rFonts w:ascii="Times New Roman" w:hAnsi="Times New Roman"/>
      </w:rPr>
      <w:ptab w:relativeTo="margin" w:alignment="center" w:leader="none"/>
    </w:r>
    <w:r w:rsidR="00AB6C57" w:rsidRPr="00AB6C57">
      <w:rPr>
        <w:rFonts w:ascii="Times New Roman" w:hAnsi="Times New Roman"/>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57" w:rsidRDefault="00EA63FD">
    <w:pPr>
      <w:pStyle w:val="Footer"/>
    </w:pPr>
    <w:r>
      <w:rPr>
        <w:rFonts w:ascii="Times New Roman" w:hAnsi="Times New Roman"/>
      </w:rPr>
      <w:t>359</w:t>
    </w:r>
    <w:r w:rsidR="00AB6C57" w:rsidRPr="00AB6C57">
      <w:rPr>
        <w:rFonts w:ascii="Times New Roman" w:hAnsi="Times New Roman"/>
      </w:rPr>
      <w:ptab w:relativeTo="margin" w:alignment="center" w:leader="none"/>
    </w:r>
    <w:r w:rsidR="00AB6C57" w:rsidRPr="00AB6C57">
      <w:rPr>
        <w:rFonts w:ascii="Times New Roman" w:hAnsi="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EA63FD" w:rsidP="00EA63FD">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350 - 362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EA63FD">
      <w:rPr>
        <w:rFonts w:ascii="Times New Roman" w:hAnsi="Times New Roman"/>
        <w:i/>
      </w:rPr>
      <w:t>350 - 362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EA63FD">
      <w:rPr>
        <w:rFonts w:ascii="Times New Roman" w:hAnsi="Times New Roman"/>
        <w:i/>
      </w:rPr>
      <w:t>350 - 362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EA63FD">
      <w:rPr>
        <w:rFonts w:ascii="Times New Roman" w:hAnsi="Times New Roman"/>
        <w:i/>
      </w:rPr>
      <w:t>350 - 362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60B" w:rsidRPr="00EA63FD" w:rsidRDefault="00EA63FD" w:rsidP="00EA63FD">
    <w:pPr>
      <w:pStyle w:val="Header"/>
      <w:ind w:left="2160" w:hanging="2160"/>
      <w:rPr>
        <w:lang w:val="en-MY"/>
      </w:rPr>
    </w:pPr>
    <w:r>
      <w:rPr>
        <w:rFonts w:ascii="Times New Roman" w:hAnsi="Times New Roman"/>
      </w:rPr>
      <w:t>Nurdiyana Nabilah et al</w:t>
    </w:r>
    <w:r w:rsidRPr="000D7C37">
      <w:rPr>
        <w:rFonts w:ascii="Times New Roman" w:hAnsi="Times New Roman"/>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EA63FD">
      <w:rPr>
        <w:rFonts w:ascii="Times New Roman" w:hAnsi="Times New Roman"/>
        <w:i/>
      </w:rPr>
      <w:t>350 - 362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EA63FD">
      <w:rPr>
        <w:rFonts w:ascii="Times New Roman" w:hAnsi="Times New Roman"/>
        <w:i/>
      </w:rPr>
      <w:t>350 - 362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ind w:left="2160" w:hanging="2160"/>
    </w:pPr>
    <w:r>
      <w:rPr>
        <w:rFonts w:ascii="Times New Roman" w:hAnsi="Times New Roman"/>
      </w:rPr>
      <w:t>Nurdiyana Nabilah et al</w:t>
    </w:r>
    <w:r w:rsidRPr="000D7C37">
      <w:rPr>
        <w:rFonts w:ascii="Times New Roman" w:hAnsi="Times New Roman"/>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6A3EEC" w:rsidP="006A3EEC">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EA63FD">
      <w:rPr>
        <w:rFonts w:ascii="Times New Roman" w:hAnsi="Times New Roman"/>
        <w:i/>
      </w:rPr>
      <w:t>350 - 362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FC" w:rsidRDefault="00E80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9B1062"/>
    <w:multiLevelType w:val="hybridMultilevel"/>
    <w:tmpl w:val="658C0A70"/>
    <w:lvl w:ilvl="0" w:tplc="4409000F">
      <w:start w:val="1"/>
      <w:numFmt w:val="decimal"/>
      <w:lvlText w:val="%1."/>
      <w:lvlJc w:val="lef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2">
    <w:nsid w:val="4F0C3463"/>
    <w:multiLevelType w:val="hybridMultilevel"/>
    <w:tmpl w:val="C8B091AE"/>
    <w:lvl w:ilvl="0" w:tplc="4790DAC6">
      <w:start w:val="1"/>
      <w:numFmt w:val="decimal"/>
      <w:lvlText w:val="%1."/>
      <w:lvlJc w:val="left"/>
      <w:pPr>
        <w:ind w:left="642" w:hanging="642"/>
      </w:pPr>
      <w:rPr>
        <w:rFonts w:ascii="Times New Roman" w:eastAsia="Times New Roman" w:hAnsi="Times New Roman" w:cs="Times New Roman"/>
        <w:i w:val="0"/>
        <w:spacing w:val="-3"/>
        <w:w w:val="99"/>
        <w:sz w:val="20"/>
        <w:szCs w:val="20"/>
        <w:lang w:val="en-US" w:eastAsia="en-US" w:bidi="en-US"/>
      </w:rPr>
    </w:lvl>
    <w:lvl w:ilvl="1" w:tplc="54781494">
      <w:numFmt w:val="bullet"/>
      <w:lvlText w:val="•"/>
      <w:lvlJc w:val="left"/>
      <w:pPr>
        <w:ind w:left="1303" w:hanging="642"/>
      </w:pPr>
      <w:rPr>
        <w:rFonts w:hint="default"/>
        <w:lang w:val="en-US" w:eastAsia="en-US" w:bidi="en-US"/>
      </w:rPr>
    </w:lvl>
    <w:lvl w:ilvl="2" w:tplc="F380244C">
      <w:numFmt w:val="bullet"/>
      <w:lvlText w:val="•"/>
      <w:lvlJc w:val="left"/>
      <w:pPr>
        <w:ind w:left="1726" w:hanging="642"/>
      </w:pPr>
      <w:rPr>
        <w:rFonts w:hint="default"/>
        <w:lang w:val="en-US" w:eastAsia="en-US" w:bidi="en-US"/>
      </w:rPr>
    </w:lvl>
    <w:lvl w:ilvl="3" w:tplc="D6E8248E">
      <w:numFmt w:val="bullet"/>
      <w:lvlText w:val="•"/>
      <w:lvlJc w:val="left"/>
      <w:pPr>
        <w:ind w:left="2150" w:hanging="642"/>
      </w:pPr>
      <w:rPr>
        <w:rFonts w:hint="default"/>
        <w:lang w:val="en-US" w:eastAsia="en-US" w:bidi="en-US"/>
      </w:rPr>
    </w:lvl>
    <w:lvl w:ilvl="4" w:tplc="B8840E5A">
      <w:numFmt w:val="bullet"/>
      <w:lvlText w:val="•"/>
      <w:lvlJc w:val="left"/>
      <w:pPr>
        <w:ind w:left="2573" w:hanging="642"/>
      </w:pPr>
      <w:rPr>
        <w:rFonts w:hint="default"/>
        <w:lang w:val="en-US" w:eastAsia="en-US" w:bidi="en-US"/>
      </w:rPr>
    </w:lvl>
    <w:lvl w:ilvl="5" w:tplc="D4462756">
      <w:numFmt w:val="bullet"/>
      <w:lvlText w:val="•"/>
      <w:lvlJc w:val="left"/>
      <w:pPr>
        <w:ind w:left="2996" w:hanging="642"/>
      </w:pPr>
      <w:rPr>
        <w:rFonts w:hint="default"/>
        <w:lang w:val="en-US" w:eastAsia="en-US" w:bidi="en-US"/>
      </w:rPr>
    </w:lvl>
    <w:lvl w:ilvl="6" w:tplc="6002946C">
      <w:numFmt w:val="bullet"/>
      <w:lvlText w:val="•"/>
      <w:lvlJc w:val="left"/>
      <w:pPr>
        <w:ind w:left="3420" w:hanging="642"/>
      </w:pPr>
      <w:rPr>
        <w:rFonts w:hint="default"/>
        <w:lang w:val="en-US" w:eastAsia="en-US" w:bidi="en-US"/>
      </w:rPr>
    </w:lvl>
    <w:lvl w:ilvl="7" w:tplc="890E5E50">
      <w:numFmt w:val="bullet"/>
      <w:lvlText w:val="•"/>
      <w:lvlJc w:val="left"/>
      <w:pPr>
        <w:ind w:left="3843" w:hanging="642"/>
      </w:pPr>
      <w:rPr>
        <w:rFonts w:hint="default"/>
        <w:lang w:val="en-US" w:eastAsia="en-US" w:bidi="en-US"/>
      </w:rPr>
    </w:lvl>
    <w:lvl w:ilvl="8" w:tplc="BCF212B4">
      <w:numFmt w:val="bullet"/>
      <w:lvlText w:val="•"/>
      <w:lvlJc w:val="left"/>
      <w:pPr>
        <w:ind w:left="4267" w:hanging="642"/>
      </w:pPr>
      <w:rPr>
        <w:rFonts w:hint="default"/>
        <w:lang w:val="en-US" w:eastAsia="en-US" w:bidi="en-U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7984"/>
    <w:rsid w:val="000148FF"/>
    <w:rsid w:val="00016385"/>
    <w:rsid w:val="00041111"/>
    <w:rsid w:val="00060C8E"/>
    <w:rsid w:val="00084936"/>
    <w:rsid w:val="000C49FF"/>
    <w:rsid w:val="000D16A1"/>
    <w:rsid w:val="000D2B0C"/>
    <w:rsid w:val="000D7C37"/>
    <w:rsid w:val="000F77DA"/>
    <w:rsid w:val="001068E8"/>
    <w:rsid w:val="001106D8"/>
    <w:rsid w:val="00117BCD"/>
    <w:rsid w:val="00125B33"/>
    <w:rsid w:val="001A3275"/>
    <w:rsid w:val="001D035A"/>
    <w:rsid w:val="001D3855"/>
    <w:rsid w:val="001D6F2C"/>
    <w:rsid w:val="00233177"/>
    <w:rsid w:val="002559F0"/>
    <w:rsid w:val="002627A2"/>
    <w:rsid w:val="00277498"/>
    <w:rsid w:val="002860B7"/>
    <w:rsid w:val="00290F4D"/>
    <w:rsid w:val="002A2FC0"/>
    <w:rsid w:val="002B188F"/>
    <w:rsid w:val="002B3BD8"/>
    <w:rsid w:val="002B7B50"/>
    <w:rsid w:val="002F3F91"/>
    <w:rsid w:val="002F55F5"/>
    <w:rsid w:val="00304767"/>
    <w:rsid w:val="00304B34"/>
    <w:rsid w:val="00312A6F"/>
    <w:rsid w:val="00352D57"/>
    <w:rsid w:val="003609F3"/>
    <w:rsid w:val="00361BAF"/>
    <w:rsid w:val="00362FCE"/>
    <w:rsid w:val="00367D1F"/>
    <w:rsid w:val="00371664"/>
    <w:rsid w:val="003B4FC1"/>
    <w:rsid w:val="003B6019"/>
    <w:rsid w:val="003D585B"/>
    <w:rsid w:val="003E7DA6"/>
    <w:rsid w:val="003F12FF"/>
    <w:rsid w:val="00401B0F"/>
    <w:rsid w:val="004760D4"/>
    <w:rsid w:val="00482180"/>
    <w:rsid w:val="00494C46"/>
    <w:rsid w:val="004A6F87"/>
    <w:rsid w:val="004B43FF"/>
    <w:rsid w:val="004C070C"/>
    <w:rsid w:val="004C7089"/>
    <w:rsid w:val="004D504E"/>
    <w:rsid w:val="004D7E25"/>
    <w:rsid w:val="004F265B"/>
    <w:rsid w:val="00502641"/>
    <w:rsid w:val="0054578F"/>
    <w:rsid w:val="005C51B2"/>
    <w:rsid w:val="005C6768"/>
    <w:rsid w:val="005E4871"/>
    <w:rsid w:val="00601C8A"/>
    <w:rsid w:val="00605ADE"/>
    <w:rsid w:val="00617AA2"/>
    <w:rsid w:val="006257E5"/>
    <w:rsid w:val="00627C28"/>
    <w:rsid w:val="00634C25"/>
    <w:rsid w:val="0063542E"/>
    <w:rsid w:val="00637469"/>
    <w:rsid w:val="006416AB"/>
    <w:rsid w:val="0065373D"/>
    <w:rsid w:val="00656B3F"/>
    <w:rsid w:val="00660445"/>
    <w:rsid w:val="00664F73"/>
    <w:rsid w:val="00666974"/>
    <w:rsid w:val="006768E9"/>
    <w:rsid w:val="00687982"/>
    <w:rsid w:val="006A3EEC"/>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9E6BC9"/>
    <w:rsid w:val="00A049C6"/>
    <w:rsid w:val="00A14DB9"/>
    <w:rsid w:val="00A4762A"/>
    <w:rsid w:val="00A64690"/>
    <w:rsid w:val="00A74A7E"/>
    <w:rsid w:val="00A85E24"/>
    <w:rsid w:val="00AA43F9"/>
    <w:rsid w:val="00AB6C57"/>
    <w:rsid w:val="00AC12DC"/>
    <w:rsid w:val="00AD1B8A"/>
    <w:rsid w:val="00AD56A7"/>
    <w:rsid w:val="00AE713F"/>
    <w:rsid w:val="00AF2305"/>
    <w:rsid w:val="00AF2821"/>
    <w:rsid w:val="00AF4494"/>
    <w:rsid w:val="00B1121C"/>
    <w:rsid w:val="00B25B65"/>
    <w:rsid w:val="00B2770A"/>
    <w:rsid w:val="00B314AD"/>
    <w:rsid w:val="00B51963"/>
    <w:rsid w:val="00B57BD3"/>
    <w:rsid w:val="00B718B0"/>
    <w:rsid w:val="00B75BF6"/>
    <w:rsid w:val="00B7735A"/>
    <w:rsid w:val="00B91DE7"/>
    <w:rsid w:val="00BA1F7B"/>
    <w:rsid w:val="00BB58AF"/>
    <w:rsid w:val="00BE6617"/>
    <w:rsid w:val="00BE7C30"/>
    <w:rsid w:val="00C055BF"/>
    <w:rsid w:val="00C2226A"/>
    <w:rsid w:val="00C23746"/>
    <w:rsid w:val="00C709E6"/>
    <w:rsid w:val="00C94D92"/>
    <w:rsid w:val="00C97340"/>
    <w:rsid w:val="00CA513F"/>
    <w:rsid w:val="00CB3AA6"/>
    <w:rsid w:val="00CE2BC6"/>
    <w:rsid w:val="00CF05FF"/>
    <w:rsid w:val="00D257FB"/>
    <w:rsid w:val="00D340BB"/>
    <w:rsid w:val="00D34708"/>
    <w:rsid w:val="00D505D5"/>
    <w:rsid w:val="00D613A2"/>
    <w:rsid w:val="00D641A3"/>
    <w:rsid w:val="00D6781A"/>
    <w:rsid w:val="00D75B35"/>
    <w:rsid w:val="00D76E09"/>
    <w:rsid w:val="00D9736F"/>
    <w:rsid w:val="00D9792A"/>
    <w:rsid w:val="00DD0CD5"/>
    <w:rsid w:val="00DD1101"/>
    <w:rsid w:val="00DD377F"/>
    <w:rsid w:val="00DD50CE"/>
    <w:rsid w:val="00DD7C13"/>
    <w:rsid w:val="00DD7C38"/>
    <w:rsid w:val="00E219DD"/>
    <w:rsid w:val="00E25547"/>
    <w:rsid w:val="00E3287E"/>
    <w:rsid w:val="00E54D12"/>
    <w:rsid w:val="00E66197"/>
    <w:rsid w:val="00E729FC"/>
    <w:rsid w:val="00E800FC"/>
    <w:rsid w:val="00EA63FD"/>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D7C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9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D7C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4.png"/><Relationship Id="rId42" Type="http://schemas.openxmlformats.org/officeDocument/2006/relationships/image" Target="media/image7.png"/><Relationship Id="rId47" Type="http://schemas.openxmlformats.org/officeDocument/2006/relationships/header" Target="header20.xml"/><Relationship Id="rId50"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header" Target="header14.xml"/><Relationship Id="rId38" Type="http://schemas.openxmlformats.org/officeDocument/2006/relationships/footer" Target="footer9.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image" Target="media/image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footer" Target="footer8.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header" Target="header15.xml"/><Relationship Id="rId49" Type="http://schemas.openxmlformats.org/officeDocument/2006/relationships/header" Target="header2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18.xml"/><Relationship Id="rId52"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5.png"/><Relationship Id="rId43" Type="http://schemas.openxmlformats.org/officeDocument/2006/relationships/image" Target="media/image8.png"/><Relationship Id="rId48"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7692-E8FD-4D74-8E02-63E43537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5268</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35230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30</cp:revision>
  <cp:lastPrinted>2020-06-04T03:06:00Z</cp:lastPrinted>
  <dcterms:created xsi:type="dcterms:W3CDTF">2020-05-01T02:35:00Z</dcterms:created>
  <dcterms:modified xsi:type="dcterms:W3CDTF">2020-06-04T04:46:00Z</dcterms:modified>
</cp:coreProperties>
</file>