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0B553CA4" wp14:editId="6004130D">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9">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rsidR="009B0F4A" w:rsidRPr="00F447A7" w:rsidRDefault="009B0F4A" w:rsidP="009B0F4A">
      <w:pPr>
        <w:spacing w:after="0" w:line="240" w:lineRule="auto"/>
        <w:jc w:val="center"/>
        <w:rPr>
          <w:rFonts w:ascii="Times New Roman" w:hAnsi="Times New Roman"/>
          <w:noProof/>
          <w:sz w:val="20"/>
          <w:szCs w:val="20"/>
          <w:lang w:bidi="ar-SA"/>
        </w:rPr>
      </w:pPr>
    </w:p>
    <w:p w:rsidR="009858F0" w:rsidRPr="002615CE" w:rsidRDefault="009858F0" w:rsidP="009858F0">
      <w:pPr>
        <w:spacing w:after="0"/>
        <w:jc w:val="center"/>
        <w:outlineLvl w:val="0"/>
        <w:rPr>
          <w:rFonts w:ascii="Times New Roman" w:hAnsi="Times New Roman"/>
          <w:sz w:val="28"/>
        </w:rPr>
      </w:pPr>
      <w:bookmarkStart w:id="0" w:name="_Hlk37311480"/>
      <w:r w:rsidRPr="002615CE">
        <w:rPr>
          <w:rFonts w:ascii="Times New Roman" w:hAnsi="Times New Roman"/>
          <w:sz w:val="28"/>
        </w:rPr>
        <w:t>OPTIMIZATION OF MONTMORILLONITE K10 ION-EXCHANGE WITH Fe</w:t>
      </w:r>
      <w:r w:rsidRPr="002615CE">
        <w:rPr>
          <w:rFonts w:ascii="Times New Roman" w:hAnsi="Times New Roman"/>
          <w:sz w:val="28"/>
          <w:vertAlign w:val="superscript"/>
        </w:rPr>
        <w:t>3+</w:t>
      </w:r>
      <w:r w:rsidRPr="002615CE">
        <w:rPr>
          <w:rFonts w:ascii="Times New Roman" w:hAnsi="Times New Roman"/>
          <w:sz w:val="28"/>
        </w:rPr>
        <w:t xml:space="preserve"> FOR THE APPLICATION OF BIODIESEL PRODUCTION</w:t>
      </w:r>
    </w:p>
    <w:bookmarkEnd w:id="0"/>
    <w:p w:rsidR="009858F0" w:rsidRPr="002615CE" w:rsidRDefault="009858F0" w:rsidP="009858F0">
      <w:pPr>
        <w:spacing w:after="0"/>
        <w:jc w:val="center"/>
        <w:outlineLvl w:val="0"/>
        <w:rPr>
          <w:rFonts w:ascii="Times New Roman" w:hAnsi="Times New Roman"/>
          <w:b/>
          <w:sz w:val="24"/>
        </w:rPr>
      </w:pPr>
    </w:p>
    <w:p w:rsidR="009858F0" w:rsidRPr="009858F0" w:rsidRDefault="009858F0" w:rsidP="009858F0">
      <w:pPr>
        <w:spacing w:after="0"/>
        <w:jc w:val="center"/>
        <w:outlineLvl w:val="0"/>
        <w:rPr>
          <w:rFonts w:ascii="Times New Roman" w:hAnsi="Times New Roman"/>
          <w:noProof/>
          <w:sz w:val="24"/>
          <w:lang w:val="ms-MY"/>
        </w:rPr>
      </w:pPr>
      <w:r w:rsidRPr="002615CE">
        <w:rPr>
          <w:rFonts w:ascii="Times New Roman" w:hAnsi="Times New Roman"/>
          <w:sz w:val="24"/>
        </w:rPr>
        <w:t>(</w:t>
      </w:r>
      <w:r w:rsidRPr="002615CE">
        <w:rPr>
          <w:rFonts w:ascii="Times New Roman" w:hAnsi="Times New Roman"/>
          <w:noProof/>
          <w:sz w:val="24"/>
          <w:lang w:val="ms-MY"/>
        </w:rPr>
        <w:t>Pengoptimuman Pertukaran Ion Montmorilonit K10 dengan Fe</w:t>
      </w:r>
      <w:r w:rsidRPr="002615CE">
        <w:rPr>
          <w:rFonts w:ascii="Times New Roman" w:hAnsi="Times New Roman"/>
          <w:noProof/>
          <w:sz w:val="24"/>
          <w:vertAlign w:val="superscript"/>
          <w:lang w:val="ms-MY"/>
        </w:rPr>
        <w:t>3+</w:t>
      </w:r>
      <w:r>
        <w:rPr>
          <w:rFonts w:ascii="Times New Roman" w:hAnsi="Times New Roman"/>
          <w:noProof/>
          <w:sz w:val="24"/>
          <w:lang w:val="ms-MY"/>
        </w:rPr>
        <w:t xml:space="preserve"> </w:t>
      </w:r>
      <w:r w:rsidRPr="002615CE">
        <w:rPr>
          <w:rFonts w:ascii="Times New Roman" w:hAnsi="Times New Roman"/>
          <w:noProof/>
          <w:sz w:val="24"/>
          <w:lang w:val="ms-MY"/>
        </w:rPr>
        <w:t>untuk Aplikasi Penghasilan Biodiesel</w:t>
      </w:r>
      <w:r w:rsidRPr="002615CE">
        <w:rPr>
          <w:rFonts w:ascii="Times New Roman" w:hAnsi="Times New Roman"/>
          <w:sz w:val="24"/>
        </w:rPr>
        <w:t>)</w:t>
      </w:r>
    </w:p>
    <w:p w:rsidR="009858F0" w:rsidRPr="009858F0" w:rsidRDefault="009858F0" w:rsidP="009858F0">
      <w:pPr>
        <w:spacing w:after="0"/>
        <w:jc w:val="center"/>
        <w:outlineLvl w:val="0"/>
        <w:rPr>
          <w:rFonts w:ascii="Times New Roman" w:hAnsi="Times New Roman"/>
          <w:b/>
          <w:sz w:val="20"/>
          <w:szCs w:val="20"/>
        </w:rPr>
      </w:pPr>
    </w:p>
    <w:p w:rsidR="009858F0" w:rsidRPr="009858F0" w:rsidRDefault="009858F0" w:rsidP="009858F0">
      <w:pPr>
        <w:spacing w:after="0"/>
        <w:jc w:val="center"/>
        <w:outlineLvl w:val="0"/>
        <w:rPr>
          <w:rFonts w:ascii="Times New Roman" w:hAnsi="Times New Roman"/>
          <w:noProof/>
          <w:sz w:val="20"/>
          <w:szCs w:val="20"/>
          <w:vertAlign w:val="superscript"/>
        </w:rPr>
      </w:pPr>
      <w:bookmarkStart w:id="1" w:name="_Hlk37311459"/>
      <w:r w:rsidRPr="009858F0">
        <w:rPr>
          <w:rFonts w:ascii="Times New Roman" w:hAnsi="Times New Roman"/>
          <w:noProof/>
          <w:sz w:val="20"/>
          <w:szCs w:val="20"/>
        </w:rPr>
        <w:t>Syahirah Yahya</w:t>
      </w:r>
      <w:r w:rsidRPr="009858F0">
        <w:rPr>
          <w:rFonts w:ascii="Times New Roman" w:hAnsi="Times New Roman"/>
          <w:noProof/>
          <w:sz w:val="20"/>
          <w:szCs w:val="20"/>
          <w:vertAlign w:val="superscript"/>
        </w:rPr>
        <w:t>1</w:t>
      </w:r>
      <w:r w:rsidRPr="009858F0">
        <w:rPr>
          <w:rFonts w:ascii="Times New Roman" w:hAnsi="Times New Roman"/>
          <w:noProof/>
          <w:sz w:val="20"/>
          <w:szCs w:val="20"/>
        </w:rPr>
        <w:t xml:space="preserve"> and Farah Wahida Harun</w:t>
      </w:r>
      <w:r w:rsidRPr="009858F0">
        <w:rPr>
          <w:rFonts w:ascii="Times New Roman" w:hAnsi="Times New Roman"/>
          <w:noProof/>
          <w:sz w:val="20"/>
          <w:szCs w:val="20"/>
          <w:vertAlign w:val="superscript"/>
        </w:rPr>
        <w:t>2, 3</w:t>
      </w:r>
      <w:r w:rsidRPr="009858F0">
        <w:rPr>
          <w:rFonts w:ascii="Times New Roman" w:hAnsi="Times New Roman"/>
          <w:noProof/>
          <w:sz w:val="20"/>
          <w:szCs w:val="20"/>
        </w:rPr>
        <w:t>*</w:t>
      </w:r>
      <w:bookmarkEnd w:id="1"/>
    </w:p>
    <w:p w:rsidR="009858F0" w:rsidRPr="002615CE" w:rsidRDefault="009858F0" w:rsidP="009858F0">
      <w:pPr>
        <w:spacing w:after="0"/>
        <w:jc w:val="center"/>
        <w:outlineLvl w:val="0"/>
        <w:rPr>
          <w:rFonts w:ascii="Times New Roman" w:hAnsi="Times New Roman"/>
          <w:b/>
          <w:noProof/>
          <w:sz w:val="18"/>
          <w:szCs w:val="18"/>
        </w:rPr>
      </w:pPr>
    </w:p>
    <w:p w:rsidR="009858F0" w:rsidRDefault="009858F0" w:rsidP="009858F0">
      <w:pPr>
        <w:spacing w:after="0"/>
        <w:jc w:val="center"/>
        <w:outlineLvl w:val="0"/>
        <w:rPr>
          <w:rFonts w:ascii="Times New Roman" w:hAnsi="Times New Roman"/>
          <w:i/>
          <w:noProof/>
          <w:sz w:val="18"/>
          <w:szCs w:val="18"/>
        </w:rPr>
      </w:pPr>
      <w:r w:rsidRPr="002615CE">
        <w:rPr>
          <w:rFonts w:ascii="Times New Roman" w:hAnsi="Times New Roman"/>
          <w:i/>
          <w:noProof/>
          <w:sz w:val="18"/>
          <w:szCs w:val="18"/>
          <w:vertAlign w:val="superscript"/>
        </w:rPr>
        <w:t>1</w:t>
      </w:r>
      <w:r w:rsidRPr="002615CE">
        <w:rPr>
          <w:rFonts w:ascii="Times New Roman" w:hAnsi="Times New Roman"/>
          <w:i/>
          <w:noProof/>
          <w:sz w:val="18"/>
          <w:szCs w:val="18"/>
        </w:rPr>
        <w:t>Department of Chemistry and Food Technology,</w:t>
      </w:r>
    </w:p>
    <w:p w:rsidR="009858F0" w:rsidRDefault="009858F0" w:rsidP="009858F0">
      <w:pPr>
        <w:spacing w:after="0"/>
        <w:jc w:val="center"/>
        <w:outlineLvl w:val="0"/>
        <w:rPr>
          <w:rFonts w:ascii="Times New Roman" w:hAnsi="Times New Roman"/>
          <w:i/>
          <w:noProof/>
          <w:sz w:val="18"/>
          <w:szCs w:val="18"/>
        </w:rPr>
      </w:pPr>
      <w:r w:rsidRPr="002615CE">
        <w:rPr>
          <w:rFonts w:ascii="Times New Roman" w:hAnsi="Times New Roman"/>
          <w:i/>
          <w:noProof/>
          <w:sz w:val="18"/>
          <w:szCs w:val="18"/>
        </w:rPr>
        <w:t>Politeknik Tun Syed Nasir Syed Ismail,</w:t>
      </w:r>
    </w:p>
    <w:p w:rsidR="009858F0" w:rsidRPr="002615CE" w:rsidRDefault="009858F0" w:rsidP="009858F0">
      <w:pPr>
        <w:spacing w:after="0"/>
        <w:jc w:val="center"/>
        <w:outlineLvl w:val="0"/>
        <w:rPr>
          <w:rFonts w:ascii="Times New Roman" w:hAnsi="Times New Roman"/>
          <w:i/>
          <w:noProof/>
          <w:sz w:val="18"/>
          <w:szCs w:val="18"/>
          <w:vertAlign w:val="superscript"/>
        </w:rPr>
      </w:pPr>
      <w:r w:rsidRPr="002615CE">
        <w:rPr>
          <w:rFonts w:ascii="Times New Roman" w:hAnsi="Times New Roman"/>
          <w:i/>
          <w:noProof/>
          <w:sz w:val="18"/>
          <w:szCs w:val="18"/>
        </w:rPr>
        <w:t>Hab Pendidikan Tinggi Pagoh, KM1 Jalan Panchor, 84600 Pagoh, Johor, Malaysia</w:t>
      </w:r>
    </w:p>
    <w:p w:rsidR="009858F0" w:rsidRPr="002615CE" w:rsidRDefault="009858F0" w:rsidP="009858F0">
      <w:pPr>
        <w:spacing w:after="0"/>
        <w:jc w:val="center"/>
        <w:outlineLvl w:val="0"/>
        <w:rPr>
          <w:rFonts w:ascii="Times New Roman" w:hAnsi="Times New Roman"/>
          <w:i/>
          <w:noProof/>
          <w:sz w:val="18"/>
          <w:szCs w:val="18"/>
        </w:rPr>
      </w:pPr>
      <w:r w:rsidRPr="002615CE">
        <w:rPr>
          <w:rFonts w:ascii="Times New Roman" w:hAnsi="Times New Roman"/>
          <w:i/>
          <w:noProof/>
          <w:sz w:val="18"/>
          <w:szCs w:val="18"/>
          <w:vertAlign w:val="superscript"/>
        </w:rPr>
        <w:t>2</w:t>
      </w:r>
      <w:r w:rsidRPr="002615CE">
        <w:rPr>
          <w:rFonts w:ascii="Times New Roman" w:hAnsi="Times New Roman"/>
          <w:i/>
          <w:noProof/>
          <w:sz w:val="18"/>
          <w:szCs w:val="18"/>
        </w:rPr>
        <w:t>Faculty of Science and Technology</w:t>
      </w:r>
    </w:p>
    <w:p w:rsidR="009858F0" w:rsidRDefault="009858F0" w:rsidP="009858F0">
      <w:pPr>
        <w:spacing w:after="0"/>
        <w:jc w:val="center"/>
        <w:outlineLvl w:val="0"/>
        <w:rPr>
          <w:rFonts w:ascii="Times New Roman" w:hAnsi="Times New Roman"/>
          <w:i/>
          <w:noProof/>
          <w:sz w:val="18"/>
          <w:szCs w:val="18"/>
        </w:rPr>
      </w:pPr>
      <w:r>
        <w:rPr>
          <w:rFonts w:ascii="Times New Roman" w:hAnsi="Times New Roman"/>
          <w:i/>
          <w:noProof/>
          <w:sz w:val="18"/>
          <w:szCs w:val="18"/>
          <w:vertAlign w:val="superscript"/>
        </w:rPr>
        <w:t>3</w:t>
      </w:r>
      <w:r w:rsidRPr="002615CE">
        <w:rPr>
          <w:rFonts w:ascii="Times New Roman" w:hAnsi="Times New Roman"/>
          <w:i/>
          <w:noProof/>
          <w:sz w:val="18"/>
          <w:szCs w:val="18"/>
        </w:rPr>
        <w:t>Fr</w:t>
      </w:r>
      <w:r>
        <w:rPr>
          <w:rFonts w:ascii="Times New Roman" w:hAnsi="Times New Roman"/>
          <w:i/>
          <w:noProof/>
          <w:sz w:val="18"/>
          <w:szCs w:val="18"/>
        </w:rPr>
        <w:t>ontier Materials Research Group</w:t>
      </w:r>
    </w:p>
    <w:p w:rsidR="009858F0" w:rsidRPr="009858F0" w:rsidRDefault="009858F0" w:rsidP="009858F0">
      <w:pPr>
        <w:spacing w:after="0"/>
        <w:jc w:val="center"/>
        <w:outlineLvl w:val="0"/>
        <w:rPr>
          <w:rFonts w:ascii="Times New Roman" w:hAnsi="Times New Roman"/>
          <w:i/>
          <w:noProof/>
          <w:sz w:val="18"/>
          <w:szCs w:val="18"/>
        </w:rPr>
      </w:pPr>
      <w:r w:rsidRPr="002615CE">
        <w:rPr>
          <w:rFonts w:ascii="Times New Roman" w:hAnsi="Times New Roman"/>
          <w:i/>
          <w:noProof/>
          <w:sz w:val="18"/>
          <w:szCs w:val="18"/>
        </w:rPr>
        <w:t>Universiti Sains Islam Malaysia,</w:t>
      </w:r>
      <w:r>
        <w:rPr>
          <w:rFonts w:ascii="Times New Roman" w:hAnsi="Times New Roman"/>
          <w:i/>
          <w:noProof/>
          <w:sz w:val="18"/>
          <w:szCs w:val="18"/>
        </w:rPr>
        <w:t xml:space="preserve"> </w:t>
      </w:r>
      <w:r w:rsidRPr="002615CE">
        <w:rPr>
          <w:rFonts w:ascii="Times New Roman" w:hAnsi="Times New Roman"/>
          <w:i/>
          <w:noProof/>
          <w:sz w:val="18"/>
          <w:szCs w:val="18"/>
        </w:rPr>
        <w:t>Bandar Baru Nilai, 71800 Nilai, Negeri Sembilan, Malaysia</w:t>
      </w:r>
    </w:p>
    <w:p w:rsidR="009858F0" w:rsidRPr="002615CE" w:rsidRDefault="009858F0" w:rsidP="009858F0">
      <w:pPr>
        <w:spacing w:after="0"/>
        <w:jc w:val="center"/>
        <w:outlineLvl w:val="0"/>
        <w:rPr>
          <w:rFonts w:ascii="Times New Roman" w:hAnsi="Times New Roman"/>
          <w:b/>
          <w:sz w:val="18"/>
          <w:szCs w:val="18"/>
        </w:rPr>
      </w:pPr>
    </w:p>
    <w:p w:rsidR="009858F0" w:rsidRPr="002615CE" w:rsidRDefault="009858F0" w:rsidP="009858F0">
      <w:pPr>
        <w:spacing w:after="0"/>
        <w:jc w:val="center"/>
        <w:outlineLvl w:val="0"/>
        <w:rPr>
          <w:rFonts w:ascii="Times New Roman" w:hAnsi="Times New Roman"/>
          <w:i/>
          <w:sz w:val="18"/>
        </w:rPr>
      </w:pPr>
      <w:r w:rsidRPr="009858F0">
        <w:rPr>
          <w:rFonts w:ascii="Times New Roman" w:hAnsi="Times New Roman"/>
          <w:i/>
          <w:sz w:val="18"/>
        </w:rPr>
        <w:t>*</w:t>
      </w:r>
      <w:r w:rsidRPr="002615CE">
        <w:rPr>
          <w:rFonts w:ascii="Times New Roman" w:hAnsi="Times New Roman"/>
          <w:i/>
          <w:sz w:val="18"/>
        </w:rPr>
        <w:t xml:space="preserve">Corresponding author: </w:t>
      </w:r>
      <w:r>
        <w:rPr>
          <w:rFonts w:ascii="Times New Roman" w:hAnsi="Times New Roman"/>
          <w:i/>
          <w:sz w:val="18"/>
        </w:rPr>
        <w:t xml:space="preserve"> </w:t>
      </w:r>
      <w:r w:rsidRPr="002615CE">
        <w:rPr>
          <w:rFonts w:ascii="Times New Roman" w:hAnsi="Times New Roman"/>
          <w:i/>
          <w:sz w:val="18"/>
        </w:rPr>
        <w:t>farahw@usim.edu.my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E069B">
        <w:rPr>
          <w:rFonts w:ascii="Times New Roman" w:hAnsi="Times New Roman"/>
          <w:noProof/>
          <w:sz w:val="18"/>
          <w:szCs w:val="18"/>
          <w:lang w:bidi="ar-SA"/>
        </w:rPr>
        <w:t>20 November 2019</w:t>
      </w:r>
      <w:r>
        <w:rPr>
          <w:rFonts w:ascii="Times New Roman" w:hAnsi="Times New Roman"/>
          <w:noProof/>
          <w:sz w:val="18"/>
          <w:szCs w:val="18"/>
          <w:lang w:bidi="ar-SA"/>
        </w:rPr>
        <w:t xml:space="preserve">; Accepted: </w:t>
      </w:r>
      <w:r w:rsidR="000E069B">
        <w:rPr>
          <w:rFonts w:ascii="Times New Roman" w:hAnsi="Times New Roman"/>
          <w:noProof/>
          <w:sz w:val="18"/>
          <w:szCs w:val="18"/>
          <w:lang w:bidi="ar-SA"/>
        </w:rPr>
        <w:t>17 April 2020</w:t>
      </w:r>
      <w:r w:rsidR="00F82059">
        <w:rPr>
          <w:rFonts w:ascii="Times New Roman" w:hAnsi="Times New Roman"/>
          <w:noProof/>
          <w:sz w:val="18"/>
          <w:szCs w:val="18"/>
          <w:lang w:bidi="ar-SA"/>
        </w:rPr>
        <w:t xml:space="preserve">; Published: </w:t>
      </w:r>
      <w:r w:rsidR="000E069B">
        <w:rPr>
          <w:rFonts w:ascii="Times New Roman" w:hAnsi="Times New Roman"/>
          <w:noProof/>
          <w:sz w:val="18"/>
          <w:szCs w:val="18"/>
          <w:lang w:bidi="ar-SA"/>
        </w:rPr>
        <w:t>June 2020</w:t>
      </w:r>
      <w:r w:rsidR="00F82059">
        <w:rPr>
          <w:rFonts w:ascii="Times New Roman" w:hAnsi="Times New Roman"/>
          <w:noProof/>
          <w:sz w:val="18"/>
          <w:szCs w:val="18"/>
          <w:lang w:bidi="ar-SA"/>
        </w:rPr>
        <w:t xml:space="preserve"> </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9858F0">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9858F0" w:rsidRPr="002615CE" w:rsidRDefault="009858F0" w:rsidP="009858F0">
      <w:pPr>
        <w:spacing w:after="0"/>
        <w:jc w:val="both"/>
        <w:outlineLvl w:val="0"/>
        <w:rPr>
          <w:rFonts w:ascii="Times New Roman" w:hAnsi="Times New Roman"/>
          <w:b/>
          <w:sz w:val="18"/>
          <w:szCs w:val="18"/>
        </w:rPr>
      </w:pPr>
      <w:r w:rsidRPr="002615CE">
        <w:rPr>
          <w:rFonts w:ascii="Times New Roman" w:hAnsi="Times New Roman"/>
          <w:sz w:val="18"/>
          <w:szCs w:val="18"/>
        </w:rPr>
        <w:t>The modification of montmorillonite K10 with Fe</w:t>
      </w:r>
      <w:r w:rsidRPr="002615CE">
        <w:rPr>
          <w:rFonts w:ascii="Times New Roman" w:hAnsi="Times New Roman"/>
          <w:sz w:val="18"/>
          <w:szCs w:val="18"/>
          <w:vertAlign w:val="superscript"/>
        </w:rPr>
        <w:t>3+</w:t>
      </w:r>
      <w:r w:rsidRPr="002615CE">
        <w:rPr>
          <w:rFonts w:ascii="Times New Roman" w:hAnsi="Times New Roman"/>
          <w:sz w:val="18"/>
          <w:szCs w:val="18"/>
        </w:rPr>
        <w:t xml:space="preserve"> was investigated to study the optimum ion-exchange occurred in the interlayers of clays. Montmorillonite K10 was modified to be applied as a catalyst in biodiesel production from waste cooking oil (WCO). Three methods to optimize the ion-exchange process were investigated. For method 1 and method 2, respective 14% and 27% by mass of Fe in montmorillonite K10 were stirred in a closed cap system for 7 hours while method 3 applied 20% of Fe stirred with montmorillonite K10 for 24 hours until it became mold and slurry. The ability of ion-exchange was tested using SEM/EDX. It was found that 1.21% Fe composition increased by using method 1 while 2.66% Fe increased using method 2. The highest Fe exchange was detected using method 3 with 5.23% increment. For more accurate result, 20% Fe-MMT K10 from method 3 was characterized using XRF and it was found that the ion exchange occurred with interchangeable Ca</w:t>
      </w:r>
      <w:r w:rsidRPr="002615CE">
        <w:rPr>
          <w:rFonts w:ascii="Times New Roman" w:hAnsi="Times New Roman"/>
          <w:sz w:val="18"/>
          <w:szCs w:val="18"/>
          <w:vertAlign w:val="superscript"/>
        </w:rPr>
        <w:t>2+</w:t>
      </w:r>
      <w:r w:rsidRPr="002615CE">
        <w:rPr>
          <w:rFonts w:ascii="Times New Roman" w:hAnsi="Times New Roman"/>
          <w:sz w:val="18"/>
          <w:szCs w:val="18"/>
        </w:rPr>
        <w:t>. In correlation, the effect of Fe increment on acidity was studied by using TPD-NH</w:t>
      </w:r>
      <w:r w:rsidRPr="002615CE">
        <w:rPr>
          <w:rFonts w:ascii="Times New Roman" w:hAnsi="Times New Roman"/>
          <w:sz w:val="18"/>
          <w:szCs w:val="18"/>
          <w:vertAlign w:val="subscript"/>
        </w:rPr>
        <w:t>3</w:t>
      </w:r>
      <w:r w:rsidRPr="002615CE">
        <w:rPr>
          <w:rFonts w:ascii="Times New Roman" w:hAnsi="Times New Roman"/>
          <w:sz w:val="18"/>
          <w:szCs w:val="18"/>
        </w:rPr>
        <w:t>. Naturally, montmorillonite K10 possessed 0.232 mmol/g of acidity. The results found that the highest acidity was detected for 20% Fe-MMT K10 (14.261 mmol/g). The application of montmorillonite K10 on biodiesel production increased the yield up to 38.39% compared to the reaction without catalyst (26.80%). With the aid of modified montmorillonite K10, 66.54% and 69.32% biodiesel were produced using catalyst from method 1 and 2 respectively. Amazingly, an outstanding yield was produced by using catalyst from method 3 (84.58%). Therefore, 20% Fe-MMT K10 catalyst was selected for further biodiesel optimization via conventional method. It was found that 96.49% biodiesel was successfully produced with 28.65% acid conversion at 150 °C, 6 h, 12:1 methanol:</w:t>
      </w:r>
      <w:r>
        <w:rPr>
          <w:rFonts w:ascii="Times New Roman" w:hAnsi="Times New Roman"/>
          <w:sz w:val="18"/>
          <w:szCs w:val="18"/>
        </w:rPr>
        <w:t xml:space="preserve"> </w:t>
      </w:r>
      <w:r w:rsidRPr="002615CE">
        <w:rPr>
          <w:rFonts w:ascii="Times New Roman" w:hAnsi="Times New Roman"/>
          <w:sz w:val="18"/>
          <w:szCs w:val="18"/>
        </w:rPr>
        <w:t xml:space="preserve">oil and 4 wt.% mass of catalyst. The investigations on acid conversion and biodiesel yield proved that the modification of montmorillonite K10 with 20% Fe is the optimum and the catalyst can undergo both esterification and transesterification reactions simultaneously to produce optimum biodiesel yield. </w:t>
      </w:r>
    </w:p>
    <w:p w:rsidR="009858F0" w:rsidRPr="002615CE" w:rsidRDefault="009858F0" w:rsidP="009858F0">
      <w:pPr>
        <w:spacing w:after="0"/>
        <w:jc w:val="both"/>
        <w:outlineLvl w:val="0"/>
        <w:rPr>
          <w:rFonts w:ascii="Times New Roman" w:hAnsi="Times New Roman"/>
          <w:sz w:val="18"/>
          <w:szCs w:val="18"/>
        </w:rPr>
      </w:pPr>
    </w:p>
    <w:p w:rsidR="009858F0" w:rsidRPr="002615CE" w:rsidRDefault="009858F0" w:rsidP="009858F0">
      <w:pPr>
        <w:spacing w:after="0"/>
        <w:ind w:left="990" w:hanging="990"/>
        <w:jc w:val="both"/>
        <w:outlineLvl w:val="0"/>
        <w:rPr>
          <w:rFonts w:ascii="Times New Roman" w:hAnsi="Times New Roman"/>
        </w:rPr>
      </w:pPr>
      <w:r w:rsidRPr="002615CE">
        <w:rPr>
          <w:rFonts w:ascii="Times New Roman" w:hAnsi="Times New Roman"/>
          <w:b/>
          <w:sz w:val="18"/>
          <w:szCs w:val="18"/>
        </w:rPr>
        <w:t>Keywords</w:t>
      </w:r>
      <w:r w:rsidRPr="002615CE">
        <w:rPr>
          <w:rFonts w:ascii="Times New Roman" w:hAnsi="Times New Roman"/>
          <w:b/>
          <w:bCs/>
          <w:sz w:val="18"/>
          <w:szCs w:val="18"/>
        </w:rPr>
        <w:t>:</w:t>
      </w:r>
      <w:r w:rsidRPr="002615CE">
        <w:rPr>
          <w:rFonts w:ascii="Times New Roman" w:hAnsi="Times New Roman"/>
          <w:sz w:val="18"/>
          <w:szCs w:val="18"/>
        </w:rPr>
        <w:t xml:space="preserve"> </w:t>
      </w:r>
      <w:r>
        <w:rPr>
          <w:rFonts w:ascii="Times New Roman" w:hAnsi="Times New Roman"/>
          <w:sz w:val="18"/>
          <w:szCs w:val="18"/>
        </w:rPr>
        <w:tab/>
      </w:r>
      <w:r w:rsidRPr="002615CE">
        <w:rPr>
          <w:rFonts w:ascii="Times New Roman" w:hAnsi="Times New Roman"/>
          <w:sz w:val="18"/>
          <w:szCs w:val="18"/>
        </w:rPr>
        <w:t>Montmorillonite K10, Fe</w:t>
      </w:r>
      <w:r w:rsidRPr="002615CE">
        <w:rPr>
          <w:rFonts w:ascii="Times New Roman" w:hAnsi="Times New Roman"/>
          <w:sz w:val="18"/>
          <w:szCs w:val="18"/>
          <w:vertAlign w:val="superscript"/>
        </w:rPr>
        <w:t xml:space="preserve">3+ </w:t>
      </w:r>
      <w:r>
        <w:rPr>
          <w:rFonts w:ascii="Times New Roman" w:hAnsi="Times New Roman"/>
          <w:sz w:val="18"/>
          <w:szCs w:val="18"/>
        </w:rPr>
        <w:t>i</w:t>
      </w:r>
      <w:r w:rsidRPr="002615CE">
        <w:rPr>
          <w:rFonts w:ascii="Times New Roman" w:hAnsi="Times New Roman"/>
          <w:sz w:val="18"/>
          <w:szCs w:val="18"/>
        </w:rPr>
        <w:t>on-</w:t>
      </w:r>
      <w:r>
        <w:rPr>
          <w:rFonts w:ascii="Times New Roman" w:hAnsi="Times New Roman"/>
          <w:sz w:val="18"/>
          <w:szCs w:val="18"/>
        </w:rPr>
        <w:t>e</w:t>
      </w:r>
      <w:r w:rsidRPr="002615CE">
        <w:rPr>
          <w:rFonts w:ascii="Times New Roman" w:hAnsi="Times New Roman"/>
          <w:sz w:val="18"/>
          <w:szCs w:val="18"/>
        </w:rPr>
        <w:t>xchange, simultaneous esterification-transesterification, biodiesel, waste cooking oil</w:t>
      </w:r>
    </w:p>
    <w:p w:rsidR="009858F0" w:rsidRDefault="009858F0" w:rsidP="009858F0">
      <w:pPr>
        <w:spacing w:after="0"/>
        <w:jc w:val="center"/>
        <w:outlineLvl w:val="0"/>
        <w:rPr>
          <w:rFonts w:ascii="Times New Roman" w:hAnsi="Times New Roman"/>
          <w:b/>
          <w:sz w:val="18"/>
          <w:szCs w:val="18"/>
        </w:rPr>
      </w:pPr>
    </w:p>
    <w:p w:rsidR="00177EFA" w:rsidRDefault="00177EFA" w:rsidP="009858F0">
      <w:pPr>
        <w:spacing w:after="0"/>
        <w:jc w:val="center"/>
        <w:outlineLvl w:val="0"/>
        <w:rPr>
          <w:rFonts w:ascii="Times New Roman" w:hAnsi="Times New Roman"/>
          <w:b/>
          <w:sz w:val="18"/>
          <w:szCs w:val="18"/>
        </w:rPr>
        <w:sectPr w:rsidR="00177EFA" w:rsidSect="008F0CF0">
          <w:headerReference w:type="even" r:id="rId10"/>
          <w:headerReference w:type="default" r:id="rId11"/>
          <w:footerReference w:type="even" r:id="rId12"/>
          <w:footerReference w:type="default" r:id="rId13"/>
          <w:headerReference w:type="first" r:id="rId14"/>
          <w:footerReference w:type="first" r:id="rId15"/>
          <w:pgSz w:w="12240" w:h="15840" w:code="1"/>
          <w:pgMar w:top="1800" w:right="1469" w:bottom="1699" w:left="1440" w:header="706" w:footer="706" w:gutter="0"/>
          <w:pgNumType w:start="389"/>
          <w:cols w:space="708"/>
          <w:docGrid w:linePitch="360"/>
        </w:sectPr>
      </w:pPr>
    </w:p>
    <w:p w:rsidR="009858F0" w:rsidRPr="002615CE" w:rsidRDefault="009858F0" w:rsidP="009858F0">
      <w:pPr>
        <w:spacing w:after="0"/>
        <w:jc w:val="center"/>
        <w:outlineLvl w:val="0"/>
        <w:rPr>
          <w:rFonts w:ascii="Times New Roman" w:hAnsi="Times New Roman"/>
          <w:b/>
          <w:sz w:val="18"/>
          <w:szCs w:val="18"/>
        </w:rPr>
      </w:pPr>
    </w:p>
    <w:p w:rsidR="009858F0" w:rsidRPr="002615CE" w:rsidRDefault="009858F0" w:rsidP="009858F0">
      <w:pPr>
        <w:spacing w:after="0"/>
        <w:jc w:val="center"/>
        <w:outlineLvl w:val="0"/>
        <w:rPr>
          <w:rFonts w:ascii="Times New Roman" w:hAnsi="Times New Roman"/>
          <w:b/>
          <w:noProof/>
          <w:sz w:val="18"/>
          <w:szCs w:val="18"/>
          <w:lang w:val="ms-MY"/>
        </w:rPr>
      </w:pPr>
      <w:r w:rsidRPr="002615CE">
        <w:rPr>
          <w:rFonts w:ascii="Times New Roman" w:hAnsi="Times New Roman"/>
          <w:b/>
          <w:noProof/>
          <w:sz w:val="18"/>
          <w:szCs w:val="18"/>
          <w:lang w:val="ms-MY"/>
        </w:rPr>
        <w:t>Abstrak</w:t>
      </w:r>
    </w:p>
    <w:p w:rsidR="009858F0" w:rsidRPr="002615CE" w:rsidRDefault="009858F0" w:rsidP="009858F0">
      <w:pPr>
        <w:spacing w:after="0"/>
        <w:jc w:val="both"/>
        <w:outlineLvl w:val="0"/>
        <w:rPr>
          <w:rFonts w:ascii="Times New Roman" w:hAnsi="Times New Roman"/>
          <w:noProof/>
          <w:sz w:val="18"/>
          <w:szCs w:val="18"/>
          <w:lang w:val="ms-MY"/>
        </w:rPr>
      </w:pPr>
      <w:r w:rsidRPr="002615CE">
        <w:rPr>
          <w:rFonts w:ascii="Times New Roman" w:hAnsi="Times New Roman"/>
          <w:noProof/>
          <w:sz w:val="18"/>
          <w:szCs w:val="18"/>
          <w:lang w:val="ms-MY"/>
        </w:rPr>
        <w:t>Pengubahsuaian montmorilonit K10 dengan Fe</w:t>
      </w:r>
      <w:r w:rsidRPr="002615CE">
        <w:rPr>
          <w:rFonts w:ascii="Times New Roman" w:hAnsi="Times New Roman"/>
          <w:noProof/>
          <w:sz w:val="18"/>
          <w:szCs w:val="18"/>
          <w:vertAlign w:val="superscript"/>
          <w:lang w:val="ms-MY"/>
        </w:rPr>
        <w:t>3+</w:t>
      </w:r>
      <w:r w:rsidRPr="002615CE">
        <w:rPr>
          <w:rFonts w:ascii="Times New Roman" w:hAnsi="Times New Roman"/>
          <w:noProof/>
          <w:sz w:val="18"/>
          <w:szCs w:val="18"/>
          <w:lang w:val="ms-MY"/>
        </w:rPr>
        <w:t xml:space="preserve"> telah dijalankan untuk mengkaji pertukaran ion yang optimum pada lapisan tanah liat. Montmorilonit K10 diubahsuai untuk dijadikan sebagai pemangkin dalam pengeluaran biodiesel dari minyak masak terpakai (WCO). Tiga kaedah untuk mengoptimumkan proses pertukaran ion telah dikaji. Untuk kaedah 1 dan kaedah 2, masing-masing 14% dan 27% jisim Fe dalam montmorilonit K10 telah dicampur dalam sistem tertutup selama 7 jam. Manakala kaedah 3 menggunakan 20% Fe dikacau dengan montmorilonit K10 selama 24 jam sehingga pekat seperti tanah liat. Keupayaan penukaran ion telah diuji menggunakan SEM/EDX. Hasil kajian mendapati bahawa komposisi Fe meningkat sebanyak 1.21% dengan menggunakan kaedah 1 manakala 2.66% Fe meningkat dengan menggunakan kaedah 2. Pertukaran Fe tertinggi telah dikesan menggunakan kaedah 3 dengan kenaikan Fe sebanyak 5.23%. Untuk hasil yang lebih tepat, 20% Fe-MMT K10 dari kaedah 3 dicirikan dengan menggunakan XRF dan didapati ion Ca</w:t>
      </w:r>
      <w:r w:rsidRPr="002615CE">
        <w:rPr>
          <w:rFonts w:ascii="Times New Roman" w:hAnsi="Times New Roman"/>
          <w:noProof/>
          <w:sz w:val="18"/>
          <w:szCs w:val="18"/>
          <w:vertAlign w:val="superscript"/>
          <w:lang w:val="ms-MY"/>
        </w:rPr>
        <w:t>2+</w:t>
      </w:r>
      <w:r w:rsidRPr="002615CE">
        <w:rPr>
          <w:rFonts w:ascii="Times New Roman" w:hAnsi="Times New Roman"/>
          <w:noProof/>
          <w:sz w:val="18"/>
          <w:szCs w:val="18"/>
          <w:lang w:val="ms-MY"/>
        </w:rPr>
        <w:t xml:space="preserve"> bertukar dengan Fe</w:t>
      </w:r>
      <w:r w:rsidRPr="002615CE">
        <w:rPr>
          <w:rFonts w:ascii="Times New Roman" w:hAnsi="Times New Roman"/>
          <w:noProof/>
          <w:sz w:val="18"/>
          <w:szCs w:val="18"/>
          <w:vertAlign w:val="superscript"/>
          <w:lang w:val="ms-MY"/>
        </w:rPr>
        <w:t>3+</w:t>
      </w:r>
      <w:r w:rsidRPr="002615CE">
        <w:rPr>
          <w:rFonts w:ascii="Times New Roman" w:hAnsi="Times New Roman"/>
          <w:noProof/>
          <w:sz w:val="18"/>
          <w:szCs w:val="18"/>
          <w:lang w:val="ms-MY"/>
        </w:rPr>
        <w:t>. Kesan kenaikan Fe terhadap tahap keasidan dikaji dengan menggunakan TPD-NH</w:t>
      </w:r>
      <w:r w:rsidRPr="002615CE">
        <w:rPr>
          <w:rFonts w:ascii="Times New Roman" w:hAnsi="Times New Roman"/>
          <w:noProof/>
          <w:sz w:val="18"/>
          <w:szCs w:val="18"/>
          <w:vertAlign w:val="subscript"/>
          <w:lang w:val="ms-MY"/>
        </w:rPr>
        <w:t>3</w:t>
      </w:r>
      <w:r w:rsidRPr="002615CE">
        <w:rPr>
          <w:rFonts w:ascii="Times New Roman" w:hAnsi="Times New Roman"/>
          <w:noProof/>
          <w:sz w:val="18"/>
          <w:szCs w:val="18"/>
          <w:lang w:val="ms-MY"/>
        </w:rPr>
        <w:t xml:space="preserve">. Pada asalnya, montmorilonit K10 mempunyai tahap keasidan 0.232 mmol/g. Setelah diubahsuai, keasidan tertinggi dikesan pada sampel 20% Fe-MMT K10 (14.261 mmol / g). Penggunaan montmorilonit K10 dalam pengeluaran biodiesel menghasilkan 38.39% produk berbanding </w:t>
      </w:r>
      <w:r>
        <w:rPr>
          <w:rFonts w:ascii="Times New Roman" w:hAnsi="Times New Roman"/>
          <w:noProof/>
          <w:sz w:val="18"/>
          <w:szCs w:val="18"/>
          <w:lang w:val="ms-MY"/>
        </w:rPr>
        <w:t>tindak balas</w:t>
      </w:r>
      <w:r w:rsidRPr="002615CE">
        <w:rPr>
          <w:rFonts w:ascii="Times New Roman" w:hAnsi="Times New Roman"/>
          <w:noProof/>
          <w:sz w:val="18"/>
          <w:szCs w:val="18"/>
          <w:lang w:val="ms-MY"/>
        </w:rPr>
        <w:t xml:space="preserve"> tanpa pemangkin (26.80%). Dengan bantuan montmorilonit K10 yang diubahsuai, masing-masing 66.54% dan 69.32% biodiesel dihasilkan menggunakan pemangkin yang diubahsuai dari kaedah 1 dan 2. Namun, biodiesel yang paling tinggi dihasilkan dengan menggunakan pemangkin daripada kaedah 3 (84.58%). Oleh itu, pemangkin 20% Fe-MMT K10 telah dipilih untuk pengoptimuman biodiesel melalui kaedah konvensional. Hasil kajian mendapati bahawa 96.49% biodiesel berjaya dihasilkan dengan penukaran asid sebanyak 28.65% pada 150 °C, 6 </w:t>
      </w:r>
      <w:r>
        <w:rPr>
          <w:rFonts w:ascii="Times New Roman" w:hAnsi="Times New Roman"/>
          <w:noProof/>
          <w:sz w:val="18"/>
          <w:szCs w:val="18"/>
          <w:lang w:val="ms-MY"/>
        </w:rPr>
        <w:t>jam</w:t>
      </w:r>
      <w:r w:rsidRPr="002615CE">
        <w:rPr>
          <w:rFonts w:ascii="Times New Roman" w:hAnsi="Times New Roman"/>
          <w:noProof/>
          <w:sz w:val="18"/>
          <w:szCs w:val="18"/>
          <w:lang w:val="ms-MY"/>
        </w:rPr>
        <w:t>, 12: 1 metanol: minyak dan 4% berat masa pemangkin. Kajian penukaran asid dan hasil biodiesel telah membuktikan bahawa pengubahsuaian montmorilonit K10 dengan 20% Fe adalah optimum dan 20% Fe-MMT K10 boleh menjalani tindak balas esterifikasi dan transesterifikasi secara serentak untuk menghasilkan biodiesel yang optimum.</w:t>
      </w:r>
    </w:p>
    <w:p w:rsidR="009858F0" w:rsidRPr="002615CE" w:rsidRDefault="009858F0" w:rsidP="009858F0">
      <w:pPr>
        <w:spacing w:after="0"/>
        <w:jc w:val="both"/>
        <w:outlineLvl w:val="0"/>
        <w:rPr>
          <w:rFonts w:ascii="Times New Roman" w:hAnsi="Times New Roman"/>
          <w:noProof/>
          <w:sz w:val="18"/>
          <w:szCs w:val="18"/>
          <w:lang w:val="ms-MY"/>
        </w:rPr>
      </w:pPr>
    </w:p>
    <w:p w:rsidR="009858F0" w:rsidRPr="00C36256" w:rsidRDefault="009858F0" w:rsidP="009858F0">
      <w:pPr>
        <w:spacing w:after="0"/>
        <w:jc w:val="both"/>
        <w:outlineLvl w:val="0"/>
        <w:rPr>
          <w:rFonts w:ascii="Times New Roman" w:hAnsi="Times New Roman"/>
          <w:b/>
          <w:noProof/>
          <w:szCs w:val="20"/>
          <w:lang w:val="ms-MY"/>
        </w:rPr>
      </w:pPr>
      <w:r w:rsidRPr="002615CE">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2615CE">
        <w:rPr>
          <w:rFonts w:ascii="Times New Roman" w:hAnsi="Times New Roman"/>
          <w:noProof/>
          <w:sz w:val="18"/>
          <w:szCs w:val="18"/>
          <w:lang w:val="ms-MY"/>
        </w:rPr>
        <w:t xml:space="preserve">Montmorilonit K10, </w:t>
      </w:r>
      <w:r>
        <w:rPr>
          <w:rFonts w:ascii="Times New Roman" w:hAnsi="Times New Roman"/>
          <w:noProof/>
          <w:sz w:val="18"/>
          <w:szCs w:val="18"/>
          <w:lang w:val="ms-MY"/>
        </w:rPr>
        <w:t>p</w:t>
      </w:r>
      <w:r w:rsidRPr="002615CE">
        <w:rPr>
          <w:rFonts w:ascii="Times New Roman" w:hAnsi="Times New Roman"/>
          <w:noProof/>
          <w:sz w:val="18"/>
          <w:szCs w:val="18"/>
          <w:lang w:val="ms-MY"/>
        </w:rPr>
        <w:t>ertukaran ion Fe</w:t>
      </w:r>
      <w:r w:rsidRPr="002615CE">
        <w:rPr>
          <w:rFonts w:ascii="Times New Roman" w:hAnsi="Times New Roman"/>
          <w:noProof/>
          <w:sz w:val="18"/>
          <w:szCs w:val="18"/>
          <w:vertAlign w:val="superscript"/>
          <w:lang w:val="ms-MY"/>
        </w:rPr>
        <w:t>3+</w:t>
      </w:r>
      <w:r w:rsidRPr="002615CE">
        <w:rPr>
          <w:rFonts w:ascii="Times New Roman" w:hAnsi="Times New Roman"/>
          <w:noProof/>
          <w:sz w:val="18"/>
          <w:szCs w:val="18"/>
          <w:lang w:val="ms-MY"/>
        </w:rPr>
        <w:t>, esterifikasi-transesterifikasi serentak, biodiesel, minyak masak terpakai</w:t>
      </w:r>
    </w:p>
    <w:p w:rsidR="006768E9" w:rsidRDefault="006768E9" w:rsidP="009858F0">
      <w:pPr>
        <w:spacing w:after="0"/>
        <w:jc w:val="center"/>
        <w:rPr>
          <w:rFonts w:ascii="Times New Roman" w:hAnsi="Times New Roman"/>
          <w:noProof/>
          <w:sz w:val="20"/>
          <w:szCs w:val="20"/>
          <w:lang w:bidi="ar-SA"/>
        </w:rPr>
      </w:pPr>
    </w:p>
    <w:p w:rsidR="00494C46" w:rsidRPr="00BE7C30" w:rsidRDefault="00494C46" w:rsidP="009858F0">
      <w:pPr>
        <w:spacing w:after="0"/>
        <w:jc w:val="center"/>
        <w:rPr>
          <w:rFonts w:ascii="Times New Roman" w:hAnsi="Times New Roman"/>
          <w:noProof/>
          <w:sz w:val="20"/>
          <w:szCs w:val="20"/>
          <w:lang w:bidi="ar-SA"/>
        </w:rPr>
      </w:pPr>
    </w:p>
    <w:p w:rsidR="00FD020E" w:rsidRDefault="00FD020E" w:rsidP="00FD020E">
      <w:pPr>
        <w:spacing w:after="0"/>
        <w:jc w:val="center"/>
        <w:rPr>
          <w:rFonts w:ascii="Times New Roman" w:hAnsi="Times New Roman"/>
          <w:b/>
          <w:noProof/>
          <w:sz w:val="20"/>
          <w:szCs w:val="20"/>
          <w:lang w:bidi="ar-SA"/>
        </w:rPr>
        <w:sectPr w:rsidR="00FD020E" w:rsidSect="00177EFA">
          <w:headerReference w:type="even" r:id="rId16"/>
          <w:headerReference w:type="default" r:id="rId17"/>
          <w:footerReference w:type="even" r:id="rId18"/>
          <w:headerReference w:type="first" r:id="rId19"/>
          <w:type w:val="evenPage"/>
          <w:pgSz w:w="12240" w:h="15840" w:code="1"/>
          <w:pgMar w:top="1800" w:right="1469" w:bottom="1699" w:left="1440" w:header="706" w:footer="706" w:gutter="0"/>
          <w:pgNumType w:start="1"/>
          <w:cols w:space="708"/>
          <w:docGrid w:linePitch="360"/>
        </w:sectPr>
      </w:pPr>
    </w:p>
    <w:p w:rsidR="006768E9" w:rsidRPr="00F447A7" w:rsidRDefault="006768E9" w:rsidP="00FD020E">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FD020E" w:rsidRPr="00986367" w:rsidRDefault="00FD020E" w:rsidP="00FD020E">
      <w:pPr>
        <w:spacing w:after="0"/>
        <w:jc w:val="both"/>
        <w:outlineLvl w:val="0"/>
        <w:rPr>
          <w:rFonts w:ascii="Times New Roman" w:hAnsi="Times New Roman"/>
          <w:sz w:val="20"/>
          <w:szCs w:val="20"/>
        </w:rPr>
      </w:pPr>
      <w:r w:rsidRPr="00986367">
        <w:rPr>
          <w:rFonts w:ascii="Times New Roman" w:hAnsi="Times New Roman"/>
          <w:sz w:val="20"/>
          <w:szCs w:val="20"/>
        </w:rPr>
        <w:t xml:space="preserve">The application of heterogeneous catalyst in many reactions is important in recent time. Many natural catalysts were investigated on selective organic transformations as synthetic techniques under green chemistry. Currently, the natural catalyst under investigation includes natural clay like montmorillonite. It can work under mild condition and the catalyst can be recovered by simple filtration and evaporation, and then can be regenerated and reused. In nature, montmorillonite possessed Lewis and Brønsted acidity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{"citationItems":[{"id":"ITEM-1","itemData":{"DOI":"10.1016/j.catcom.2006.06.023","ISBN":"1566-7367","ISSN":"15667367","abstract":"A simple method for evaluating the surface acidity of different cation-exchanged montmorillonite (mont) clay catalysts, Mn+-mont (Mn+=Al3+, Fe3+, Cr3+, Zn2+, Ni2+, Cu2+, and H+), involving treatment with pyridine is described. After treating with pyridine, the samples were heated at 120 °C and the FT-IR spectra were directly recorded in the region 1650 and 1350 cm-1. The data obtained show the presence of both Lewis and Brønsted acid sites. The activities of the catalysts to bring about Brønsted acid catalysed esterification of succinic acid with iso-butanol to yield di-(iso-butyl) succinate have been studied. The Brønsted acidity data obtained for Mn+-mont correlated well with activity in the esterification reaction. The activities of the catalysts were found to decrease in the order of exchange ions Al3+ &gt; Fe3+ &gt; Cr3+ &gt; Zn2+ &gt; Ni2+ &gt; Cu2+ &gt; Na+-mont. They also correlated well with the charge to radius ratio of the cations. The catalysts exchanged with trivalent cations showed stronger absorption bands attributed to Brønsted acidity (1540 cm-1) whereas those exchanged with divalent cations showed an increased Lewis acidity (1450 cm-1) and reduced Brønsted acidity along with charge to radius ratio. Zn2+-, Cu2+- and Ni2+-exchanged clays showed an additional peak around 1605 cm-1 which is attributed to the pyridine adsorption on surface sites through its π electrons. The method suggested here to evaluate the acidity is suitable for active sites which are thermally unstable such as water molecules in the hydration shell of a cation in exchanged clay. © 2006 Elsevier B.V. All rights reserved.","author":[{"dropping-particle":"","family":"Ravindra Reddy","given":"C.","non-dropping-particle":"","parse-names":false,"suffix":""},{"dropping-particle":"","family":"Nagendrappa","given":"Gopalpur","non-dropping-particle":"","parse-names":false,"suffix":""},{"dropping-particle":"","family":"Jai Prakash","given":"B. S.","non-dropping-particle":"","parse-names":false,"suffix":""}],"container-title":"Catalysis Communications","id":"ITEM-1","issue":"3","issued":{"date-parts":[["2007"]]},"page":"241-246","title":"Surface acidity study of Mn+-montmorillonite clay catalysts by FT-IR spectroscopy: Correlation with esterification activity","type":"article-journal","volume":"8"},"uris":["http://www.mendeley.com/documents/?uuid=e3fa462e-8b9e-4845-b963-5b36245ed393"]}],"mendeley":{"formattedCitation":"[1]","plainTextFormattedCitation":"[1]","previouslyFormattedCitation":"[1]"},"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[1]</w:t>
      </w:r>
      <w:r w:rsidRPr="00986367">
        <w:rPr>
          <w:rFonts w:ascii="Times New Roman" w:hAnsi="Times New Roman"/>
          <w:sz w:val="20"/>
          <w:szCs w:val="20"/>
        </w:rPr>
        <w:fldChar w:fldCharType="end"/>
      </w:r>
      <w:r w:rsidRPr="00986367">
        <w:rPr>
          <w:rFonts w:ascii="Times New Roman" w:hAnsi="Times New Roman"/>
          <w:sz w:val="20"/>
          <w:szCs w:val="20"/>
        </w:rPr>
        <w:t xml:space="preserve"> that enable the clay to function in esterification and transesterification reactions simultaneously. The Lewis acidity mainly originates from the metal atoms at the edge sites while the </w:t>
      </w:r>
      <w:bookmarkStart w:id="2" w:name="_Hlk37437675"/>
      <w:r w:rsidRPr="00986367">
        <w:rPr>
          <w:rFonts w:ascii="Times New Roman" w:hAnsi="Times New Roman"/>
          <w:sz w:val="20"/>
          <w:szCs w:val="20"/>
        </w:rPr>
        <w:t xml:space="preserve">Brønsted </w:t>
      </w:r>
      <w:bookmarkEnd w:id="2"/>
      <w:r w:rsidRPr="00986367">
        <w:rPr>
          <w:rFonts w:ascii="Times New Roman" w:hAnsi="Times New Roman"/>
          <w:sz w:val="20"/>
          <w:szCs w:val="20"/>
        </w:rPr>
        <w:t>acidity is from the interlamellar water coordinated to exchangeable cations.</w:t>
      </w:r>
    </w:p>
    <w:p w:rsidR="00FD020E" w:rsidRPr="00986367" w:rsidRDefault="00FD020E" w:rsidP="00FD020E">
      <w:pPr>
        <w:spacing w:after="0"/>
        <w:jc w:val="both"/>
        <w:outlineLvl w:val="0"/>
        <w:rPr>
          <w:rFonts w:ascii="Times New Roman" w:hAnsi="Times New Roman"/>
          <w:sz w:val="20"/>
          <w:szCs w:val="20"/>
        </w:rPr>
      </w:pPr>
    </w:p>
    <w:p w:rsidR="00FD020E" w:rsidRPr="00986367" w:rsidRDefault="00FD020E" w:rsidP="00FD020E">
      <w:pPr>
        <w:spacing w:after="0"/>
        <w:jc w:val="both"/>
        <w:outlineLvl w:val="0"/>
        <w:rPr>
          <w:rFonts w:ascii="Times New Roman" w:hAnsi="Times New Roman"/>
          <w:sz w:val="20"/>
          <w:szCs w:val="20"/>
        </w:rPr>
      </w:pPr>
      <w:r w:rsidRPr="00986367">
        <w:rPr>
          <w:rFonts w:ascii="Times New Roman" w:hAnsi="Times New Roman"/>
          <w:sz w:val="20"/>
          <w:szCs w:val="20"/>
        </w:rPr>
        <w:t xml:space="preserve">Montmorillonite was used in biodiesel production, however the production was low with around 60% yield and required a long reaction time and a large amount of catalyst loading to achieve the yield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10.1016/j.jhazmat.2019.02.109","ISSN":"03043894","author":[{"dropping-particle":"","family":"Jung","given":"Jong-Min","non-dropping-particle":"","parse-names":false,"suffix":""},{"dropping-particle":"","family":"Oh","given":"Jeong-Ik","non-dropping-particle":"","parse-names":false,"suffix":""},{"dropping-particle":"","family":"Park","given":"Young-Kwon","non-dropping-particle":"","parse-names":false,"suffix":""},{"dropping-particle":"","family":"Lee","given":"Jechan","non-dropping-particle":"","parse-names":false,"suffix":""},{"dropping-particle":"","family":"Kwon","given":"Eilhann E.","non-dropping-particle":"","parse-names":false,"suffix":""}],"container-title":"Journal of Hazardous Materials","id":"ITEM-1","issued":{"date-parts":[["2019","6"]]},"page":"27-32","title":"Biodiesel synthesis from fish waste via thermally-induced transesterification using clay as porous material","type":"article-journal","volume":"371"},"uris":["http://www.mendeley.com/documents/?uuid=adcaa830-5bab-36fa-8e7a-002a996a82e0"]},{"id":"ITEM-2","itemData":{"DOI":"10.3390/en20401107","ISSN":"1996-1073","author":[{"dropping-particle":"","family":"Bouguerra Neji","given":"Soumaya","non-dropping-particle":"","parse-names":false,"suffix":""},{"dropping-particle":"","family":"Trabelsi","given":"Mahmoud","non-dropping-particle":"","parse-names":false,"suffix":""},{"dropping-particle":"","family":"Frikha","given":"Mohamed","non-dropping-particle":"","parse-names":false,"suffix":""}],"container-title":"Energies","id":"ITEM-2","issue":"4","issued":{"date-parts":[["2009","11","19"]]},"page":"1107-1117","title":"Esterification of Fatty Acids with Short-Chain Alcohols over Commercial Acid Clays in a Semi-Continuous Reactor","type":"article-journal","volume":"2"},"uris":["http://www.mendeley.com/documents/?uuid=89f41db6-77d0-3aa4-993d-1e5eca703ef5"]}],"mendeley":{"formattedCitation":"[2], [3]","plainTextFormattedCitation":"[2], [3]","previouslyFormattedCitation":"[2], [3]"},"properties":{"noteIndex":0},"schema":"https://github.com/citation-style-language/schema/raw/master/csl-citation.json"}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[2, 3]</w:t>
      </w:r>
      <w:r w:rsidRPr="00986367">
        <w:rPr>
          <w:rFonts w:ascii="Times New Roman" w:hAnsi="Times New Roman"/>
          <w:sz w:val="20"/>
          <w:szCs w:val="20"/>
        </w:rPr>
        <w:fldChar w:fldCharType="end"/>
      </w:r>
      <w:r w:rsidRPr="00986367">
        <w:rPr>
          <w:rFonts w:ascii="Times New Roman" w:hAnsi="Times New Roman"/>
          <w:sz w:val="20"/>
          <w:szCs w:val="20"/>
        </w:rPr>
        <w:t xml:space="preserve">. Hence, some modification is required to be done on montmorillonite to improve the acidity. There are two </w:t>
      </w:r>
      <w:r w:rsidRPr="00986367">
        <w:rPr>
          <w:rFonts w:ascii="Times New Roman" w:hAnsi="Times New Roman"/>
          <w:sz w:val="20"/>
          <w:szCs w:val="20"/>
        </w:rPr>
        <w:lastRenderedPageBreak/>
        <w:t xml:space="preserve">modification methods to improve the acidity which are pillaring method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{"citationItems":[{"id":"ITEM-1","itemData":{"abstract":"The user has requested enhancement of the downloaded file.","author":[{"dropping-particle":"","family":"Fatimah","given":"Is","non-dropping-particle":"","parse-names":false,"suffix":""},{"dropping-particle":"","family":"Himmi","given":"S Khoirul","non-dropping-particle":"","parse-names":false,"suffix":""}],"id":"ITEM-1","issued":{"date-parts":[["2014"]]},"title":"Preparation of Aluminium Pillared Clay from Indonesian Montmorillonite and Its Catalytic Activity in Bio-Oil Cracking Ruthenium-Titanium Nanocluster for Photocatalytic Application View project","type":"report"},"uris":["http://www.mendeley.com/documents/?uuid=fa1136c3-92be-30be-ba9f-73d24d1ed46f"]}],"mendeley":{"formattedCitation":"[4]","plainTextFormattedCitation":"[4]","previouslyFormattedCitation":"[4]"},"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[4]</w:t>
      </w:r>
      <w:r w:rsidRPr="00986367">
        <w:rPr>
          <w:rFonts w:ascii="Times New Roman" w:hAnsi="Times New Roman"/>
          <w:sz w:val="20"/>
          <w:szCs w:val="20"/>
        </w:rPr>
        <w:fldChar w:fldCharType="end"/>
      </w:r>
      <w:r w:rsidRPr="00986367">
        <w:rPr>
          <w:rFonts w:ascii="Times New Roman" w:hAnsi="Times New Roman"/>
          <w:sz w:val="20"/>
          <w:szCs w:val="20"/>
        </w:rPr>
        <w:t xml:space="preserve"> and ion-exchange method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{"citationItems":[{"id":"ITEM-1","itemData":{"author":[{"dropping-particle":"","family":"Almadani","given":"Enas A","non-dropping-particle":"","parse-names":false,"suffix":""},{"dropping-particle":"","family":"Radzi","given":"Salina M","non-dropping-particle":"","parse-names":false,"suffix":""},{"dropping-particle":"","family":"Harun","given":"Farah W","non-dropping-particle":"","parse-names":false,"suffix":""}],"container-title":"International Journal of Applied Chemistry","id":"ITEM-1","issue":"1","issued":{"date-parts":[["2016"]]},"page":"62-67","title":"Stearic Acid Esters Synthesized using Iron Exchanged Montmorillonite K10 Clay Catalysts","type":"article-journal","volume":"12"},"uris":["http://www.mendeley.com/documents/?uuid=bb113179-2cef-4832-a3a2-ad1f797a682c"]}],"mendeley":{"formattedCitation":"[5]","plainTextFormattedCitation":"[5]","previouslyFormattedCitation":"[5]"},"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[5]</w:t>
      </w:r>
      <w:r w:rsidRPr="00986367">
        <w:rPr>
          <w:rFonts w:ascii="Times New Roman" w:hAnsi="Times New Roman"/>
          <w:sz w:val="20"/>
          <w:szCs w:val="20"/>
        </w:rPr>
        <w:fldChar w:fldCharType="end"/>
      </w:r>
      <w:r w:rsidRPr="00986367">
        <w:rPr>
          <w:rFonts w:ascii="Times New Roman" w:hAnsi="Times New Roman"/>
          <w:sz w:val="20"/>
          <w:szCs w:val="20"/>
        </w:rPr>
        <w:t xml:space="preserve">. The pillaring method was successful in laboratory synthesis. However, it is not an ideal preparation technique for large-scale production because of the long preparation period as well as waste water and chemical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{"citationItems":[{"id":"ITEM-1","itemData":{"DOI":"10.1007/s00254-005-1226-1","ISSN":"0943-0105","author":[{"dropping-particle":"","family":"Kloprogge","given":"J. Theo","non-dropping-particle":"","parse-names":false,"suffix":""},{"dropping-particle":"V.","family":"Duong","given":"Loc","non-dropping-particle":"","parse-names":false,"suffix":""},{"dropping-particle":"","family":"Frost","given":"Ray L.","non-dropping-particle":"","parse-names":false,"suffix":""}],"container-title":"Environmental Geology","id":"ITEM-1","issue":"7","issued":{"date-parts":[["2005","5","2"]]},"page":"967-981","title":"A review of the synthesis and characterisation of pillared clays and related porous materials for cracking of vegetable oils to produce biofuels","type":"article-journal","volume":"47"},"uris":["http://www.mendeley.com/documents/?uuid=b046ae04-c72a-3feb-a33d-5158ee75878d"]},{"id":"ITEM-2","itemData":{"abstract":"The user has requested enhancement of the downloaded file.","author":[{"dropping-particle":"","family":"Fatimah","given":"Is","non-dropping-particle":"","parse-names":false,"suffix":""},{"dropping-particle":"","family":"Himmi","given":"S Khoirul","non-dropping-particle":"","parse-names":false,"suffix":""}],"id":"ITEM-2","issued":{"date-parts":[["2014"]]},"title":"Preparation of Aluminium Pillared Clay from Indonesian Montmorillonite and Its Catalytic Activity in Bio-Oil Cracking Ruthenium-Titanium Nanocluster for Photocatalytic Application View project","type":"report"},"uris":["http://www.mendeley.com/documents/?uuid=fa1136c3-92be-30be-ba9f-73d24d1ed46f"]}],"mendeley":{"formattedCitation":"[4], [6]","plainTextFormattedCitation":"[4], [6]","previouslyFormattedCitation":"[4], [6]"},"properties":{"noteIndex":0},"schema":"https://github.com/citation-style-language/schema/raw/master/csl-citation.json"}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[4, 6]</w:t>
      </w:r>
      <w:r w:rsidRPr="00986367">
        <w:rPr>
          <w:rFonts w:ascii="Times New Roman" w:hAnsi="Times New Roman"/>
          <w:sz w:val="20"/>
          <w:szCs w:val="20"/>
        </w:rPr>
        <w:fldChar w:fldCharType="end"/>
      </w:r>
      <w:r w:rsidRPr="00986367">
        <w:rPr>
          <w:rFonts w:ascii="Times New Roman" w:hAnsi="Times New Roman"/>
          <w:sz w:val="20"/>
          <w:szCs w:val="20"/>
        </w:rPr>
        <w:t>. Therefore, ion-exchange method is considered as a relevant technique to modify the montmorillonite as it involves simple stirring method in short duration.</w:t>
      </w:r>
    </w:p>
    <w:p w:rsidR="00FD020E" w:rsidRPr="00986367" w:rsidRDefault="00FD020E" w:rsidP="00FD020E">
      <w:pPr>
        <w:spacing w:after="0"/>
        <w:jc w:val="both"/>
        <w:outlineLvl w:val="0"/>
        <w:rPr>
          <w:rFonts w:ascii="Times New Roman" w:hAnsi="Times New Roman"/>
          <w:sz w:val="20"/>
          <w:szCs w:val="20"/>
        </w:rPr>
      </w:pPr>
    </w:p>
    <w:p w:rsidR="00177EFA" w:rsidRDefault="00FD020E" w:rsidP="00FD020E">
      <w:pPr>
        <w:spacing w:after="0"/>
        <w:jc w:val="both"/>
        <w:outlineLvl w:val="0"/>
        <w:rPr>
          <w:rFonts w:ascii="Times New Roman" w:hAnsi="Times New Roman"/>
          <w:sz w:val="20"/>
          <w:szCs w:val="20"/>
        </w:rPr>
      </w:pPr>
      <w:r w:rsidRPr="00986367">
        <w:rPr>
          <w:rFonts w:ascii="Times New Roman" w:hAnsi="Times New Roman"/>
          <w:sz w:val="20"/>
          <w:szCs w:val="20"/>
        </w:rPr>
        <w:t xml:space="preserve">In biodiesel production, iron (Fe) was considered as efficient Lewis metal when the single metal can act as a catalyst and produced up to 94% biodiesel from waste cooking oil (WCO)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{"citationItems":[{"id":"ITEM-1","itemData":{"DOI":"10.1016/J.RENENE.2017.02.007","ISSN":"0960-1481","abstract":"In this study, biodiesel production from waste cooking oil using FeCl3-modified resin as heterogeneous catalyst were investigated. Under optimised conditions of methanol/oil molar ratio of 10:1, catalyst content of 8%, reaction time of 90 °C and reaction time of 120 min, a high transesterification rate of about 92% was achieved. A comprehensive kinetic model was established for the transesterification reaction, the result illustrated that the transesterification of waste cooking oil and methanol catalysed by FeCl3-modified resin was confirmed for Rideal model, and the transesterification reaction was verified for the first order reaction controlled by the interfacial chemical reaction diffusion. The main physical–chemical properties of biodiesel met the ASTM D-6751 (American Society for Testing and Materials D-6751) standard. Compared with concentrated sulfuric acid catalyst, the eminent characteristics of reusability and operational stability made the resin catalyst more ascendant for biodiesel production. The results of present research showed that transesterification process catalysed by FeCl3-modified resin was an effective and low cost technology for biodiesel industry.","author":[{"dropping-particle":"","family":"Ma","given":"Yingqun","non-dropping-particle":"","parse-names":false,"suffix":""},{"dropping-particle":"","family":"Wang","given":"Qunhui","non-dropping-particle":"","parse-names":false,"suffix":""},{"dropping-particle":"","family":"Sun","given":"Xiaohong","non-dropping-particle":"","parse-names":false,"suffix":""},{"dropping-particle":"","family":"Wu","given":"Chuanfu","non-dropping-particle":"","parse-names":false,"suffix":""},{"dropping-particle":"","family":"Gao","given":"Zhen","non-dropping-particle":"","parse-names":false,"suffix":""}],"container-title":"Renewable Energy","id":"ITEM-1","issued":{"date-parts":[["2017","7","1"]]},"page":"522-530","publisher":"Pergamon","title":"Kinetics studies of biodiesel production from waste cooking oil using FeCl3-modified resin as heterogeneous catalyst","type":"article-journal","volume":"107"},"uris":["http://www.mendeley.com/documents/?uuid=27c28d9f-3d79-30c0-8507-647169157448"]}],"mendeley":{"formattedCitation":"[7]","plainTextFormattedCitation":"[7]","previouslyFormattedCitation":"[7]"},"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[7]</w:t>
      </w:r>
      <w:r w:rsidRPr="00986367">
        <w:rPr>
          <w:rFonts w:ascii="Times New Roman" w:hAnsi="Times New Roman"/>
          <w:sz w:val="20"/>
          <w:szCs w:val="20"/>
        </w:rPr>
        <w:fldChar w:fldCharType="end"/>
      </w:r>
      <w:r w:rsidRPr="00986367">
        <w:rPr>
          <w:rFonts w:ascii="Times New Roman" w:hAnsi="Times New Roman"/>
          <w:sz w:val="20"/>
          <w:szCs w:val="20"/>
        </w:rPr>
        <w:t xml:space="preserve">. The collaboration of Fe with montmorillonite can reduce the metal consumption in biodiesel production as it is able to improve the acidic sites of montmorillonite. However, the review from literature noticed that the ion exchange of montmorillonite with Fe could only achieve 70% conversion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{"citationItems":[{"id":"ITEM-1","itemData":{"ISBN":"9789881404848","ISSN":"20780958","abstract":"Montmorillonite K10 (MMT K10), the major clay mineral commercially available can be treated to improve its properties and thus can be utilized for a broad range of organic reaction including esterification of fatty acids for biodiesel production. However, the use of unmodified MMT K10 in esterification of fatty acids showed that the acid conversion was less than 60 %. The aim of this study is to utilize available material i.e. MMT K10 modified with Cu 2+ , Al 3+ and Fe 3+ at various concentrations as catalyst for the esterification of acetic acid and stearic acid. The x-ray diffraction and elemental analysis of the materials were successfully characterized. After characterization, the materials were evaluated for the esterification of acetic acid and stearic acid with methanol. Prepared catalysts were able to give the highest acid conversion of up to 75% relative to the unmodified MMT K10 revealing the potential of M-MMT K10 as catalyst for esterification in biodiesel production.","author":[{"dropping-particle":"","family":"Harun","given":"Farah W","non-dropping-particle":"","parse-names":false,"suffix":""},{"dropping-particle":"","family":"Almadni","given":"Enas A","non-dropping-particle":"","parse-names":false,"suffix":""},{"dropping-particle":"","family":"Ali","given":"Ernie S","non-dropping-particle":"","parse-names":false,"suffix":""}],"id":"ITEM-1","issued":{"date-parts":[["2017"]]},"page":"25-28","title":"M-MMT K10 ( M : Cu , Al and Fe ) as Catalysts for the Esterification of Acetic Acid and Stearic Acid with Methanol","type":"article-journal","volume":"II"},"uris":["http://www.mendeley.com/documents/?uuid=bfb7b4dd-05a3-499c-b2d5-31f71b792dde"]},{"id":"ITEM-2","itemData":{"DOI":"10.1590/0104-6632.20180351s20160504","ISSN":"1678-4383","author":[{"dropping-particle":"","family":"Liu","given":"Junwei","non-dropping-particle":"","parse-names":false,"suffix":""},{"dropping-particle":"","family":"Yun","given":"Zhi","non-dropping-particle":"","parse-names":false,"suffix":""},{"dropping-particle":"","family":"Gui","given":"Xia","non-dropping-particle":"","parse-names":false,"suffix":""},{"dropping-particle":"","family":"Liu","given":"Junwei","non-dropping-particle":"","parse-names":false,"suffix":""},{"dropping-particle":"","family":"Yun","given":"Zhi","non-dropping-particle":"","parse-names":false,"suffix":""},{"dropping-particle":"","family":"Gui","given":"Xia","non-dropping-particle":"","parse-names":false,"suffix":""}],"container-title":"Brazilian Journal of Chemical Engineering","id":"ITEM-2","issue":"1","issued":{"date-parts":[["2018","1"]]},"page":"147-154","publisher":"Associação Brasileira de Engenharia Química","title":"Ce/kaolin clay as an active catalyst for fatty acid methyl esters production from cottonseed oil in a new integrated apparatus","type":"article-journal","volume":"35"},"uris":["http://www.mendeley.com/documents/?uuid=5fdf1601-89d2-3180-9fd9-25e03ea74019"]}],"mendeley":{"formattedCitation":"[8], [9]","plainTextFormattedCitation":"[8], [9]","previouslyFormattedCitation":"[8], [9]"},"properties":{"noteIndex":0},"schema":"https://github.com/citation-style-language/schema/raw/master/csl-citation.json"}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[8, 9]</w:t>
      </w:r>
      <w:r w:rsidRPr="00986367">
        <w:rPr>
          <w:rFonts w:ascii="Times New Roman" w:hAnsi="Times New Roman"/>
          <w:sz w:val="20"/>
          <w:szCs w:val="20"/>
        </w:rPr>
        <w:fldChar w:fldCharType="end"/>
      </w:r>
      <w:r w:rsidRPr="00986367">
        <w:rPr>
          <w:rFonts w:ascii="Times New Roman" w:hAnsi="Times New Roman"/>
          <w:sz w:val="20"/>
          <w:szCs w:val="20"/>
        </w:rPr>
        <w:t>. Some modification in the preparation technique is required to optimize the ion exchange.</w:t>
      </w:r>
    </w:p>
    <w:p w:rsidR="00177EFA" w:rsidRDefault="00177EFA" w:rsidP="00FD020E">
      <w:pPr>
        <w:spacing w:after="0"/>
        <w:jc w:val="both"/>
        <w:outlineLvl w:val="0"/>
        <w:rPr>
          <w:rFonts w:ascii="Times New Roman" w:hAnsi="Times New Roman"/>
          <w:sz w:val="20"/>
          <w:szCs w:val="20"/>
        </w:rPr>
      </w:pPr>
    </w:p>
    <w:p w:rsidR="00177EFA" w:rsidRDefault="00177EFA" w:rsidP="00FD020E">
      <w:pPr>
        <w:spacing w:after="0"/>
        <w:jc w:val="both"/>
        <w:outlineLvl w:val="0"/>
        <w:rPr>
          <w:rFonts w:ascii="Times New Roman" w:hAnsi="Times New Roman"/>
          <w:sz w:val="20"/>
          <w:szCs w:val="20"/>
        </w:rPr>
        <w:sectPr w:rsidR="00177EFA" w:rsidSect="00063F7E">
          <w:headerReference w:type="even" r:id="rId20"/>
          <w:headerReference w:type="default" r:id="rId21"/>
          <w:footerReference w:type="even" r:id="rId22"/>
          <w:headerReference w:type="first" r:id="rId23"/>
          <w:type w:val="continuous"/>
          <w:pgSz w:w="12240" w:h="15840" w:code="1"/>
          <w:pgMar w:top="1800" w:right="1469" w:bottom="1699" w:left="1440" w:header="706" w:footer="706" w:gutter="0"/>
          <w:pgNumType w:start="1"/>
          <w:cols w:num="2" w:space="403"/>
          <w:docGrid w:linePitch="360"/>
        </w:sectPr>
      </w:pPr>
    </w:p>
    <w:p w:rsidR="00430F9C" w:rsidRPr="00986367" w:rsidRDefault="00430F9C" w:rsidP="00430F9C">
      <w:pPr>
        <w:spacing w:after="0"/>
        <w:jc w:val="both"/>
        <w:outlineLvl w:val="0"/>
        <w:rPr>
          <w:rFonts w:ascii="Times New Roman" w:hAnsi="Times New Roman"/>
          <w:sz w:val="20"/>
          <w:szCs w:val="20"/>
        </w:rPr>
      </w:pPr>
      <w:r w:rsidRPr="00986367">
        <w:rPr>
          <w:rFonts w:ascii="Times New Roman" w:hAnsi="Times New Roman"/>
          <w:sz w:val="20"/>
          <w:szCs w:val="20"/>
        </w:rPr>
        <w:lastRenderedPageBreak/>
        <w:t xml:space="preserve">In this study, we employed a simple technique, modified from the previous methods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{"citationItems":[{"id":"ITEM-1","itemData":{"DOI":"10.9767/bcrec.13.1.1397.187-195","ISSN":"1978-2993","abstract":"&lt;p&gt;Clay catalyst has received much attention to replace the homogeneous catalysts in the esterification reaction to produce fatty acid methyl ester as the source of biodiesel as it is low cost, easily available, as well as environmental friendly. However, the use of unmodified clay, in particular montmorillonite K10 (MMT K10), for the esterification of fatty acids showed that the acid conversion was less than 60% and this is not preferable to the production of biodiesel. In this study, synthesis of stearic acid methyl ester using Cu2+-MMT K10 (Cu-MMT K10) was successfully optimized via response surface methodo-logy (RSM) based on 3-variable of Box-Behnken design (BB). The parameters were; reaction time (5-180 minutes), reaction temperature (80-120 oC) and concentration of Cu2+ in MMT K10 (0.25-1 M). The use of RSM in optimizing the conversion of stearic acid was successfully developed as the actual experimental conversion of stearic acid was found similar to the actual values under the optimum conditions. The model equation predicted that the following conditions would generate the maximum conversion of stearic acid (87.05 %reaction time of 62 minutes, a reaction temperature of 80 oC and catalyst used is 1.0 M Cu-MMT K10. This finding can be considered as green catalytic process as it worked at moderate reaction temperature using low cost clay catalyst with a short reaction time. Copyright © 2018 BCREC Group. All rights reservedReceived: 26th July 2017; Revised: 13rd January 2018; Accepted: 13rd January 2018; Available online: 22nd January 2018; Published regularly: 2nd April 2018How to Cite: Almadani, E.A., Harun, F.W., Radzi, S.M., Muhamad, S.K. (2018). Cu2+ Montmorillonite K10 Clay Catalyst as a Green Catalyst for Production of Stearic Acid Methyl Ester: Optimization Using Response Surface Methodology (RSM). Bulletin of Chemical Reaction Engineering &amp;amp; Catalysis, 13 (1): 187-195 (doi:10.9767/bcrec.13.1.1397.187-195) &lt;/p&gt;","author":[{"dropping-particle":"","family":"Almadani","given":"Enas A.","non-dropping-particle":"","parse-names":false,"suffix":""},{"dropping-particle":"","family":"Harun","given":"Farah W.","non-dropping-particle":"","parse-names":false,"suffix":""},{"dropping-particle":"","family":"Radzi","given":"Salina M.","non-dropping-particle":"","parse-names":false,"suffix":""},{"dropping-particle":"","family":"Muhamad","given":"Syamsul K.","non-dropping-particle":"","parse-names":false,"suffix":""}],"container-title":"Bulletin of Chemical Reaction Engineering &amp; Catalysis","id":"ITEM-1","issue":"1","issued":{"date-parts":[["2018","4","2"]]},"page":"187","title":"Cu2+ Montmorillonite K10 Clay Catalyst as a Green Catalyst for Production of Stearic Acid Methyl Ester: Optimization Using Response Surface Methodology (RSM)","type":"article-journal","volume":"13"},"uris":["http://www.mendeley.com/documents/?uuid=e94af515-edf4-303b-92f4-494c44e18a07"]},{"id":"ITEM-2","itemData":{"author":[{"dropping-particle":"","family":"Mariam","given":"Siti","non-dropping-particle":"","parse-names":false,"suffix":""},{"dropping-particle":"","family":"Sabri","given":"Muhamad","non-dropping-particle":"","parse-names":false,"suffix":""},{"dropping-particle":"","family":"Yahya","given":"Syahirah","non-dropping-particle":"","parse-names":false,"suffix":""},{"dropping-particle":"","family":"Razali","given":"Farah Hanis","non-dropping-particle":"","parse-names":false,"suffix":""},{"dropping-particle":"","family":"Harun","given":"Farah Wahida","non-dropping-particle":"","parse-names":false,"suffix":""}],"id":"ITEM-2","issued":{"date-parts":[["2019"]]},"page":"30-34","title":"Modification of Montmorillonite K10 with Al 3 + and its Potential in Biodiesel Production","type":"article-journal","volume":"4"},"uris":["http://www.mendeley.com/documents/?uuid=8b37941b-bcce-4f51-ad54-8c5e80e249a3"]}],"mendeley":{"formattedCitation":"[10], [11]","plainTextFormattedCitation":"[10], [11]","previouslyFormattedCitation":"[10], [11]"},"properties":{"noteIndex":0},"schema":"https://github.com/citation-style-language/schema/raw/master/csl-citation.json"}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[10, 11]</w:t>
      </w:r>
      <w:r w:rsidRPr="00986367">
        <w:rPr>
          <w:rFonts w:ascii="Times New Roman" w:hAnsi="Times New Roman"/>
          <w:sz w:val="20"/>
          <w:szCs w:val="20"/>
        </w:rPr>
        <w:fldChar w:fldCharType="end"/>
      </w:r>
      <w:r w:rsidRPr="00986367">
        <w:rPr>
          <w:rFonts w:ascii="Times New Roman" w:hAnsi="Times New Roman"/>
          <w:sz w:val="20"/>
          <w:szCs w:val="20"/>
        </w:rPr>
        <w:t xml:space="preserve"> to optimize the ion exchange and acidity of montmorillonite K10. The montmorillonite interchangeable cations were exchanged with iron (III) ion (Fe</w:t>
      </w:r>
      <w:r w:rsidRPr="00986367">
        <w:rPr>
          <w:rFonts w:ascii="Times New Roman" w:hAnsi="Times New Roman"/>
          <w:sz w:val="20"/>
          <w:szCs w:val="20"/>
          <w:vertAlign w:val="superscript"/>
        </w:rPr>
        <w:t>3+</w:t>
      </w:r>
      <w:r w:rsidRPr="00986367">
        <w:rPr>
          <w:rFonts w:ascii="Times New Roman" w:hAnsi="Times New Roman"/>
          <w:sz w:val="20"/>
          <w:szCs w:val="20"/>
        </w:rPr>
        <w:t>) and the ion exchange and acidity were tested using scanning electron microscope with energy dispersive X-ray (SEM/EDX) and temperature programmed desorption with ammonia (TPD-NH</w:t>
      </w:r>
      <w:r w:rsidRPr="00986367">
        <w:rPr>
          <w:rFonts w:ascii="Times New Roman" w:hAnsi="Times New Roman"/>
          <w:sz w:val="20"/>
          <w:szCs w:val="20"/>
          <w:vertAlign w:val="subscript"/>
        </w:rPr>
        <w:t>3</w:t>
      </w:r>
      <w:r w:rsidRPr="00986367">
        <w:rPr>
          <w:rFonts w:ascii="Times New Roman" w:hAnsi="Times New Roman"/>
          <w:sz w:val="20"/>
          <w:szCs w:val="20"/>
        </w:rPr>
        <w:t xml:space="preserve">). The ion exchange method was confirmed by X-ray fluorescence (XRF) analysis. The performance was evaluated based on biodiesel production from WCO to study the effect of metal concentrations on the catalyst efficiency. The optimum condition for the catalytic activity was also investigated for the maximum biodiesel production. </w:t>
      </w:r>
    </w:p>
    <w:p w:rsidR="000D4FDB" w:rsidRDefault="000D4FDB" w:rsidP="00FD020E">
      <w:pPr>
        <w:spacing w:after="0"/>
        <w:jc w:val="both"/>
        <w:outlineLvl w:val="0"/>
        <w:rPr>
          <w:rFonts w:ascii="Times New Roman" w:hAnsi="Times New Roman"/>
          <w:sz w:val="20"/>
          <w:szCs w:val="20"/>
        </w:rPr>
      </w:pPr>
    </w:p>
    <w:p w:rsidR="00430F9C" w:rsidRPr="00986367" w:rsidRDefault="00430F9C" w:rsidP="00430F9C">
      <w:pPr>
        <w:spacing w:after="0"/>
        <w:jc w:val="center"/>
        <w:outlineLvl w:val="0"/>
        <w:rPr>
          <w:rFonts w:ascii="Times New Roman" w:hAnsi="Times New Roman"/>
          <w:b/>
          <w:sz w:val="20"/>
          <w:szCs w:val="20"/>
        </w:rPr>
      </w:pPr>
      <w:r w:rsidRPr="00986367">
        <w:rPr>
          <w:rFonts w:ascii="Times New Roman" w:hAnsi="Times New Roman"/>
          <w:b/>
          <w:sz w:val="20"/>
          <w:szCs w:val="20"/>
        </w:rPr>
        <w:t>Materials and Methods</w:t>
      </w:r>
    </w:p>
    <w:p w:rsidR="00430F9C" w:rsidRPr="00986367" w:rsidRDefault="00430F9C" w:rsidP="00430F9C">
      <w:pPr>
        <w:spacing w:after="0"/>
        <w:jc w:val="both"/>
        <w:outlineLvl w:val="0"/>
        <w:rPr>
          <w:rFonts w:ascii="Times New Roman" w:hAnsi="Times New Roman"/>
          <w:b/>
          <w:sz w:val="20"/>
          <w:szCs w:val="20"/>
        </w:rPr>
      </w:pPr>
      <w:r w:rsidRPr="00986367">
        <w:rPr>
          <w:rFonts w:ascii="Times New Roman" w:hAnsi="Times New Roman"/>
          <w:b/>
          <w:sz w:val="20"/>
          <w:szCs w:val="20"/>
        </w:rPr>
        <w:t>Materials</w:t>
      </w:r>
    </w:p>
    <w:p w:rsidR="00430F9C" w:rsidRPr="00986367" w:rsidRDefault="00430F9C" w:rsidP="00430F9C">
      <w:pPr>
        <w:spacing w:after="0"/>
        <w:jc w:val="both"/>
        <w:outlineLvl w:val="0"/>
        <w:rPr>
          <w:rFonts w:ascii="Times New Roman" w:hAnsi="Times New Roman"/>
          <w:sz w:val="20"/>
          <w:szCs w:val="20"/>
        </w:rPr>
      </w:pPr>
      <w:r w:rsidRPr="00986367">
        <w:rPr>
          <w:rFonts w:ascii="Times New Roman" w:hAnsi="Times New Roman"/>
          <w:sz w:val="20"/>
          <w:szCs w:val="20"/>
        </w:rPr>
        <w:t xml:space="preserve">WCO sample was collected from restaurants near USIM and was previously characterized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10.1016/j.matpr.2019.11.010","ISSN":"2214-7853","author":[{"dropping-particle":"","family":"Yahya","given":"Syahirah","non-dropping-particle":"","parse-names":false,"suffix":""},{"dropping-particle":"","family":"Hanis","given":"Farah","non-dropping-particle":"","parse-names":false,"suffix":""},{"dropping-particle":"","family":"Wahida","given":"Farah","non-dropping-particle":"","parse-names":false,"suffix":""}],"container-title":"Materials Today: Proceedings","id":"ITEM-1","issued":{"date-parts":[["2019"]]},"page":"1166-1172","publisher":"Elsevier Ltd.","title":"ScienceDirect Physicochemical Properties of Refined Palm Cooking Oil and Used Palm Cooking Oil","type":"article-journal","volume":"19"},"uris":["http://www.mendeley.com/documents/?uuid=1ea58e93-05eb-41e9-9152-f05d3d6de0a6"]}],"mendeley":{"formattedCitation":"[12]","plainTextFormattedCitation":"[12]","previouslyFormattedCitation":"[12]"},"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[12]</w:t>
      </w:r>
      <w:r w:rsidRPr="00986367">
        <w:rPr>
          <w:rFonts w:ascii="Times New Roman" w:hAnsi="Times New Roman"/>
          <w:sz w:val="20"/>
          <w:szCs w:val="20"/>
        </w:rPr>
        <w:fldChar w:fldCharType="end"/>
      </w:r>
      <w:r w:rsidRPr="00986367">
        <w:rPr>
          <w:rFonts w:ascii="Times New Roman" w:hAnsi="Times New Roman"/>
          <w:sz w:val="20"/>
          <w:szCs w:val="20"/>
        </w:rPr>
        <w:t xml:space="preserve"> with free fatty acid content (%FFA) of 3.97% ± 0.01. Another purchased materials like montmorillonite K10 powder (CAS Number: 318-93-0) and FAME Mix C8 – C24 (CAS Number: CRM18918) were purchased form Sigma-Aldrich, iron(III) chloride, 98%, pure, anhydrous (CAS Number: 7705-08-0) was purchased from Acros Organics™, Methanol anhydrous (CAS Number: 67-56-1) was purchased from SupraSolv and silver nitrate (AgNO</w:t>
      </w:r>
      <w:r w:rsidRPr="00986367">
        <w:rPr>
          <w:rFonts w:ascii="Times New Roman" w:hAnsi="Times New Roman"/>
          <w:sz w:val="20"/>
          <w:szCs w:val="20"/>
          <w:vertAlign w:val="subscript"/>
        </w:rPr>
        <w:t>3</w:t>
      </w:r>
      <w:r w:rsidRPr="00986367">
        <w:rPr>
          <w:rFonts w:ascii="Times New Roman" w:hAnsi="Times New Roman"/>
          <w:sz w:val="20"/>
          <w:szCs w:val="20"/>
        </w:rPr>
        <w:t xml:space="preserve">) (CAS Number: 7761-88-8) was purchased from Fischer Scientific. </w:t>
      </w:r>
    </w:p>
    <w:p w:rsidR="00430F9C" w:rsidRPr="00986367" w:rsidRDefault="00430F9C" w:rsidP="00430F9C">
      <w:pPr>
        <w:spacing w:after="0"/>
        <w:jc w:val="both"/>
        <w:outlineLvl w:val="0"/>
        <w:rPr>
          <w:rFonts w:ascii="Times New Roman" w:hAnsi="Times New Roman"/>
          <w:sz w:val="20"/>
          <w:szCs w:val="20"/>
        </w:rPr>
      </w:pPr>
    </w:p>
    <w:p w:rsidR="00430F9C" w:rsidRDefault="00430F9C" w:rsidP="00430F9C">
      <w:pPr>
        <w:spacing w:after="0"/>
        <w:jc w:val="both"/>
        <w:outlineLvl w:val="0"/>
        <w:rPr>
          <w:rFonts w:ascii="Times New Roman" w:hAnsi="Times New Roman"/>
          <w:b/>
          <w:sz w:val="20"/>
          <w:szCs w:val="20"/>
        </w:rPr>
      </w:pPr>
      <w:r w:rsidRPr="00986367">
        <w:rPr>
          <w:rFonts w:ascii="Times New Roman" w:hAnsi="Times New Roman"/>
          <w:b/>
          <w:sz w:val="20"/>
          <w:szCs w:val="20"/>
        </w:rPr>
        <w:t>Modification of catalyst</w:t>
      </w:r>
    </w:p>
    <w:p w:rsidR="00430F9C" w:rsidRPr="00FD020E" w:rsidRDefault="00430F9C" w:rsidP="00430F9C">
      <w:pPr>
        <w:spacing w:after="0"/>
        <w:jc w:val="both"/>
        <w:outlineLvl w:val="0"/>
        <w:rPr>
          <w:rFonts w:ascii="Times New Roman" w:hAnsi="Times New Roman"/>
          <w:i/>
          <w:iCs/>
          <w:sz w:val="20"/>
          <w:szCs w:val="20"/>
        </w:rPr>
      </w:pPr>
      <w:r w:rsidRPr="00FD020E">
        <w:rPr>
          <w:rFonts w:ascii="Times New Roman" w:hAnsi="Times New Roman"/>
          <w:b/>
          <w:bCs/>
          <w:i/>
          <w:iCs/>
          <w:sz w:val="20"/>
          <w:szCs w:val="20"/>
        </w:rPr>
        <w:t>Method 1</w:t>
      </w:r>
    </w:p>
    <w:p w:rsidR="00430F9C" w:rsidRDefault="00430F9C" w:rsidP="00430F9C">
      <w:pPr>
        <w:spacing w:after="0"/>
        <w:jc w:val="both"/>
        <w:outlineLvl w:val="0"/>
        <w:rPr>
          <w:rFonts w:ascii="Times New Roman" w:hAnsi="Times New Roman"/>
          <w:sz w:val="20"/>
          <w:szCs w:val="20"/>
        </w:rPr>
      </w:pPr>
      <w:r w:rsidRPr="00986367">
        <w:rPr>
          <w:rFonts w:ascii="Times New Roman" w:hAnsi="Times New Roman"/>
          <w:sz w:val="20"/>
          <w:szCs w:val="20"/>
        </w:rPr>
        <w:t xml:space="preserve">The modification steps of montmorillonite K10 by using ion-exchange method were modified from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{"citationItems":[{"id":"ITEM-1","itemData":{"DOI":"10.9767/bcrec.13.1.1397.187-195","ISSN":"1978-2993","abstract":"&lt;p&gt;Clay catalyst has received much attention to replace the homogeneous catalysts in the esterification reaction to produce fatty acid methyl ester as the source of biodiesel as it is low cost, easily available, as well as environmental friendly. However, the use of unmodified clay, in particular montmorillonite K10 (MMT K10), for the esterification of fatty acids showed that the acid conversion was less than 60% and this is not preferable to the production of biodiesel. In this study, synthesis of stearic acid methyl ester using Cu2+-MMT K10 (Cu-MMT K10) was successfully optimized via response surface methodo-logy (RSM) based on 3-variable of Box-Behnken design (BB). The parameters were; reaction time (5-180 minutes), reaction temperature (80-120 oC) and concentration of Cu2+ in MMT K10 (0.25-1 M). The use of RSM in optimizing the conversion of stearic acid was successfully developed as the actual experimental conversion of stearic acid was found similar to the actual values under the optimum conditions. The model equation predicted that the following conditions would generate the maximum conversion of stearic acid (87.05 %reaction time of 62 minutes, a reaction temperature of 80 oC and catalyst used is 1.0 M Cu-MMT K10. This finding can be considered as green catalytic process as it worked at moderate reaction temperature using low cost clay catalyst with a short reaction time. Copyright © 2018 BCREC Group. All rights reservedReceived: 26th July 2017; Revised: 13rd January 2018; Accepted: 13rd January 2018; Available online: 22nd January 2018; Published regularly: 2nd April 2018How to Cite: Almadani, E.A., Harun, F.W., Radzi, S.M., Muhamad, S.K. (2018). Cu2+ Montmorillonite K10 Clay Catalyst as a Green Catalyst for Production of Stearic Acid Methyl Ester: Optimization Using Response Surface Methodology (RSM). Bulletin of Chemical Reaction Engineering &amp;amp; Catalysis, 13 (1): 187-195 (doi:10.9767/bcrec.13.1.1397.187-195) &lt;/p&gt;","author":[{"dropping-particle":"","family":"Almadani","given":"Enas A.","non-dropping-particle":"","parse-names":false,"suffix":""},{"dropping-particle":"","family":"Harun","given":"Farah W.","non-dropping-particle":"","parse-names":false,"suffix":""},{"dropping-particle":"","family":"Radzi","given":"Salina M.","non-dropping-particle":"","parse-names":false,"suffix":""},{"dropping-particle":"","family":"Muhamad","given":"Syamsul K.","non-dropping-particle":"","parse-names":false,"suffix":""}],"container-title":"Bulletin of Chemical Reaction Engineering &amp; Catalysis","id":"ITEM-1","issue":"1","issued":{"date-parts":[["2018","4","2"]]},"page":"187","title":"Cu2+ Montmorillonite K10 Clay Catalyst as a Green Catalyst for Production of Stearic Acid Methyl Ester: Optimization Using Response Surface Methodology (RSM)","type":"article-journal","volume":"13"},"uris":["http://www.mendeley.com/documents/?uuid=2b4f3b4e-b6b6-499e-9045-e867cec0b407","http://www.mendeley.com/documents/?uuid=e94af515-edf4-303b-92f4-494c44e18a07"]},{"id":"ITEM-2","itemData":{"DOI":"10.1016/j.clay.2012.10.005","ISSN":"01691317","abstract":"Several solid acid catalysts were prepared by exchanging metal cations such as Zn2+, Fe3+ and Al3+ with montmorillonite clay. Among these, Al-montmorillonite showed the highest acidity determined by the pyridine-IR as well as NH3-TPD methods. A systematic comparison of the performance of these catalysts along with parent montmorillonite was carried out for the hydroxyalkylation of p-cresol with formaldehyde to give 2, 2'-methylenebis (4-methyl phenol) (DAM). It was found that the activity of these catalysts was in accordance with the increase in acidity of parent montmorillonite after the exchange of cations in the order of Zn2+, Fe3+ and Al3+. The selectivity pattern was also influenced by the exchanged cations. Since Al-montmorillonite showed the highest conversion of 51% with 98% selectivity to DAM, the effects of various reaction parameters, namely, mole ratio, catalyst concentration, temperature, reaction time on conversion and selectivity pattern were also studied using the same catalyst. This catalyst also showed an excellent stability as evidenced by its eight times reuse. © 2012.","author":[{"dropping-particle":"","family":"Jha","given":"A.","non-dropping-particle":"","parse-names":false,"suffix":""},{"dropping-particle":"","family":"Garade","given":"A. C.","non-dropping-particle":"","parse-names":false,"suffix":""},{"dropping-particle":"","family":"Shirai","given":"M.","non-dropping-particle":"","parse-names":false,"suffix":""},{"dropping-particle":"V.","family":"Rode","given":"C.","non-dropping-particle":"","parse-names":false,"suffix":""}],"container-title":"Applied Clay Science","id":"ITEM-2","issued":{"date-parts":[["2013"]]},"page":"141-146","publisher":"Elsevier B.V.","title":"Metal cation-exchanged montmorillonite clay as catalysts for hydroxyalkylation reaction","type":"article-journal","volume":"74"},"uris":["http://www.mendeley.com/documents/?uuid=e73a17b0-0dca-469d-b6f5-ccce0b57a865","http://www.mendeley.com/documents/?uuid=e38e42b7-55eb-4d0b-b1d3-2d67a7d64a43","http://www.mendeley.com/documents/?uuid=99d0c24a-77be-4775-9218-75d816166bf1"]}],"mendeley":{"formattedCitation":"[10], [13]","manualFormatting":"Almadani et al. [10] and Sabri et al. ","plainTextFormattedCitation":"[10], [13]","previouslyFormattedCitation":"[10], [13]"},"properties":{"noteIndex":0},"schema":"https://github.com/citation-style-language/schema/raw/master/csl-citation.json"}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 xml:space="preserve">Almadani et al. </w:t>
      </w:r>
      <w:r w:rsidRPr="00986367">
        <w:rPr>
          <w:rFonts w:ascii="Times New Roman" w:hAnsi="Times New Roman"/>
          <w:noProof/>
          <w:sz w:val="20"/>
          <w:szCs w:val="20"/>
        </w:rPr>
        <w:fldChar w:fldCharType="begin" w:fldLock="1"/>
      </w:r>
      <w:r w:rsidRPr="00986367">
        <w:rPr>
          <w:rFonts w:ascii="Times New Roman" w:hAnsi="Times New Roman"/>
          <w:noProof/>
          <w:sz w:val="20"/>
          <w:szCs w:val="20"/>
        </w:rPr>
        <w:instrText>ADDIN CSL_CITATION {"citationItems":[{"id":"ITEM-1","itemData":{"DOI":"10.9767/bcrec.13.1.1397.187-195","ISSN":"1978-2993","abstract":"&lt;p&gt;Clay catalyst has received much attention to replace the homogeneous catalysts in the esterification reaction to produce fatty acid methyl ester as the source of biodiesel as it is low cost, easily available, as well as environmental friendly. However, the use of unmodified clay, in particular montmorillonite K10 (MMT K10), for the esterification of fatty acids showed that the acid conversion was less than 60% and this is not preferable to the production of biodiesel. In this study, synthesis of stearic acid methyl ester using Cu2+-MMT K10 (Cu-MMT K10) was successfully optimized via response surface methodo-logy (RSM) based on 3-variable of Box-Behnken design (BB). The parameters were; reaction time (5-180 minutes), reaction temperature (80-120 oC) and concentration of Cu2+ in MMT K10 (0.25-1 M). The use of RSM in optimizing the conversion of stearic acid was successfully developed as the actual experimental conversion of stearic acid was found similar to the actual values under the optimum conditions. The model equation predicted that the following conditions would generate the maximum conversion of stearic acid (87.05 %reaction time of 62 minutes, a reaction temperature of 80 oC and catalyst used is 1.0 M Cu-MMT K10. This finding can be considered as green catalytic process as it worked at moderate reaction temperature using low cost clay catalyst with a short reaction time. Copyright © 2018 BCREC Group. All rights reservedReceived: 26th July 2017; Revised: 13rd January 2018; Accepted: 13rd January 2018; Available online: 22nd January 2018; Published regularly: 2nd April 2018How to Cite: Almadani, E.A., Harun, F.W., Radzi, S.M., Muhamad, S.K. (2018). Cu2+ Montmorillonite K10 Clay Catalyst as a Green Catalyst for Production of Stearic Acid Methyl Ester: Optimization Using Response Surface Methodology (RSM). Bulletin of Chemical Reaction Engineering &amp;amp; Catalysis, 13 (1): 187-195 (doi:10.9767/bcrec.13.1.1397.187-195) &lt;/p&gt;","author":[{"dropping-particle":"","family":"Almadani","given":"Enas A.","non-dropping-particle":"","parse-names":false,"suffix":""},{"dropping-particle":"","family":"Harun","given":"Farah W.","non-dropping-particle":"","parse-names":false,"suffix":""},{"dropping-particle":"","family":"Radzi","given":"Salina M.","non-dropping-particle":"","parse-names":false,"suffix":""},{"dropping-particle":"","family":"Muhamad","given":"Syamsul K.","non-dropping-particle":"","parse-names":false,"suffix":""}],"container-title":"Bulletin of Chemical Reaction Engineering &amp; Catalysis","id":"ITEM-1","issue":"1","issued":{"date-parts":[["2018","4","2"]]},"page":"187","title":"Cu2+ Montmorillonite K10 Clay Catalyst as a Green Catalyst for Production of Stearic Acid Methyl Ester: Optimization Using Response Surface Methodology (RSM)","type":"article-journal","volume":"13"},"uris":["http://www.mendeley.com/documents/?uuid=e94af515-edf4-303b-92f4-494c44e18a07"]}],"mendeley":{"formattedCitation":"[10]","plainTextFormattedCitation":"[10]","previouslyFormattedCitation":"[10]"},"properties":{"noteIndex":0},"schema":"https://github.com/citation-style-language/schema/raw/master/csl-citation.json"}</w:instrText>
      </w:r>
      <w:r w:rsidRPr="00986367">
        <w:rPr>
          <w:rFonts w:ascii="Times New Roman" w:hAnsi="Times New Roman"/>
          <w:noProof/>
          <w:sz w:val="20"/>
          <w:szCs w:val="20"/>
        </w:rPr>
        <w:fldChar w:fldCharType="separate"/>
      </w:r>
      <w:r w:rsidRPr="00986367">
        <w:rPr>
          <w:rFonts w:ascii="Times New Roman" w:hAnsi="Times New Roman"/>
          <w:noProof/>
          <w:sz w:val="20"/>
          <w:szCs w:val="20"/>
        </w:rPr>
        <w:t>[10]</w:t>
      </w:r>
      <w:r w:rsidRPr="00986367">
        <w:rPr>
          <w:rFonts w:ascii="Times New Roman" w:hAnsi="Times New Roman"/>
          <w:noProof/>
          <w:sz w:val="20"/>
          <w:szCs w:val="20"/>
        </w:rPr>
        <w:fldChar w:fldCharType="end"/>
      </w:r>
      <w:r w:rsidRPr="00986367">
        <w:rPr>
          <w:rFonts w:ascii="Times New Roman" w:hAnsi="Times New Roman"/>
          <w:noProof/>
          <w:sz w:val="20"/>
          <w:szCs w:val="20"/>
        </w:rPr>
        <w:t xml:space="preserve"> and Sabri et al. </w:t>
      </w:r>
      <w:r w:rsidRPr="00986367">
        <w:rPr>
          <w:rFonts w:ascii="Times New Roman" w:hAnsi="Times New Roman"/>
          <w:sz w:val="20"/>
          <w:szCs w:val="20"/>
        </w:rPr>
        <w:fldChar w:fldCharType="end"/>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author":[{"dropping-particle":"","family":"Mariam","given":"Siti","non-dropping-particle":"","parse-names":false,"suffix":""},{"dropping-particle":"","family":"Sabri","given":"Muhamad","non-dropping-particle":"","parse-names":false,"suffix":""},{"dropping-particle":"","family":"Yahya","given":"Syahirah","non-dropping-particle":"","parse-names":false,"suffix":""},{"dropping-particle":"","family":"Razali","given":"Farah Hanis","non-dropping-particle":"","parse-names":false,"suffix":""},{"dropping-particle":"","family":"Harun","given":"Farah Wahida","non-dropping-particle":"","parse-names":false,"suffix":""}],"id":"ITEM-1","issued":{"date-parts":[["2019"]]},"page":"30-34","title":"Modification of Montmorillonite K10 with Al 3 + and its Potential in Biodiesel Production","type":"article-journal","volume":"4"},"uris":["http://www.mendeley.com/documents/?uuid=8b37941b-bcce-4f51-ad54-8c5e80e249a3"]}],"mendeley":{"formattedCitation":"[11]","plainTextFormattedCitation":"[11]","previouslyFormattedCitation":"[11]"},"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[11]</w:t>
      </w:r>
      <w:r w:rsidRPr="00986367">
        <w:rPr>
          <w:rFonts w:ascii="Times New Roman" w:hAnsi="Times New Roman"/>
          <w:sz w:val="20"/>
          <w:szCs w:val="20"/>
        </w:rPr>
        <w:fldChar w:fldCharType="end"/>
      </w:r>
      <w:r w:rsidRPr="00986367">
        <w:rPr>
          <w:rFonts w:ascii="Times New Roman" w:hAnsi="Times New Roman"/>
          <w:sz w:val="20"/>
          <w:szCs w:val="20"/>
        </w:rPr>
        <w:t>. 14% Fe in montmorillonite K10 was weighed by using FeCl</w:t>
      </w:r>
      <w:r w:rsidRPr="00986367">
        <w:rPr>
          <w:rFonts w:ascii="Times New Roman" w:hAnsi="Times New Roman"/>
          <w:sz w:val="20"/>
          <w:szCs w:val="20"/>
          <w:vertAlign w:val="subscript"/>
        </w:rPr>
        <w:t>3</w:t>
      </w:r>
      <w:r w:rsidRPr="00986367">
        <w:rPr>
          <w:rFonts w:ascii="Times New Roman" w:hAnsi="Times New Roman"/>
          <w:sz w:val="20"/>
          <w:szCs w:val="20"/>
        </w:rPr>
        <w:t xml:space="preserve">. The mass of Fe was calculated using equation 1. </w:t>
      </w:r>
    </w:p>
    <w:p w:rsidR="00430F9C" w:rsidRDefault="00430F9C" w:rsidP="00430F9C">
      <w:pPr>
        <w:spacing w:after="0"/>
        <w:jc w:val="both"/>
        <w:outlineLvl w:val="0"/>
        <w:rPr>
          <w:rFonts w:ascii="Times New Roman" w:hAnsi="Times New Roman"/>
          <w:sz w:val="20"/>
          <w:szCs w:val="20"/>
        </w:rPr>
      </w:pPr>
    </w:p>
    <w:p w:rsidR="00430F9C" w:rsidRPr="0002455E" w:rsidRDefault="00430F9C" w:rsidP="00430F9C">
      <w:pPr>
        <w:spacing w:after="120"/>
        <w:rPr>
          <w:rFonts w:ascii="Times New Roman" w:eastAsiaTheme="minorEastAsia" w:hAnsi="Times New Roman"/>
          <w:noProof/>
          <w:sz w:val="20"/>
          <w:szCs w:val="20"/>
        </w:rPr>
      </w:pPr>
      <m:oMathPara>
        <m:oMathParaPr>
          <m:jc m:val="left"/>
        </m:oMathParaPr>
        <m:oMath>
          <m:r>
            <m:rPr>
              <m:sty m:val="p"/>
            </m:rPr>
            <w:rPr>
              <w:rFonts w:ascii="Cambria Math" w:hAnsi="Cambria Math"/>
              <w:sz w:val="20"/>
              <w:szCs w:val="20"/>
            </w:rPr>
            <m:t>mass of MClx</m:t>
          </m:r>
        </m:oMath>
      </m:oMathPara>
    </w:p>
    <w:p w:rsidR="00430F9C" w:rsidRPr="0002455E" w:rsidRDefault="00430F9C" w:rsidP="00430F9C">
      <w:pPr>
        <w:pStyle w:val="ListParagraph"/>
        <w:spacing w:after="0"/>
        <w:ind w:left="0"/>
        <w:contextualSpacing w:val="0"/>
        <w:rPr>
          <w:rFonts w:ascii="Times New Roman" w:eastAsiaTheme="minorEastAsia" w:hAnsi="Times New Roman"/>
          <w:noProof/>
          <w:sz w:val="20"/>
          <w:szCs w:val="20"/>
        </w:rPr>
      </w:pPr>
      <m:oMathPara>
        <m:oMathParaPr>
          <m:jc m:val="left"/>
        </m:oMathParaPr>
        <m:oMath>
          <m:r>
            <m:rPr>
              <m:sty m:val="p"/>
            </m:rPr>
            <w:rPr>
              <w:rFonts w:ascii="Cambria Math" w:hAnsi="Cambria Math"/>
              <w:sz w:val="20"/>
              <w:szCs w:val="20"/>
            </w:rPr>
            <m:t>=(14</m:t>
          </m:r>
          <m:r>
            <m:rPr>
              <m:nor/>
            </m:rPr>
            <w:rPr>
              <w:rFonts w:ascii="Times New Roman" w:hAnsi="Times New Roman"/>
              <w:iCs/>
              <w:sz w:val="20"/>
              <w:szCs w:val="20"/>
            </w:rPr>
            <m:t>%</m:t>
          </m:r>
          <m:r>
            <m:rPr>
              <m:sty m:val="p"/>
            </m:rPr>
            <w:rPr>
              <w:rFonts w:ascii="Cambria Math" w:hAnsi="Cambria Math"/>
              <w:sz w:val="20"/>
              <w:szCs w:val="20"/>
            </w:rPr>
            <m:t>×5g of montmorillonite  K10)</m:t>
          </m:r>
        </m:oMath>
      </m:oMathPara>
    </w:p>
    <w:p w:rsidR="00430F9C" w:rsidRPr="0002455E" w:rsidRDefault="00430F9C" w:rsidP="00430F9C">
      <w:pPr>
        <w:pStyle w:val="ListParagraph"/>
        <w:spacing w:after="0"/>
        <w:ind w:left="0"/>
        <w:contextualSpacing w:val="0"/>
        <w:rPr>
          <w:rFonts w:ascii="Times New Roman" w:eastAsia="F" w:hAnsi="Times New Roman"/>
          <w:iCs/>
          <w:sz w:val="26"/>
          <w:szCs w:val="26"/>
        </w:rPr>
      </w:pPr>
      <m:oMath>
        <m:r>
          <m:rPr>
            <m:sty m:val="p"/>
          </m:rPr>
          <w:rPr>
            <w:rFonts w:ascii="Cambria Math" w:hAnsi="Cambria Math"/>
            <w:sz w:val="26"/>
            <w:szCs w:val="26"/>
          </w:rPr>
          <m:t xml:space="preserve">    ×</m:t>
        </m:r>
        <m:f>
          <m:fPr>
            <m:ctrlPr>
              <w:rPr>
                <w:rFonts w:ascii="Cambria Math" w:hAnsi="Cambria Math"/>
                <w:iCs/>
                <w:sz w:val="26"/>
                <w:szCs w:val="26"/>
              </w:rPr>
            </m:ctrlPr>
          </m:fPr>
          <m:num>
            <m:r>
              <m:rPr>
                <m:sty m:val="p"/>
              </m:rPr>
              <w:rPr>
                <w:rFonts w:ascii="Cambria Math" w:hAnsi="Cambria Math"/>
                <w:sz w:val="26"/>
                <w:szCs w:val="26"/>
              </w:rPr>
              <m:t>molecular mass of MClx</m:t>
            </m:r>
          </m:num>
          <m:den>
            <m:r>
              <m:rPr>
                <m:sty m:val="p"/>
              </m:rPr>
              <w:rPr>
                <w:rFonts w:ascii="Cambria Math" w:hAnsi="Cambria Math"/>
                <w:sz w:val="26"/>
                <w:szCs w:val="26"/>
              </w:rPr>
              <m:t>Atomic mass of M</m:t>
            </m:r>
          </m:den>
        </m:f>
      </m:oMath>
      <w:r w:rsidRPr="0002455E">
        <w:rPr>
          <w:rFonts w:ascii="Times New Roman" w:eastAsia="F" w:hAnsi="Times New Roman"/>
          <w:iCs/>
          <w:sz w:val="26"/>
          <w:szCs w:val="26"/>
        </w:rPr>
        <w:t xml:space="preserve"> </w:t>
      </w:r>
      <w:r>
        <w:rPr>
          <w:rFonts w:ascii="Times New Roman" w:eastAsia="F" w:hAnsi="Times New Roman"/>
          <w:iCs/>
          <w:sz w:val="26"/>
          <w:szCs w:val="26"/>
        </w:rPr>
        <w:t xml:space="preserve">                        </w:t>
      </w:r>
      <w:r w:rsidRPr="0002455E">
        <w:rPr>
          <w:rFonts w:ascii="Times New Roman" w:eastAsia="F" w:hAnsi="Times New Roman"/>
          <w:iCs/>
          <w:sz w:val="20"/>
          <w:szCs w:val="20"/>
        </w:rPr>
        <w:t>(1)</w:t>
      </w:r>
    </w:p>
    <w:p w:rsidR="00430F9C" w:rsidRDefault="00430F9C" w:rsidP="00430F9C">
      <w:pPr>
        <w:spacing w:after="0"/>
        <w:jc w:val="both"/>
        <w:outlineLvl w:val="0"/>
        <w:rPr>
          <w:rFonts w:ascii="Times New Roman" w:hAnsi="Times New Roman"/>
          <w:sz w:val="20"/>
          <w:szCs w:val="20"/>
        </w:rPr>
      </w:pPr>
    </w:p>
    <w:p w:rsidR="00430F9C" w:rsidRDefault="00430F9C" w:rsidP="00430F9C">
      <w:pPr>
        <w:spacing w:after="0"/>
        <w:jc w:val="both"/>
        <w:outlineLvl w:val="0"/>
        <w:rPr>
          <w:rFonts w:ascii="Times New Roman" w:hAnsi="Times New Roman"/>
          <w:sz w:val="20"/>
          <w:szCs w:val="20"/>
        </w:rPr>
      </w:pPr>
    </w:p>
    <w:p w:rsidR="00430F9C" w:rsidRDefault="00430F9C" w:rsidP="00430F9C">
      <w:pPr>
        <w:spacing w:after="0"/>
        <w:jc w:val="both"/>
        <w:rPr>
          <w:rFonts w:ascii="Times New Roman" w:hAnsi="Times New Roman"/>
          <w:sz w:val="20"/>
          <w:szCs w:val="20"/>
        </w:rPr>
      </w:pPr>
      <w:r w:rsidRPr="00986367">
        <w:rPr>
          <w:rFonts w:ascii="Times New Roman" w:hAnsi="Times New Roman"/>
          <w:sz w:val="20"/>
          <w:szCs w:val="20"/>
        </w:rPr>
        <w:lastRenderedPageBreak/>
        <w:t>Then, FeCl</w:t>
      </w:r>
      <w:r w:rsidRPr="00986367">
        <w:rPr>
          <w:rFonts w:ascii="Times New Roman" w:hAnsi="Times New Roman"/>
          <w:sz w:val="20"/>
          <w:szCs w:val="20"/>
          <w:vertAlign w:val="subscript"/>
        </w:rPr>
        <w:t>3</w:t>
      </w:r>
      <w:r w:rsidRPr="00986367">
        <w:rPr>
          <w:rFonts w:ascii="Times New Roman" w:hAnsi="Times New Roman"/>
          <w:sz w:val="20"/>
          <w:szCs w:val="20"/>
        </w:rPr>
        <w:t xml:space="preserve"> was dissolved in 80 mL distilled water and mixed with 5 g of montmorillonite K10 clay. The mixture was let in stirring condition at 300 rpm for 7 hours at 80 °C with loose closed cap to avoid evaporation. After that, it was filtered and rinsed for a few times until no Cl</w:t>
      </w:r>
      <w:r w:rsidRPr="00986367">
        <w:rPr>
          <w:rFonts w:ascii="Times New Roman" w:hAnsi="Times New Roman"/>
          <w:sz w:val="20"/>
          <w:szCs w:val="20"/>
          <w:vertAlign w:val="superscript"/>
        </w:rPr>
        <w:t>-</w:t>
      </w:r>
      <w:r w:rsidRPr="00986367">
        <w:rPr>
          <w:rFonts w:ascii="Times New Roman" w:hAnsi="Times New Roman"/>
          <w:sz w:val="20"/>
          <w:szCs w:val="20"/>
        </w:rPr>
        <w:t xml:space="preserve"> ion was detected by AgNO</w:t>
      </w:r>
      <w:r w:rsidRPr="00986367">
        <w:rPr>
          <w:rFonts w:ascii="Times New Roman" w:hAnsi="Times New Roman"/>
          <w:sz w:val="20"/>
          <w:szCs w:val="20"/>
          <w:vertAlign w:val="subscript"/>
        </w:rPr>
        <w:t>3</w:t>
      </w:r>
      <w:r w:rsidRPr="00986367">
        <w:rPr>
          <w:rFonts w:ascii="Times New Roman" w:hAnsi="Times New Roman"/>
          <w:sz w:val="20"/>
          <w:szCs w:val="20"/>
        </w:rPr>
        <w:t xml:space="preserve"> drop. This is to ensure the excessive ions were removed. The residue was collected and dried in the oven at 105 °C for overnight before allowed to be calcined at 500 °C for 4 hours. </w:t>
      </w:r>
    </w:p>
    <w:p w:rsidR="00430F9C" w:rsidRDefault="00430F9C" w:rsidP="00430F9C">
      <w:pPr>
        <w:spacing w:after="0"/>
        <w:jc w:val="both"/>
        <w:rPr>
          <w:rFonts w:ascii="Times New Roman" w:hAnsi="Times New Roman"/>
          <w:sz w:val="20"/>
          <w:szCs w:val="20"/>
        </w:rPr>
      </w:pPr>
    </w:p>
    <w:p w:rsidR="00430F9C" w:rsidRPr="00692EBB" w:rsidRDefault="00430F9C" w:rsidP="00430F9C">
      <w:pPr>
        <w:spacing w:after="0"/>
        <w:jc w:val="both"/>
        <w:rPr>
          <w:rFonts w:ascii="Times New Roman" w:hAnsi="Times New Roman"/>
          <w:i/>
          <w:iCs/>
          <w:sz w:val="20"/>
          <w:szCs w:val="20"/>
        </w:rPr>
      </w:pPr>
      <w:r w:rsidRPr="00692EBB">
        <w:rPr>
          <w:rFonts w:ascii="Times New Roman" w:hAnsi="Times New Roman"/>
          <w:b/>
          <w:bCs/>
          <w:i/>
          <w:iCs/>
          <w:sz w:val="20"/>
          <w:szCs w:val="20"/>
        </w:rPr>
        <w:t>Method 2</w:t>
      </w:r>
    </w:p>
    <w:p w:rsidR="00430F9C" w:rsidRDefault="00430F9C" w:rsidP="00430F9C">
      <w:pPr>
        <w:spacing w:after="0"/>
        <w:jc w:val="both"/>
        <w:rPr>
          <w:rFonts w:ascii="Times New Roman" w:hAnsi="Times New Roman"/>
          <w:sz w:val="20"/>
          <w:szCs w:val="20"/>
        </w:rPr>
      </w:pPr>
      <w:r w:rsidRPr="00986367">
        <w:rPr>
          <w:rFonts w:ascii="Times New Roman" w:hAnsi="Times New Roman"/>
          <w:sz w:val="20"/>
          <w:szCs w:val="20"/>
        </w:rPr>
        <w:t>The same steps as in Method 1 were repeated by using 27% FeCl</w:t>
      </w:r>
      <w:r w:rsidRPr="00986367">
        <w:rPr>
          <w:rFonts w:ascii="Times New Roman" w:hAnsi="Times New Roman"/>
          <w:sz w:val="20"/>
          <w:szCs w:val="20"/>
          <w:vertAlign w:val="subscript"/>
        </w:rPr>
        <w:t>3</w:t>
      </w:r>
      <w:r w:rsidRPr="00986367">
        <w:rPr>
          <w:rFonts w:ascii="Times New Roman" w:hAnsi="Times New Roman"/>
          <w:sz w:val="20"/>
          <w:szCs w:val="20"/>
        </w:rPr>
        <w:t xml:space="preserve"> and denoted as 27% Fe-MMT K10. </w:t>
      </w:r>
    </w:p>
    <w:p w:rsidR="00430F9C" w:rsidRDefault="00430F9C" w:rsidP="00430F9C">
      <w:pPr>
        <w:spacing w:after="0"/>
        <w:jc w:val="both"/>
        <w:rPr>
          <w:rFonts w:ascii="Times New Roman" w:hAnsi="Times New Roman"/>
          <w:sz w:val="20"/>
          <w:szCs w:val="20"/>
        </w:rPr>
      </w:pPr>
    </w:p>
    <w:p w:rsidR="00430F9C" w:rsidRPr="00692EBB" w:rsidRDefault="00430F9C" w:rsidP="00430F9C">
      <w:pPr>
        <w:spacing w:after="0"/>
        <w:jc w:val="both"/>
        <w:rPr>
          <w:rFonts w:ascii="Times New Roman" w:hAnsi="Times New Roman"/>
          <w:b/>
          <w:bCs/>
          <w:i/>
          <w:iCs/>
          <w:sz w:val="20"/>
          <w:szCs w:val="20"/>
        </w:rPr>
      </w:pPr>
      <w:r w:rsidRPr="00692EBB">
        <w:rPr>
          <w:rFonts w:ascii="Times New Roman" w:hAnsi="Times New Roman"/>
          <w:b/>
          <w:bCs/>
          <w:i/>
          <w:iCs/>
          <w:sz w:val="20"/>
          <w:szCs w:val="20"/>
        </w:rPr>
        <w:t>Method 3</w:t>
      </w:r>
    </w:p>
    <w:p w:rsidR="00430F9C" w:rsidRDefault="00430F9C" w:rsidP="00430F9C">
      <w:pPr>
        <w:spacing w:after="0"/>
        <w:jc w:val="both"/>
        <w:rPr>
          <w:rFonts w:ascii="Times New Roman" w:hAnsi="Times New Roman"/>
          <w:sz w:val="20"/>
          <w:szCs w:val="20"/>
        </w:rPr>
      </w:pPr>
      <w:r w:rsidRPr="00986367">
        <w:rPr>
          <w:rFonts w:ascii="Times New Roman" w:hAnsi="Times New Roman"/>
          <w:sz w:val="20"/>
          <w:szCs w:val="20"/>
        </w:rPr>
        <w:t>The modification method was improved by weighing 20% Fe in montmorillonite K10 clay and left in stirring condition at a slightly lower temperature i.e. 40 °C as compared to method 1 and 2. The mixture was stirred until it became montmorillonite K10 by mass and dissolved in 25 mL of distilled water. The FeCl</w:t>
      </w:r>
      <w:r w:rsidRPr="00986367">
        <w:rPr>
          <w:rFonts w:ascii="Times New Roman" w:hAnsi="Times New Roman"/>
          <w:sz w:val="20"/>
          <w:szCs w:val="20"/>
          <w:vertAlign w:val="subscript"/>
        </w:rPr>
        <w:t>3</w:t>
      </w:r>
      <w:r w:rsidRPr="00986367">
        <w:rPr>
          <w:rFonts w:ascii="Times New Roman" w:hAnsi="Times New Roman"/>
          <w:sz w:val="20"/>
          <w:szCs w:val="20"/>
        </w:rPr>
        <w:t xml:space="preserve"> solution was mixed with 5 g of slurry to allow the optimum ions exchange </w:t>
      </w:r>
      <w:r w:rsidRPr="00986367">
        <w:rPr>
          <w:rFonts w:ascii="Times New Roman" w:hAnsi="Times New Roman"/>
          <w:sz w:val="20"/>
          <w:szCs w:val="20"/>
        </w:rPr>
        <w:fldChar w:fldCharType="begin" w:fldLock="1"/>
      </w:r>
      <w:r w:rsidRPr="00986367">
        <w:rPr>
          <w:rFonts w:ascii="Times New Roman" w:hAnsi="Times New Roman"/>
          <w:sz w:val="20"/>
          <w:szCs w:val="20"/>
        </w:rPr>
        <w:instrText>ADDIN CSL_CITATION {"citationItems":[{"id":"ITEM-1","itemData":{"DOI":"10.1016/j.renene.2017.12.104","ISSN":"09601481","author":[{"dropping-particle":"","family":"Liu","given":"Jie","non-dropping-particle":"","parse-names":false,"suffix":""},{"dropping-particle":"","family":"Wang","given":"Xue-Qian","non-dropping-particle":"","parse-names":false,"suffix":""},{"dropping-particle":"","family":"Yang","given":"Bei-Bei","non-dropping-particle":"","parse-names":false,"suffix":""},{"dropping-particle":"","family":"Liu","given":"Chun-Ling","non-dropping-particle":"","parse-names":false,"suffix":""},{"dropping-particle":"","family":"Xu","given":"Chun-Li","non-dropping-particle":"","parse-names":false,"suffix":""},{"dropping-particle":"","family":"Dong","given":"Wen-Sheng","non-dropping-particle":"","parse-names":false,"suffix":""}],"container-title":"Renewable Energy","id":"ITEM-1","issued":{"date-parts":[["2018","5"]]},"page":"231-240","title":"Highly efficient conversion of glucose into methyl levulinate catalyzed by tin-exchanged montmorillonite","type":"article-journal","volume":"120"},"uris":["http://www.mendeley.com/documents/?uuid=8e9a8f95-162e-356d-a2e5-56a010fcfbbd"]},{"id":"ITEM-2","itemData":{"DOI":"10.1016/J.CLAY.2009.11.053","ISSN":"0169-1317","abstract":"Esterification reactions over Al3+ montmorillonite as solid acid catalyst under microwave irradiation are reported. The activity of Al3+ montmorillonite catalyst for esterification of butyl alcohol with different alkanoic acids like ethanoic acid, butanoic acid, hexanoic acid, octanoic acid and decanoic acid has been studied both under microwave and conventional heating in the presence and absence of solvent. The highest conversion of 80% butyl acetate was obtained for the molar ratio1:2 (acid:alcohol), 0.5g of catalyst at 413K in 30min under microwave irradiation conditions. In order to understand the type of effect responsible for lower yield of longer chain alkanoic acids, esterification of benzoic acid with p-cresol was carried out over metal ion exchanged montmorillonite catalysts under solvent less conditions using microwave irradiation. These results have been compared with different metal ion exchanged montmorillonite and ZSM-5 zeolite catalyzed esterification. Among the catalysts studied, Al3+ exchanged montmorillonite showed higher activity than the solid acids like ZSM-5 and other metal ion exchanged montmorillonite. This observation confirmed the absence of steric constraint aspect on modified montmorillonite during esterification. The influence of molar ratio of reactants, time, temperature and catalyst amount on the esterification was investigated under microwave irradiation. Microwave assisted synthesis has the potential to develop into a cost efficient route for ester synthesis.","author":[{"dropping-particle":"","family":"Ramesh","given":"S.","non-dropping-particle":"","parse-names":false,"suffix":""},{"dropping-particle":"","family":"Prakash","given":"B.S. Jai","non-dropping-particle":"","parse-names":false,"suffix":""},{"dropping-particle":"","family":"Bhat","given":"Y.S.","non-dropping-particle":"","parse-names":false,"suffix":""}],"container-title":"Applied Clay Science","id":"ITEM-2","issue":"1-2","issued":{"date-parts":[["2010","3"]]},"page":"159-163","publisher":"Elsevier","title":"Enhancing Brønsted acid site activity of ion exchanged montmorillonite by microwave irradiation for ester synthesis","type":"article-journal","volume":"48"},"uris":["http://www.mendeley.com/documents/?uuid=5e1ca843-88fb-45da-a689-d04436214ef2"]}],"mendeley":{"formattedCitation":"[14], [15]","plainTextFormattedCitation":"[14], [15]","previouslyFormattedCitation":"[14], [15]"},"properties":{"noteIndex":0},"schema":"https://github.com/citation-style-language/schema/raw/master/csl-citation.json"}</w:instrText>
      </w:r>
      <w:r w:rsidRPr="00986367">
        <w:rPr>
          <w:rFonts w:ascii="Times New Roman" w:hAnsi="Times New Roman"/>
          <w:sz w:val="20"/>
          <w:szCs w:val="20"/>
        </w:rPr>
        <w:fldChar w:fldCharType="separate"/>
      </w:r>
      <w:r w:rsidRPr="00986367">
        <w:rPr>
          <w:rFonts w:ascii="Times New Roman" w:hAnsi="Times New Roman"/>
          <w:noProof/>
          <w:sz w:val="20"/>
          <w:szCs w:val="20"/>
        </w:rPr>
        <w:t>[14, 15]</w:t>
      </w:r>
      <w:r w:rsidRPr="00986367">
        <w:rPr>
          <w:rFonts w:ascii="Times New Roman" w:hAnsi="Times New Roman"/>
          <w:sz w:val="20"/>
          <w:szCs w:val="20"/>
        </w:rPr>
        <w:fldChar w:fldCharType="end"/>
      </w:r>
      <w:r w:rsidRPr="00986367">
        <w:rPr>
          <w:rFonts w:ascii="Times New Roman" w:hAnsi="Times New Roman"/>
          <w:sz w:val="20"/>
          <w:szCs w:val="20"/>
        </w:rPr>
        <w:t>. It took 24 h to let the mixture became slurry. The purpose of slurry condition was to ensure the Fe rich environment surrounded the montmorillonite K10, hence promoted the ion exchange to occur. After that, the slurry mixture was washed with distilled water to remove excessive ions</w:t>
      </w:r>
      <w:r>
        <w:rPr>
          <w:rFonts w:ascii="Times New Roman" w:hAnsi="Times New Roman"/>
          <w:sz w:val="20"/>
          <w:szCs w:val="20"/>
        </w:rPr>
        <w:t xml:space="preserve"> followed  by dry</w:t>
      </w:r>
      <w:r w:rsidRPr="00986367">
        <w:rPr>
          <w:rFonts w:ascii="Times New Roman" w:hAnsi="Times New Roman"/>
          <w:sz w:val="20"/>
          <w:szCs w:val="20"/>
        </w:rPr>
        <w:t xml:space="preserve">ng </w:t>
      </w:r>
      <w:r>
        <w:rPr>
          <w:rFonts w:ascii="Times New Roman" w:hAnsi="Times New Roman"/>
          <w:sz w:val="20"/>
          <w:szCs w:val="20"/>
        </w:rPr>
        <w:t xml:space="preserve"> </w:t>
      </w:r>
      <w:r w:rsidRPr="00986367">
        <w:rPr>
          <w:rFonts w:ascii="Times New Roman" w:hAnsi="Times New Roman"/>
          <w:sz w:val="20"/>
          <w:szCs w:val="20"/>
        </w:rPr>
        <w:t xml:space="preserve">and </w:t>
      </w:r>
      <w:r>
        <w:rPr>
          <w:rFonts w:ascii="Times New Roman" w:hAnsi="Times New Roman"/>
          <w:sz w:val="20"/>
          <w:szCs w:val="20"/>
        </w:rPr>
        <w:t xml:space="preserve"> </w:t>
      </w:r>
      <w:r w:rsidRPr="00986367">
        <w:rPr>
          <w:rFonts w:ascii="Times New Roman" w:hAnsi="Times New Roman"/>
          <w:sz w:val="20"/>
          <w:szCs w:val="20"/>
        </w:rPr>
        <w:t>calcination</w:t>
      </w:r>
      <w:r>
        <w:rPr>
          <w:rFonts w:ascii="Times New Roman" w:hAnsi="Times New Roman"/>
          <w:sz w:val="20"/>
          <w:szCs w:val="20"/>
        </w:rPr>
        <w:t xml:space="preserve"> </w:t>
      </w:r>
      <w:r w:rsidRPr="00986367">
        <w:rPr>
          <w:rFonts w:ascii="Times New Roman" w:hAnsi="Times New Roman"/>
          <w:sz w:val="20"/>
          <w:szCs w:val="20"/>
        </w:rPr>
        <w:t xml:space="preserve"> steps as in Method 1. The catalyst was labeled as 20% Fe-MMT K10. Figure 1 shows the steps of ion-exchange method. </w:t>
      </w:r>
    </w:p>
    <w:p w:rsidR="00430F9C" w:rsidRDefault="00430F9C" w:rsidP="00FD020E">
      <w:pPr>
        <w:spacing w:after="0"/>
        <w:jc w:val="both"/>
        <w:outlineLvl w:val="0"/>
        <w:rPr>
          <w:rFonts w:ascii="Times New Roman" w:hAnsi="Times New Roman"/>
          <w:sz w:val="20"/>
          <w:szCs w:val="20"/>
        </w:rPr>
      </w:pPr>
    </w:p>
    <w:p w:rsidR="00430F9C" w:rsidRDefault="00430F9C" w:rsidP="00430F9C">
      <w:pPr>
        <w:pStyle w:val="Caption"/>
        <w:spacing w:before="0" w:after="0" w:line="276" w:lineRule="auto"/>
        <w:jc w:val="both"/>
        <w:rPr>
          <w:rFonts w:ascii="Times New Roman" w:hAnsi="Times New Roman" w:cs="Times New Roman"/>
          <w:b/>
          <w:bCs/>
          <w:i w:val="0"/>
          <w:iCs w:val="0"/>
          <w:sz w:val="20"/>
          <w:szCs w:val="20"/>
        </w:rPr>
      </w:pPr>
      <w:r w:rsidRPr="00E0529B">
        <w:rPr>
          <w:rFonts w:ascii="Times New Roman" w:hAnsi="Times New Roman" w:cs="Times New Roman"/>
          <w:b/>
          <w:bCs/>
          <w:i w:val="0"/>
          <w:iCs w:val="0"/>
          <w:sz w:val="20"/>
          <w:szCs w:val="20"/>
        </w:rPr>
        <w:t>Characterization</w:t>
      </w:r>
      <w:r>
        <w:rPr>
          <w:rFonts w:ascii="Times New Roman" w:hAnsi="Times New Roman" w:cs="Times New Roman"/>
          <w:b/>
          <w:bCs/>
          <w:i w:val="0"/>
          <w:iCs w:val="0"/>
          <w:sz w:val="20"/>
          <w:szCs w:val="20"/>
        </w:rPr>
        <w:t xml:space="preserve"> of catalyst</w:t>
      </w:r>
    </w:p>
    <w:p w:rsidR="00430F9C" w:rsidRPr="00430F9C" w:rsidRDefault="00430F9C" w:rsidP="00430F9C">
      <w:pPr>
        <w:pStyle w:val="Caption"/>
        <w:spacing w:before="0" w:after="0" w:line="276" w:lineRule="auto"/>
        <w:jc w:val="both"/>
        <w:rPr>
          <w:rFonts w:ascii="Times New Roman" w:hAnsi="Times New Roman" w:cs="Times New Roman"/>
          <w:b/>
          <w:bCs/>
          <w:iCs w:val="0"/>
          <w:sz w:val="20"/>
          <w:szCs w:val="20"/>
        </w:rPr>
      </w:pPr>
      <w:r w:rsidRPr="00430F9C">
        <w:rPr>
          <w:rFonts w:ascii="Times New Roman" w:hAnsi="Times New Roman" w:cs="Times New Roman"/>
          <w:b/>
          <w:bCs/>
          <w:iCs w:val="0"/>
          <w:sz w:val="20"/>
          <w:szCs w:val="20"/>
        </w:rPr>
        <w:t>X-ray diffractometers (XRD)</w:t>
      </w:r>
    </w:p>
    <w:p w:rsidR="00430F9C" w:rsidRDefault="00430F9C" w:rsidP="00430F9C">
      <w:pPr>
        <w:spacing w:after="0"/>
        <w:jc w:val="both"/>
        <w:rPr>
          <w:rFonts w:ascii="Times New Roman" w:hAnsi="Times New Roman"/>
          <w:sz w:val="20"/>
          <w:szCs w:val="20"/>
        </w:rPr>
      </w:pPr>
      <w:r w:rsidRPr="00986367">
        <w:rPr>
          <w:rFonts w:ascii="Times New Roman" w:hAnsi="Times New Roman"/>
          <w:sz w:val="20"/>
          <w:szCs w:val="20"/>
        </w:rPr>
        <w:t>The diffraction patterns of montmorillonite K10 and the modified montmorillonite K10 were identified by using SHIMADZU X-ray Diffractometers (Lab X, XRD-6000). The XRD was calibrated with zero diffraction plate which was made up of silica. After that, dry sample was pressed compactly on the plate. The method of analyzing was set-up at continuous mode with the scan axis 2Theta/Theta, with the scan condition range 5 – 80°, step 0.02°, speed 2°/min and the preset time 0.6 sec while the voltage use</w:t>
      </w:r>
      <w:r>
        <w:rPr>
          <w:rFonts w:ascii="Times New Roman" w:hAnsi="Times New Roman"/>
          <w:sz w:val="20"/>
          <w:szCs w:val="20"/>
        </w:rPr>
        <w:t xml:space="preserve">d was 30 kV and current 30 mA. </w:t>
      </w:r>
    </w:p>
    <w:p w:rsidR="00E0529B" w:rsidRDefault="00E0529B" w:rsidP="00430F9C">
      <w:pPr>
        <w:spacing w:after="0"/>
        <w:jc w:val="both"/>
        <w:rPr>
          <w:rFonts w:ascii="Times New Roman" w:hAnsi="Times New Roman"/>
          <w:b/>
          <w:bCs/>
          <w:sz w:val="20"/>
          <w:szCs w:val="20"/>
        </w:rPr>
        <w:sectPr w:rsidR="00E0529B" w:rsidSect="00177EFA">
          <w:headerReference w:type="even" r:id="rId24"/>
          <w:headerReference w:type="default" r:id="rId25"/>
          <w:footerReference w:type="default" r:id="rId26"/>
          <w:headerReference w:type="first" r:id="rId27"/>
          <w:type w:val="oddPage"/>
          <w:pgSz w:w="12240" w:h="15840" w:code="1"/>
          <w:pgMar w:top="1800" w:right="1469" w:bottom="1699" w:left="1440" w:header="706" w:footer="706" w:gutter="0"/>
          <w:pgNumType w:start="1"/>
          <w:cols w:num="2" w:space="403"/>
          <w:docGrid w:linePitch="360"/>
        </w:sectPr>
      </w:pPr>
    </w:p>
    <w:p w:rsidR="00430F9C" w:rsidRPr="00E0529B" w:rsidRDefault="00430F9C" w:rsidP="00430F9C">
      <w:pPr>
        <w:spacing w:after="0"/>
        <w:jc w:val="both"/>
        <w:rPr>
          <w:rFonts w:ascii="Times New Roman" w:hAnsi="Times New Roman"/>
          <w:b/>
          <w:bCs/>
          <w:i/>
          <w:sz w:val="20"/>
          <w:szCs w:val="20"/>
        </w:rPr>
      </w:pPr>
      <w:r w:rsidRPr="00E0529B">
        <w:rPr>
          <w:rFonts w:ascii="Times New Roman" w:hAnsi="Times New Roman"/>
          <w:b/>
          <w:bCs/>
          <w:i/>
          <w:sz w:val="20"/>
          <w:szCs w:val="20"/>
        </w:rPr>
        <w:lastRenderedPageBreak/>
        <w:t>Scanning electron microscope with energy dispersive X-ray (SEM-EDX)</w:t>
      </w:r>
    </w:p>
    <w:p w:rsidR="00430F9C" w:rsidRDefault="00430F9C" w:rsidP="00E0529B">
      <w:pPr>
        <w:spacing w:after="0"/>
        <w:jc w:val="both"/>
        <w:rPr>
          <w:rFonts w:ascii="Times New Roman" w:hAnsi="Times New Roman"/>
          <w:sz w:val="20"/>
          <w:szCs w:val="20"/>
        </w:rPr>
      </w:pPr>
      <w:r w:rsidRPr="00430F9C">
        <w:rPr>
          <w:rFonts w:ascii="Times New Roman" w:hAnsi="Times New Roman"/>
          <w:sz w:val="20"/>
          <w:szCs w:val="20"/>
        </w:rPr>
        <w:t>The morphology of catalysts was analyzed using Hitachi SU 1510 SEM. It was analyzed with magnification 1500x at 15 kV with 8.0 mm distance of laser tip to dental surface. Temperature-programmed desorption with ammonia desorption (TPD-NH</w:t>
      </w:r>
      <w:r w:rsidRPr="00430F9C">
        <w:rPr>
          <w:rFonts w:ascii="Times New Roman" w:hAnsi="Times New Roman"/>
          <w:sz w:val="20"/>
          <w:szCs w:val="20"/>
          <w:vertAlign w:val="subscript"/>
        </w:rPr>
        <w:t>3</w:t>
      </w:r>
      <w:r w:rsidRPr="00430F9C">
        <w:rPr>
          <w:rFonts w:ascii="Times New Roman" w:hAnsi="Times New Roman"/>
          <w:sz w:val="20"/>
          <w:szCs w:val="20"/>
        </w:rPr>
        <w:t>):</w:t>
      </w:r>
      <w:r w:rsidRPr="00430F9C">
        <w:rPr>
          <w:rFonts w:ascii="Times New Roman" w:hAnsi="Times New Roman"/>
          <w:i/>
          <w:iCs/>
          <w:sz w:val="20"/>
          <w:szCs w:val="20"/>
        </w:rPr>
        <w:t xml:space="preserve"> </w:t>
      </w:r>
      <w:r w:rsidRPr="00430F9C">
        <w:rPr>
          <w:rFonts w:ascii="Times New Roman" w:hAnsi="Times New Roman"/>
          <w:sz w:val="20"/>
          <w:szCs w:val="20"/>
        </w:rPr>
        <w:t xml:space="preserve">The Lewis and Brønsted acid sites were analyzed using Thermo Scientific TPDRO 1100. About 0.05 g of sample was placed in the reactor, treated under 150 °C. </w:t>
      </w:r>
    </w:p>
    <w:p w:rsidR="00E0529B" w:rsidRDefault="00E0529B" w:rsidP="00E0529B">
      <w:pPr>
        <w:spacing w:after="0"/>
        <w:jc w:val="both"/>
        <w:rPr>
          <w:rFonts w:ascii="Times New Roman" w:hAnsi="Times New Roman"/>
          <w:sz w:val="20"/>
          <w:szCs w:val="20"/>
        </w:rPr>
      </w:pPr>
    </w:p>
    <w:p w:rsidR="00E0529B" w:rsidRPr="00430F9C" w:rsidRDefault="00E0529B" w:rsidP="00E0529B">
      <w:pPr>
        <w:spacing w:after="0"/>
        <w:jc w:val="both"/>
        <w:rPr>
          <w:rFonts w:ascii="Times New Roman" w:hAnsi="Times New Roman"/>
          <w:sz w:val="20"/>
          <w:szCs w:val="20"/>
        </w:rPr>
      </w:pPr>
      <w:r w:rsidRPr="00430F9C">
        <w:rPr>
          <w:rFonts w:ascii="Times New Roman" w:hAnsi="Times New Roman"/>
          <w:b/>
          <w:bCs/>
          <w:sz w:val="20"/>
          <w:szCs w:val="20"/>
        </w:rPr>
        <w:t>Catalytic screening</w:t>
      </w:r>
    </w:p>
    <w:p w:rsidR="00E0529B" w:rsidRPr="00430F9C" w:rsidRDefault="00E0529B" w:rsidP="00E0529B">
      <w:pPr>
        <w:spacing w:after="0"/>
        <w:jc w:val="both"/>
        <w:rPr>
          <w:rFonts w:ascii="Times New Roman" w:hAnsi="Times New Roman"/>
          <w:sz w:val="20"/>
          <w:szCs w:val="20"/>
        </w:rPr>
      </w:pPr>
      <w:r w:rsidRPr="00430F9C">
        <w:rPr>
          <w:rFonts w:ascii="Times New Roman" w:hAnsi="Times New Roman"/>
          <w:sz w:val="20"/>
          <w:szCs w:val="20"/>
        </w:rPr>
        <w:t xml:space="preserve">The prepared solid acid catalysts were evaluated for the synthesis of biodiesel from WCO under identical reaction conditions; 6 hours reaction period, 12:1 methanol to oil molar ratio and 4% w/w catalyst at 130 °C </w:t>
      </w:r>
      <w:r w:rsidRPr="00430F9C">
        <w:rPr>
          <w:rFonts w:ascii="Times New Roman" w:hAnsi="Times New Roman"/>
          <w:i/>
          <w:iCs/>
          <w:sz w:val="20"/>
          <w:szCs w:val="20"/>
        </w:rPr>
        <w:t>via</w:t>
      </w:r>
      <w:r w:rsidRPr="00430F9C">
        <w:rPr>
          <w:rFonts w:ascii="Times New Roman" w:hAnsi="Times New Roman"/>
          <w:sz w:val="20"/>
          <w:szCs w:val="20"/>
        </w:rPr>
        <w:t xml:space="preserve"> reflux system connected to circulatory chiller (Figure 2). Prior to the reaction, WCO was filtered to remove insoluble impurities and further heating above 105 °C for overnight to remove the moisture. This was to ensure no strange particle that may inhibit the </w:t>
      </w:r>
      <w:r w:rsidRPr="00430F9C">
        <w:rPr>
          <w:rFonts w:ascii="Times New Roman" w:hAnsi="Times New Roman"/>
          <w:sz w:val="20"/>
          <w:szCs w:val="20"/>
        </w:rPr>
        <w:lastRenderedPageBreak/>
        <w:t>reaction. The efficiency of catalyst was studied based on the acid conversion (Equation 2) and fatty acid methyl ester (FAME) yield (Equation 3).</w:t>
      </w:r>
    </w:p>
    <w:p w:rsidR="00E0529B" w:rsidRPr="00430F9C" w:rsidRDefault="00E0529B" w:rsidP="00E0529B">
      <w:pPr>
        <w:spacing w:after="0"/>
        <w:jc w:val="both"/>
        <w:outlineLvl w:val="0"/>
        <w:rPr>
          <w:rFonts w:ascii="Times New Roman" w:hAnsi="Times New Roman"/>
          <w:sz w:val="20"/>
          <w:szCs w:val="20"/>
        </w:rPr>
      </w:pPr>
    </w:p>
    <w:p w:rsidR="00E0529B" w:rsidRPr="00430F9C" w:rsidRDefault="00E0529B" w:rsidP="00E0529B">
      <w:pPr>
        <w:spacing w:after="0"/>
        <w:jc w:val="both"/>
        <w:outlineLvl w:val="0"/>
        <w:rPr>
          <w:rFonts w:ascii="Times New Roman" w:hAnsi="Times New Roman"/>
          <w:sz w:val="20"/>
          <w:szCs w:val="20"/>
        </w:rPr>
      </w:pPr>
      <m:oMath>
        <m:r>
          <m:rPr>
            <m:sty m:val="p"/>
          </m:rPr>
          <w:rPr>
            <w:rFonts w:ascii="Cambria Math" w:hAnsi="Cambria Math"/>
            <w:sz w:val="20"/>
            <w:szCs w:val="20"/>
          </w:rPr>
          <m:t xml:space="preserve">% Acid Conversion= </m:t>
        </m:r>
        <m:f>
          <m:fPr>
            <m:ctrlPr>
              <w:rPr>
                <w:rFonts w:ascii="Cambria Math" w:hAnsi="Cambria Math"/>
                <w:iCs/>
                <w:sz w:val="20"/>
                <w:szCs w:val="20"/>
              </w:rPr>
            </m:ctrlPr>
          </m:fPr>
          <m:num>
            <m:sSub>
              <m:sSubPr>
                <m:ctrlPr>
                  <w:rPr>
                    <w:rFonts w:ascii="Cambria Math" w:hAnsi="Cambria Math"/>
                    <w:iCs/>
                    <w:sz w:val="20"/>
                    <w:szCs w:val="20"/>
                  </w:rPr>
                </m:ctrlPr>
              </m:sSubPr>
              <m:e>
                <m:r>
                  <m:rPr>
                    <m:sty m:val="p"/>
                  </m:rPr>
                  <w:rPr>
                    <w:rFonts w:ascii="Cambria Math" w:hAnsi="Cambria Math"/>
                    <w:sz w:val="20"/>
                    <w:szCs w:val="20"/>
                  </w:rPr>
                  <m:t>AV</m:t>
                </m:r>
              </m:e>
              <m:sub>
                <m:r>
                  <m:rPr>
                    <m:sty m:val="p"/>
                  </m:rPr>
                  <w:rPr>
                    <w:rFonts w:ascii="Cambria Math" w:hAnsi="Cambria Math"/>
                    <w:sz w:val="20"/>
                    <w:szCs w:val="20"/>
                  </w:rPr>
                  <m:t>i</m:t>
                </m:r>
              </m:sub>
            </m:sSub>
            <m:r>
              <m:rPr>
                <m:sty m:val="p"/>
              </m:rPr>
              <w:rPr>
                <w:rFonts w:ascii="Cambria Math" w:hAnsi="Cambria Math"/>
                <w:sz w:val="20"/>
                <w:szCs w:val="20"/>
              </w:rPr>
              <m:t xml:space="preserve">- </m:t>
            </m:r>
            <m:sSub>
              <m:sSubPr>
                <m:ctrlPr>
                  <w:rPr>
                    <w:rFonts w:ascii="Cambria Math" w:hAnsi="Cambria Math"/>
                    <w:iCs/>
                    <w:sz w:val="20"/>
                    <w:szCs w:val="20"/>
                  </w:rPr>
                </m:ctrlPr>
              </m:sSubPr>
              <m:e>
                <m:r>
                  <m:rPr>
                    <m:sty m:val="p"/>
                  </m:rPr>
                  <w:rPr>
                    <w:rFonts w:ascii="Cambria Math" w:hAnsi="Cambria Math"/>
                    <w:sz w:val="20"/>
                    <w:szCs w:val="20"/>
                  </w:rPr>
                  <m:t>AV</m:t>
                </m:r>
              </m:e>
              <m:sub>
                <m:r>
                  <m:rPr>
                    <m:sty m:val="p"/>
                  </m:rPr>
                  <w:rPr>
                    <w:rFonts w:ascii="Cambria Math" w:hAnsi="Cambria Math"/>
                    <w:sz w:val="20"/>
                    <w:szCs w:val="20"/>
                  </w:rPr>
                  <m:t>f</m:t>
                </m:r>
              </m:sub>
            </m:sSub>
          </m:num>
          <m:den>
            <m:sSub>
              <m:sSubPr>
                <m:ctrlPr>
                  <w:rPr>
                    <w:rFonts w:ascii="Cambria Math" w:hAnsi="Cambria Math"/>
                    <w:iCs/>
                    <w:sz w:val="20"/>
                    <w:szCs w:val="20"/>
                  </w:rPr>
                </m:ctrlPr>
              </m:sSubPr>
              <m:e>
                <m:r>
                  <m:rPr>
                    <m:sty m:val="p"/>
                  </m:rPr>
                  <w:rPr>
                    <w:rFonts w:ascii="Cambria Math" w:hAnsi="Cambria Math"/>
                    <w:sz w:val="20"/>
                    <w:szCs w:val="20"/>
                  </w:rPr>
                  <m:t>AV</m:t>
                </m:r>
              </m:e>
              <m:sub>
                <m:r>
                  <m:rPr>
                    <m:sty m:val="p"/>
                  </m:rPr>
                  <w:rPr>
                    <w:rFonts w:ascii="Cambria Math" w:hAnsi="Cambria Math"/>
                    <w:sz w:val="20"/>
                    <w:szCs w:val="20"/>
                  </w:rPr>
                  <m:t>i</m:t>
                </m:r>
              </m:sub>
            </m:sSub>
          </m:den>
        </m:f>
        <m:r>
          <w:rPr>
            <w:rFonts w:ascii="Cambria Math" w:hAnsi="Cambria Math"/>
            <w:sz w:val="20"/>
            <w:szCs w:val="20"/>
          </w:rPr>
          <m:t xml:space="preserve"> ×100</m:t>
        </m:r>
      </m:oMath>
      <w:r w:rsidRPr="00430F9C">
        <w:rPr>
          <w:rFonts w:ascii="Times New Roman" w:hAnsi="Times New Roman"/>
          <w:sz w:val="20"/>
          <w:szCs w:val="20"/>
        </w:rPr>
        <w:t xml:space="preserve">                     (2)</w:t>
      </w:r>
    </w:p>
    <w:p w:rsidR="00E0529B" w:rsidRPr="00430F9C" w:rsidRDefault="00E0529B" w:rsidP="00E0529B">
      <w:pPr>
        <w:spacing w:after="0"/>
        <w:jc w:val="both"/>
        <w:rPr>
          <w:rFonts w:ascii="Times New Roman" w:hAnsi="Times New Roman"/>
          <w:sz w:val="20"/>
          <w:szCs w:val="20"/>
        </w:rPr>
      </w:pPr>
    </w:p>
    <w:p w:rsidR="00E0529B" w:rsidRPr="00430F9C" w:rsidRDefault="00E0529B" w:rsidP="00E0529B">
      <w:pPr>
        <w:spacing w:after="0"/>
        <w:rPr>
          <w:rFonts w:ascii="Times New Roman" w:hAnsi="Times New Roman"/>
          <w:sz w:val="20"/>
          <w:szCs w:val="20"/>
        </w:rPr>
      </w:pPr>
      <m:oMath>
        <m:r>
          <m:rPr>
            <m:sty m:val="p"/>
          </m:rPr>
          <w:rPr>
            <w:rFonts w:ascii="Cambria Math" w:hAnsi="Cambria Math"/>
            <w:sz w:val="20"/>
            <w:szCs w:val="20"/>
          </w:rPr>
          <m:t xml:space="preserve">% yield= </m:t>
        </m:r>
        <m:f>
          <m:fPr>
            <m:ctrlPr>
              <w:rPr>
                <w:rFonts w:ascii="Cambria Math" w:hAnsi="Cambria Math"/>
                <w:iCs/>
                <w:sz w:val="20"/>
                <w:szCs w:val="20"/>
              </w:rPr>
            </m:ctrlPr>
          </m:fPr>
          <m:num>
            <m:r>
              <m:rPr>
                <m:sty m:val="p"/>
              </m:rPr>
              <w:rPr>
                <w:rFonts w:ascii="Cambria Math" w:hAnsi="Cambria Math"/>
                <w:sz w:val="20"/>
                <w:szCs w:val="20"/>
              </w:rPr>
              <m:t xml:space="preserve">mass of FAME </m:t>
            </m:r>
          </m:num>
          <m:den>
            <m:r>
              <m:rPr>
                <m:sty m:val="p"/>
              </m:rPr>
              <w:rPr>
                <w:rFonts w:ascii="Cambria Math" w:hAnsi="Cambria Math"/>
                <w:sz w:val="20"/>
                <w:szCs w:val="20"/>
              </w:rPr>
              <m:t>mass of fed WCO</m:t>
            </m:r>
          </m:den>
        </m:f>
        <m:r>
          <m:rPr>
            <m:sty m:val="p"/>
          </m:rPr>
          <w:rPr>
            <w:rFonts w:ascii="Cambria Math" w:hAnsi="Cambria Math"/>
            <w:sz w:val="20"/>
            <w:szCs w:val="20"/>
          </w:rPr>
          <m:t xml:space="preserve"> X 100                                   (3)</m:t>
        </m:r>
      </m:oMath>
      <w:r w:rsidRPr="00430F9C">
        <w:rPr>
          <w:rFonts w:ascii="Times New Roman" w:hAnsi="Times New Roman"/>
          <w:sz w:val="20"/>
          <w:szCs w:val="20"/>
        </w:rPr>
        <w:t xml:space="preserve"> </w:t>
      </w:r>
    </w:p>
    <w:p w:rsidR="00E0529B" w:rsidRDefault="00E0529B" w:rsidP="00E0529B">
      <w:pPr>
        <w:spacing w:after="0"/>
        <w:jc w:val="both"/>
        <w:rPr>
          <w:rFonts w:ascii="Times New Roman" w:hAnsi="Times New Roman"/>
          <w:sz w:val="20"/>
          <w:szCs w:val="20"/>
        </w:rPr>
      </w:pPr>
    </w:p>
    <w:p w:rsidR="00E0529B" w:rsidRDefault="00E0529B" w:rsidP="00E0529B">
      <w:pPr>
        <w:spacing w:after="0"/>
        <w:jc w:val="both"/>
        <w:rPr>
          <w:rFonts w:ascii="Times New Roman" w:hAnsi="Times New Roman"/>
          <w:sz w:val="20"/>
          <w:szCs w:val="20"/>
        </w:rPr>
      </w:pPr>
    </w:p>
    <w:p w:rsidR="00E0529B" w:rsidRPr="00430F9C" w:rsidRDefault="00E0529B" w:rsidP="00E0529B">
      <w:pPr>
        <w:spacing w:after="0"/>
        <w:jc w:val="both"/>
        <w:rPr>
          <w:rFonts w:ascii="Times New Roman" w:hAnsi="Times New Roman"/>
          <w:b/>
          <w:bCs/>
          <w:i/>
          <w:iCs/>
          <w:sz w:val="20"/>
          <w:szCs w:val="20"/>
        </w:rPr>
      </w:pPr>
      <w:r w:rsidRPr="00430F9C">
        <w:rPr>
          <w:rFonts w:ascii="Times New Roman" w:hAnsi="Times New Roman"/>
          <w:b/>
          <w:bCs/>
          <w:sz w:val="20"/>
          <w:szCs w:val="20"/>
        </w:rPr>
        <w:t>Optimization of biodiesel production</w:t>
      </w:r>
    </w:p>
    <w:p w:rsidR="00E0529B" w:rsidRPr="00430F9C" w:rsidRDefault="00E0529B" w:rsidP="00E0529B">
      <w:pPr>
        <w:spacing w:after="0"/>
        <w:jc w:val="both"/>
        <w:rPr>
          <w:rFonts w:ascii="Times New Roman" w:hAnsi="Times New Roman"/>
          <w:sz w:val="20"/>
          <w:szCs w:val="20"/>
        </w:rPr>
      </w:pPr>
      <w:r w:rsidRPr="00430F9C">
        <w:rPr>
          <w:rFonts w:ascii="Times New Roman" w:hAnsi="Times New Roman"/>
          <w:sz w:val="20"/>
          <w:szCs w:val="20"/>
        </w:rPr>
        <w:t xml:space="preserve">From the catalytic screening, the most efficient catalyst capable of producing the highest FAME yield was considered to optimize the biodiesel production conventionally. Four parameters at three levels were studied and the conditions were varied at temperature of 100, 150 and 200 ºC; reaction time of 3, 6 and 9 hours; methanol to WCO ratio 10:1, 12:1 and 14:1 and catalyst loading 2, 4 and 6 wt.% </w:t>
      </w:r>
      <w:r w:rsidRPr="00430F9C">
        <w:rPr>
          <w:rFonts w:ascii="Times New Roman" w:hAnsi="Times New Roman"/>
          <w:sz w:val="20"/>
          <w:szCs w:val="20"/>
        </w:rPr>
        <w:fldChar w:fldCharType="begin" w:fldLock="1"/>
      </w:r>
      <w:r w:rsidRPr="00430F9C">
        <w:rPr>
          <w:rFonts w:ascii="Times New Roman" w:hAnsi="Times New Roman"/>
          <w:sz w:val="20"/>
          <w:szCs w:val="20"/>
        </w:rPr>
        <w:instrText>ADDIN CSL_CITATION {"citationItems":[{"id":"ITEM-1","itemData":{"DOI":"10.1016/j.renene.2017.12.104","ISSN":"09601481","author":[{"dropping-particle":"","family":"Liu","given":"Jie","non-dropping-particle":"","parse-names":false,"suffix":""},{"dropping-particle":"","family":"Wang","given":"Xue-Qian","non-dropping-particle":"","parse-names":false,"suffix":""},{"dropping-particle":"","family":"Yang","given":"Bei-Bei","non-dropping-particle":"","parse-names":false,"suffix":""},{"dropping-particle":"","family":"Liu","given":"Chun-Ling","non-dropping-particle":"","parse-names":false,"suffix":""},{"dropping-particle":"","family":"Xu","given":"Chun-Li","non-dropping-particle":"","parse-names":false,"suffix":""},{"dropping-particle":"","family":"Dong","given":"Wen-Sheng","non-dropping-particle":"","parse-names":false,"suffix":""}],"container-title":"Renewable Energy","id":"ITEM-1","issued":{"date-parts":[["2018","5"]]},"page":"231-240","title":"Highly efficient conversion of glucose into methyl levulinate catalyzed by tin-exchanged montmorillonite","type":"article-journal","volume":"120"},"uris":["http://www.mendeley.com/documents/?uuid=8e9a8f95-162e-356d-a2e5-56a010fcfbbd"]},{"id":"ITEM-2","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Energy","id":"ITEM-2","issued":{"date-parts":[["2016","2"]]},"page":"392-398","title":"Synthesis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catalyst","type":"article-journal","volume":"86"},"uris":["http://www.mendeley.com/documents/?uuid=52a62304-d5a1-3f7c-a3a4-c895d247fbea"]}],"mendeley":{"formattedCitation":"[14], [16]","plainTextFormattedCitation":"[14], [16]","previouslyFormattedCitation":"[14], [16]"},"properties":{"noteIndex":0},"schema":"https://github.com/citation-style-language/schema/raw/master/csl-citation.json"}</w:instrText>
      </w:r>
      <w:r w:rsidRPr="00430F9C">
        <w:rPr>
          <w:rFonts w:ascii="Times New Roman" w:hAnsi="Times New Roman"/>
          <w:sz w:val="20"/>
          <w:szCs w:val="20"/>
        </w:rPr>
        <w:fldChar w:fldCharType="separate"/>
      </w:r>
      <w:r w:rsidRPr="00430F9C">
        <w:rPr>
          <w:rFonts w:ascii="Times New Roman" w:hAnsi="Times New Roman"/>
          <w:noProof/>
          <w:sz w:val="20"/>
          <w:szCs w:val="20"/>
        </w:rPr>
        <w:t>[14, 16]</w:t>
      </w:r>
      <w:r w:rsidRPr="00430F9C">
        <w:rPr>
          <w:rFonts w:ascii="Times New Roman" w:hAnsi="Times New Roman"/>
          <w:sz w:val="20"/>
          <w:szCs w:val="20"/>
        </w:rPr>
        <w:fldChar w:fldCharType="end"/>
      </w:r>
      <w:r w:rsidRPr="00430F9C">
        <w:rPr>
          <w:rFonts w:ascii="Times New Roman" w:hAnsi="Times New Roman"/>
          <w:sz w:val="20"/>
          <w:szCs w:val="20"/>
        </w:rPr>
        <w:t xml:space="preserve">. The acid conversion and FAME yield were calculated according to equation 2 and 3. </w:t>
      </w:r>
    </w:p>
    <w:p w:rsidR="00E0529B" w:rsidRDefault="00E0529B" w:rsidP="00E0529B">
      <w:pPr>
        <w:spacing w:after="0"/>
        <w:jc w:val="both"/>
        <w:rPr>
          <w:rFonts w:ascii="Times New Roman" w:hAnsi="Times New Roman"/>
          <w:sz w:val="20"/>
          <w:szCs w:val="20"/>
        </w:rPr>
        <w:sectPr w:rsidR="00E0529B" w:rsidSect="00E0529B">
          <w:headerReference w:type="even" r:id="rId28"/>
          <w:headerReference w:type="default" r:id="rId29"/>
          <w:footerReference w:type="even" r:id="rId30"/>
          <w:headerReference w:type="first" r:id="rId31"/>
          <w:type w:val="evenPage"/>
          <w:pgSz w:w="12240" w:h="15840" w:code="1"/>
          <w:pgMar w:top="1800" w:right="1469" w:bottom="1699" w:left="1440" w:header="706" w:footer="706" w:gutter="0"/>
          <w:pgNumType w:start="1"/>
          <w:cols w:num="2" w:space="403"/>
          <w:docGrid w:linePitch="360"/>
        </w:sectPr>
      </w:pPr>
    </w:p>
    <w:p w:rsidR="00E0529B" w:rsidRDefault="00E0529B" w:rsidP="000D4FDB">
      <w:pPr>
        <w:spacing w:after="0"/>
        <w:outlineLvl w:val="0"/>
        <w:rPr>
          <w:rFonts w:ascii="Times New Roman" w:hAnsi="Times New Roman"/>
          <w:sz w:val="20"/>
          <w:szCs w:val="20"/>
        </w:rPr>
      </w:pPr>
    </w:p>
    <w:p w:rsidR="00E0529B" w:rsidRDefault="00E0529B" w:rsidP="000D4FDB">
      <w:pPr>
        <w:spacing w:after="0"/>
        <w:outlineLvl w:val="0"/>
        <w:rPr>
          <w:rFonts w:ascii="Times New Roman" w:hAnsi="Times New Roman"/>
          <w:sz w:val="20"/>
          <w:szCs w:val="20"/>
        </w:rPr>
      </w:pPr>
    </w:p>
    <w:p w:rsidR="00E0529B" w:rsidRDefault="00E0529B" w:rsidP="000D4FDB">
      <w:pPr>
        <w:spacing w:after="0"/>
        <w:outlineLvl w:val="0"/>
        <w:rPr>
          <w:rFonts w:ascii="Times New Roman" w:hAnsi="Times New Roman"/>
          <w:sz w:val="20"/>
          <w:szCs w:val="20"/>
        </w:rPr>
        <w:sectPr w:rsidR="00E0529B" w:rsidSect="00E0529B">
          <w:type w:val="continuous"/>
          <w:pgSz w:w="12240" w:h="15840" w:code="1"/>
          <w:pgMar w:top="1800" w:right="1469" w:bottom="1699" w:left="1440" w:header="706" w:footer="706" w:gutter="0"/>
          <w:pgNumType w:start="1"/>
          <w:cols w:space="403"/>
          <w:docGrid w:linePitch="360"/>
        </w:sectPr>
      </w:pPr>
    </w:p>
    <w:p w:rsidR="00430F9C" w:rsidRDefault="00E0529B" w:rsidP="00E0529B">
      <w:pPr>
        <w:spacing w:after="120"/>
        <w:jc w:val="center"/>
        <w:rPr>
          <w:rFonts w:ascii="Times New Roman" w:hAnsi="Times New Roman"/>
          <w:sz w:val="20"/>
          <w:szCs w:val="20"/>
        </w:rPr>
      </w:pPr>
      <w:r w:rsidRPr="00986367">
        <w:rPr>
          <w:rFonts w:ascii="Times New Roman" w:hAnsi="Times New Roman"/>
          <w:noProof/>
          <w:sz w:val="20"/>
          <w:szCs w:val="20"/>
          <w:lang w:val="en-MY" w:eastAsia="en-MY" w:bidi="ar-SA"/>
        </w:rPr>
        <w:lastRenderedPageBreak/>
        <w:drawing>
          <wp:inline distT="0" distB="0" distL="0" distR="0" wp14:anchorId="58C62179" wp14:editId="43FEF9B2">
            <wp:extent cx="4324350" cy="3114675"/>
            <wp:effectExtent l="19050" t="19050" r="19050" b="28575"/>
            <wp:docPr id="2"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lum/>
                      <a:alphaModFix/>
                    </a:blip>
                    <a:srcRect l="25696" t="22338" r="25080" b="8735"/>
                    <a:stretch/>
                  </pic:blipFill>
                  <pic:spPr bwMode="auto">
                    <a:xfrm>
                      <a:off x="0" y="0"/>
                      <a:ext cx="4324357" cy="31146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0529B" w:rsidRPr="00986367" w:rsidRDefault="00E0529B" w:rsidP="00E0529B">
      <w:pPr>
        <w:pStyle w:val="Caption"/>
        <w:spacing w:before="0" w:after="0" w:line="276" w:lineRule="auto"/>
        <w:jc w:val="center"/>
        <w:rPr>
          <w:rFonts w:ascii="Times New Roman" w:hAnsi="Times New Roman" w:cs="Times New Roman"/>
          <w:i w:val="0"/>
          <w:iCs w:val="0"/>
          <w:sz w:val="20"/>
          <w:szCs w:val="20"/>
        </w:rPr>
      </w:pPr>
      <w:bookmarkStart w:id="3" w:name="_Ref7735136"/>
      <w:bookmarkStart w:id="4" w:name="_Toc10026271"/>
      <w:bookmarkStart w:id="5" w:name="_Toc10362945"/>
      <w:bookmarkStart w:id="6" w:name="_Toc11148977"/>
      <w:r w:rsidRPr="00986367">
        <w:rPr>
          <w:rFonts w:ascii="Times New Roman" w:hAnsi="Times New Roman" w:cs="Times New Roman"/>
          <w:i w:val="0"/>
          <w:iCs w:val="0"/>
          <w:sz w:val="20"/>
          <w:szCs w:val="20"/>
        </w:rPr>
        <w:t xml:space="preserve">Figure </w:t>
      </w:r>
      <w:bookmarkEnd w:id="3"/>
      <w:r w:rsidRPr="00986367">
        <w:rPr>
          <w:rFonts w:ascii="Times New Roman" w:hAnsi="Times New Roman" w:cs="Times New Roman"/>
          <w:i w:val="0"/>
          <w:iCs w:val="0"/>
          <w:sz w:val="20"/>
          <w:szCs w:val="20"/>
        </w:rPr>
        <w:t xml:space="preserve">1. </w:t>
      </w:r>
      <w:r>
        <w:rPr>
          <w:rFonts w:ascii="Times New Roman" w:hAnsi="Times New Roman" w:cs="Times New Roman"/>
          <w:i w:val="0"/>
          <w:iCs w:val="0"/>
          <w:sz w:val="20"/>
          <w:szCs w:val="20"/>
        </w:rPr>
        <w:t xml:space="preserve"> </w:t>
      </w:r>
      <w:r w:rsidRPr="00986367">
        <w:rPr>
          <w:rFonts w:ascii="Times New Roman" w:hAnsi="Times New Roman" w:cs="Times New Roman"/>
          <w:i w:val="0"/>
          <w:iCs w:val="0"/>
          <w:sz w:val="20"/>
          <w:szCs w:val="20"/>
        </w:rPr>
        <w:t>Catalyst modification steps</w:t>
      </w:r>
      <w:bookmarkEnd w:id="4"/>
      <w:bookmarkEnd w:id="5"/>
      <w:bookmarkEnd w:id="6"/>
    </w:p>
    <w:p w:rsidR="00E0529B" w:rsidRDefault="00E0529B" w:rsidP="0057795C">
      <w:pPr>
        <w:spacing w:after="120"/>
        <w:rPr>
          <w:rFonts w:ascii="Times New Roman" w:hAnsi="Times New Roman"/>
          <w:sz w:val="20"/>
          <w:szCs w:val="20"/>
        </w:rPr>
        <w:sectPr w:rsidR="00E0529B" w:rsidSect="00E0529B">
          <w:type w:val="continuous"/>
          <w:pgSz w:w="12240" w:h="15840" w:code="1"/>
          <w:pgMar w:top="1800" w:right="1469" w:bottom="1699" w:left="1440" w:header="706" w:footer="706" w:gutter="0"/>
          <w:pgNumType w:start="1"/>
          <w:cols w:space="403"/>
          <w:docGrid w:linePitch="360"/>
        </w:sectPr>
      </w:pPr>
    </w:p>
    <w:p w:rsidR="00F9064D" w:rsidRDefault="00F9064D" w:rsidP="00CF2EC8">
      <w:pPr>
        <w:spacing w:after="0"/>
        <w:jc w:val="both"/>
        <w:rPr>
          <w:rFonts w:ascii="Times New Roman" w:hAnsi="Times New Roman"/>
          <w:sz w:val="20"/>
          <w:szCs w:val="20"/>
        </w:rPr>
        <w:sectPr w:rsidR="00F9064D" w:rsidSect="00FD020E">
          <w:headerReference w:type="even" r:id="rId33"/>
          <w:headerReference w:type="default" r:id="rId34"/>
          <w:footerReference w:type="default" r:id="rId35"/>
          <w:headerReference w:type="first" r:id="rId36"/>
          <w:type w:val="continuous"/>
          <w:pgSz w:w="12240" w:h="15840" w:code="1"/>
          <w:pgMar w:top="1800" w:right="1469" w:bottom="1699" w:left="1440" w:header="706" w:footer="706" w:gutter="0"/>
          <w:pgNumType w:start="1"/>
          <w:cols w:space="708"/>
          <w:docGrid w:linePitch="360"/>
        </w:sectPr>
      </w:pPr>
    </w:p>
    <w:p w:rsidR="0062232A" w:rsidRDefault="0062232A" w:rsidP="0062232A">
      <w:pPr>
        <w:spacing w:after="120"/>
        <w:rPr>
          <w:rFonts w:ascii="Times New Roman" w:hAnsi="Times New Roman"/>
          <w:sz w:val="20"/>
          <w:szCs w:val="20"/>
        </w:rPr>
      </w:pPr>
    </w:p>
    <w:p w:rsidR="0062232A" w:rsidRDefault="0062232A" w:rsidP="007C6546">
      <w:pPr>
        <w:spacing w:after="120"/>
        <w:jc w:val="center"/>
        <w:rPr>
          <w:rFonts w:ascii="Times New Roman" w:hAnsi="Times New Roman"/>
          <w:sz w:val="20"/>
          <w:szCs w:val="20"/>
        </w:rPr>
      </w:pP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1312" behindDoc="0" locked="0" layoutInCell="1" allowOverlap="1" wp14:anchorId="727DFBEE" wp14:editId="6636D757">
                <wp:simplePos x="0" y="0"/>
                <wp:positionH relativeFrom="column">
                  <wp:posOffset>3385185</wp:posOffset>
                </wp:positionH>
                <wp:positionV relativeFrom="paragraph">
                  <wp:posOffset>504825</wp:posOffset>
                </wp:positionV>
                <wp:extent cx="314325" cy="471805"/>
                <wp:effectExtent l="57150" t="19050" r="47625" b="99695"/>
                <wp:wrapNone/>
                <wp:docPr id="18" name="Straight Arrow Connector 18"/>
                <wp:cNvGraphicFramePr/>
                <a:graphic xmlns:a="http://schemas.openxmlformats.org/drawingml/2006/main">
                  <a:graphicData uri="http://schemas.microsoft.com/office/word/2010/wordprocessingShape">
                    <wps:wsp>
                      <wps:cNvCnPr/>
                      <wps:spPr>
                        <a:xfrm>
                          <a:off x="0" y="0"/>
                          <a:ext cx="314325" cy="4718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66.55pt;margin-top:39.75pt;width:24.75pt;height:37.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c2QEAAPoDAAAOAAAAZHJzL2Uyb0RvYy54bWysU9uO0zAQfUfiHyy/0yTdXVhVTVeoC7wg&#10;qFj4AK8zTix809g07d8zdtIs4vaAeHFie86ZOWfG27uTNewIGLV3LW9WNWfgpO+061v+5fPbF7ec&#10;xSRcJ4x30PIzRH63e/5sO4YNrP3gTQfIiMTFzRhaPqQUNlUV5QBWxJUP4OhSebQi0Rb7qkMxErs1&#10;1bquX1ajxy6glxAjnd5Pl3xX+JUCmT4qFSEx03KqLZUVy/qY12q3FZseRRi0nMsQ/1CFFdpR0oXq&#10;XiTBvqH+hcpqiT56lVbS28orpSUUDaSmqX9S8zCIAEULmRPDYlP8f7Tyw/GATHfUO+qUE5Z69JBQ&#10;6H5I7DWiH9neO0c+emQUQn6NIW4ItncHnHcxHDCLPym0+Uuy2Kl4fF48hlNikg6vmuur9Q1nkq6u&#10;XzW39U3mrJ7AAWN6B96y/NPyOBezVNEUn8XxfUwT8ALImY3LaxLavHEdS+dAchJq4XoDc54cUmUN&#10;U9XlL50NTPBPoMgNqnNd0pQ5hL1BdhQ0Qd3XZmGhyAxR2pgFVP8dNMdmGJTZXICTqD9mW6JLRu/S&#10;ArTaefxd1nS6lKqm+IvqSWuW/ei7c+lhsYMGrPRhfgx5gn/cF/jTk919BwAA//8DAFBLAwQUAAYA&#10;CAAAACEA+YQwlOEAAAAKAQAADwAAAGRycy9kb3ducmV2LnhtbEyPwU7DMBBE70j8g7VI3KiThhQ3&#10;xKmgqBJSD4i0Clc3XpKI2I5itwl/z3KC42qeZt7mm9n07IKj75yVEC8iYGhrpzvbSDgedncCmA/K&#10;atU7ixK+0cOmuL7KVabdZN/xUoaGUYn1mZLQhjBknPu6RaP8wg1oKft0o1GBzrHhelQTlZueL6No&#10;xY3qLC20asBti/VXeTYSdq9iEtX9/i1U1Uc1rHH7/BKXUt7ezE+PwALO4Q+GX31Sh4KcTu5stWe9&#10;hDRJYkIlPKxTYASkYrkCdiIyTQTwIuf/Xyh+AAAA//8DAFBLAQItABQABgAIAAAAIQC2gziS/gAA&#10;AOEBAAATAAAAAAAAAAAAAAAAAAAAAABbQ29udGVudF9UeXBlc10ueG1sUEsBAi0AFAAGAAgAAAAh&#10;ADj9If/WAAAAlAEAAAsAAAAAAAAAAAAAAAAALwEAAF9yZWxzLy5yZWxzUEsBAi0AFAAGAAgAAAAh&#10;AM5WX5zZAQAA+gMAAA4AAAAAAAAAAAAAAAAALgIAAGRycy9lMm9Eb2MueG1sUEsBAi0AFAAGAAgA&#10;AAAhAPmEMJThAAAACgEAAA8AAAAAAAAAAAAAAAAAMwQAAGRycy9kb3ducmV2LnhtbFBLBQYAAAAA&#10;BAAEAPMAAABBBQAAAAA=&#10;" strokecolor="black [3200]" strokeweight="2pt">
                <v:stroke endarrow="block"/>
                <v:shadow on="t" color="black" opacity="24903f" origin=",.5" offset="0,.55556mm"/>
              </v:shape>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2336" behindDoc="0" locked="0" layoutInCell="1" allowOverlap="1" wp14:anchorId="60F00470" wp14:editId="72E722BD">
                <wp:simplePos x="0" y="0"/>
                <wp:positionH relativeFrom="column">
                  <wp:posOffset>3023870</wp:posOffset>
                </wp:positionH>
                <wp:positionV relativeFrom="paragraph">
                  <wp:posOffset>143510</wp:posOffset>
                </wp:positionV>
                <wp:extent cx="738505" cy="356870"/>
                <wp:effectExtent l="0" t="0" r="4445" b="5080"/>
                <wp:wrapNone/>
                <wp:docPr id="17" name="Rectangle 17"/>
                <wp:cNvGraphicFramePr/>
                <a:graphic xmlns:a="http://schemas.openxmlformats.org/drawingml/2006/main">
                  <a:graphicData uri="http://schemas.microsoft.com/office/word/2010/wordprocessingShape">
                    <wps:wsp>
                      <wps:cNvSpPr/>
                      <wps:spPr>
                        <a:xfrm>
                          <a:off x="0" y="0"/>
                          <a:ext cx="738505" cy="3568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61133" w:rsidRPr="00EC63C1" w:rsidRDefault="00B61133" w:rsidP="00FD020E">
                            <w:pPr>
                              <w:ind w:left="-142" w:right="-135"/>
                              <w:jc w:val="center"/>
                              <w:rPr>
                                <w:rFonts w:asciiTheme="majorBidi" w:hAnsiTheme="majorBidi" w:cstheme="majorBidi"/>
                                <w:sz w:val="16"/>
                                <w:szCs w:val="16"/>
                              </w:rPr>
                            </w:pPr>
                            <w:r>
                              <w:rPr>
                                <w:rFonts w:asciiTheme="majorBidi" w:hAnsiTheme="majorBidi" w:cstheme="majorBidi"/>
                                <w:sz w:val="16"/>
                                <w:szCs w:val="16"/>
                              </w:rPr>
                              <w:t>Temperature 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left:0;text-align:left;margin-left:238.1pt;margin-top:11.3pt;width:58.15pt;height:2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0pdQIAADUFAAAOAAAAZHJzL2Uyb0RvYy54bWysVEtPGzEQvlfqf7B8L5sEQiDKBkUgqkoI&#10;EFBxdrx2sqrX446d7Ka/vmPvg4iiHqpevB7PN+9vdnHVVIbtFfoSbM7HJyPOlJVQlHaT8+8vt18u&#10;OPNB2EIYsCrnB+X51fLzp0Xt5moCWzCFQkZOrJ/XLufbENw8y7zcqkr4E3DKklIDViKQiJusQFGT&#10;98pkk9HoPKsBC4cglff0etMq+TL511rJ8KC1V4GZnFNuIZ2YznU8s+VCzDco3LaUXRriH7KoRGkp&#10;6ODqRgTBdlj+4aoqJYIHHU4kVBloXUqVaqBqxqN31TxvhVOpFmqOd0Ob/P9zK+/3j8jKgmY348yK&#10;imb0RF0TdmMUozdqUO38nHDP7hE7ydM1VttorOKX6mBNauphaKpqApP0ODu9mI6mnElSnU7PL2ap&#10;6dmbsUMfviqoWLzkHCl6aqXY3/lAAQnaQ2IsY+Np4bY0ptXGlywm2aaVbuFgVIt+Uprqo0QmyWti&#10;lro2yPaCOFH8GMcSKYaxhIwmmhwPRuOPjEzojTpsNFOJbYPh6CPDt2gDOkUEGwbDqrSAfzfWLb6v&#10;uq01lh2adZOGOenntobiQANGaJnvnbwtqc13wodHgUR1Wgpa3/BAhzZQ5xy6G2dbwF8fvUc8MZC0&#10;nNW0Ojn3P3cCFWfmmyVuXo7PzuKuJeFsOpuQgMea9bHG7qproEmM6UfhZLpGfDD9VSNUr7TlqxiV&#10;VMJKip1zGbAXrkO70vSfkGq1SjDaLyfCnX12MjqPfY40emleBbqOa4FIeg/9mon5O8q12GhpYbUL&#10;oMvEx9jptq/dBGg3E4W6/0hc/mM5od7+dsvfAAAA//8DAFBLAwQUAAYACAAAACEAo+gJiN4AAAAJ&#10;AQAADwAAAGRycy9kb3ducmV2LnhtbEyPQU7DMBBF90jcwRokdtRpRJMQMqkQqAukShWFAzjxkETE&#10;42C7abg9ZkWXo//0/5tqu5hRzOT8YBlhvUpAELdWD9whfLzv7goQPijWarRMCD/kYVtfX1Wq1PbM&#10;bzQfQydiCftSIfQhTKWUvu3JKL+yE3HMPq0zKsTTdVI7dY7lZpRpkmTSqIHjQq8meu6p/TqeDMJB&#10;f6/zl2nnZtO8zvu9aQ/OeMTbm+XpEUSgJfzD8Kcf1aGOTo09sfZiRLjPszSiCGmagYjA5iHdgGgQ&#10;8qIAWVfy8oP6FwAA//8DAFBLAQItABQABgAIAAAAIQC2gziS/gAAAOEBAAATAAAAAAAAAAAAAAAA&#10;AAAAAABbQ29udGVudF9UeXBlc10ueG1sUEsBAi0AFAAGAAgAAAAhADj9If/WAAAAlAEAAAsAAAAA&#10;AAAAAAAAAAAALwEAAF9yZWxzLy5yZWxzUEsBAi0AFAAGAAgAAAAhAN4tTSl1AgAANQUAAA4AAAAA&#10;AAAAAAAAAAAALgIAAGRycy9lMm9Eb2MueG1sUEsBAi0AFAAGAAgAAAAhAKPoCYjeAAAACQEAAA8A&#10;AAAAAAAAAAAAAAAAzwQAAGRycy9kb3ducmV2LnhtbFBLBQYAAAAABAAEAPMAAADaBQAAAAA=&#10;" fillcolor="white [3201]" stroked="f" strokeweight="2pt">
                <v:textbox>
                  <w:txbxContent>
                    <w:p w:rsidR="00B61133" w:rsidRPr="00EC63C1" w:rsidRDefault="00B61133" w:rsidP="00FD020E">
                      <w:pPr>
                        <w:ind w:left="-142" w:right="-135"/>
                        <w:jc w:val="center"/>
                        <w:rPr>
                          <w:rFonts w:asciiTheme="majorBidi" w:hAnsiTheme="majorBidi" w:cstheme="majorBidi"/>
                          <w:sz w:val="16"/>
                          <w:szCs w:val="16"/>
                        </w:rPr>
                      </w:pPr>
                      <w:r>
                        <w:rPr>
                          <w:rFonts w:asciiTheme="majorBidi" w:hAnsiTheme="majorBidi" w:cstheme="majorBidi"/>
                          <w:sz w:val="16"/>
                          <w:szCs w:val="16"/>
                        </w:rPr>
                        <w:t>Temperature probe</w:t>
                      </w:r>
                    </w:p>
                  </w:txbxContent>
                </v:textbox>
              </v:rect>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4384" behindDoc="0" locked="0" layoutInCell="1" allowOverlap="1" wp14:anchorId="282C95A3" wp14:editId="5175541F">
                <wp:simplePos x="0" y="0"/>
                <wp:positionH relativeFrom="column">
                  <wp:posOffset>4573270</wp:posOffset>
                </wp:positionH>
                <wp:positionV relativeFrom="paragraph">
                  <wp:posOffset>1076960</wp:posOffset>
                </wp:positionV>
                <wp:extent cx="356870" cy="361950"/>
                <wp:effectExtent l="0" t="0" r="5080" b="0"/>
                <wp:wrapNone/>
                <wp:docPr id="19" name="Rectangle 19"/>
                <wp:cNvGraphicFramePr/>
                <a:graphic xmlns:a="http://schemas.openxmlformats.org/drawingml/2006/main">
                  <a:graphicData uri="http://schemas.microsoft.com/office/word/2010/wordprocessingShape">
                    <wps:wsp>
                      <wps:cNvSpPr/>
                      <wps:spPr>
                        <a:xfrm>
                          <a:off x="0" y="0"/>
                          <a:ext cx="356870" cy="3619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61133" w:rsidRPr="00EC63C1" w:rsidRDefault="00B61133" w:rsidP="00FD020E">
                            <w:pPr>
                              <w:ind w:left="-142" w:right="-169"/>
                              <w:jc w:val="center"/>
                              <w:rPr>
                                <w:rFonts w:asciiTheme="majorBidi" w:hAnsiTheme="majorBidi" w:cstheme="majorBidi"/>
                                <w:sz w:val="16"/>
                                <w:szCs w:val="16"/>
                              </w:rPr>
                            </w:pPr>
                            <w:r>
                              <w:rPr>
                                <w:rFonts w:asciiTheme="majorBidi" w:hAnsiTheme="majorBidi" w:cstheme="majorBidi"/>
                                <w:sz w:val="16"/>
                                <w:szCs w:val="16"/>
                              </w:rPr>
                              <w:t>Water flow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7" style="position:absolute;left:0;text-align:left;margin-left:360.1pt;margin-top:84.8pt;width:28.1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cTdQIAADUFAAAOAAAAZHJzL2Uyb0RvYy54bWysVE1v2zAMvQ/YfxB0Xx2n30GcImjRYUDR&#10;Fm2HnhVZSozJokYpsbNfP0r+aNAVOwy7yJL4SIqPj55ftbVhO4W+Alvw/GjCmbISysquC/795fbL&#10;BWc+CFsKA1YVfK88v1p8/jRv3ExNYQOmVMgoiPWzxhV8E4KbZZmXG1ULfwROWTJqwFoEOuI6K1E0&#10;FL022XQyOcsawNIhSOU93d50Rr5I8bVWMjxo7VVgpuD0tpBWTOsqrtliLmZrFG5Tyf4Z4h9eUYvK&#10;UtIx1I0Igm2x+iNUXUkEDzocSagz0LqSKtVA1eSTd9U8b4RTqRYix7uRJv//wsr73SOyqqTeXXJm&#10;RU09eiLWhF0bxeiOCGqcnxHu2T1if/K0jdW2Guv4pTpYm0jdj6SqNjBJl8enZxfnRL0k0/FZfnma&#10;SM/enB368FVBzeKm4EjZE5Vid+cDJSToAIm5jI2rhdvKmM4ab7L4yO5ZaRf2RnXoJ6WpPnrINEVN&#10;ylLXBtlOkCbKH3kskXIYS8jooinw6JR/5GTC4NRjo5tKahsdJx85vmUb0Skj2DA61pUF/Luz7vBD&#10;1V2tsezQrtrUzOOhbyso99RghE753snbimi+Ez48CiSpU2dofMMDLdpAU3Dod5xtAH99dB/xpECy&#10;ctbQ6BTc/9wKVJyZb5a0eZmfnMRZS4eT0/MpHfDQsjq02G19DdSJnH4UTqZtxAczbDVC/UpTvoxZ&#10;ySSspNwFlwGHw3XoRpr+E1ItlwlG8+VEuLPPTsbgkecoo5f2VaDrtRZIpPcwjJmYvZNch42eFpbb&#10;ALpKeoxMd7z2HaDZTBLq/yNx+A/PCfX2t1v8BgAA//8DAFBLAwQUAAYACAAAACEA6qv+AN8AAAAL&#10;AQAADwAAAGRycy9kb3ducmV2LnhtbEyPQU7DMBBF90jcwRokdtRphBxI41QI1AVSpYrCAZx4mkTE&#10;42C7abg9wwqWo//0/5tqu7hRzBji4EnDepWBQGq9HajT8PG+u3sAEZMha0ZPqOEbI2zr66vKlNZf&#10;6A3nY+oEl1AsjYY+pamUMrY9OhNXfkLi7OSDM4nP0EkbzIXL3SjzLFPSmYF4oTcTPvfYfh7PTsPB&#10;fq2Ll2kXZte8zvu9aw/BRa1vb5anDYiES/qD4Vef1aFmp8afyUYxaijyLGeUA/WoQDBRFOoeRKMh&#10;z5UCWVfy/w/1DwAAAP//AwBQSwECLQAUAAYACAAAACEAtoM4kv4AAADhAQAAEwAAAAAAAAAAAAAA&#10;AAAAAAAAW0NvbnRlbnRfVHlwZXNdLnhtbFBLAQItABQABgAIAAAAIQA4/SH/1gAAAJQBAAALAAAA&#10;AAAAAAAAAAAAAC8BAABfcmVscy8ucmVsc1BLAQItABQABgAIAAAAIQDSc2cTdQIAADUFAAAOAAAA&#10;AAAAAAAAAAAAAC4CAABkcnMvZTJvRG9jLnhtbFBLAQItABQABgAIAAAAIQDqq/4A3wAAAAsBAAAP&#10;AAAAAAAAAAAAAAAAAM8EAABkcnMvZG93bnJldi54bWxQSwUGAAAAAAQABADzAAAA2wUAAAAA&#10;" fillcolor="white [3201]" stroked="f" strokeweight="2pt">
                <v:textbox>
                  <w:txbxContent>
                    <w:p w:rsidR="00B61133" w:rsidRPr="00EC63C1" w:rsidRDefault="00B61133" w:rsidP="00FD020E">
                      <w:pPr>
                        <w:ind w:left="-142" w:right="-169"/>
                        <w:jc w:val="center"/>
                        <w:rPr>
                          <w:rFonts w:asciiTheme="majorBidi" w:hAnsiTheme="majorBidi" w:cstheme="majorBidi"/>
                          <w:sz w:val="16"/>
                          <w:szCs w:val="16"/>
                        </w:rPr>
                      </w:pPr>
                      <w:r>
                        <w:rPr>
                          <w:rFonts w:asciiTheme="majorBidi" w:hAnsiTheme="majorBidi" w:cstheme="majorBidi"/>
                          <w:sz w:val="16"/>
                          <w:szCs w:val="16"/>
                        </w:rPr>
                        <w:t>Water flow in</w:t>
                      </w:r>
                    </w:p>
                  </w:txbxContent>
                </v:textbox>
              </v:rect>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3360" behindDoc="0" locked="0" layoutInCell="1" allowOverlap="1" wp14:anchorId="1D291529" wp14:editId="4C1D8EF3">
                <wp:simplePos x="0" y="0"/>
                <wp:positionH relativeFrom="column">
                  <wp:posOffset>3905250</wp:posOffset>
                </wp:positionH>
                <wp:positionV relativeFrom="paragraph">
                  <wp:posOffset>1222375</wp:posOffset>
                </wp:positionV>
                <wp:extent cx="609600" cy="0"/>
                <wp:effectExtent l="57150" t="76200" r="0" b="133350"/>
                <wp:wrapNone/>
                <wp:docPr id="21" name="Straight Arrow Connector 21"/>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1" o:spid="_x0000_s1026" type="#_x0000_t32" style="position:absolute;margin-left:307.5pt;margin-top:96.25pt;width:48pt;height:0;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kZ2gEAAP8DAAAOAAAAZHJzL2Uyb0RvYy54bWysU8uu0zAU3CPxD5b3NGkXFVRNr1AvjwWC&#10;igsf4OscJxZ+6dg0yd9z7KQB8VogNpYfZ8Yz4+Pj3WgNuwJG7V3Dt5uaM3DSt9p1Df/86fWz55zF&#10;JFwrjHfQ8Akivzs9fXIcwgF2vvemBWRE4uJhCA3vUwqHqoqyByvixgdwdKg8WpFoiV3VohiI3Zpq&#10;V9f7avDYBvQSYqTd+/mQnwq/UiDTB6UiJGYaTtpSGbGMj3msTkdx6FCEXstFhvgHFVZoR5euVPci&#10;CfYV9S9UVkv00au0kd5WXiktoXggN9v6JzcPvQhQvFA4Mawxxf9HK99fL8h02/DdljMnLL3RQ0Kh&#10;uz6xl4h+YGfvHOXokVEJ5TWEeCDY2V1wWcVwwWx+VGiZMjq8pVYocZBBNpa0pzVtGBOTtLmvX+xr&#10;ehN5O6pmhswUMKY34C3Lk4bHRdEqZWYX13cxkQYC3gAZbFwek9DmlWtZmgJ5SqiF6wxkA1SeS6ps&#10;ZJZeZmkyMMM/gqJISOKumCjNCGeD7CqojdovJYbCQpUZorQxK6j+O2ipzTAoDboCZ1N/vG2tLjd6&#10;l1ag1c7j725N402qmutvrmev2fajb6fykCUO6rKSz/Ijchv/uC7w7//29A0AAP//AwBQSwMEFAAG&#10;AAgAAAAhAPDbPjreAAAACwEAAA8AAABkcnMvZG93bnJldi54bWxMj1FLw0AQhN8F/8Oxgm/2LpW0&#10;NeZSRBAqSKlV36+5bRLM7aW5S5v+e1cQ6uPODLPf5MvRteKIfWg8aUgmCgRS6W1DlYbPj5e7BYgQ&#10;DVnTekINZwywLK6vcpNZf6J3PG5jJbiEQmY01DF2mZShrNGZMPEdEnt73zsT+ewraXtz4nLXyqlS&#10;M+lMQ/yhNh0+11h+bwen4fC6ierw9hWGvUrPi/lmNazvV1rf3oxPjyAijvEShl98RoeCmXZ+IBtE&#10;q2GWpLwlsvEwTUFwYp4krOz+FFnk8v+G4gcAAP//AwBQSwECLQAUAAYACAAAACEAtoM4kv4AAADh&#10;AQAAEwAAAAAAAAAAAAAAAAAAAAAAW0NvbnRlbnRfVHlwZXNdLnhtbFBLAQItABQABgAIAAAAIQA4&#10;/SH/1gAAAJQBAAALAAAAAAAAAAAAAAAAAC8BAABfcmVscy8ucmVsc1BLAQItABQABgAIAAAAIQBE&#10;jekZ2gEAAP8DAAAOAAAAAAAAAAAAAAAAAC4CAABkcnMvZTJvRG9jLnhtbFBLAQItABQABgAIAAAA&#10;IQDw2z463gAAAAsBAAAPAAAAAAAAAAAAAAAAADQEAABkcnMvZG93bnJldi54bWxQSwUGAAAAAAQA&#10;BADzAAAAPwUAAAAA&#10;" strokecolor="black [3200]" strokeweight="2pt">
                <v:stroke endarrow="block"/>
                <v:shadow on="t" color="black" opacity="24903f" origin=",.5" offset="0,.55556mm"/>
              </v:shape>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6432" behindDoc="0" locked="0" layoutInCell="1" allowOverlap="1" wp14:anchorId="2501DDF1" wp14:editId="53AC1BF9">
                <wp:simplePos x="0" y="0"/>
                <wp:positionH relativeFrom="column">
                  <wp:posOffset>4574540</wp:posOffset>
                </wp:positionH>
                <wp:positionV relativeFrom="paragraph">
                  <wp:posOffset>404495</wp:posOffset>
                </wp:positionV>
                <wp:extent cx="308610" cy="540385"/>
                <wp:effectExtent l="0" t="0" r="0" b="0"/>
                <wp:wrapNone/>
                <wp:docPr id="20" name="Rectangle 20"/>
                <wp:cNvGraphicFramePr/>
                <a:graphic xmlns:a="http://schemas.openxmlformats.org/drawingml/2006/main">
                  <a:graphicData uri="http://schemas.microsoft.com/office/word/2010/wordprocessingShape">
                    <wps:wsp>
                      <wps:cNvSpPr/>
                      <wps:spPr>
                        <a:xfrm>
                          <a:off x="0" y="0"/>
                          <a:ext cx="308610" cy="540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1133" w:rsidRPr="00EC63C1" w:rsidRDefault="00B61133" w:rsidP="00FD020E">
                            <w:pPr>
                              <w:ind w:left="-142" w:right="-103"/>
                              <w:jc w:val="center"/>
                              <w:rPr>
                                <w:rFonts w:asciiTheme="majorBidi" w:hAnsiTheme="majorBidi" w:cstheme="majorBidi"/>
                                <w:sz w:val="16"/>
                                <w:szCs w:val="16"/>
                              </w:rPr>
                            </w:pPr>
                            <w:r>
                              <w:rPr>
                                <w:rFonts w:asciiTheme="majorBidi" w:hAnsiTheme="majorBidi" w:cstheme="majorBidi"/>
                                <w:sz w:val="16"/>
                                <w:szCs w:val="16"/>
                              </w:rPr>
                              <w:t>Water flow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left:0;text-align:left;margin-left:360.2pt;margin-top:31.85pt;width:24.3pt;height:4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CzdQIAAEAFAAAOAAAAZHJzL2Uyb0RvYy54bWysVEtP3DAQvlfqf7B8L0mWhUJEFq1AVJUQ&#10;rICKs9exd6PaHtf2brL99R07DyhFPVS9JPbMN+9vfHHZaUX2wvkGTEWLo5wSYTjUjdlU9NvTzacz&#10;SnxgpmYKjKjoQXh6ufj44aK1pZjBFlQtHEEnxpetreg2BFtmmedboZk/AisMKiU4zQJe3SarHWvR&#10;u1bZLM9PsxZcbR1w4T1Kr3slXST/Ugoe7qX0IhBVUcwtpK9L33X8ZosLVm4cs9uGD2mwf8hCs8Zg&#10;0MnVNQuM7FzzhyvdcAceZDjioDOQsuEi1YDVFPmbah63zIpUCzbH26lN/v+55Xf7lSNNXdEZtscw&#10;jTN6wK4xs1GCoAwb1FpfIu7Rrtxw83iM1XbS6fjHOkiXmnqYmiq6QDgKj/Oz0wJ9c1SdzPPjs5Po&#10;M3sxts6HLwI0iYeKOoyeWsn2tz700BESYxm4aZRCOSuV+U2APqMki/n2GaZTOCjRox+ExFIxp1kK&#10;kEgmrpQje4b0qL8XQ2bKIDKaSIw0GRXvGakwGg3YaCYS8SbD/D3Dl2gTOkUEEyZD3RhwfzeWPX6s&#10;uq81lh26dZfmOh9HuIb6gLN20C+Bt/ymwY7fMh9WzCHrcUi4yeEeP1JBW1EYTpRswf18Tx7xSEbU&#10;UtLiFlXU/9gxJyhRXw3S9LyYz+Papcv85HMkmXutWb/WmJ2+ApxEgW+G5ekY8UGNR+lAP+PCL2NU&#10;VDHDMXZFeXDj5Sr0241PBhfLZYLhqlkWbs2j5dF57HNk1FP3zJwdaBeQr3cwbhwr37Cvx0ZLA8td&#10;ANkkasZO930dJoBrmsg9PCnxHXh9T6iXh2/xCwAA//8DAFBLAwQUAAYACAAAACEAXgKC394AAAAK&#10;AQAADwAAAGRycy9kb3ducmV2LnhtbEyPQU+EMBCF7yb+h2ZMvLnFlQAiZUOMmuzRxcR4K3QElE4J&#10;7bLsv3c86XEyX977XrFb7SgWnP3gSMHtJgKB1DozUKfgrX6+yUD4oMno0REqOKOHXXl5UejcuBO9&#10;4nIIneAQ8rlW0Icw5VL6tker/cZNSPz7dLPVgc+5k2bWJw63o9xGUSKtHogbej3hY4/t9+FoFfhm&#10;2dfnqXr/+vBtUz2RreP9i1LXV2v1ACLgGv5g+NVndSjZqXFHMl6MCtJtFDOqILlLQTCQJvc8rmEy&#10;zjKQZSH/Tyh/AAAA//8DAFBLAQItABQABgAIAAAAIQC2gziS/gAAAOEBAAATAAAAAAAAAAAAAAAA&#10;AAAAAABbQ29udGVudF9UeXBlc10ueG1sUEsBAi0AFAAGAAgAAAAhADj9If/WAAAAlAEAAAsAAAAA&#10;AAAAAAAAAAAALwEAAF9yZWxzLy5yZWxzUEsBAi0AFAAGAAgAAAAhAJ8K0LN1AgAAQAUAAA4AAAAA&#10;AAAAAAAAAAAALgIAAGRycy9lMm9Eb2MueG1sUEsBAi0AFAAGAAgAAAAhAF4Cgt/eAAAACgEAAA8A&#10;AAAAAAAAAAAAAAAAzwQAAGRycy9kb3ducmV2LnhtbFBLBQYAAAAABAAEAPMAAADaBQAAAAA=&#10;" filled="f" stroked="f" strokeweight="2pt">
                <v:textbox>
                  <w:txbxContent>
                    <w:p w:rsidR="00B61133" w:rsidRPr="00EC63C1" w:rsidRDefault="00B61133" w:rsidP="00FD020E">
                      <w:pPr>
                        <w:ind w:left="-142" w:right="-103"/>
                        <w:jc w:val="center"/>
                        <w:rPr>
                          <w:rFonts w:asciiTheme="majorBidi" w:hAnsiTheme="majorBidi" w:cstheme="majorBidi"/>
                          <w:sz w:val="16"/>
                          <w:szCs w:val="16"/>
                        </w:rPr>
                      </w:pPr>
                      <w:r>
                        <w:rPr>
                          <w:rFonts w:asciiTheme="majorBidi" w:hAnsiTheme="majorBidi" w:cstheme="majorBidi"/>
                          <w:sz w:val="16"/>
                          <w:szCs w:val="16"/>
                        </w:rPr>
                        <w:t>Water flow out</w:t>
                      </w:r>
                    </w:p>
                  </w:txbxContent>
                </v:textbox>
              </v:rect>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5408" behindDoc="0" locked="0" layoutInCell="1" allowOverlap="1" wp14:anchorId="0CBA0CDB" wp14:editId="588BE887">
                <wp:simplePos x="0" y="0"/>
                <wp:positionH relativeFrom="column">
                  <wp:posOffset>3962400</wp:posOffset>
                </wp:positionH>
                <wp:positionV relativeFrom="paragraph">
                  <wp:posOffset>622300</wp:posOffset>
                </wp:positionV>
                <wp:extent cx="608965" cy="5080"/>
                <wp:effectExtent l="38100" t="57150" r="0" b="128270"/>
                <wp:wrapNone/>
                <wp:docPr id="22" name="Straight Arrow Connector 22"/>
                <wp:cNvGraphicFramePr/>
                <a:graphic xmlns:a="http://schemas.openxmlformats.org/drawingml/2006/main">
                  <a:graphicData uri="http://schemas.microsoft.com/office/word/2010/wordprocessingShape">
                    <wps:wsp>
                      <wps:cNvCnPr/>
                      <wps:spPr>
                        <a:xfrm flipH="1">
                          <a:off x="0" y="0"/>
                          <a:ext cx="608965" cy="50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12pt;margin-top:49pt;width:47.95pt;height:.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O/4QEAAAIEAAAOAAAAZHJzL2Uyb0RvYy54bWysU8tu2zAQvBfoPxC815IFxHAFy0Hh9HEo&#10;WqNpP4ChSIkoX1iylvT3XVKyGvSRQ9ALIZI7szPD1eF2NJpcBATlbEO3m5ISYblrle0a+u3ru1d7&#10;SkJktmXaWdHQSQR6e3z54jD4WlSud7oVQJDEhnrwDe1j9HVRBN4Lw8LGeWHxUjowLOIWuqIFNiC7&#10;0UVVlrticNB6cFyEgKd38yU9Zn4pBY+fpQwiEt1Q1BbzCnl9SGtxPLC6A+Z7xRcZ7BkqDFMWm65U&#10;dywy8gPUH1RGcXDBybjhzhROSsVF9oButuVvbu575kX2guEEv8YU/h8t/3Q5A1FtQ6uKEssMvtF9&#10;BKa6PpI3AG4gJ2ct5uiAYAnmNfhQI+xkz7Dsgj9DMj9KMERq5T/gKOQ40CAZc9rTmrYYI+F4uCv3&#10;r3c3lHC8uin3+S2KmSSReQjxvXCGpI+GhkXUqmZuwC4fQ0QZCLwCEljbtEam9Fvbkjh5tBVBMdtp&#10;kTxgeSopkpdZff6KkxYz/IuQmAqqrLKPPI/ipIFcGE5S+327smBlgkil9QoqnwYttQkm8oyuwNnU&#10;P7ut1bmjs3EFGmUd/K1rHK9S5Vx/dT17TbYfXDvlt8xx4KDlfJafIk3y432G//p1jz8BAAD//wMA&#10;UEsDBBQABgAIAAAAIQCX47k04AAAAAkBAAAPAAAAZHJzL2Rvd25yZXYueG1sTI9BT8MwDIXvSPyH&#10;yEjcWLIBW1uaTggJaUhoGgPuWeO1FY3TNenW/Xu8E5ws+z09fy9fjq4VR+xD40nDdKJAIJXeNlRp&#10;+Pp8vUtAhGjImtYTajhjgGVxfZWbzPoTfeBxGyvBIRQyo6GOscukDGWNzoSJ75BY2/vemchrX0nb&#10;mxOHu1bOlJpLZxriD7Xp8KXG8mc7OA2Ht01Uh/fvMOzV4zlZbFbD+n6l9e3N+PwEIuIY/8xwwWd0&#10;KJhp5weyQbQa5rMH7hI1pAlPNiymaQpidzkkIItc/m9Q/AIAAP//AwBQSwECLQAUAAYACAAAACEA&#10;toM4kv4AAADhAQAAEwAAAAAAAAAAAAAAAAAAAAAAW0NvbnRlbnRfVHlwZXNdLnhtbFBLAQItABQA&#10;BgAIAAAAIQA4/SH/1gAAAJQBAAALAAAAAAAAAAAAAAAAAC8BAABfcmVscy8ucmVsc1BLAQItABQA&#10;BgAIAAAAIQDZeEO/4QEAAAIEAAAOAAAAAAAAAAAAAAAAAC4CAABkcnMvZTJvRG9jLnhtbFBLAQIt&#10;ABQABgAIAAAAIQCX47k04AAAAAkBAAAPAAAAAAAAAAAAAAAAADsEAABkcnMvZG93bnJldi54bWxQ&#10;SwUGAAAAAAQABADzAAAASAUAAAAA&#10;" strokecolor="black [3200]" strokeweight="2pt">
                <v:stroke endarrow="block"/>
                <v:shadow on="t" color="black" opacity="24903f" origin=",.5" offset="0,.55556mm"/>
              </v:shape>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60288" behindDoc="0" locked="0" layoutInCell="1" allowOverlap="1" wp14:anchorId="0A645B03" wp14:editId="47043F02">
                <wp:simplePos x="0" y="0"/>
                <wp:positionH relativeFrom="column">
                  <wp:posOffset>3696970</wp:posOffset>
                </wp:positionH>
                <wp:positionV relativeFrom="paragraph">
                  <wp:posOffset>1922145</wp:posOffset>
                </wp:positionV>
                <wp:extent cx="514350" cy="229870"/>
                <wp:effectExtent l="0" t="0" r="0" b="0"/>
                <wp:wrapNone/>
                <wp:docPr id="16" name="Rectangle 16"/>
                <wp:cNvGraphicFramePr/>
                <a:graphic xmlns:a="http://schemas.openxmlformats.org/drawingml/2006/main">
                  <a:graphicData uri="http://schemas.microsoft.com/office/word/2010/wordprocessingShape">
                    <wps:wsp>
                      <wps:cNvSpPr/>
                      <wps:spPr>
                        <a:xfrm>
                          <a:off x="0" y="0"/>
                          <a:ext cx="514350" cy="2298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61133" w:rsidRPr="00EC63C1" w:rsidRDefault="00B61133" w:rsidP="00FD020E">
                            <w:pPr>
                              <w:jc w:val="center"/>
                              <w:rPr>
                                <w:rFonts w:asciiTheme="majorBidi" w:hAnsiTheme="majorBidi" w:cstheme="majorBidi"/>
                                <w:sz w:val="16"/>
                                <w:szCs w:val="16"/>
                              </w:rPr>
                            </w:pPr>
                            <w:r>
                              <w:rPr>
                                <w:rFonts w:asciiTheme="majorBidi" w:hAnsiTheme="majorBidi" w:cstheme="majorBidi"/>
                                <w:sz w:val="16"/>
                                <w:szCs w:val="16"/>
                              </w:rPr>
                              <w:t>Reflux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9" style="position:absolute;left:0;text-align:left;margin-left:291.1pt;margin-top:151.35pt;width:40.5pt;height:1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dOdgIAADUFAAAOAAAAZHJzL2Uyb0RvYy54bWysVNtu2zAMfR+wfxD0vjrOkl6COkXQosOA&#10;oi16QZ8VWUqMyaJGKbGzrx8lX1p0xR6GvciSeEiKh4c+v2hrw/YKfQW24PnRhDNlJZSV3RT8+en6&#10;yylnPghbCgNWFfygPL9Yfv503riFmsIWTKmQURDrF40r+DYEt8gyL7eqFv4InLJk1IC1CHTETVai&#10;aCh6bbLpZHKcNYClQ5DKe7q96ox8meJrrWS409qrwEzB6W0hrZjWdVyz5blYbFC4bSX7Z4h/eEUt&#10;KktJx1BXIgi2w+qPUHUlETzocCShzkDrSqpUA1WTT95V87gVTqVaiBzvRpr8/wsrb/f3yKqSenfM&#10;mRU19eiBWBN2YxSjOyKocX5BuEd3j/3J0zZW22qs45fqYG0i9TCSqtrAJF3O89nXOVEvyTSdnp2e&#10;JNKzV2eHPnxTULO4KThS9kSl2N/4QAkJOkBiLmPjauG6MqazxpssPrJ7VtqFg1Ed+kFpqo8eMk1R&#10;k7LUpUG2F6SJ8kceS6QcxhIyumgKPDrlHzmZMDj12OimktpGx8lHjq/ZRnTKCDaMjnVlAf/urDv8&#10;UHVXayw7tOs2NXM+9G0N5YEajNAp3zt5XRHNN8KHe4EkdeoMjW+4o0UbaAoO/Y6zLeCvj+4jnhRI&#10;Vs4aGp2C+587gYoz892SNs/y2SzOWjrM5idTOuBby/qtxe7qS6BO5PSjcDJtIz6YYasR6hea8lXM&#10;SiZhJeUuuAw4HC5DN9L0n5BqtUowmi8nwo19dDIGjzxHGT21LwJdr7VAIr2FYczE4p3kOmz0tLDa&#10;BdBV0mNkuuO17wDNZpJQ/x+Jw//2nFCvf7vlbwAAAP//AwBQSwMEFAAGAAgAAAAhAF0oUQjfAAAA&#10;CwEAAA8AAABkcnMvZG93bnJldi54bWxMj8FOwzAMhu9IvENkJG4sXSu6UppOCLQD0qSJwQOkjWkr&#10;GqckWVfeHnNiR//+9PtztV3sKGb0YXCkYL1KQCC1zgzUKfh4390VIELUZPToCBX8YIBtfX1V6dK4&#10;M73hfIyd4BIKpVbQxziVUoa2R6vDyk1IvPt03urIo++k8frM5XaUaZLk0uqB+EKvJ3zusf06nqyC&#10;g/leb16mnZ9t8zrv97Y9eBuUur1Znh5BRFziPwx/+qwONTs17kQmiFHBfZGmjCrIknQDgok8zzhp&#10;OMmKB5B1JS9/qH8BAAD//wMAUEsBAi0AFAAGAAgAAAAhALaDOJL+AAAA4QEAABMAAAAAAAAAAAAA&#10;AAAAAAAAAFtDb250ZW50X1R5cGVzXS54bWxQSwECLQAUAAYACAAAACEAOP0h/9YAAACUAQAACwAA&#10;AAAAAAAAAAAAAAAvAQAAX3JlbHMvLnJlbHNQSwECLQAUAAYACAAAACEA07rnTnYCAAA1BQAADgAA&#10;AAAAAAAAAAAAAAAuAgAAZHJzL2Uyb0RvYy54bWxQSwECLQAUAAYACAAAACEAXShRCN8AAAALAQAA&#10;DwAAAAAAAAAAAAAAAADQBAAAZHJzL2Rvd25yZXYueG1sUEsFBgAAAAAEAAQA8wAAANwFAAAAAA==&#10;" fillcolor="white [3201]" stroked="f" strokeweight="2pt">
                <v:textbox>
                  <w:txbxContent>
                    <w:p w:rsidR="00B61133" w:rsidRPr="00EC63C1" w:rsidRDefault="00B61133" w:rsidP="00FD020E">
                      <w:pPr>
                        <w:jc w:val="center"/>
                        <w:rPr>
                          <w:rFonts w:asciiTheme="majorBidi" w:hAnsiTheme="majorBidi" w:cstheme="majorBidi"/>
                          <w:sz w:val="16"/>
                          <w:szCs w:val="16"/>
                        </w:rPr>
                      </w:pPr>
                      <w:r>
                        <w:rPr>
                          <w:rFonts w:asciiTheme="majorBidi" w:hAnsiTheme="majorBidi" w:cstheme="majorBidi"/>
                          <w:sz w:val="16"/>
                          <w:szCs w:val="16"/>
                        </w:rPr>
                        <w:t>Reflux</w:t>
                      </w:r>
                    </w:p>
                  </w:txbxContent>
                </v:textbox>
              </v:rect>
            </w:pict>
          </mc:Fallback>
        </mc:AlternateContent>
      </w:r>
      <w:r w:rsidRPr="00986367">
        <w:rPr>
          <w:rFonts w:ascii="Times New Roman" w:hAnsi="Times New Roman"/>
          <w:noProof/>
          <w:sz w:val="20"/>
          <w:szCs w:val="20"/>
          <w:lang w:val="en-MY" w:eastAsia="en-MY" w:bidi="ar-SA"/>
        </w:rPr>
        <mc:AlternateContent>
          <mc:Choice Requires="wps">
            <w:drawing>
              <wp:anchor distT="0" distB="0" distL="114300" distR="114300" simplePos="0" relativeHeight="251659264" behindDoc="0" locked="0" layoutInCell="1" allowOverlap="1" wp14:anchorId="08F1FD0E" wp14:editId="4685C6F2">
                <wp:simplePos x="0" y="0"/>
                <wp:positionH relativeFrom="column">
                  <wp:posOffset>1670685</wp:posOffset>
                </wp:positionH>
                <wp:positionV relativeFrom="paragraph">
                  <wp:posOffset>1060450</wp:posOffset>
                </wp:positionV>
                <wp:extent cx="1198880" cy="356870"/>
                <wp:effectExtent l="0" t="0" r="1270" b="5080"/>
                <wp:wrapNone/>
                <wp:docPr id="15" name="Rectangle 15"/>
                <wp:cNvGraphicFramePr/>
                <a:graphic xmlns:a="http://schemas.openxmlformats.org/drawingml/2006/main">
                  <a:graphicData uri="http://schemas.microsoft.com/office/word/2010/wordprocessingShape">
                    <wps:wsp>
                      <wps:cNvSpPr/>
                      <wps:spPr>
                        <a:xfrm>
                          <a:off x="0" y="0"/>
                          <a:ext cx="1198880" cy="3568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61133" w:rsidRDefault="00B61133" w:rsidP="00FD020E">
                            <w:pPr>
                              <w:jc w:val="center"/>
                              <w:rPr>
                                <w:rFonts w:asciiTheme="majorBidi" w:hAnsiTheme="majorBidi" w:cstheme="majorBidi"/>
                                <w:sz w:val="16"/>
                                <w:szCs w:val="16"/>
                              </w:rPr>
                            </w:pPr>
                            <w:r>
                              <w:rPr>
                                <w:rFonts w:asciiTheme="majorBidi" w:hAnsiTheme="majorBidi" w:cstheme="majorBidi"/>
                                <w:sz w:val="16"/>
                                <w:szCs w:val="16"/>
                              </w:rPr>
                              <w:t>Circulatory</w:t>
                            </w:r>
                            <w:r w:rsidRPr="00EC63C1">
                              <w:rPr>
                                <w:rFonts w:asciiTheme="majorBidi" w:hAnsiTheme="majorBidi" w:cstheme="majorBidi"/>
                                <w:sz w:val="16"/>
                                <w:szCs w:val="16"/>
                              </w:rPr>
                              <w:t xml:space="preserve"> Chiller</w:t>
                            </w:r>
                            <w:r>
                              <w:rPr>
                                <w:rFonts w:asciiTheme="majorBidi" w:hAnsiTheme="majorBidi" w:cstheme="majorBidi"/>
                                <w:sz w:val="16"/>
                                <w:szCs w:val="16"/>
                              </w:rPr>
                              <w:t xml:space="preserve"> </w:t>
                            </w:r>
                          </w:p>
                          <w:p w:rsidR="00B61133" w:rsidRPr="00EC63C1" w:rsidRDefault="00B61133" w:rsidP="00FD020E">
                            <w:pPr>
                              <w:jc w:val="center"/>
                              <w:rPr>
                                <w:rFonts w:asciiTheme="majorBidi" w:hAnsiTheme="majorBidi" w:cstheme="majorBidi"/>
                                <w:sz w:val="16"/>
                                <w:szCs w:val="16"/>
                              </w:rPr>
                            </w:pPr>
                            <w:r>
                              <w:rPr>
                                <w:rFonts w:asciiTheme="majorBidi" w:hAnsiTheme="majorBidi" w:cstheme="majorBidi"/>
                                <w:sz w:val="16"/>
                                <w:szCs w:val="16"/>
                              </w:rPr>
                              <w:t>(8°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0" style="position:absolute;left:0;text-align:left;margin-left:131.55pt;margin-top:83.5pt;width:94.4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YudwIAADYFAAAOAAAAZHJzL2Uyb0RvYy54bWysVNtu2zAMfR+wfxD0vjrOekmDOkXQosOA&#10;og16QZ8VWUqMyaJGKbGzrx8lX1p0xR6GvciSeEiKh4e+uGxrw/YKfQW24PnRhDNlJZSV3RT8+enm&#10;y4wzH4QthQGrCn5Qnl8uPn+6aNxcTWELplTIKIj188YVfBuCm2eZl1tVC38ETlkyasBaBDriJitR&#10;NBS9Ntl0MjnNGsDSIUjlPd1ed0a+SPG1VjLca+1VYKbg9LaQVkzrOq7Z4kLMNyjctpL9M8Q/vKIW&#10;laWkY6hrEQTbYfVHqLqSCB50OJJQZ6B1JVWqgarJJ++qedwKp1ItRI53I03+/4WVd/sVsqqk3p1w&#10;ZkVNPXog1oTdGMXojghqnJ8T7tGtsD952sZqW411/FIdrE2kHkZSVRuYpMs8P5/NZsS9JNvXk9PZ&#10;WWI9e/V26MM3BTWLm4IjpU9civ2tD5SRoAMkJjM2rhZuKmM6a7zJ4iu7d6VdOBjVoR+UpgLpJdMU&#10;NUlLXRlke0GiKH/ksUbKYSwho4umwKNT/pGTCYNTj41uKsltdJx85PiabUSnjGDD6FhXFvDvzrrD&#10;D1V3tcayQ7tuUzdPh8atoTxQhxE66Xsnbyqi+Vb4sBJIWqfO0PyGe1q0gabg0O842wL++ug+4kmC&#10;ZOWsodkpuP+5E6g4M98tifM8Pz6Ow5YOxydnUzrgW8v6rcXu6iugTuT0p3AybSM+mGGrEeoXGvNl&#10;zEomYSXlLrgMOByuQjfT9KOQarlMMBowJ8KtfXQyBo88Rxk9tS8CXa+1QCq9g2HOxPyd5Dps9LSw&#10;3AXQVdJjZLrjte8ADWeSUP8jidP/9pxQr7+7xW8AAAD//wMAUEsDBBQABgAIAAAAIQAmfpDb3wAA&#10;AAsBAAAPAAAAZHJzL2Rvd25yZXYueG1sTI9BTsMwEEX3SNzBGiR21EkKKQ1xKgTqAqlSReEATjxN&#10;IuJxsN003J5hRZej//Tn/XIz20FM6EPvSEG6SEAgNc701Cr4/NjePYIIUZPRgyNU8IMBNtX1VakL&#10;4870jtMhtoJLKBRaQRfjWEgZmg6tDgs3InF2dN7qyKdvpfH6zOV2kFmS5NLqnvhDp0d86bD5Opys&#10;gr35Tlev49ZPtn6bdjvb7L0NSt3ezM9PICLO8R+GP31Wh4qdanciE8SgIMuXKaMc5CsexcT9Q7oG&#10;UXOULTOQVSkvN1S/AAAA//8DAFBLAQItABQABgAIAAAAIQC2gziS/gAAAOEBAAATAAAAAAAAAAAA&#10;AAAAAAAAAABbQ29udGVudF9UeXBlc10ueG1sUEsBAi0AFAAGAAgAAAAhADj9If/WAAAAlAEAAAsA&#10;AAAAAAAAAAAAAAAALwEAAF9yZWxzLy5yZWxzUEsBAi0AFAAGAAgAAAAhALWsli53AgAANgUAAA4A&#10;AAAAAAAAAAAAAAAALgIAAGRycy9lMm9Eb2MueG1sUEsBAi0AFAAGAAgAAAAhACZ+kNvfAAAACwEA&#10;AA8AAAAAAAAAAAAAAAAA0QQAAGRycy9kb3ducmV2LnhtbFBLBQYAAAAABAAEAPMAAADdBQAAAAA=&#10;" fillcolor="white [3201]" stroked="f" strokeweight="2pt">
                <v:textbox>
                  <w:txbxContent>
                    <w:p w:rsidR="00B61133" w:rsidRDefault="00B61133" w:rsidP="00FD020E">
                      <w:pPr>
                        <w:jc w:val="center"/>
                        <w:rPr>
                          <w:rFonts w:asciiTheme="majorBidi" w:hAnsiTheme="majorBidi" w:cstheme="majorBidi"/>
                          <w:sz w:val="16"/>
                          <w:szCs w:val="16"/>
                        </w:rPr>
                      </w:pPr>
                      <w:r>
                        <w:rPr>
                          <w:rFonts w:asciiTheme="majorBidi" w:hAnsiTheme="majorBidi" w:cstheme="majorBidi"/>
                          <w:sz w:val="16"/>
                          <w:szCs w:val="16"/>
                        </w:rPr>
                        <w:t>Circulatory</w:t>
                      </w:r>
                      <w:r w:rsidRPr="00EC63C1">
                        <w:rPr>
                          <w:rFonts w:asciiTheme="majorBidi" w:hAnsiTheme="majorBidi" w:cstheme="majorBidi"/>
                          <w:sz w:val="16"/>
                          <w:szCs w:val="16"/>
                        </w:rPr>
                        <w:t xml:space="preserve"> Chiller</w:t>
                      </w:r>
                      <w:r>
                        <w:rPr>
                          <w:rFonts w:asciiTheme="majorBidi" w:hAnsiTheme="majorBidi" w:cstheme="majorBidi"/>
                          <w:sz w:val="16"/>
                          <w:szCs w:val="16"/>
                        </w:rPr>
                        <w:t xml:space="preserve"> </w:t>
                      </w:r>
                    </w:p>
                    <w:p w:rsidR="00B61133" w:rsidRPr="00EC63C1" w:rsidRDefault="00B61133" w:rsidP="00FD020E">
                      <w:pPr>
                        <w:jc w:val="center"/>
                        <w:rPr>
                          <w:rFonts w:asciiTheme="majorBidi" w:hAnsiTheme="majorBidi" w:cstheme="majorBidi"/>
                          <w:sz w:val="16"/>
                          <w:szCs w:val="16"/>
                        </w:rPr>
                      </w:pPr>
                      <w:r>
                        <w:rPr>
                          <w:rFonts w:asciiTheme="majorBidi" w:hAnsiTheme="majorBidi" w:cstheme="majorBidi"/>
                          <w:sz w:val="16"/>
                          <w:szCs w:val="16"/>
                        </w:rPr>
                        <w:t>(8° C)</w:t>
                      </w:r>
                    </w:p>
                  </w:txbxContent>
                </v:textbox>
              </v:rect>
            </w:pict>
          </mc:Fallback>
        </mc:AlternateContent>
      </w:r>
      <w:r w:rsidRPr="00986367">
        <w:rPr>
          <w:rFonts w:ascii="Times New Roman" w:hAnsi="Times New Roman"/>
          <w:noProof/>
          <w:sz w:val="20"/>
          <w:szCs w:val="20"/>
          <w:lang w:val="en-MY" w:eastAsia="en-MY" w:bidi="ar-SA"/>
        </w:rPr>
        <w:drawing>
          <wp:inline distT="0" distB="0" distL="0" distR="0" wp14:anchorId="152E08FC" wp14:editId="221B6193">
            <wp:extent cx="2834640" cy="2120286"/>
            <wp:effectExtent l="19050" t="19050" r="2286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34640" cy="2120286"/>
                    </a:xfrm>
                    <a:prstGeom prst="rect">
                      <a:avLst/>
                    </a:prstGeom>
                    <a:ln w="3175">
                      <a:solidFill>
                        <a:schemeClr val="tx1"/>
                      </a:solidFill>
                    </a:ln>
                  </pic:spPr>
                </pic:pic>
              </a:graphicData>
            </a:graphic>
          </wp:inline>
        </w:drawing>
      </w:r>
    </w:p>
    <w:p w:rsidR="0062232A" w:rsidRDefault="007C6546" w:rsidP="0057795C">
      <w:pPr>
        <w:spacing w:after="0"/>
        <w:jc w:val="center"/>
        <w:rPr>
          <w:rFonts w:ascii="Times New Roman" w:hAnsi="Times New Roman"/>
          <w:sz w:val="20"/>
          <w:szCs w:val="20"/>
        </w:rPr>
      </w:pPr>
      <w:r w:rsidRPr="00986367">
        <w:rPr>
          <w:rFonts w:ascii="Times New Roman" w:hAnsi="Times New Roman"/>
          <w:sz w:val="20"/>
          <w:szCs w:val="20"/>
        </w:rPr>
        <w:t xml:space="preserve">Figure 2. </w:t>
      </w:r>
      <w:r>
        <w:rPr>
          <w:rFonts w:ascii="Times New Roman" w:hAnsi="Times New Roman"/>
          <w:sz w:val="20"/>
          <w:szCs w:val="20"/>
        </w:rPr>
        <w:t xml:space="preserve"> </w:t>
      </w:r>
      <w:r w:rsidRPr="00986367">
        <w:rPr>
          <w:rFonts w:ascii="Times New Roman" w:hAnsi="Times New Roman"/>
          <w:sz w:val="20"/>
          <w:szCs w:val="20"/>
        </w:rPr>
        <w:t>Ref</w:t>
      </w:r>
      <w:r w:rsidR="0057795C">
        <w:rPr>
          <w:rFonts w:ascii="Times New Roman" w:hAnsi="Times New Roman"/>
          <w:sz w:val="20"/>
          <w:szCs w:val="20"/>
        </w:rPr>
        <w:t>lux system to produce biodiesel</w:t>
      </w:r>
    </w:p>
    <w:p w:rsidR="0057795C" w:rsidRDefault="0057795C" w:rsidP="0057795C">
      <w:pPr>
        <w:spacing w:after="0"/>
        <w:jc w:val="center"/>
        <w:rPr>
          <w:rFonts w:ascii="Times New Roman" w:hAnsi="Times New Roman"/>
          <w:sz w:val="20"/>
          <w:szCs w:val="20"/>
        </w:rPr>
      </w:pPr>
    </w:p>
    <w:p w:rsidR="0057795C" w:rsidRDefault="0057795C" w:rsidP="0057795C">
      <w:pPr>
        <w:spacing w:after="0"/>
        <w:jc w:val="center"/>
        <w:rPr>
          <w:rFonts w:ascii="Times New Roman" w:hAnsi="Times New Roman"/>
          <w:sz w:val="20"/>
          <w:szCs w:val="20"/>
        </w:rPr>
      </w:pPr>
    </w:p>
    <w:p w:rsidR="0057795C" w:rsidRDefault="0057795C" w:rsidP="0057795C">
      <w:pPr>
        <w:spacing w:after="0"/>
        <w:rPr>
          <w:rFonts w:ascii="Times New Roman" w:hAnsi="Times New Roman"/>
          <w:sz w:val="20"/>
          <w:szCs w:val="20"/>
        </w:rPr>
      </w:pPr>
    </w:p>
    <w:p w:rsidR="0057795C" w:rsidRDefault="0057795C" w:rsidP="0057795C">
      <w:pPr>
        <w:spacing w:after="0"/>
        <w:rPr>
          <w:rFonts w:ascii="Times New Roman" w:hAnsi="Times New Roman"/>
          <w:sz w:val="20"/>
          <w:szCs w:val="20"/>
        </w:rPr>
        <w:sectPr w:rsidR="0057795C" w:rsidSect="0062232A">
          <w:headerReference w:type="even" r:id="rId38"/>
          <w:headerReference w:type="default" r:id="rId39"/>
          <w:footerReference w:type="default" r:id="rId40"/>
          <w:headerReference w:type="first" r:id="rId41"/>
          <w:type w:val="oddPage"/>
          <w:pgSz w:w="12240" w:h="15840" w:code="1"/>
          <w:pgMar w:top="1800" w:right="1469" w:bottom="1699" w:left="1440" w:header="706" w:footer="706" w:gutter="0"/>
          <w:pgNumType w:start="1"/>
          <w:cols w:space="403"/>
          <w:docGrid w:linePitch="360"/>
        </w:sectPr>
      </w:pPr>
    </w:p>
    <w:p w:rsidR="006768E9" w:rsidRPr="00F447A7" w:rsidRDefault="006768E9" w:rsidP="0057795C">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7C6546" w:rsidRDefault="007C6546" w:rsidP="00CE0E6C">
      <w:pPr>
        <w:spacing w:after="0"/>
        <w:jc w:val="both"/>
        <w:outlineLvl w:val="0"/>
        <w:rPr>
          <w:rFonts w:ascii="Times New Roman" w:hAnsi="Times New Roman"/>
          <w:b/>
          <w:bCs/>
          <w:sz w:val="20"/>
          <w:szCs w:val="20"/>
        </w:rPr>
      </w:pPr>
      <w:r>
        <w:rPr>
          <w:rFonts w:ascii="Times New Roman" w:hAnsi="Times New Roman"/>
          <w:b/>
          <w:bCs/>
          <w:sz w:val="20"/>
          <w:szCs w:val="20"/>
        </w:rPr>
        <w:t>Characterization of catalyst</w:t>
      </w:r>
    </w:p>
    <w:p w:rsidR="00CE0E6C" w:rsidRPr="007C6546" w:rsidRDefault="00CE0E6C" w:rsidP="00CE0E6C">
      <w:pPr>
        <w:spacing w:after="0"/>
        <w:jc w:val="both"/>
        <w:outlineLvl w:val="0"/>
        <w:rPr>
          <w:rFonts w:asciiTheme="majorBidi" w:hAnsiTheme="majorBidi" w:cstheme="majorBidi"/>
          <w:i/>
          <w:sz w:val="20"/>
          <w:szCs w:val="20"/>
        </w:rPr>
      </w:pPr>
      <w:r w:rsidRPr="007C6546">
        <w:rPr>
          <w:rFonts w:asciiTheme="majorBidi" w:hAnsiTheme="majorBidi" w:cstheme="majorBidi"/>
          <w:b/>
          <w:bCs/>
          <w:i/>
          <w:sz w:val="20"/>
          <w:szCs w:val="20"/>
        </w:rPr>
        <w:t>XRD patterns</w:t>
      </w:r>
    </w:p>
    <w:p w:rsidR="00CE0E6C" w:rsidRPr="00CE0E6C" w:rsidRDefault="00CE0E6C" w:rsidP="00CE0E6C">
      <w:pPr>
        <w:spacing w:after="0"/>
        <w:jc w:val="both"/>
        <w:outlineLvl w:val="0"/>
        <w:rPr>
          <w:rFonts w:asciiTheme="majorBidi" w:hAnsiTheme="majorBidi" w:cstheme="majorBidi"/>
          <w:sz w:val="20"/>
          <w:szCs w:val="20"/>
        </w:rPr>
      </w:pPr>
      <w:r w:rsidRPr="00CE0E6C">
        <w:rPr>
          <w:rFonts w:asciiTheme="majorBidi" w:hAnsiTheme="majorBidi" w:cstheme="majorBidi"/>
          <w:sz w:val="20"/>
          <w:szCs w:val="20"/>
        </w:rPr>
        <w:t xml:space="preserve">XRD patterns of the samples are shown in </w:t>
      </w:r>
      <w:r w:rsidR="007C6546">
        <w:rPr>
          <w:rFonts w:asciiTheme="majorBidi" w:hAnsiTheme="majorBidi" w:cstheme="majorBidi"/>
          <w:sz w:val="20"/>
          <w:szCs w:val="20"/>
        </w:rPr>
        <w:t xml:space="preserve">Figure </w:t>
      </w:r>
      <w:r w:rsidRPr="00CE0E6C">
        <w:rPr>
          <w:rFonts w:asciiTheme="majorBidi" w:hAnsiTheme="majorBidi" w:cstheme="majorBidi"/>
          <w:sz w:val="20"/>
          <w:szCs w:val="20"/>
        </w:rPr>
        <w:t>3. The X-ray patterns reveal that the modified samples have structural characteristics nearly identical to the unmodified montmorillonite K10. This refers to the interlayer clay that was not affected by Fe</w:t>
      </w:r>
      <w:r w:rsidRPr="00CE0E6C">
        <w:rPr>
          <w:rFonts w:asciiTheme="majorBidi" w:hAnsiTheme="majorBidi" w:cstheme="majorBidi"/>
          <w:sz w:val="20"/>
          <w:szCs w:val="20"/>
          <w:vertAlign w:val="superscript"/>
        </w:rPr>
        <w:t>3+</w:t>
      </w:r>
      <w:r w:rsidRPr="00CE0E6C">
        <w:rPr>
          <w:rFonts w:asciiTheme="majorBidi" w:hAnsiTheme="majorBidi" w:cstheme="majorBidi"/>
          <w:sz w:val="20"/>
          <w:szCs w:val="20"/>
        </w:rPr>
        <w:t xml:space="preserve"> exchange reaction and the clay structure was retained during the exchange processes. The basal spacing of d001 observed for all samples at 8.8° (ca. 10.01 Å) indicated the presence of 2:1 (T:O:T) structure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S1003-9953(10)60147-8","ISSN":"10039953","author":[{"dropping-particle":"","family":"Dharne","given":"S.","non-dropping-particle":"","parse-names":false,"suffix":""},{"dropping-particle":"","family":"Bokade","given":"V.V.","non-dropping-particle":"","parse-names":false,"suffix":""}],"container-title":"Journal of Natural Gas Chemistry","id":"ITEM-1","issue":"1","issued":{"date-parts":[["2011","1"]]},"page":"18-24","title":"Esterification of levulinic acid to n-butyl levulinate over heteropolyacid supported on acid-treated clay","type":"article-journal","volume":"20"},"uris":["http://www.mendeley.com/documents/?uuid=2aeff1bf-613e-355f-98fa-194c1bc79e5d"]},{"id":"ITEM-2","itemData":{"author":[{"dropping-particle":"","family":"Harun","given":"Farah W","non-dropping-particle":"","parse-names":false,"suffix":""},{"dropping-particle":"","family":"Almadani","given":"Enas A","non-dropping-particle":"","parse-names":false,"suffix":""},{"dropping-particle":"","family":"Radzi","given":"Salina M","non-dropping-particle":"","parse-names":false,"suffix":""}],"container-title":"Journal of Scientific Research and Development","id":"ITEM-2","issue":"3","issued":{"date-parts":[["2016"]]},"page":"90-96","title":"Metal cation exchanged montmorillonite K10 ( MMT K10 ): Surface properties and catalytic activity","type":"article-journal","volume":"3"},"uris":["http://www.mendeley.com/documents/?uuid=a994bd17-aec7-467c-835a-6ea469f53bcf"]}],"mendeley":{"formattedCitation":"[17], [18]","plainTextFormattedCitation":"[17], [18]","previouslyFormattedCitation":"[17], [18]"},"properties":{"noteIndex":0},"schema":"https://github.com/citation-style-language/schema/raw/master/csl-citation.json"}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[17, 18]</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This </w:t>
      </w:r>
      <w:r w:rsidRPr="00CE0E6C">
        <w:rPr>
          <w:rFonts w:ascii="Times New Roman" w:hAnsi="Times New Roman"/>
          <w:sz w:val="20"/>
          <w:szCs w:val="20"/>
        </w:rPr>
        <w:t xml:space="preserve">can perceive maintenance of reflection characteristic of this clay mineral. </w:t>
      </w:r>
      <w:r w:rsidRPr="00CE0E6C">
        <w:rPr>
          <w:rFonts w:asciiTheme="majorBidi" w:hAnsiTheme="majorBidi" w:cstheme="majorBidi"/>
          <w:sz w:val="20"/>
          <w:szCs w:val="20"/>
        </w:rPr>
        <w:t xml:space="preserve">According to </w:t>
      </w:r>
      <w:r w:rsidRPr="00CE0E6C">
        <w:rPr>
          <w:rFonts w:ascii="Times New Roman" w:hAnsi="Times New Roman"/>
          <w:sz w:val="20"/>
          <w:szCs w:val="20"/>
        </w:rPr>
        <w:fldChar w:fldCharType="begin" w:fldLock="1"/>
      </w:r>
      <w:r w:rsidRPr="00CE0E6C">
        <w:rPr>
          <w:rFonts w:ascii="Times New Roman" w:hAnsi="Times New Roman"/>
          <w:sz w:val="20"/>
          <w:szCs w:val="20"/>
        </w:rPr>
        <w:instrText>ADDIN CSL_CITATION {"citationItems":[{"id":"ITEM-1","itemData":{"author":[{"dropping-particle":"","family":"Michelle","given":"Anne","non-dropping-particle":"","parse-names":false,"suffix":""},{"dropping-particle":"","family":"Pedrosa","given":"Garrido","non-dropping-particle":"","parse-names":false,"suffix":""},{"dropping-particle":"De","family":"Tecnologia","given":"Centro","non-dropping-particle":"","parse-names":false,"suffix":""},{"dropping-particle":"","family":"Campus","given":"Lagoa Nova","non-dropping-particle":"","parse-names":false,"suffix":""},{"dropping-particle":"","family":"Elze","given":"Jardim Rosa","non-dropping-particle":"","parse-names":false,"suffix":""},{"dropping-particle":"","family":"Campos","given":"De","non-dropping-particle":"","parse-names":false,"suffix":""},{"dropping-particle":"","family":"Elze","given":"Jardim Rosa","non-dropping-particle":"","parse-names":false,"suffix":""}],"id":"ITEM-1","issue":"2","issued":{"date-parts":[["2015"]]},"page":"283-287","title":"Effect of the Acid Treatment of Montmorillonite Clay in the Oleic Acid Esterification Reaction","type":"article-journal","volume":"18"},"uris":["http://www.mendeley.com/documents/?uuid=ce504f06-7fd3-44dd-bd81-cc6d6bd946bd"]}],"mendeley":{"formattedCitation":"[19]","manualFormatting":"Michelle et al. ","plainTextFormattedCitation":"[19]","previouslyFormattedCitation":"[19]"},"properties":{"noteIndex":0},"schema":"https://github.com/citation-style-language/schema/raw/master/csl-citation.json"}</w:instrText>
      </w:r>
      <w:r w:rsidRPr="00CE0E6C">
        <w:rPr>
          <w:rFonts w:ascii="Times New Roman" w:hAnsi="Times New Roman"/>
          <w:sz w:val="20"/>
          <w:szCs w:val="20"/>
        </w:rPr>
        <w:fldChar w:fldCharType="separate"/>
      </w:r>
      <w:r w:rsidRPr="00CE0E6C">
        <w:rPr>
          <w:rFonts w:ascii="Times New Roman" w:hAnsi="Times New Roman"/>
          <w:noProof/>
          <w:sz w:val="20"/>
          <w:szCs w:val="20"/>
        </w:rPr>
        <w:t xml:space="preserve">Michelle et al. </w:t>
      </w:r>
      <w:r w:rsidRPr="00CE0E6C">
        <w:rPr>
          <w:rFonts w:ascii="Times New Roman" w:hAnsi="Times New Roman"/>
          <w:sz w:val="20"/>
          <w:szCs w:val="20"/>
        </w:rPr>
        <w:fldChar w:fldCharType="end"/>
      </w:r>
      <w:r w:rsidRPr="00CE0E6C">
        <w:rPr>
          <w:rFonts w:ascii="Times New Roman" w:hAnsi="Times New Roman"/>
          <w:sz w:val="20"/>
          <w:szCs w:val="20"/>
        </w:rPr>
        <w:fldChar w:fldCharType="begin" w:fldLock="1"/>
      </w:r>
      <w:r w:rsidRPr="00CE0E6C">
        <w:rPr>
          <w:rFonts w:ascii="Times New Roman" w:hAnsi="Times New Roman"/>
          <w:sz w:val="20"/>
          <w:szCs w:val="20"/>
        </w:rPr>
        <w:instrText>ADDIN CSL_CITATION {"citationItems":[{"id":"ITEM-1","itemData":{"author":[{"dropping-particle":"","family":"Michelle","given":"Anne","non-dropping-particle":"","parse-names":false,"suffix":""},{"dropping-particle":"","family":"Pedrosa","given":"Garrido","non-dropping-particle":"","parse-names":false,"suffix":""},{"dropping-particle":"De","family":"Tecnologia","given":"Centro","non-dropping-particle":"","parse-names":false,"suffix":""},{"dropping-particle":"","family":"Campus","given":"Lagoa Nova","non-dropping-particle":"","parse-names":false,"suffix":""},{"dropping-particle":"","family":"Elze","given":"Jardim Rosa","non-dropping-particle":"","parse-names":false,"suffix":""},{"dropping-particle":"","family":"Campos","given":"De","non-dropping-particle":"","parse-names":false,"suffix":""},{"dropping-particle":"","family":"Elze","given":"Jardim Rosa","non-dropping-particle":"","parse-names":false,"suffix":""}],"id":"ITEM-1","issue":"2","issued":{"date-parts":[["2015"]]},"page":"283-287","title":"Effect of the Acid Treatment of Montmorillonite Clay in the Oleic Acid Esterification Reaction","type":"article-journal","volume":"18"},"uris":["http://www.mendeley.com/documents/?uuid=ce504f06-7fd3-44dd-bd81-cc6d6bd946bd"]}],"mendeley":{"formattedCitation":"[19]","plainTextFormattedCitation":"[19]","previouslyFormattedCitation":"[19]"},"properties":{"noteIndex":0},"schema":"https://github.com/citation-style-language/schema/raw/master/csl-citation.json"}</w:instrText>
      </w:r>
      <w:r w:rsidRPr="00CE0E6C">
        <w:rPr>
          <w:rFonts w:ascii="Times New Roman" w:hAnsi="Times New Roman"/>
          <w:sz w:val="20"/>
          <w:szCs w:val="20"/>
        </w:rPr>
        <w:fldChar w:fldCharType="separate"/>
      </w:r>
      <w:r w:rsidRPr="00CE0E6C">
        <w:rPr>
          <w:rFonts w:ascii="Times New Roman" w:hAnsi="Times New Roman"/>
          <w:noProof/>
          <w:sz w:val="20"/>
          <w:szCs w:val="20"/>
        </w:rPr>
        <w:t>[19]</w:t>
      </w:r>
      <w:r w:rsidRPr="00CE0E6C">
        <w:rPr>
          <w:rFonts w:ascii="Times New Roman" w:hAnsi="Times New Roman"/>
          <w:sz w:val="20"/>
          <w:szCs w:val="20"/>
        </w:rPr>
        <w:fldChar w:fldCharType="end"/>
      </w:r>
      <w:r w:rsidRPr="00CE0E6C">
        <w:rPr>
          <w:rFonts w:ascii="Times New Roman" w:hAnsi="Times New Roman"/>
          <w:sz w:val="20"/>
          <w:szCs w:val="20"/>
        </w:rPr>
        <w:t xml:space="preserve">, this is an important point, since the preservation of the crystal structure is essential for the material to maintain its thermal stability when applied in catalytic processes. </w:t>
      </w:r>
      <w:r w:rsidRPr="00CE0E6C">
        <w:rPr>
          <w:rFonts w:asciiTheme="majorBidi" w:hAnsiTheme="majorBidi" w:cstheme="majorBidi"/>
          <w:sz w:val="20"/>
          <w:szCs w:val="20"/>
        </w:rPr>
        <w:t xml:space="preserve">Figure 3 shows that the montmorillonite K10 is composed of mixed phases and this result is in good agreement with previously reported data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{"citationItems":[{"id":"ITEM-1","itemData":{"DOI":"10.1016/J.MOLCATA.2008.01.013","ISSN":"1381-1169","abstract":"Catalytic activity of 14 types of metal ion-exchanged montmorillonite K-10 clay (Mn+-mont) is tested for the acetylation of cyclohexanol with acetic anhydride at room temperature. The activity increases with an increase in the charge/radius ratio of exchanged cation. The activity of Fe3+-mont is the highest and is higher than those of other Fe3+ catalysts, FeCl3·6H2O and FeCl3/SiO2, conventional acid catalysts, Al2O3 and HZSM5, and homogeneous Lewis acid, Sc(OTf)3. Fe3+-mont exhibits a high turnover numbers (TON=49,500) and can be recycled without a loss in activity. Acidity of Fe3+-mont, Yb3+-mont and FeCl3/SiO2 was characterized by IR spectroscopy using three probe molecules: pyridine, acetonitrile and acetone. These catalysts dominantly act as Lewis acid, and the Lewis acid strength changes in the order of Fe3+-mont&gt;Yb3+-mont&gt;FeCl3/SiO2, as suggested by acetone adsorption microcalorimety. From the relationship between the activity and the acidic character, factors affecting the catalytic activity for the acetylation are discussed.","author":[{"dropping-particle":"","family":"Shimizu","given":"Ken-ichi","non-dropping-particle":"","parse-names":false,"suffix":""},{"dropping-particle":"","family":"Higuchi","given":"Tomoya","non-dropping-particle":"","parse-names":false,"suffix":""},{"dropping-particle":"","family":"Takasugi","given":"Emi","non-dropping-particle":"","parse-names":false,"suffix":""},{"dropping-particle":"","family":"Hatamachi","given":"Tsuyoshi","non-dropping-particle":"","parse-names":false,"suffix":""},{"dropping-particle":"","family":"Kodama","given":"Tatsuya","non-dropping-particle":"","parse-names":false,"suffix":""},{"dropping-particle":"","family":"Satsuma","given":"Atsushi","non-dropping-particle":"","parse-names":false,"suffix":""}],"container-title":"Journal of Molecular Catalysis A: Chemical","id":"ITEM-1","issue":"1-2","issued":{"date-parts":[["2008","4","2"]]},"page":"89-96","publisher":"Elsevier","title":"Characterization of Lewis acidity of cation-exchanged montmorillonite K-10 clay as effective heterogeneous catalyst for acetylation of alcohol","type":"article-journal","volume":"284"},"uris":["http://www.mendeley.com/documents/?uuid=76cbe6db-0906-3499-9a3c-2da9510aa711"]},{"id":"ITEM-2","itemData":{"DOI":"10.1039/c3ra40520f","ISSN":"2046-2069","abstract":"Montmorillonite is one of the most intensively explored supporting materials in materials chemistry. In addition to its low cost and eco-friendliness, interest mainly exists in its unique properties like cation exchange and swelling ability, thereby accommodating various guest species in its interlayers. While recognizing the tremendous interest in nanoparticles because of their fundamentally novel properties and functions, researchers have noticed that the performance of these nanoparticles can be greatly enhanced by their immobilization on various supports. The interlayer space of montmorillonite at the nanometre scale provides a very good platform to accommodate these nanoparticulates. This review provides an overview of the past developments in the field of montmorillonite supported nanometals. Thus, this review aims to cover numerous aspects of material syntheses, and various fields of applications in which these materials show their significant efficacies.","author":[{"dropping-particle":"","family":"Varadwaj","given":"G. Bishwa Bidita","non-dropping-particle":"","parse-names":false,"suffix":""},{"dropping-particle":"","family":"Parida","given":"K. M.","non-dropping-particle":"","parse-names":false,"suffix":""}],"container-title":"RSC Advances","id":"ITEM-2","issue":"33","issued":{"date-parts":[["2013","7","30"]]},"page":"13583","publisher":"The Royal Society of Chemistry","title":"Montmorillonite supported metal nanoparticles: an update on syntheses and applications","type":"article-journal","volume":"3"},"uris":["http://www.mendeley.com/documents/?uuid=9d9240bf-09df-3c68-ae25-09f1579f9485"]},{"id":"ITEM-3","itemData":{"DOI":"10.1039/C4GC02131B","ISSN":"1463-9262","abstract":"&lt;p&gt;Erbium ion-exchanged montmorillonite K10 can catalyze effectively the hydrolysis of cellulose into lactic acid, giving a lactic acid yield as high as 67.6%.&lt;/p&gt;","author":[{"dropping-particle":"","family":"Wang","given":"Fen-Fen","non-dropping-particle":"","parse-names":false,"suffix":""},{"dropping-particle":"","family":"Liu","given":"Jie","non-dropping-particle":"","parse-names":false,"suffix":""},{"dropping-particle":"","family":"Li","given":"Hao","non-dropping-particle":"","parse-names":false,"suffix":""},{"dropping-particle":"","family":"Liu","given":"Chun-Ling","non-dropping-particle":"","parse-names":false,"suffix":""},{"dropping-particle":"","family":"Yang","given":"Rong-Zhen","non-dropping-particle":"","parse-names":false,"suffix":""},{"dropping-particle":"","family":"Dong","given":"Wen-Sheng","non-dropping-particle":"","parse-names":false,"suffix":""}],"container-title":"Green Chemistry","id":"ITEM-3","issue":"4","issued":{"date-parts":[["2015"]]},"page":"2455-2463","title":"Conversion of cellulose to lactic acid catalyzed by erbium-exchanged montmorillonite K10","type":"article-journal","volume":"17"},"uris":["http://www.mendeley.com/documents/?uuid=43cb5a47-1344-323d-b758-023a85436a0b"]}],"mendeley":{"formattedCitation":"[20]–[22]","plainTextFormattedCitation":"[20]–[22]","previouslyFormattedCitation":"[20]–[22]"},"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[20–22]</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w:t>
      </w:r>
    </w:p>
    <w:p w:rsidR="00CE0E6C" w:rsidRPr="00CE0E6C" w:rsidRDefault="00CE0E6C" w:rsidP="00CE0E6C">
      <w:pPr>
        <w:spacing w:after="0"/>
        <w:jc w:val="both"/>
        <w:outlineLvl w:val="0"/>
        <w:rPr>
          <w:rFonts w:asciiTheme="majorBidi" w:hAnsiTheme="majorBidi" w:cstheme="majorBidi"/>
          <w:sz w:val="20"/>
          <w:szCs w:val="20"/>
        </w:rPr>
      </w:pPr>
    </w:p>
    <w:p w:rsidR="00CE0E6C" w:rsidRDefault="00CE0E6C" w:rsidP="00CE0E6C">
      <w:pPr>
        <w:spacing w:after="0"/>
        <w:jc w:val="both"/>
        <w:outlineLvl w:val="0"/>
        <w:rPr>
          <w:rFonts w:asciiTheme="majorBidi" w:hAnsiTheme="majorBidi" w:cstheme="majorBidi"/>
          <w:sz w:val="20"/>
          <w:szCs w:val="20"/>
        </w:rPr>
      </w:pPr>
      <w:r w:rsidRPr="00CE0E6C">
        <w:rPr>
          <w:rFonts w:asciiTheme="majorBidi" w:hAnsiTheme="majorBidi" w:cstheme="majorBidi"/>
          <w:sz w:val="20"/>
          <w:szCs w:val="20"/>
        </w:rPr>
        <w:t>The treatment of the montmorillonite K10 with Fe</w:t>
      </w:r>
      <w:r w:rsidRPr="00CE0E6C">
        <w:rPr>
          <w:rFonts w:asciiTheme="majorBidi" w:hAnsiTheme="majorBidi" w:cstheme="majorBidi"/>
          <w:sz w:val="20"/>
          <w:szCs w:val="20"/>
          <w:vertAlign w:val="superscript"/>
        </w:rPr>
        <w:t>3+</w:t>
      </w:r>
      <w:r w:rsidRPr="00CE0E6C">
        <w:rPr>
          <w:rFonts w:asciiTheme="majorBidi" w:hAnsiTheme="majorBidi" w:cstheme="majorBidi"/>
          <w:sz w:val="20"/>
          <w:szCs w:val="20"/>
        </w:rPr>
        <w:t xml:space="preserve"> did not have a marked effect on its phase structure. The intensity of the diffraction peaks at 25.6° decreased when the samples were modified using method 3. It could be due to the leaching of existing cations from the octahedral layers of the montmorillonite K10 to </w:t>
      </w:r>
      <w:r w:rsidRPr="00CE0E6C">
        <w:rPr>
          <w:rFonts w:asciiTheme="majorBidi" w:hAnsiTheme="majorBidi" w:cstheme="majorBidi"/>
          <w:sz w:val="20"/>
          <w:szCs w:val="20"/>
        </w:rPr>
        <w:lastRenderedPageBreak/>
        <w:t xml:space="preserve">exchange with new loaded metal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{"citationItems":[{"id":"ITEM-1","itemData":{"DOI":"10.1039/C4GC02131B","ISSN":"1463-9262","abstract":"&lt;p&gt;Erbium ion-exchanged montmorillonite K10 can catalyze effectively the hydrolysis of cellulose into lactic acid, giving a lactic acid yield as high as 67.6%.&lt;/p&gt;","author":[{"dropping-particle":"","family":"Wang","given":"Fen-Fen","non-dropping-particle":"","parse-names":false,"suffix":""},{"dropping-particle":"","family":"Liu","given":"Jie","non-dropping-particle":"","parse-names":false,"suffix":""},{"dropping-particle":"","family":"Li","given":"Hao","non-dropping-particle":"","parse-names":false,"suffix":""},{"dropping-particle":"","family":"Liu","given":"Chun-Ling","non-dropping-particle":"","parse-names":false,"suffix":""},{"dropping-particle":"","family":"Yang","given":"Rong-Zhen","non-dropping-particle":"","parse-names":false,"suffix":""},{"dropping-particle":"","family":"Dong","given":"Wen-Sheng","non-dropping-particle":"","parse-names":false,"suffix":""}],"container-title":"Green Chemistry","id":"ITEM-1","issue":"4","issued":{"date-parts":[["2015"]]},"page":"2455-2463","title":"Conversion of cellulose to lactic acid catalyzed by erbium-exchanged montmorillonite K10","type":"article-journal","volume":"17"},"uris":["http://www.mendeley.com/documents/?uuid=43cb5a47-1344-323d-b758-023a85436a0b"]}],"mendeley":{"formattedCitation":"[22]","plainTextFormattedCitation":"[22]","previouslyFormattedCitation":"[22]"},"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[22]</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and crystallinity reduction. However</w:t>
      </w:r>
      <w:r w:rsidR="00BC0816">
        <w:rPr>
          <w:rFonts w:asciiTheme="majorBidi" w:hAnsiTheme="majorBidi" w:cstheme="majorBidi"/>
          <w:sz w:val="20"/>
          <w:szCs w:val="20"/>
        </w:rPr>
        <w:t>, no diffraction peaks resulted</w:t>
      </w:r>
      <w:r w:rsidRPr="00CE0E6C">
        <w:rPr>
          <w:rFonts w:asciiTheme="majorBidi" w:hAnsiTheme="majorBidi" w:cstheme="majorBidi"/>
          <w:sz w:val="20"/>
          <w:szCs w:val="20"/>
        </w:rPr>
        <w:t xml:space="preserve"> from the metal compounds were observed, indicating that the metal cations were highly dispersed throughout the catalysts by the displacement of small cations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{"citationItems":[{"id":"ITEM-1","itemData":{"DOI":"10.1039/C4GC02131B","ISSN":"1463-9262","abstract":"&lt;p&gt;Erbium ion-exchanged montmorillonite K10 can catalyze effectively the hydrolysis of cellulose into lactic acid, giving a lactic acid yield as high as 67.6%.&lt;/p&gt;","author":[{"dropping-particle":"","family":"Wang","given":"Fen-Fen","non-dropping-particle":"","parse-names":false,"suffix":""},{"dropping-particle":"","family":"Liu","given":"Jie","non-dropping-particle":"","parse-names":false,"suffix":""},{"dropping-particle":"","family":"Li","given":"Hao","non-dropping-particle":"","parse-names":false,"suffix":""},{"dropping-particle":"","family":"Liu","given":"Chun-Ling","non-dropping-particle":"","parse-names":false,"suffix":""},{"dropping-particle":"","family":"Yang","given":"Rong-Zhen","non-dropping-particle":"","parse-names":false,"suffix":""},{"dropping-particle":"","family":"Dong","given":"Wen-Sheng","non-dropping-particle":"","parse-names":false,"suffix":""}],"container-title":"Green Chemistry","id":"ITEM-1","issue":"4","issued":{"date-parts":[["2015"]]},"page":"2455-2463","title":"Conversion of cellulose to lactic acid catalyzed by erbium-exchanged montmorillonite K10","type":"article-journal","volume":"17"},"uris":["http://www.mendeley.com/documents/?uuid=43cb5a47-1344-323d-b758-023a85436a0b"]}],"mendeley":{"formattedCitation":"[22]","plainTextFormattedCitation":"[22]","previouslyFormattedCitation":"[22]"},"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[22]</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Fe</w:t>
      </w:r>
      <w:r w:rsidRPr="00CE0E6C">
        <w:rPr>
          <w:rFonts w:asciiTheme="majorBidi" w:hAnsiTheme="majorBidi" w:cstheme="majorBidi"/>
          <w:sz w:val="20"/>
          <w:szCs w:val="20"/>
          <w:vertAlign w:val="superscript"/>
        </w:rPr>
        <w:t xml:space="preserve">3+ </w:t>
      </w:r>
      <w:r w:rsidRPr="00CE0E6C">
        <w:rPr>
          <w:rFonts w:asciiTheme="majorBidi" w:hAnsiTheme="majorBidi" w:cstheme="majorBidi"/>
          <w:sz w:val="20"/>
          <w:szCs w:val="20"/>
        </w:rPr>
        <w:t>gradually occupied the interlayer vacancies by the exchangeable metal ions in the montmorillonite K10 clay interlayers, thus retained the clay structure during the exchange processes. The findings of consistent structure after modification have been studied previously in the case of Cu</w:t>
      </w:r>
      <w:r w:rsidRPr="00CE0E6C">
        <w:rPr>
          <w:rFonts w:asciiTheme="majorBidi" w:hAnsiTheme="majorBidi" w:cstheme="majorBidi"/>
          <w:sz w:val="20"/>
          <w:szCs w:val="20"/>
          <w:vertAlign w:val="superscript"/>
        </w:rPr>
        <w:t>2+</w:t>
      </w:r>
      <w:r w:rsidRPr="00CE0E6C">
        <w:rPr>
          <w:rFonts w:asciiTheme="majorBidi" w:hAnsiTheme="majorBidi" w:cstheme="majorBidi"/>
          <w:sz w:val="20"/>
          <w:szCs w:val="20"/>
        </w:rPr>
        <w:t>, Zn</w:t>
      </w:r>
      <w:r w:rsidRPr="00CE0E6C">
        <w:rPr>
          <w:rFonts w:asciiTheme="majorBidi" w:hAnsiTheme="majorBidi" w:cstheme="majorBidi"/>
          <w:sz w:val="20"/>
          <w:szCs w:val="20"/>
          <w:vertAlign w:val="superscript"/>
        </w:rPr>
        <w:t>2+</w:t>
      </w:r>
      <w:r w:rsidRPr="00CE0E6C">
        <w:rPr>
          <w:rFonts w:asciiTheme="majorBidi" w:hAnsiTheme="majorBidi" w:cstheme="majorBidi"/>
          <w:sz w:val="20"/>
          <w:szCs w:val="20"/>
        </w:rPr>
        <w:t xml:space="preserve"> and Fe</w:t>
      </w:r>
      <w:r w:rsidRPr="00CE0E6C">
        <w:rPr>
          <w:rFonts w:asciiTheme="majorBidi" w:hAnsiTheme="majorBidi" w:cstheme="majorBidi"/>
          <w:sz w:val="20"/>
          <w:szCs w:val="20"/>
          <w:vertAlign w:val="superscript"/>
        </w:rPr>
        <w:t>3+</w:t>
      </w:r>
      <w:r w:rsidRPr="00CE0E6C">
        <w:rPr>
          <w:rFonts w:asciiTheme="majorBidi" w:hAnsiTheme="majorBidi" w:cstheme="majorBidi"/>
          <w:sz w:val="20"/>
          <w:szCs w:val="20"/>
        </w:rPr>
        <w:t xml:space="preserve"> ions exchanged montmorillonite clay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{"citationItems":[{"id":"ITEM-1","itemData":{"DOI":"10.1016/j.clay.2012.10.005","ISSN":"01691317","abstract":"Several solid acid catalysts were prepared by exchanging metal cations such as Zn2+, Fe3+ and Al3+ with montmorillonite clay. Among these, Al-montmorillonite showed the highest acidity determined by the pyridine-IR as well as NH3-TPD methods. A systematic comparison of the performance of these catalysts along with parent montmorillonite was carried out for the hydroxyalkylation of p-cresol with formaldehyde to give 2, 2'-methylenebis (4-methyl phenol) (DAM). It was found that the activity of these catalysts was in accordance with the increase in acidity of parent montmorillonite after the exchange of cations in the order of Zn2+, Fe3+ and Al3+. The selectivity pattern was also influenced by the exchanged cations. Since Al-montmorillonite showed the highest conversion of 51% with 98% selectivity to DAM, the effects of various reaction parameters, namely, mole ratio, catalyst concentration, temperature, reaction time on conversion and selectivity pattern were also studied using the same catalyst. This catalyst also showed an excellent stability as evidenced by its eight times reuse. © 2012.","author":[{"dropping-particle":"","family":"Jha","given":"A.","non-dropping-particle":"","parse-names":false,"suffix":""},{"dropping-particle":"","family":"Garade","given":"A. C.","non-dropping-particle":"","parse-names":false,"suffix":""},{"dropping-particle":"","family":"Shirai","given":"M.","non-dropping-particle":"","parse-names":false,"suffix":""},{"dropping-particle":"V.","family":"Rode","given":"C.","non-dropping-particle":"","parse-names":false,"suffix":""}],"container-title":"Applied Clay Science","id":"ITEM-1","issued":{"date-parts":[["2013"]]},"page":"141-146","publisher":"Elsevier B.V.","title":"Metal cation-exchanged montmorillonite clay as catalysts for hydroxyalkylation reaction","type":"article-journal","volume":"74"},"uris":["http://www.mendeley.com/documents/?uuid=e38e42b7-55eb-4d0b-b1d3-2d67a7d64a43"]},{"id":"ITEM-2","itemData":{"DOI":"10.9767/bcrec.13.1.1397.187-195","ISSN":"1978-2993","abstract":"&lt;p&gt;Clay catalyst has received much attention to replace the homogeneous catalysts in the esterification reaction to produce fatty acid methyl ester as the source of biodiesel as it is low cost, easily available, as well as environmental friendly. However, the use of unmodified clay, in particular montmorillonite K10 (MMT K10), for the esterification of fatty acids showed that the acid conversion was less than 60% and this is not preferable to the production of biodiesel. In this study, synthesis of stearic acid methyl ester using Cu2+-MMT K10 (Cu-MMT K10) was successfully optimized via response surface methodo-logy (RSM) based on 3-variable of Box-Behnken design (BB). The parameters were; reaction time (5-180 minutes), reaction temperature (80-120 oC) and concentration of Cu2+ in MMT K10 (0.25-1 M). The use of RSM in optimizing the conversion of stearic acid was successfully developed as the actual experimental conversion of stearic acid was found similar to the actual values under the optimum conditions. The model equation predicted that the following conditions would generate the maximum conversion of stearic acid (87.05 %reaction time of 62 minutes, a reaction temperature of 80 oC and catalyst used is 1.0 M Cu-MMT K10. This finding can be considered as green catalytic process as it worked at moderate reaction temperature using low cost clay catalyst with a short reaction time. Copyright © 2018 BCREC Group. All rights reservedReceived: 26th July 2017; Revised: 13rd January 2018; Accepted: 13rd January 2018; Available online: 22nd January 2018; Published regularly: 2nd April 2018How to Cite: Almadani, E.A., Harun, F.W., Radzi, S.M., Muhamad, S.K. (2018). Cu2+ Montmorillonite K10 Clay Catalyst as a Green Catalyst for Production of Stearic Acid Methyl Ester: Optimization Using Response Surface Methodology (RSM). Bulletin of Chemical Reaction Engineering &amp;amp; Catalysis, 13 (1): 187-195 (doi:10.9767/bcrec.13.1.1397.187-195) &lt;/p&gt;","author":[{"dropping-particle":"","family":"Almadani","given":"Enas A.","non-dropping-particle":"","parse-names":false,"suffix":""},{"dropping-particle":"","family":"Harun","given":"Farah W.","non-dropping-particle":"","parse-names":false,"suffix":""},{"dropping-particle":"","family":"Radzi","given":"Salina M.","non-dropping-particle":"","parse-names":false,"suffix":""},{"dropping-particle":"","family":"Muhamad","given":"Syamsul K.","non-dropping-particle":"","parse-names":false,"suffix":""}],"container-title":"Bulletin of Chemical Reaction Engineering &amp; Catalysis","id":"ITEM-2","issue":"1","issued":{"date-parts":[["2018","4","2"]]},"page":"187","title":"Cu2+ Montmorillonite K10 Clay Catalyst as a Green Catalyst for Production of Stearic Acid Methyl Ester: Optimization Using Response Surface Methodology (RSM)","type":"article-journal","volume":"13"},"uris":["http://www.mendeley.com/documents/?uuid=e94af515-edf4-303b-92f4-494c44e18a07"]}],"mendeley":{"formattedCitation":"[10], [13]","plainTextFormattedCitation":"[10], [13]","previouslyFormattedCitation":"[10], [13]"},"properties":{"noteIndex":0},"schema":"https://github.com/citation-style-language/schema/raw/master/csl-citation.json"}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[10, 13]</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w:t>
      </w:r>
    </w:p>
    <w:p w:rsidR="00CE0E6C" w:rsidRDefault="00CE0E6C" w:rsidP="00CE0E6C">
      <w:pPr>
        <w:spacing w:after="0"/>
        <w:jc w:val="both"/>
        <w:outlineLvl w:val="0"/>
        <w:rPr>
          <w:rFonts w:asciiTheme="majorBidi" w:hAnsiTheme="majorBidi" w:cstheme="majorBidi"/>
          <w:sz w:val="20"/>
          <w:szCs w:val="20"/>
        </w:rPr>
      </w:pPr>
    </w:p>
    <w:p w:rsidR="00CE0E6C" w:rsidRPr="007C6546" w:rsidRDefault="00CE0E6C" w:rsidP="00CE0E6C">
      <w:pPr>
        <w:spacing w:after="0"/>
        <w:jc w:val="both"/>
        <w:rPr>
          <w:rFonts w:asciiTheme="majorBidi" w:hAnsiTheme="majorBidi" w:cstheme="majorBidi"/>
          <w:b/>
          <w:bCs/>
          <w:i/>
          <w:sz w:val="20"/>
          <w:szCs w:val="20"/>
        </w:rPr>
      </w:pPr>
      <w:r w:rsidRPr="007C6546">
        <w:rPr>
          <w:rFonts w:asciiTheme="majorBidi" w:hAnsiTheme="majorBidi" w:cstheme="majorBidi"/>
          <w:b/>
          <w:bCs/>
          <w:i/>
          <w:sz w:val="20"/>
          <w:szCs w:val="20"/>
        </w:rPr>
        <w:t xml:space="preserve">SEM morphology </w:t>
      </w:r>
    </w:p>
    <w:p w:rsidR="00CE0E6C" w:rsidRDefault="00CE0E6C" w:rsidP="00CE0E6C">
      <w:pPr>
        <w:spacing w:after="0"/>
        <w:jc w:val="both"/>
        <w:rPr>
          <w:rFonts w:asciiTheme="majorBidi" w:hAnsiTheme="majorBidi" w:cstheme="majorBidi"/>
          <w:sz w:val="20"/>
          <w:szCs w:val="20"/>
        </w:rPr>
      </w:pPr>
      <w:r w:rsidRPr="00CE0E6C">
        <w:rPr>
          <w:rFonts w:asciiTheme="majorBidi" w:hAnsiTheme="majorBidi" w:cstheme="majorBidi"/>
          <w:sz w:val="20"/>
          <w:szCs w:val="20"/>
        </w:rPr>
        <w:t xml:space="preserve">The SEM images of montmorillonite K10 and modified samples with 1500x magnification are depicted in Figure 4. From the morphology images, the montmorillonite K10 consisted of large particles. After modifications, the modified catalysts were found to be more compact compared to the original montmorillonite K10. This was due to the grinding steps that reduced the size of the particles. It can be clearly seen that the clay surface after exchanged process has non-aggregated morphology. Similar result was obtained by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{"citationItems":[{"id":"ITEM-1","itemData":{"author":[{"dropping-particle":"","family":"Almadani","given":"Enas A","non-dropping-particle":"","parse-names":false,"suffix":""},{"dropping-particle":"","family":"Radzi","given":"Salina M","non-dropping-particle":"","parse-names":false,"suffix":""},{"dropping-particle":"","family":"Harun","given":"Farah W","non-dropping-particle":"","parse-names":false,"suffix":""}],"container-title":"International Journal of Applied Chemistry","id":"ITEM-1","issue":"1","issued":{"date-parts":[["2016"]]},"page":"62-67","title":"Stearic Acid Esters Synthesized using Iron Exchanged Montmorillonite K10 Clay Catalysts","type":"article-journal","volume":"12"},"uris":["http://www.mendeley.com/documents/?uuid=bb113179-2cef-4832-a3a2-ad1f797a682c"]}],"mendeley":{"formattedCitation":"[5]","manualFormatting":"Almadani et al. ","plainTextFormattedCitation":"[5]","previouslyFormattedCitation":"[5]"},"properties":{"noteIndex":0},"schema":"https://github.com/citation-style-language/schema/raw/master/csl-citation.json"}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 xml:space="preserve">Almadani et al. </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in the modification of montmorillonite K10 with Fe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{"citationItems":[{"id":"ITEM-1","itemData":{"author":[{"dropping-particle":"","family":"Almadani","given":"Enas A","non-dropping-particle":"","parse-names":false,"suffix":""},{"dropping-particle":"","family":"Radzi","given":"Salina M","non-dropping-particle":"","parse-names":false,"suffix":""},{"dropping-particle":"","family":"Harun","given":"Farah W","non-dropping-particle":"","parse-names":false,"suffix":""}],"container-title":"International Journal of Applied Chemistry","id":"ITEM-1","issue":"1","issued":{"date-parts":[["2016"]]},"page":"62-67","title":"Stearic Acid Esters Synthesized using Iron Exchanged Montmorillonite K10 Clay Catalysts","type":"article-journal","volume":"12"},"uris":["http://www.mendeley.com/documents/?uuid=bb113179-2cef-4832-a3a2-ad1f797a682c"]}],"mendeley":{"formattedCitation":"[5]","plainTextFormattedCitation":"[5]","previouslyFormattedCitation":"[5]"},"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[5]</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In addition, the morphology of </w:t>
      </w:r>
      <w:r w:rsidR="00B6537B">
        <w:rPr>
          <w:rFonts w:asciiTheme="majorBidi" w:hAnsiTheme="majorBidi" w:cstheme="majorBidi"/>
          <w:sz w:val="20"/>
          <w:szCs w:val="20"/>
        </w:rPr>
        <w:t xml:space="preserve">20% Fe-MMT K10 seems to have  </w:t>
      </w:r>
      <w:r w:rsidR="00B6537B">
        <w:rPr>
          <w:rFonts w:asciiTheme="majorBidi" w:hAnsiTheme="majorBidi" w:cstheme="majorBidi"/>
          <w:sz w:val="20"/>
          <w:szCs w:val="20"/>
        </w:rPr>
        <w:lastRenderedPageBreak/>
        <w:t>shinier particles compared to 14% and 27% Fe-MMT K10</w:t>
      </w:r>
      <w:r w:rsidRPr="00CE0E6C">
        <w:rPr>
          <w:rFonts w:asciiTheme="majorBidi" w:hAnsiTheme="majorBidi" w:cstheme="majorBidi"/>
          <w:sz w:val="20"/>
          <w:szCs w:val="20"/>
        </w:rPr>
        <w:t>. This was probably contributed by the metal properties with higher composition.</w:t>
      </w:r>
    </w:p>
    <w:p w:rsidR="00F9064D" w:rsidRDefault="00F9064D" w:rsidP="00CE0E6C">
      <w:pPr>
        <w:spacing w:after="0"/>
        <w:jc w:val="both"/>
        <w:rPr>
          <w:rFonts w:asciiTheme="majorBidi" w:hAnsiTheme="majorBidi" w:cstheme="majorBidi"/>
          <w:sz w:val="20"/>
          <w:szCs w:val="20"/>
        </w:rPr>
      </w:pPr>
    </w:p>
    <w:p w:rsidR="006D79AF" w:rsidRPr="007C6546" w:rsidRDefault="006D79AF" w:rsidP="006D79AF">
      <w:pPr>
        <w:pStyle w:val="Caption"/>
        <w:spacing w:before="0" w:after="0" w:line="276" w:lineRule="auto"/>
        <w:jc w:val="both"/>
        <w:rPr>
          <w:rFonts w:asciiTheme="majorBidi" w:hAnsiTheme="majorBidi" w:cstheme="majorBidi"/>
          <w:b/>
          <w:bCs/>
          <w:sz w:val="20"/>
          <w:szCs w:val="20"/>
          <w:lang w:val="en-US"/>
        </w:rPr>
      </w:pPr>
      <w:bookmarkStart w:id="7" w:name="_Ref9997839"/>
      <w:r w:rsidRPr="007C6546">
        <w:rPr>
          <w:rFonts w:asciiTheme="majorBidi" w:hAnsiTheme="majorBidi" w:cstheme="majorBidi"/>
          <w:b/>
          <w:bCs/>
          <w:sz w:val="20"/>
          <w:szCs w:val="20"/>
          <w:lang w:val="en-US"/>
        </w:rPr>
        <w:t>EDX analysis</w:t>
      </w:r>
    </w:p>
    <w:p w:rsidR="006D79AF" w:rsidRPr="002615CE" w:rsidRDefault="006D79AF" w:rsidP="006D79AF">
      <w:pPr>
        <w:pStyle w:val="Caption"/>
        <w:spacing w:before="0" w:after="0" w:line="276" w:lineRule="auto"/>
        <w:jc w:val="both"/>
        <w:rPr>
          <w:rFonts w:asciiTheme="majorBidi" w:hAnsiTheme="majorBidi" w:cstheme="majorBidi"/>
          <w:i w:val="0"/>
          <w:sz w:val="20"/>
          <w:szCs w:val="20"/>
          <w:lang w:val="en-US"/>
        </w:rPr>
      </w:pPr>
      <w:r w:rsidRPr="002615CE">
        <w:rPr>
          <w:rFonts w:asciiTheme="majorBidi" w:hAnsiTheme="majorBidi" w:cstheme="majorBidi"/>
          <w:i w:val="0"/>
          <w:sz w:val="20"/>
          <w:szCs w:val="20"/>
          <w:lang w:val="en-US"/>
        </w:rPr>
        <w:t xml:space="preserve">For screening purpose, all catalyst samples were characterized using EDX. Table 1 shows the elemental composition of </w:t>
      </w:r>
      <w:r w:rsidRPr="002615CE">
        <w:rPr>
          <w:rFonts w:asciiTheme="majorBidi" w:hAnsiTheme="majorBidi" w:cstheme="majorBidi"/>
          <w:i w:val="0"/>
          <w:sz w:val="20"/>
          <w:szCs w:val="20"/>
        </w:rPr>
        <w:t xml:space="preserve">montmorillonite </w:t>
      </w:r>
      <w:r w:rsidRPr="002615CE">
        <w:rPr>
          <w:rFonts w:asciiTheme="majorBidi" w:hAnsiTheme="majorBidi" w:cstheme="majorBidi"/>
          <w:i w:val="0"/>
          <w:sz w:val="20"/>
          <w:szCs w:val="20"/>
          <w:lang w:val="en-US"/>
        </w:rPr>
        <w:t xml:space="preserve">K10 and modified samples from </w:t>
      </w:r>
      <w:bookmarkEnd w:id="7"/>
      <w:r w:rsidRPr="002615CE">
        <w:rPr>
          <w:rFonts w:asciiTheme="majorBidi" w:hAnsiTheme="majorBidi" w:cstheme="majorBidi"/>
          <w:i w:val="0"/>
          <w:sz w:val="20"/>
          <w:szCs w:val="20"/>
          <w:lang w:val="en-US"/>
        </w:rPr>
        <w:t>the EDX analysis, while Table 2 shows the change of Fe after the modification with Fe</w:t>
      </w:r>
      <w:r w:rsidRPr="002615CE">
        <w:rPr>
          <w:rFonts w:asciiTheme="majorBidi" w:hAnsiTheme="majorBidi" w:cstheme="majorBidi"/>
          <w:i w:val="0"/>
          <w:sz w:val="20"/>
          <w:szCs w:val="20"/>
          <w:vertAlign w:val="superscript"/>
          <w:lang w:val="en-US"/>
        </w:rPr>
        <w:t>3+</w:t>
      </w:r>
      <w:r w:rsidRPr="002615CE">
        <w:rPr>
          <w:rFonts w:asciiTheme="majorBidi" w:hAnsiTheme="majorBidi" w:cstheme="majorBidi"/>
          <w:i w:val="0"/>
          <w:sz w:val="20"/>
          <w:szCs w:val="20"/>
          <w:lang w:val="en-US"/>
        </w:rPr>
        <w:t>. The result shows that the composition of Fe increased with the increase of metal concentration during modification. In method 3, the concentration of Fe increased by stirring period until it became slurry. It can be concluded that, the longer the stirring period during modification step, the higher the opportunity for the montmorillonite K10 to be exposed with the environment that possessed high Fe concentration.</w:t>
      </w:r>
    </w:p>
    <w:p w:rsidR="006D79AF" w:rsidRDefault="006D79AF" w:rsidP="006D79AF">
      <w:pPr>
        <w:spacing w:after="0"/>
        <w:jc w:val="both"/>
        <w:outlineLvl w:val="0"/>
        <w:rPr>
          <w:rFonts w:ascii="Times New Roman" w:hAnsi="Times New Roman"/>
          <w:b/>
          <w:bCs/>
          <w:sz w:val="20"/>
          <w:szCs w:val="20"/>
        </w:rPr>
      </w:pPr>
    </w:p>
    <w:p w:rsidR="006D79AF" w:rsidRPr="007C6546" w:rsidRDefault="006D79AF" w:rsidP="006D79AF">
      <w:pPr>
        <w:spacing w:after="0"/>
        <w:jc w:val="both"/>
        <w:rPr>
          <w:rFonts w:asciiTheme="majorBidi" w:hAnsiTheme="majorBidi" w:cstheme="majorBidi"/>
          <w:b/>
          <w:bCs/>
          <w:i/>
          <w:sz w:val="20"/>
          <w:szCs w:val="20"/>
        </w:rPr>
      </w:pPr>
      <w:r w:rsidRPr="007C6546">
        <w:rPr>
          <w:rFonts w:asciiTheme="majorBidi" w:hAnsiTheme="majorBidi" w:cstheme="majorBidi"/>
          <w:b/>
          <w:bCs/>
          <w:i/>
          <w:sz w:val="20"/>
          <w:szCs w:val="20"/>
        </w:rPr>
        <w:t>XRF analysis</w:t>
      </w:r>
    </w:p>
    <w:p w:rsidR="006D79AF" w:rsidRPr="00CE0E6C" w:rsidRDefault="006D79AF" w:rsidP="006D79AF">
      <w:pPr>
        <w:spacing w:after="0"/>
        <w:jc w:val="both"/>
        <w:rPr>
          <w:rFonts w:asciiTheme="majorBidi" w:hAnsiTheme="majorBidi" w:cstheme="majorBidi"/>
          <w:sz w:val="20"/>
          <w:szCs w:val="20"/>
        </w:rPr>
      </w:pPr>
      <w:r w:rsidRPr="00CE0E6C">
        <w:rPr>
          <w:rFonts w:asciiTheme="majorBidi" w:hAnsiTheme="majorBidi" w:cstheme="majorBidi"/>
          <w:sz w:val="20"/>
          <w:szCs w:val="20"/>
        </w:rPr>
        <w:t>According to the EDX results, method 3 shows the highest Fe compositions in the catalyst. However, due to the large error of EDX, a confirmatory test using XRF was done on 20% Fe-MMT K10 for more accurate result. From Table 3, montmorillonite K10 primarily consisted of octahedral Al</w:t>
      </w:r>
      <w:r w:rsidRPr="00CE0E6C">
        <w:rPr>
          <w:rFonts w:asciiTheme="majorBidi" w:hAnsiTheme="majorBidi" w:cstheme="majorBidi"/>
          <w:sz w:val="20"/>
          <w:szCs w:val="20"/>
          <w:vertAlign w:val="superscript"/>
        </w:rPr>
        <w:t>3+</w:t>
      </w:r>
      <w:r w:rsidRPr="00CE0E6C">
        <w:rPr>
          <w:rFonts w:asciiTheme="majorBidi" w:hAnsiTheme="majorBidi" w:cstheme="majorBidi"/>
          <w:sz w:val="20"/>
          <w:szCs w:val="20"/>
        </w:rPr>
        <w:t xml:space="preserve"> and tetrahedral Si</w:t>
      </w:r>
      <w:r w:rsidRPr="00CE0E6C">
        <w:rPr>
          <w:rFonts w:asciiTheme="majorBidi" w:hAnsiTheme="majorBidi" w:cstheme="majorBidi"/>
          <w:sz w:val="20"/>
          <w:szCs w:val="20"/>
          <w:vertAlign w:val="superscript"/>
        </w:rPr>
        <w:t>4+</w:t>
      </w:r>
      <w:r w:rsidRPr="00CE0E6C">
        <w:rPr>
          <w:rFonts w:asciiTheme="majorBidi" w:hAnsiTheme="majorBidi" w:cstheme="majorBidi"/>
          <w:sz w:val="20"/>
          <w:szCs w:val="20"/>
        </w:rPr>
        <w:t xml:space="preserve"> with Na</w:t>
      </w:r>
      <w:r w:rsidRPr="00CE0E6C">
        <w:rPr>
          <w:rFonts w:asciiTheme="majorBidi" w:hAnsiTheme="majorBidi" w:cstheme="majorBidi"/>
          <w:sz w:val="20"/>
          <w:szCs w:val="20"/>
          <w:vertAlign w:val="superscript"/>
        </w:rPr>
        <w:t>+</w:t>
      </w:r>
      <w:r w:rsidRPr="00CE0E6C">
        <w:rPr>
          <w:rFonts w:asciiTheme="majorBidi" w:hAnsiTheme="majorBidi" w:cstheme="majorBidi"/>
          <w:sz w:val="20"/>
          <w:szCs w:val="20"/>
        </w:rPr>
        <w:t>, K</w:t>
      </w:r>
      <w:r w:rsidRPr="00CE0E6C">
        <w:rPr>
          <w:rFonts w:asciiTheme="majorBidi" w:hAnsiTheme="majorBidi" w:cstheme="majorBidi"/>
          <w:sz w:val="20"/>
          <w:szCs w:val="20"/>
          <w:vertAlign w:val="superscript"/>
        </w:rPr>
        <w:t>+</w:t>
      </w:r>
      <w:r w:rsidRPr="00CE0E6C">
        <w:rPr>
          <w:rFonts w:asciiTheme="majorBidi" w:hAnsiTheme="majorBidi" w:cstheme="majorBidi"/>
          <w:sz w:val="20"/>
          <w:szCs w:val="20"/>
        </w:rPr>
        <w:t>, Mg</w:t>
      </w:r>
      <w:r w:rsidRPr="00CE0E6C">
        <w:rPr>
          <w:rFonts w:asciiTheme="majorBidi" w:hAnsiTheme="majorBidi" w:cstheme="majorBidi"/>
          <w:sz w:val="20"/>
          <w:szCs w:val="20"/>
          <w:vertAlign w:val="superscript"/>
        </w:rPr>
        <w:t>2+</w:t>
      </w:r>
      <w:r w:rsidRPr="00CE0E6C">
        <w:rPr>
          <w:rFonts w:asciiTheme="majorBidi" w:hAnsiTheme="majorBidi" w:cstheme="majorBidi"/>
          <w:sz w:val="20"/>
          <w:szCs w:val="20"/>
        </w:rPr>
        <w:t xml:space="preserve"> and Ca</w:t>
      </w:r>
      <w:r w:rsidRPr="00CE0E6C">
        <w:rPr>
          <w:rFonts w:asciiTheme="majorBidi" w:hAnsiTheme="majorBidi" w:cstheme="majorBidi"/>
          <w:sz w:val="20"/>
          <w:szCs w:val="20"/>
          <w:vertAlign w:val="superscript"/>
        </w:rPr>
        <w:t>2+</w:t>
      </w:r>
      <w:r w:rsidRPr="00CE0E6C">
        <w:rPr>
          <w:rFonts w:asciiTheme="majorBidi" w:hAnsiTheme="majorBidi" w:cstheme="majorBidi"/>
          <w:sz w:val="20"/>
          <w:szCs w:val="20"/>
        </w:rPr>
        <w:t xml:space="preserve"> as exchangeable interlayer cations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renene.2017.12.104","ISSN":"09601481","author":[{"dropping-particle":"","family":"Liu","given":"Jie","non-dropping-particle":"","parse-names":false,"suffix":""},{"dropping-particle":"","family":"Wang","given":"Xue-Qian","non-dropping-particle":"","parse-names":false,"suffix":""},{"dropping-particle":"","family":"Yang","given":"Bei-Bei","non-dropping-particle":"","parse-names":false,"suffix":""},{"dropping-particle":"","family":"Liu","given":"Chun-Ling","non-dropping-particle":"","parse-names":false,"suffix":""},{"dropping-particle":"","family":"Xu","given":"Chun-Li","non-dropping-particle":"","parse-names":false,"suffix":""},{"dropping-particle":"","family":"Dong","given":"Wen-Sheng","non-dropping-particle":"","parse-names":false,"suffix":""}],"container-title":"Renewable Energy","id":"ITEM-1","issued":{"date-parts":[["2018","5"]]},"page":"231-240","title":"Highly efficient conversion of glucose into methyl levulinate catalyzed by tin-exchanged montmorillonite","type":"article-journal","volume":"120"},"uris":["http://www.mendeley.com/documents/?uuid=8e9a8f95-162e-356d-a2e5-56a010fcfbbd"]}],"mendeley":{"formattedCitation":"[14]","plainTextFormattedCitation":"[14]","previouslyFormattedCitation":"[14]"},"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[14]</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The decrease in Ca</w:t>
      </w:r>
      <w:r w:rsidRPr="00CE0E6C">
        <w:rPr>
          <w:rFonts w:asciiTheme="majorBidi" w:hAnsiTheme="majorBidi" w:cstheme="majorBidi"/>
          <w:sz w:val="20"/>
          <w:szCs w:val="20"/>
          <w:vertAlign w:val="superscript"/>
        </w:rPr>
        <w:t>2+</w:t>
      </w:r>
      <w:r w:rsidRPr="00CE0E6C">
        <w:rPr>
          <w:rFonts w:asciiTheme="majorBidi" w:hAnsiTheme="majorBidi" w:cstheme="majorBidi"/>
          <w:sz w:val="20"/>
          <w:szCs w:val="20"/>
        </w:rPr>
        <w:t xml:space="preserve"> and increase in Fe</w:t>
      </w:r>
      <w:r w:rsidRPr="00CE0E6C">
        <w:rPr>
          <w:rFonts w:asciiTheme="majorBidi" w:hAnsiTheme="majorBidi" w:cstheme="majorBidi"/>
          <w:sz w:val="20"/>
          <w:szCs w:val="20"/>
          <w:vertAlign w:val="superscript"/>
        </w:rPr>
        <w:t xml:space="preserve">3+ </w:t>
      </w:r>
      <w:r w:rsidRPr="00CE0E6C">
        <w:rPr>
          <w:rFonts w:asciiTheme="majorBidi" w:hAnsiTheme="majorBidi" w:cstheme="majorBidi"/>
          <w:sz w:val="20"/>
          <w:szCs w:val="20"/>
        </w:rPr>
        <w:t xml:space="preserve">compositions confirmed the occurrence of ion-exchange in the MMT clay. Similar result was found in the modification of montmorillonite K10 with erbium ion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{"citationItems":[{"id":"ITEM-1","itemData":{"DOI":"10.1039/C4GC02131B","ISSN":"1463-9262","abstract":"&lt;p&gt;Erbium ion-exchanged montmorillonite K10 can catalyze effectively the hydrolysis of cellulose into lactic acid, giving a lactic acid yield as high as 67.6%.&lt;/p&gt;","author":[{"dropping-particle":"","family":"Wang","given":"Fen-Fen","non-dropping-particle":"","parse-names":false,"suffix":""},{"dropping-particle":"","family":"Liu","given":"Jie","non-dropping-particle":"","parse-names":false,"suffix":""},{"dropping-particle":"","family":"Li","given":"Hao","non-dropping-particle":"","parse-names":false,"suffix":""},{"dropping-particle":"","family":"Liu","given":"Chun-Ling","non-dropping-particle":"","parse-names":false,"suffix":""},{"dropping-particle":"","family":"Yang","given":"Rong-Zhen","non-dropping-particle":"","parse-names":false,"suffix":""},{"dropping-particle":"","family":"Dong","given":"Wen-Sheng","non-dropping-particle":"","parse-names":false,"suffix":""}],"container-title":"Green Chemistry","id":"ITEM-1","issue":"4","issued":{"date-parts":[["2015"]]},"page":"2455-2463","title":"Conversion of cellulose to lactic acid catalyzed by erbium-exchanged montmorillonite K10","type":"article-journal","volume":"17"},"uris":["http://www.mendeley.com/documents/?uuid=43cb5a47-1344-323d-b758-023a85436a0b"]}],"mendeley":{"formattedCitation":"[22]","plainTextFormattedCitation":"[22]","previouslyFormattedCitation":"[22]"},"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[22]</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The decrease of other elements concentrations indicate that the erbium ions gradually occupied the interlayer vacancies by replacing H</w:t>
      </w:r>
      <w:r w:rsidRPr="00CE0E6C">
        <w:rPr>
          <w:rFonts w:asciiTheme="majorBidi" w:hAnsiTheme="majorBidi" w:cstheme="majorBidi"/>
          <w:sz w:val="20"/>
          <w:szCs w:val="20"/>
          <w:vertAlign w:val="superscript"/>
        </w:rPr>
        <w:t>+</w:t>
      </w:r>
      <w:r w:rsidRPr="00CE0E6C">
        <w:rPr>
          <w:rFonts w:asciiTheme="majorBidi" w:hAnsiTheme="majorBidi" w:cstheme="majorBidi"/>
          <w:sz w:val="20"/>
          <w:szCs w:val="20"/>
        </w:rPr>
        <w:t xml:space="preserve"> and exchangeable metal ions in the montmorillonite K10 clay interlayers.</w:t>
      </w:r>
    </w:p>
    <w:p w:rsidR="0062232A" w:rsidRDefault="0062232A" w:rsidP="00CE0E6C">
      <w:pPr>
        <w:spacing w:after="0"/>
        <w:jc w:val="both"/>
        <w:outlineLvl w:val="0"/>
        <w:rPr>
          <w:rFonts w:ascii="Times New Roman" w:hAnsi="Times New Roman"/>
          <w:b/>
          <w:bCs/>
          <w:sz w:val="20"/>
          <w:szCs w:val="20"/>
        </w:rPr>
      </w:pPr>
    </w:p>
    <w:p w:rsidR="006D79AF" w:rsidRPr="007C6546" w:rsidRDefault="006D79AF" w:rsidP="006D79AF">
      <w:pPr>
        <w:spacing w:after="0"/>
        <w:jc w:val="both"/>
        <w:rPr>
          <w:rFonts w:asciiTheme="majorBidi" w:hAnsiTheme="majorBidi" w:cstheme="majorBidi"/>
          <w:b/>
          <w:bCs/>
          <w:i/>
          <w:iCs/>
          <w:sz w:val="20"/>
          <w:szCs w:val="20"/>
        </w:rPr>
      </w:pPr>
      <w:r w:rsidRPr="007C6546">
        <w:rPr>
          <w:rFonts w:asciiTheme="majorBidi" w:hAnsiTheme="majorBidi" w:cstheme="majorBidi"/>
          <w:b/>
          <w:bCs/>
          <w:i/>
          <w:iCs/>
          <w:sz w:val="20"/>
          <w:szCs w:val="20"/>
        </w:rPr>
        <w:t>TPD-NH</w:t>
      </w:r>
      <w:r w:rsidRPr="007C6546">
        <w:rPr>
          <w:rFonts w:asciiTheme="majorBidi" w:hAnsiTheme="majorBidi" w:cstheme="majorBidi"/>
          <w:b/>
          <w:bCs/>
          <w:i/>
          <w:iCs/>
          <w:sz w:val="20"/>
          <w:szCs w:val="20"/>
          <w:vertAlign w:val="subscript"/>
        </w:rPr>
        <w:t>3</w:t>
      </w:r>
      <w:r w:rsidRPr="007C6546">
        <w:rPr>
          <w:rFonts w:asciiTheme="majorBidi" w:hAnsiTheme="majorBidi" w:cstheme="majorBidi"/>
          <w:b/>
          <w:bCs/>
          <w:i/>
          <w:iCs/>
          <w:sz w:val="20"/>
          <w:szCs w:val="20"/>
        </w:rPr>
        <w:t xml:space="preserve"> analysis</w:t>
      </w:r>
    </w:p>
    <w:p w:rsidR="006D79AF" w:rsidRDefault="006D79AF" w:rsidP="006D79AF">
      <w:pPr>
        <w:spacing w:after="0"/>
        <w:jc w:val="both"/>
        <w:rPr>
          <w:rFonts w:asciiTheme="majorBidi" w:hAnsiTheme="majorBidi" w:cstheme="majorBidi"/>
          <w:sz w:val="20"/>
          <w:szCs w:val="20"/>
        </w:rPr>
      </w:pPr>
      <w:r w:rsidRPr="00CE0E6C">
        <w:rPr>
          <w:rFonts w:asciiTheme="majorBidi" w:hAnsiTheme="majorBidi" w:cstheme="majorBidi"/>
          <w:sz w:val="20"/>
          <w:szCs w:val="20"/>
        </w:rPr>
        <w:t xml:space="preserve">TPD of adsorbed ammonia is a reliable method to feature the acidity strength but not the nature (Brønsted or Lewis) of surface acid sites in solid acid catalysts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10.1021/acs.langmuir.8b03447","ISSN":"0743-7463","author":[{"dropping-particle":"","family":"Wen","given":"Ke","non-dropping-particle":"","parse-names":false,"suffix":""},{"dropping-particle":"","family":"Zhu","given":"Jianxi","non-dropping-particle":"","parse-names":false,"suffix":""},{"dropping-particle":"","family":"Chen","given":"Hanlin","non-dropping-particle":"","parse-names":false,"suffix":""},{"dropping-particle":"","family":"Ma","given":"Lingya","non-dropping-particle":"","parse-names":false,"suffix":""},{"dropping-particle":"","family":"Liu","given":"Hongmei","non-dropping-particle":"","parse-names":false,"suffix":""},{"dropping-particle":"","family":"Zhu","given":"Runliang","non-dropping-particle":"","parse-names":false,"suffix":""},{"dropping-particle":"","family":"Xi","given":"Yunfei","non-dropping-particle":"","parse-names":false,"suffix":""},{"dropping-particle":"","family":"He","given":"Hongping","non-dropping-particle":"","parse-names":false,"suffix":""}],"container-title":"Langmuir","id":"ITEM-1","issue":"2","issued":{"date-parts":[["2019","1","15"]]},"page":"382-390","title":"Arrangement Models of Keggin-Al &lt;sub&gt;30&lt;/sub&gt; and Keggin-Al &lt;sub&gt;13&lt;/sub&gt; in the Interlayer of Montmorillonite and the Impacts of Pillaring on Surface Acidity: A Comparative Study on Catalytic Oxidation of Toluene","type":"article-journal","volume":"35"},"uris":["http://www.mendeley.com/documents/?uuid=3fb42a3e-441c-3ba9-86da-a59ab668d300"]}],"mendeley":{"formattedCitation":"[23]","plainTextFormattedCitation":"[23]","previouslyFormattedCitation":"[23]"},"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[23]</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clay.2013.07.006","ISSN":"01691317","author":[{"dropping-particle":"","family":"Liu","given":"Dong","non-dropping-particle":"","parse-names":false,"suffix":""},{"dropping-particle":"","family":"Yuan","given":"Peng","non-dropping-particle":"","parse-names":false,"suffix":""},{"dropping-particle":"","family":"Liu","given":"Hongmei","non-dropping-particle":"","parse-names":false,"suffix":""},{"dropping-particle":"","family":"Cai","given":"Jingong","non-dropping-particle":"","parse-names":false,"suffix":""},{"dropping-particle":"","family":"Tan","given":"Daoyong","non-dropping-particle":"","parse-names":false,"suffix":""},{"dropping-particle":"","family":"He","given":"Hongping","non-dropping-particle":"","parse-names":false,"suffix":""},{"dropping-particle":"","family":"Zhu","given":"Jianxi","non-dropping-particle":"","parse-names":false,"suffix":""},{"dropping-particle":"","family":"Chen","given":"Tianhu","non-dropping-particle":"","parse-names":false,"suffix":""}],"container-title":"Applied Clay Science","id":"ITEM-1","issued":{"date-parts":[["2013","8"]]},"page":"407-412","title":"Quantitative characterization of the solid acidity of montmorillonite using combined FTIR and TPD based on the NH3 adsorption system","type":"article-journal","volume":"80-81"},"uris":["http://www.mendeley.com/documents/?uuid=1b243a7d-393d-3f61-8f23-c262dc85bebb"]}],"mendeley":{"formattedCitation":"[24]","manualFormatting":"Liu et al.","plainTextFormattedCitation":"[24]","previouslyFormattedCitation":"[24]"},"properties":{"noteIndex":0},"schema":"https://github.com/citation-style-language/schema/raw/master/csl-citation.json"}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Liu et al.</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revealed the definition of acidic sites as weak, medium and strong at desorption temperatures of 150-250 °C, 250-500 °C and &gt;500 °C respectively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clay.2013.07.006","ISSN":"01691317","author":[{"dropping-particle":"","family":"Liu","given":"Dong","non-dropping-particle":"","parse-names":false,"suffix":""},{"dropping-particle":"","family":"Yuan","given":"Peng","non-dropping-particle":"","parse-names":false,"suffix":""},{"dropping-particle":"","family":"Liu","given":"Hongmei","non-dropping-particle":"","parse-names":false,"suffix":""},{"dropping-particle":"","family":"Cai","given":"Jingong","non-dropping-particle":"","parse-names":false,"suffix":""},{"dropping-particle":"","family":"Tan","given":"Daoyong","non-dropping-particle":"","parse-names":false,"suffix":""},{"dropping-particle":"","family":"He","given":"Hongping","non-dropping-particle":"","parse-names":false,"suffix":""},{"dropping-particle":"","family":"Zhu","given":"Jianxi","non-dropping-particle":"","parse-names":false,"suffix":""},{"dropping-particle":"","family":"Chen","given":"Tianhu","non-dropping-particle":"","parse-names":false,"suffix":""}],"container-title":"Applied Clay Science","id":"ITEM-1","issued":{"date-parts":[["2013","8"]]},"page":"407-412","title":"Quantitative characterization of the solid acidity of montmorillonite using combined FTIR and TPD based on the NH3 adsorption system","type":"article-journal","volume":"80-81"},"uris":["http://www.mendeley.com/documents/?uuid=1b243a7d-393d-3f61-8f23-c262dc85bebb"]}],"mendeley":{"formattedCitation":"[24]","plainTextFormattedCitation":"[24]","previouslyFormattedCitation":"[24]"},"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[24]</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Figure 5 and Table 4 show that montmorillonite K10 was readily consisted of small ammonia </w:t>
      </w:r>
      <w:r w:rsidRPr="00CE0E6C">
        <w:rPr>
          <w:rFonts w:asciiTheme="majorBidi" w:hAnsiTheme="majorBidi" w:cstheme="majorBidi"/>
          <w:sz w:val="20"/>
          <w:szCs w:val="20"/>
        </w:rPr>
        <w:lastRenderedPageBreak/>
        <w:t>desorption band corresponding to the weak and strong acidic sites with total NH</w:t>
      </w:r>
      <w:r w:rsidRPr="00CE0E6C">
        <w:rPr>
          <w:rFonts w:asciiTheme="majorBidi" w:hAnsiTheme="majorBidi" w:cstheme="majorBidi"/>
          <w:sz w:val="20"/>
          <w:szCs w:val="20"/>
          <w:vertAlign w:val="subscript"/>
        </w:rPr>
        <w:t xml:space="preserve">3 </w:t>
      </w:r>
      <w:r w:rsidRPr="00CE0E6C">
        <w:rPr>
          <w:rFonts w:asciiTheme="majorBidi" w:hAnsiTheme="majorBidi" w:cstheme="majorBidi"/>
          <w:sz w:val="20"/>
          <w:szCs w:val="20"/>
        </w:rPr>
        <w:t xml:space="preserve">desorption of 0.232 mmol/g.  The </w:t>
      </w:r>
      <w:r>
        <w:rPr>
          <w:rFonts w:asciiTheme="majorBidi" w:hAnsiTheme="majorBidi" w:cstheme="majorBidi"/>
          <w:sz w:val="20"/>
          <w:szCs w:val="20"/>
        </w:rPr>
        <w:t xml:space="preserve"> </w:t>
      </w:r>
      <w:r w:rsidRPr="00CE0E6C">
        <w:rPr>
          <w:rFonts w:asciiTheme="majorBidi" w:hAnsiTheme="majorBidi" w:cstheme="majorBidi"/>
          <w:sz w:val="20"/>
          <w:szCs w:val="20"/>
        </w:rPr>
        <w:t xml:space="preserve">result obtained </w:t>
      </w:r>
      <w:r>
        <w:rPr>
          <w:rFonts w:asciiTheme="majorBidi" w:hAnsiTheme="majorBidi" w:cstheme="majorBidi"/>
          <w:sz w:val="20"/>
          <w:szCs w:val="20"/>
        </w:rPr>
        <w:t xml:space="preserve"> </w:t>
      </w:r>
      <w:r w:rsidRPr="00CE0E6C">
        <w:rPr>
          <w:rFonts w:asciiTheme="majorBidi" w:hAnsiTheme="majorBidi" w:cstheme="majorBidi"/>
          <w:sz w:val="20"/>
          <w:szCs w:val="20"/>
        </w:rPr>
        <w:t xml:space="preserve">was </w:t>
      </w:r>
      <w:r>
        <w:rPr>
          <w:rFonts w:asciiTheme="majorBidi" w:hAnsiTheme="majorBidi" w:cstheme="majorBidi"/>
          <w:sz w:val="20"/>
          <w:szCs w:val="20"/>
        </w:rPr>
        <w:t xml:space="preserve"> </w:t>
      </w:r>
      <w:r w:rsidRPr="00CE0E6C">
        <w:rPr>
          <w:rFonts w:asciiTheme="majorBidi" w:hAnsiTheme="majorBidi" w:cstheme="majorBidi"/>
          <w:sz w:val="20"/>
          <w:szCs w:val="20"/>
        </w:rPr>
        <w:t xml:space="preserve">similar </w:t>
      </w:r>
      <w:r>
        <w:rPr>
          <w:rFonts w:asciiTheme="majorBidi" w:hAnsiTheme="majorBidi" w:cstheme="majorBidi"/>
          <w:sz w:val="20"/>
          <w:szCs w:val="20"/>
        </w:rPr>
        <w:t xml:space="preserve"> </w:t>
      </w:r>
      <w:r w:rsidRPr="00CE0E6C">
        <w:rPr>
          <w:rFonts w:asciiTheme="majorBidi" w:hAnsiTheme="majorBidi" w:cstheme="majorBidi"/>
          <w:sz w:val="20"/>
          <w:szCs w:val="20"/>
        </w:rPr>
        <w:t xml:space="preserve">to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10.1007/s10934-017-0426-x","ISSN":"1380-2224","author":[{"dropping-particle":"","family":"Phukan","given":"Ankana","non-dropping-particle":"","parse-names":false,"suffix":""},{"dropping-particle":"","family":"Bhorodwaj","given":"Siddhartha Kumar","non-dropping-particle":"","parse-names":false,"suffix":""},{"dropping-particle":"","family":"Sharma","given":"Podma Pollov","non-dropping-particle":"","parse-names":false,"suffix":""},{"dropping-particle":"","family":"Dutta","given":"Dipak Kumar","non-dropping-particle":"","parse-names":false,"suffix":""}],"container-title":"Journal of Porous Materials","id":"ITEM-1","issue":"1","issued":{"date-parts":[["2018","2","19"]]},"page":"129-136","title":"Mesoporous aluminosilicate: efficient and reusable catalysts for esterification of sec-butanol with acetic acid","type":"article-journal","volume":"25"},"uris":["http://www.mendeley.com/documents/?uuid=afb7dabb-2e58-3bb5-9a9a-7f1a3d6b8485"]}],"mendeley":{"formattedCitation":"[25]","manualFormatting":"Phukan et al.","plainTextFormattedCitation":"[25]","previouslyFormattedCitation":"[25]"},"properties":{"noteIndex":0},"schema":"https://github.com/citation-style-language/schema/raw/master/csl-citation.json"}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Phukan et al.</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who </w:t>
      </w:r>
    </w:p>
    <w:p w:rsidR="006D79AF" w:rsidRPr="00CE0E6C" w:rsidRDefault="006D79AF" w:rsidP="006D79AF">
      <w:pPr>
        <w:spacing w:after="0"/>
        <w:jc w:val="both"/>
        <w:rPr>
          <w:rFonts w:asciiTheme="majorBidi" w:hAnsiTheme="majorBidi" w:cstheme="majorBidi"/>
          <w:sz w:val="20"/>
          <w:szCs w:val="20"/>
        </w:rPr>
      </w:pPr>
      <w:r w:rsidRPr="00CE0E6C">
        <w:rPr>
          <w:rFonts w:asciiTheme="majorBidi" w:hAnsiTheme="majorBidi" w:cstheme="majorBidi"/>
          <w:sz w:val="20"/>
          <w:szCs w:val="20"/>
        </w:rPr>
        <w:t>obtained 0.20 mmol/g NH</w:t>
      </w:r>
      <w:r w:rsidRPr="00CE0E6C">
        <w:rPr>
          <w:rFonts w:asciiTheme="majorBidi" w:hAnsiTheme="majorBidi" w:cstheme="majorBidi"/>
          <w:sz w:val="20"/>
          <w:szCs w:val="20"/>
          <w:vertAlign w:val="subscript"/>
        </w:rPr>
        <w:t>3</w:t>
      </w:r>
      <w:r w:rsidRPr="00CE0E6C">
        <w:rPr>
          <w:rFonts w:asciiTheme="majorBidi" w:hAnsiTheme="majorBidi" w:cstheme="majorBidi"/>
          <w:sz w:val="20"/>
          <w:szCs w:val="20"/>
        </w:rPr>
        <w:t xml:space="preserve"> desorption for montmorillonite K10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10.1007/s10934-017-0426-x","ISSN":"1380-2224","author":[{"dropping-particle":"","family":"Phukan","given":"Ankana","non-dropping-particle":"","parse-names":false,"suffix":""},{"dropping-particle":"","family":"Bhorodwaj","given":"Siddhartha Kumar","non-dropping-particle":"","parse-names":false,"suffix":""},{"dropping-particle":"","family":"Sharma","given":"Podma Pollov","non-dropping-particle":"","parse-names":false,"suffix":""},{"dropping-particle":"","family":"Dutta","given":"Dipak Kumar","non-dropping-particle":"","parse-names":false,"suffix":""}],"container-title":"Journal of Porous Materials","id":"ITEM-1","issue":"1","issued":{"date-parts":[["2018","2","19"]]},"page":"129-136","title":"Mesoporous aluminosilicate: efficient and reusable catalysts for esterification of sec-butanol with acetic acid","type":"article-journal","volume":"25"},"uris":["http://www.mendeley.com/documents/?uuid=afb7dabb-2e58-3bb5-9a9a-7f1a3d6b8485"]}],"mendeley":{"formattedCitation":"[25]","plainTextFormattedCitation":"[25]","previouslyFormattedCitation":"[25]"},"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[25]</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The trend of acidity increased from 14% Fe-MMT K10, followed by 27% and 20% Fe-MMT K10 was in line with the increasing Fe composition as shown in Table 2. Figure 5 shows that the most obvious NH</w:t>
      </w:r>
      <w:r w:rsidRPr="00CE0E6C">
        <w:rPr>
          <w:rFonts w:asciiTheme="majorBidi" w:hAnsiTheme="majorBidi" w:cstheme="majorBidi"/>
          <w:sz w:val="20"/>
          <w:szCs w:val="20"/>
          <w:vertAlign w:val="subscript"/>
        </w:rPr>
        <w:t>3</w:t>
      </w:r>
      <w:r w:rsidRPr="00CE0E6C">
        <w:rPr>
          <w:rFonts w:asciiTheme="majorBidi" w:hAnsiTheme="majorBidi" w:cstheme="majorBidi"/>
          <w:sz w:val="20"/>
          <w:szCs w:val="20"/>
        </w:rPr>
        <w:t xml:space="preserve"> peak elevated by 20% Fe-MMT K10 with 14.261 mmol/g desorption. The modification of montmorillonite K10 with 20% Fe</w:t>
      </w:r>
      <w:r w:rsidRPr="00CE0E6C">
        <w:rPr>
          <w:rFonts w:asciiTheme="majorBidi" w:hAnsiTheme="majorBidi" w:cstheme="majorBidi"/>
          <w:sz w:val="20"/>
          <w:szCs w:val="20"/>
          <w:vertAlign w:val="superscript"/>
        </w:rPr>
        <w:t>3+</w:t>
      </w:r>
      <w:r w:rsidRPr="00CE0E6C">
        <w:rPr>
          <w:rFonts w:asciiTheme="majorBidi" w:hAnsiTheme="majorBidi" w:cstheme="majorBidi"/>
          <w:sz w:val="20"/>
          <w:szCs w:val="20"/>
        </w:rPr>
        <w:t xml:space="preserve"> was found to be better compared to the Fe-pillared montmorillonite done by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{"citationItems":[{"id":"ITEM-1","itemData":{"author":[{"dropping-particle":"","family":"Bharate","given":"Jaideep B","non-dropping-particle":"","parse-names":false,"suffix":""},{"dropping-particle":"","family":"Sharma","given":"Rajni","non-dropping-particle":"","parse-names":false,"suffix":""},{"dropping-particle":"","family":"Aravinda","given":"Subrayashastry","non-dropping-particle":"","parse-names":false,"suffix":""},{"dropping-particle":"","family":"Gupta","given":"Vivek K","non-dropping-particle":"","parse-names":false,"suffix":""},{"dropping-particle":"","family":"Singh","given":"Baldev","non-dropping-particle":"","parse-names":false,"suffix":""},{"dropping-particle":"","family":"Bharate","given":"Sandip B","non-dropping-particle":"","parse-names":false,"suffix":""},{"dropping-particle":"","family":"Vishwakarma","given":"Ram A","non-dropping-particle":"","parse-names":false,"suffix":""}],"id":"ITEM-1","issued":{"date-parts":[["2013"]]},"title":"Electronic Supporting Information (ESI) Montmorillonite clay catalyzed synthesis of functionalized pyrroles through domino four-component coupling of amines, aldehydes, 1,3-dicarbonyl compounds and nitroalkanes","type":"report"},"uris":["http://www.mendeley.com/documents/?uuid=e959a394-8ac8-3bf0-97a2-f20f019b8100"]}],"mendeley":{"formattedCitation":"[26]","manualFormatting":"Bharate et al. ","plainTextFormattedCitation":"[26]","previouslyFormattedCitation":"[26]"},"properties":{"noteIndex":0},"schema":"https://github.com/citation-style-language/schema/raw/master/csl-citation.json"}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 xml:space="preserve">Bharate et al. </w:t>
      </w:r>
      <w:r w:rsidRPr="00CE0E6C">
        <w:rPr>
          <w:rFonts w:asciiTheme="majorBidi" w:hAnsiTheme="majorBidi" w:cstheme="majorBidi"/>
          <w:sz w:val="20"/>
          <w:szCs w:val="20"/>
        </w:rPr>
        <w:fldChar w:fldCharType="end"/>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{"citationItems":[{"id":"ITEM-1","itemData":{"author":[{"dropping-particle":"","family":"Bharate","given":"Jaideep B","non-dropping-particle":"","parse-names":false,"suffix":""},{"dropping-particle":"","family":"Sharma","given":"Rajni","non-dropping-particle":"","parse-names":false,"suffix":""},{"dropping-particle":"","family":"Aravinda","given":"Subrayashastry","non-dropping-particle":"","parse-names":false,"suffix":""},{"dropping-particle":"","family":"Gupta","given":"Vivek K","non-dropping-particle":"","parse-names":false,"suffix":""},{"dropping-particle":"","family":"Singh","given":"Baldev","non-dropping-particle":"","parse-names":false,"suffix":""},{"dropping-particle":"","family":"Bharate","given":"Sandip B","non-dropping-particle":"","parse-names":false,"suffix":""},{"dropping-particle":"","family":"Vishwakarma","given":"Ram A","non-dropping-particle":"","parse-names":false,"suffix":""}],"id":"ITEM-1","issued":{"date-parts":[["2013"]]},"title":"Electronic Supporting Information (ESI) Montmorillonite clay catalyzed synthesis of functionalized pyrroles through domino four-component coupling of amines, aldehydes, 1,3-dicarbonyl compounds and nitroalkanes","type":"report"},"uris":["http://www.mendeley.com/documents/?uuid=e959a394-8ac8-3bf0-97a2-f20f019b8100"]}],"mendeley":{"formattedCitation":"[26]","plainTextFormattedCitation":"[26]","previouslyFormattedCitation":"[26]"},"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[26]</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xml:space="preserve"> with total acidity of 7.91 mmol/g. The maximum acidity possessed by method 3 correlated to the elemental compositions in Table 2 indicates the optimum cation exchange has occurred. </w:t>
      </w:r>
    </w:p>
    <w:p w:rsidR="006D79AF" w:rsidRDefault="006D79AF" w:rsidP="00CE0E6C">
      <w:pPr>
        <w:spacing w:after="0"/>
        <w:jc w:val="both"/>
        <w:outlineLvl w:val="0"/>
        <w:rPr>
          <w:rFonts w:ascii="Times New Roman" w:hAnsi="Times New Roman"/>
          <w:b/>
          <w:bCs/>
          <w:sz w:val="20"/>
          <w:szCs w:val="20"/>
        </w:rPr>
      </w:pPr>
    </w:p>
    <w:p w:rsidR="006D79AF" w:rsidRPr="00CE0E6C" w:rsidRDefault="006D79AF" w:rsidP="006D79AF">
      <w:pPr>
        <w:spacing w:after="0"/>
        <w:jc w:val="both"/>
        <w:outlineLvl w:val="0"/>
        <w:rPr>
          <w:rFonts w:ascii="Times New Roman" w:hAnsi="Times New Roman"/>
          <w:b/>
          <w:bCs/>
          <w:sz w:val="20"/>
          <w:szCs w:val="20"/>
        </w:rPr>
      </w:pPr>
      <w:r w:rsidRPr="00CE0E6C">
        <w:rPr>
          <w:rFonts w:ascii="Times New Roman" w:hAnsi="Times New Roman"/>
          <w:b/>
          <w:bCs/>
          <w:sz w:val="20"/>
          <w:szCs w:val="20"/>
        </w:rPr>
        <w:t>Catalytic screening</w:t>
      </w:r>
    </w:p>
    <w:p w:rsidR="006D79AF" w:rsidRDefault="006D79AF" w:rsidP="008566E5">
      <w:pPr>
        <w:spacing w:after="0"/>
        <w:jc w:val="both"/>
        <w:rPr>
          <w:rFonts w:asciiTheme="majorBidi" w:hAnsiTheme="majorBidi" w:cstheme="majorBidi"/>
          <w:sz w:val="20"/>
          <w:szCs w:val="20"/>
        </w:rPr>
      </w:pPr>
      <w:r w:rsidRPr="00CE0E6C">
        <w:rPr>
          <w:rFonts w:asciiTheme="majorBidi" w:hAnsiTheme="majorBidi" w:cstheme="majorBidi"/>
          <w:sz w:val="20"/>
          <w:szCs w:val="20"/>
        </w:rPr>
        <w:t xml:space="preserve">In order to determine the catalytic activity, esterification and transesterification reactions were done simultaneously on WCO by reflux system connected to rotatory chiller at 8 °C. An optimum condition of 130 °C, 6 h, 12:1 methanol to oil ratio and 4 wt.% catalyst loading were selected according to </w:t>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{"citationItems":[{"id":"ITEM-1","itemData":{"DOI":"10.1016/J.RSER.2019.04.029","ISSN":"1364-0321","abstract":"The current study examines the efficiency of double metals (Cd and Mn) impregnated montmorillonite clay (Cd-Mn-Mmt) catalyst for the cleaner synthesis of biodiesel from novel non-edible seed oil of Prunus Cerasoides D. Don. (seed oil content 54.5%, and FFA content 0.45 mg KOH/g). X-Ray Diffraction (XRD), Scanning Electron Microscopy (SEM), Energy Dispersive X-Ray (EDX) and Fourier Transform Infrared Radiation Spectroscopy (FTIR) were used for characterizing the newly synthesized catalyst. The highest (85%) fatty acid methyl ester yield (FAME) of Prunus Cerasoides D. Don. biodiesel was obtained at optimized transesterification reaction conditions; 5 h of reaction time at 120 °C, 12:1 M ratio of methanol to oil and 4% catalyst loading. Synthesized biodiesel was further characterized via FTIR, Gas Chromatography/Mass spectroscopy (GC/MS), and Nuclear magnetic resonance (NMR (1H, 13C)). Additionally, the determined fuel properties, such as density (0.8612 kg/L), kinematic viscosity (4.11 mm2/s), flash point (73 °C), cloud point (−9 °C) and pour point (−10 °C), of synthesized biodiesel, agreed with International Standards of China GB/T 20828 (2007), American (ASTM-951, 6751) and European Union (EU-14214). Pseudo-first-order kinetics fitted well with the experimental data (R2 = 0.9172). The study findings recommended that the modified montmorillonite clay catalyst is a cleaner, cheaper, and easy to use along with high stability and catalytic performance in the transesterification process.","author":[{"dropping-particle":"","family":"Munir","given":"Mamoona","non-dropping-particle":"","parse-names":false,"suffix":""},{"dropping-particle":"","family":"Ahmad","given":"Mushtaq","non-dropping-particle":"","parse-names":false,"suffix":""},{"dropping-particle":"","family":"Saeed","given":"Muhammad","non-dropping-particle":"","parse-names":false,"suffix":""},{"dropping-particle":"","family":"Waseem","given":"Amir","non-dropping-particle":"","parse-names":false,"suffix":""},{"dropping-particle":"","family":"Rehan","given":"Mohammad","non-dropping-particle":"","parse-names":false,"suffix":""},{"dropping-particle":"","family":"Nizami","given":"Abdul-Sattar","non-dropping-particle":"","parse-names":false,"suffix":""},{"dropping-particle":"","family":"Zafar","given":"Muhammad","non-dropping-particle":"","parse-names":false,"suffix":""},{"dropping-particle":"","family":"Arshad","given":"Muhammad","non-dropping-particle":"","parse-names":false,"suffix":""},{"dropping-particle":"","family":"Sultana","given":"Shazia","non-dropping-particle":"","parse-names":false,"suffix":""}],"container-title":"Renewable and Sustainable Energy Reviews","id":"ITEM-1","issued":{"date-parts":[["2019","7","1"]]},"page":"321-332","publisher":"Pergamon","title":"Sustainable production of bioenergy from novel non-edible seed oil (Prunus cerasoides) using bimetallic impregnated montmorillonite clay catalyst","type":"article-journal","volume":"109"},"uris":["http://www.mendeley.com/documents/?uuid=7974b6b0-9795-3c93-8f1c-13ccc7263427"]},{"id":"ITEM-2","itemData":{"DOI":"10.1016/J.RENENE.2015.08.016","ISSN":"0960-1481","abstract":"The transesterification of waste cooking oil (WCO) with methanol to produce fatty acid methyl esters (FAMEs) in the presence of barium-modified montmorillonite K10 (BMK10) catalyst was investigated in a batch reactor. The influence of the reaction parameters on the yield of FAME was investigated. The highest value of 83.38% was obtained with 3.5 wt% catalyst loading at 150 °C with a methanol: oil molar ratio of 12:1 during a reaction time of 5 h. BMK10 is a promising low-cost catalyst for the transesterification of WCO to produce FAME.","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Energy","id":"ITEM-2","issued":{"date-parts":[["2016","2","1"]]},"page":"392-398","publisher":"Pergamon","title":"Synthesis of fatty acid methyl esters via the transesterification of waste cooking oil by methanol with a barium-modified montmorillonite K10 catalyst","type":"article-journal","volume":"86"},"uris":["http://www.mendeley.com/documents/?uuid=b26eb419-dc7a-3140-b0c0-ef26db9b3083"]}],"mendeley":{"formattedCitation":"[27], [28]","manualFormatting":"Munir et al. [27] and Olutoye et al. ","plainTextFormattedCitation":"[27], [28]","previouslyFormattedCitation":"[27], [28]"},"properties":{"noteIndex":0},"schema":"https://github.com/citation-style-language/schema/raw/master/csl-citation.json"}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 xml:space="preserve">Munir et al. </w:t>
      </w:r>
      <w:r w:rsidRPr="00CE0E6C">
        <w:rPr>
          <w:rFonts w:asciiTheme="majorBidi" w:hAnsiTheme="majorBidi" w:cstheme="majorBidi"/>
          <w:noProof/>
          <w:sz w:val="20"/>
          <w:szCs w:val="20"/>
        </w:rPr>
        <w:fldChar w:fldCharType="begin" w:fldLock="1"/>
      </w:r>
      <w:r w:rsidRPr="00CE0E6C">
        <w:rPr>
          <w:rFonts w:asciiTheme="majorBidi" w:hAnsiTheme="majorBidi" w:cstheme="majorBidi"/>
          <w:noProof/>
          <w:sz w:val="20"/>
          <w:szCs w:val="20"/>
        </w:rPr>
        <w:instrText>ADDIN CSL_CITATION {"citationItems":[{"id":"ITEM-1","itemData":{"DOI":"10.1016/J.RSER.2019.04.029","ISSN":"1364-0321","abstract":"The current study examines the efficiency of double metals (Cd and Mn) impregnated montmorillonite clay (Cd-Mn-Mmt) catalyst for the cleaner synthesis of biodiesel from novel non-edible seed oil of Prunus Cerasoides D. Don. (seed oil content 54.5%, and FFA content 0.45 mg KOH/g). X-Ray Diffraction (XRD), Scanning Electron Microscopy (SEM), Energy Dispersive X-Ray (EDX) and Fourier Transform Infrared Radiation Spectroscopy (FTIR) were used for characterizing the newly synthesized catalyst. The highest (85%) fatty acid methyl ester yield (FAME) of Prunus Cerasoides D. Don. biodiesel was obtained at optimized transesterification reaction conditions; 5 h of reaction time at 120 °C, 12:1 M ratio of methanol to oil and 4% catalyst loading. Synthesized biodiesel was further characterized via FTIR, Gas Chromatography/Mass spectroscopy (GC/MS), and Nuclear magnetic resonance (NMR (1H, 13C)). Additionally, the determined fuel properties, such as density (0.8612 kg/L), kinematic viscosity (4.11 mm2/s), flash point (73 °C), cloud point (−9 °C) and pour point (−10 °C), of synthesized biodiesel, agreed with International Standards of China GB/T 20828 (2007), American (ASTM-951, 6751) and European Union (EU-14214). Pseudo-first-order kinetics fitted well with the experimental data (R2 = 0.9172). The study findings recommended that the modified montmorillonite clay catalyst is a cleaner, cheaper, and easy to use along with high stability and catalytic performance in the transesterification process.","author":[{"dropping-particle":"","family":"Munir","given":"Mamoona","non-dropping-particle":"","parse-names":false,"suffix":""},{"dropping-particle":"","family":"Ahmad","given":"Mushtaq","non-dropping-particle":"","parse-names":false,"suffix":""},{"dropping-particle":"","family":"Saeed","given":"Muhammad","non-dropping-particle":"","parse-names":false,"suffix":""},{"dropping-particle":"","family":"Waseem","given":"Amir","non-dropping-particle":"","parse-names":false,"suffix":""},{"dropping-particle":"","family":"Rehan","given":"Mohammad","non-dropping-particle":"","parse-names":false,"suffix":""},{"dropping-particle":"","family":"Nizami","given":"Abdul-Sattar","non-dropping-particle":"","parse-names":false,"suffix":""},{"dropping-particle":"","family":"Zafar","given":"Muhammad","non-dropping-particle":"","parse-names":false,"suffix":""},{"dropping-particle":"","family":"Arshad","given":"Muhammad","non-dropping-particle":"","parse-names":false,"suffix":""},{"dropping-particle":"","family":"Sultana","given":"Shazia","non-dropping-particle":"","parse-names":false,"suffix":""}],"container-title":"Renewable and Sustainable Energy Reviews","id":"ITEM-1","issued":{"date-parts":[["2019","7","1"]]},"page":"321-332","publisher":"Pergamon","title":"Sustainable production of bioenergy from novel non-edible seed oil (Prunus cerasoides) using bimetallic impregnated montmorillonite clay catalyst","type":"article-journal","volume":"109"},"uris":["http://www.mendeley.com/documents/?uuid=7974b6b0-9795-3c93-8f1c-13ccc7263427"]}],"mendeley":{"formattedCitation":"[27]","plainTextFormattedCitation":"[27]","previouslyFormattedCitation":"[27]"},"properties":{"noteIndex":0},"schema":"https://github.com/citation-style-language/schema/raw/master/csl-citation.json"}</w:instrText>
      </w:r>
      <w:r w:rsidRPr="00CE0E6C">
        <w:rPr>
          <w:rFonts w:asciiTheme="majorBidi" w:hAnsiTheme="majorBidi" w:cstheme="majorBidi"/>
          <w:noProof/>
          <w:sz w:val="20"/>
          <w:szCs w:val="20"/>
        </w:rPr>
        <w:fldChar w:fldCharType="separate"/>
      </w:r>
      <w:r w:rsidRPr="00CE0E6C">
        <w:rPr>
          <w:rFonts w:asciiTheme="majorBidi" w:hAnsiTheme="majorBidi" w:cstheme="majorBidi"/>
          <w:noProof/>
          <w:sz w:val="20"/>
          <w:szCs w:val="20"/>
        </w:rPr>
        <w:t>[27]</w:t>
      </w:r>
      <w:r w:rsidRPr="00CE0E6C">
        <w:rPr>
          <w:rFonts w:asciiTheme="majorBidi" w:hAnsiTheme="majorBidi" w:cstheme="majorBidi"/>
          <w:noProof/>
          <w:sz w:val="20"/>
          <w:szCs w:val="20"/>
        </w:rPr>
        <w:fldChar w:fldCharType="end"/>
      </w:r>
      <w:r w:rsidRPr="00CE0E6C">
        <w:rPr>
          <w:rFonts w:asciiTheme="majorBidi" w:hAnsiTheme="majorBidi" w:cstheme="majorBidi"/>
          <w:noProof/>
          <w:sz w:val="20"/>
          <w:szCs w:val="20"/>
        </w:rPr>
        <w:t xml:space="preserve"> and Olutoye et al. </w:t>
      </w:r>
      <w:r w:rsidRPr="00CE0E6C">
        <w:rPr>
          <w:rFonts w:asciiTheme="majorBidi" w:hAnsiTheme="majorBidi" w:cstheme="majorBidi"/>
          <w:sz w:val="20"/>
          <w:szCs w:val="20"/>
        </w:rPr>
        <w:fldChar w:fldCharType="end"/>
      </w:r>
      <w:r w:rsidRPr="00CE0E6C">
        <w:rPr>
          <w:rFonts w:asciiTheme="majorBidi" w:hAnsiTheme="majorBidi" w:cstheme="majorBidi"/>
          <w:sz w:val="20"/>
          <w:szCs w:val="20"/>
        </w:rPr>
        <w:fldChar w:fldCharType="begin" w:fldLock="1"/>
      </w:r>
      <w:r w:rsidRPr="00CE0E6C">
        <w:rPr>
          <w:rFonts w:asciiTheme="majorBidi" w:hAnsiTheme="majorBidi" w:cstheme="majorBidi"/>
          <w:sz w:val="20"/>
          <w:szCs w:val="20"/>
        </w:rPr>
        <w:instrText>ADDIN CSL_CITATION {"citationItems":[{"id":"ITEM-1","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Energy","id":"ITEM-1","issued":{"date-parts":[["2016","2"]]},"page":"392-398","title":"Synthesis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[16]","plainTextFormattedCitation":"[16]","previouslyFormattedCitation":"[16]"},"properties":{"noteIndex":0},"schema":"https://github.com/citation-style-language/schema/raw/master/csl-citation.json"}</w:instrText>
      </w:r>
      <w:r w:rsidRPr="00CE0E6C">
        <w:rPr>
          <w:rFonts w:asciiTheme="majorBidi" w:hAnsiTheme="majorBidi" w:cstheme="majorBidi"/>
          <w:sz w:val="20"/>
          <w:szCs w:val="20"/>
        </w:rPr>
        <w:fldChar w:fldCharType="separate"/>
      </w:r>
      <w:r w:rsidRPr="00CE0E6C">
        <w:rPr>
          <w:rFonts w:asciiTheme="majorBidi" w:hAnsiTheme="majorBidi" w:cstheme="majorBidi"/>
          <w:noProof/>
          <w:sz w:val="20"/>
          <w:szCs w:val="20"/>
        </w:rPr>
        <w:t>[16]</w:t>
      </w:r>
      <w:r w:rsidRPr="00CE0E6C">
        <w:rPr>
          <w:rFonts w:asciiTheme="majorBidi" w:hAnsiTheme="majorBidi" w:cstheme="majorBidi"/>
          <w:sz w:val="20"/>
          <w:szCs w:val="20"/>
        </w:rPr>
        <w:fldChar w:fldCharType="end"/>
      </w:r>
      <w:r w:rsidRPr="00CE0E6C">
        <w:rPr>
          <w:rFonts w:asciiTheme="majorBidi" w:hAnsiTheme="majorBidi" w:cstheme="majorBidi"/>
          <w:sz w:val="20"/>
          <w:szCs w:val="20"/>
        </w:rPr>
        <w:t>, to study the activity of montmorillonite K10 and its modified samples. As a control, a reaction without catalyst was carried out. The efficiency of the catalysts was summarized and compared in Fig</w:t>
      </w:r>
      <w:r w:rsidR="003E1F59">
        <w:rPr>
          <w:rFonts w:asciiTheme="majorBidi" w:hAnsiTheme="majorBidi" w:cstheme="majorBidi"/>
          <w:sz w:val="20"/>
          <w:szCs w:val="20"/>
        </w:rPr>
        <w:t>ure 6 and Figure 7</w:t>
      </w:r>
      <w:r w:rsidRPr="00CE0E6C">
        <w:rPr>
          <w:rFonts w:asciiTheme="majorBidi" w:hAnsiTheme="majorBidi" w:cstheme="majorBidi"/>
          <w:sz w:val="20"/>
          <w:szCs w:val="20"/>
        </w:rPr>
        <w:t xml:space="preserve">. From the results, it was proven that montmorillonite K10 has the potential to undergo simultaneous esterification and transesterification reactions to produce biodiesel compared to the reaction without catalyst as the biodiesel yield increased from 26.80 to 38.39% and the acid conversion increased from 13.15 to 18.22%.  Among the reactions, 20% Fe-MMT K10 shows the highest biodiesel yield (84.58%) and acid conversion (37.56%) compared to 14% Fe-MMT K10 (yield: 66.54%; acid conversion: 24.86%) and 27% Fe-MMT K10 (yield: 69.32%; acid conversion: 25.02%). The results obtained show the correlation between metal cation concentration, elemental composition and acidity as the yield and acid conversion increased from 14% to </w:t>
      </w:r>
      <w:r w:rsidR="0062232A">
        <w:rPr>
          <w:rFonts w:asciiTheme="majorBidi" w:hAnsiTheme="majorBidi" w:cstheme="majorBidi"/>
          <w:sz w:val="20"/>
          <w:szCs w:val="20"/>
        </w:rPr>
        <w:t xml:space="preserve">20% modifications accordingly.  </w:t>
      </w:r>
      <w:r w:rsidRPr="00CE0E6C">
        <w:rPr>
          <w:rFonts w:asciiTheme="majorBidi" w:hAnsiTheme="majorBidi" w:cstheme="majorBidi"/>
          <w:sz w:val="20"/>
          <w:szCs w:val="20"/>
        </w:rPr>
        <w:t xml:space="preserve">In conclusion, the modification of montmorillonite K10 with 20% Fe </w:t>
      </w:r>
      <w:r w:rsidRPr="00CE0E6C">
        <w:rPr>
          <w:rFonts w:asciiTheme="majorBidi" w:hAnsiTheme="majorBidi" w:cstheme="majorBidi"/>
          <w:sz w:val="20"/>
          <w:szCs w:val="20"/>
        </w:rPr>
        <w:lastRenderedPageBreak/>
        <w:t xml:space="preserve">concentration shows the optimum ion exchange which contributed to the most efficient catalyst with highest biodiesel yield and acid conversion, and eventually was selected for further investigation. </w:t>
      </w:r>
    </w:p>
    <w:p w:rsidR="00672906" w:rsidRDefault="00672906" w:rsidP="008566E5">
      <w:pPr>
        <w:spacing w:after="0"/>
        <w:jc w:val="both"/>
        <w:rPr>
          <w:rFonts w:asciiTheme="majorBidi" w:hAnsiTheme="majorBidi" w:cstheme="majorBidi"/>
          <w:sz w:val="20"/>
          <w:szCs w:val="20"/>
        </w:rPr>
      </w:pPr>
    </w:p>
    <w:p w:rsidR="00672906" w:rsidRPr="00672906" w:rsidRDefault="00672906" w:rsidP="00672906">
      <w:pPr>
        <w:spacing w:after="0"/>
        <w:jc w:val="both"/>
        <w:outlineLvl w:val="0"/>
        <w:rPr>
          <w:rFonts w:ascii="Times New Roman" w:hAnsi="Times New Roman"/>
          <w:b/>
          <w:bCs/>
          <w:sz w:val="20"/>
          <w:szCs w:val="20"/>
        </w:rPr>
      </w:pPr>
      <w:r w:rsidRPr="00672906">
        <w:rPr>
          <w:rFonts w:ascii="Times New Roman" w:hAnsi="Times New Roman"/>
          <w:b/>
          <w:bCs/>
          <w:sz w:val="20"/>
          <w:szCs w:val="20"/>
        </w:rPr>
        <w:t>Optimization of biodiesel production</w:t>
      </w:r>
    </w:p>
    <w:p w:rsidR="00672906" w:rsidRDefault="00672906" w:rsidP="00672906">
      <w:pPr>
        <w:spacing w:after="0"/>
        <w:jc w:val="both"/>
        <w:rPr>
          <w:rFonts w:asciiTheme="majorBidi" w:hAnsiTheme="majorBidi" w:cstheme="majorBidi"/>
          <w:sz w:val="20"/>
          <w:szCs w:val="20"/>
        </w:rPr>
      </w:pPr>
      <w:r w:rsidRPr="00672906">
        <w:rPr>
          <w:rFonts w:asciiTheme="majorBidi" w:hAnsiTheme="majorBidi" w:cstheme="majorBidi"/>
          <w:bCs/>
          <w:sz w:val="20"/>
          <w:szCs w:val="20"/>
        </w:rPr>
        <w:t xml:space="preserve">From the catalytic screening, 20% Fe-MMT K10 was selected as the most efficient catalyst to produce high biodiesel yield. The biodiesel production was optimized by varying four parameters; temperature (100 – 200 °C), reaction time (3 – 9 hours), catalyst loading (2-8 wt.%) and methanol to oil ratio (8 to 16:1) </w:t>
      </w:r>
      <w:r w:rsidRPr="00672906">
        <w:rPr>
          <w:rFonts w:asciiTheme="majorBidi" w:hAnsiTheme="majorBidi" w:cstheme="majorBidi"/>
          <w:bCs/>
          <w:sz w:val="20"/>
          <w:szCs w:val="20"/>
        </w:rPr>
        <w:fldChar w:fldCharType="begin" w:fldLock="1"/>
      </w:r>
      <w:r w:rsidRPr="00672906">
        <w:rPr>
          <w:rFonts w:asciiTheme="majorBidi" w:hAnsiTheme="majorBidi" w:cstheme="majorBidi"/>
          <w:bCs/>
          <w:sz w:val="20"/>
          <w:szCs w:val="20"/>
        </w:rPr>
        <w:instrText>ADDIN CSL_CITATION {"citationItems":[{"id":"ITEM-1","itemData":{"DOI":"10.1016/j.renene.2017.12.104","ISSN":"09601481","author":[{"dropping-particle":"","family":"Liu","given":"Jie","non-dropping-particle":"","parse-names":false,"suffix":""},{"dropping-particle":"","family":"Wang","given":"Xue-Qian","non-dropping-particle":"","parse-names":false,"suffix":""},{"dropping-particle":"","family":"Yang","given":"Bei-Bei","non-dropping-particle":"","parse-names":false,"suffix":""},{"dropping-particle":"","family":"Liu","given":"Chun-Ling","non-dropping-particle":"","parse-names":false,"suffix":""},{"dropping-particle":"","family":"Xu","given":"Chun-Li","non-dropping-particle":"","parse-names":false,"suffix":""},{"dropping-particle":"","family":"Dong","given":"Wen-Sheng","non-dropping-particle":"","parse-names":false,"suffix":""}],"container-title":"Renewable Energy","id":"ITEM-1","issued":{"date-parts":[["2018","5"]]},"page":"231-240","title":"Highly efficient conversion of glucose into methyl levulinate catalyzed by tin-exchanged montmorillonite","type":"article-journal","volume":"120"},"uris":["http://www.mendeley.com/documents/?uuid=8e9a8f95-162e-356d-a2e5-56a010fcfbbd"]},{"id":"ITEM-2","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Energy","id":"ITEM-2","issued":{"date-parts":[["2016","2"]]},"page":"392-398","title":"Synthesis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catalyst","type":"article-journal","volume":"86"},"uris":["http://www.mendeley.com/documents/?uuid=52a62304-d5a1-3f7c-a3a4-c895d247fbea"]}],"mendeley":{"formattedCitation":"[14], [16]","plainTextFormattedCitation":"[14], [16]","previouslyFormattedCitation":"[14], [16]"},"properties":{"noteIndex":0},"schema":"https://github.com/citation-style-language/schema/raw/master/csl-citation.json"}</w:instrText>
      </w:r>
      <w:r w:rsidRPr="00672906">
        <w:rPr>
          <w:rFonts w:asciiTheme="majorBidi" w:hAnsiTheme="majorBidi" w:cstheme="majorBidi"/>
          <w:bCs/>
          <w:sz w:val="20"/>
          <w:szCs w:val="20"/>
        </w:rPr>
        <w:fldChar w:fldCharType="separate"/>
      </w:r>
      <w:r w:rsidRPr="00672906">
        <w:rPr>
          <w:rFonts w:asciiTheme="majorBidi" w:hAnsiTheme="majorBidi" w:cstheme="majorBidi"/>
          <w:bCs/>
          <w:noProof/>
          <w:sz w:val="20"/>
          <w:szCs w:val="20"/>
        </w:rPr>
        <w:t>[14, 16]</w:t>
      </w:r>
      <w:r w:rsidRPr="00672906">
        <w:rPr>
          <w:rFonts w:asciiTheme="majorBidi" w:hAnsiTheme="majorBidi" w:cstheme="majorBidi"/>
          <w:bCs/>
          <w:sz w:val="20"/>
          <w:szCs w:val="20"/>
        </w:rPr>
        <w:fldChar w:fldCharType="end"/>
      </w:r>
      <w:r w:rsidRPr="00672906">
        <w:rPr>
          <w:rFonts w:asciiTheme="majorBidi" w:hAnsiTheme="majorBidi" w:cstheme="majorBidi"/>
          <w:sz w:val="20"/>
          <w:szCs w:val="20"/>
        </w:rPr>
        <w:t>.</w:t>
      </w:r>
      <w:r w:rsidRPr="00672906">
        <w:rPr>
          <w:rFonts w:asciiTheme="majorBidi" w:hAnsiTheme="majorBidi" w:cstheme="majorBidi"/>
          <w:bCs/>
          <w:sz w:val="20"/>
          <w:szCs w:val="20"/>
        </w:rPr>
        <w:t xml:space="preserve"> </w:t>
      </w:r>
      <w:r w:rsidRPr="00672906">
        <w:rPr>
          <w:rFonts w:asciiTheme="majorBidi" w:hAnsiTheme="majorBidi" w:cstheme="majorBidi"/>
          <w:sz w:val="20"/>
          <w:szCs w:val="20"/>
        </w:rPr>
        <w:t xml:space="preserve">The ability on esterification was examined (Figure 8) to ensure that the catalyst can convert the free fatty acid content as shown in Table 1 into FAME. 28.65% acid was converted at optimum condition of maximum biodiesel production. However, the optimization of esterification was not considered since the optimum condition for acid and triglyceride seemed to be different. In addition, it was quite difficult to find the optimum condition since WCO consisted of different types of FFA, which favor different conditions </w:t>
      </w:r>
      <w:r w:rsidRPr="00672906">
        <w:rPr>
          <w:rFonts w:asciiTheme="majorBidi" w:hAnsiTheme="majorBidi" w:cstheme="majorBidi"/>
          <w:sz w:val="20"/>
          <w:szCs w:val="20"/>
        </w:rPr>
        <w:fldChar w:fldCharType="begin" w:fldLock="1"/>
      </w:r>
      <w:r w:rsidRPr="00672906">
        <w:rPr>
          <w:rFonts w:asciiTheme="majorBidi" w:hAnsiTheme="majorBidi" w:cstheme="majorBidi"/>
          <w:sz w:val="20"/>
          <w:szCs w:val="20"/>
        </w:rPr>
        <w:instrText>ADDIN CSL_CITATION {"citationItems":[{"id":"ITEM-1","itemData":{"DOI":"10.1016/J.RSER.2019.04.029","ISSN":"1364-0321","abstract":"The current study examines the efficiency of double metals (Cd and Mn) impregnated montmorillonite clay (Cd-Mn-Mmt) catalyst for the cleaner synthesis of biodiesel from novel non-edible seed oil of Prunus Cerasoides D. Don. (seed oil content 54.5%, and FFA content 0.45 mg KOH/g). X-Ray Diffraction (XRD), Scanning Electron Microscopy (SEM), Energy Dispersive X-Ray (EDX) and Fourier Transform Infrared Radiation Spectroscopy (FTIR) were used for characterizing the newly synthesized catalyst. The highest (85%) fatty acid methyl ester yield (FAME) of Prunus Cerasoides D. Don. biodiesel was obtained at optimized transesterification reaction conditions; 5 h of reaction time at 120 °C, 12:1 M ratio of methanol to oil and 4% catalyst loading. Synthesized biodiesel was further characterized via FTIR, Gas Chromatography/Mass spectroscopy (GC/MS), and Nuclear magnetic resonance (NMR (1H, 13C)). Additionally, the determined fuel properties, such as density (0.8612 kg/L), kinematic viscosity (4.11 mm2/s), flash point (73 °C), cloud point (−9 °C) and pour point (−10 °C), of synthesized biodiesel, agreed with International Standards of China GB/T 20828 (2007), American (ASTM-951, 6751) and European Union (EU-14214). Pseudo-first-order kinetics fitted well with the experimental data (R2 = 0.9172). The study findings recommended that the modified montmorillonite clay catalyst is a cleaner, cheaper, and easy to use along with high stability and catalytic performance in the transesterification process.","author":[{"dropping-particle":"","family":"Munir","given":"Mamoona","non-dropping-particle":"","parse-names":false,"suffix":""},{"dropping-particle":"","family":"Ahmad","given":"Mushtaq","non-dropping-particle":"","parse-names":false,"suffix":""},{"dropping-particle":"","family":"Saeed","given":"Muhammad","non-dropping-particle":"","parse-names":false,"suffix":""},{"dropping-particle":"","family":"Waseem","given":"Amir","non-dropping-particle":"","parse-names":false,"suffix":""},{"dropping-particle":"","family":"Rehan","given":"Mohammad","non-dropping-particle":"","parse-names":false,"suffix":""},{"dropping-particle":"","family":"Nizami","given":"Abdul-Sattar","non-dropping-particle":"","parse-names":false,"suffix":""},{"dropping-particle":"","family":"Zafar","given":"Muhammad","non-dropping-particle":"","parse-names":false,"suffix":""},{"dropping-particle":"","family":"Arshad","given":"Muhammad","non-dropping-particle":"","parse-names":false,"suffix":""},{"dropping-particle":"","family":"Sultana","given":"Shazia","non-dropping-particle":"","parse-names":false,"suffix":""}],"container-title":"Renewable and Sustainable Energy Reviews","id":"ITEM-1","issued":{"date-parts":[["2019","7","1"]]},"page":"321-332","publisher":"Pergamon","title":"Sustainable production of bioenergy from novel non-edible seed oil (Prunus cerasoides) using bimetallic impregnated montmorillonite clay catalyst","type":"article-journal","volume":"109"},"uris":["http://www.mendeley.com/documents/?uuid=7974b6b0-9795-3c93-8f1c-13ccc7263427"]}],"mendeley":{"formattedCitation":"[27]","plainTextFormattedCitation":"[27]","previouslyFormattedCitation":"[27]"},"properties":{"noteIndex":0},"schema":"https://github.com/citation-style-language/schema/raw/master/csl-citation.json"}</w:instrText>
      </w:r>
      <w:r w:rsidRPr="00672906">
        <w:rPr>
          <w:rFonts w:asciiTheme="majorBidi" w:hAnsiTheme="majorBidi" w:cstheme="majorBidi"/>
          <w:sz w:val="20"/>
          <w:szCs w:val="20"/>
        </w:rPr>
        <w:fldChar w:fldCharType="separate"/>
      </w:r>
      <w:r w:rsidRPr="00672906">
        <w:rPr>
          <w:rFonts w:asciiTheme="majorBidi" w:hAnsiTheme="majorBidi" w:cstheme="majorBidi"/>
          <w:noProof/>
          <w:sz w:val="20"/>
          <w:szCs w:val="20"/>
        </w:rPr>
        <w:t>[27]</w:t>
      </w:r>
      <w:r w:rsidRPr="00672906">
        <w:rPr>
          <w:rFonts w:asciiTheme="majorBidi" w:hAnsiTheme="majorBidi" w:cstheme="majorBidi"/>
          <w:sz w:val="20"/>
          <w:szCs w:val="20"/>
        </w:rPr>
        <w:fldChar w:fldCharType="end"/>
      </w:r>
      <w:r w:rsidRPr="00672906">
        <w:rPr>
          <w:rFonts w:asciiTheme="majorBidi" w:hAnsiTheme="majorBidi" w:cstheme="majorBidi"/>
          <w:sz w:val="20"/>
          <w:szCs w:val="20"/>
        </w:rPr>
        <w:t xml:space="preserve">. The benefit of selecting raw material with small amount of FFA content (3.97%) was it would give insignificant effect to produce high FAME yield. Furthermore, high FFA content would lead to the incomplete conversion of WCO due to the FFA conversion limitation. The esterification of FFA also produced water by product that would significantly decrease the ester production by hydrolysis </w:t>
      </w:r>
      <w:r w:rsidRPr="00672906">
        <w:rPr>
          <w:rFonts w:asciiTheme="majorBidi" w:hAnsiTheme="majorBidi" w:cstheme="majorBidi"/>
          <w:sz w:val="20"/>
          <w:szCs w:val="20"/>
        </w:rPr>
        <w:fldChar w:fldCharType="begin" w:fldLock="1"/>
      </w:r>
      <w:r w:rsidRPr="00672906">
        <w:rPr>
          <w:rFonts w:asciiTheme="majorBidi" w:hAnsiTheme="majorBidi" w:cstheme="majorBidi"/>
          <w:sz w:val="20"/>
          <w:szCs w:val="20"/>
        </w:rPr>
        <w:instrText>ADDIN CSL_CITATION {"citationItems":[{"id":"ITEM-1","itemData":{"DOI":"10.1016/j.renene.2016.01.053","ISSN":"18790682","abstract":"The enzymatic production of biodiesel by methanolysis of canola oil was studied using self-made biocatalysts. Mesoporous SBA-15 nanoparticles were prepared, characterized and functionalized by 3-glycidyloxypropyl trimethoxysilane. Lipases from Candida antarctica (CALB), Thermomyces lanuginosus (TLL) and Rhizomucor miehei (RML) were covalently immobilized onto SBA-epoxy. Thermal stability and the influence of methanol concentration on the catalytic activity were also evaluated. Higher thermal stability and methanol tolerance for immobilized derivatives were achieved compared to the free enzyme. In an optimization study, the effect of water, t-butanol and blue silica gel as water adsorbent on the yield of FAME was considered. For the SBA-RML catalysed reaction, water had little effect in increasing FAME yield, but when 20 wt% water by substrate weight was added to the SBA-TLL catalysed reaction, the methyl ester content reached nearly complete conversion (98% FAME). t-Butanol had a great effect on yield, with almost complete conversion for SBA-RML and SBA-TLL. The effect of blue silica gel also was investigated. The immobilized TLL was quite stable and can be reused for 20 cycles without significant loss in activity (6%). RML and CALB also presented a good reusability, keeping 95% of their initial activities after 7 and 15 cycles of the reaction.","author":[{"dropping-particle":"","family":"Babaki","given":"Mohadese","non-dropping-particle":"","parse-names":false,"suffix":""},{"dropping-particle":"","family":"Yousefi","given":"Maryam","non-dropping-particle":"","parse-names":false,"suffix":""},{"dropping-particle":"","family":"Habibi","given":"Zohreh","non-dropping-particle":"","parse-names":false,"suffix":""},{"dropping-particle":"","family":"Mohammadi","given":"Mehdi","non-dropping-particle":"","parse-names":false,"suffix":""},{"dropping-particle":"","family":"Yousefi","given":"Parisa","non-dropping-particle":"","parse-names":false,"suffix":""},{"dropping-particle":"","family":"Mohammadi","given":"Javad","non-dropping-particle":"","parse-names":false,"suffix":""},{"dropping-particle":"","family":"Brask","given":"Jesper","non-dropping-particle":"","parse-names":false,"suffix":""}],"container-title":"Renewable Energy","id":"ITEM-1","issued":{"date-parts":[["2016"]]},"page":"196-206","title":"Enzymatic production of biodiesel using lipases immobilized on silica nanoparticles as highly reusable biocatalysts: Effect of water, t-butanol and blue silica gel contents","type":"article-journal","volume":"91"},"uris":["http://www.mendeley.com/documents/?uuid=2a8866b1-22dc-4166-9773-5ce446be5bb3"]}],"mendeley":{"formattedCitation":"[29]","plainTextFormattedCitation":"[29]","previouslyFormattedCitation":"[29]"},"properties":{"noteIndex":0},"schema":"https://github.com/citation-style-language/schema/raw/master/csl-citation.json"}</w:instrText>
      </w:r>
      <w:r w:rsidRPr="00672906">
        <w:rPr>
          <w:rFonts w:asciiTheme="majorBidi" w:hAnsiTheme="majorBidi" w:cstheme="majorBidi"/>
          <w:sz w:val="20"/>
          <w:szCs w:val="20"/>
        </w:rPr>
        <w:fldChar w:fldCharType="separate"/>
      </w:r>
      <w:r w:rsidRPr="00672906">
        <w:rPr>
          <w:rFonts w:asciiTheme="majorBidi" w:hAnsiTheme="majorBidi" w:cstheme="majorBidi"/>
          <w:noProof/>
          <w:sz w:val="20"/>
          <w:szCs w:val="20"/>
        </w:rPr>
        <w:t>[29]</w:t>
      </w:r>
      <w:r w:rsidRPr="00672906">
        <w:rPr>
          <w:rFonts w:asciiTheme="majorBidi" w:hAnsiTheme="majorBidi" w:cstheme="majorBidi"/>
          <w:sz w:val="20"/>
          <w:szCs w:val="20"/>
        </w:rPr>
        <w:fldChar w:fldCharType="end"/>
      </w:r>
      <w:r w:rsidRPr="00672906">
        <w:rPr>
          <w:rFonts w:asciiTheme="majorBidi" w:hAnsiTheme="majorBidi" w:cstheme="majorBidi"/>
          <w:sz w:val="20"/>
          <w:szCs w:val="20"/>
        </w:rPr>
        <w:t>. In this case, since triglyceride is the main composition of WCO, more attention was given on the percentage yield of biodiesel compared to acid conversion.</w:t>
      </w:r>
    </w:p>
    <w:p w:rsidR="00672906" w:rsidRPr="00672906" w:rsidRDefault="00672906" w:rsidP="00672906">
      <w:pPr>
        <w:spacing w:after="0"/>
        <w:jc w:val="both"/>
        <w:rPr>
          <w:rFonts w:asciiTheme="majorBidi" w:hAnsiTheme="majorBidi" w:cstheme="majorBidi"/>
          <w:sz w:val="20"/>
          <w:szCs w:val="20"/>
        </w:rPr>
      </w:pPr>
    </w:p>
    <w:p w:rsidR="00672906" w:rsidRPr="00672906" w:rsidRDefault="00672906" w:rsidP="00672906">
      <w:pPr>
        <w:spacing w:after="0"/>
        <w:jc w:val="both"/>
        <w:rPr>
          <w:rFonts w:ascii="Times New Roman" w:hAnsi="Times New Roman"/>
          <w:sz w:val="20"/>
          <w:szCs w:val="20"/>
        </w:rPr>
      </w:pPr>
      <w:r w:rsidRPr="00672906">
        <w:rPr>
          <w:rFonts w:ascii="Times New Roman" w:hAnsi="Times New Roman"/>
          <w:sz w:val="20"/>
          <w:szCs w:val="20"/>
        </w:rPr>
        <w:t xml:space="preserve">The effect of temperature on the activity of 20% Fe-MMT K10 was investigated within the range from 100 °C to 200 °C, at fixed reaction time 6 hours, methanol to oil ratio 12:1 and catalyst loading 6 wt.%. From the results in Figure 9, it seems that the optimum temperature was 150 °C with yield 96.49%. At low temperature (100 °C), only 46.35% biodiesel yield was produced. The catalyst could not complete the conversion of WCO within 6 hours because less heat energy was supplied to the endothermic reaction, which is inadequate to activate the total sites of 4 wt.% catalyst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{"citationItems":[{"id":"ITEM-1","itemData":{"DOI":"10.1016/j.proeng.2016.06.606","ISSN":"18777058","abstract":"© 2016 The Authors. Biodiesel that mostly comes from pure renewable resources provide an alternative fuel option for future because of limited fossil fuel resources as well as environmental concerns. The transesterification of non-edible oils for biodiesel production is one of the promising process for biodiesel production to overcome this future crises of energy. The utilization of waste frying oil into biodiesel have great worth for economization of biodiesel cost as well as the conversion of waste into value added product with environmental protection. The purpose of the present work is to optimize the process of biodiesel production over a heterogeneous clay based catalyst. Particularly, the transesterification of waste frying palm oil with methanol was studied in the presence of montmorillonite clay K-30 as solid base catalyst that have both of acid and basic nature. The observed date was then optimized with the help of Design of Experiments software. The Response Surface Methodology (RSM) based on four-variable central composite design (CCD) with α (alpha) = 2 was used for this purpose. The transesterification process variables were reaction temperature, x1(40-140oC), reaction period, x2(60-300 min), methanol/oil ratio, x3(6:1- 18:1 mol/ mol) and amount of catalyst, x4(1-5% wt). The results showed that waste frying oil is a good feedstock for biodiesel production and high yield of 78.4% was obtained during optimization of this biodiesel process that was noted after 180 min at temperature 90°C, with a 12:1molar ratio of methanol to waste frying oil and using 3%wt of montmorillonite clay K-30 catalyst.","author":[{"dropping-particle":"","family":"Ayoub","given":"M.","non-dropping-particle":"","parse-names":false,"suffix":""},{"dropping-particle":"","family":"Ullah","given":"S.","non-dropping-particle":"","parse-names":false,"suffix":""},{"dropping-particle":"","family":"Inayat","given":"A.","non-dropping-particle":"","parse-names":false,"suffix":""},{"dropping-particle":"","family":"Bhat","given":"A.H.","non-dropping-particle":"","parse-names":false,"suffix":""},{"dropping-particle":"","family":"Hailegiorgis","given":"S.M.","non-dropping-particle":"","parse-names":false,"suffix":""}],"container-title":"Procedia Engineering","id":"ITEM-1","issued":{"date-parts":[["2016"]]},"title":"Process Optimization for Biodiesel Production from Waste Frying Oil over Montmorillonite Clay K-30","type":"paper-conference"},"uris":["http://www.mendeley.com/documents/?uuid=2326ffed-de26-47a6-bcc1-2c6d421c3545"]}],"mendeley":{"formattedCitation":"[30]","plainTextFormattedCitation":"[30]","previouslyFormattedCitation":"[30]"},"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[30]</w:t>
      </w:r>
      <w:r w:rsidRPr="00672906">
        <w:rPr>
          <w:rFonts w:ascii="Times New Roman" w:hAnsi="Times New Roman"/>
          <w:sz w:val="20"/>
          <w:szCs w:val="20"/>
        </w:rPr>
        <w:fldChar w:fldCharType="end"/>
      </w:r>
      <w:r w:rsidRPr="00672906">
        <w:rPr>
          <w:rFonts w:ascii="Times New Roman" w:hAnsi="Times New Roman"/>
          <w:sz w:val="20"/>
          <w:szCs w:val="20"/>
        </w:rPr>
        <w:t xml:space="preserve">. Therefore, more reaction period is </w:t>
      </w:r>
      <w:r w:rsidRPr="00672906">
        <w:rPr>
          <w:rFonts w:ascii="Times New Roman" w:hAnsi="Times New Roman"/>
          <w:sz w:val="20"/>
          <w:szCs w:val="20"/>
        </w:rPr>
        <w:lastRenderedPageBreak/>
        <w:t xml:space="preserve">required. This situation was observed when Jung et al. optimized the reaction within 2 hours at 360 ºC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jhazmat.2019.02.109","ISSN":"03043894","author":[{"dropping-particle":"","family":"Jung","given":"Jong-Min","non-dropping-particle":"","parse-names":false,"suffix":""},{"dropping-particle":"","family":"Oh","given":"Jeong-Ik","non-dropping-particle":"","parse-names":false,"suffix":""},{"dropping-particle":"","family":"Park","given":"Young-Kwon","non-dropping-particle":"","parse-names":false,"suffix":""},{"dropping-particle":"","family":"Lee","given":"Jechan","non-dropping-particle":"","parse-names":false,"suffix":""},{"dropping-particle":"","family":"Kwon","given":"Eilhann E.","non-dropping-particle":"","parse-names":false,"suffix":""}],"container-title":"Journal of Hazardous Materials","id":"ITEM-1","issued":{"date-parts":[["2019","6"]]},"page":"27-32","title":"Biodiesel synthesis from fish waste via thermally-induced transesterification using clay as porous material","type":"article-journal","volume":"371"},"uris":["http://www.mendeley.com/documents/?uuid=adcaa830-5bab-36fa-8e7a-002a996a82e0"]}],"mendeley":{"formattedCitation":"[2]","plainTextFormattedCitation":"[2]","previouslyFormattedCitation":"[2]"},"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[2]</w:t>
      </w:r>
      <w:r w:rsidRPr="00672906">
        <w:rPr>
          <w:rFonts w:ascii="Times New Roman" w:hAnsi="Times New Roman"/>
          <w:sz w:val="20"/>
          <w:szCs w:val="20"/>
        </w:rPr>
        <w:fldChar w:fldCharType="end"/>
      </w:r>
      <w:r w:rsidRPr="00672906">
        <w:rPr>
          <w:rFonts w:ascii="Times New Roman" w:hAnsi="Times New Roman"/>
          <w:sz w:val="20"/>
          <w:szCs w:val="20"/>
        </w:rPr>
        <w:t xml:space="preserve">. However, when Olutoye et al. and Munir et al. used lower temperature between 120 – 150 ºC, 5 hours was taken to optimize the reaction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Energy","id":"ITEM-1","issued":{"date-parts":[["2016","2"]]},"page":"392-398","title":"Synthesis of fatty acid methyl esters via the transesterification of waste cooking oil by methanol with a barium-modified montmorillonite K10 catalyst","type":"article-journal","volume":"86"},"uris":["http://www.mendeley.com/documents/?uuid=52a62304-d5a1-3f7c-a3a4-c895d247fbea"]},{"id":"ITEM-2","itemData":{"DOI":"10.1016/J.RSER.2019.04.029","ISSN":"1364-0321","abstract":"The current study examines the efficiency of double metals (Cd and Mn) impregnated montmorillonite clay (Cd-Mn-Mmt) catalyst for the cleaner synthesis of biodiesel from novel non-edible seed oil of Prunus Cerasoides D. Don. (seed oil content 54.5%, and FFA content 0.45 mg KOH/g). X-Ray Diffraction (XRD), Scanning Electron Microscopy (SEM), Energy Dispersive X-Ray (EDX) and Fourier Transform Infrared Radiation Spectroscopy (FTIR) were used for characterizing the newly synthesized catalyst. The highest (85%) fatty acid methyl ester yield (FAME) of Prunus Cerasoides D. Don. biodiesel was obtained at optimized transesterification reaction conditions; 5 h of reaction time at 120 °C, 12:1 M ratio of methanol to oil and 4% catalyst loading. Synthesized biodiesel was further characterized via FTIR, Gas Chromatography/Mass spectroscopy (GC/MS), and Nuclear magnetic resonance (NMR (1H, 13C)). Additionally, the determined fuel properties, such as density (0.8612 kg/L), kinematic viscosity (4.11 mm2/s), flash point (73 °C), cloud point (−9 °C) and pour point (−10 °C), of synthesized biodiesel, agreed with International Standards of China GB/T 20828 (2007), American (ASTM-951, 6751) and European Union (EU-14214). Pseudo-first-order kinetics fitted well with the experimental data (R2 = 0.9172). The study findings recommended that the modified montmorillonite clay catalyst is a cleaner, cheaper, and easy to use along with high stability and catalytic performance in the transesterification process.","author":[{"dropping-particle":"","family":"Munir","given":"Mamoona","non-dropping-particle":"","parse-names":false,"suffix":""},{"dropping-particle":"","family":"Ahmad","given":"Mushtaq","non-dropping-particle":"","parse-names":false,"suffix":""},{"dropping-particle":"","family":"Saeed","given":"Muhammad","non-dropping-particle":"","parse-names":false,"suffix":""},{"dropping-particle":"","family":"Waseem","given":"Amir","non-dropping-particle":"","parse-names":false,"suffix":""},{"dropping-particle":"","family":"Rehan","given":"Mohammad","non-dropping-particle":"","parse-names":false,"suffix":""},{"dropping-particle":"","family":"Nizami","given":"Abdul-Sattar","non-dropping-particle":"","parse-names":false,"suffix":""},{"dropping-particle":"","family":"Zafar","given":"Muhammad","non-dropping-particle":"","parse-names":false,"suffix":""},{"dropping-particle":"","family":"Arshad","given":"Muhammad","non-dropping-particle":"","parse-names":false,"suffix":""},{"dropping-particle":"","family":"Sultana","given":"Shazia","non-dropping-particle":"","parse-names":false,"suffix":""}],"container-title":"Renewable and Sustainable Energy Reviews","id":"ITEM-2","issued":{"date-parts":[["2019","7","1"]]},"page":"321-332","publisher":"Pergamon","title":"Sustainable production of bioenergy from novel non-edible seed oil (Prunus cerasoides) using bimetallic impregnated montmorillonite clay catalyst","type":"article-journal","volume":"109"},"uris":["http://www.mendeley.com/documents/?uuid=7974b6b0-9795-3c93-8f1c-13ccc7263427"]}],"mendeley":{"formattedCitation":"[16], [27]","plainTextFormattedCitation":"[16], [27]","previouslyFormattedCitation":"[16], [27]"},"properties":{"noteIndex":0},"schema":"https://github.com/citation-style-language/schema/raw/master/csl-citation.json"}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[16, 27]</w:t>
      </w:r>
      <w:r w:rsidRPr="00672906">
        <w:rPr>
          <w:rFonts w:ascii="Times New Roman" w:hAnsi="Times New Roman"/>
          <w:sz w:val="20"/>
          <w:szCs w:val="20"/>
        </w:rPr>
        <w:fldChar w:fldCharType="end"/>
      </w:r>
      <w:r w:rsidRPr="00672906">
        <w:rPr>
          <w:rFonts w:ascii="Times New Roman" w:hAnsi="Times New Roman"/>
          <w:sz w:val="20"/>
          <w:szCs w:val="20"/>
        </w:rPr>
        <w:t>. Beyond the optimum temperature, the yield decreased to 65.36% because reflux system did not really work to condense the vigorous vaporized methanol. Hence, the methanol took a very short time to contact with oil-catalyst phase before reverted. Thus, little contact between methanol and WCO restricted the complete conversion of WCO. In this case, a closed reactor is required.</w:t>
      </w:r>
    </w:p>
    <w:p w:rsidR="00672906" w:rsidRPr="00672906" w:rsidRDefault="00672906" w:rsidP="00672906">
      <w:pPr>
        <w:spacing w:after="0"/>
        <w:jc w:val="both"/>
        <w:rPr>
          <w:rFonts w:ascii="Times New Roman" w:hAnsi="Times New Roman"/>
          <w:sz w:val="20"/>
          <w:szCs w:val="20"/>
        </w:rPr>
      </w:pPr>
    </w:p>
    <w:p w:rsidR="00672906" w:rsidRPr="00672906" w:rsidRDefault="00672906" w:rsidP="00672906">
      <w:pPr>
        <w:spacing w:after="0"/>
        <w:jc w:val="both"/>
        <w:rPr>
          <w:rFonts w:asciiTheme="majorBidi" w:hAnsiTheme="majorBidi" w:cstheme="majorBidi"/>
          <w:sz w:val="20"/>
          <w:szCs w:val="20"/>
        </w:rPr>
      </w:pPr>
      <w:r w:rsidRPr="00672906">
        <w:rPr>
          <w:rFonts w:asciiTheme="majorBidi" w:hAnsiTheme="majorBidi" w:cstheme="majorBidi"/>
          <w:sz w:val="20"/>
          <w:szCs w:val="20"/>
        </w:rPr>
        <w:t>The effect of reaction time on the activity of 20% Fe-MMT K10</w:t>
      </w:r>
      <w:r w:rsidRPr="00672906">
        <w:rPr>
          <w:rFonts w:asciiTheme="majorBidi" w:hAnsiTheme="majorBidi" w:cstheme="majorBidi"/>
          <w:i/>
          <w:iCs/>
          <w:sz w:val="20"/>
          <w:szCs w:val="20"/>
        </w:rPr>
        <w:t xml:space="preserve"> </w:t>
      </w:r>
      <w:r w:rsidRPr="00672906">
        <w:rPr>
          <w:rFonts w:asciiTheme="majorBidi" w:hAnsiTheme="majorBidi" w:cstheme="majorBidi"/>
          <w:sz w:val="20"/>
          <w:szCs w:val="20"/>
        </w:rPr>
        <w:t xml:space="preserve">was investigated within range 3 to 6 hours at fixed reaction temperature 150 °C, methanol to oil ratio 12:1 and catalyst loading 6 wt.%. At 3 hours reaction time, the biodiesel yield was low (60.24%) due to the incomplete reaction. </w:t>
      </w:r>
      <w:r w:rsidRPr="00672906">
        <w:rPr>
          <w:rFonts w:ascii="Times New Roman" w:hAnsi="Times New Roman"/>
          <w:sz w:val="20"/>
          <w:szCs w:val="20"/>
        </w:rPr>
        <w:t xml:space="preserve">As the reaction time increased to 6 hours, more contact time between reactants and catalyst became available, which led to more frequent collision and reached the optimum period. </w:t>
      </w:r>
      <w:r w:rsidRPr="00672906">
        <w:rPr>
          <w:rFonts w:asciiTheme="majorBidi" w:hAnsiTheme="majorBidi" w:cstheme="majorBidi"/>
          <w:sz w:val="20"/>
          <w:szCs w:val="20"/>
        </w:rPr>
        <w:t xml:space="preserve">A further increase in reaction time beyond optimum condition (6 hours) decreased the biodiesel yield to 74.52%. It was probably due to the reverse transesterification </w:t>
      </w:r>
      <w:r w:rsidRPr="00672906">
        <w:rPr>
          <w:rFonts w:asciiTheme="majorBidi" w:hAnsiTheme="majorBidi" w:cstheme="majorBidi"/>
          <w:sz w:val="20"/>
          <w:szCs w:val="20"/>
        </w:rPr>
        <w:fldChar w:fldCharType="begin" w:fldLock="1"/>
      </w:r>
      <w:r w:rsidRPr="00672906">
        <w:rPr>
          <w:rFonts w:asciiTheme="majorBidi" w:hAnsiTheme="majorBidi" w:cstheme="majorBidi"/>
          <w:sz w:val="20"/>
          <w:szCs w:val="20"/>
        </w:rPr>
        <w:instrText>ADDIN CSL_CITATION {"citationItems":[{"id":"ITEM-1","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Energy","id":"ITEM-1","issued":{"date-parts":[["2016","2"]]},"page":"392-398","title":"Synthesis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[16]","plainTextFormattedCitation":"[16]","previouslyFormattedCitation":"[16]"},"properties":{"noteIndex":0},"schema":"https://github.com/citation-style-language/schema/raw/master/csl-citation.json"}</w:instrText>
      </w:r>
      <w:r w:rsidRPr="00672906">
        <w:rPr>
          <w:rFonts w:asciiTheme="majorBidi" w:hAnsiTheme="majorBidi" w:cstheme="majorBidi"/>
          <w:sz w:val="20"/>
          <w:szCs w:val="20"/>
        </w:rPr>
        <w:fldChar w:fldCharType="separate"/>
      </w:r>
      <w:r w:rsidRPr="00672906">
        <w:rPr>
          <w:rFonts w:asciiTheme="majorBidi" w:hAnsiTheme="majorBidi" w:cstheme="majorBidi"/>
          <w:noProof/>
          <w:sz w:val="20"/>
          <w:szCs w:val="20"/>
        </w:rPr>
        <w:t>[16]</w:t>
      </w:r>
      <w:r w:rsidRPr="00672906">
        <w:rPr>
          <w:rFonts w:asciiTheme="majorBidi" w:hAnsiTheme="majorBidi" w:cstheme="majorBidi"/>
          <w:sz w:val="20"/>
          <w:szCs w:val="20"/>
        </w:rPr>
        <w:fldChar w:fldCharType="end"/>
      </w:r>
      <w:r w:rsidRPr="00672906">
        <w:rPr>
          <w:rFonts w:asciiTheme="majorBidi" w:hAnsiTheme="majorBidi" w:cstheme="majorBidi"/>
          <w:sz w:val="20"/>
          <w:szCs w:val="20"/>
        </w:rPr>
        <w:t>.</w:t>
      </w:r>
    </w:p>
    <w:p w:rsidR="00672906" w:rsidRPr="00672906" w:rsidRDefault="00672906" w:rsidP="00672906">
      <w:pPr>
        <w:spacing w:after="0"/>
        <w:jc w:val="both"/>
        <w:rPr>
          <w:rFonts w:asciiTheme="majorBidi" w:hAnsiTheme="majorBidi" w:cstheme="majorBidi"/>
          <w:sz w:val="20"/>
          <w:szCs w:val="20"/>
        </w:rPr>
      </w:pPr>
    </w:p>
    <w:p w:rsidR="004D335F" w:rsidRDefault="00672906" w:rsidP="00672906">
      <w:pPr>
        <w:spacing w:after="0"/>
        <w:jc w:val="both"/>
        <w:rPr>
          <w:rFonts w:ascii="Times New Roman" w:hAnsi="Times New Roman"/>
          <w:sz w:val="20"/>
          <w:szCs w:val="20"/>
        </w:rPr>
      </w:pPr>
      <w:r w:rsidRPr="00672906">
        <w:rPr>
          <w:rFonts w:ascii="Times New Roman" w:hAnsi="Times New Roman"/>
          <w:sz w:val="20"/>
          <w:szCs w:val="20"/>
        </w:rPr>
        <w:t xml:space="preserve">The concentration of catalyst loading was studied between 2 and 6 wt.% at fixed reaction temperature of 150 °C, reaction time of 6 hours and methanol to oil ratio at 12:1. The results proved that the presence of 4 wt.% catalyst optimized the catalytic activity with 96.49% FAME yield. Below than 4 wt.%, the result showed a partial conversion of WCO by producing only 58.59% biodiesel due to the insufficient amount of catalyst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renene.2015.08.016","ISSN":"09601481","author":[{"dropping-particle":"","family":"Olutoye","given":"M.A.","non-dropping-particle":"","parse-names":false,"suffix":""},{"dropping-particle":"","family":"Wong","given":"S.W.","non-dropping-particle":"","parse-names":false,"suffix":""},{"dropping-particle":"","family":"Chin","given":"L.H.","non-dropping-particle":"","parse-names":false,"suffix":""},{"dropping-particle":"","family":"Amani","given":"H.","non-dropping-particle":"","parse-names":false,"suffix":""},{"dropping-particle":"","family":"Asif","given":"M.","non-dropping-particle":"","parse-names":false,"suffix":""},{"dropping-particle":"","family":"Hameed","given":"B.H.","non-dropping-particle":"","parse-names":false,"suffix":""}],"container-title":"Renewable Energy","id":"ITEM-1","issued":{"date-parts":[["2016","2"]]},"page":"392-398","title":"Synthesis of fatty acid methyl esters via the transesterification of waste cooking oil by methanol with a barium-modified montmorillonite K10 catalyst","type":"article-journal","volume":"86"},"uris":["http://www.mendeley.com/documents/?uuid=52a62304-d5a1-3f7c-a3a4-c895d247fbea"]}],"mendeley":{"formattedCitation":"[16]","plainTextFormattedCitation":"[16]","previouslyFormattedCitation":"[16]"},"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[16]</w:t>
      </w:r>
      <w:r w:rsidRPr="00672906">
        <w:rPr>
          <w:rFonts w:ascii="Times New Roman" w:hAnsi="Times New Roman"/>
          <w:sz w:val="20"/>
          <w:szCs w:val="20"/>
        </w:rPr>
        <w:fldChar w:fldCharType="end"/>
      </w:r>
      <w:r w:rsidRPr="00672906">
        <w:rPr>
          <w:rFonts w:ascii="Times New Roman" w:hAnsi="Times New Roman"/>
          <w:sz w:val="20"/>
          <w:szCs w:val="20"/>
        </w:rPr>
        <w:t xml:space="preserve">. The increasing amount of catalyst increased the surface contact between the catalyst and the reactants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{"citationItems":[{"id":"ITEM-1","itemData":{"DOI":"10.1016/j.apenergy.2015.09.023","ISSN":"03062619","author":[{"dropping-particle":"","family":"Tan","given":"Yie Hua","non-dropping-particle":"","parse-names":false,"suffix":""},{"dropping-particle":"","family":"Abdullah","given":"Mohammad Omar","non-dropping-particle":"","parse-names":false,"suffix":""},{"dropping-particle":"","family":"Nolasco-Hipolito","given":"Cirilo","non-dropping-particle":"","parse-names":false,"suffix":""},{"dropping-particle":"","family":"Taufiq-Yap","given":"Yun Hin","non-dropping-particle":"","parse-names":false,"suffix":""}],"container-title":"Applied Energy","id":"ITEM-1","issued":{"date-parts":[["2015","12"]]},"page":"58-70","title":"Waste ostrich- and chicken-eggshells as heterogeneous base catalyst for biodiesel production from used cooking oil: Catalyst characterization and biodiesel yield performance","type":"article-journal","volume":"160"},"uris":["http://www.mendeley.com/documents/?uuid=fdc77056-6171-347e-a2bd-8df0e8654861"]}],"mendeley":{"formattedCitation":"[31]","plainTextFormattedCitation":"[31]","previouslyFormattedCitation":"[33]"},"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[31]</w:t>
      </w:r>
      <w:r w:rsidRPr="00672906">
        <w:rPr>
          <w:rFonts w:ascii="Times New Roman" w:hAnsi="Times New Roman"/>
          <w:sz w:val="20"/>
          <w:szCs w:val="20"/>
        </w:rPr>
        <w:fldChar w:fldCharType="end"/>
      </w:r>
      <w:r w:rsidRPr="00672906">
        <w:rPr>
          <w:rFonts w:ascii="Times New Roman" w:hAnsi="Times New Roman"/>
          <w:sz w:val="20"/>
          <w:szCs w:val="20"/>
        </w:rPr>
        <w:t xml:space="preserve">. The excess catalyst led to a marked reduction in the product yield (65.20%) due to the viscous reaction medium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enconman.2016.06.071","ISSN":"01968904","author":[{"dropping-particle":"","family":"Maneerung","given":"Thawatchai","non-dropping-particle":"","parse-names":false,"suffix":""},{"dropping-particle":"","family":"Kawi","given":"Sibudjing","non-dropping-particle":"","parse-names":false,"suffix":""},{"dropping-particle":"","family":"Dai","given":"Yanjun","non-dropping-particle":"","parse-names":false,"suffix":""},{"dropping-particle":"","family":"Wang","given":"Chi-Hwa","non-dropping-particle":"","parse-names":false,"suffix":""}],"container-title":"Energy Conversion and Management","id":"ITEM-1","issued":{"date-parts":[["2016","9"]]},"page":"487-497","title":"Sustainable biodiesel production via transesterification of waste cooking oil by using CaO catalysts prepared from chicken manure","type":"article-journal","volume":"123"},"uris":["http://www.mendeley.com/documents/?uuid=b05f028e-f85f-3ab4-bf9a-987a631572ee"]}],"mendeley":{"formattedCitation":"[32]","plainTextFormattedCitation":"[32]","previouslyFormattedCitation":"[34]"},"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[32]</w:t>
      </w:r>
      <w:r w:rsidRPr="00672906">
        <w:rPr>
          <w:rFonts w:ascii="Times New Roman" w:hAnsi="Times New Roman"/>
          <w:sz w:val="20"/>
          <w:szCs w:val="20"/>
        </w:rPr>
        <w:fldChar w:fldCharType="end"/>
      </w:r>
      <w:r w:rsidRPr="00672906">
        <w:rPr>
          <w:rFonts w:ascii="Times New Roman" w:hAnsi="Times New Roman"/>
          <w:sz w:val="20"/>
          <w:szCs w:val="20"/>
        </w:rPr>
        <w:t>. It decreased the interaction between the catalyst and reaction component</w:t>
      </w:r>
      <w:r w:rsidR="008E10E7">
        <w:rPr>
          <w:rFonts w:ascii="Times New Roman" w:hAnsi="Times New Roman"/>
          <w:sz w:val="20"/>
          <w:szCs w:val="20"/>
        </w:rPr>
        <w:t>s</w:t>
      </w:r>
      <w:r w:rsidRPr="00672906">
        <w:rPr>
          <w:rFonts w:ascii="Times New Roman" w:hAnsi="Times New Roman"/>
          <w:sz w:val="20"/>
          <w:szCs w:val="20"/>
        </w:rPr>
        <w:t xml:space="preserve">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{"citationItems":[{"id":"ITEM-1","itemData":{"DOI":"10.1016/J.RENENE.2016.03.017","ISSN":"0960-1481","abstract":"Mixed and ground activated snail shell and kaolin catalysts impregnated with KBr were investigated. The snail shell and kaolin were calcined, mixed, and ground prior to immersion with KBr solution and subsequent activation at 500 °C for 3 h. The precursor and catalysts were characterized by thermal gravimetric analysis, Fourier transform infrared spectroscopy, X-ray diffraction, X-ray photoelectron spectroscopy, scanning electron microscopy, and Brunauer–Emmett–Teller surface area. The catalytic performance of the prepared catalysts was evaluated by transesterification of soybean oil with methanol. The effects of various parameters on biodiesel yield were investigated. A biodiesel yield of 98.5% was achieved using the catalyst prepared by 40% KBr-immersed, mixed, and ground snail shell and kaolin, which were activated at 500 °C. The transesterification conditions were as follows: reaction temperature, 65 °C; reaction time, 2 h; methanol-to-soybean oil molar ratio, 6:1; and catalyst amount (relative to the weight of soybean oil), 2.0 wt%. The solid catalyst could be reused for four times, and biodiesel yield remained over 73.6% for the fourth time.","author":[{"dropping-particle":"","family":"Liu","given":"Hui","non-dropping-particle":"","parse-names":false,"suffix":""},{"dropping-particle":"","family":"Guo","given":"Hong shuang","non-dropping-particle":"","parse-names":false,"suffix":""},{"dropping-particle":"","family":"Wang","given":"Xin jing","non-dropping-particle":"","parse-names":false,"suffix":""},{"dropping-particle":"","family":"Jiang","given":"Jian zhong","non-dropping-particle":"","parse-names":false,"suffix":""},{"dropping-particle":"","family":"Lin","given":"Hualin","non-dropping-particle":"","parse-names":false,"suffix":""},{"dropping-particle":"","family":"Han","given":"Sheng","non-dropping-particle":"","parse-names":false,"suffix":""},{"dropping-particle":"","family":"Pei","given":"Su peng","non-dropping-particle":"","parse-names":false,"suffix":""}],"container-title":"Renewable Energy","id":"ITEM-1","issued":{"date-parts":[["2016","8","1"]]},"page":"648-657","publisher":"Pergamon","title":"Mixed and ground KBr-impregnated calcined snail shell and kaolin as solid base catalysts for biodiesel production","type":"article-journal","volume":"93"},"uris":["http://www.mendeley.com/documents/?uuid=08258ed9-8bfa-3b04-a6de-71156125ca48"]},{"id":"ITEM-2","itemData":{"DOI":"10.1016/j.molliq.2017.03.043","ISSN":"01677322","author":[{"dropping-particle":"","family":"Negm","given":"Nabel A.","non-dropping-particle":"","parse-names":false,"suffix":""},{"dropping-particle":"","family":"Sayed","given":"Galal H.","non-dropping-particle":"","parse-names":false,"suffix":""},{"dropping-particle":"","family":"Yehia","given":"Fatma Z.","non-dropping-particle":"","parse-names":false,"suffix":""},{"dropping-particle":"","family":"Habib","given":"Onsy I.","non-dropping-particle":"","parse-names":false,"suffix":""},{"dropping-particle":"","family":"Mohamed","given":"Eslam A.","non-dropping-particle":"","parse-names":false,"suffix":""}],"container-title":"Journal of Molecular Liquids","id":"ITEM-2","issued":{"date-parts":[["2017","5"]]},"page":"157-163","title":"Biodiesel production from one-step heterogeneous catalyzed process of Castor oil and Jatropha oil using novel sulphonated phenyl silane montmorillonite catalyst","type":"article-journal","volume":"234"},"uris":["http://www.mendeley.com/documents/?uuid=7523af7a-9109-3af3-a0a5-dc934eb725cd"]}],"mendeley":{"formattedCitation":"[33], [34]","plainTextFormattedCitation":"[33], [34]","previouslyFormattedCitation":"[35], [36]"},"properties":{"noteIndex":0},"schema":"https://github.com/citation-style-language/schema/raw/master/csl-citation.json"}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[33, 34]</w:t>
      </w:r>
      <w:r w:rsidRPr="00672906">
        <w:rPr>
          <w:rFonts w:ascii="Times New Roman" w:hAnsi="Times New Roman"/>
          <w:sz w:val="20"/>
          <w:szCs w:val="20"/>
        </w:rPr>
        <w:fldChar w:fldCharType="end"/>
      </w:r>
      <w:r w:rsidR="0057795C">
        <w:rPr>
          <w:rFonts w:ascii="Times New Roman" w:hAnsi="Times New Roman"/>
          <w:sz w:val="20"/>
          <w:szCs w:val="20"/>
        </w:rPr>
        <w:t>.</w:t>
      </w:r>
    </w:p>
    <w:p w:rsidR="004D335F" w:rsidRDefault="004D335F" w:rsidP="004D335F">
      <w:pPr>
        <w:spacing w:after="0"/>
        <w:jc w:val="both"/>
        <w:rPr>
          <w:rFonts w:ascii="Times New Roman" w:hAnsi="Times New Roman"/>
          <w:sz w:val="20"/>
          <w:szCs w:val="20"/>
        </w:rPr>
        <w:sectPr w:rsidR="004D335F" w:rsidSect="0062232A">
          <w:headerReference w:type="even" r:id="rId42"/>
          <w:headerReference w:type="default" r:id="rId43"/>
          <w:footerReference w:type="even" r:id="rId44"/>
          <w:footerReference w:type="default" r:id="rId45"/>
          <w:headerReference w:type="first" r:id="rId46"/>
          <w:type w:val="continuous"/>
          <w:pgSz w:w="12240" w:h="15840" w:code="1"/>
          <w:pgMar w:top="1800" w:right="1469" w:bottom="1699" w:left="1440" w:header="706" w:footer="706" w:gutter="0"/>
          <w:pgNumType w:start="1"/>
          <w:cols w:num="2" w:space="403"/>
          <w:docGrid w:linePitch="360"/>
        </w:sectPr>
      </w:pPr>
    </w:p>
    <w:p w:rsidR="004D335F" w:rsidRDefault="004D335F" w:rsidP="004D335F">
      <w:pPr>
        <w:spacing w:after="0"/>
        <w:jc w:val="both"/>
        <w:rPr>
          <w:rFonts w:ascii="Times New Roman" w:hAnsi="Times New Roman"/>
          <w:sz w:val="20"/>
          <w:szCs w:val="20"/>
        </w:rPr>
      </w:pPr>
      <w:r w:rsidRPr="00672906">
        <w:rPr>
          <w:rFonts w:ascii="Times New Roman" w:hAnsi="Times New Roman"/>
          <w:sz w:val="20"/>
          <w:szCs w:val="20"/>
        </w:rPr>
        <w:lastRenderedPageBreak/>
        <w:t xml:space="preserve">The effect of methanol concentration was investigated by varying the methanol to oil ratio from 8:1 to 16:1 at fixed </w:t>
      </w:r>
      <w:r w:rsidRPr="00672906">
        <w:rPr>
          <w:rFonts w:asciiTheme="majorBidi" w:hAnsiTheme="majorBidi" w:cstheme="majorBidi"/>
          <w:sz w:val="20"/>
          <w:szCs w:val="20"/>
        </w:rPr>
        <w:t xml:space="preserve">reaction temperature 150 °C, reaction period 6 hours and catalyst loading 4 wt.%. </w:t>
      </w:r>
      <w:r w:rsidRPr="00672906">
        <w:rPr>
          <w:rFonts w:ascii="Times New Roman" w:hAnsi="Times New Roman"/>
          <w:sz w:val="20"/>
          <w:szCs w:val="20"/>
        </w:rPr>
        <w:t xml:space="preserve">Methanol to oil ratio of 12:1 showed the optimum amount for the reaction with WCO. Below than 12:1 led to incomplete conversion even after 6 hours of reaction as part of methanol was dissolved by glycerol by product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supflu.2013.01.011","ISSN":"08968446","author":[{"dropping-particle":"","family":"Ghoreishi","given":"S.M.","non-dropping-particle":"","parse-names":false,"suffix":""},{"dropping-particle":"","family":"Moein","given":"P.","non-dropping-particle":"","parse-names":false,"suffix":""}],"container-title":"The Journal of Supercritical Fluids","id":"ITEM-1","issued":{"date-parts":[["2013","4"]]},"page":"24-31","title":"Biodiesel synthesis from waste vegetable oil via transesterification reaction in supercritical methanol","type":"article-journal","volume":"76"},"uris":["http://www.mendeley.com/documents/?uuid=c331ed7a-13f0-3632-a1ca-d1fadaf9c850"]}],"mendeley":{"formattedCitation":"[35]","plainTextFormattedCitation":"[35]","previouslyFormattedCitation":"[37]"},"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[35]</w:t>
      </w:r>
      <w:r w:rsidRPr="00672906">
        <w:rPr>
          <w:rFonts w:ascii="Times New Roman" w:hAnsi="Times New Roman"/>
          <w:sz w:val="20"/>
          <w:szCs w:val="20"/>
        </w:rPr>
        <w:fldChar w:fldCharType="end"/>
      </w:r>
      <w:r w:rsidRPr="00672906">
        <w:rPr>
          <w:rFonts w:ascii="Times New Roman" w:hAnsi="Times New Roman"/>
          <w:sz w:val="20"/>
          <w:szCs w:val="20"/>
        </w:rPr>
        <w:t xml:space="preserve">, thus produced lower biodiesel (59.51%) compared to the optimum condition. Meanwhile, beyond the limit, the biodiesel yield reduced to 66.13%. This is because </w:t>
      </w:r>
      <w:r w:rsidRPr="00672906">
        <w:rPr>
          <w:rFonts w:ascii="Times New Roman" w:hAnsi="Times New Roman"/>
          <w:sz w:val="20"/>
          <w:szCs w:val="20"/>
        </w:rPr>
        <w:lastRenderedPageBreak/>
        <w:t xml:space="preserve">the catalyst started to degrade due to the leaching of active components from the catalyst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{"citationItems":[{"id":"ITEM-1","itemData":{"DOI":"10.1007/BF03326210","ISSN":"1735-1472","author":[{"dropping-particle":"","family":"Refaat","given":"A. A.","non-dropping-particle":"","parse-names":false,"suffix":""}],"container-title":"International Journal of Environmental Science &amp; Technology","id":"ITEM-1","issue":"1","issued":{"date-parts":[["2011","12","1"]]},"page":"203-221","publisher":"Springer-Verlag","title":"Biodiesel production using solid metal oxide catalysts","type":"article-journal","volume":"8"},"uris":["http://www.mendeley.com/documents/?uuid=debb3d90-28ed-3f94-a881-6ac9dc982b76"]}],"mendeley":{"formattedCitation":"[36]","plainTextFormattedCitation":"[36]","previouslyFormattedCitation":"[38]"},"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[36]</w:t>
      </w:r>
      <w:r w:rsidRPr="00672906">
        <w:rPr>
          <w:rFonts w:ascii="Times New Roman" w:hAnsi="Times New Roman"/>
          <w:sz w:val="20"/>
          <w:szCs w:val="20"/>
        </w:rPr>
        <w:fldChar w:fldCharType="end"/>
      </w:r>
      <w:r w:rsidRPr="00672906">
        <w:rPr>
          <w:rFonts w:ascii="Times New Roman" w:hAnsi="Times New Roman"/>
          <w:sz w:val="20"/>
          <w:szCs w:val="20"/>
        </w:rPr>
        <w:t xml:space="preserve">. The absence of active components on the catalyst caused the catalyst inactivation to complete the reaction. However, the problem could be overcome by increasing the amount of catalyst, so it would be sufficient enough to enhance the activity of excess methanol with WCO towards biodiesel production </w:t>
      </w:r>
      <w:r w:rsidRPr="00672906">
        <w:rPr>
          <w:rFonts w:ascii="Times New Roman" w:hAnsi="Times New Roman"/>
          <w:sz w:val="20"/>
          <w:szCs w:val="20"/>
        </w:rPr>
        <w:fldChar w:fldCharType="begin" w:fldLock="1"/>
      </w:r>
      <w:r w:rsidRPr="00672906">
        <w:rPr>
          <w:rFonts w:ascii="Times New Roman" w:hAnsi="Times New Roman"/>
          <w:sz w:val="20"/>
          <w:szCs w:val="20"/>
        </w:rPr>
        <w:instrText>ADDIN CSL_CITATION {"citationItems":[{"id":"ITEM-1","itemData":{"DOI":"10.1016/j.fuel.2007.04.013","ISSN":"00162361","author":[{"dropping-particle":"","family":"Liu","given":"Xuejun","non-dropping-particle":"","parse-names":false,"suffix":""},{"dropping-particle":"","family":"He","given":"Huayang","non-dropping-particle":"","parse-names":false,"suffix":""},{"dropping-particle":"","family":"Wang","given":"Yujun","non-dropping-particle":"","parse-names":false,"suffix":""},{"dropping-particle":"","family":"Zhu","given":"Shenlin","non-dropping-particle":"","parse-names":false,"suffix":""},{"dropping-particle":"","family":"Piao","given":"Xianglan","non-dropping-particle":"","parse-names":false,"suffix":""}],"container-title":"Fuel","id":"ITEM-1","issue":"2","issued":{"date-parts":[["2008","2"]]},"page":"216-221","title":"Transesterification of soybean oil to biodiesel using CaO as a solid base catalyst","type":"article-journal","volume":"87"},"uris":["http://www.mendeley.com/documents/?uuid=cc737167-0180-3fce-a143-36fb8673dd62"]}],"mendeley":{"formattedCitation":"[37]","plainTextFormattedCitation":"[37]","previouslyFormattedCitation":"[39]"},"properties":{"noteIndex":0},"schema":"https://github.com/citation-style-language/schema/raw/master/csl-citation.json"}</w:instrText>
      </w:r>
      <w:r w:rsidRPr="00672906">
        <w:rPr>
          <w:rFonts w:ascii="Times New Roman" w:hAnsi="Times New Roman"/>
          <w:sz w:val="20"/>
          <w:szCs w:val="20"/>
        </w:rPr>
        <w:fldChar w:fldCharType="separate"/>
      </w:r>
      <w:r w:rsidRPr="00672906">
        <w:rPr>
          <w:rFonts w:ascii="Times New Roman" w:hAnsi="Times New Roman"/>
          <w:noProof/>
          <w:sz w:val="20"/>
          <w:szCs w:val="20"/>
        </w:rPr>
        <w:t>[37]</w:t>
      </w:r>
      <w:r w:rsidRPr="00672906">
        <w:rPr>
          <w:rFonts w:ascii="Times New Roman" w:hAnsi="Times New Roman"/>
          <w:sz w:val="20"/>
          <w:szCs w:val="20"/>
        </w:rPr>
        <w:fldChar w:fldCharType="end"/>
      </w:r>
      <w:r w:rsidRPr="00672906">
        <w:rPr>
          <w:rFonts w:ascii="Times New Roman" w:hAnsi="Times New Roman"/>
          <w:sz w:val="20"/>
          <w:szCs w:val="20"/>
        </w:rPr>
        <w:t xml:space="preserve">. </w:t>
      </w:r>
    </w:p>
    <w:p w:rsidR="004D335F" w:rsidRDefault="004D335F" w:rsidP="004D335F">
      <w:pPr>
        <w:spacing w:after="0"/>
        <w:jc w:val="both"/>
        <w:rPr>
          <w:rFonts w:ascii="Times New Roman" w:hAnsi="Times New Roman"/>
          <w:sz w:val="20"/>
          <w:szCs w:val="20"/>
        </w:rPr>
      </w:pPr>
    </w:p>
    <w:p w:rsidR="004D335F" w:rsidRDefault="004D335F" w:rsidP="004D335F">
      <w:pPr>
        <w:spacing w:after="0"/>
        <w:jc w:val="both"/>
        <w:rPr>
          <w:rFonts w:ascii="Times New Roman" w:hAnsi="Times New Roman"/>
          <w:sz w:val="20"/>
          <w:szCs w:val="20"/>
        </w:rPr>
      </w:pPr>
    </w:p>
    <w:p w:rsidR="00672906" w:rsidRPr="008566E5" w:rsidRDefault="00672906" w:rsidP="008566E5">
      <w:pPr>
        <w:spacing w:after="0"/>
        <w:jc w:val="both"/>
        <w:rPr>
          <w:rFonts w:asciiTheme="majorBidi" w:hAnsiTheme="majorBidi" w:cstheme="majorBidi"/>
          <w:sz w:val="20"/>
          <w:szCs w:val="20"/>
        </w:rPr>
        <w:sectPr w:rsidR="00672906" w:rsidRPr="008566E5" w:rsidSect="009A06E2">
          <w:headerReference w:type="even" r:id="rId47"/>
          <w:headerReference w:type="default" r:id="rId48"/>
          <w:footerReference w:type="even" r:id="rId49"/>
          <w:headerReference w:type="first" r:id="rId50"/>
          <w:type w:val="evenPage"/>
          <w:pgSz w:w="12240" w:h="15840" w:code="1"/>
          <w:pgMar w:top="1800" w:right="1469" w:bottom="1699" w:left="1440" w:header="706" w:footer="706" w:gutter="0"/>
          <w:pgNumType w:start="1"/>
          <w:cols w:num="2" w:space="403"/>
          <w:docGrid w:linePitch="360"/>
        </w:sectPr>
      </w:pPr>
    </w:p>
    <w:p w:rsidR="00C34C71" w:rsidRDefault="00C34C71" w:rsidP="00C34C71">
      <w:pPr>
        <w:spacing w:after="120"/>
        <w:jc w:val="both"/>
        <w:outlineLvl w:val="0"/>
        <w:rPr>
          <w:rFonts w:ascii="Times New Roman" w:hAnsi="Times New Roman"/>
          <w:b/>
          <w:bCs/>
          <w:sz w:val="20"/>
          <w:szCs w:val="20"/>
        </w:rPr>
      </w:pPr>
    </w:p>
    <w:p w:rsidR="00CE0E6C" w:rsidRDefault="00E332A9" w:rsidP="006D79AF">
      <w:pPr>
        <w:spacing w:after="120"/>
        <w:jc w:val="center"/>
        <w:outlineLvl w:val="0"/>
        <w:rPr>
          <w:rFonts w:ascii="Times New Roman" w:hAnsi="Times New Roman"/>
          <w:b/>
          <w:bCs/>
          <w:sz w:val="20"/>
          <w:szCs w:val="20"/>
        </w:rPr>
      </w:pPr>
      <w:r>
        <w:rPr>
          <w:rFonts w:ascii="Times New Roman" w:hAnsi="Times New Roman"/>
          <w:b/>
          <w:bCs/>
          <w:noProof/>
          <w:szCs w:val="20"/>
          <w:lang w:val="en-MY" w:eastAsia="en-MY" w:bidi="ar-SA"/>
        </w:rPr>
        <mc:AlternateContent>
          <mc:Choice Requires="wps">
            <w:drawing>
              <wp:anchor distT="0" distB="0" distL="114300" distR="114300" simplePos="0" relativeHeight="251695104" behindDoc="0" locked="0" layoutInCell="1" allowOverlap="1" wp14:anchorId="15F4B9F5" wp14:editId="688EB428">
                <wp:simplePos x="0" y="0"/>
                <wp:positionH relativeFrom="column">
                  <wp:posOffset>3076575</wp:posOffset>
                </wp:positionH>
                <wp:positionV relativeFrom="paragraph">
                  <wp:posOffset>1194435</wp:posOffset>
                </wp:positionV>
                <wp:extent cx="1133475" cy="20002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11334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242.25pt;margin-top:94.05pt;width:89.25pt;height:15.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E9kgIAAIYFAAAOAAAAZHJzL2Uyb0RvYy54bWysVE1v2zAMvQ/YfxB0Xx3nY92COkWQosOA&#10;oi3aDj0rshQLkEVNUuJkv36U5DhtV+ww7CKLIvlIPpO8uNy3muyE8wpMRcuzESXCcKiV2VT0x9P1&#10;py+U+MBMzTQYUdGD8PRy8fHDRWfnYgwN6Fo4giDGzztb0SYEOy8KzxvRMn8GVhhUSnAtCyi6TVE7&#10;1iF6q4vxaPS56MDV1gEX3uPrVVbSRcKXUvBwJ6UXgeiKYm4hnS6d63gWiws23zhmG8X7NNg/ZNEy&#10;ZTDoAHXFAiNbp/6AahV34EGGMw5tAVIqLlINWE05elPNY8OsSLUgOd4ONPn/B8tvd/eOqLqiE6TH&#10;sBb/0QOyxsxGC4JvSFBn/RztHu296yWP11jtXro2frEOsk+kHgZSxT4Qjo9lOZlMz2eUcNThLxuN&#10;ZxG0OHlb58M3AS2Jl4o6DJ+4ZLsbH7Lp0SQG86BVfa20TkJsFLHSjuwY/uL1puzBX1lpE20NRK8M&#10;GF+KWFguJd3CQYtop82DkMgJJj9OiaRuPAVhnAsTyqxqWC1y7BnWlvjC0gaPVGgCjMgS4w/YPcDr&#10;Ao7YOcvePrqK1MyD8+hviWXnwSNFBhMG51YZcO8BaKyqj5ztjyRlaiJLa6gP2DEO8ih5y68V/rYb&#10;5sM9czg72Ea4D8IdHlJDV1Hob5Q04H699x7tsaVRS0mHs1hR/3PLnKBEfzfY7F/L6TQObxKms/Mx&#10;Cu6lZv1SY7btCrAXStw8lqdrtA/6eJUO2mdcG8sYFVXMcIxdUR7cUViFvCNw8XCxXCYzHFjLwo15&#10;tDyCR1ZjWz7tn5mzfe8G7PpbOM4tm79p4WwbPQ0stwGkSv194rXnG4c9NU6/mOI2eSknq9P6XPwG&#10;AAD//wMAUEsDBBQABgAIAAAAIQANN0M14AAAAAsBAAAPAAAAZHJzL2Rvd25yZXYueG1sTI9BT4NA&#10;EIXvJv6HzZh4swttoYgsjTHaqDereN6yIxDZWWSXFv+940mPk/flzfeK7Wx7ccTRd44UxIsIBFLt&#10;TEeNgrfXh6sMhA+ajO4doYJv9LAtz88KnRt3ohc87kMjuIR8rhW0IQy5lL5u0Wq/cAMSZx9utDrw&#10;OTbSjPrE5baXyyhKpdUd8YdWD3jXYv25n6yCKdk83c/vX7tVFVWb56pPHsNuUOryYr69ARFwDn8w&#10;/OqzOpTsdHATGS96BetsnTDKQZbFIJhI0xWvOyhYxtcpyLKQ/zeUPwAAAP//AwBQSwECLQAUAAYA&#10;CAAAACEAtoM4kv4AAADhAQAAEwAAAAAAAAAAAAAAAAAAAAAAW0NvbnRlbnRfVHlwZXNdLnhtbFBL&#10;AQItABQABgAIAAAAIQA4/SH/1gAAAJQBAAALAAAAAAAAAAAAAAAAAC8BAABfcmVscy8ucmVsc1BL&#10;AQItABQABgAIAAAAIQCe5nE9kgIAAIYFAAAOAAAAAAAAAAAAAAAAAC4CAABkcnMvZTJvRG9jLnht&#10;bFBLAQItABQABgAIAAAAIQANN0M14AAAAAsBAAAPAAAAAAAAAAAAAAAAAOwEAABkcnMvZG93bnJl&#10;di54bWxQSwUGAAAAAAQABADzAAAA+QUAAAAA&#10;" fillcolor="white [3212]" stroked="f" strokeweight="2pt"/>
            </w:pict>
          </mc:Fallback>
        </mc:AlternateContent>
      </w:r>
      <w:r>
        <w:rPr>
          <w:rFonts w:ascii="Times New Roman" w:hAnsi="Times New Roman"/>
          <w:b/>
          <w:bCs/>
          <w:noProof/>
          <w:szCs w:val="20"/>
          <w:lang w:val="en-MY" w:eastAsia="en-MY" w:bidi="ar-SA"/>
        </w:rPr>
        <mc:AlternateContent>
          <mc:Choice Requires="wps">
            <w:drawing>
              <wp:anchor distT="0" distB="0" distL="114300" distR="114300" simplePos="0" relativeHeight="251693056" behindDoc="0" locked="0" layoutInCell="1" allowOverlap="1" wp14:anchorId="45A25FA9" wp14:editId="013CBD46">
                <wp:simplePos x="0" y="0"/>
                <wp:positionH relativeFrom="column">
                  <wp:posOffset>3028950</wp:posOffset>
                </wp:positionH>
                <wp:positionV relativeFrom="paragraph">
                  <wp:posOffset>1708785</wp:posOffset>
                </wp:positionV>
                <wp:extent cx="1133475" cy="20002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11334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38.5pt;margin-top:134.55pt;width:89.25pt;height:15.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1zkwIAAIYFAAAOAAAAZHJzL2Uyb0RvYy54bWysVFFPGzEMfp+0/xDlfVyvtMAqrqgCMU1C&#10;UAETz2ku6Z2UxFmS9tr9+jnJ9QoM7WHaSy6O7c/2d7Yvr3Zaka1wvgVT0fJkRIkwHOrWrCv64/n2&#10;ywUlPjBTMwVGVHQvPL2af/502dmZGEMDqhaOIIjxs85WtAnBzorC80Zo5k/ACoNKCU6zgKJbF7Vj&#10;HaJrVYxHo7OiA1dbB1x4j683WUnnCV9KwcODlF4EoiqKuYV0unSu4lnML9ls7ZhtWt6nwf4hC81a&#10;g0EHqBsWGNm49g8o3XIHHmQ44aALkLLlItWA1ZSjd9U8NcyKVAuS4+1Ak/9/sPx+u3SkrSs6PqPE&#10;MI3/6BFZY2atBME3JKizfoZ2T3bpesnjNVa7k07HL9ZBdonU/UCq2AXC8bEsT08n51NKOOrwl43G&#10;0whaHL2t8+GbAE3ipaIOwycu2fbOh2x6MInBPKi2vm2VSkJsFHGtHNky/MWrddmDv7FSJtoaiF4Z&#10;ML4UsbBcSrqFvRLRTplHIZETTH6cEkndeAzCOBcmlFnVsFrk2FOsLTUUljZ4pEITYESWGH/A7gHe&#10;FnDAzln29tFVpGYenEd/Syw7Dx4pMpgwOOvWgPsIQGFVfeRsfyApUxNZWkG9x45xkEfJW37b4m+7&#10;Yz4smcPZwSnDfRAe8JAKuopCf6OkAffro/dojy2NWko6nMWK+p8b5gQl6rvBZv9aTiZxeJMwmZ6P&#10;UXCvNavXGrPR14C9UOLmsTxdo31Qh6t0oF9wbSxiVFQxwzF2RXlwB+E65B2Bi4eLxSKZ4cBaFu7M&#10;k+URPLIa2/J598Kc7Xs3YNffw2Fu2exdC2fb6GlgsQkg29TfR157vnHYU+P0iyluk9dysjquz/lv&#10;AAAA//8DAFBLAwQUAAYACAAAACEAnez5M+AAAAALAQAADwAAAGRycy9kb3ducmV2LnhtbEyPT0+D&#10;QBTE7yZ+h80z8WaXtgKKPBpjtFFvVvG8ZZ9A3D/ILi1+e58nPU5mMvObcjNbIw40ht47hOUiAUGu&#10;8bp3LcLb68PFFYgQldPKeEcI3xRgU52elKrQ/uhe6LCLreASFwqF0MU4FFKGpiOrwsIP5Nj78KNV&#10;keXYSj2qI5dbI1dJkkmrescLnRrorqPmczdZhCnNn+7n96/tuk7q/Lk26WPcDojnZ/PtDYhIc/wL&#10;wy8+o0PFTHs/OR2EQbjMc/4SEVbZ9RIEJ7I0TUHsEdY8DLIq5f8P1Q8AAAD//wMAUEsBAi0AFAAG&#10;AAgAAAAhALaDOJL+AAAA4QEAABMAAAAAAAAAAAAAAAAAAAAAAFtDb250ZW50X1R5cGVzXS54bWxQ&#10;SwECLQAUAAYACAAAACEAOP0h/9YAAACUAQAACwAAAAAAAAAAAAAAAAAvAQAAX3JlbHMvLnJlbHNQ&#10;SwECLQAUAAYACAAAACEAGZudc5MCAACGBQAADgAAAAAAAAAAAAAAAAAuAgAAZHJzL2Uyb0RvYy54&#10;bWxQSwECLQAUAAYACAAAACEAnez5M+AAAAALAQAADwAAAAAAAAAAAAAAAADtBAAAZHJzL2Rvd25y&#10;ZXYueG1sUEsFBgAAAAAEAAQA8wAAAPoFAAAAAA==&#10;" fillcolor="white [3212]" stroked="f" strokeweight="2pt"/>
            </w:pict>
          </mc:Fallback>
        </mc:AlternateContent>
      </w:r>
      <w:r w:rsidR="00B61133">
        <w:rPr>
          <w:rFonts w:ascii="Times New Roman" w:hAnsi="Times New Roman"/>
          <w:b/>
          <w:bCs/>
          <w:noProof/>
          <w:sz w:val="20"/>
          <w:szCs w:val="20"/>
          <w:lang w:val="en-MY" w:eastAsia="en-MY" w:bidi="ar-SA"/>
        </w:rPr>
        <w:drawing>
          <wp:inline distT="0" distB="0" distL="0" distR="0">
            <wp:extent cx="4612006" cy="3291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_3_10-3.png"/>
                    <pic:cNvPicPr/>
                  </pic:nvPicPr>
                  <pic:blipFill>
                    <a:blip r:embed="rId51">
                      <a:extLst>
                        <a:ext uri="{28A0092B-C50C-407E-A947-70E740481C1C}">
                          <a14:useLocalDpi xmlns:a14="http://schemas.microsoft.com/office/drawing/2010/main" val="0"/>
                        </a:ext>
                      </a:extLst>
                    </a:blip>
                    <a:stretch>
                      <a:fillRect/>
                    </a:stretch>
                  </pic:blipFill>
                  <pic:spPr>
                    <a:xfrm>
                      <a:off x="0" y="0"/>
                      <a:ext cx="4612006" cy="3291840"/>
                    </a:xfrm>
                    <a:prstGeom prst="rect">
                      <a:avLst/>
                    </a:prstGeom>
                  </pic:spPr>
                </pic:pic>
              </a:graphicData>
            </a:graphic>
          </wp:inline>
        </w:drawing>
      </w:r>
    </w:p>
    <w:p w:rsidR="00CE0E6C" w:rsidRPr="00C34C71" w:rsidRDefault="006D79AF" w:rsidP="00C34C71">
      <w:pPr>
        <w:spacing w:after="0"/>
        <w:ind w:right="173"/>
        <w:jc w:val="center"/>
        <w:outlineLvl w:val="0"/>
        <w:rPr>
          <w:rFonts w:ascii="Times New Roman" w:hAnsi="Times New Roman"/>
          <w:sz w:val="20"/>
          <w:szCs w:val="20"/>
        </w:rPr>
      </w:pPr>
      <w:r w:rsidRPr="006D79AF">
        <w:rPr>
          <w:rFonts w:ascii="Times New Roman" w:hAnsi="Times New Roman"/>
          <w:sz w:val="20"/>
          <w:szCs w:val="20"/>
        </w:rPr>
        <w:t xml:space="preserve">Figure 3. </w:t>
      </w:r>
      <w:r w:rsidR="00207A6D">
        <w:rPr>
          <w:rFonts w:ascii="Times New Roman" w:hAnsi="Times New Roman"/>
          <w:sz w:val="20"/>
          <w:szCs w:val="20"/>
        </w:rPr>
        <w:t xml:space="preserve"> </w:t>
      </w:r>
      <w:r w:rsidRPr="006D79AF">
        <w:rPr>
          <w:rFonts w:ascii="Times New Roman" w:hAnsi="Times New Roman"/>
          <w:sz w:val="20"/>
          <w:szCs w:val="20"/>
        </w:rPr>
        <w:t>XRD patterns of montmorillonite K10 and its modified samples</w:t>
      </w:r>
    </w:p>
    <w:p w:rsidR="006D79AF" w:rsidRDefault="006D79AF" w:rsidP="00C34C71">
      <w:pPr>
        <w:spacing w:after="120"/>
        <w:jc w:val="both"/>
        <w:rPr>
          <w:rFonts w:asciiTheme="majorBidi" w:hAnsiTheme="majorBidi" w:cstheme="majorBidi"/>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2387"/>
        <w:gridCol w:w="2387"/>
        <w:gridCol w:w="2387"/>
      </w:tblGrid>
      <w:tr w:rsidR="001E501A" w:rsidRPr="002615CE" w:rsidTr="001E501A">
        <w:tc>
          <w:tcPr>
            <w:tcW w:w="2386" w:type="dxa"/>
          </w:tcPr>
          <w:p w:rsidR="001E501A" w:rsidRPr="002615CE" w:rsidRDefault="001E501A" w:rsidP="00036EA5">
            <w:pPr>
              <w:rPr>
                <w:rFonts w:asciiTheme="majorBidi" w:hAnsiTheme="majorBidi" w:cstheme="majorBidi"/>
                <w:szCs w:val="20"/>
              </w:rPr>
            </w:pPr>
            <w:r w:rsidRPr="002615CE">
              <w:rPr>
                <w:rFonts w:asciiTheme="majorBidi" w:hAnsiTheme="majorBidi" w:cstheme="majorBidi"/>
                <w:noProof/>
                <w:sz w:val="24"/>
                <w:szCs w:val="24"/>
                <w:lang w:val="en-MY" w:eastAsia="en-MY" w:bidi="ar-SA"/>
              </w:rPr>
              <mc:AlternateContent>
                <mc:Choice Requires="wps">
                  <w:drawing>
                    <wp:anchor distT="0" distB="0" distL="114300" distR="114300" simplePos="0" relativeHeight="251676672" behindDoc="0" locked="0" layoutInCell="1" allowOverlap="1" wp14:anchorId="155E1B8F" wp14:editId="5653F213">
                      <wp:simplePos x="0" y="0"/>
                      <wp:positionH relativeFrom="column">
                        <wp:posOffset>-5918</wp:posOffset>
                      </wp:positionH>
                      <wp:positionV relativeFrom="paragraph">
                        <wp:posOffset>7823</wp:posOffset>
                      </wp:positionV>
                      <wp:extent cx="402336" cy="333375"/>
                      <wp:effectExtent l="0" t="0" r="0" b="0"/>
                      <wp:wrapNone/>
                      <wp:docPr id="1" name="Rectangle 1"/>
                      <wp:cNvGraphicFramePr/>
                      <a:graphic xmlns:a="http://schemas.openxmlformats.org/drawingml/2006/main">
                        <a:graphicData uri="http://schemas.microsoft.com/office/word/2010/wordprocessingShape">
                          <wps:wsp>
                            <wps:cNvSpPr/>
                            <wps:spPr>
                              <a:xfrm>
                                <a:off x="0" y="0"/>
                                <a:ext cx="402336"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31" style="position:absolute;margin-left:-.45pt;margin-top:.6pt;width:31.7pt;height:26.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N1cwIAAD4FAAAOAAAAZHJzL2Uyb0RvYy54bWysVEtPGzEQvlfqf7B8L5uEAGXFBkUgqkoI&#10;IqDi7HjtZFWvxx072U1/fcfeB5SiHqruwWt7vnl/44vLtjZsr9BXYAs+PZpwpqyEsrKbgn97uvn0&#10;mTMfhC2FAasKflCeXy4+frhoXK5msAVTKmRkxPq8cQXfhuDyLPNyq2rhj8ApS0INWItAR9xkJYqG&#10;rNcmm00mp1kDWDoEqbyn2+tOyBfJvtZKhnutvQrMFJxiC2nFtK7jmi0uRL5B4baV7MMQ/xBFLSpL&#10;TkdT1yIItsPqD1N1JRE86HAkoc5A60qqlANlM528yeZxK5xKuVBxvBvL5P+fWXm3XyGrSuodZ1bU&#10;1KIHKpqwG6PYNJancT4n1KNbYX/ytI25thrr+KcsWJtKehhLqtrAJF3OJ7Pj41POJImO6Ts7iTaz&#10;F2WHPnxRULO4KTiS81RIsb/1oYMOkOjLwk1lDN2L3NjfLshmvMlivF2EaRcORnXoB6UpUYpplhwk&#10;iqkrg2wviBzl95RtskLIqKLJ06g0fU/JhEGpx0Y1lWg3Kk7eU3zxNqKTR7BhVKwrC/h3Zd3hh6y7&#10;XGPaoV23qavnQwvXUB6o0wjdCHgnbyqq+K3wYSWQOE/TQXMc7mnRBpqCQ7/jbAv48737iCcqkpSz&#10;hmao4P7HTqDizHy1RNLz6Xwehy4d5idnMzrga8n6tcTu6iugThARKbq0jfhghq1GqJ9p3JfRK4mE&#10;leS74DLgcLgK3WzTgyHVcplgNGhOhFv76GQ0HuscGfXUPgt0Pe0C8fUOhnkT+Rv2ddioaWG5C6Cr&#10;RM1Y6a6ufQdoSBO5+wclvgKvzwn18uwtfgEAAP//AwBQSwMEFAAGAAgAAAAhADh50QbbAAAABQEA&#10;AA8AAABkcnMvZG93bnJldi54bWxMjs1Og0AUhfcmfYfJbeKuHURbFRkaYrRJlxaTpruBuQLK3CHM&#10;lNK397qqy/OTc750M9lOjDj41pGCu2UEAqlypqVawWfxvngC4YMmoztHqOCCHjbZ7CbViXFn+sBx&#10;H2rBI+QTraAJoU+k9FWDVvul65E4+3KD1YHlUEsz6DOP207GUbSWVrfED43u8bXB6md/sgp8Oe6K&#10;S58fvo++KvM3ssXDbqvU7XzKX0AEnMK1DH/4jA4ZM5XuRMaLTsHimYtsxyA4XccrEKWC1f0jyCyV&#10;/+mzXwAAAP//AwBQSwECLQAUAAYACAAAACEAtoM4kv4AAADhAQAAEwAAAAAAAAAAAAAAAAAAAAAA&#10;W0NvbnRlbnRfVHlwZXNdLnhtbFBLAQItABQABgAIAAAAIQA4/SH/1gAAAJQBAAALAAAAAAAAAAAA&#10;AAAAAC8BAABfcmVscy8ucmVsc1BLAQItABQABgAIAAAAIQAUSxN1cwIAAD4FAAAOAAAAAAAAAAAA&#10;AAAAAC4CAABkcnMvZTJvRG9jLnhtbFBLAQItABQABgAIAAAAIQA4edEG2wAAAAUBAAAPAAAAAAAA&#10;AAAAAAAAAM0EAABkcnMvZG93bnJldi54bWxQSwUGAAAAAAQABADzAAAA1QUAAAAA&#10;" filled="f" stroked="f" strokeweight="2pt">
                      <v:textbo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(a)</w:t>
                            </w:r>
                          </w:p>
                        </w:txbxContent>
                      </v:textbox>
                    </v:rect>
                  </w:pict>
                </mc:Fallback>
              </mc:AlternateContent>
            </w:r>
            <w:r w:rsidRPr="002615CE">
              <w:rPr>
                <w:rFonts w:asciiTheme="majorBidi" w:hAnsiTheme="majorBidi" w:cstheme="majorBidi"/>
                <w:noProof/>
                <w:sz w:val="24"/>
                <w:szCs w:val="24"/>
                <w:lang w:val="en-MY" w:eastAsia="en-MY" w:bidi="ar-SA"/>
              </w:rPr>
              <w:drawing>
                <wp:inline distT="0" distB="0" distL="0" distR="0" wp14:anchorId="6D7A946C" wp14:editId="129CE50E">
                  <wp:extent cx="1440000" cy="1080000"/>
                  <wp:effectExtent l="0" t="0" r="8255"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MMT K10_m0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387" w:type="dxa"/>
          </w:tcPr>
          <w:p w:rsidR="001E501A" w:rsidRPr="002615CE" w:rsidRDefault="001E501A" w:rsidP="00036EA5">
            <w:pPr>
              <w:rPr>
                <w:rFonts w:asciiTheme="majorBidi" w:hAnsiTheme="majorBidi" w:cstheme="majorBidi"/>
                <w:szCs w:val="20"/>
              </w:rPr>
            </w:pPr>
            <w:r w:rsidRPr="002615CE">
              <w:rPr>
                <w:rFonts w:asciiTheme="majorBidi" w:hAnsiTheme="majorBidi" w:cstheme="majorBidi"/>
                <w:noProof/>
                <w:sz w:val="24"/>
                <w:szCs w:val="24"/>
                <w:lang w:val="en-MY" w:eastAsia="en-MY" w:bidi="ar-SA"/>
              </w:rPr>
              <mc:AlternateContent>
                <mc:Choice Requires="wps">
                  <w:drawing>
                    <wp:anchor distT="0" distB="0" distL="114300" distR="114300" simplePos="0" relativeHeight="251677696" behindDoc="0" locked="0" layoutInCell="1" allowOverlap="1" wp14:anchorId="280BFA44" wp14:editId="6E8CD4AC">
                      <wp:simplePos x="0" y="0"/>
                      <wp:positionH relativeFrom="column">
                        <wp:posOffset>11201</wp:posOffset>
                      </wp:positionH>
                      <wp:positionV relativeFrom="paragraph">
                        <wp:posOffset>15138</wp:posOffset>
                      </wp:positionV>
                      <wp:extent cx="380391" cy="333375"/>
                      <wp:effectExtent l="0" t="0" r="0" b="0"/>
                      <wp:wrapNone/>
                      <wp:docPr id="13" name="Rectangle 13"/>
                      <wp:cNvGraphicFramePr/>
                      <a:graphic xmlns:a="http://schemas.openxmlformats.org/drawingml/2006/main">
                        <a:graphicData uri="http://schemas.microsoft.com/office/word/2010/wordprocessingShape">
                          <wps:wsp>
                            <wps:cNvSpPr/>
                            <wps:spPr>
                              <a:xfrm>
                                <a:off x="0" y="0"/>
                                <a:ext cx="380391"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32" style="position:absolute;margin-left:.9pt;margin-top:1.2pt;width:29.95pt;height:26.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8zdAIAAEEFAAAOAAAAZHJzL2Uyb0RvYy54bWysVN1P2zAQf5+0/8Hy+0g/YEBEiqoipkkI&#10;EDDx7Dp2G83xeWe3SffX7+ykacfQHqblwbHvfvfp3/nquq0N2yr0FdiCj09GnCkroazsquDfXm4/&#10;XXDmg7ClMGBVwXfK8+vZxw9XjcvVBNZgSoWMnFifN67g6xBcnmVerlUt/Ak4ZUmpAWsR6IirrETR&#10;kPfaZJPR6HPWAJYOQSrvSXrTKfks+ddayfCgtVeBmYJTbiGtmNZlXLPZlchXKNy6kn0a4h+yqEVl&#10;Kejg6kYEwTZY/eGqriSCBx1OJNQZaF1JlWqgasajN9U8r4VTqRZqjndDm/z/cyvvt4/IqpLubsqZ&#10;FTXd0RN1TdiVUYxk1KDG+Zxwz+4R+5Onbay21VjHP9XB2tTU3dBU1QYmSTi9GE0vx5xJUk3pOz+L&#10;PrODsUMfviioWdwUHCl6aqXY3vnQQfeQGMvCbWUMyUVu7G8C8hklWcy3yzDtws6oDv2kNJVKOU1S&#10;gEQytTDItoLoUX4f95kZS8hooinSYDR+z8iEvVGPjWYqEW8wHL1neIg2oFNEsGEwrCsL+Hdj3eH3&#10;VXe1xrJDu2y7e00kj6IllDu6bIRuCryTtxW1/E748CiQaE8DQqMcHmjRBpqCQ7/jbA348z15xBMb&#10;SctZQ2NUcP9jI1BxZr5a4unl+PQ0zl06nJ6dT+iAx5rlscZu6gXQVRBdKLu0jfhg9luNUL/SxM9j&#10;VFIJKyl2wWXA/WERuvGmN0Oq+TzBaNacCHf22cnoPDY6UuqlfRXoet4FIuw97EdO5G/o12GjpYX5&#10;JoCuEjcPfe2vgOY0sbt/U+JDcHxOqMPLN/sFAAD//wMAUEsDBBQABgAIAAAAIQB7Zwud2wAAAAUB&#10;AAAPAAAAZHJzL2Rvd25yZXYueG1sTM5BT4NAEAXgu4n/YTMm3uzSBqtFloY01aRHi4npbWFHoGVn&#10;Cbul9N87nuzx5U3efOl6sp0YcfCtIwXzWQQCqXKmpVrBV/H+9ArCB01Gd45QwRU9rLP7u1Qnxl3o&#10;E8d9qAWPkE+0giaEPpHSVw1a7WeuR+Luxw1WB45DLc2gLzxuO7mIoqW0uiX+0OgeNw1Wp/3ZKvDl&#10;uCuuff59PPiqzLdki3j3odTjw5S/gQg4hf9j+OMzHTI2le5MxouOM8ODgkUMgtvl/AVEqeA5XoHM&#10;Unmrz34BAAD//wMAUEsBAi0AFAAGAAgAAAAhALaDOJL+AAAA4QEAABMAAAAAAAAAAAAAAAAAAAAA&#10;AFtDb250ZW50X1R5cGVzXS54bWxQSwECLQAUAAYACAAAACEAOP0h/9YAAACUAQAACwAAAAAAAAAA&#10;AAAAAAAvAQAAX3JlbHMvLnJlbHNQSwECLQAUAAYACAAAACEAp2YvM3QCAABBBQAADgAAAAAAAAAA&#10;AAAAAAAuAgAAZHJzL2Uyb0RvYy54bWxQSwECLQAUAAYACAAAACEAe2cLndsAAAAFAQAADwAAAAAA&#10;AAAAAAAAAADOBAAAZHJzL2Rvd25yZXYueG1sUEsFBgAAAAAEAAQA8wAAANYFAAAAAA==&#10;" filled="f" stroked="f" strokeweight="2pt">
                      <v:textbo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(b)</w:t>
                            </w:r>
                          </w:p>
                        </w:txbxContent>
                      </v:textbox>
                    </v:rect>
                  </w:pict>
                </mc:Fallback>
              </mc:AlternateContent>
            </w:r>
            <w:r w:rsidRPr="002615CE">
              <w:rPr>
                <w:rFonts w:asciiTheme="majorBidi" w:hAnsiTheme="majorBidi" w:cstheme="majorBidi"/>
                <w:noProof/>
                <w:sz w:val="24"/>
                <w:szCs w:val="24"/>
                <w:lang w:val="en-MY" w:eastAsia="en-MY" w:bidi="ar-SA"/>
              </w:rPr>
              <w:drawing>
                <wp:inline distT="0" distB="0" distL="0" distR="0" wp14:anchorId="2BC7BFC0" wp14:editId="2913E691">
                  <wp:extent cx="1440000" cy="1080000"/>
                  <wp:effectExtent l="0" t="0" r="8255"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5M Fe-MMT K10_m0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387" w:type="dxa"/>
          </w:tcPr>
          <w:p w:rsidR="001E501A" w:rsidRPr="002615CE" w:rsidRDefault="001E501A" w:rsidP="00036EA5">
            <w:pPr>
              <w:rPr>
                <w:rFonts w:asciiTheme="majorBidi" w:hAnsiTheme="majorBidi" w:cstheme="majorBidi"/>
                <w:szCs w:val="20"/>
              </w:rPr>
            </w:pPr>
            <w:r w:rsidRPr="002615CE">
              <w:rPr>
                <w:rFonts w:asciiTheme="majorBidi" w:hAnsiTheme="majorBidi" w:cstheme="majorBidi"/>
                <w:noProof/>
                <w:sz w:val="24"/>
                <w:szCs w:val="24"/>
                <w:lang w:val="en-MY" w:eastAsia="en-MY" w:bidi="ar-SA"/>
              </w:rPr>
              <mc:AlternateContent>
                <mc:Choice Requires="wps">
                  <w:drawing>
                    <wp:anchor distT="0" distB="0" distL="114300" distR="114300" simplePos="0" relativeHeight="251678720" behindDoc="0" locked="0" layoutInCell="1" allowOverlap="1" wp14:anchorId="7B811CE4" wp14:editId="233E5D54">
                      <wp:simplePos x="0" y="0"/>
                      <wp:positionH relativeFrom="column">
                        <wp:posOffset>-20955</wp:posOffset>
                      </wp:positionH>
                      <wp:positionV relativeFrom="paragraph">
                        <wp:posOffset>8890</wp:posOffset>
                      </wp:positionV>
                      <wp:extent cx="466725" cy="333375"/>
                      <wp:effectExtent l="0" t="0" r="0" b="0"/>
                      <wp:wrapNone/>
                      <wp:docPr id="14" name="Rectangle 14"/>
                      <wp:cNvGraphicFramePr/>
                      <a:graphic xmlns:a="http://schemas.openxmlformats.org/drawingml/2006/main">
                        <a:graphicData uri="http://schemas.microsoft.com/office/word/2010/wordprocessingShape">
                          <wps:wsp>
                            <wps:cNvSpPr/>
                            <wps:spPr>
                              <a:xfrm>
                                <a:off x="0" y="0"/>
                                <a:ext cx="466725"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33" style="position:absolute;margin-left:-1.65pt;margin-top:.7pt;width:36.75pt;height:26.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OadQIAAEEFAAAOAAAAZHJzL2Uyb0RvYy54bWysVN1v0zAQf0fif7D8ztKWboOo6VRtGkKa&#10;tmob2rPr2G2E4zNnt0n56zk7aTpGxQMiD859/O7Td55dtbVhO4W+Alvw8dmIM2UllJVdF/zb8+2H&#10;T5z5IGwpDFhV8L3y/Gr+/t2scbmawAZMqZCRE+vzxhV8E4LLs8zLjaqFPwOnLCk1YC0CsbjOShQN&#10;ea9NNhmNLrIGsHQIUnlP0ptOyefJv9ZKhgetvQrMFJxyC+nEdK7imc1nIl+jcJtK9mmIf8iiFpWl&#10;oIOrGxEE22L1h6u6kggedDiTUGegdSVVqoGqGY/eVPO0EU6lWqg53g1t8v/PrbzfLZFVJd3dlDMr&#10;arqjR+qasGujGMmoQY3zOeGe3BJ7zhMZq2011vFPdbA2NXU/NFW1gUkSTi8uLifnnElSfaTv8jz6&#10;zI7GDn34oqBmkSg4UvTUSrG786GDHiAxloXbyhiSi9zY3wTkM0qymG+XYaLC3qgO/ag0lUo5TVKA&#10;NGTq2iDbCRqP8vu4z8xYQkYTTZEGo/EpIxMORj02mqk0eIPh6JThMdqAThHBhsGwrizg3411hz9U&#10;3dUayw7tqu3uNSUYRSso93TZCN0WeCdvK2r5nfBhKZDGnhaEVjk80KENNAWHnuJsA/jzlDziaRpJ&#10;y1lDa1Rw/2MrUHFmvlqa08/j6TTuXWKm55cTYvC1ZvVaY7f1NdBVjOnRcDKRER/MgdQI9Qtt/CJG&#10;JZWwkmIXXAY8MNehW296M6RaLBKMds2JcGefnIzOY6PjSD23LwJdP3eBBvYeDisn8jfj12GjpYXF&#10;NoCu0mwe+9pfAe1pmu7+TYkPwWs+oY4v3/wXAAAA//8DAFBLAwQUAAYACAAAACEAuLUgR9sAAAAG&#10;AQAADwAAAGRycy9kb3ducmV2LnhtbEyOzU6DQBSF9ya+w+Q2cdcOLVVbZGiIUZMuLSamu4G5BZS5&#10;Q5gppW/vdaXL85NzvnQ32U6MOPjWkYLlIgKBVDnTUq3go3idb0D4oMnozhEquKKHXXZ7k+rEuAu9&#10;43gIteAR8olW0ITQJ1L6qkGr/cL1SJyd3GB1YDnU0gz6wuO2k6soepBWt8QPje7xucHq+3C2Cnw5&#10;7otrn39+HX1V5i9ki/X+Tam72ZQ/gQg4hb8y/OIzOmTMVLozGS86BfM45ib7axAcP0YrEKWC+3gL&#10;Mkvlf/zsBwAA//8DAFBLAQItABQABgAIAAAAIQC2gziS/gAAAOEBAAATAAAAAAAAAAAAAAAAAAAA&#10;AABbQ29udGVudF9UeXBlc10ueG1sUEsBAi0AFAAGAAgAAAAhADj9If/WAAAAlAEAAAsAAAAAAAAA&#10;AAAAAAAALwEAAF9yZWxzLy5yZWxzUEsBAi0AFAAGAAgAAAAhAOk/c5p1AgAAQQUAAA4AAAAAAAAA&#10;AAAAAAAALgIAAGRycy9lMm9Eb2MueG1sUEsBAi0AFAAGAAgAAAAhALi1IEfbAAAABgEAAA8AAAAA&#10;AAAAAAAAAAAAzwQAAGRycy9kb3ducmV2LnhtbFBLBQYAAAAABAAEAPMAAADXBQAAAAA=&#10;" filled="f" stroked="f" strokeweight="2pt">
                      <v:textbo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(c)</w:t>
                            </w:r>
                          </w:p>
                        </w:txbxContent>
                      </v:textbox>
                    </v:rect>
                  </w:pict>
                </mc:Fallback>
              </mc:AlternateContent>
            </w:r>
            <w:r w:rsidRPr="002615CE">
              <w:rPr>
                <w:noProof/>
                <w:lang w:val="en-MY" w:eastAsia="en-MY" w:bidi="ar-SA"/>
              </w:rPr>
              <w:drawing>
                <wp:inline distT="0" distB="0" distL="0" distR="0" wp14:anchorId="2A8F14CB" wp14:editId="4E1D68D7">
                  <wp:extent cx="1440000" cy="1080000"/>
                  <wp:effectExtent l="0" t="0" r="825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0M Fe-MMT K10_m0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387" w:type="dxa"/>
          </w:tcPr>
          <w:p w:rsidR="001E501A" w:rsidRPr="002615CE" w:rsidRDefault="001E501A" w:rsidP="00036EA5">
            <w:pPr>
              <w:rPr>
                <w:rFonts w:asciiTheme="majorBidi" w:hAnsiTheme="majorBidi" w:cstheme="majorBidi"/>
                <w:szCs w:val="20"/>
              </w:rPr>
            </w:pPr>
            <w:r w:rsidRPr="002615CE">
              <w:rPr>
                <w:rFonts w:asciiTheme="majorBidi" w:hAnsiTheme="majorBidi" w:cstheme="majorBidi"/>
                <w:noProof/>
                <w:sz w:val="24"/>
                <w:szCs w:val="24"/>
                <w:lang w:val="en-MY" w:eastAsia="en-MY" w:bidi="ar-SA"/>
              </w:rPr>
              <mc:AlternateContent>
                <mc:Choice Requires="wps">
                  <w:drawing>
                    <wp:anchor distT="0" distB="0" distL="114300" distR="114300" simplePos="0" relativeHeight="251679744" behindDoc="0" locked="0" layoutInCell="1" allowOverlap="1" wp14:anchorId="594BE9AE" wp14:editId="50508F6D">
                      <wp:simplePos x="0" y="0"/>
                      <wp:positionH relativeFrom="column">
                        <wp:posOffset>16180</wp:posOffset>
                      </wp:positionH>
                      <wp:positionV relativeFrom="paragraph">
                        <wp:posOffset>7823</wp:posOffset>
                      </wp:positionV>
                      <wp:extent cx="395021" cy="333375"/>
                      <wp:effectExtent l="0" t="0" r="0" b="0"/>
                      <wp:wrapNone/>
                      <wp:docPr id="23" name="Rectangle 23"/>
                      <wp:cNvGraphicFramePr/>
                      <a:graphic xmlns:a="http://schemas.openxmlformats.org/drawingml/2006/main">
                        <a:graphicData uri="http://schemas.microsoft.com/office/word/2010/wordprocessingShape">
                          <wps:wsp>
                            <wps:cNvSpPr/>
                            <wps:spPr>
                              <a:xfrm>
                                <a:off x="0" y="0"/>
                                <a:ext cx="395021"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4" style="position:absolute;margin-left:1.25pt;margin-top:.6pt;width:31.1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VUdgIAAEEFAAAOAAAAZHJzL2Uyb0RvYy54bWysVEtP3DAQvlfqf7B8L9lkoUC0WbQCUVVC&#10;gICKs9exd6PaHtf2brL99R07DyhFPVTNwbFnvnn6Gy8uOq3IXjjfgKlofjSjRBgOdWM2Ff32dP3p&#10;jBIfmKmZAiMqehCeXiw/fli0thQFbEHVwhF0YnzZ2opuQ7Bllnm+FZr5I7DCoFKC0yzg0W2y2rEW&#10;vWuVFbPZ56wFV1sHXHiP0qteSZfJv5SChzspvQhEVRRzC2l1aV3HNVsuWLlxzG4bPqTB/iELzRqD&#10;QSdXVywwsnPNH650wx14kOGIg85AyoaLVANWk8/eVPO4ZVakWrA53k5t8v/PLb/d3zvS1BUt5pQY&#10;pvGOHrBrzGyUICjDBrXWl4h7tPduOHncxmo76XT8Yx2kS009TE0VXSAchfPzk1mRU8JRNcfv9CT6&#10;zF6MrfPhiwBN4qaiDqOnVrL9jQ89dITEWAauG6VQzkplfhOgzyjJYr59hmkXDkr06AchsVTMqUgB&#10;EsnEpXJkz5Ae9fd8yEwZREYTiZEmo/w9IxVGowEbzUQi3mQ4e8/wJdqEThHBhMlQNwbc341ljx+r&#10;7muNZYdu3aV7zYvxDtdQH/CyHfRT4C2/brDlN8yHe+aQ9jggOMrhDhepoK0oDDtKtuB+viePeGQj&#10;ailpcYwq6n/smBOUqK8GeXqeHx/HuUuH45PTAg/utWb9WmN2+hLwKpAumF3aRnxQ41Y60M848asY&#10;FVXMcIxdUR7ceLgM/Xjjm8HFapVgOGuWhRvzaHl0HhsdKfXUPTNnB94FJOwtjCPHyjf067HR0sBq&#10;F0A2iZux1X1fhyvAOU3sHt6U+BC8PifUy8u3/AUAAP//AwBQSwMEFAAGAAgAAAAhALVthM/aAAAA&#10;BQEAAA8AAABkcnMvZG93bnJldi54bWxMjktPg0AUhfcm/Q+Ta+LODtJnkKEhTTXp0mJiuhuYK6DM&#10;HcJMKf33Xle6PI+c86W7yXZixMG3jhQ8zSMQSJUzLdUK3ouXxy0IHzQZ3TlCBTf0sMtmd6lOjLvS&#10;G46nUAseIZ9oBU0IfSKlrxq02s9dj8TZpxusDiyHWppBX3ncdjKOorW0uiV+aHSP+war79PFKvDl&#10;eCxuff7xdfZVmR/IFsvjq1IP91P+DCLgFP7K8IvP6JAxU+kuZLzoFMQrLrIdg+B0vdyAKBWsFhuQ&#10;WSr/02c/AAAA//8DAFBLAQItABQABgAIAAAAIQC2gziS/gAAAOEBAAATAAAAAAAAAAAAAAAAAAAA&#10;AABbQ29udGVudF9UeXBlc10ueG1sUEsBAi0AFAAGAAgAAAAhADj9If/WAAAAlAEAAAsAAAAAAAAA&#10;AAAAAAAALwEAAF9yZWxzLy5yZWxzUEsBAi0AFAAGAAgAAAAhAMoFlVR2AgAAQQUAAA4AAAAAAAAA&#10;AAAAAAAALgIAAGRycy9lMm9Eb2MueG1sUEsBAi0AFAAGAAgAAAAhALVthM/aAAAABQEAAA8AAAAA&#10;AAAAAAAAAAAA0AQAAGRycy9kb3ducmV2LnhtbFBLBQYAAAAABAAEAPMAAADXBQAAAAA=&#10;" filled="f" stroked="f" strokeweight="2pt">
                      <v:textbox>
                        <w:txbxContent>
                          <w:p w:rsidR="00B61133" w:rsidRPr="0084297D" w:rsidRDefault="00B61133" w:rsidP="001E501A">
                            <w:pPr>
                              <w:jc w:val="center"/>
                              <w:rPr>
                                <w:rFonts w:ascii="Times New Roman" w:hAnsi="Times New Roman"/>
                                <w:b/>
                                <w:bCs/>
                                <w:color w:val="FFFFFF" w:themeColor="background1"/>
                                <w:lang w:val="en-MY"/>
                              </w:rPr>
                            </w:pPr>
                            <w:r w:rsidRPr="0084297D">
                              <w:rPr>
                                <w:rFonts w:ascii="Times New Roman" w:hAnsi="Times New Roman"/>
                                <w:b/>
                                <w:bCs/>
                                <w:color w:val="FFFFFF" w:themeColor="background1"/>
                                <w:lang w:val="en-MY"/>
                              </w:rPr>
                              <w:t>(d)</w:t>
                            </w:r>
                          </w:p>
                        </w:txbxContent>
                      </v:textbox>
                    </v:rect>
                  </w:pict>
                </mc:Fallback>
              </mc:AlternateContent>
            </w:r>
            <w:r w:rsidRPr="002615CE">
              <w:rPr>
                <w:noProof/>
                <w:lang w:val="en-MY" w:eastAsia="en-MY" w:bidi="ar-SA"/>
              </w:rPr>
              <w:drawing>
                <wp:inline distT="0" distB="0" distL="0" distR="0" wp14:anchorId="3D9B32EC" wp14:editId="05FD57E9">
                  <wp:extent cx="1440000" cy="1073489"/>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_ FE-MMTK10_m01.jpg"/>
                          <pic:cNvPicPr/>
                        </pic:nvPicPr>
                        <pic:blipFill rotWithShape="1">
                          <a:blip r:embed="rId55" cstate="print">
                            <a:extLst>
                              <a:ext uri="{28A0092B-C50C-407E-A947-70E740481C1C}">
                                <a14:useLocalDpi xmlns:a14="http://schemas.microsoft.com/office/drawing/2010/main" val="0"/>
                              </a:ext>
                            </a:extLst>
                          </a:blip>
                          <a:srcRect b="4906"/>
                          <a:stretch/>
                        </pic:blipFill>
                        <pic:spPr bwMode="auto">
                          <a:xfrm>
                            <a:off x="0" y="0"/>
                            <a:ext cx="1440000" cy="1073489"/>
                          </a:xfrm>
                          <a:prstGeom prst="rect">
                            <a:avLst/>
                          </a:prstGeom>
                          <a:ln>
                            <a:noFill/>
                          </a:ln>
                          <a:extLst>
                            <a:ext uri="{53640926-AAD7-44D8-BBD7-CCE9431645EC}">
                              <a14:shadowObscured xmlns:a14="http://schemas.microsoft.com/office/drawing/2010/main"/>
                            </a:ext>
                          </a:extLst>
                        </pic:spPr>
                      </pic:pic>
                    </a:graphicData>
                  </a:graphic>
                </wp:inline>
              </w:drawing>
            </w:r>
          </w:p>
        </w:tc>
      </w:tr>
    </w:tbl>
    <w:p w:rsidR="001E501A" w:rsidRPr="001E501A" w:rsidRDefault="001E501A" w:rsidP="001E501A">
      <w:pPr>
        <w:spacing w:after="0"/>
        <w:ind w:left="850" w:hanging="850"/>
        <w:jc w:val="both"/>
        <w:rPr>
          <w:rFonts w:asciiTheme="majorBidi" w:hAnsiTheme="majorBidi" w:cstheme="majorBidi"/>
          <w:sz w:val="20"/>
          <w:szCs w:val="20"/>
        </w:rPr>
      </w:pPr>
      <w:r w:rsidRPr="001E501A">
        <w:rPr>
          <w:rFonts w:asciiTheme="majorBidi" w:hAnsiTheme="majorBidi" w:cstheme="majorBidi"/>
          <w:sz w:val="20"/>
          <w:szCs w:val="20"/>
        </w:rPr>
        <w:t xml:space="preserve">Figure 4. </w:t>
      </w:r>
      <w:r>
        <w:rPr>
          <w:rFonts w:asciiTheme="majorBidi" w:hAnsiTheme="majorBidi" w:cstheme="majorBidi"/>
          <w:sz w:val="20"/>
          <w:szCs w:val="20"/>
        </w:rPr>
        <w:tab/>
      </w:r>
      <w:r w:rsidRPr="001E501A">
        <w:rPr>
          <w:rFonts w:asciiTheme="majorBidi" w:hAnsiTheme="majorBidi" w:cstheme="majorBidi"/>
          <w:sz w:val="20"/>
          <w:szCs w:val="20"/>
        </w:rPr>
        <w:t>SEM morphology of montmorillonite K10 and its modifications with (b) 14% Fe</w:t>
      </w:r>
      <w:r w:rsidRPr="001E501A">
        <w:rPr>
          <w:rFonts w:asciiTheme="majorBidi" w:hAnsiTheme="majorBidi" w:cstheme="majorBidi"/>
          <w:sz w:val="20"/>
          <w:szCs w:val="20"/>
          <w:vertAlign w:val="superscript"/>
        </w:rPr>
        <w:t>3+</w:t>
      </w:r>
      <w:r w:rsidRPr="001E501A">
        <w:rPr>
          <w:rFonts w:asciiTheme="majorBidi" w:hAnsiTheme="majorBidi" w:cstheme="majorBidi"/>
          <w:sz w:val="20"/>
          <w:szCs w:val="20"/>
        </w:rPr>
        <w:t>, (c) 27% Fe</w:t>
      </w:r>
      <w:r w:rsidRPr="001E501A">
        <w:rPr>
          <w:rFonts w:asciiTheme="majorBidi" w:hAnsiTheme="majorBidi" w:cstheme="majorBidi"/>
          <w:sz w:val="20"/>
          <w:szCs w:val="20"/>
          <w:vertAlign w:val="superscript"/>
        </w:rPr>
        <w:t>3+</w:t>
      </w:r>
      <w:r w:rsidRPr="001E501A">
        <w:rPr>
          <w:rFonts w:asciiTheme="majorBidi" w:hAnsiTheme="majorBidi" w:cstheme="majorBidi"/>
          <w:sz w:val="20"/>
          <w:szCs w:val="20"/>
        </w:rPr>
        <w:t xml:space="preserve"> and (d) 20% Fe</w:t>
      </w:r>
      <w:r w:rsidRPr="001E501A">
        <w:rPr>
          <w:rFonts w:asciiTheme="majorBidi" w:hAnsiTheme="majorBidi" w:cstheme="majorBidi"/>
          <w:sz w:val="20"/>
          <w:szCs w:val="20"/>
          <w:vertAlign w:val="superscript"/>
        </w:rPr>
        <w:t>3+</w:t>
      </w:r>
    </w:p>
    <w:p w:rsidR="00672906" w:rsidRDefault="00672906" w:rsidP="00CE0E6C">
      <w:pPr>
        <w:spacing w:after="0"/>
        <w:jc w:val="both"/>
        <w:rPr>
          <w:rFonts w:asciiTheme="majorBidi" w:hAnsiTheme="majorBidi" w:cstheme="majorBidi"/>
          <w:iCs/>
          <w:sz w:val="20"/>
          <w:szCs w:val="20"/>
        </w:rPr>
      </w:pPr>
    </w:p>
    <w:p w:rsidR="00C112EA" w:rsidRDefault="00C112EA" w:rsidP="00CE0E6C">
      <w:pPr>
        <w:spacing w:after="0"/>
        <w:jc w:val="both"/>
        <w:rPr>
          <w:rFonts w:asciiTheme="majorBidi" w:hAnsiTheme="majorBidi" w:cstheme="majorBidi"/>
          <w:iCs/>
          <w:sz w:val="20"/>
          <w:szCs w:val="20"/>
        </w:rPr>
      </w:pPr>
    </w:p>
    <w:p w:rsidR="006F717F" w:rsidRDefault="006F717F" w:rsidP="00CE0E6C">
      <w:pPr>
        <w:spacing w:after="0"/>
        <w:jc w:val="both"/>
        <w:rPr>
          <w:rFonts w:asciiTheme="majorBidi" w:hAnsiTheme="majorBidi" w:cstheme="majorBidi"/>
          <w:iCs/>
          <w:sz w:val="20"/>
          <w:szCs w:val="20"/>
        </w:rPr>
        <w:sectPr w:rsidR="006F717F" w:rsidSect="00FD020E">
          <w:type w:val="continuous"/>
          <w:pgSz w:w="12240" w:h="15840" w:code="1"/>
          <w:pgMar w:top="1800" w:right="1469" w:bottom="1699" w:left="1440" w:header="706" w:footer="706" w:gutter="0"/>
          <w:pgNumType w:start="1"/>
          <w:cols w:space="708"/>
          <w:docGrid w:linePitch="360"/>
        </w:sectPr>
      </w:pPr>
    </w:p>
    <w:p w:rsidR="001E501A" w:rsidRPr="001E501A" w:rsidRDefault="001E501A" w:rsidP="006F717F">
      <w:pPr>
        <w:spacing w:after="120"/>
        <w:jc w:val="center"/>
        <w:rPr>
          <w:rFonts w:asciiTheme="majorBidi" w:hAnsiTheme="majorBidi" w:cstheme="majorBidi"/>
          <w:sz w:val="20"/>
          <w:szCs w:val="20"/>
        </w:rPr>
      </w:pPr>
      <w:r w:rsidRPr="001E501A">
        <w:rPr>
          <w:rFonts w:asciiTheme="majorBidi" w:hAnsiTheme="majorBidi" w:cstheme="majorBidi"/>
          <w:sz w:val="20"/>
          <w:szCs w:val="20"/>
        </w:rPr>
        <w:lastRenderedPageBreak/>
        <w:t xml:space="preserve">Table 1. </w:t>
      </w:r>
      <w:r w:rsidR="00ED3B91">
        <w:rPr>
          <w:rFonts w:asciiTheme="majorBidi" w:hAnsiTheme="majorBidi" w:cstheme="majorBidi"/>
          <w:sz w:val="20"/>
          <w:szCs w:val="20"/>
        </w:rPr>
        <w:t xml:space="preserve"> </w:t>
      </w:r>
      <w:r w:rsidRPr="001E501A">
        <w:rPr>
          <w:rFonts w:asciiTheme="majorBidi" w:hAnsiTheme="majorBidi" w:cstheme="majorBidi"/>
          <w:sz w:val="20"/>
          <w:szCs w:val="20"/>
        </w:rPr>
        <w:t>Elemental compositions of montmorillonite K10 and its modified samples</w:t>
      </w:r>
    </w:p>
    <w:tbl>
      <w:tblPr>
        <w:tblStyle w:val="TableGrid"/>
        <w:tblW w:w="0" w:type="auto"/>
        <w:jc w:val="center"/>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987"/>
        <w:gridCol w:w="1186"/>
        <w:gridCol w:w="1086"/>
        <w:gridCol w:w="1086"/>
        <w:gridCol w:w="1186"/>
        <w:gridCol w:w="1086"/>
        <w:gridCol w:w="1086"/>
      </w:tblGrid>
      <w:tr w:rsidR="001E501A" w:rsidRPr="001E501A" w:rsidTr="006C2015">
        <w:trPr>
          <w:jc w:val="center"/>
        </w:trPr>
        <w:tc>
          <w:tcPr>
            <w:tcW w:w="2006" w:type="dxa"/>
            <w:tcBorders>
              <w:top w:val="single" w:sz="4" w:space="0" w:color="auto"/>
              <w:bottom w:val="single" w:sz="4" w:space="0" w:color="auto"/>
            </w:tcBorders>
          </w:tcPr>
          <w:p w:rsidR="001E501A" w:rsidRPr="001E501A" w:rsidRDefault="001E501A" w:rsidP="001E501A">
            <w:pPr>
              <w:spacing w:before="60" w:after="60"/>
              <w:rPr>
                <w:rFonts w:asciiTheme="majorBidi" w:hAnsiTheme="majorBidi" w:cstheme="majorBidi"/>
                <w:b/>
                <w:sz w:val="20"/>
                <w:szCs w:val="20"/>
              </w:rPr>
            </w:pPr>
            <w:r w:rsidRPr="001E501A">
              <w:rPr>
                <w:rFonts w:asciiTheme="majorBidi" w:hAnsiTheme="majorBidi" w:cstheme="majorBidi"/>
                <w:b/>
                <w:sz w:val="20"/>
                <w:szCs w:val="20"/>
              </w:rPr>
              <w:t>Type of catalyst</w:t>
            </w:r>
          </w:p>
        </w:tc>
        <w:tc>
          <w:tcPr>
            <w:tcW w:w="987" w:type="dxa"/>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C</w:t>
            </w:r>
          </w:p>
        </w:tc>
        <w:tc>
          <w:tcPr>
            <w:tcW w:w="0" w:type="auto"/>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O</w:t>
            </w:r>
          </w:p>
        </w:tc>
        <w:tc>
          <w:tcPr>
            <w:tcW w:w="0" w:type="auto"/>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Mg</w:t>
            </w:r>
          </w:p>
        </w:tc>
        <w:tc>
          <w:tcPr>
            <w:tcW w:w="0" w:type="auto"/>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Al</w:t>
            </w:r>
          </w:p>
        </w:tc>
        <w:tc>
          <w:tcPr>
            <w:tcW w:w="0" w:type="auto"/>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Si</w:t>
            </w:r>
          </w:p>
        </w:tc>
        <w:tc>
          <w:tcPr>
            <w:tcW w:w="0" w:type="auto"/>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K</w:t>
            </w:r>
          </w:p>
        </w:tc>
        <w:tc>
          <w:tcPr>
            <w:tcW w:w="0" w:type="auto"/>
            <w:tcBorders>
              <w:top w:val="single" w:sz="4" w:space="0" w:color="auto"/>
              <w:bottom w:val="single" w:sz="4" w:space="0" w:color="auto"/>
            </w:tcBorders>
          </w:tcPr>
          <w:p w:rsidR="001E501A" w:rsidRPr="001E501A" w:rsidRDefault="001E501A" w:rsidP="001E501A">
            <w:pPr>
              <w:spacing w:before="60" w:after="60"/>
              <w:jc w:val="center"/>
              <w:rPr>
                <w:rFonts w:asciiTheme="majorBidi" w:hAnsiTheme="majorBidi" w:cstheme="majorBidi"/>
                <w:b/>
                <w:sz w:val="20"/>
                <w:szCs w:val="20"/>
              </w:rPr>
            </w:pPr>
            <w:r w:rsidRPr="001E501A">
              <w:rPr>
                <w:rFonts w:asciiTheme="majorBidi" w:hAnsiTheme="majorBidi" w:cstheme="majorBidi"/>
                <w:b/>
                <w:sz w:val="20"/>
                <w:szCs w:val="20"/>
              </w:rPr>
              <w:t>Fe</w:t>
            </w:r>
          </w:p>
        </w:tc>
      </w:tr>
      <w:tr w:rsidR="001E501A" w:rsidRPr="001E501A" w:rsidTr="006C2015">
        <w:trPr>
          <w:jc w:val="center"/>
        </w:trPr>
        <w:tc>
          <w:tcPr>
            <w:tcW w:w="2006" w:type="dxa"/>
            <w:tcBorders>
              <w:top w:val="single" w:sz="4" w:space="0" w:color="auto"/>
            </w:tcBorders>
          </w:tcPr>
          <w:p w:rsidR="001E501A" w:rsidRPr="001E501A" w:rsidRDefault="001E501A" w:rsidP="006C2015">
            <w:pPr>
              <w:spacing w:before="240" w:after="0"/>
              <w:rPr>
                <w:rFonts w:asciiTheme="majorBidi" w:hAnsiTheme="majorBidi" w:cstheme="majorBidi"/>
                <w:bCs/>
                <w:sz w:val="20"/>
                <w:szCs w:val="20"/>
              </w:rPr>
            </w:pPr>
            <w:r w:rsidRPr="001E501A">
              <w:rPr>
                <w:rFonts w:asciiTheme="majorBidi" w:hAnsiTheme="majorBidi" w:cstheme="majorBidi"/>
                <w:bCs/>
                <w:sz w:val="20"/>
                <w:szCs w:val="20"/>
              </w:rPr>
              <w:t>Montmorillonite K10</w:t>
            </w:r>
          </w:p>
        </w:tc>
        <w:tc>
          <w:tcPr>
            <w:tcW w:w="987" w:type="dxa"/>
            <w:tcBorders>
              <w:top w:val="single" w:sz="4" w:space="0" w:color="auto"/>
            </w:tcBorders>
          </w:tcPr>
          <w:p w:rsidR="001E501A" w:rsidRPr="001E501A" w:rsidRDefault="001E501A" w:rsidP="003E5387">
            <w:pPr>
              <w:spacing w:before="60" w:after="0" w:line="240" w:lineRule="auto"/>
              <w:jc w:val="center"/>
              <w:rPr>
                <w:rFonts w:asciiTheme="majorBidi" w:hAnsiTheme="majorBidi" w:cstheme="majorBidi"/>
                <w:sz w:val="20"/>
                <w:szCs w:val="20"/>
              </w:rPr>
            </w:pPr>
            <w:r w:rsidRPr="001E501A">
              <w:rPr>
                <w:rFonts w:asciiTheme="majorBidi" w:hAnsiTheme="majorBidi" w:cstheme="majorBidi"/>
                <w:sz w:val="20"/>
                <w:szCs w:val="20"/>
              </w:rPr>
              <w:t>28.97 ± 3.03</w:t>
            </w:r>
          </w:p>
        </w:tc>
        <w:tc>
          <w:tcPr>
            <w:tcW w:w="0" w:type="auto"/>
            <w:tcBorders>
              <w:top w:val="single" w:sz="4" w:space="0" w:color="auto"/>
            </w:tcBorders>
          </w:tcPr>
          <w:p w:rsidR="001E501A" w:rsidRPr="001E501A" w:rsidRDefault="001E501A" w:rsidP="003E5387">
            <w:pPr>
              <w:spacing w:before="60" w:after="0" w:line="240" w:lineRule="auto"/>
              <w:jc w:val="center"/>
              <w:rPr>
                <w:rFonts w:asciiTheme="majorBidi" w:hAnsiTheme="majorBidi" w:cstheme="majorBidi"/>
                <w:sz w:val="20"/>
                <w:szCs w:val="20"/>
              </w:rPr>
            </w:pPr>
            <w:r w:rsidRPr="001E501A">
              <w:rPr>
                <w:rFonts w:asciiTheme="majorBidi" w:hAnsiTheme="majorBidi" w:cstheme="majorBidi"/>
                <w:sz w:val="20"/>
                <w:szCs w:val="20"/>
              </w:rPr>
              <w:t>53.52 ± 3.09</w:t>
            </w:r>
          </w:p>
        </w:tc>
        <w:tc>
          <w:tcPr>
            <w:tcW w:w="0" w:type="auto"/>
            <w:tcBorders>
              <w:top w:val="single" w:sz="4" w:space="0" w:color="auto"/>
            </w:tcBorders>
          </w:tcPr>
          <w:p w:rsidR="001E501A" w:rsidRPr="001E501A" w:rsidRDefault="001E501A" w:rsidP="003E5387">
            <w:pPr>
              <w:spacing w:before="60" w:after="0" w:line="240" w:lineRule="auto"/>
              <w:jc w:val="center"/>
              <w:rPr>
                <w:rFonts w:asciiTheme="majorBidi" w:hAnsiTheme="majorBidi" w:cstheme="majorBidi"/>
                <w:sz w:val="20"/>
                <w:szCs w:val="20"/>
              </w:rPr>
            </w:pPr>
            <w:r w:rsidRPr="001E501A">
              <w:rPr>
                <w:rFonts w:asciiTheme="majorBidi" w:hAnsiTheme="majorBidi" w:cstheme="majorBidi"/>
                <w:sz w:val="20"/>
                <w:szCs w:val="20"/>
              </w:rPr>
              <w:t>0.58 ± 0.08</w:t>
            </w:r>
          </w:p>
        </w:tc>
        <w:tc>
          <w:tcPr>
            <w:tcW w:w="0" w:type="auto"/>
            <w:tcBorders>
              <w:top w:val="single" w:sz="4" w:space="0" w:color="auto"/>
            </w:tcBorders>
          </w:tcPr>
          <w:p w:rsidR="001E501A" w:rsidRPr="001E501A" w:rsidRDefault="001E501A" w:rsidP="003E5387">
            <w:pPr>
              <w:spacing w:before="60" w:after="0" w:line="240" w:lineRule="auto"/>
              <w:jc w:val="center"/>
              <w:rPr>
                <w:rFonts w:asciiTheme="majorBidi" w:hAnsiTheme="majorBidi" w:cstheme="majorBidi"/>
                <w:sz w:val="20"/>
                <w:szCs w:val="20"/>
              </w:rPr>
            </w:pPr>
            <w:r w:rsidRPr="001E501A">
              <w:rPr>
                <w:rFonts w:asciiTheme="majorBidi" w:hAnsiTheme="majorBidi" w:cstheme="majorBidi"/>
                <w:sz w:val="20"/>
                <w:szCs w:val="20"/>
              </w:rPr>
              <w:t>2.97 ± 1.66</w:t>
            </w:r>
          </w:p>
        </w:tc>
        <w:tc>
          <w:tcPr>
            <w:tcW w:w="0" w:type="auto"/>
            <w:tcBorders>
              <w:top w:val="single" w:sz="4" w:space="0" w:color="auto"/>
            </w:tcBorders>
          </w:tcPr>
          <w:p w:rsidR="001E501A" w:rsidRPr="001E501A" w:rsidRDefault="001E501A" w:rsidP="003E5387">
            <w:pPr>
              <w:spacing w:before="6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13.64 ± 1.52</w:t>
            </w:r>
          </w:p>
        </w:tc>
        <w:tc>
          <w:tcPr>
            <w:tcW w:w="0" w:type="auto"/>
            <w:tcBorders>
              <w:top w:val="single" w:sz="4" w:space="0" w:color="auto"/>
            </w:tcBorders>
          </w:tcPr>
          <w:p w:rsidR="001E501A" w:rsidRPr="001E501A" w:rsidRDefault="001E501A" w:rsidP="003E5387">
            <w:pPr>
              <w:spacing w:before="6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0.39 ± 0.11</w:t>
            </w:r>
          </w:p>
        </w:tc>
        <w:tc>
          <w:tcPr>
            <w:tcW w:w="0" w:type="auto"/>
            <w:tcBorders>
              <w:top w:val="single" w:sz="4" w:space="0" w:color="auto"/>
            </w:tcBorders>
          </w:tcPr>
          <w:p w:rsidR="001E501A" w:rsidRPr="001E501A" w:rsidRDefault="001E501A" w:rsidP="003E5387">
            <w:pPr>
              <w:spacing w:before="6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0.45 ± 0.13</w:t>
            </w:r>
          </w:p>
        </w:tc>
      </w:tr>
      <w:tr w:rsidR="001E501A" w:rsidRPr="001E501A" w:rsidTr="006C2015">
        <w:trPr>
          <w:jc w:val="center"/>
        </w:trPr>
        <w:tc>
          <w:tcPr>
            <w:tcW w:w="2006" w:type="dxa"/>
            <w:vAlign w:val="center"/>
          </w:tcPr>
          <w:p w:rsidR="001E501A" w:rsidRPr="001E501A" w:rsidRDefault="001E501A" w:rsidP="001E501A">
            <w:pPr>
              <w:spacing w:after="0"/>
              <w:ind w:hanging="17"/>
              <w:rPr>
                <w:rFonts w:asciiTheme="majorBidi" w:hAnsiTheme="majorBidi" w:cstheme="majorBidi"/>
                <w:bCs/>
                <w:sz w:val="20"/>
                <w:szCs w:val="20"/>
              </w:rPr>
            </w:pPr>
            <w:r w:rsidRPr="001E501A">
              <w:rPr>
                <w:rFonts w:asciiTheme="majorBidi" w:hAnsiTheme="majorBidi" w:cstheme="majorBidi"/>
                <w:bCs/>
                <w:sz w:val="20"/>
                <w:szCs w:val="20"/>
              </w:rPr>
              <w:t>14% Fe-MMT K10</w:t>
            </w:r>
          </w:p>
        </w:tc>
        <w:tc>
          <w:tcPr>
            <w:tcW w:w="987" w:type="dxa"/>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26.30 ± 1.58</w:t>
            </w:r>
          </w:p>
        </w:tc>
        <w:tc>
          <w:tcPr>
            <w:tcW w:w="0" w:type="auto"/>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53.63 ± 0.80</w:t>
            </w:r>
          </w:p>
        </w:tc>
        <w:tc>
          <w:tcPr>
            <w:tcW w:w="0" w:type="auto"/>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0.41 ± 0.09</w:t>
            </w:r>
          </w:p>
        </w:tc>
        <w:tc>
          <w:tcPr>
            <w:tcW w:w="0" w:type="auto"/>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3.35 ± 1.06</w:t>
            </w:r>
          </w:p>
        </w:tc>
        <w:tc>
          <w:tcPr>
            <w:tcW w:w="0" w:type="auto"/>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14.51 ± 1.40</w:t>
            </w:r>
          </w:p>
        </w:tc>
        <w:tc>
          <w:tcPr>
            <w:tcW w:w="0" w:type="auto"/>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0.30 ± 0.03</w:t>
            </w:r>
          </w:p>
        </w:tc>
        <w:tc>
          <w:tcPr>
            <w:tcW w:w="0" w:type="auto"/>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1.66 ± 0.60</w:t>
            </w:r>
          </w:p>
        </w:tc>
      </w:tr>
      <w:tr w:rsidR="001E501A" w:rsidRPr="001E501A" w:rsidTr="008566E5">
        <w:trPr>
          <w:jc w:val="center"/>
        </w:trPr>
        <w:tc>
          <w:tcPr>
            <w:tcW w:w="2006" w:type="dxa"/>
            <w:vAlign w:val="center"/>
          </w:tcPr>
          <w:p w:rsidR="001E501A" w:rsidRPr="001E501A" w:rsidRDefault="001E501A" w:rsidP="001E501A">
            <w:pPr>
              <w:spacing w:after="0"/>
              <w:ind w:firstLine="7"/>
              <w:rPr>
                <w:rFonts w:asciiTheme="majorBidi" w:hAnsiTheme="majorBidi" w:cstheme="majorBidi"/>
                <w:bCs/>
                <w:sz w:val="20"/>
                <w:szCs w:val="20"/>
              </w:rPr>
            </w:pPr>
            <w:r w:rsidRPr="001E501A">
              <w:rPr>
                <w:rFonts w:asciiTheme="majorBidi" w:hAnsiTheme="majorBidi" w:cstheme="majorBidi"/>
                <w:bCs/>
                <w:sz w:val="20"/>
                <w:szCs w:val="20"/>
              </w:rPr>
              <w:t>27% Fe-MMT K10</w:t>
            </w:r>
          </w:p>
        </w:tc>
        <w:tc>
          <w:tcPr>
            <w:tcW w:w="987" w:type="dxa"/>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15.30 ± 1.35</w:t>
            </w:r>
          </w:p>
        </w:tc>
        <w:tc>
          <w:tcPr>
            <w:tcW w:w="0" w:type="auto"/>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54.69 ± 3.61</w:t>
            </w:r>
          </w:p>
        </w:tc>
        <w:tc>
          <w:tcPr>
            <w:tcW w:w="0" w:type="auto"/>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0.58 ± 0.10</w:t>
            </w:r>
          </w:p>
        </w:tc>
        <w:tc>
          <w:tcPr>
            <w:tcW w:w="0" w:type="auto"/>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3.32 ± 0.48</w:t>
            </w:r>
          </w:p>
        </w:tc>
        <w:tc>
          <w:tcPr>
            <w:tcW w:w="0" w:type="auto"/>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23.61 ± 2.59</w:t>
            </w:r>
          </w:p>
        </w:tc>
        <w:tc>
          <w:tcPr>
            <w:tcW w:w="0" w:type="auto"/>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0.31 ± 0.14</w:t>
            </w:r>
          </w:p>
        </w:tc>
        <w:tc>
          <w:tcPr>
            <w:tcW w:w="0" w:type="auto"/>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3.11 ± 0.66</w:t>
            </w:r>
          </w:p>
        </w:tc>
      </w:tr>
      <w:tr w:rsidR="001E501A" w:rsidRPr="001E501A" w:rsidTr="008566E5">
        <w:trPr>
          <w:jc w:val="center"/>
        </w:trPr>
        <w:tc>
          <w:tcPr>
            <w:tcW w:w="2006" w:type="dxa"/>
            <w:tcBorders>
              <w:bottom w:val="single" w:sz="4" w:space="0" w:color="auto"/>
            </w:tcBorders>
            <w:vAlign w:val="center"/>
          </w:tcPr>
          <w:p w:rsidR="001E501A" w:rsidRPr="001E501A" w:rsidRDefault="001E501A" w:rsidP="001E501A">
            <w:pPr>
              <w:spacing w:after="0"/>
              <w:rPr>
                <w:rFonts w:asciiTheme="majorBidi" w:hAnsiTheme="majorBidi" w:cstheme="majorBidi"/>
                <w:bCs/>
                <w:sz w:val="20"/>
                <w:szCs w:val="20"/>
              </w:rPr>
            </w:pPr>
            <w:r w:rsidRPr="001E501A">
              <w:rPr>
                <w:rFonts w:asciiTheme="majorBidi" w:hAnsiTheme="majorBidi" w:cstheme="majorBidi"/>
                <w:bCs/>
                <w:sz w:val="20"/>
                <w:szCs w:val="20"/>
              </w:rPr>
              <w:t>20% Fe-MMT K10</w:t>
            </w:r>
          </w:p>
        </w:tc>
        <w:tc>
          <w:tcPr>
            <w:tcW w:w="987" w:type="dxa"/>
            <w:tcBorders>
              <w:bottom w:val="single" w:sz="4" w:space="0" w:color="auto"/>
            </w:tcBorders>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26.13 ± 1.99</w:t>
            </w:r>
          </w:p>
        </w:tc>
        <w:tc>
          <w:tcPr>
            <w:tcW w:w="0" w:type="auto"/>
            <w:tcBorders>
              <w:bottom w:val="single" w:sz="4" w:space="0" w:color="auto"/>
            </w:tcBorders>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40.26 ± 2.50</w:t>
            </w:r>
          </w:p>
        </w:tc>
        <w:tc>
          <w:tcPr>
            <w:tcW w:w="0" w:type="auto"/>
            <w:tcBorders>
              <w:bottom w:val="single" w:sz="4" w:space="0" w:color="auto"/>
            </w:tcBorders>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0.94 ± 0.09</w:t>
            </w:r>
          </w:p>
        </w:tc>
        <w:tc>
          <w:tcPr>
            <w:tcW w:w="0" w:type="auto"/>
            <w:tcBorders>
              <w:bottom w:val="single" w:sz="4" w:space="0" w:color="auto"/>
            </w:tcBorders>
          </w:tcPr>
          <w:p w:rsidR="001E501A" w:rsidRPr="001E501A" w:rsidRDefault="001E501A" w:rsidP="003E5387">
            <w:pPr>
              <w:spacing w:before="120" w:after="0" w:line="240" w:lineRule="auto"/>
              <w:jc w:val="center"/>
              <w:rPr>
                <w:rFonts w:asciiTheme="majorBidi" w:hAnsiTheme="majorBidi" w:cstheme="majorBidi"/>
                <w:sz w:val="20"/>
                <w:szCs w:val="20"/>
              </w:rPr>
            </w:pPr>
            <w:r w:rsidRPr="001E501A">
              <w:rPr>
                <w:rFonts w:asciiTheme="majorBidi" w:hAnsiTheme="majorBidi" w:cstheme="majorBidi"/>
                <w:sz w:val="20"/>
                <w:szCs w:val="20"/>
              </w:rPr>
              <w:t>3.70 ± 1.07</w:t>
            </w:r>
          </w:p>
        </w:tc>
        <w:tc>
          <w:tcPr>
            <w:tcW w:w="0" w:type="auto"/>
            <w:tcBorders>
              <w:bottom w:val="single" w:sz="4" w:space="0" w:color="auto"/>
            </w:tcBorders>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22.72 ± 1.84</w:t>
            </w:r>
          </w:p>
        </w:tc>
        <w:tc>
          <w:tcPr>
            <w:tcW w:w="0" w:type="auto"/>
            <w:tcBorders>
              <w:bottom w:val="single" w:sz="4" w:space="0" w:color="auto"/>
            </w:tcBorders>
          </w:tcPr>
          <w:p w:rsidR="001E501A" w:rsidRPr="001E501A" w:rsidRDefault="001E501A" w:rsidP="003E5387">
            <w:pPr>
              <w:spacing w:before="120" w:after="0" w:line="240" w:lineRule="auto"/>
              <w:jc w:val="center"/>
              <w:rPr>
                <w:rFonts w:ascii="Times New Roman" w:hAnsi="Times New Roman" w:cs="Times New Roman"/>
                <w:sz w:val="20"/>
                <w:szCs w:val="20"/>
              </w:rPr>
            </w:pPr>
            <w:r w:rsidRPr="001E501A">
              <w:rPr>
                <w:rFonts w:ascii="Times New Roman" w:hAnsi="Times New Roman" w:cs="Times New Roman"/>
                <w:sz w:val="20"/>
                <w:szCs w:val="20"/>
              </w:rPr>
              <w:t>0.57 ± 0.09</w:t>
            </w:r>
          </w:p>
        </w:tc>
        <w:tc>
          <w:tcPr>
            <w:tcW w:w="0" w:type="auto"/>
            <w:tcBorders>
              <w:bottom w:val="single" w:sz="4" w:space="0" w:color="auto"/>
            </w:tcBorders>
          </w:tcPr>
          <w:p w:rsidR="001E501A" w:rsidRPr="001E501A" w:rsidRDefault="001E501A" w:rsidP="003E5387">
            <w:pPr>
              <w:spacing w:before="120" w:after="60" w:line="240" w:lineRule="auto"/>
              <w:jc w:val="center"/>
              <w:rPr>
                <w:rFonts w:ascii="Times New Roman" w:hAnsi="Times New Roman" w:cs="Times New Roman"/>
                <w:sz w:val="20"/>
                <w:szCs w:val="20"/>
              </w:rPr>
            </w:pPr>
            <w:r w:rsidRPr="001E501A">
              <w:rPr>
                <w:rFonts w:ascii="Times New Roman" w:hAnsi="Times New Roman" w:cs="Times New Roman"/>
                <w:sz w:val="20"/>
                <w:szCs w:val="20"/>
              </w:rPr>
              <w:t>5.68 ± 0.46</w:t>
            </w:r>
          </w:p>
        </w:tc>
      </w:tr>
    </w:tbl>
    <w:p w:rsidR="00C112EA" w:rsidRDefault="00C112EA" w:rsidP="003E5387">
      <w:pPr>
        <w:spacing w:after="0"/>
        <w:rPr>
          <w:rFonts w:asciiTheme="majorBidi" w:hAnsiTheme="majorBidi" w:cstheme="majorBidi"/>
          <w:sz w:val="20"/>
          <w:szCs w:val="20"/>
        </w:rPr>
      </w:pPr>
    </w:p>
    <w:p w:rsidR="009A06E2" w:rsidRDefault="009A06E2" w:rsidP="003E5387">
      <w:pPr>
        <w:spacing w:after="0"/>
        <w:rPr>
          <w:rFonts w:asciiTheme="majorBidi" w:hAnsiTheme="majorBidi" w:cstheme="majorBidi"/>
          <w:sz w:val="20"/>
          <w:szCs w:val="20"/>
        </w:rPr>
      </w:pPr>
    </w:p>
    <w:p w:rsidR="00ED3B91" w:rsidRPr="00ED3B91" w:rsidRDefault="00ED3B91" w:rsidP="00ED3B91">
      <w:pPr>
        <w:spacing w:after="120"/>
        <w:jc w:val="center"/>
        <w:rPr>
          <w:rFonts w:asciiTheme="majorBidi" w:hAnsiTheme="majorBidi" w:cstheme="majorBidi"/>
          <w:sz w:val="20"/>
          <w:szCs w:val="20"/>
        </w:rPr>
      </w:pPr>
      <w:r w:rsidRPr="00ED3B91">
        <w:rPr>
          <w:rFonts w:asciiTheme="majorBidi" w:hAnsiTheme="majorBidi" w:cstheme="majorBidi"/>
          <w:sz w:val="20"/>
          <w:szCs w:val="20"/>
        </w:rPr>
        <w:t>Table 2.  Change of Fe composition in montmorillonite K10 after modification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970"/>
      </w:tblGrid>
      <w:tr w:rsidR="00ED3B91" w:rsidRPr="00ED3B91" w:rsidTr="00ED3B91">
        <w:trPr>
          <w:trHeight w:val="257"/>
          <w:jc w:val="center"/>
        </w:trPr>
        <w:tc>
          <w:tcPr>
            <w:tcW w:w="2118" w:type="dxa"/>
            <w:tcBorders>
              <w:top w:val="single" w:sz="4" w:space="0" w:color="auto"/>
              <w:bottom w:val="single" w:sz="4" w:space="0" w:color="auto"/>
            </w:tcBorders>
            <w:vAlign w:val="center"/>
          </w:tcPr>
          <w:p w:rsidR="00ED3B91" w:rsidRPr="00ED3B91" w:rsidRDefault="00ED3B91" w:rsidP="00ED3B91">
            <w:pPr>
              <w:spacing w:before="60" w:after="60"/>
              <w:rPr>
                <w:rFonts w:asciiTheme="majorBidi" w:hAnsiTheme="majorBidi" w:cstheme="majorBidi"/>
                <w:b/>
                <w:bCs/>
                <w:sz w:val="20"/>
                <w:szCs w:val="20"/>
              </w:rPr>
            </w:pPr>
            <w:r w:rsidRPr="00ED3B91">
              <w:rPr>
                <w:rFonts w:asciiTheme="majorBidi" w:hAnsiTheme="majorBidi" w:cstheme="majorBidi"/>
                <w:b/>
                <w:bCs/>
                <w:sz w:val="20"/>
                <w:szCs w:val="20"/>
              </w:rPr>
              <w:t>Type of Catalyst</w:t>
            </w:r>
          </w:p>
        </w:tc>
        <w:tc>
          <w:tcPr>
            <w:tcW w:w="2970" w:type="dxa"/>
            <w:tcBorders>
              <w:top w:val="single" w:sz="4" w:space="0" w:color="auto"/>
              <w:bottom w:val="single" w:sz="4" w:space="0" w:color="auto"/>
            </w:tcBorders>
            <w:vAlign w:val="center"/>
          </w:tcPr>
          <w:p w:rsidR="00ED3B91" w:rsidRPr="00ED3B91" w:rsidRDefault="00ED3B91" w:rsidP="00ED3B91">
            <w:pPr>
              <w:spacing w:before="60" w:after="60"/>
              <w:jc w:val="center"/>
              <w:rPr>
                <w:rFonts w:asciiTheme="majorBidi" w:hAnsiTheme="majorBidi" w:cstheme="majorBidi"/>
                <w:b/>
                <w:bCs/>
                <w:sz w:val="20"/>
                <w:szCs w:val="20"/>
              </w:rPr>
            </w:pPr>
            <w:r w:rsidRPr="00ED3B91">
              <w:rPr>
                <w:rFonts w:asciiTheme="majorBidi" w:hAnsiTheme="majorBidi" w:cstheme="majorBidi"/>
                <w:b/>
                <w:bCs/>
                <w:sz w:val="20"/>
                <w:szCs w:val="20"/>
              </w:rPr>
              <w:t>Change of Fe Composition (%)</w:t>
            </w:r>
          </w:p>
        </w:tc>
      </w:tr>
      <w:tr w:rsidR="00ED3B91" w:rsidRPr="00ED3B91" w:rsidTr="00ED3B91">
        <w:trPr>
          <w:trHeight w:val="257"/>
          <w:jc w:val="center"/>
        </w:trPr>
        <w:tc>
          <w:tcPr>
            <w:tcW w:w="2118" w:type="dxa"/>
            <w:tcBorders>
              <w:top w:val="single" w:sz="4" w:space="0" w:color="auto"/>
            </w:tcBorders>
            <w:vAlign w:val="center"/>
          </w:tcPr>
          <w:p w:rsidR="00ED3B91" w:rsidRPr="00ED3B91" w:rsidRDefault="00ED3B91" w:rsidP="00ED3B91">
            <w:pPr>
              <w:spacing w:before="60" w:after="0"/>
              <w:rPr>
                <w:rFonts w:asciiTheme="majorBidi" w:hAnsiTheme="majorBidi" w:cstheme="majorBidi"/>
                <w:sz w:val="20"/>
                <w:szCs w:val="20"/>
              </w:rPr>
            </w:pPr>
            <w:r w:rsidRPr="00ED3B91">
              <w:rPr>
                <w:rFonts w:asciiTheme="majorBidi" w:hAnsiTheme="majorBidi" w:cstheme="majorBidi"/>
                <w:sz w:val="20"/>
                <w:szCs w:val="20"/>
              </w:rPr>
              <w:t>Montmorillonite K10</w:t>
            </w:r>
          </w:p>
        </w:tc>
        <w:tc>
          <w:tcPr>
            <w:tcW w:w="2970" w:type="dxa"/>
            <w:tcBorders>
              <w:top w:val="single" w:sz="4" w:space="0" w:color="auto"/>
            </w:tcBorders>
            <w:vAlign w:val="center"/>
          </w:tcPr>
          <w:p w:rsidR="00ED3B91" w:rsidRPr="00ED3B91" w:rsidRDefault="00ED3B91" w:rsidP="00ED3B91">
            <w:pPr>
              <w:spacing w:before="60" w:after="0"/>
              <w:jc w:val="center"/>
              <w:rPr>
                <w:rFonts w:asciiTheme="majorBidi" w:hAnsiTheme="majorBidi" w:cstheme="majorBidi"/>
                <w:sz w:val="20"/>
                <w:szCs w:val="20"/>
              </w:rPr>
            </w:pPr>
            <w:r w:rsidRPr="00ED3B91">
              <w:rPr>
                <w:rFonts w:asciiTheme="majorBidi" w:hAnsiTheme="majorBidi" w:cstheme="majorBidi"/>
                <w:sz w:val="20"/>
                <w:szCs w:val="20"/>
              </w:rPr>
              <w:t>0</w:t>
            </w:r>
          </w:p>
        </w:tc>
      </w:tr>
      <w:tr w:rsidR="00ED3B91" w:rsidRPr="00ED3B91" w:rsidTr="00ED3B91">
        <w:trPr>
          <w:trHeight w:val="257"/>
          <w:jc w:val="center"/>
        </w:trPr>
        <w:tc>
          <w:tcPr>
            <w:tcW w:w="2118" w:type="dxa"/>
            <w:vAlign w:val="center"/>
          </w:tcPr>
          <w:p w:rsidR="00ED3B91" w:rsidRPr="00ED3B91" w:rsidRDefault="00ED3B91" w:rsidP="00ED3B91">
            <w:pPr>
              <w:spacing w:before="60" w:after="0"/>
              <w:ind w:hanging="17"/>
              <w:rPr>
                <w:rFonts w:asciiTheme="majorBidi" w:hAnsiTheme="majorBidi" w:cstheme="majorBidi"/>
                <w:sz w:val="20"/>
                <w:szCs w:val="20"/>
              </w:rPr>
            </w:pPr>
            <w:r w:rsidRPr="00ED3B91">
              <w:rPr>
                <w:rFonts w:asciiTheme="majorBidi" w:hAnsiTheme="majorBidi" w:cstheme="majorBidi"/>
                <w:sz w:val="20"/>
                <w:szCs w:val="20"/>
              </w:rPr>
              <w:t>14% Fe-MMT K10</w:t>
            </w:r>
          </w:p>
        </w:tc>
        <w:tc>
          <w:tcPr>
            <w:tcW w:w="2970" w:type="dxa"/>
            <w:vAlign w:val="center"/>
          </w:tcPr>
          <w:p w:rsidR="00ED3B91" w:rsidRPr="00ED3B91" w:rsidRDefault="00ED3B91" w:rsidP="00ED3B91">
            <w:pPr>
              <w:spacing w:before="60" w:after="0"/>
              <w:jc w:val="center"/>
              <w:rPr>
                <w:rFonts w:asciiTheme="majorBidi" w:hAnsiTheme="majorBidi" w:cstheme="majorBidi"/>
                <w:sz w:val="20"/>
                <w:szCs w:val="20"/>
              </w:rPr>
            </w:pPr>
            <w:r w:rsidRPr="00ED3B91">
              <w:rPr>
                <w:rFonts w:asciiTheme="majorBidi" w:hAnsiTheme="majorBidi" w:cstheme="majorBidi"/>
                <w:sz w:val="20"/>
                <w:szCs w:val="20"/>
              </w:rPr>
              <w:t>1.21</w:t>
            </w:r>
          </w:p>
        </w:tc>
      </w:tr>
      <w:tr w:rsidR="00ED3B91" w:rsidRPr="00ED3B91" w:rsidTr="00ED3B91">
        <w:trPr>
          <w:trHeight w:val="257"/>
          <w:jc w:val="center"/>
        </w:trPr>
        <w:tc>
          <w:tcPr>
            <w:tcW w:w="2118" w:type="dxa"/>
            <w:tcBorders>
              <w:bottom w:val="nil"/>
            </w:tcBorders>
            <w:vAlign w:val="center"/>
          </w:tcPr>
          <w:p w:rsidR="00ED3B91" w:rsidRPr="00ED3B91" w:rsidRDefault="00ED3B91" w:rsidP="00ED3B91">
            <w:pPr>
              <w:spacing w:before="60" w:after="0"/>
              <w:ind w:firstLine="7"/>
              <w:rPr>
                <w:rFonts w:asciiTheme="majorBidi" w:hAnsiTheme="majorBidi" w:cstheme="majorBidi"/>
                <w:sz w:val="20"/>
                <w:szCs w:val="20"/>
              </w:rPr>
            </w:pPr>
            <w:r w:rsidRPr="00ED3B91">
              <w:rPr>
                <w:rFonts w:asciiTheme="majorBidi" w:hAnsiTheme="majorBidi" w:cstheme="majorBidi"/>
                <w:sz w:val="20"/>
                <w:szCs w:val="20"/>
              </w:rPr>
              <w:t>27% Fe-MMT K10</w:t>
            </w:r>
          </w:p>
        </w:tc>
        <w:tc>
          <w:tcPr>
            <w:tcW w:w="2970" w:type="dxa"/>
            <w:tcBorders>
              <w:bottom w:val="nil"/>
            </w:tcBorders>
            <w:vAlign w:val="center"/>
          </w:tcPr>
          <w:p w:rsidR="00ED3B91" w:rsidRPr="00ED3B91" w:rsidRDefault="00ED3B91" w:rsidP="00ED3B91">
            <w:pPr>
              <w:spacing w:before="60" w:after="0"/>
              <w:jc w:val="center"/>
              <w:rPr>
                <w:rFonts w:asciiTheme="majorBidi" w:hAnsiTheme="majorBidi" w:cstheme="majorBidi"/>
                <w:sz w:val="20"/>
                <w:szCs w:val="20"/>
              </w:rPr>
            </w:pPr>
            <w:r w:rsidRPr="00ED3B91">
              <w:rPr>
                <w:rFonts w:asciiTheme="majorBidi" w:hAnsiTheme="majorBidi" w:cstheme="majorBidi"/>
                <w:sz w:val="20"/>
                <w:szCs w:val="20"/>
              </w:rPr>
              <w:t>2.66</w:t>
            </w:r>
          </w:p>
        </w:tc>
      </w:tr>
      <w:tr w:rsidR="00ED3B91" w:rsidRPr="00ED3B91" w:rsidTr="00ED3B91">
        <w:trPr>
          <w:trHeight w:val="257"/>
          <w:jc w:val="center"/>
        </w:trPr>
        <w:tc>
          <w:tcPr>
            <w:tcW w:w="2118" w:type="dxa"/>
            <w:tcBorders>
              <w:top w:val="nil"/>
              <w:bottom w:val="single" w:sz="4" w:space="0" w:color="auto"/>
            </w:tcBorders>
            <w:vAlign w:val="center"/>
          </w:tcPr>
          <w:p w:rsidR="00ED3B91" w:rsidRPr="00ED3B91" w:rsidRDefault="00ED3B91" w:rsidP="00ED3B91">
            <w:pPr>
              <w:spacing w:before="60" w:after="60"/>
              <w:rPr>
                <w:rFonts w:asciiTheme="majorBidi" w:hAnsiTheme="majorBidi" w:cstheme="majorBidi"/>
                <w:sz w:val="20"/>
                <w:szCs w:val="20"/>
              </w:rPr>
            </w:pPr>
            <w:r w:rsidRPr="00ED3B91">
              <w:rPr>
                <w:rFonts w:asciiTheme="majorBidi" w:hAnsiTheme="majorBidi" w:cstheme="majorBidi"/>
                <w:sz w:val="20"/>
                <w:szCs w:val="20"/>
              </w:rPr>
              <w:t>20% Fe-MMT K10</w:t>
            </w:r>
          </w:p>
        </w:tc>
        <w:tc>
          <w:tcPr>
            <w:tcW w:w="2970" w:type="dxa"/>
            <w:tcBorders>
              <w:top w:val="nil"/>
              <w:bottom w:val="single" w:sz="4" w:space="0" w:color="auto"/>
            </w:tcBorders>
            <w:vAlign w:val="center"/>
          </w:tcPr>
          <w:p w:rsidR="00ED3B91" w:rsidRPr="00ED3B91" w:rsidRDefault="00ED3B91" w:rsidP="00ED3B91">
            <w:pPr>
              <w:spacing w:before="60" w:after="60"/>
              <w:jc w:val="center"/>
              <w:rPr>
                <w:rFonts w:asciiTheme="majorBidi" w:hAnsiTheme="majorBidi" w:cstheme="majorBidi"/>
                <w:sz w:val="20"/>
                <w:szCs w:val="20"/>
              </w:rPr>
            </w:pPr>
            <w:r w:rsidRPr="00ED3B91">
              <w:rPr>
                <w:rFonts w:asciiTheme="majorBidi" w:hAnsiTheme="majorBidi" w:cstheme="majorBidi"/>
                <w:sz w:val="20"/>
                <w:szCs w:val="20"/>
              </w:rPr>
              <w:t>5.23</w:t>
            </w:r>
          </w:p>
        </w:tc>
      </w:tr>
    </w:tbl>
    <w:p w:rsidR="00672906" w:rsidRDefault="00672906" w:rsidP="00CE0E6C">
      <w:pPr>
        <w:spacing w:after="0"/>
        <w:jc w:val="both"/>
        <w:outlineLvl w:val="0"/>
        <w:rPr>
          <w:rFonts w:ascii="Times New Roman" w:hAnsi="Times New Roman"/>
          <w:b/>
          <w:bCs/>
          <w:sz w:val="20"/>
          <w:szCs w:val="20"/>
        </w:rPr>
      </w:pPr>
    </w:p>
    <w:p w:rsidR="009A06E2" w:rsidRPr="00CE0E6C" w:rsidRDefault="009A06E2" w:rsidP="00CE0E6C">
      <w:pPr>
        <w:spacing w:after="0"/>
        <w:jc w:val="both"/>
        <w:outlineLvl w:val="0"/>
        <w:rPr>
          <w:rFonts w:ascii="Times New Roman" w:hAnsi="Times New Roman"/>
          <w:b/>
          <w:bCs/>
          <w:sz w:val="20"/>
          <w:szCs w:val="20"/>
        </w:rPr>
      </w:pPr>
    </w:p>
    <w:p w:rsidR="00F9064D" w:rsidRPr="00F9064D" w:rsidRDefault="00F9064D" w:rsidP="00F9064D">
      <w:pPr>
        <w:spacing w:after="120"/>
        <w:jc w:val="center"/>
        <w:rPr>
          <w:rFonts w:ascii="Times New Roman" w:hAnsi="Times New Roman"/>
          <w:sz w:val="20"/>
          <w:szCs w:val="20"/>
        </w:rPr>
      </w:pPr>
      <w:r w:rsidRPr="00F9064D">
        <w:rPr>
          <w:rFonts w:ascii="Times New Roman" w:hAnsi="Times New Roman"/>
          <w:sz w:val="20"/>
          <w:szCs w:val="20"/>
        </w:rPr>
        <w:t>Table 3. The elemental compositions of catalysts as determined by XRF</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
        <w:gridCol w:w="2033"/>
        <w:gridCol w:w="1861"/>
      </w:tblGrid>
      <w:tr w:rsidR="00F9064D" w:rsidRPr="00F9064D" w:rsidTr="00C34C71">
        <w:trPr>
          <w:trHeight w:val="206"/>
          <w:jc w:val="center"/>
        </w:trPr>
        <w:tc>
          <w:tcPr>
            <w:tcW w:w="0" w:type="auto"/>
            <w:vMerge w:val="restart"/>
            <w:tcBorders>
              <w:top w:val="single" w:sz="4" w:space="0" w:color="auto"/>
              <w:bottom w:val="nil"/>
            </w:tcBorders>
          </w:tcPr>
          <w:p w:rsidR="00F9064D" w:rsidRPr="00F9064D" w:rsidRDefault="00F9064D" w:rsidP="00C34C71">
            <w:pPr>
              <w:spacing w:before="180" w:after="0"/>
              <w:rPr>
                <w:rFonts w:ascii="Times New Roman" w:hAnsi="Times New Roman" w:cs="Times New Roman"/>
                <w:b/>
                <w:bCs/>
                <w:sz w:val="20"/>
                <w:szCs w:val="20"/>
              </w:rPr>
            </w:pPr>
            <w:r w:rsidRPr="00F9064D">
              <w:rPr>
                <w:rFonts w:ascii="Times New Roman" w:hAnsi="Times New Roman" w:cs="Times New Roman"/>
                <w:b/>
                <w:bCs/>
                <w:sz w:val="20"/>
                <w:szCs w:val="20"/>
              </w:rPr>
              <w:t>Elements</w:t>
            </w:r>
          </w:p>
        </w:tc>
        <w:tc>
          <w:tcPr>
            <w:tcW w:w="0" w:type="auto"/>
            <w:gridSpan w:val="2"/>
            <w:tcBorders>
              <w:top w:val="single" w:sz="4" w:space="0" w:color="auto"/>
              <w:bottom w:val="single" w:sz="4" w:space="0" w:color="auto"/>
            </w:tcBorders>
          </w:tcPr>
          <w:p w:rsidR="00F9064D" w:rsidRPr="00F9064D" w:rsidRDefault="00F9064D" w:rsidP="00C34C71">
            <w:pPr>
              <w:spacing w:before="60" w:after="0"/>
              <w:jc w:val="center"/>
              <w:rPr>
                <w:rFonts w:ascii="Times New Roman" w:hAnsi="Times New Roman" w:cs="Times New Roman"/>
                <w:b/>
                <w:bCs/>
                <w:sz w:val="20"/>
                <w:szCs w:val="20"/>
              </w:rPr>
            </w:pPr>
            <w:r w:rsidRPr="00F9064D">
              <w:rPr>
                <w:rFonts w:ascii="Times New Roman" w:hAnsi="Times New Roman" w:cs="Times New Roman"/>
                <w:b/>
                <w:bCs/>
                <w:sz w:val="20"/>
                <w:szCs w:val="20"/>
              </w:rPr>
              <w:t>Mass Compositions (%)</w:t>
            </w:r>
          </w:p>
        </w:tc>
      </w:tr>
      <w:tr w:rsidR="00F9064D" w:rsidRPr="00F9064D" w:rsidTr="00672906">
        <w:trPr>
          <w:trHeight w:val="206"/>
          <w:jc w:val="center"/>
        </w:trPr>
        <w:tc>
          <w:tcPr>
            <w:tcW w:w="0" w:type="auto"/>
            <w:vMerge/>
            <w:tcBorders>
              <w:top w:val="nil"/>
              <w:bottom w:val="single" w:sz="4" w:space="0" w:color="auto"/>
            </w:tcBorders>
          </w:tcPr>
          <w:p w:rsidR="00F9064D" w:rsidRPr="00F9064D" w:rsidRDefault="00F9064D" w:rsidP="00C34C71">
            <w:pPr>
              <w:spacing w:after="0"/>
              <w:rPr>
                <w:rFonts w:ascii="Times New Roman" w:hAnsi="Times New Roman" w:cs="Times New Roman"/>
                <w:b/>
                <w:bCs/>
                <w:sz w:val="20"/>
                <w:szCs w:val="20"/>
              </w:rPr>
            </w:pPr>
          </w:p>
        </w:tc>
        <w:tc>
          <w:tcPr>
            <w:tcW w:w="0" w:type="auto"/>
            <w:tcBorders>
              <w:top w:val="single" w:sz="4" w:space="0" w:color="auto"/>
              <w:bottom w:val="single" w:sz="4" w:space="0" w:color="auto"/>
            </w:tcBorders>
          </w:tcPr>
          <w:p w:rsidR="00F9064D" w:rsidRPr="00F9064D" w:rsidRDefault="00F9064D" w:rsidP="00F9064D">
            <w:pPr>
              <w:spacing w:after="0"/>
              <w:jc w:val="center"/>
              <w:rPr>
                <w:rFonts w:ascii="Times New Roman" w:hAnsi="Times New Roman" w:cs="Times New Roman"/>
                <w:b/>
                <w:bCs/>
                <w:sz w:val="20"/>
                <w:szCs w:val="20"/>
              </w:rPr>
            </w:pPr>
            <w:r w:rsidRPr="00F9064D">
              <w:rPr>
                <w:rFonts w:ascii="Times New Roman" w:hAnsi="Times New Roman" w:cs="Times New Roman"/>
                <w:b/>
                <w:bCs/>
                <w:sz w:val="20"/>
                <w:szCs w:val="20"/>
              </w:rPr>
              <w:t>Montmorillonite K10</w:t>
            </w:r>
          </w:p>
        </w:tc>
        <w:tc>
          <w:tcPr>
            <w:tcW w:w="0" w:type="auto"/>
            <w:tcBorders>
              <w:top w:val="single" w:sz="4" w:space="0" w:color="auto"/>
              <w:bottom w:val="single" w:sz="4" w:space="0" w:color="auto"/>
            </w:tcBorders>
          </w:tcPr>
          <w:p w:rsidR="00F9064D" w:rsidRPr="00F9064D" w:rsidRDefault="00F9064D" w:rsidP="00C34C71">
            <w:pPr>
              <w:spacing w:after="60"/>
              <w:jc w:val="center"/>
              <w:rPr>
                <w:rFonts w:ascii="Times New Roman" w:hAnsi="Times New Roman" w:cs="Times New Roman"/>
                <w:b/>
                <w:bCs/>
                <w:sz w:val="20"/>
                <w:szCs w:val="20"/>
              </w:rPr>
            </w:pPr>
            <w:r w:rsidRPr="00F9064D">
              <w:rPr>
                <w:rFonts w:ascii="Times New Roman" w:hAnsi="Times New Roman" w:cs="Times New Roman"/>
                <w:b/>
                <w:bCs/>
                <w:sz w:val="20"/>
                <w:szCs w:val="20"/>
              </w:rPr>
              <w:t>20% Fe-MMT K10</w:t>
            </w:r>
          </w:p>
        </w:tc>
      </w:tr>
      <w:tr w:rsidR="00F9064D" w:rsidRPr="00F9064D" w:rsidTr="00672906">
        <w:trPr>
          <w:trHeight w:val="1676"/>
          <w:jc w:val="center"/>
        </w:trPr>
        <w:tc>
          <w:tcPr>
            <w:tcW w:w="0" w:type="auto"/>
            <w:tcBorders>
              <w:top w:val="single" w:sz="4" w:space="0" w:color="auto"/>
              <w:bottom w:val="single" w:sz="4" w:space="0" w:color="auto"/>
            </w:tcBorders>
          </w:tcPr>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Na</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Mg</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Al</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Si</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K</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Ca</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Fe</w:t>
            </w:r>
          </w:p>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Zn</w:t>
            </w:r>
          </w:p>
        </w:tc>
        <w:tc>
          <w:tcPr>
            <w:tcW w:w="0" w:type="auto"/>
            <w:tcBorders>
              <w:top w:val="single" w:sz="4" w:space="0" w:color="auto"/>
              <w:bottom w:val="single" w:sz="4" w:space="0" w:color="auto"/>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0.0992</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0.739</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5.88</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28.0</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1.04</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0.211</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1.69</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0.0026</w:t>
            </w:r>
          </w:p>
        </w:tc>
        <w:tc>
          <w:tcPr>
            <w:tcW w:w="0" w:type="auto"/>
            <w:tcBorders>
              <w:top w:val="single" w:sz="4" w:space="0" w:color="auto"/>
              <w:bottom w:val="single" w:sz="4" w:space="0" w:color="auto"/>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0.156</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0.705</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6.05</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30.0</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1.30</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0.0685</w:t>
            </w:r>
          </w:p>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3.46</w:t>
            </w:r>
          </w:p>
          <w:p w:rsidR="00F9064D" w:rsidRPr="00F9064D" w:rsidRDefault="00F9064D" w:rsidP="00C34C71">
            <w:pPr>
              <w:spacing w:before="60" w:after="60"/>
              <w:jc w:val="center"/>
              <w:rPr>
                <w:rFonts w:ascii="Times New Roman" w:hAnsi="Times New Roman" w:cs="Times New Roman"/>
                <w:sz w:val="20"/>
                <w:szCs w:val="20"/>
              </w:rPr>
            </w:pPr>
            <w:r w:rsidRPr="00F9064D">
              <w:rPr>
                <w:rFonts w:ascii="Times New Roman" w:hAnsi="Times New Roman" w:cs="Times New Roman"/>
                <w:sz w:val="20"/>
                <w:szCs w:val="20"/>
              </w:rPr>
              <w:t>0.0031</w:t>
            </w:r>
          </w:p>
        </w:tc>
      </w:tr>
    </w:tbl>
    <w:p w:rsidR="00C112EA" w:rsidRDefault="00C112EA"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pPr>
    </w:p>
    <w:p w:rsidR="009A06E2" w:rsidRDefault="009A06E2" w:rsidP="003E5387">
      <w:pPr>
        <w:spacing w:after="0"/>
        <w:rPr>
          <w:rFonts w:ascii="Times New Roman" w:hAnsi="Times New Roman"/>
          <w:sz w:val="20"/>
          <w:szCs w:val="20"/>
        </w:rPr>
        <w:sectPr w:rsidR="009A06E2" w:rsidSect="006F717F">
          <w:headerReference w:type="even" r:id="rId56"/>
          <w:headerReference w:type="default" r:id="rId57"/>
          <w:footerReference w:type="even" r:id="rId58"/>
          <w:footerReference w:type="default" r:id="rId59"/>
          <w:headerReference w:type="first" r:id="rId60"/>
          <w:type w:val="oddPage"/>
          <w:pgSz w:w="12240" w:h="15840" w:code="1"/>
          <w:pgMar w:top="1800" w:right="1469" w:bottom="1699" w:left="1440" w:header="706" w:footer="706" w:gutter="0"/>
          <w:pgNumType w:start="1"/>
          <w:cols w:space="708"/>
          <w:docGrid w:linePitch="360"/>
        </w:sectPr>
      </w:pPr>
    </w:p>
    <w:p w:rsidR="00F9064D" w:rsidRPr="00F9064D" w:rsidRDefault="00F9064D" w:rsidP="009A06E2">
      <w:pPr>
        <w:spacing w:after="120"/>
        <w:jc w:val="center"/>
        <w:rPr>
          <w:rFonts w:ascii="Times New Roman" w:hAnsi="Times New Roman"/>
          <w:sz w:val="20"/>
          <w:szCs w:val="20"/>
        </w:rPr>
      </w:pPr>
      <w:r w:rsidRPr="00F9064D">
        <w:rPr>
          <w:rFonts w:ascii="Times New Roman" w:hAnsi="Times New Roman"/>
          <w:sz w:val="20"/>
          <w:szCs w:val="20"/>
        </w:rPr>
        <w:lastRenderedPageBreak/>
        <w:t xml:space="preserve">Table 4. </w:t>
      </w:r>
      <w:r w:rsidR="00C34C71">
        <w:rPr>
          <w:rFonts w:ascii="Times New Roman" w:hAnsi="Times New Roman"/>
          <w:sz w:val="20"/>
          <w:szCs w:val="20"/>
        </w:rPr>
        <w:t xml:space="preserve"> </w:t>
      </w:r>
      <w:r w:rsidRPr="00F9064D">
        <w:rPr>
          <w:rFonts w:ascii="Times New Roman" w:hAnsi="Times New Roman"/>
          <w:sz w:val="20"/>
          <w:szCs w:val="20"/>
        </w:rPr>
        <w:t>Ammonia desorption of montmorillonite K10 and its modified samples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683"/>
        <w:gridCol w:w="1761"/>
        <w:gridCol w:w="1344"/>
      </w:tblGrid>
      <w:tr w:rsidR="00F9064D" w:rsidRPr="00F9064D" w:rsidTr="00C34C71">
        <w:trPr>
          <w:trHeight w:val="210"/>
          <w:jc w:val="center"/>
        </w:trPr>
        <w:tc>
          <w:tcPr>
            <w:tcW w:w="0" w:type="auto"/>
            <w:vMerge w:val="restart"/>
            <w:tcBorders>
              <w:top w:val="single" w:sz="4" w:space="0" w:color="auto"/>
              <w:bottom w:val="nil"/>
            </w:tcBorders>
            <w:vAlign w:val="center"/>
          </w:tcPr>
          <w:p w:rsidR="00F9064D" w:rsidRPr="00F9064D" w:rsidRDefault="00F9064D" w:rsidP="00C34C71">
            <w:pPr>
              <w:spacing w:after="0"/>
              <w:rPr>
                <w:rFonts w:ascii="Times New Roman" w:hAnsi="Times New Roman" w:cs="Times New Roman"/>
                <w:b/>
                <w:sz w:val="20"/>
                <w:szCs w:val="20"/>
              </w:rPr>
            </w:pPr>
            <w:r w:rsidRPr="00F9064D">
              <w:rPr>
                <w:rFonts w:ascii="Times New Roman" w:hAnsi="Times New Roman" w:cs="Times New Roman"/>
                <w:b/>
                <w:sz w:val="20"/>
                <w:szCs w:val="20"/>
              </w:rPr>
              <w:t>Type of Catalysts</w:t>
            </w:r>
          </w:p>
        </w:tc>
        <w:tc>
          <w:tcPr>
            <w:tcW w:w="0" w:type="auto"/>
            <w:gridSpan w:val="3"/>
            <w:tcBorders>
              <w:top w:val="single" w:sz="4" w:space="0" w:color="auto"/>
              <w:bottom w:val="single" w:sz="4" w:space="0" w:color="auto"/>
            </w:tcBorders>
          </w:tcPr>
          <w:p w:rsidR="00F9064D" w:rsidRPr="00F9064D" w:rsidRDefault="00F9064D" w:rsidP="00C34C71">
            <w:pPr>
              <w:spacing w:before="60" w:after="0"/>
              <w:jc w:val="center"/>
              <w:rPr>
                <w:rFonts w:ascii="Times New Roman" w:hAnsi="Times New Roman" w:cs="Times New Roman"/>
                <w:b/>
                <w:sz w:val="20"/>
                <w:szCs w:val="20"/>
              </w:rPr>
            </w:pPr>
            <w:r w:rsidRPr="00F9064D">
              <w:rPr>
                <w:rFonts w:ascii="Times New Roman" w:hAnsi="Times New Roman" w:cs="Times New Roman"/>
                <w:b/>
                <w:sz w:val="20"/>
                <w:szCs w:val="20"/>
              </w:rPr>
              <w:t>NH</w:t>
            </w:r>
            <w:r w:rsidRPr="00F9064D">
              <w:rPr>
                <w:rFonts w:ascii="Times New Roman" w:hAnsi="Times New Roman" w:cs="Times New Roman"/>
                <w:b/>
                <w:sz w:val="20"/>
                <w:szCs w:val="20"/>
                <w:vertAlign w:val="subscript"/>
              </w:rPr>
              <w:t>3</w:t>
            </w:r>
            <w:r w:rsidRPr="00F9064D">
              <w:rPr>
                <w:rFonts w:ascii="Times New Roman" w:hAnsi="Times New Roman" w:cs="Times New Roman"/>
                <w:b/>
                <w:sz w:val="20"/>
                <w:szCs w:val="20"/>
              </w:rPr>
              <w:t xml:space="preserve"> Desorption (mmol/g)</w:t>
            </w:r>
          </w:p>
        </w:tc>
      </w:tr>
      <w:tr w:rsidR="00F9064D" w:rsidRPr="00F9064D" w:rsidTr="00C34C71">
        <w:trPr>
          <w:trHeight w:val="70"/>
          <w:jc w:val="center"/>
        </w:trPr>
        <w:tc>
          <w:tcPr>
            <w:tcW w:w="0" w:type="auto"/>
            <w:vMerge/>
            <w:tcBorders>
              <w:top w:val="nil"/>
              <w:bottom w:val="single" w:sz="4" w:space="0" w:color="auto"/>
            </w:tcBorders>
          </w:tcPr>
          <w:p w:rsidR="00F9064D" w:rsidRPr="00F9064D" w:rsidRDefault="00F9064D" w:rsidP="00C34C71">
            <w:pPr>
              <w:spacing w:after="0"/>
              <w:rPr>
                <w:rFonts w:ascii="Times New Roman" w:hAnsi="Times New Roman" w:cs="Times New Roman"/>
                <w:b/>
                <w:sz w:val="20"/>
                <w:szCs w:val="20"/>
              </w:rPr>
            </w:pPr>
          </w:p>
        </w:tc>
        <w:tc>
          <w:tcPr>
            <w:tcW w:w="0" w:type="auto"/>
            <w:tcBorders>
              <w:top w:val="single" w:sz="4" w:space="0" w:color="auto"/>
              <w:bottom w:val="single" w:sz="4" w:space="0" w:color="auto"/>
            </w:tcBorders>
          </w:tcPr>
          <w:p w:rsidR="00F9064D" w:rsidRPr="00F9064D" w:rsidRDefault="00F9064D" w:rsidP="00F9064D">
            <w:pPr>
              <w:spacing w:after="0"/>
              <w:jc w:val="center"/>
              <w:rPr>
                <w:rFonts w:ascii="Times New Roman" w:hAnsi="Times New Roman" w:cs="Times New Roman"/>
                <w:b/>
                <w:sz w:val="20"/>
                <w:szCs w:val="20"/>
              </w:rPr>
            </w:pPr>
            <w:r w:rsidRPr="00F9064D">
              <w:rPr>
                <w:rFonts w:ascii="Times New Roman" w:hAnsi="Times New Roman" w:cs="Times New Roman"/>
                <w:b/>
                <w:sz w:val="20"/>
                <w:szCs w:val="20"/>
              </w:rPr>
              <w:t>Weak Acidic Site</w:t>
            </w:r>
          </w:p>
        </w:tc>
        <w:tc>
          <w:tcPr>
            <w:tcW w:w="0" w:type="auto"/>
            <w:tcBorders>
              <w:top w:val="single" w:sz="4" w:space="0" w:color="auto"/>
              <w:bottom w:val="single" w:sz="4" w:space="0" w:color="auto"/>
            </w:tcBorders>
          </w:tcPr>
          <w:p w:rsidR="00F9064D" w:rsidRPr="00F9064D" w:rsidRDefault="00F9064D" w:rsidP="00F9064D">
            <w:pPr>
              <w:spacing w:after="0"/>
              <w:jc w:val="center"/>
              <w:rPr>
                <w:rFonts w:ascii="Times New Roman" w:hAnsi="Times New Roman" w:cs="Times New Roman"/>
                <w:b/>
                <w:sz w:val="20"/>
                <w:szCs w:val="20"/>
              </w:rPr>
            </w:pPr>
            <w:r w:rsidRPr="00F9064D">
              <w:rPr>
                <w:rFonts w:ascii="Times New Roman" w:hAnsi="Times New Roman" w:cs="Times New Roman"/>
                <w:b/>
                <w:sz w:val="20"/>
                <w:szCs w:val="20"/>
              </w:rPr>
              <w:t>Strong Acidic Site</w:t>
            </w:r>
          </w:p>
        </w:tc>
        <w:tc>
          <w:tcPr>
            <w:tcW w:w="0" w:type="auto"/>
            <w:tcBorders>
              <w:top w:val="single" w:sz="4" w:space="0" w:color="auto"/>
              <w:bottom w:val="single" w:sz="4" w:space="0" w:color="auto"/>
            </w:tcBorders>
          </w:tcPr>
          <w:p w:rsidR="00F9064D" w:rsidRPr="00F9064D" w:rsidRDefault="00F9064D" w:rsidP="00C34C71">
            <w:pPr>
              <w:spacing w:after="60"/>
              <w:jc w:val="center"/>
              <w:rPr>
                <w:rFonts w:ascii="Times New Roman" w:hAnsi="Times New Roman" w:cs="Times New Roman"/>
                <w:b/>
                <w:sz w:val="20"/>
                <w:szCs w:val="20"/>
              </w:rPr>
            </w:pPr>
            <w:r w:rsidRPr="00F9064D">
              <w:rPr>
                <w:rFonts w:ascii="Times New Roman" w:hAnsi="Times New Roman" w:cs="Times New Roman"/>
                <w:b/>
                <w:sz w:val="20"/>
                <w:szCs w:val="20"/>
              </w:rPr>
              <w:t>Total Acidity</w:t>
            </w:r>
          </w:p>
        </w:tc>
      </w:tr>
      <w:tr w:rsidR="00F9064D" w:rsidRPr="00F9064D" w:rsidTr="00C34C71">
        <w:trPr>
          <w:trHeight w:val="210"/>
          <w:jc w:val="center"/>
        </w:trPr>
        <w:tc>
          <w:tcPr>
            <w:tcW w:w="0" w:type="auto"/>
            <w:tcBorders>
              <w:top w:val="single" w:sz="4" w:space="0" w:color="auto"/>
              <w:bottom w:val="nil"/>
            </w:tcBorders>
          </w:tcPr>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MMT K10</w:t>
            </w:r>
          </w:p>
        </w:tc>
        <w:tc>
          <w:tcPr>
            <w:tcW w:w="0" w:type="auto"/>
            <w:tcBorders>
              <w:top w:val="single" w:sz="4" w:space="0" w:color="auto"/>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0.090</w:t>
            </w:r>
          </w:p>
        </w:tc>
        <w:tc>
          <w:tcPr>
            <w:tcW w:w="0" w:type="auto"/>
            <w:tcBorders>
              <w:top w:val="single" w:sz="4" w:space="0" w:color="auto"/>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0.142</w:t>
            </w:r>
          </w:p>
        </w:tc>
        <w:tc>
          <w:tcPr>
            <w:tcW w:w="0" w:type="auto"/>
            <w:tcBorders>
              <w:top w:val="single" w:sz="4" w:space="0" w:color="auto"/>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0.232</w:t>
            </w:r>
          </w:p>
        </w:tc>
      </w:tr>
      <w:tr w:rsidR="00F9064D" w:rsidRPr="00F9064D" w:rsidTr="00036EA5">
        <w:trPr>
          <w:trHeight w:val="80"/>
          <w:jc w:val="center"/>
        </w:trPr>
        <w:tc>
          <w:tcPr>
            <w:tcW w:w="0" w:type="auto"/>
            <w:tcBorders>
              <w:top w:val="nil"/>
              <w:bottom w:val="nil"/>
            </w:tcBorders>
          </w:tcPr>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14% Fe-MMT K10</w:t>
            </w:r>
          </w:p>
        </w:tc>
        <w:tc>
          <w:tcPr>
            <w:tcW w:w="0" w:type="auto"/>
            <w:tcBorders>
              <w:top w:val="nil"/>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1.350</w:t>
            </w:r>
          </w:p>
        </w:tc>
        <w:tc>
          <w:tcPr>
            <w:tcW w:w="0" w:type="auto"/>
            <w:tcBorders>
              <w:top w:val="nil"/>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0.220</w:t>
            </w:r>
          </w:p>
        </w:tc>
        <w:tc>
          <w:tcPr>
            <w:tcW w:w="0" w:type="auto"/>
            <w:tcBorders>
              <w:top w:val="nil"/>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1.57</w:t>
            </w:r>
          </w:p>
        </w:tc>
      </w:tr>
      <w:tr w:rsidR="00F9064D" w:rsidRPr="00F9064D" w:rsidTr="00C34C71">
        <w:trPr>
          <w:trHeight w:val="80"/>
          <w:jc w:val="center"/>
        </w:trPr>
        <w:tc>
          <w:tcPr>
            <w:tcW w:w="0" w:type="auto"/>
            <w:tcBorders>
              <w:top w:val="nil"/>
              <w:bottom w:val="nil"/>
            </w:tcBorders>
          </w:tcPr>
          <w:p w:rsidR="00F9064D" w:rsidRPr="00F9064D" w:rsidRDefault="00F9064D" w:rsidP="00C34C71">
            <w:pPr>
              <w:spacing w:before="60" w:after="0"/>
              <w:rPr>
                <w:rFonts w:ascii="Times New Roman" w:hAnsi="Times New Roman" w:cs="Times New Roman"/>
                <w:sz w:val="20"/>
                <w:szCs w:val="20"/>
              </w:rPr>
            </w:pPr>
            <w:r w:rsidRPr="00F9064D">
              <w:rPr>
                <w:rFonts w:ascii="Times New Roman" w:hAnsi="Times New Roman" w:cs="Times New Roman"/>
                <w:sz w:val="20"/>
                <w:szCs w:val="20"/>
              </w:rPr>
              <w:t>27% Fe-MMT K10</w:t>
            </w:r>
          </w:p>
        </w:tc>
        <w:tc>
          <w:tcPr>
            <w:tcW w:w="0" w:type="auto"/>
            <w:tcBorders>
              <w:top w:val="nil"/>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1.494</w:t>
            </w:r>
          </w:p>
        </w:tc>
        <w:tc>
          <w:tcPr>
            <w:tcW w:w="0" w:type="auto"/>
            <w:tcBorders>
              <w:top w:val="nil"/>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w:t>
            </w:r>
          </w:p>
        </w:tc>
        <w:tc>
          <w:tcPr>
            <w:tcW w:w="0" w:type="auto"/>
            <w:tcBorders>
              <w:top w:val="nil"/>
              <w:bottom w:val="nil"/>
            </w:tcBorders>
          </w:tcPr>
          <w:p w:rsidR="00F9064D" w:rsidRPr="00F9064D" w:rsidRDefault="00F9064D" w:rsidP="00C34C71">
            <w:pPr>
              <w:spacing w:before="60" w:after="0"/>
              <w:jc w:val="center"/>
              <w:rPr>
                <w:rFonts w:ascii="Times New Roman" w:hAnsi="Times New Roman" w:cs="Times New Roman"/>
                <w:sz w:val="20"/>
                <w:szCs w:val="20"/>
              </w:rPr>
            </w:pPr>
            <w:r w:rsidRPr="00F9064D">
              <w:rPr>
                <w:rFonts w:ascii="Times New Roman" w:hAnsi="Times New Roman" w:cs="Times New Roman"/>
                <w:sz w:val="20"/>
                <w:szCs w:val="20"/>
              </w:rPr>
              <w:t>1.494</w:t>
            </w:r>
          </w:p>
        </w:tc>
      </w:tr>
      <w:tr w:rsidR="00F9064D" w:rsidRPr="00F9064D" w:rsidTr="00C34C71">
        <w:trPr>
          <w:trHeight w:val="80"/>
          <w:jc w:val="center"/>
        </w:trPr>
        <w:tc>
          <w:tcPr>
            <w:tcW w:w="0" w:type="auto"/>
            <w:tcBorders>
              <w:top w:val="nil"/>
              <w:bottom w:val="single" w:sz="4" w:space="0" w:color="auto"/>
            </w:tcBorders>
          </w:tcPr>
          <w:p w:rsidR="00F9064D" w:rsidRPr="00F9064D" w:rsidRDefault="00F9064D" w:rsidP="00C34C71">
            <w:pPr>
              <w:spacing w:before="60" w:after="60"/>
              <w:rPr>
                <w:rFonts w:ascii="Times New Roman" w:hAnsi="Times New Roman" w:cs="Times New Roman"/>
                <w:sz w:val="20"/>
                <w:szCs w:val="20"/>
              </w:rPr>
            </w:pPr>
            <w:r w:rsidRPr="00F9064D">
              <w:rPr>
                <w:rFonts w:ascii="Times New Roman" w:hAnsi="Times New Roman" w:cs="Times New Roman"/>
                <w:sz w:val="20"/>
                <w:szCs w:val="20"/>
              </w:rPr>
              <w:t>20% Fe-MMT K10</w:t>
            </w:r>
          </w:p>
        </w:tc>
        <w:tc>
          <w:tcPr>
            <w:tcW w:w="0" w:type="auto"/>
            <w:tcBorders>
              <w:top w:val="nil"/>
              <w:bottom w:val="single" w:sz="4" w:space="0" w:color="auto"/>
            </w:tcBorders>
            <w:vAlign w:val="center"/>
          </w:tcPr>
          <w:p w:rsidR="00F9064D" w:rsidRPr="00F9064D" w:rsidRDefault="00F9064D" w:rsidP="00C34C71">
            <w:pPr>
              <w:spacing w:before="60" w:after="60"/>
              <w:jc w:val="center"/>
              <w:rPr>
                <w:rFonts w:ascii="Times New Roman" w:hAnsi="Times New Roman" w:cs="Times New Roman"/>
                <w:sz w:val="20"/>
                <w:szCs w:val="20"/>
              </w:rPr>
            </w:pPr>
            <w:r w:rsidRPr="00F9064D">
              <w:rPr>
                <w:rFonts w:ascii="Times New Roman" w:hAnsi="Times New Roman" w:cs="Times New Roman"/>
                <w:sz w:val="20"/>
                <w:szCs w:val="20"/>
              </w:rPr>
              <w:t>-</w:t>
            </w:r>
          </w:p>
        </w:tc>
        <w:tc>
          <w:tcPr>
            <w:tcW w:w="0" w:type="auto"/>
            <w:tcBorders>
              <w:top w:val="nil"/>
              <w:bottom w:val="single" w:sz="4" w:space="0" w:color="auto"/>
            </w:tcBorders>
            <w:vAlign w:val="center"/>
          </w:tcPr>
          <w:p w:rsidR="00F9064D" w:rsidRPr="00F9064D" w:rsidRDefault="00F9064D" w:rsidP="00C34C71">
            <w:pPr>
              <w:spacing w:before="60" w:after="60"/>
              <w:jc w:val="center"/>
              <w:rPr>
                <w:rFonts w:ascii="Times New Roman" w:hAnsi="Times New Roman" w:cs="Times New Roman"/>
                <w:sz w:val="20"/>
                <w:szCs w:val="20"/>
              </w:rPr>
            </w:pPr>
            <w:r w:rsidRPr="00F9064D">
              <w:rPr>
                <w:rFonts w:ascii="Times New Roman" w:hAnsi="Times New Roman" w:cs="Times New Roman"/>
                <w:sz w:val="20"/>
                <w:szCs w:val="20"/>
              </w:rPr>
              <w:t>14.261</w:t>
            </w:r>
          </w:p>
        </w:tc>
        <w:tc>
          <w:tcPr>
            <w:tcW w:w="0" w:type="auto"/>
            <w:tcBorders>
              <w:top w:val="nil"/>
              <w:bottom w:val="single" w:sz="4" w:space="0" w:color="auto"/>
            </w:tcBorders>
            <w:vAlign w:val="center"/>
          </w:tcPr>
          <w:p w:rsidR="00F9064D" w:rsidRPr="00F9064D" w:rsidRDefault="00F9064D" w:rsidP="00C34C71">
            <w:pPr>
              <w:spacing w:before="60" w:after="60"/>
              <w:jc w:val="center"/>
              <w:rPr>
                <w:rFonts w:ascii="Times New Roman" w:hAnsi="Times New Roman" w:cs="Times New Roman"/>
                <w:sz w:val="20"/>
                <w:szCs w:val="20"/>
              </w:rPr>
            </w:pPr>
            <w:r w:rsidRPr="00F9064D">
              <w:rPr>
                <w:rFonts w:ascii="Times New Roman" w:hAnsi="Times New Roman" w:cs="Times New Roman"/>
                <w:sz w:val="20"/>
                <w:szCs w:val="20"/>
              </w:rPr>
              <w:t>14.261</w:t>
            </w:r>
          </w:p>
        </w:tc>
      </w:tr>
    </w:tbl>
    <w:p w:rsidR="00F9064D" w:rsidRDefault="00F9064D" w:rsidP="00C112EA">
      <w:pPr>
        <w:spacing w:after="120"/>
        <w:rPr>
          <w:rFonts w:asciiTheme="majorBidi" w:hAnsiTheme="majorBidi" w:cstheme="majorBidi"/>
          <w:szCs w:val="20"/>
        </w:rPr>
      </w:pPr>
    </w:p>
    <w:p w:rsidR="00F9064D" w:rsidRPr="00207A6D" w:rsidRDefault="00B61133" w:rsidP="00B61133">
      <w:pPr>
        <w:spacing w:after="0"/>
        <w:jc w:val="center"/>
        <w:rPr>
          <w:rFonts w:asciiTheme="majorBidi" w:hAnsiTheme="majorBidi" w:cstheme="majorBidi"/>
          <w:sz w:val="20"/>
          <w:szCs w:val="20"/>
        </w:rPr>
      </w:pPr>
      <w:r>
        <w:rPr>
          <w:rFonts w:asciiTheme="majorBidi" w:hAnsiTheme="majorBidi" w:cstheme="majorBidi"/>
          <w:noProof/>
          <w:sz w:val="20"/>
          <w:szCs w:val="20"/>
          <w:lang w:val="en-MY" w:eastAsia="en-MY" w:bidi="ar-SA"/>
        </w:rPr>
        <w:drawing>
          <wp:inline distT="0" distB="0" distL="0" distR="0">
            <wp:extent cx="3261037"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_3_10-5.png"/>
                    <pic:cNvPicPr/>
                  </pic:nvPicPr>
                  <pic:blipFill>
                    <a:blip r:embed="rId61">
                      <a:extLst>
                        <a:ext uri="{28A0092B-C50C-407E-A947-70E740481C1C}">
                          <a14:useLocalDpi xmlns:a14="http://schemas.microsoft.com/office/drawing/2010/main" val="0"/>
                        </a:ext>
                      </a:extLst>
                    </a:blip>
                    <a:stretch>
                      <a:fillRect/>
                    </a:stretch>
                  </pic:blipFill>
                  <pic:spPr>
                    <a:xfrm>
                      <a:off x="0" y="0"/>
                      <a:ext cx="3261037" cy="2377440"/>
                    </a:xfrm>
                    <a:prstGeom prst="rect">
                      <a:avLst/>
                    </a:prstGeom>
                  </pic:spPr>
                </pic:pic>
              </a:graphicData>
            </a:graphic>
          </wp:inline>
        </w:drawing>
      </w:r>
    </w:p>
    <w:p w:rsidR="00207A6D" w:rsidRDefault="00207A6D" w:rsidP="00B61133">
      <w:pPr>
        <w:spacing w:after="120"/>
        <w:jc w:val="center"/>
        <w:rPr>
          <w:rFonts w:asciiTheme="majorBidi" w:hAnsiTheme="majorBidi" w:cstheme="majorBidi"/>
          <w:sz w:val="20"/>
          <w:szCs w:val="20"/>
        </w:rPr>
      </w:pPr>
      <w:r w:rsidRPr="00207A6D">
        <w:rPr>
          <w:rFonts w:asciiTheme="majorBidi" w:hAnsiTheme="majorBidi" w:cstheme="majorBidi"/>
          <w:sz w:val="20"/>
          <w:szCs w:val="20"/>
        </w:rPr>
        <w:t xml:space="preserve">Figure 5. </w:t>
      </w:r>
      <w:r>
        <w:rPr>
          <w:rFonts w:asciiTheme="majorBidi" w:hAnsiTheme="majorBidi" w:cstheme="majorBidi"/>
          <w:sz w:val="20"/>
          <w:szCs w:val="20"/>
        </w:rPr>
        <w:t xml:space="preserve"> </w:t>
      </w:r>
      <w:r w:rsidRPr="00207A6D">
        <w:rPr>
          <w:rFonts w:asciiTheme="majorBidi" w:hAnsiTheme="majorBidi" w:cstheme="majorBidi"/>
          <w:sz w:val="20"/>
          <w:szCs w:val="20"/>
        </w:rPr>
        <w:t>Peak of acidity of montmorillonite K10 and its modifications from TPD-NH</w:t>
      </w:r>
      <w:r w:rsidRPr="00207A6D">
        <w:rPr>
          <w:rFonts w:asciiTheme="majorBidi" w:hAnsiTheme="majorBidi" w:cstheme="majorBidi"/>
          <w:sz w:val="20"/>
          <w:szCs w:val="20"/>
          <w:vertAlign w:val="subscript"/>
        </w:rPr>
        <w:t>3</w:t>
      </w:r>
      <w:r w:rsidRPr="00207A6D">
        <w:rPr>
          <w:rFonts w:asciiTheme="majorBidi" w:hAnsiTheme="majorBidi" w:cstheme="majorBidi"/>
          <w:sz w:val="20"/>
          <w:szCs w:val="20"/>
        </w:rPr>
        <w:t xml:space="preserve"> analysis</w:t>
      </w:r>
    </w:p>
    <w:p w:rsidR="000F7FC8" w:rsidRPr="00B61133" w:rsidRDefault="000F7FC8" w:rsidP="00B61133">
      <w:pPr>
        <w:spacing w:after="120"/>
        <w:jc w:val="center"/>
        <w:rPr>
          <w:rFonts w:asciiTheme="majorBidi" w:hAnsiTheme="majorBidi" w:cstheme="majorBidi"/>
          <w:sz w:val="20"/>
          <w:szCs w:val="20"/>
        </w:rPr>
      </w:pPr>
    </w:p>
    <w:p w:rsidR="00B61133" w:rsidRPr="000F7FC8" w:rsidRDefault="000F7FC8" w:rsidP="000F7FC8">
      <w:pPr>
        <w:spacing w:after="120"/>
        <w:jc w:val="center"/>
        <w:rPr>
          <w:rFonts w:asciiTheme="majorBidi" w:hAnsiTheme="majorBidi" w:cstheme="majorBidi"/>
          <w:sz w:val="20"/>
          <w:szCs w:val="20"/>
        </w:rPr>
      </w:pPr>
      <w:r w:rsidRPr="002615CE">
        <w:rPr>
          <w:rFonts w:ascii="Times New Roman" w:hAnsi="Times New Roman"/>
          <w:b/>
          <w:bCs/>
          <w:noProof/>
          <w:szCs w:val="20"/>
          <w:lang w:val="en-MY" w:eastAsia="en-MY" w:bidi="ar-SA"/>
        </w:rPr>
        <mc:AlternateContent>
          <mc:Choice Requires="wps">
            <w:drawing>
              <wp:anchor distT="0" distB="0" distL="114300" distR="114300" simplePos="0" relativeHeight="251694079" behindDoc="0" locked="0" layoutInCell="1" allowOverlap="1" wp14:anchorId="3CE56572" wp14:editId="47719DB5">
                <wp:simplePos x="0" y="0"/>
                <wp:positionH relativeFrom="column">
                  <wp:posOffset>1685925</wp:posOffset>
                </wp:positionH>
                <wp:positionV relativeFrom="paragraph">
                  <wp:posOffset>2094865</wp:posOffset>
                </wp:positionV>
                <wp:extent cx="2714625" cy="390525"/>
                <wp:effectExtent l="0" t="0" r="9525" b="9525"/>
                <wp:wrapNone/>
                <wp:docPr id="74" name="Rectangle 74"/>
                <wp:cNvGraphicFramePr/>
                <a:graphic xmlns:a="http://schemas.openxmlformats.org/drawingml/2006/main">
                  <a:graphicData uri="http://schemas.microsoft.com/office/word/2010/wordprocessingShape">
                    <wps:wsp>
                      <wps:cNvSpPr/>
                      <wps:spPr>
                        <a:xfrm>
                          <a:off x="0" y="0"/>
                          <a:ext cx="2714625"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133" w:rsidRPr="008341FD" w:rsidRDefault="000F7FC8" w:rsidP="000F7FC8">
                            <w:pPr>
                              <w:spacing w:after="0"/>
                              <w:rPr>
                                <w:rFonts w:asciiTheme="majorBidi" w:hAnsiTheme="majorBidi" w:cstheme="majorBidi"/>
                                <w:color w:val="000000" w:themeColor="text1"/>
                                <w:sz w:val="14"/>
                                <w:szCs w:val="14"/>
                                <w:lang w:val="en-MY"/>
                              </w:rPr>
                            </w:pPr>
                            <w:r>
                              <w:rPr>
                                <w:rFonts w:asciiTheme="majorBidi" w:hAnsiTheme="majorBidi" w:cstheme="majorBidi"/>
                                <w:color w:val="000000" w:themeColor="text1"/>
                                <w:sz w:val="16"/>
                                <w:szCs w:val="18"/>
                                <w:lang w:val="en-MY"/>
                              </w:rPr>
                              <w:t xml:space="preserve">    </w:t>
                            </w:r>
                            <w:r w:rsidR="00C874AC">
                              <w:rPr>
                                <w:rFonts w:asciiTheme="majorBidi" w:hAnsiTheme="majorBidi" w:cstheme="majorBidi"/>
                                <w:color w:val="000000" w:themeColor="text1"/>
                                <w:sz w:val="16"/>
                                <w:szCs w:val="18"/>
                                <w:lang w:val="en-MY"/>
                              </w:rPr>
                              <w:t xml:space="preserve"> </w:t>
                            </w:r>
                            <w:r w:rsidR="00B61133" w:rsidRPr="008341FD">
                              <w:rPr>
                                <w:rFonts w:asciiTheme="majorBidi" w:hAnsiTheme="majorBidi" w:cstheme="majorBidi"/>
                                <w:color w:val="000000" w:themeColor="text1"/>
                                <w:sz w:val="14"/>
                                <w:szCs w:val="14"/>
                                <w:lang w:val="en-MY"/>
                              </w:rPr>
                              <w:t xml:space="preserve">No catalyst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 xml:space="preserve">MMT K10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 xml:space="preserve">14%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 xml:space="preserve">27%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20%</w:t>
                            </w:r>
                          </w:p>
                          <w:p w:rsidR="00B61133" w:rsidRPr="008341FD" w:rsidRDefault="00B61133" w:rsidP="00C31E90">
                            <w:pPr>
                              <w:jc w:val="center"/>
                              <w:rPr>
                                <w:rFonts w:asciiTheme="majorBidi" w:hAnsiTheme="majorBidi" w:cstheme="majorBidi"/>
                                <w:color w:val="000000" w:themeColor="text1"/>
                                <w:sz w:val="14"/>
                                <w:szCs w:val="14"/>
                                <w:lang w:val="en-MY"/>
                              </w:rPr>
                            </w:pPr>
                            <w:r w:rsidRPr="008341FD">
                              <w:rPr>
                                <w:rFonts w:asciiTheme="majorBidi" w:hAnsiTheme="majorBidi" w:cstheme="majorBidi"/>
                                <w:color w:val="000000" w:themeColor="text1"/>
                                <w:sz w:val="14"/>
                                <w:szCs w:val="14"/>
                                <w:lang w:val="en-MY"/>
                              </w:rPr>
                              <w:t>Type of catalyst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35" style="position:absolute;left:0;text-align:left;margin-left:132.75pt;margin-top:164.95pt;width:213.75pt;height:30.75pt;z-index:25169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DanAIAAJkFAAAOAAAAZHJzL2Uyb0RvYy54bWysVN9P2zAQfp+0/8Hy+0jStTAqUlSBmCYh&#10;QMDEs+vYTSTH59luk+6v39lOUsbQHqb1IT37vvvuh+/u4rJvFdkL6xrQJS1OckqE5lA1elvS7883&#10;n75Q4jzTFVOgRUkPwtHL1ccPF51ZihnUoCphCZJot+xMSWvvzTLLHK9Fy9wJGKFRKcG2zOPRbrPK&#10;sg7ZW5XN8vw068BWxgIXzuHtdVLSVeSXUnB/L6UTnqiSYmw+fm38bsI3W12w5dYyUzd8CIP9QxQt&#10;azQ6naiumWdkZ5s/qNqGW3Ag/QmHNgMpGy5iDphNkb/J5qlmRsRcsDjOTGVy/4+W3+0fLGmqkp7N&#10;KdGsxTd6xKoxvVWC4B0WqDNuibgn82CHk0MxZNtL24Z/zIP0saiHqaii94Tj5eysmJ/OFpRw1H0+&#10;zxcoI012tDbW+a8CWhKEklp0H2vJ9rfOJ+gICc4cqKa6aZSKh9Ao4kpZsmf4xJttMZD/hlI6YDUE&#10;q0QYbrKQWEolSv6gRMAp/Sgk1iQEHwOJ3Xh0wjgX2hdJVbNKJN+LHH+j9zGsmGgkDMwS/U/cA8GI&#10;TCQjd4pywAdTEZt5Ms7/FlgyniyiZ9B+Mm4bDfY9AoVZDZ4TfixSKk2oku83feyXIj5juNpAdcAm&#10;spCmyxl+0+BL3jLnH5jFccLBwxXh7/EjFXQlhUGipAb78737gMcuRy0lHY5nSd2PHbOCEvVNY/+f&#10;F/N5mOd4mC/OZniwrzWb1xq9a68A26PAZWR4FAPeq1GUFtoX3CTr4BVVTHP0XVLu7Xi48mlt4C7i&#10;Yr2OMJxhw/ytfjI8kIdCh0597l+YNUM7exyEOxhHmS3fdHXCBksN650H2cSWP9Z1eAKc/9hLw64K&#10;C+b1OaKOG3X1CwAA//8DAFBLAwQUAAYACAAAACEAr+CsdOAAAAALAQAADwAAAGRycy9kb3ducmV2&#10;LnhtbEyPwU7DMAyG70i8Q2QkbixdSztamk4IwcS4sa2csya0FYlTmnQrb485wdH2p9/fX65na9hJ&#10;j753KGC5iIBpbJzqsRVw2D/f3AHzQaKSxqEW8K09rKvLi1IWyp3xTZ92oWUUgr6QAroQhoJz33Ta&#10;Sr9wg0a6fbjRykDj2HI1yjOFW8PjKMq4lT3Sh04O+rHTzedusgKmdLV9mt+/Nkkd1avX2qQvYTMI&#10;cX01P9wDC3oOfzD86pM6VOR0dBMqz4yAOEtTQgUkcZ4DIyLLE2p3pE2+vAVelfx/h+oHAAD//wMA&#10;UEsBAi0AFAAGAAgAAAAhALaDOJL+AAAA4QEAABMAAAAAAAAAAAAAAAAAAAAAAFtDb250ZW50X1R5&#10;cGVzXS54bWxQSwECLQAUAAYACAAAACEAOP0h/9YAAACUAQAACwAAAAAAAAAAAAAAAAAvAQAAX3Jl&#10;bHMvLnJlbHNQSwECLQAUAAYACAAAACEAhzEA2pwCAACZBQAADgAAAAAAAAAAAAAAAAAuAgAAZHJz&#10;L2Uyb0RvYy54bWxQSwECLQAUAAYACAAAACEAr+CsdOAAAAALAQAADwAAAAAAAAAAAAAAAAD2BAAA&#10;ZHJzL2Rvd25yZXYueG1sUEsFBgAAAAAEAAQA8wAAAAMGAAAAAA==&#10;" fillcolor="white [3212]" stroked="f" strokeweight="2pt">
                <v:textbox>
                  <w:txbxContent>
                    <w:p w:rsidR="00B61133" w:rsidRPr="008341FD" w:rsidRDefault="000F7FC8" w:rsidP="000F7FC8">
                      <w:pPr>
                        <w:spacing w:after="0"/>
                        <w:rPr>
                          <w:rFonts w:asciiTheme="majorBidi" w:hAnsiTheme="majorBidi" w:cstheme="majorBidi"/>
                          <w:color w:val="000000" w:themeColor="text1"/>
                          <w:sz w:val="14"/>
                          <w:szCs w:val="14"/>
                          <w:lang w:val="en-MY"/>
                        </w:rPr>
                      </w:pPr>
                      <w:r>
                        <w:rPr>
                          <w:rFonts w:asciiTheme="majorBidi" w:hAnsiTheme="majorBidi" w:cstheme="majorBidi"/>
                          <w:color w:val="000000" w:themeColor="text1"/>
                          <w:sz w:val="16"/>
                          <w:szCs w:val="18"/>
                          <w:lang w:val="en-MY"/>
                        </w:rPr>
                        <w:t xml:space="preserve">    </w:t>
                      </w:r>
                      <w:r w:rsidR="00C874AC">
                        <w:rPr>
                          <w:rFonts w:asciiTheme="majorBidi" w:hAnsiTheme="majorBidi" w:cstheme="majorBidi"/>
                          <w:color w:val="000000" w:themeColor="text1"/>
                          <w:sz w:val="16"/>
                          <w:szCs w:val="18"/>
                          <w:lang w:val="en-MY"/>
                        </w:rPr>
                        <w:t xml:space="preserve"> </w:t>
                      </w:r>
                      <w:r w:rsidR="00B61133" w:rsidRPr="008341FD">
                        <w:rPr>
                          <w:rFonts w:asciiTheme="majorBidi" w:hAnsiTheme="majorBidi" w:cstheme="majorBidi"/>
                          <w:color w:val="000000" w:themeColor="text1"/>
                          <w:sz w:val="14"/>
                          <w:szCs w:val="14"/>
                          <w:lang w:val="en-MY"/>
                        </w:rPr>
                        <w:t xml:space="preserve">No catalyst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 xml:space="preserve">MMT K10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 xml:space="preserve">14%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 xml:space="preserve">27% </w:t>
                      </w:r>
                      <w:r w:rsidRPr="008341FD">
                        <w:rPr>
                          <w:rFonts w:asciiTheme="majorBidi" w:hAnsiTheme="majorBidi" w:cstheme="majorBidi"/>
                          <w:color w:val="000000" w:themeColor="text1"/>
                          <w:sz w:val="14"/>
                          <w:szCs w:val="14"/>
                          <w:lang w:val="en-MY"/>
                        </w:rPr>
                        <w:t xml:space="preserve">          </w:t>
                      </w:r>
                      <w:r w:rsidR="00C874AC">
                        <w:rPr>
                          <w:rFonts w:asciiTheme="majorBidi" w:hAnsiTheme="majorBidi" w:cstheme="majorBidi"/>
                          <w:color w:val="000000" w:themeColor="text1"/>
                          <w:sz w:val="14"/>
                          <w:szCs w:val="14"/>
                          <w:lang w:val="en-MY"/>
                        </w:rPr>
                        <w:t xml:space="preserve">  </w:t>
                      </w:r>
                      <w:r w:rsidR="00B61133" w:rsidRPr="008341FD">
                        <w:rPr>
                          <w:rFonts w:asciiTheme="majorBidi" w:hAnsiTheme="majorBidi" w:cstheme="majorBidi"/>
                          <w:color w:val="000000" w:themeColor="text1"/>
                          <w:sz w:val="14"/>
                          <w:szCs w:val="14"/>
                          <w:lang w:val="en-MY"/>
                        </w:rPr>
                        <w:t>20%</w:t>
                      </w:r>
                    </w:p>
                    <w:p w:rsidR="00B61133" w:rsidRPr="008341FD" w:rsidRDefault="00B61133" w:rsidP="00C31E90">
                      <w:pPr>
                        <w:jc w:val="center"/>
                        <w:rPr>
                          <w:rFonts w:asciiTheme="majorBidi" w:hAnsiTheme="majorBidi" w:cstheme="majorBidi"/>
                          <w:color w:val="000000" w:themeColor="text1"/>
                          <w:sz w:val="14"/>
                          <w:szCs w:val="14"/>
                          <w:lang w:val="en-MY"/>
                        </w:rPr>
                      </w:pPr>
                      <w:r w:rsidRPr="008341FD">
                        <w:rPr>
                          <w:rFonts w:asciiTheme="majorBidi" w:hAnsiTheme="majorBidi" w:cstheme="majorBidi"/>
                          <w:color w:val="000000" w:themeColor="text1"/>
                          <w:sz w:val="14"/>
                          <w:szCs w:val="14"/>
                          <w:lang w:val="en-MY"/>
                        </w:rPr>
                        <w:t>Type of catalyst</w:t>
                      </w:r>
                    </w:p>
                  </w:txbxContent>
                </v:textbox>
              </v:rect>
            </w:pict>
          </mc:Fallback>
        </mc:AlternateContent>
      </w:r>
      <w:r w:rsidR="00F9064D" w:rsidRPr="002615CE">
        <w:rPr>
          <w:rFonts w:ascii="Times New Roman" w:hAnsi="Times New Roman"/>
          <w:b/>
          <w:bCs/>
          <w:noProof/>
          <w:szCs w:val="20"/>
          <w:lang w:val="en-MY" w:eastAsia="en-MY" w:bidi="ar-SA"/>
        </w:rPr>
        <w:drawing>
          <wp:inline distT="0" distB="0" distL="0" distR="0" wp14:anchorId="427ED1E4" wp14:editId="1647005B">
            <wp:extent cx="3226309" cy="2468880"/>
            <wp:effectExtent l="19050" t="19050" r="1270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130.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26309" cy="2468880"/>
                    </a:xfrm>
                    <a:prstGeom prst="rect">
                      <a:avLst/>
                    </a:prstGeom>
                    <a:ln>
                      <a:solidFill>
                        <a:schemeClr val="tx1"/>
                      </a:solidFill>
                    </a:ln>
                  </pic:spPr>
                </pic:pic>
              </a:graphicData>
            </a:graphic>
          </wp:inline>
        </w:drawing>
      </w:r>
    </w:p>
    <w:p w:rsidR="00207A6D" w:rsidRPr="00C112EA" w:rsidRDefault="00207A6D" w:rsidP="00C112EA">
      <w:pPr>
        <w:ind w:left="851" w:hanging="851"/>
        <w:jc w:val="both"/>
        <w:rPr>
          <w:rFonts w:asciiTheme="majorBidi" w:hAnsiTheme="majorBidi" w:cstheme="majorBidi"/>
          <w:sz w:val="20"/>
          <w:szCs w:val="20"/>
        </w:rPr>
      </w:pPr>
      <w:r w:rsidRPr="00207A6D">
        <w:rPr>
          <w:rFonts w:ascii="Times New Roman" w:hAnsi="Times New Roman"/>
          <w:sz w:val="20"/>
          <w:szCs w:val="20"/>
        </w:rPr>
        <w:t xml:space="preserve">Figure 6. </w:t>
      </w:r>
      <w:r>
        <w:rPr>
          <w:rFonts w:ascii="Times New Roman" w:hAnsi="Times New Roman"/>
          <w:sz w:val="20"/>
          <w:szCs w:val="20"/>
        </w:rPr>
        <w:tab/>
      </w:r>
      <w:r w:rsidRPr="00207A6D">
        <w:rPr>
          <w:rFonts w:ascii="Times New Roman" w:hAnsi="Times New Roman"/>
          <w:sz w:val="20"/>
          <w:szCs w:val="20"/>
        </w:rPr>
        <w:t xml:space="preserve">Acid conversion of WCO at </w:t>
      </w:r>
      <w:r w:rsidRPr="00207A6D">
        <w:rPr>
          <w:rFonts w:asciiTheme="majorBidi" w:hAnsiTheme="majorBidi" w:cstheme="majorBidi"/>
          <w:sz w:val="20"/>
          <w:szCs w:val="20"/>
        </w:rPr>
        <w:t>6 hours reac</w:t>
      </w:r>
      <w:r w:rsidR="000F7FC8">
        <w:rPr>
          <w:rFonts w:asciiTheme="majorBidi" w:hAnsiTheme="majorBidi" w:cstheme="majorBidi"/>
          <w:sz w:val="20"/>
          <w:szCs w:val="20"/>
        </w:rPr>
        <w:t xml:space="preserve">tion period, 12:1 methanol to </w:t>
      </w:r>
      <w:r w:rsidRPr="00207A6D">
        <w:rPr>
          <w:rFonts w:asciiTheme="majorBidi" w:hAnsiTheme="majorBidi" w:cstheme="majorBidi"/>
          <w:sz w:val="20"/>
          <w:szCs w:val="20"/>
        </w:rPr>
        <w:t>l molar ratio and 4% w/w catalyst at 130 °C</w:t>
      </w:r>
      <w:bookmarkStart w:id="8" w:name="_GoBack"/>
      <w:bookmarkEnd w:id="8"/>
    </w:p>
    <w:p w:rsidR="007E54A0" w:rsidRDefault="00C874AC" w:rsidP="007E54A0">
      <w:pPr>
        <w:spacing w:after="120"/>
        <w:jc w:val="center"/>
        <w:rPr>
          <w:rFonts w:asciiTheme="majorBidi" w:hAnsiTheme="majorBidi" w:cstheme="majorBidi"/>
          <w:sz w:val="20"/>
          <w:szCs w:val="20"/>
        </w:rPr>
      </w:pPr>
      <w:r>
        <w:rPr>
          <w:rFonts w:asciiTheme="majorBidi" w:hAnsiTheme="majorBidi" w:cstheme="majorBidi"/>
          <w:noProof/>
          <w:sz w:val="20"/>
          <w:szCs w:val="20"/>
          <w:lang w:val="en-MY" w:eastAsia="en-MY" w:bidi="ar-SA"/>
        </w:rPr>
        <w:lastRenderedPageBreak/>
        <w:drawing>
          <wp:inline distT="0" distB="0" distL="0" distR="0" wp14:anchorId="680A109F" wp14:editId="652C94D4">
            <wp:extent cx="3819152" cy="29260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_3_10-7.png"/>
                    <pic:cNvPicPr/>
                  </pic:nvPicPr>
                  <pic:blipFill>
                    <a:blip r:embed="rId63">
                      <a:extLst>
                        <a:ext uri="{28A0092B-C50C-407E-A947-70E740481C1C}">
                          <a14:useLocalDpi xmlns:a14="http://schemas.microsoft.com/office/drawing/2010/main" val="0"/>
                        </a:ext>
                      </a:extLst>
                    </a:blip>
                    <a:stretch>
                      <a:fillRect/>
                    </a:stretch>
                  </pic:blipFill>
                  <pic:spPr>
                    <a:xfrm>
                      <a:off x="0" y="0"/>
                      <a:ext cx="3819152" cy="2926080"/>
                    </a:xfrm>
                    <a:prstGeom prst="rect">
                      <a:avLst/>
                    </a:prstGeom>
                  </pic:spPr>
                </pic:pic>
              </a:graphicData>
            </a:graphic>
          </wp:inline>
        </w:drawing>
      </w:r>
    </w:p>
    <w:p w:rsidR="00207A6D" w:rsidRDefault="00207A6D" w:rsidP="007E54A0">
      <w:pPr>
        <w:spacing w:after="120"/>
        <w:ind w:left="900" w:hanging="900"/>
        <w:jc w:val="both"/>
        <w:rPr>
          <w:rFonts w:asciiTheme="majorBidi" w:hAnsiTheme="majorBidi" w:cstheme="majorBidi"/>
          <w:sz w:val="20"/>
          <w:szCs w:val="20"/>
        </w:rPr>
      </w:pPr>
      <w:r w:rsidRPr="00207A6D">
        <w:rPr>
          <w:rFonts w:ascii="Times New Roman" w:hAnsi="Times New Roman"/>
          <w:sz w:val="20"/>
          <w:szCs w:val="20"/>
        </w:rPr>
        <w:t xml:space="preserve">Figure 7. </w:t>
      </w:r>
      <w:r>
        <w:rPr>
          <w:rFonts w:ascii="Times New Roman" w:hAnsi="Times New Roman"/>
          <w:sz w:val="20"/>
          <w:szCs w:val="20"/>
        </w:rPr>
        <w:t xml:space="preserve"> </w:t>
      </w:r>
      <w:r w:rsidR="00AB18C8">
        <w:rPr>
          <w:rFonts w:ascii="Times New Roman" w:hAnsi="Times New Roman"/>
          <w:sz w:val="20"/>
          <w:szCs w:val="20"/>
        </w:rPr>
        <w:tab/>
      </w:r>
      <w:r w:rsidRPr="00207A6D">
        <w:rPr>
          <w:rFonts w:ascii="Times New Roman" w:hAnsi="Times New Roman"/>
          <w:sz w:val="20"/>
          <w:szCs w:val="20"/>
        </w:rPr>
        <w:t xml:space="preserve">Percentage of FAME yield at </w:t>
      </w:r>
      <w:r w:rsidRPr="00207A6D">
        <w:rPr>
          <w:rFonts w:asciiTheme="majorBidi" w:hAnsiTheme="majorBidi" w:cstheme="majorBidi"/>
          <w:sz w:val="20"/>
          <w:szCs w:val="20"/>
        </w:rPr>
        <w:t>6 hours reaction period, 12:1 methanol to oil molar ratio and 4% w/w</w:t>
      </w:r>
      <w:r w:rsidR="00AB18C8">
        <w:rPr>
          <w:rFonts w:asciiTheme="majorBidi" w:hAnsiTheme="majorBidi" w:cstheme="majorBidi"/>
          <w:sz w:val="20"/>
          <w:szCs w:val="20"/>
        </w:rPr>
        <w:t xml:space="preserve"> catalysts at 130 </w:t>
      </w:r>
      <w:r w:rsidR="00AB18C8" w:rsidRPr="00AB18C8">
        <w:rPr>
          <w:rFonts w:asciiTheme="majorBidi" w:hAnsiTheme="majorBidi" w:cstheme="majorBidi"/>
          <w:sz w:val="20"/>
          <w:szCs w:val="20"/>
          <w:vertAlign w:val="superscript"/>
        </w:rPr>
        <w:t>o</w:t>
      </w:r>
      <w:r w:rsidR="00AB18C8">
        <w:rPr>
          <w:rFonts w:asciiTheme="majorBidi" w:hAnsiTheme="majorBidi" w:cstheme="majorBidi"/>
          <w:sz w:val="20"/>
          <w:szCs w:val="20"/>
        </w:rPr>
        <w:t>C</w:t>
      </w:r>
    </w:p>
    <w:p w:rsidR="00207A6D" w:rsidRDefault="00207A6D" w:rsidP="00207A6D">
      <w:pPr>
        <w:spacing w:after="0"/>
        <w:jc w:val="center"/>
        <w:rPr>
          <w:rFonts w:asciiTheme="majorBidi" w:hAnsiTheme="majorBidi" w:cstheme="majorBidi"/>
          <w:sz w:val="20"/>
          <w:szCs w:val="20"/>
        </w:rPr>
      </w:pPr>
    </w:p>
    <w:p w:rsidR="00207A6D" w:rsidRPr="00207A6D" w:rsidRDefault="00207A6D" w:rsidP="00207A6D">
      <w:pPr>
        <w:spacing w:after="0"/>
        <w:jc w:val="center"/>
        <w:rPr>
          <w:rFonts w:asciiTheme="majorBidi" w:hAnsiTheme="majorBidi" w:cstheme="majorBidi"/>
          <w:sz w:val="20"/>
          <w:szCs w:val="20"/>
        </w:rPr>
      </w:pPr>
    </w:p>
    <w:p w:rsidR="00F9064D" w:rsidRDefault="00F9064D" w:rsidP="00207A6D">
      <w:pPr>
        <w:spacing w:after="120"/>
        <w:jc w:val="center"/>
        <w:rPr>
          <w:rFonts w:asciiTheme="majorBidi" w:hAnsiTheme="majorBidi" w:cstheme="majorBidi"/>
          <w:sz w:val="20"/>
          <w:szCs w:val="20"/>
        </w:rPr>
      </w:pPr>
      <w:r w:rsidRPr="002615CE">
        <w:rPr>
          <w:rFonts w:asciiTheme="majorBidi" w:hAnsiTheme="majorBidi" w:cstheme="majorBidi"/>
          <w:noProof/>
          <w:szCs w:val="20"/>
          <w:lang w:val="en-MY" w:eastAsia="en-MY" w:bidi="ar-SA"/>
        </w:rPr>
        <w:drawing>
          <wp:inline distT="0" distB="0" distL="0" distR="0" wp14:anchorId="3B73B237" wp14:editId="6088BE39">
            <wp:extent cx="3345802" cy="2560320"/>
            <wp:effectExtent l="19050" t="19050" r="2667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VF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45802" cy="2560320"/>
                    </a:xfrm>
                    <a:prstGeom prst="rect">
                      <a:avLst/>
                    </a:prstGeom>
                    <a:ln>
                      <a:solidFill>
                        <a:schemeClr val="tx1"/>
                      </a:solidFill>
                    </a:ln>
                  </pic:spPr>
                </pic:pic>
              </a:graphicData>
            </a:graphic>
          </wp:inline>
        </w:drawing>
      </w:r>
    </w:p>
    <w:p w:rsidR="00207A6D" w:rsidRPr="00207A6D" w:rsidRDefault="00207A6D" w:rsidP="00207A6D">
      <w:pPr>
        <w:spacing w:after="0"/>
        <w:jc w:val="center"/>
        <w:rPr>
          <w:rFonts w:ascii="Times New Roman" w:hAnsi="Times New Roman"/>
          <w:sz w:val="20"/>
          <w:szCs w:val="20"/>
        </w:rPr>
      </w:pPr>
      <w:r w:rsidRPr="00207A6D">
        <w:rPr>
          <w:rFonts w:asciiTheme="majorBidi" w:hAnsiTheme="majorBidi" w:cstheme="majorBidi"/>
          <w:sz w:val="20"/>
          <w:szCs w:val="20"/>
        </w:rPr>
        <w:t xml:space="preserve">Figure 8. </w:t>
      </w:r>
      <w:r>
        <w:rPr>
          <w:rFonts w:asciiTheme="majorBidi" w:hAnsiTheme="majorBidi" w:cstheme="majorBidi"/>
          <w:sz w:val="20"/>
          <w:szCs w:val="20"/>
        </w:rPr>
        <w:t xml:space="preserve"> </w:t>
      </w:r>
      <w:r w:rsidRPr="00207A6D">
        <w:rPr>
          <w:rFonts w:asciiTheme="majorBidi" w:hAnsiTheme="majorBidi" w:cstheme="majorBidi"/>
          <w:sz w:val="20"/>
          <w:szCs w:val="20"/>
        </w:rPr>
        <w:t>Effect of parameters in acid conversion</w:t>
      </w:r>
    </w:p>
    <w:p w:rsidR="005B07CF" w:rsidRDefault="005B07CF" w:rsidP="00207A6D">
      <w:pPr>
        <w:jc w:val="center"/>
        <w:rPr>
          <w:rFonts w:asciiTheme="majorBidi" w:hAnsiTheme="majorBidi" w:cstheme="majorBidi"/>
          <w:sz w:val="20"/>
          <w:szCs w:val="20"/>
        </w:rPr>
        <w:sectPr w:rsidR="005B07CF" w:rsidSect="009A06E2">
          <w:headerReference w:type="even" r:id="rId65"/>
          <w:headerReference w:type="default" r:id="rId66"/>
          <w:footerReference w:type="even" r:id="rId67"/>
          <w:footerReference w:type="default" r:id="rId68"/>
          <w:headerReference w:type="first" r:id="rId69"/>
          <w:type w:val="evenPage"/>
          <w:pgSz w:w="12240" w:h="15840" w:code="1"/>
          <w:pgMar w:top="1800" w:right="1469" w:bottom="1699" w:left="1440" w:header="706" w:footer="706" w:gutter="0"/>
          <w:pgNumType w:start="1"/>
          <w:cols w:space="708"/>
          <w:docGrid w:linePitch="360"/>
        </w:sectPr>
      </w:pPr>
    </w:p>
    <w:p w:rsidR="00207A6D" w:rsidRPr="00207A6D" w:rsidRDefault="00207A6D" w:rsidP="00207A6D">
      <w:pPr>
        <w:jc w:val="center"/>
        <w:rPr>
          <w:rFonts w:asciiTheme="majorBidi" w:hAnsiTheme="majorBidi" w:cstheme="majorBidi"/>
          <w:sz w:val="20"/>
          <w:szCs w:val="20"/>
        </w:rPr>
      </w:pPr>
    </w:p>
    <w:p w:rsidR="00F9064D" w:rsidRDefault="00F9064D" w:rsidP="000313ED">
      <w:pPr>
        <w:spacing w:after="120"/>
        <w:jc w:val="center"/>
        <w:rPr>
          <w:rFonts w:asciiTheme="majorBidi" w:hAnsiTheme="majorBidi" w:cstheme="majorBidi"/>
          <w:sz w:val="20"/>
          <w:szCs w:val="20"/>
        </w:rPr>
      </w:pPr>
      <w:r w:rsidRPr="002615CE">
        <w:rPr>
          <w:rFonts w:asciiTheme="majorBidi" w:hAnsiTheme="majorBidi" w:cstheme="majorBidi"/>
          <w:noProof/>
          <w:szCs w:val="20"/>
          <w:lang w:val="en-MY" w:eastAsia="en-MY" w:bidi="ar-SA"/>
        </w:rPr>
        <w:drawing>
          <wp:inline distT="0" distB="0" distL="0" distR="0" wp14:anchorId="5C7DD63F" wp14:editId="62911B4E">
            <wp:extent cx="3345802" cy="2560320"/>
            <wp:effectExtent l="19050" t="19050" r="2667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ieldF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345802" cy="2560320"/>
                    </a:xfrm>
                    <a:prstGeom prst="rect">
                      <a:avLst/>
                    </a:prstGeom>
                    <a:ln>
                      <a:solidFill>
                        <a:schemeClr val="tx1"/>
                      </a:solidFill>
                    </a:ln>
                  </pic:spPr>
                </pic:pic>
              </a:graphicData>
            </a:graphic>
          </wp:inline>
        </w:drawing>
      </w:r>
    </w:p>
    <w:p w:rsidR="000313ED" w:rsidRPr="000313ED" w:rsidRDefault="000313ED" w:rsidP="000313ED">
      <w:pPr>
        <w:spacing w:after="0"/>
        <w:jc w:val="center"/>
        <w:rPr>
          <w:rFonts w:ascii="Times New Roman" w:hAnsi="Times New Roman"/>
          <w:sz w:val="20"/>
          <w:szCs w:val="20"/>
        </w:rPr>
      </w:pPr>
      <w:r w:rsidRPr="000313ED">
        <w:rPr>
          <w:rFonts w:asciiTheme="majorBidi" w:hAnsiTheme="majorBidi" w:cstheme="majorBidi"/>
          <w:sz w:val="20"/>
          <w:szCs w:val="20"/>
        </w:rPr>
        <w:t xml:space="preserve">Figure 9. </w:t>
      </w:r>
      <w:r>
        <w:rPr>
          <w:rFonts w:asciiTheme="majorBidi" w:hAnsiTheme="majorBidi" w:cstheme="majorBidi"/>
          <w:sz w:val="20"/>
          <w:szCs w:val="20"/>
        </w:rPr>
        <w:t xml:space="preserve"> </w:t>
      </w:r>
      <w:r w:rsidRPr="000313ED">
        <w:rPr>
          <w:rFonts w:asciiTheme="majorBidi" w:hAnsiTheme="majorBidi" w:cstheme="majorBidi"/>
          <w:sz w:val="20"/>
          <w:szCs w:val="20"/>
        </w:rPr>
        <w:t>Effect of parameters in FAME yield</w:t>
      </w:r>
    </w:p>
    <w:p w:rsidR="000313ED" w:rsidRPr="000313ED" w:rsidRDefault="000313ED" w:rsidP="000313ED">
      <w:pPr>
        <w:spacing w:after="120"/>
        <w:jc w:val="center"/>
        <w:rPr>
          <w:rFonts w:asciiTheme="majorBidi" w:hAnsiTheme="majorBidi" w:cstheme="majorBidi"/>
          <w:sz w:val="20"/>
          <w:szCs w:val="20"/>
        </w:rPr>
      </w:pPr>
    </w:p>
    <w:p w:rsidR="00C112EA" w:rsidRDefault="00C112EA" w:rsidP="001141B0">
      <w:pPr>
        <w:spacing w:after="0"/>
        <w:rPr>
          <w:rFonts w:ascii="Times New Roman" w:hAnsi="Times New Roman"/>
          <w:b/>
          <w:noProof/>
          <w:sz w:val="20"/>
          <w:szCs w:val="20"/>
          <w:lang w:bidi="ar-SA"/>
        </w:rPr>
        <w:sectPr w:rsidR="00C112EA" w:rsidSect="009A06E2">
          <w:headerReference w:type="even" r:id="rId71"/>
          <w:headerReference w:type="default" r:id="rId72"/>
          <w:footerReference w:type="even" r:id="rId73"/>
          <w:headerReference w:type="first" r:id="rId74"/>
          <w:type w:val="evenPage"/>
          <w:pgSz w:w="12240" w:h="15840" w:code="1"/>
          <w:pgMar w:top="1800" w:right="1469" w:bottom="1699" w:left="1440" w:header="706" w:footer="706" w:gutter="0"/>
          <w:pgNumType w:start="1"/>
          <w:cols w:space="708"/>
          <w:docGrid w:linePitch="360"/>
        </w:sectPr>
      </w:pPr>
    </w:p>
    <w:p w:rsidR="006768E9" w:rsidRPr="00672906" w:rsidRDefault="006768E9" w:rsidP="00C112EA">
      <w:pPr>
        <w:spacing w:after="0"/>
        <w:jc w:val="center"/>
        <w:rPr>
          <w:rFonts w:ascii="Times New Roman" w:hAnsi="Times New Roman"/>
          <w:b/>
          <w:noProof/>
          <w:sz w:val="20"/>
          <w:szCs w:val="20"/>
          <w:lang w:bidi="ar-SA"/>
        </w:rPr>
      </w:pPr>
      <w:r w:rsidRPr="00672906">
        <w:rPr>
          <w:rFonts w:ascii="Times New Roman" w:hAnsi="Times New Roman"/>
          <w:b/>
          <w:noProof/>
          <w:sz w:val="20"/>
          <w:szCs w:val="20"/>
          <w:lang w:bidi="ar-SA"/>
        </w:rPr>
        <w:lastRenderedPageBreak/>
        <w:t>Conclusion</w:t>
      </w:r>
    </w:p>
    <w:p w:rsidR="005B07CF" w:rsidRDefault="00672906" w:rsidP="00E51EBA">
      <w:pPr>
        <w:spacing w:after="0"/>
        <w:jc w:val="both"/>
        <w:outlineLvl w:val="0"/>
        <w:rPr>
          <w:rFonts w:asciiTheme="majorBidi" w:hAnsiTheme="majorBidi" w:cstheme="majorBidi"/>
          <w:sz w:val="20"/>
          <w:szCs w:val="20"/>
        </w:rPr>
      </w:pPr>
      <w:r w:rsidRPr="00672906">
        <w:rPr>
          <w:rFonts w:ascii="Times New Roman" w:hAnsi="Times New Roman"/>
          <w:sz w:val="20"/>
          <w:szCs w:val="20"/>
        </w:rPr>
        <w:t>From the investigations, it was proven that the optimum ion exchange occurred with high concentration of Fe</w:t>
      </w:r>
      <w:r w:rsidRPr="00672906">
        <w:rPr>
          <w:rFonts w:ascii="Times New Roman" w:hAnsi="Times New Roman"/>
          <w:sz w:val="20"/>
          <w:szCs w:val="20"/>
          <w:vertAlign w:val="superscript"/>
        </w:rPr>
        <w:t>3+</w:t>
      </w:r>
      <w:r w:rsidRPr="00672906">
        <w:rPr>
          <w:rFonts w:ascii="Times New Roman" w:hAnsi="Times New Roman"/>
          <w:sz w:val="20"/>
          <w:szCs w:val="20"/>
        </w:rPr>
        <w:t xml:space="preserve"> within long stirring duration. It gave chance to the montmorillonite K10 interchange layer in contact with high concentration metal to exchange the ion. In this study, 20% Fe</w:t>
      </w:r>
      <w:r w:rsidRPr="00672906">
        <w:rPr>
          <w:rFonts w:ascii="Times New Roman" w:hAnsi="Times New Roman"/>
          <w:sz w:val="20"/>
          <w:szCs w:val="20"/>
          <w:vertAlign w:val="superscript"/>
        </w:rPr>
        <w:t>3+</w:t>
      </w:r>
      <w:r w:rsidRPr="00672906">
        <w:rPr>
          <w:rFonts w:ascii="Times New Roman" w:hAnsi="Times New Roman"/>
          <w:sz w:val="20"/>
          <w:szCs w:val="20"/>
        </w:rPr>
        <w:t xml:space="preserve"> to the mass of montmorillonite K10 optimize the ion exchange up to 5.68% with the highest acidity contribution up to 14.261 mmol NH</w:t>
      </w:r>
      <w:r w:rsidRPr="00672906">
        <w:rPr>
          <w:rFonts w:ascii="Times New Roman" w:hAnsi="Times New Roman"/>
          <w:sz w:val="20"/>
          <w:szCs w:val="20"/>
          <w:vertAlign w:val="subscript"/>
        </w:rPr>
        <w:t>3</w:t>
      </w:r>
      <w:r w:rsidRPr="00672906">
        <w:rPr>
          <w:rFonts w:ascii="Times New Roman" w:hAnsi="Times New Roman"/>
          <w:sz w:val="20"/>
          <w:szCs w:val="20"/>
        </w:rPr>
        <w:t xml:space="preserve">/g compared to 14% and 27%. The catalytic improvement was proven by the catalytic screening in the application of biodiesel production. 20% Fe-MMT K10 produced the highest biodiesel of </w:t>
      </w:r>
      <w:r w:rsidRPr="00672906">
        <w:rPr>
          <w:rFonts w:asciiTheme="majorBidi" w:hAnsiTheme="majorBidi" w:cstheme="majorBidi"/>
          <w:sz w:val="20"/>
          <w:szCs w:val="20"/>
        </w:rPr>
        <w:t>84.58% with 37.56% acid conversion compared to the other two catalysts. After optimization, it was found that the optimum conditions for the activity of 20% Fe-MMT K10 in the biodiesel production was 150 °C, 6 hours, 12:1 methanol: oil and 4 wt.% catalyst loading with 96.49% biodiesel production. It proved that the modification of montmorillonite K10 with 20% Fe</w:t>
      </w:r>
      <w:r w:rsidRPr="00672906">
        <w:rPr>
          <w:rFonts w:asciiTheme="majorBidi" w:hAnsiTheme="majorBidi" w:cstheme="majorBidi"/>
          <w:sz w:val="20"/>
          <w:szCs w:val="20"/>
          <w:vertAlign w:val="superscript"/>
        </w:rPr>
        <w:t>3+</w:t>
      </w:r>
      <w:r w:rsidRPr="00672906">
        <w:rPr>
          <w:rFonts w:asciiTheme="majorBidi" w:hAnsiTheme="majorBidi" w:cstheme="majorBidi"/>
          <w:sz w:val="20"/>
          <w:szCs w:val="20"/>
        </w:rPr>
        <w:t xml:space="preserve"> successfully optimized the ion exchange capacity to enhance the acidity property, which was responsible in the esterification and transesterification reaction simultaneously.</w:t>
      </w:r>
    </w:p>
    <w:p w:rsidR="00E51EBA" w:rsidRDefault="00E51EBA" w:rsidP="00E51EBA">
      <w:pPr>
        <w:spacing w:after="0"/>
        <w:jc w:val="both"/>
        <w:outlineLvl w:val="0"/>
        <w:rPr>
          <w:rFonts w:asciiTheme="majorBidi" w:hAnsiTheme="majorBidi" w:cstheme="majorBidi"/>
          <w:sz w:val="20"/>
          <w:szCs w:val="20"/>
        </w:rPr>
      </w:pPr>
    </w:p>
    <w:p w:rsidR="00E51EBA" w:rsidRPr="00672906" w:rsidRDefault="00E51EBA" w:rsidP="00E51EBA">
      <w:pPr>
        <w:spacing w:after="0"/>
        <w:outlineLvl w:val="0"/>
        <w:rPr>
          <w:rFonts w:ascii="Times New Roman" w:hAnsi="Times New Roman"/>
          <w:sz w:val="20"/>
          <w:szCs w:val="20"/>
        </w:rPr>
      </w:pPr>
    </w:p>
    <w:p w:rsidR="00E51EBA" w:rsidRPr="00672906" w:rsidRDefault="00E51EBA" w:rsidP="00E51EBA">
      <w:pPr>
        <w:spacing w:after="0"/>
        <w:jc w:val="center"/>
        <w:outlineLvl w:val="0"/>
        <w:rPr>
          <w:rFonts w:ascii="Times New Roman" w:hAnsi="Times New Roman"/>
          <w:b/>
          <w:sz w:val="20"/>
          <w:szCs w:val="20"/>
        </w:rPr>
      </w:pPr>
      <w:r w:rsidRPr="00672906">
        <w:rPr>
          <w:rFonts w:ascii="Times New Roman" w:hAnsi="Times New Roman"/>
          <w:b/>
          <w:sz w:val="20"/>
          <w:szCs w:val="20"/>
        </w:rPr>
        <w:lastRenderedPageBreak/>
        <w:t>Acknowledgement</w:t>
      </w:r>
    </w:p>
    <w:p w:rsidR="00E51EBA" w:rsidRDefault="00E51EBA" w:rsidP="00E51EBA">
      <w:pPr>
        <w:spacing w:after="0"/>
        <w:jc w:val="both"/>
        <w:outlineLvl w:val="0"/>
        <w:rPr>
          <w:rFonts w:ascii="Times New Roman" w:hAnsi="Times New Roman"/>
          <w:sz w:val="20"/>
          <w:szCs w:val="20"/>
        </w:rPr>
      </w:pPr>
      <w:r w:rsidRPr="00672906">
        <w:rPr>
          <w:rFonts w:ascii="Times New Roman" w:hAnsi="Times New Roman"/>
          <w:sz w:val="20"/>
          <w:szCs w:val="20"/>
        </w:rPr>
        <w:t xml:space="preserve">The author acknowledges the Ministry of Education Malaysia (MOE) for the financial support through Grant USIM/FRGS/FST/055002/51417 and facilities provided by Faculty of Science and Technology, Universiti Sains Islam Malaysia (USIM) and Centre of Excellence for Catalysis Science and Technology (PutraCAT), Universiti Putra Malaysia (UPM). </w:t>
      </w:r>
    </w:p>
    <w:p w:rsidR="00E51EBA" w:rsidRDefault="00E51EBA" w:rsidP="00E51EBA">
      <w:pPr>
        <w:spacing w:after="0"/>
        <w:jc w:val="both"/>
        <w:outlineLvl w:val="0"/>
        <w:rPr>
          <w:rFonts w:ascii="Times New Roman" w:hAnsi="Times New Roman"/>
          <w:sz w:val="20"/>
          <w:szCs w:val="20"/>
        </w:rPr>
      </w:pPr>
    </w:p>
    <w:p w:rsidR="00E51EBA" w:rsidRPr="00F447A7" w:rsidRDefault="00E51EBA" w:rsidP="00E51EB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Reddy, C. R., Nagendrappa, G. and Prakash, B. J. (2007). Surface acidity study of Mn</w:t>
      </w:r>
      <w:r w:rsidRPr="00C112EA">
        <w:rPr>
          <w:rFonts w:ascii="Times New Roman" w:hAnsi="Times New Roman"/>
          <w:sz w:val="20"/>
          <w:szCs w:val="20"/>
          <w:shd w:val="clear" w:color="auto" w:fill="FFFFFF"/>
          <w:vertAlign w:val="superscript"/>
        </w:rPr>
        <w:t>+</w:t>
      </w:r>
      <w:r w:rsidRPr="00C112EA">
        <w:rPr>
          <w:rFonts w:ascii="Times New Roman" w:hAnsi="Times New Roman"/>
          <w:sz w:val="20"/>
          <w:szCs w:val="20"/>
          <w:shd w:val="clear" w:color="auto" w:fill="FFFFFF"/>
        </w:rPr>
        <w:t>-montmorillonite clay catalysts by FT-IR spectroscopy: Correlation with esterification activity. </w:t>
      </w:r>
      <w:r w:rsidRPr="00C112EA">
        <w:rPr>
          <w:rFonts w:ascii="Times New Roman" w:hAnsi="Times New Roman"/>
          <w:i/>
          <w:iCs/>
          <w:sz w:val="20"/>
          <w:szCs w:val="20"/>
          <w:shd w:val="clear" w:color="auto" w:fill="FFFFFF"/>
        </w:rPr>
        <w:t>Catalysis Communications</w:t>
      </w:r>
      <w:r w:rsidRPr="00C112EA">
        <w:rPr>
          <w:rFonts w:ascii="Times New Roman" w:hAnsi="Times New Roman"/>
          <w:sz w:val="20"/>
          <w:szCs w:val="20"/>
          <w:shd w:val="clear" w:color="auto" w:fill="FFFFFF"/>
        </w:rPr>
        <w:t>, 8(3): 241-246.</w:t>
      </w:r>
    </w:p>
    <w:p w:rsidR="00E51EBA" w:rsidRPr="00E51EB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Jung, J. M., Oh, J. I., Park, Y. K., Lee, J. and Kwon, E. E. (2019). Biodiesel synthesis from fish waste via thermally-induced transesterification using clay as porous material. </w:t>
      </w:r>
      <w:r w:rsidRPr="00C112EA">
        <w:rPr>
          <w:rFonts w:ascii="Times New Roman" w:hAnsi="Times New Roman"/>
          <w:i/>
          <w:iCs/>
          <w:sz w:val="20"/>
          <w:szCs w:val="20"/>
          <w:shd w:val="clear" w:color="auto" w:fill="FFFFFF"/>
        </w:rPr>
        <w:t>Journal of Hazardous Materials</w:t>
      </w:r>
      <w:r w:rsidRPr="00C112EA">
        <w:rPr>
          <w:rFonts w:ascii="Times New Roman" w:hAnsi="Times New Roman"/>
          <w:sz w:val="20"/>
          <w:szCs w:val="20"/>
          <w:shd w:val="clear" w:color="auto" w:fill="FFFFFF"/>
        </w:rPr>
        <w:t>, 371: 27-32.</w:t>
      </w:r>
    </w:p>
    <w:p w:rsidR="00E51EBA" w:rsidRPr="00E51EBA" w:rsidRDefault="00E51EBA" w:rsidP="00E51EBA">
      <w:pPr>
        <w:pStyle w:val="ListParagraph"/>
        <w:numPr>
          <w:ilvl w:val="0"/>
          <w:numId w:val="3"/>
        </w:numPr>
        <w:spacing w:after="0"/>
        <w:ind w:left="360"/>
        <w:jc w:val="both"/>
        <w:rPr>
          <w:rFonts w:ascii="Times New Roman" w:hAnsi="Times New Roman"/>
          <w:noProof/>
          <w:sz w:val="20"/>
          <w:szCs w:val="20"/>
        </w:rPr>
        <w:sectPr w:rsidR="00E51EBA" w:rsidRPr="00E51EBA" w:rsidSect="00C112EA">
          <w:type w:val="continuous"/>
          <w:pgSz w:w="12240" w:h="15840" w:code="1"/>
          <w:pgMar w:top="1800" w:right="1469" w:bottom="1699" w:left="1440" w:header="706" w:footer="706" w:gutter="0"/>
          <w:pgNumType w:start="1"/>
          <w:cols w:num="2" w:space="403"/>
          <w:docGrid w:linePitch="360"/>
        </w:sectPr>
      </w:pPr>
    </w:p>
    <w:p w:rsidR="00E51EBA" w:rsidRPr="00E51EBA" w:rsidRDefault="00E51EBA" w:rsidP="00E51EBA">
      <w:pPr>
        <w:pStyle w:val="ListParagraph"/>
        <w:numPr>
          <w:ilvl w:val="0"/>
          <w:numId w:val="3"/>
        </w:numPr>
        <w:spacing w:after="0"/>
        <w:ind w:left="360"/>
        <w:jc w:val="both"/>
        <w:rPr>
          <w:rFonts w:ascii="Times New Roman" w:hAnsi="Times New Roman"/>
          <w:noProof/>
          <w:sz w:val="20"/>
          <w:szCs w:val="20"/>
        </w:rPr>
      </w:pPr>
      <w:r w:rsidRPr="00E51EBA">
        <w:rPr>
          <w:rFonts w:ascii="Times New Roman" w:hAnsi="Times New Roman"/>
          <w:sz w:val="20"/>
          <w:szCs w:val="20"/>
          <w:shd w:val="clear" w:color="auto" w:fill="FFFFFF"/>
        </w:rPr>
        <w:lastRenderedPageBreak/>
        <w:t>Bouguerra Neji, S., Trabelsi, M. and Frikha, M. H. (2009). Esterification of fatty acids with short-chain alcohols over commercial acid clays in a semi-continuous reactor. </w:t>
      </w:r>
      <w:r w:rsidRPr="00E51EBA">
        <w:rPr>
          <w:rFonts w:ascii="Times New Roman" w:hAnsi="Times New Roman"/>
          <w:i/>
          <w:iCs/>
          <w:sz w:val="20"/>
          <w:szCs w:val="20"/>
          <w:shd w:val="clear" w:color="auto" w:fill="FFFFFF"/>
        </w:rPr>
        <w:t>Energies</w:t>
      </w:r>
      <w:r w:rsidRPr="00E51EBA">
        <w:rPr>
          <w:rFonts w:ascii="Times New Roman" w:hAnsi="Times New Roman"/>
          <w:sz w:val="20"/>
          <w:szCs w:val="20"/>
          <w:shd w:val="clear" w:color="auto" w:fill="FFFFFF"/>
        </w:rPr>
        <w:t>, 2(4): 1107-1117.</w:t>
      </w:r>
    </w:p>
    <w:p w:rsidR="00E51EBA" w:rsidRPr="006F717F"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Fatimah, I., Hidayat, A. and Setiawan, K. H. (2010). Preparation of aluminium pillared clay from Indonesian montmorillonite and its catalytic activity in bio-oil cracking. </w:t>
      </w:r>
      <w:r w:rsidRPr="00C112EA">
        <w:rPr>
          <w:rFonts w:ascii="Times New Roman" w:hAnsi="Times New Roman"/>
          <w:i/>
          <w:iCs/>
          <w:sz w:val="20"/>
          <w:szCs w:val="20"/>
          <w:shd w:val="clear" w:color="auto" w:fill="FFFFFF"/>
        </w:rPr>
        <w:t>Asian Journal of Chemistry</w:t>
      </w:r>
      <w:r w:rsidRPr="00C112EA">
        <w:rPr>
          <w:rFonts w:ascii="Times New Roman" w:hAnsi="Times New Roman"/>
          <w:sz w:val="20"/>
          <w:szCs w:val="20"/>
          <w:shd w:val="clear" w:color="auto" w:fill="FFFFFF"/>
        </w:rPr>
        <w:t>, 22(5): 3793.</w:t>
      </w:r>
    </w:p>
    <w:p w:rsidR="00E51EBA" w:rsidRPr="006F717F" w:rsidRDefault="00E51EBA" w:rsidP="00E51EBA">
      <w:pPr>
        <w:pStyle w:val="ListParagraph"/>
        <w:numPr>
          <w:ilvl w:val="0"/>
          <w:numId w:val="3"/>
        </w:numPr>
        <w:tabs>
          <w:tab w:val="left" w:pos="360"/>
        </w:tabs>
        <w:spacing w:after="0"/>
        <w:ind w:left="360"/>
        <w:jc w:val="both"/>
        <w:rPr>
          <w:rFonts w:ascii="Times New Roman" w:hAnsi="Times New Roman"/>
          <w:noProof/>
          <w:sz w:val="20"/>
          <w:szCs w:val="20"/>
        </w:rPr>
      </w:pPr>
      <w:r w:rsidRPr="006F717F">
        <w:rPr>
          <w:rFonts w:ascii="Times New Roman" w:hAnsi="Times New Roman"/>
          <w:sz w:val="20"/>
          <w:szCs w:val="20"/>
          <w:shd w:val="clear" w:color="auto" w:fill="FFFFFF"/>
        </w:rPr>
        <w:t>Almadani, E. A., Radzi, S. M. and Harun, F. W. (2016). Stearic acid esters synthesized using iron exchanged montmorillonite K10 clay catalysts. </w:t>
      </w:r>
      <w:r w:rsidRPr="006F717F">
        <w:rPr>
          <w:rFonts w:ascii="Times New Roman" w:hAnsi="Times New Roman"/>
          <w:i/>
          <w:iCs/>
          <w:sz w:val="20"/>
          <w:szCs w:val="20"/>
          <w:shd w:val="clear" w:color="auto" w:fill="FFFFFF"/>
        </w:rPr>
        <w:t>International Journal of Applied Chemistry</w:t>
      </w:r>
      <w:r w:rsidRPr="006F717F">
        <w:rPr>
          <w:rFonts w:ascii="Times New Roman" w:hAnsi="Times New Roman"/>
          <w:sz w:val="20"/>
          <w:szCs w:val="20"/>
          <w:shd w:val="clear" w:color="auto" w:fill="FFFFFF"/>
        </w:rPr>
        <w:t>, 12(1): 62-67.</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Kloprogge, J. T., Duong, L. V. and Frost, R. L. (2005). A review of the synthesis and characterisation of pillared clays and related porous materials for cracking of vegetable oils to produce biofuels. </w:t>
      </w:r>
      <w:r w:rsidRPr="00C112EA">
        <w:rPr>
          <w:rFonts w:ascii="Times New Roman" w:hAnsi="Times New Roman"/>
          <w:i/>
          <w:iCs/>
          <w:sz w:val="20"/>
          <w:szCs w:val="20"/>
          <w:shd w:val="clear" w:color="auto" w:fill="FFFFFF"/>
        </w:rPr>
        <w:t>Environmental Geology</w:t>
      </w:r>
      <w:r w:rsidRPr="00C112EA">
        <w:rPr>
          <w:rFonts w:ascii="Times New Roman" w:hAnsi="Times New Roman"/>
          <w:sz w:val="20"/>
          <w:szCs w:val="20"/>
          <w:shd w:val="clear" w:color="auto" w:fill="FFFFFF"/>
        </w:rPr>
        <w:t>, 47(7): 967-981.</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Ma, Y., Wang, Q., Sun, X., Wu, C. and Gao, Z. (2017). Kinetics studies of biodiesel production from waste cooking oil using FeCl</w:t>
      </w:r>
      <w:r w:rsidRPr="00C112EA">
        <w:rPr>
          <w:rFonts w:ascii="Times New Roman" w:hAnsi="Times New Roman"/>
          <w:sz w:val="20"/>
          <w:szCs w:val="20"/>
          <w:shd w:val="clear" w:color="auto" w:fill="FFFFFF"/>
          <w:vertAlign w:val="subscript"/>
        </w:rPr>
        <w:t>3</w:t>
      </w:r>
      <w:r w:rsidRPr="00C112EA">
        <w:rPr>
          <w:rFonts w:ascii="Times New Roman" w:hAnsi="Times New Roman"/>
          <w:sz w:val="20"/>
          <w:szCs w:val="20"/>
          <w:shd w:val="clear" w:color="auto" w:fill="FFFFFF"/>
        </w:rPr>
        <w:t>-modified resin as heterogeneous catalyst. </w:t>
      </w:r>
      <w:r w:rsidRPr="00C112EA">
        <w:rPr>
          <w:rFonts w:ascii="Times New Roman" w:hAnsi="Times New Roman"/>
          <w:i/>
          <w:iCs/>
          <w:sz w:val="20"/>
          <w:szCs w:val="20"/>
          <w:shd w:val="clear" w:color="auto" w:fill="FFFFFF"/>
        </w:rPr>
        <w:t>Renewable Energy</w:t>
      </w:r>
      <w:r w:rsidRPr="00C112EA">
        <w:rPr>
          <w:rFonts w:ascii="Times New Roman" w:hAnsi="Times New Roman"/>
          <w:sz w:val="20"/>
          <w:szCs w:val="20"/>
          <w:shd w:val="clear" w:color="auto" w:fill="FFFFFF"/>
        </w:rPr>
        <w:t>, 107: 522-530.</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Harun, F. W., Almadni, E. A. and Ali, E. S. (2017). M-MMT K10 (M: Cu, Al and Fe) as catalysts for the esterification of acetic acid and stearic acid with methanol. In </w:t>
      </w:r>
      <w:r w:rsidRPr="00C112EA">
        <w:rPr>
          <w:rFonts w:ascii="Times New Roman" w:hAnsi="Times New Roman"/>
          <w:i/>
          <w:iCs/>
          <w:sz w:val="20"/>
          <w:szCs w:val="20"/>
          <w:shd w:val="clear" w:color="auto" w:fill="FFFFFF"/>
        </w:rPr>
        <w:t>Proceedings of the World Congress on Engineering and Computer Science,</w:t>
      </w:r>
      <w:r w:rsidRPr="00C112EA">
        <w:rPr>
          <w:rFonts w:ascii="Times New Roman" w:hAnsi="Times New Roman"/>
          <w:sz w:val="20"/>
          <w:szCs w:val="20"/>
          <w:shd w:val="clear" w:color="auto" w:fill="FFFFFF"/>
        </w:rPr>
        <w:t> 2: 606-609.</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Liu, J., Yun, Z. and Gui, X. (2018). Ce/kaolin clay as an active catalyst for fatty acid methyl esters production from cottonseed oil in a new integrated apparatus. </w:t>
      </w:r>
      <w:r w:rsidRPr="00C112EA">
        <w:rPr>
          <w:rFonts w:ascii="Times New Roman" w:hAnsi="Times New Roman"/>
          <w:i/>
          <w:iCs/>
          <w:sz w:val="20"/>
          <w:szCs w:val="20"/>
          <w:shd w:val="clear" w:color="auto" w:fill="FFFFFF"/>
        </w:rPr>
        <w:t>Brazilian Journal of Chemical Engineering</w:t>
      </w:r>
      <w:r w:rsidRPr="00C112EA">
        <w:rPr>
          <w:rFonts w:ascii="Times New Roman" w:hAnsi="Times New Roman"/>
          <w:sz w:val="20"/>
          <w:szCs w:val="20"/>
          <w:shd w:val="clear" w:color="auto" w:fill="FFFFFF"/>
        </w:rPr>
        <w:t>, 35(1): 147-154.</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Almadani, E. A., Harun, F. W., Radzi, S. M. and Muhamad, S. K. (2018). Cu</w:t>
      </w:r>
      <w:r w:rsidRPr="00C112EA">
        <w:rPr>
          <w:rFonts w:ascii="Times New Roman" w:hAnsi="Times New Roman"/>
          <w:sz w:val="20"/>
          <w:szCs w:val="20"/>
          <w:shd w:val="clear" w:color="auto" w:fill="FFFFFF"/>
          <w:vertAlign w:val="superscript"/>
        </w:rPr>
        <w:t>2+</w:t>
      </w:r>
      <w:r w:rsidRPr="00C112EA">
        <w:rPr>
          <w:rFonts w:ascii="Times New Roman" w:hAnsi="Times New Roman"/>
          <w:sz w:val="20"/>
          <w:szCs w:val="20"/>
          <w:shd w:val="clear" w:color="auto" w:fill="FFFFFF"/>
        </w:rPr>
        <w:t xml:space="preserve"> montmorillonite k10 clay catalyst as a green catalyst for production of stearic acid methyl ester: optimization using response surface methodology (RSM). </w:t>
      </w:r>
      <w:r w:rsidRPr="00C112EA">
        <w:rPr>
          <w:rFonts w:ascii="Times New Roman" w:hAnsi="Times New Roman"/>
          <w:i/>
          <w:iCs/>
          <w:sz w:val="20"/>
          <w:szCs w:val="20"/>
          <w:shd w:val="clear" w:color="auto" w:fill="FFFFFF"/>
        </w:rPr>
        <w:t>Bulletin of Chemical Reaction Engineering &amp; Catalysis</w:t>
      </w:r>
      <w:r w:rsidRPr="00C112EA">
        <w:rPr>
          <w:rFonts w:ascii="Times New Roman" w:hAnsi="Times New Roman"/>
          <w:sz w:val="20"/>
          <w:szCs w:val="20"/>
          <w:shd w:val="clear" w:color="auto" w:fill="FFFFFF"/>
        </w:rPr>
        <w:t>, 13(1): 187-195.</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 xml:space="preserve">Sabri, S. M. M., Yahya, S., Razali, F. H. and Harun, F. W. (2019). Modification of </w:t>
      </w:r>
      <w:r w:rsidRPr="00C112EA">
        <w:rPr>
          <w:rFonts w:ascii="Times New Roman" w:hAnsi="Times New Roman"/>
          <w:sz w:val="20"/>
          <w:szCs w:val="20"/>
          <w:shd w:val="clear" w:color="auto" w:fill="FFFFFF"/>
        </w:rPr>
        <w:lastRenderedPageBreak/>
        <w:t>montmorillonite K10 with Al</w:t>
      </w:r>
      <w:r w:rsidRPr="00C112EA">
        <w:rPr>
          <w:rFonts w:ascii="Times New Roman" w:hAnsi="Times New Roman"/>
          <w:sz w:val="20"/>
          <w:szCs w:val="20"/>
          <w:shd w:val="clear" w:color="auto" w:fill="FFFFFF"/>
          <w:vertAlign w:val="superscript"/>
        </w:rPr>
        <w:t>3+</w:t>
      </w:r>
      <w:r w:rsidRPr="00C112EA">
        <w:rPr>
          <w:rFonts w:ascii="Times New Roman" w:hAnsi="Times New Roman"/>
          <w:sz w:val="20"/>
          <w:szCs w:val="20"/>
          <w:shd w:val="clear" w:color="auto" w:fill="FFFFFF"/>
        </w:rPr>
        <w:t xml:space="preserve"> and its potential in biodiesel production. </w:t>
      </w:r>
      <w:r w:rsidRPr="00C112EA">
        <w:rPr>
          <w:rFonts w:ascii="Times New Roman" w:hAnsi="Times New Roman"/>
          <w:i/>
          <w:iCs/>
          <w:sz w:val="20"/>
          <w:szCs w:val="20"/>
          <w:shd w:val="clear" w:color="auto" w:fill="FFFFFF"/>
        </w:rPr>
        <w:t xml:space="preserve">Malaysian Journal of Science Health &amp; Technology, </w:t>
      </w:r>
      <w:r w:rsidRPr="00C112EA">
        <w:rPr>
          <w:rFonts w:ascii="Times New Roman" w:hAnsi="Times New Roman"/>
          <w:sz w:val="20"/>
          <w:szCs w:val="20"/>
          <w:shd w:val="clear" w:color="auto" w:fill="FFFFFF"/>
        </w:rPr>
        <w:t>4: 30-34.</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Yahya, S., Razali, F. H. and Harun, F. W. (2019). Physicochemical properties of refined palm cooking oil and used palm cooking oil. </w:t>
      </w:r>
      <w:r w:rsidRPr="00C112EA">
        <w:rPr>
          <w:rFonts w:ascii="Times New Roman" w:hAnsi="Times New Roman"/>
          <w:i/>
          <w:iCs/>
          <w:sz w:val="20"/>
          <w:szCs w:val="20"/>
          <w:shd w:val="clear" w:color="auto" w:fill="FFFFFF"/>
        </w:rPr>
        <w:t>Materials Today: Proceedings</w:t>
      </w:r>
      <w:r w:rsidRPr="00C112EA">
        <w:rPr>
          <w:rFonts w:ascii="Times New Roman" w:hAnsi="Times New Roman"/>
          <w:sz w:val="20"/>
          <w:szCs w:val="20"/>
          <w:shd w:val="clear" w:color="auto" w:fill="FFFFFF"/>
        </w:rPr>
        <w:t>, 19: 1166-1172.</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Jha, A., Garade, A. C., Shirai, M. and Rode, C. V. (2013). Metal cation-exchanged montmorillonite clay as catalysts for hydroxyalkylation reaction. </w:t>
      </w:r>
      <w:r w:rsidRPr="00C112EA">
        <w:rPr>
          <w:rFonts w:ascii="Times New Roman" w:hAnsi="Times New Roman"/>
          <w:i/>
          <w:iCs/>
          <w:sz w:val="20"/>
          <w:szCs w:val="20"/>
          <w:shd w:val="clear" w:color="auto" w:fill="FFFFFF"/>
        </w:rPr>
        <w:t>Applied Clay Science</w:t>
      </w:r>
      <w:r w:rsidRPr="00C112EA">
        <w:rPr>
          <w:rFonts w:ascii="Times New Roman" w:hAnsi="Times New Roman"/>
          <w:sz w:val="20"/>
          <w:szCs w:val="20"/>
          <w:shd w:val="clear" w:color="auto" w:fill="FFFFFF"/>
        </w:rPr>
        <w:t>, 74: 141-146.</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Liu, J., Wang, X. Q., Yang, B. B., Liu, C. L., Xu, C. L. and Dong, W. S. (2018). Highly efficient conversion of glucose into methyl levulinate catalyzed by tin-exchanged montmorillonite. </w:t>
      </w:r>
      <w:r w:rsidRPr="00C112EA">
        <w:rPr>
          <w:rFonts w:ascii="Times New Roman" w:hAnsi="Times New Roman"/>
          <w:i/>
          <w:iCs/>
          <w:sz w:val="20"/>
          <w:szCs w:val="20"/>
          <w:shd w:val="clear" w:color="auto" w:fill="FFFFFF"/>
        </w:rPr>
        <w:t>Renewable Energy</w:t>
      </w:r>
      <w:r w:rsidRPr="00C112EA">
        <w:rPr>
          <w:rFonts w:ascii="Times New Roman" w:hAnsi="Times New Roman"/>
          <w:sz w:val="20"/>
          <w:szCs w:val="20"/>
          <w:shd w:val="clear" w:color="auto" w:fill="FFFFFF"/>
        </w:rPr>
        <w:t>, 120: 231-240.</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Ramesh, S., Prakash, B. J. and Bhat, Y. S. (2010). Enhancing Brønsted acid site activity of ion exchanged montmorillonite by microwave irradiation for ester synthesis. </w:t>
      </w:r>
      <w:r w:rsidRPr="00C112EA">
        <w:rPr>
          <w:rFonts w:ascii="Times New Roman" w:hAnsi="Times New Roman"/>
          <w:i/>
          <w:iCs/>
          <w:sz w:val="20"/>
          <w:szCs w:val="20"/>
          <w:shd w:val="clear" w:color="auto" w:fill="FFFFFF"/>
        </w:rPr>
        <w:t>Applied Clay Science</w:t>
      </w:r>
      <w:r w:rsidRPr="00C112EA">
        <w:rPr>
          <w:rFonts w:ascii="Times New Roman" w:hAnsi="Times New Roman"/>
          <w:sz w:val="20"/>
          <w:szCs w:val="20"/>
          <w:shd w:val="clear" w:color="auto" w:fill="FFFFFF"/>
        </w:rPr>
        <w:t>, 48(1-2): 159-163.</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Olutoye, M. A., Wong, S. W., Chin, L. H., Amani, H., Asif, M. and Hameed, B. H. (2016). Synthesis of fatty acid methyl esters via the transesterification of waste cooking oil by methanol with a barium-modified montmorillonite K10 catalyst. </w:t>
      </w:r>
      <w:r w:rsidRPr="00C112EA">
        <w:rPr>
          <w:rFonts w:ascii="Times New Roman" w:hAnsi="Times New Roman"/>
          <w:i/>
          <w:iCs/>
          <w:sz w:val="20"/>
          <w:szCs w:val="20"/>
          <w:shd w:val="clear" w:color="auto" w:fill="FFFFFF"/>
        </w:rPr>
        <w:t>Renewable Energy</w:t>
      </w:r>
      <w:r w:rsidRPr="00C112EA">
        <w:rPr>
          <w:rFonts w:ascii="Times New Roman" w:hAnsi="Times New Roman"/>
          <w:sz w:val="20"/>
          <w:szCs w:val="20"/>
          <w:shd w:val="clear" w:color="auto" w:fill="FFFFFF"/>
        </w:rPr>
        <w:t>, 86: 392-398.</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Dharne, S. and Bokade, V. V. (2011). Esterification of levulinic acid to n-butyl levulinate over heteropolyacid supported on acid-treated clay. </w:t>
      </w:r>
      <w:r w:rsidRPr="00C112EA">
        <w:rPr>
          <w:rFonts w:ascii="Times New Roman" w:hAnsi="Times New Roman"/>
          <w:i/>
          <w:iCs/>
          <w:sz w:val="20"/>
          <w:szCs w:val="20"/>
          <w:shd w:val="clear" w:color="auto" w:fill="FFFFFF"/>
        </w:rPr>
        <w:t>Journal of Natural Gas Chemistry</w:t>
      </w:r>
      <w:r w:rsidRPr="00C112EA">
        <w:rPr>
          <w:rFonts w:ascii="Times New Roman" w:hAnsi="Times New Roman"/>
          <w:sz w:val="20"/>
          <w:szCs w:val="20"/>
          <w:shd w:val="clear" w:color="auto" w:fill="FFFFFF"/>
        </w:rPr>
        <w:t>, 20(1): 18-24.</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Harun, F. W., Almadani, E. A. and Radzi, S. M. (2016). Metal cation exchanged montmorillonite K10 (MMT K10): surface properties and catalytic activity. </w:t>
      </w:r>
      <w:r w:rsidRPr="00C112EA">
        <w:rPr>
          <w:rFonts w:ascii="Times New Roman" w:hAnsi="Times New Roman"/>
          <w:i/>
          <w:iCs/>
          <w:sz w:val="20"/>
          <w:szCs w:val="20"/>
          <w:shd w:val="clear" w:color="auto" w:fill="FFFFFF"/>
        </w:rPr>
        <w:t>Journal of Scientific Research and Development</w:t>
      </w:r>
      <w:r w:rsidRPr="00C112EA">
        <w:rPr>
          <w:rFonts w:ascii="Times New Roman" w:hAnsi="Times New Roman"/>
          <w:sz w:val="20"/>
          <w:szCs w:val="20"/>
          <w:shd w:val="clear" w:color="auto" w:fill="FFFFFF"/>
        </w:rPr>
        <w:t>, 3(3): 90-96.</w:t>
      </w:r>
    </w:p>
    <w:p w:rsidR="00E51EBA" w:rsidRPr="00E51EB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Nascimento, A. R. D., Alves, J. A. B. L. R., Melo, M. A. D. F., Melo, D. M. D. A., Souza, M. J. B. D. and  Pedrosa, A. M. G. (2015). Effect of the acid treatment of montmorillonite clay in the oleic acid esterification reaction. </w:t>
      </w:r>
      <w:r w:rsidRPr="00C112EA">
        <w:rPr>
          <w:rFonts w:ascii="Times New Roman" w:hAnsi="Times New Roman"/>
          <w:i/>
          <w:iCs/>
          <w:sz w:val="20"/>
          <w:szCs w:val="20"/>
          <w:shd w:val="clear" w:color="auto" w:fill="FFFFFF"/>
        </w:rPr>
        <w:t>Materials Research</w:t>
      </w:r>
      <w:r w:rsidRPr="00C112EA">
        <w:rPr>
          <w:rFonts w:ascii="Times New Roman" w:hAnsi="Times New Roman"/>
          <w:sz w:val="20"/>
          <w:szCs w:val="20"/>
          <w:shd w:val="clear" w:color="auto" w:fill="FFFFFF"/>
        </w:rPr>
        <w:t>, 18(2): 283-287.</w:t>
      </w:r>
    </w:p>
    <w:p w:rsidR="00E51EBA" w:rsidRPr="00E51EBA" w:rsidRDefault="00E51EBA" w:rsidP="00E51EBA">
      <w:pPr>
        <w:spacing w:after="0"/>
        <w:jc w:val="both"/>
        <w:rPr>
          <w:rFonts w:ascii="Times New Roman" w:hAnsi="Times New Roman"/>
          <w:noProof/>
          <w:sz w:val="20"/>
          <w:szCs w:val="20"/>
        </w:rPr>
      </w:pPr>
    </w:p>
    <w:p w:rsidR="00E51EBA" w:rsidRPr="00E51EB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lastRenderedPageBreak/>
        <w:t>Shimizu, K. I., Higuchi, T., Takasugi, E., Hatamachi, T., Kodama, T. and Satsuma, A. (2008). Characterization of Lewis acidity of cation-exchanged montmorillonite K-10 clay as effective heterogeneous catalyst for acetylation of alcohol. </w:t>
      </w:r>
      <w:r w:rsidRPr="00C112EA">
        <w:rPr>
          <w:rFonts w:ascii="Times New Roman" w:hAnsi="Times New Roman"/>
          <w:i/>
          <w:iCs/>
          <w:sz w:val="20"/>
          <w:szCs w:val="20"/>
          <w:shd w:val="clear" w:color="auto" w:fill="FFFFFF"/>
        </w:rPr>
        <w:t>Journal of Molecular Catalysis A: Chemical</w:t>
      </w:r>
      <w:r w:rsidRPr="00C112EA">
        <w:rPr>
          <w:rFonts w:ascii="Times New Roman" w:hAnsi="Times New Roman"/>
          <w:sz w:val="20"/>
          <w:szCs w:val="20"/>
          <w:shd w:val="clear" w:color="auto" w:fill="FFFFFF"/>
        </w:rPr>
        <w:t>, 284(1-2): 89-96.</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Varadwaj, G. B. B. and Parida, K. M. (2013). Montmorillonite supported metal nanoparticles: an update on syntheses and applications. </w:t>
      </w:r>
      <w:r w:rsidRPr="00C112EA">
        <w:rPr>
          <w:rFonts w:ascii="Times New Roman" w:hAnsi="Times New Roman"/>
          <w:i/>
          <w:iCs/>
          <w:sz w:val="20"/>
          <w:szCs w:val="20"/>
          <w:shd w:val="clear" w:color="auto" w:fill="FFFFFF"/>
        </w:rPr>
        <w:t>RSC Advances</w:t>
      </w:r>
      <w:r w:rsidRPr="00C112EA">
        <w:rPr>
          <w:rFonts w:ascii="Times New Roman" w:hAnsi="Times New Roman"/>
          <w:sz w:val="20"/>
          <w:szCs w:val="20"/>
          <w:shd w:val="clear" w:color="auto" w:fill="FFFFFF"/>
        </w:rPr>
        <w:t>, 3(33): 13583-13593.</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Wang, F. F., Liu, J., Li, H., Liu, C. L., Yang, R. Z. and Dong, W. S. (2015). Conversion of cellulose to lactic acid catalyzed by erbium-exchanged montmorillonite K10. </w:t>
      </w:r>
      <w:r w:rsidRPr="00C112EA">
        <w:rPr>
          <w:rFonts w:ascii="Times New Roman" w:hAnsi="Times New Roman"/>
          <w:i/>
          <w:iCs/>
          <w:sz w:val="20"/>
          <w:szCs w:val="20"/>
          <w:shd w:val="clear" w:color="auto" w:fill="FFFFFF"/>
        </w:rPr>
        <w:t>Green Chemistry</w:t>
      </w:r>
      <w:r w:rsidRPr="00C112EA">
        <w:rPr>
          <w:rFonts w:ascii="Times New Roman" w:hAnsi="Times New Roman"/>
          <w:sz w:val="20"/>
          <w:szCs w:val="20"/>
          <w:shd w:val="clear" w:color="auto" w:fill="FFFFFF"/>
        </w:rPr>
        <w:t>, 17(4): 2455-2463.</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Wen, K., Zhu, J., Chen, H., Ma, L., Liu, H., Zhu, R., Xi, Y. and He, H. (2018). Arrangement models of Keggin-Al30 and Keggin-Al13 in the interlayer of montmorillonite and the impacts of pillaring on surface acidity: A comparative study on catalytic oxidation of toluene. </w:t>
      </w:r>
      <w:r w:rsidRPr="00C112EA">
        <w:rPr>
          <w:rFonts w:ascii="Times New Roman" w:hAnsi="Times New Roman"/>
          <w:i/>
          <w:iCs/>
          <w:sz w:val="20"/>
          <w:szCs w:val="20"/>
          <w:shd w:val="clear" w:color="auto" w:fill="FFFFFF"/>
        </w:rPr>
        <w:t>Langmuir</w:t>
      </w:r>
      <w:r w:rsidRPr="00C112EA">
        <w:rPr>
          <w:rFonts w:ascii="Times New Roman" w:hAnsi="Times New Roman"/>
          <w:sz w:val="20"/>
          <w:szCs w:val="20"/>
          <w:shd w:val="clear" w:color="auto" w:fill="FFFFFF"/>
        </w:rPr>
        <w:t>, 35(2): 382-390.</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Liu, D., Yuan, P., Liu, H., Cai, J., Tan, D., He, H., Zhu, J. and Chen, T. (2013). Quantitative characterization of the solid acidity of montmorillonite using combined FTIR and TPD based on the NH</w:t>
      </w:r>
      <w:r w:rsidRPr="00C112EA">
        <w:rPr>
          <w:rFonts w:ascii="Times New Roman" w:hAnsi="Times New Roman"/>
          <w:sz w:val="20"/>
          <w:szCs w:val="20"/>
          <w:shd w:val="clear" w:color="auto" w:fill="FFFFFF"/>
          <w:vertAlign w:val="subscript"/>
        </w:rPr>
        <w:t>3</w:t>
      </w:r>
      <w:r w:rsidRPr="00C112EA">
        <w:rPr>
          <w:rFonts w:ascii="Times New Roman" w:hAnsi="Times New Roman"/>
          <w:sz w:val="20"/>
          <w:szCs w:val="20"/>
          <w:shd w:val="clear" w:color="auto" w:fill="FFFFFF"/>
        </w:rPr>
        <w:t xml:space="preserve"> adsorption system. </w:t>
      </w:r>
      <w:r w:rsidRPr="00C112EA">
        <w:rPr>
          <w:rFonts w:ascii="Times New Roman" w:hAnsi="Times New Roman"/>
          <w:i/>
          <w:iCs/>
          <w:sz w:val="20"/>
          <w:szCs w:val="20"/>
          <w:shd w:val="clear" w:color="auto" w:fill="FFFFFF"/>
        </w:rPr>
        <w:t>Applied Clay Science</w:t>
      </w:r>
      <w:r w:rsidRPr="00C112EA">
        <w:rPr>
          <w:rFonts w:ascii="Times New Roman" w:hAnsi="Times New Roman"/>
          <w:sz w:val="20"/>
          <w:szCs w:val="20"/>
          <w:shd w:val="clear" w:color="auto" w:fill="FFFFFF"/>
        </w:rPr>
        <w:t>, 80: 407-412.</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Phukan, A., Bhorodwaj, S. K., Sharma, P. P. and Dutta, D. K. (2018). Mesoporous aluminosilicate: Efficient and reusable catalysts for esterification of sec-butanol with acetic acid. </w:t>
      </w:r>
      <w:r w:rsidRPr="00C112EA">
        <w:rPr>
          <w:rFonts w:ascii="Times New Roman" w:hAnsi="Times New Roman"/>
          <w:i/>
          <w:iCs/>
          <w:sz w:val="20"/>
          <w:szCs w:val="20"/>
          <w:shd w:val="clear" w:color="auto" w:fill="FFFFFF"/>
        </w:rPr>
        <w:t>Journal of Porous Materials</w:t>
      </w:r>
      <w:r w:rsidRPr="00C112EA">
        <w:rPr>
          <w:rFonts w:ascii="Times New Roman" w:hAnsi="Times New Roman"/>
          <w:sz w:val="20"/>
          <w:szCs w:val="20"/>
          <w:shd w:val="clear" w:color="auto" w:fill="FFFFFF"/>
        </w:rPr>
        <w:t>, 25(1): 129-136.</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Bharate, J. B., Sharma, R., Aravinda, S., Gupta, V. K., Singh, B., Bharate, S. B. and Vishwakarma, R. A. (2013). Montmorillonite clay catalyzed synthesis of functionalized pyrroles through domino four-component coupling of amines, aldehydes, 1, 3-dicarbonyl compounds and nitroalkanes. </w:t>
      </w:r>
      <w:r w:rsidRPr="00C112EA">
        <w:rPr>
          <w:rFonts w:ascii="Times New Roman" w:hAnsi="Times New Roman"/>
          <w:i/>
          <w:iCs/>
          <w:sz w:val="20"/>
          <w:szCs w:val="20"/>
          <w:shd w:val="clear" w:color="auto" w:fill="FFFFFF"/>
        </w:rPr>
        <w:t>RSC Advances</w:t>
      </w:r>
      <w:r w:rsidRPr="00C112EA">
        <w:rPr>
          <w:rFonts w:ascii="Times New Roman" w:hAnsi="Times New Roman"/>
          <w:sz w:val="20"/>
          <w:szCs w:val="20"/>
          <w:shd w:val="clear" w:color="auto" w:fill="FFFFFF"/>
        </w:rPr>
        <w:t>, 3(44): 21736-21742.</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Munir, M., Ahmad, M., Saeed, M., Waseem, A., Rehan, M., Nizami, A.S., Zafar, M., Arshad, M. and Sultana, S. (2019). Sustainable production of bioenergy from novel non-edible seed oil (</w:t>
      </w:r>
      <w:r w:rsidRPr="00C112EA">
        <w:rPr>
          <w:rFonts w:ascii="Times New Roman" w:hAnsi="Times New Roman"/>
          <w:i/>
          <w:iCs/>
          <w:sz w:val="20"/>
          <w:szCs w:val="20"/>
          <w:shd w:val="clear" w:color="auto" w:fill="FFFFFF"/>
        </w:rPr>
        <w:t>Prunus cerasoides</w:t>
      </w:r>
      <w:r w:rsidRPr="00C112EA">
        <w:rPr>
          <w:rFonts w:ascii="Times New Roman" w:hAnsi="Times New Roman"/>
          <w:sz w:val="20"/>
          <w:szCs w:val="20"/>
          <w:shd w:val="clear" w:color="auto" w:fill="FFFFFF"/>
        </w:rPr>
        <w:t xml:space="preserve">) using bimetallic impregnated </w:t>
      </w:r>
      <w:r w:rsidRPr="00C112EA">
        <w:rPr>
          <w:rFonts w:ascii="Times New Roman" w:hAnsi="Times New Roman"/>
          <w:sz w:val="20"/>
          <w:szCs w:val="20"/>
          <w:shd w:val="clear" w:color="auto" w:fill="FFFFFF"/>
        </w:rPr>
        <w:lastRenderedPageBreak/>
        <w:t>montmorillonite clay catalyst. </w:t>
      </w:r>
      <w:r w:rsidRPr="00C112EA">
        <w:rPr>
          <w:rFonts w:ascii="Times New Roman" w:hAnsi="Times New Roman"/>
          <w:i/>
          <w:iCs/>
          <w:sz w:val="20"/>
          <w:szCs w:val="20"/>
          <w:shd w:val="clear" w:color="auto" w:fill="FFFFFF"/>
        </w:rPr>
        <w:t>Renewable and Sustainable Energy Reviews</w:t>
      </w:r>
      <w:r w:rsidRPr="00C112EA">
        <w:rPr>
          <w:rFonts w:ascii="Times New Roman" w:hAnsi="Times New Roman"/>
          <w:sz w:val="20"/>
          <w:szCs w:val="20"/>
          <w:shd w:val="clear" w:color="auto" w:fill="FFFFFF"/>
        </w:rPr>
        <w:t>, 109: 321-332.</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Olutoye, M. A., Wong, S. W., Chin, L. H., Amani, H., Asif, M. and Hameed, B. H. (2016). Synthesis of fatty acid methyl esters via the transesterification of waste cooking oil by methanol with a barium-modified montmorillonite K10 catalyst. </w:t>
      </w:r>
      <w:r w:rsidRPr="00C112EA">
        <w:rPr>
          <w:rFonts w:ascii="Times New Roman" w:hAnsi="Times New Roman"/>
          <w:i/>
          <w:iCs/>
          <w:sz w:val="20"/>
          <w:szCs w:val="20"/>
          <w:shd w:val="clear" w:color="auto" w:fill="FFFFFF"/>
        </w:rPr>
        <w:t>Renewable Energy</w:t>
      </w:r>
      <w:r w:rsidRPr="00C112EA">
        <w:rPr>
          <w:rFonts w:ascii="Times New Roman" w:hAnsi="Times New Roman"/>
          <w:sz w:val="20"/>
          <w:szCs w:val="20"/>
          <w:shd w:val="clear" w:color="auto" w:fill="FFFFFF"/>
        </w:rPr>
        <w:t>, 86, 392-398.</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Babaki, M., Yousefi, M., Habibi, Z., Mohammadi, M., Yousefi, P., Mohammadi, J. and Brask, J. (2016). Enzymatic production of biodiesel using lipases immobilized on silica nanoparticles as highly reusable biocatalysts: effect of water, t-butanol and blue silica gel contents. </w:t>
      </w:r>
      <w:r w:rsidRPr="00C112EA">
        <w:rPr>
          <w:rFonts w:ascii="Times New Roman" w:hAnsi="Times New Roman"/>
          <w:i/>
          <w:iCs/>
          <w:sz w:val="20"/>
          <w:szCs w:val="20"/>
          <w:shd w:val="clear" w:color="auto" w:fill="FFFFFF"/>
        </w:rPr>
        <w:t>Renewable Energy</w:t>
      </w:r>
      <w:r w:rsidRPr="00C112EA">
        <w:rPr>
          <w:rFonts w:ascii="Times New Roman" w:hAnsi="Times New Roman"/>
          <w:sz w:val="20"/>
          <w:szCs w:val="20"/>
          <w:shd w:val="clear" w:color="auto" w:fill="FFFFFF"/>
        </w:rPr>
        <w:t>, 91: 196-206.</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Ayoub, M., Ullah, S., Inayat, A., Bhat, A. H. and Hailegiorgis, S. M. (2016). Process optimization for biodiesel production from waste frying oil over montmorillonite clay k-30. </w:t>
      </w:r>
      <w:r w:rsidRPr="00C112EA">
        <w:rPr>
          <w:rFonts w:ascii="Times New Roman" w:hAnsi="Times New Roman"/>
          <w:i/>
          <w:iCs/>
          <w:sz w:val="20"/>
          <w:szCs w:val="20"/>
          <w:shd w:val="clear" w:color="auto" w:fill="FFFFFF"/>
        </w:rPr>
        <w:t>Procedia Engineering</w:t>
      </w:r>
      <w:r w:rsidRPr="00C112EA">
        <w:rPr>
          <w:rFonts w:ascii="Times New Roman" w:hAnsi="Times New Roman"/>
          <w:sz w:val="20"/>
          <w:szCs w:val="20"/>
          <w:shd w:val="clear" w:color="auto" w:fill="FFFFFF"/>
        </w:rPr>
        <w:t>, 148: 742-749.</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Tan, Y. H., Abdullah, M. O., Nolasco-Hipolito, C. and Taufiq-Yap, Y. H. (2015). Waste ostrich-and chicken-eggshells as heterogeneous base catalyst for biodiesel production from used cooking oil: Catalyst characterization and biodiesel yield performance. </w:t>
      </w:r>
      <w:r w:rsidRPr="00C112EA">
        <w:rPr>
          <w:rFonts w:ascii="Times New Roman" w:hAnsi="Times New Roman"/>
          <w:i/>
          <w:iCs/>
          <w:sz w:val="20"/>
          <w:szCs w:val="20"/>
          <w:shd w:val="clear" w:color="auto" w:fill="FFFFFF"/>
        </w:rPr>
        <w:t>Applied Energy</w:t>
      </w:r>
      <w:r w:rsidRPr="00C112EA">
        <w:rPr>
          <w:rFonts w:ascii="Times New Roman" w:hAnsi="Times New Roman"/>
          <w:sz w:val="20"/>
          <w:szCs w:val="20"/>
          <w:shd w:val="clear" w:color="auto" w:fill="FFFFFF"/>
        </w:rPr>
        <w:t>, 160: 58-70.</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Maneerung, T., Kawi, S., Dai, Y. and Wang, C. H. (2016). Sustainable biodiesel production via transesterification of waste cooking oil by using CaO catalysts prepared from chicken manure. </w:t>
      </w:r>
      <w:r w:rsidRPr="00C112EA">
        <w:rPr>
          <w:rFonts w:ascii="Times New Roman" w:hAnsi="Times New Roman"/>
          <w:i/>
          <w:iCs/>
          <w:sz w:val="20"/>
          <w:szCs w:val="20"/>
          <w:shd w:val="clear" w:color="auto" w:fill="FFFFFF"/>
        </w:rPr>
        <w:t>Energy Conversion and Management</w:t>
      </w:r>
      <w:r w:rsidRPr="00C112EA">
        <w:rPr>
          <w:rFonts w:ascii="Times New Roman" w:hAnsi="Times New Roman"/>
          <w:sz w:val="20"/>
          <w:szCs w:val="20"/>
          <w:shd w:val="clear" w:color="auto" w:fill="FFFFFF"/>
        </w:rPr>
        <w:t>, 123: 487-497.</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Liu, H., shuang Guo, H., jing Wang, X., zhong Jiang, J., Lin, H., Han, S. and Peng Pei, S. (2016). Mixed and ground KBr-impregnated calcined snail shell and kaolin as solid base catalysts for biodiesel production. </w:t>
      </w:r>
      <w:r w:rsidRPr="00C112EA">
        <w:rPr>
          <w:rFonts w:ascii="Times New Roman" w:hAnsi="Times New Roman"/>
          <w:i/>
          <w:iCs/>
          <w:sz w:val="20"/>
          <w:szCs w:val="20"/>
          <w:shd w:val="clear" w:color="auto" w:fill="FFFFFF"/>
        </w:rPr>
        <w:t>Renewable Energy</w:t>
      </w:r>
      <w:r w:rsidRPr="00C112EA">
        <w:rPr>
          <w:rFonts w:ascii="Times New Roman" w:hAnsi="Times New Roman"/>
          <w:sz w:val="20"/>
          <w:szCs w:val="20"/>
          <w:shd w:val="clear" w:color="auto" w:fill="FFFFFF"/>
        </w:rPr>
        <w:t>, 93: 648-657.</w:t>
      </w:r>
    </w:p>
    <w:p w:rsidR="00E51EBA" w:rsidRPr="00E51EBA" w:rsidRDefault="00E51EBA" w:rsidP="00E51EBA">
      <w:pPr>
        <w:pStyle w:val="ListParagraph"/>
        <w:numPr>
          <w:ilvl w:val="0"/>
          <w:numId w:val="3"/>
        </w:numPr>
        <w:spacing w:after="0"/>
        <w:ind w:left="360"/>
        <w:jc w:val="both"/>
        <w:rPr>
          <w:rFonts w:ascii="Times New Roman" w:hAnsi="Times New Roman"/>
          <w:noProof/>
          <w:sz w:val="20"/>
          <w:szCs w:val="20"/>
        </w:rPr>
        <w:sectPr w:rsidR="00E51EBA" w:rsidRPr="00E51EBA" w:rsidSect="00E51EBA">
          <w:headerReference w:type="even" r:id="rId75"/>
          <w:headerReference w:type="default" r:id="rId76"/>
          <w:footerReference w:type="even" r:id="rId77"/>
          <w:footerReference w:type="default" r:id="rId78"/>
          <w:headerReference w:type="first" r:id="rId79"/>
          <w:type w:val="oddPage"/>
          <w:pgSz w:w="12240" w:h="15840" w:code="1"/>
          <w:pgMar w:top="1800" w:right="1469" w:bottom="1699" w:left="1440" w:header="706" w:footer="706" w:gutter="0"/>
          <w:pgNumType w:start="1"/>
          <w:cols w:num="2" w:space="403"/>
          <w:docGrid w:linePitch="360"/>
        </w:sectPr>
      </w:pPr>
      <w:r w:rsidRPr="00C112EA">
        <w:rPr>
          <w:rFonts w:ascii="Times New Roman" w:hAnsi="Times New Roman"/>
          <w:sz w:val="20"/>
          <w:szCs w:val="20"/>
          <w:shd w:val="clear" w:color="auto" w:fill="FFFFFF"/>
        </w:rPr>
        <w:t>Negm, N. A., Sayed, G. H., Yehia, F. Z., Habib, O. I. and Mohamed, E. A. (2017). Biodiesel production from one-step heterogeneous catalyzed process of Castor oil and Jatropha oil using novel sulphonated phenyl silane montmorillonite catalyst. </w:t>
      </w:r>
      <w:r w:rsidRPr="00C112EA">
        <w:rPr>
          <w:rFonts w:ascii="Times New Roman" w:hAnsi="Times New Roman"/>
          <w:i/>
          <w:iCs/>
          <w:sz w:val="20"/>
          <w:szCs w:val="20"/>
          <w:shd w:val="clear" w:color="auto" w:fill="FFFFFF"/>
        </w:rPr>
        <w:t>Journal of Molecular Liquids</w:t>
      </w:r>
      <w:r w:rsidRPr="00C112EA">
        <w:rPr>
          <w:rFonts w:ascii="Times New Roman" w:hAnsi="Times New Roman"/>
          <w:sz w:val="20"/>
          <w:szCs w:val="20"/>
          <w:shd w:val="clear" w:color="auto" w:fill="FFFFFF"/>
        </w:rPr>
        <w:t>, 234: 157-163.</w:t>
      </w:r>
    </w:p>
    <w:p w:rsidR="00E51EBA" w:rsidRPr="008F3DC2" w:rsidRDefault="00E51EBA" w:rsidP="008F3DC2">
      <w:pPr>
        <w:pStyle w:val="ListParagraph"/>
        <w:numPr>
          <w:ilvl w:val="0"/>
          <w:numId w:val="3"/>
        </w:numPr>
        <w:spacing w:after="0"/>
        <w:ind w:left="360"/>
        <w:jc w:val="both"/>
        <w:rPr>
          <w:rFonts w:ascii="Times New Roman" w:hAnsi="Times New Roman"/>
          <w:noProof/>
          <w:sz w:val="20"/>
          <w:szCs w:val="20"/>
        </w:rPr>
      </w:pPr>
      <w:r w:rsidRPr="008F3DC2">
        <w:rPr>
          <w:rFonts w:ascii="Times New Roman" w:hAnsi="Times New Roman"/>
          <w:sz w:val="20"/>
          <w:szCs w:val="20"/>
          <w:shd w:val="clear" w:color="auto" w:fill="FFFFFF"/>
        </w:rPr>
        <w:lastRenderedPageBreak/>
        <w:t>Ghoreishi, S. M. and Moein, P. (2013). Biodiesel synthesis from waste vegetable oil via transesterification reaction in supercritical methanol. </w:t>
      </w:r>
      <w:r w:rsidRPr="008F3DC2">
        <w:rPr>
          <w:rFonts w:ascii="Times New Roman" w:hAnsi="Times New Roman"/>
          <w:i/>
          <w:iCs/>
          <w:sz w:val="20"/>
          <w:szCs w:val="20"/>
          <w:shd w:val="clear" w:color="auto" w:fill="FFFFFF"/>
        </w:rPr>
        <w:t>The Journal of Supercritical Fluids</w:t>
      </w:r>
      <w:r w:rsidRPr="008F3DC2">
        <w:rPr>
          <w:rFonts w:ascii="Times New Roman" w:hAnsi="Times New Roman"/>
          <w:sz w:val="20"/>
          <w:szCs w:val="20"/>
          <w:shd w:val="clear" w:color="auto" w:fill="FFFFFF"/>
        </w:rPr>
        <w:t>, 76: 24-31.</w:t>
      </w:r>
    </w:p>
    <w:p w:rsidR="00E51EBA" w:rsidRPr="00C112EA" w:rsidRDefault="00E51EBA" w:rsidP="00E51EBA">
      <w:pPr>
        <w:pStyle w:val="ListParagraph"/>
        <w:numPr>
          <w:ilvl w:val="0"/>
          <w:numId w:val="3"/>
        </w:numPr>
        <w:spacing w:after="0"/>
        <w:ind w:left="360"/>
        <w:jc w:val="both"/>
        <w:rPr>
          <w:rFonts w:ascii="Times New Roman" w:hAnsi="Times New Roman"/>
          <w:noProof/>
          <w:sz w:val="20"/>
          <w:szCs w:val="20"/>
        </w:rPr>
      </w:pPr>
      <w:r w:rsidRPr="00C112EA">
        <w:rPr>
          <w:rFonts w:ascii="Times New Roman" w:hAnsi="Times New Roman"/>
          <w:sz w:val="20"/>
          <w:szCs w:val="20"/>
          <w:shd w:val="clear" w:color="auto" w:fill="FFFFFF"/>
        </w:rPr>
        <w:t>Refaat, A. A. (2011). Biodiesel production using solid metal oxide catalysts. </w:t>
      </w:r>
      <w:r w:rsidRPr="00C112EA">
        <w:rPr>
          <w:rFonts w:ascii="Times New Roman" w:hAnsi="Times New Roman"/>
          <w:i/>
          <w:iCs/>
          <w:sz w:val="20"/>
          <w:szCs w:val="20"/>
          <w:shd w:val="clear" w:color="auto" w:fill="FFFFFF"/>
        </w:rPr>
        <w:t xml:space="preserve">International Journal </w:t>
      </w:r>
      <w:r w:rsidRPr="00C112EA">
        <w:rPr>
          <w:rFonts w:ascii="Times New Roman" w:hAnsi="Times New Roman"/>
          <w:i/>
          <w:iCs/>
          <w:sz w:val="20"/>
          <w:szCs w:val="20"/>
          <w:shd w:val="clear" w:color="auto" w:fill="FFFFFF"/>
        </w:rPr>
        <w:lastRenderedPageBreak/>
        <w:t>of Environmental Science &amp; Technology</w:t>
      </w:r>
      <w:r w:rsidRPr="00C112EA">
        <w:rPr>
          <w:rFonts w:ascii="Times New Roman" w:hAnsi="Times New Roman"/>
          <w:sz w:val="20"/>
          <w:szCs w:val="20"/>
          <w:shd w:val="clear" w:color="auto" w:fill="FFFFFF"/>
        </w:rPr>
        <w:t>, 8(1): 203-221.</w:t>
      </w:r>
    </w:p>
    <w:p w:rsidR="00E51EBA" w:rsidRPr="006F717F" w:rsidRDefault="00E51EBA" w:rsidP="00E51EBA">
      <w:pPr>
        <w:pStyle w:val="ListParagraph"/>
        <w:numPr>
          <w:ilvl w:val="0"/>
          <w:numId w:val="3"/>
        </w:numPr>
        <w:spacing w:after="0" w:line="240" w:lineRule="auto"/>
        <w:ind w:left="360"/>
        <w:jc w:val="both"/>
        <w:outlineLvl w:val="0"/>
        <w:rPr>
          <w:rFonts w:ascii="Times New Roman" w:hAnsi="Times New Roman"/>
          <w:noProof/>
          <w:sz w:val="20"/>
          <w:szCs w:val="20"/>
          <w:lang w:bidi="ar-SA"/>
        </w:rPr>
      </w:pPr>
      <w:r w:rsidRPr="006F717F">
        <w:rPr>
          <w:rFonts w:ascii="Times New Roman" w:hAnsi="Times New Roman"/>
          <w:sz w:val="20"/>
          <w:szCs w:val="20"/>
          <w:shd w:val="clear" w:color="auto" w:fill="FFFFFF"/>
        </w:rPr>
        <w:t>Liu, X., He, H., Wang, Y., Zhu, S. and Piao, X. (2008). Transesterification of soybean oil to biodiesel using CaO as a solid base catalyst. </w:t>
      </w:r>
      <w:r w:rsidRPr="006F717F">
        <w:rPr>
          <w:rFonts w:ascii="Times New Roman" w:hAnsi="Times New Roman"/>
          <w:i/>
          <w:iCs/>
          <w:sz w:val="20"/>
          <w:szCs w:val="20"/>
          <w:shd w:val="clear" w:color="auto" w:fill="FFFFFF"/>
        </w:rPr>
        <w:t>Fuel</w:t>
      </w:r>
      <w:r w:rsidRPr="006F717F">
        <w:rPr>
          <w:rFonts w:ascii="Times New Roman" w:hAnsi="Times New Roman"/>
          <w:sz w:val="20"/>
          <w:szCs w:val="20"/>
          <w:shd w:val="clear" w:color="auto" w:fill="FFFFFF"/>
        </w:rPr>
        <w:t>, 87(2): 216-221.</w:t>
      </w:r>
    </w:p>
    <w:p w:rsidR="00E51EBA" w:rsidRDefault="00E51EBA" w:rsidP="00E51EBA">
      <w:pPr>
        <w:spacing w:after="0"/>
        <w:jc w:val="both"/>
        <w:outlineLvl w:val="0"/>
        <w:rPr>
          <w:rFonts w:ascii="Times New Roman" w:hAnsi="Times New Roman"/>
          <w:sz w:val="20"/>
          <w:szCs w:val="20"/>
        </w:rPr>
      </w:pPr>
    </w:p>
    <w:p w:rsidR="00E51EBA" w:rsidRDefault="00E51EBA" w:rsidP="00E51EBA">
      <w:pPr>
        <w:spacing w:after="0"/>
        <w:jc w:val="both"/>
        <w:outlineLvl w:val="0"/>
        <w:rPr>
          <w:rFonts w:ascii="Times New Roman" w:hAnsi="Times New Roman"/>
          <w:sz w:val="20"/>
          <w:szCs w:val="20"/>
        </w:rPr>
      </w:pPr>
    </w:p>
    <w:p w:rsidR="005B169F" w:rsidRDefault="005B169F" w:rsidP="00672906">
      <w:pPr>
        <w:spacing w:after="0"/>
        <w:jc w:val="both"/>
        <w:outlineLvl w:val="0"/>
        <w:rPr>
          <w:rFonts w:ascii="Times New Roman" w:hAnsi="Times New Roman"/>
          <w:sz w:val="20"/>
          <w:szCs w:val="20"/>
        </w:rPr>
      </w:pPr>
    </w:p>
    <w:p w:rsidR="006F717F" w:rsidRPr="00622005" w:rsidRDefault="006F717F" w:rsidP="00622005">
      <w:pPr>
        <w:spacing w:after="0"/>
        <w:jc w:val="both"/>
        <w:rPr>
          <w:rFonts w:ascii="Times New Roman" w:hAnsi="Times New Roman"/>
          <w:noProof/>
          <w:sz w:val="20"/>
          <w:szCs w:val="20"/>
        </w:rPr>
        <w:sectPr w:rsidR="006F717F" w:rsidRPr="00622005" w:rsidSect="005B07CF">
          <w:headerReference w:type="even" r:id="rId80"/>
          <w:headerReference w:type="default" r:id="rId81"/>
          <w:footerReference w:type="default" r:id="rId82"/>
          <w:headerReference w:type="first" r:id="rId83"/>
          <w:type w:val="oddPage"/>
          <w:pgSz w:w="12240" w:h="15840" w:code="1"/>
          <w:pgMar w:top="1800" w:right="1469" w:bottom="1699" w:left="1440" w:header="706" w:footer="706" w:gutter="0"/>
          <w:pgNumType w:start="1"/>
          <w:cols w:num="2" w:space="403"/>
          <w:docGrid w:linePitch="360"/>
        </w:sectPr>
      </w:pPr>
    </w:p>
    <w:p w:rsidR="005E39DC" w:rsidRDefault="005E39DC" w:rsidP="006F717F">
      <w:pPr>
        <w:jc w:val="both"/>
        <w:rPr>
          <w:rFonts w:ascii="Times New Roman" w:hAnsi="Times New Roman"/>
          <w:noProof/>
          <w:sz w:val="20"/>
          <w:szCs w:val="20"/>
          <w:lang w:bidi="ar-SA"/>
        </w:rPr>
        <w:sectPr w:rsidR="005E39DC" w:rsidSect="005E39DC">
          <w:headerReference w:type="even" r:id="rId84"/>
          <w:headerReference w:type="default" r:id="rId85"/>
          <w:footerReference w:type="even" r:id="rId86"/>
          <w:footerReference w:type="default" r:id="rId87"/>
          <w:headerReference w:type="first" r:id="rId88"/>
          <w:type w:val="continuous"/>
          <w:pgSz w:w="12240" w:h="15840" w:code="1"/>
          <w:pgMar w:top="1800" w:right="1469" w:bottom="1699" w:left="1440" w:header="706" w:footer="706" w:gutter="0"/>
          <w:pgNumType w:start="1"/>
          <w:cols w:num="2" w:space="403"/>
          <w:docGrid w:linePitch="360"/>
        </w:sectPr>
      </w:pPr>
    </w:p>
    <w:p w:rsidR="00A74A7E" w:rsidRDefault="00A74A7E" w:rsidP="006F717F">
      <w:pPr>
        <w:jc w:val="both"/>
        <w:rPr>
          <w:rFonts w:ascii="Times New Roman" w:hAnsi="Times New Roman"/>
          <w:noProof/>
          <w:sz w:val="20"/>
          <w:szCs w:val="20"/>
          <w:lang w:bidi="ar-SA"/>
        </w:rPr>
      </w:pPr>
    </w:p>
    <w:p w:rsidR="001535E8" w:rsidRPr="00C112EA" w:rsidRDefault="00E83B1D" w:rsidP="001535E8">
      <w:pPr>
        <w:jc w:val="center"/>
        <w:rPr>
          <w:rFonts w:ascii="Times New Roman" w:hAnsi="Times New Roman"/>
          <w:noProof/>
          <w:sz w:val="20"/>
          <w:szCs w:val="20"/>
          <w:lang w:bidi="ar-SA"/>
        </w:rPr>
      </w:pPr>
      <w:r>
        <w:rPr>
          <w:rFonts w:ascii="Times New Roman" w:hAnsi="Times New Roman"/>
          <w:b/>
          <w:bCs/>
          <w:noProof/>
          <w:szCs w:val="20"/>
          <w:lang w:val="en-MY" w:eastAsia="en-MY" w:bidi="ar-SA"/>
        </w:rPr>
        <mc:AlternateContent>
          <mc:Choice Requires="wps">
            <w:drawing>
              <wp:anchor distT="0" distB="0" distL="114300" distR="114300" simplePos="0" relativeHeight="251682816" behindDoc="0" locked="0" layoutInCell="1" allowOverlap="1" wp14:anchorId="64EE6C45" wp14:editId="29BC90A6">
                <wp:simplePos x="0" y="0"/>
                <wp:positionH relativeFrom="column">
                  <wp:posOffset>3317875</wp:posOffset>
                </wp:positionH>
                <wp:positionV relativeFrom="paragraph">
                  <wp:posOffset>1700530</wp:posOffset>
                </wp:positionV>
                <wp:extent cx="1095375" cy="152400"/>
                <wp:effectExtent l="0" t="0" r="9525" b="0"/>
                <wp:wrapNone/>
                <wp:docPr id="8" name="Rectangle 8"/>
                <wp:cNvGraphicFramePr/>
                <a:graphic xmlns:a="http://schemas.openxmlformats.org/drawingml/2006/main">
                  <a:graphicData uri="http://schemas.microsoft.com/office/word/2010/wordprocessingShape">
                    <wps:wsp>
                      <wps:cNvSpPr/>
                      <wps:spPr>
                        <a:xfrm>
                          <a:off x="0" y="0"/>
                          <a:ext cx="1095375" cy="1524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61.25pt;margin-top:133.9pt;width:86.2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2oHgQIAAF0FAAAOAAAAZHJzL2Uyb0RvYy54bWysVEtvGyEQvlfqf0Dcm9117TysrCMrUapK&#10;URIlqXLGLNiowFDAXru/vgO7XiepT1UvuwzzzZNv5vJqazTZCB8U2JpWJyUlwnJolF3W9MfL7Zdz&#10;SkJktmEarKjpTgR6Nfv86bJ1UzGCFehGeIJObJi2rqarGN20KAJfCcPCCThhUSnBGxZR9Mui8axF&#10;70YXo7I8LVrwjfPARQh4e9Mp6Sz7l1Lw+CBlEJHommJuMX99/i7St5hdsunSM7dSvE+D/UMWhimL&#10;QQdXNywysvbqL1dGcQ8BZDzhYAqQUnGRa8BqqvJDNc8r5kSuBZsT3NCm8P/c8vvNoyeqqSk+lGUG&#10;n+gJm8bsUgtyntrTujBF1LN79L0U8Jhq3Upv0h+rINvc0t3QUrGNhONlVV5Mvp5NKOGoqyajcZl7&#10;XhysnQ/xmwBD0qGmHqPnTrLNXYgYEaF7SAoWQKvmVmmdhUQTca092TB84MWyShmjxTuUtglrIVl1&#10;6nRTpMK6UvIp7rRIOG2fhMSOYPKjnEjm4iEI41zYeNoHyuhkJtH5YFgdM9Rxn12PTWYic3QwLI8Z&#10;vo84WOSoYONgbJQFf8xB83OI3OH31Xc1p/IX0OyQCB66CQmO3yp8jzsW4iPzOBI4PDjm8QE/UkNb&#10;U+hPlKzA/z52n/DIVNRS0uKI1TT8WjMvKNHfLXL4ohqP00xmYTw5G6Hg32oWbzV2ba4BH7nCheJ4&#10;PiZ81Puj9GBecRvMU1RUMcsxdk159HvhOnajj/uEi/k8w3AOHYt39tnx5Dx1NfHtZfvKvOtJGZHO&#10;97AfRzb9wM0OmywtzNcRpMrEPfS17zfOcGZnv2/SkngrZ9RhK87+AAAA//8DAFBLAwQUAAYACAAA&#10;ACEAhVfP2eAAAAALAQAADwAAAGRycy9kb3ducmV2LnhtbEyPwU7DMAyG70i8Q2QkbixdUdqtazoh&#10;BBNwY1DOWZO1FYlTmnQrb485wdH2p9/fX25nZ9nJjKH3KGG5SIAZbLzusZXw/vZ4swIWokKtrEcj&#10;4dsE2FaXF6UqtD/jqzntY8soBEOhJHQxDgXnoemMU2HhB4N0O/rRqUjj2HI9qjOFO8vTJMm4Uz3S&#10;h04N5r4zzed+chImkT8/zB9fu9s6qfOX2oqnuBukvL6a7zbAopnjHwy/+qQOFTkd/IQ6MCtBpKkg&#10;VEKa5dSBiGwtqN2BNuvlCnhV8v8dqh8AAAD//wMAUEsBAi0AFAAGAAgAAAAhALaDOJL+AAAA4QEA&#10;ABMAAAAAAAAAAAAAAAAAAAAAAFtDb250ZW50X1R5cGVzXS54bWxQSwECLQAUAAYACAAAACEAOP0h&#10;/9YAAACUAQAACwAAAAAAAAAAAAAAAAAvAQAAX3JlbHMvLnJlbHNQSwECLQAUAAYACAAAACEA7fdq&#10;B4ECAABdBQAADgAAAAAAAAAAAAAAAAAuAgAAZHJzL2Uyb0RvYy54bWxQSwECLQAUAAYACAAAACEA&#10;hVfP2eAAAAALAQAADwAAAAAAAAAAAAAAAADbBAAAZHJzL2Rvd25yZXYueG1sUEsFBgAAAAAEAAQA&#10;8wAAAOgFAAAAAA==&#10;" fillcolor="white [3212]" stroked="f" strokeweight="2pt"/>
            </w:pict>
          </mc:Fallback>
        </mc:AlternateContent>
      </w:r>
      <w:r w:rsidR="001535E8">
        <w:rPr>
          <w:rFonts w:ascii="Times New Roman" w:hAnsi="Times New Roman"/>
          <w:b/>
          <w:bCs/>
          <w:noProof/>
          <w:szCs w:val="20"/>
          <w:lang w:val="en-MY" w:eastAsia="en-MY" w:bidi="ar-SA"/>
        </w:rPr>
        <mc:AlternateContent>
          <mc:Choice Requires="wps">
            <w:drawing>
              <wp:anchor distT="0" distB="0" distL="114300" distR="114300" simplePos="0" relativeHeight="251684864" behindDoc="0" locked="0" layoutInCell="1" allowOverlap="1" wp14:anchorId="245A0CDA" wp14:editId="2DABDB31">
                <wp:simplePos x="0" y="0"/>
                <wp:positionH relativeFrom="column">
                  <wp:posOffset>3123565</wp:posOffset>
                </wp:positionH>
                <wp:positionV relativeFrom="paragraph">
                  <wp:posOffset>1167765</wp:posOffset>
                </wp:positionV>
                <wp:extent cx="1095375" cy="152400"/>
                <wp:effectExtent l="0" t="0" r="9525" b="0"/>
                <wp:wrapNone/>
                <wp:docPr id="10" name="Rectangle 10"/>
                <wp:cNvGraphicFramePr/>
                <a:graphic xmlns:a="http://schemas.openxmlformats.org/drawingml/2006/main">
                  <a:graphicData uri="http://schemas.microsoft.com/office/word/2010/wordprocessingShape">
                    <wps:wsp>
                      <wps:cNvSpPr/>
                      <wps:spPr>
                        <a:xfrm>
                          <a:off x="0" y="0"/>
                          <a:ext cx="1095375" cy="1524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45.95pt;margin-top:91.95pt;width:86.2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KiggIAAF8FAAAOAAAAZHJzL2Uyb0RvYy54bWysVEtvGyEQvlfqf0Dcm9117TysrCMrUapK&#10;URIlqXLGLNiowFDAXru/vgO7XiepT1UvuwzzzZNv5vJqazTZCB8U2JpWJyUlwnJolF3W9MfL7Zdz&#10;SkJktmEarKjpTgR6Nfv86bJ1UzGCFehGeIJObJi2rqarGN20KAJfCcPCCThhUSnBGxZR9Mui8axF&#10;70YXo7I8LVrwjfPARQh4e9Mp6Sz7l1Lw+CBlEJHommJuMX99/i7St5hdsunSM7dSvE+D/UMWhimL&#10;QQdXNywysvbqL1dGcQ8BZDzhYAqQUnGRa8BqqvJDNc8r5kSuBZsT3NCm8P/c8vvNoyeqwbfD9lhm&#10;8I2esGvMLrUgeIcNal2YIu7ZPfpeCnhM1W6lN+mPdZBtbupuaKrYRsLxsiovJl/PJpRw1FWT0bjM&#10;TouDtfMhfhNgSDrU1GP43Eu2uQsRIyJ0D0nBAmjV3Cqts5CIIq61JxuGT7xYViljtHiH0jZhLSSr&#10;Tp1uilRYV0o+xZ0WCaftk5DYE0x+lBPJbDwEYZwLG0/7QBmdzCQ6HwyrY4Y67rPrsclMZJYOhuUx&#10;w/cRB4scFWwcjI2y4I85aH4OkTv8vvqu5lT+ApodUsFDNyPB8VuF73HHQnxkHocC+YGDHh/wIzW0&#10;NYX+RMkK/O9j9wmPXEUtJS0OWU3DrzXzghL93SKLL6rxOE1lFsaTsxEK/q1m8VZj1+Ya8JErXCmO&#10;52PCR70/Sg/mFffBPEVFFbMcY9eUR78XrmM3/LhRuJjPMwwn0bF4Z58dT85TVxPfXravzLuelBHp&#10;fA/7gWTTD9zssMnSwnwdQapM3ENf+37jFGd29hsnrYm3ckYd9uLsDwAAAP//AwBQSwMEFAAGAAgA&#10;AAAhAAe3xGThAAAACwEAAA8AAABkcnMvZG93bnJldi54bWxMj8FOwzAMhu9IvENkJG4s2da1a2k6&#10;IQQT48a2cs6a0FY0TmnSrbw95gQ3W/+n35/zzWQ7djaDbx1KmM8EMIOV0y3WEo6H57s1MB8UatU5&#10;NBK+jYdNcX2Vq0y7C76Z8z7UjErQZ0pCE0Kfce6rxljlZ643SNmHG6wKtA4114O6ULnt+EKImFvV&#10;Il1oVG8eG1N97kcrYVwlu6fp/Wu7LEWZvJbd6iVseylvb6aHe2DBTOEPhl99UoeCnE5uRO1ZJyFK&#10;5ymhFKyXNBARx1EE7CRhIZIUeJHz/z8UPwAAAP//AwBQSwECLQAUAAYACAAAACEAtoM4kv4AAADh&#10;AQAAEwAAAAAAAAAAAAAAAAAAAAAAW0NvbnRlbnRfVHlwZXNdLnhtbFBLAQItABQABgAIAAAAIQA4&#10;/SH/1gAAAJQBAAALAAAAAAAAAAAAAAAAAC8BAABfcmVscy8ucmVsc1BLAQItABQABgAIAAAAIQCF&#10;mqKiggIAAF8FAAAOAAAAAAAAAAAAAAAAAC4CAABkcnMvZTJvRG9jLnhtbFBLAQItABQABgAIAAAA&#10;IQAHt8Rk4QAAAAsBAAAPAAAAAAAAAAAAAAAAANwEAABkcnMvZG93bnJldi54bWxQSwUGAAAAAAQA&#10;BADzAAAA6gUAAAAA&#10;" fillcolor="white [3212]" stroked="f" strokeweight="2pt"/>
            </w:pict>
          </mc:Fallback>
        </mc:AlternateContent>
      </w:r>
    </w:p>
    <w:sectPr w:rsidR="001535E8" w:rsidRPr="00C112EA" w:rsidSect="00FD020E">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133" w:rsidRDefault="00B61133" w:rsidP="00FB4C59">
      <w:pPr>
        <w:spacing w:after="0" w:line="240" w:lineRule="auto"/>
      </w:pPr>
      <w:r>
        <w:separator/>
      </w:r>
    </w:p>
  </w:endnote>
  <w:endnote w:type="continuationSeparator" w:id="0">
    <w:p w:rsidR="00B61133" w:rsidRDefault="00B61133"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B61133">
    <w:pPr>
      <w:pStyle w:val="Footer"/>
      <w:rPr>
        <w:lang w:val="en-US"/>
      </w:rPr>
    </w:pPr>
    <w:r>
      <w:rPr>
        <w:lang w:val="en-US"/>
      </w:rPr>
      <w:t>394</w:t>
    </w:r>
    <w:r w:rsidRPr="00772AA7">
      <w:rPr>
        <w:lang w:val="en-US"/>
      </w:rPr>
      <w:ptab w:relativeTo="margin" w:alignment="center" w:leader="none"/>
    </w:r>
    <w:r w:rsidRPr="00772AA7">
      <w:rPr>
        <w:lang w:val="en-US"/>
      </w:rPr>
      <w:ptab w:relativeTo="margin" w:alignment="right" w:leader="none"/>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0D4FDB">
      <w:rPr>
        <w:lang w:val="en-US"/>
      </w:rPr>
      <w:ptab w:relativeTo="margin" w:alignment="center" w:leader="none"/>
    </w:r>
    <w:r w:rsidRPr="000D4FDB">
      <w:rPr>
        <w:lang w:val="en-US"/>
      </w:rPr>
      <w:ptab w:relativeTo="margin" w:alignment="right" w:leader="none"/>
    </w:r>
    <w:r>
      <w:rPr>
        <w:lang w:val="en-US"/>
      </w:rPr>
      <w:t>395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B61133">
    <w:pPr>
      <w:pStyle w:val="Footer"/>
      <w:rPr>
        <w:lang w:val="en-US"/>
      </w:rPr>
    </w:pPr>
    <w:r>
      <w:rPr>
        <w:lang w:val="en-US"/>
      </w:rPr>
      <w:t>396</w:t>
    </w:r>
    <w:r w:rsidRPr="000D4FDB">
      <w:rPr>
        <w:lang w:val="en-US"/>
      </w:rPr>
      <w:ptab w:relativeTo="margin" w:alignment="center" w:leader="none"/>
    </w:r>
    <w:r w:rsidRPr="000D4FDB">
      <w:rPr>
        <w:lang w:val="en-US"/>
      </w:rPr>
      <w:ptab w:relativeTo="margin" w:alignment="right" w:leader="none"/>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B61133">
    <w:pPr>
      <w:pStyle w:val="Footer"/>
      <w:rPr>
        <w:lang w:val="en-US"/>
      </w:rPr>
    </w:pPr>
    <w:r>
      <w:rPr>
        <w:lang w:val="en-US"/>
      </w:rPr>
      <w:t>10</w:t>
    </w:r>
    <w:r w:rsidRPr="000D4FDB">
      <w:rPr>
        <w:lang w:val="en-US"/>
      </w:rPr>
      <w:ptab w:relativeTo="margin" w:alignment="center" w:leader="none"/>
    </w:r>
    <w:r w:rsidRPr="000D4FDB">
      <w:rPr>
        <w:lang w:val="en-US"/>
      </w:rPr>
      <w:ptab w:relativeTo="margin" w:alignment="right" w:leader="none"/>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0D4FDB">
      <w:rPr>
        <w:lang w:val="en-US"/>
      </w:rPr>
      <w:ptab w:relativeTo="margin" w:alignment="center" w:leader="none"/>
    </w:r>
    <w:r w:rsidRPr="000D4FDB">
      <w:rPr>
        <w:lang w:val="en-US"/>
      </w:rPr>
      <w:ptab w:relativeTo="margin" w:alignment="right" w:leader="none"/>
    </w:r>
    <w:r>
      <w:rPr>
        <w:lang w:val="en-US"/>
      </w:rPr>
      <w:t>397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B61133">
    <w:pPr>
      <w:pStyle w:val="Footer"/>
      <w:rPr>
        <w:lang w:val="en-US"/>
      </w:rPr>
    </w:pPr>
    <w:r>
      <w:rPr>
        <w:lang w:val="en-US"/>
      </w:rPr>
      <w:t>398</w:t>
    </w:r>
    <w:r w:rsidRPr="000D4FDB">
      <w:rPr>
        <w:lang w:val="en-US"/>
      </w:rPr>
      <w:ptab w:relativeTo="margin" w:alignment="center" w:leader="none"/>
    </w:r>
    <w:r w:rsidRPr="000D4FDB">
      <w:rPr>
        <w:lang w:val="en-US"/>
      </w:rPr>
      <w:ptab w:relativeTo="margin" w:alignment="right" w:leader="none"/>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0D4FDB">
      <w:rPr>
        <w:lang w:val="en-US"/>
      </w:rPr>
      <w:ptab w:relativeTo="margin" w:alignment="center" w:leader="none"/>
    </w:r>
    <w:r w:rsidRPr="000D4FDB">
      <w:rPr>
        <w:lang w:val="en-US"/>
      </w:rPr>
      <w:ptab w:relativeTo="margin" w:alignment="right" w:leader="none"/>
    </w:r>
    <w:r>
      <w:rPr>
        <w:lang w:val="en-US"/>
      </w:rPr>
      <w:t>399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B61133">
    <w:pPr>
      <w:pStyle w:val="Footer"/>
      <w:rPr>
        <w:lang w:val="en-US"/>
      </w:rPr>
    </w:pPr>
    <w:r>
      <w:rPr>
        <w:lang w:val="en-US"/>
      </w:rPr>
      <w:t>400</w:t>
    </w:r>
    <w:r w:rsidRPr="000D4FDB">
      <w:rPr>
        <w:lang w:val="en-US"/>
      </w:rPr>
      <w:ptab w:relativeTo="margin" w:alignment="center" w:leader="none"/>
    </w:r>
    <w:r w:rsidRPr="000D4FDB">
      <w:rPr>
        <w:lang w:val="en-US"/>
      </w:rPr>
      <w:ptab w:relativeTo="margin" w:alignment="right" w:leader="none"/>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B61133">
    <w:pPr>
      <w:pStyle w:val="Footer"/>
      <w:rPr>
        <w:lang w:val="en-US"/>
      </w:rPr>
    </w:pPr>
    <w:r>
      <w:rPr>
        <w:lang w:val="en-US"/>
      </w:rPr>
      <w:t>402</w:t>
    </w:r>
    <w:r w:rsidRPr="000D4FDB">
      <w:rPr>
        <w:lang w:val="en-US"/>
      </w:rPr>
      <w:ptab w:relativeTo="margin" w:alignment="center" w:leader="none"/>
    </w:r>
    <w:r w:rsidRPr="000D4FDB">
      <w:rPr>
        <w:lang w:val="en-US"/>
      </w:rPr>
      <w:ptab w:relativeTo="margin" w:alignment="right" w:leader="none"/>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0D4FDB">
      <w:rPr>
        <w:lang w:val="en-US"/>
      </w:rPr>
      <w:ptab w:relativeTo="margin" w:alignment="center" w:leader="none"/>
    </w:r>
    <w:r w:rsidRPr="000D4FDB">
      <w:rPr>
        <w:lang w:val="en-US"/>
      </w:rPr>
      <w:ptab w:relativeTo="margin" w:alignment="right" w:leader="none"/>
    </w:r>
    <w:r>
      <w:rPr>
        <w:lang w:val="en-US"/>
      </w:rPr>
      <w:t>401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8F3DC2">
      <w:ptab w:relativeTo="margin" w:alignment="center" w:leader="none"/>
    </w:r>
    <w:r w:rsidRPr="008F3DC2">
      <w:ptab w:relativeTo="margin" w:alignment="right" w:leader="none"/>
    </w:r>
    <w:r>
      <w:rPr>
        <w:lang w:val="en-US"/>
      </w:rPr>
      <w:t>389</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8F3DC2">
      <w:rPr>
        <w:lang w:val="en-US"/>
      </w:rPr>
      <w:ptab w:relativeTo="margin" w:alignment="center" w:leader="none"/>
    </w:r>
    <w:r w:rsidRPr="008F3DC2">
      <w:rPr>
        <w:lang w:val="en-US"/>
      </w:rPr>
      <w:ptab w:relativeTo="margin" w:alignment="right" w:leader="none"/>
    </w:r>
    <w:r>
      <w:rPr>
        <w:lang w:val="en-US"/>
      </w:rPr>
      <w:t>403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Footer"/>
    </w:pPr>
    <w:r>
      <w:rPr>
        <w:lang w:val="en-US"/>
      </w:rPr>
      <w:t>12</w:t>
    </w:r>
    <w:r>
      <w:ptab w:relativeTo="margin" w:alignment="center" w:leader="none"/>
    </w:r>
    <w:r>
      <w:ptab w:relativeTo="margin" w:alignment="right" w:leader="none"/>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ptab w:relativeTo="margin" w:alignment="center" w:leader="none"/>
    </w:r>
    <w:r>
      <w:ptab w:relativeTo="margin" w:alignment="right" w:leader="none"/>
    </w:r>
    <w:r>
      <w:rPr>
        <w:lang w:val="en-US"/>
      </w:rPr>
      <w:t>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Footer"/>
    </w:pPr>
    <w:r>
      <w:rPr>
        <w:lang w:val="en-US"/>
      </w:rPr>
      <w:t>390</w:t>
    </w:r>
    <w:r>
      <w:ptab w:relativeTo="margin" w:alignment="center" w:leader="none"/>
    </w:r>
    <w:r>
      <w:ptab w:relativeTo="margin" w:alignment="right" w:leader="none"/>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B61133">
    <w:pPr>
      <w:pStyle w:val="Footer"/>
      <w:rPr>
        <w:lang w:val="en-US"/>
      </w:rPr>
    </w:pPr>
    <w:r w:rsidRPr="00772AA7">
      <w:rPr>
        <w:lang w:val="en-US"/>
      </w:rPr>
      <w:ptab w:relativeTo="margin" w:alignment="center" w:leader="none"/>
    </w:r>
    <w:r w:rsidRPr="00772AA7">
      <w:rPr>
        <w:lang w:val="en-US"/>
      </w:rPr>
      <w:ptab w:relativeTo="margin" w:alignment="right" w:leader="none"/>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177EFA">
      <w:ptab w:relativeTo="margin" w:alignment="center" w:leader="none"/>
    </w:r>
    <w:r w:rsidRPr="00177EFA">
      <w:ptab w:relativeTo="margin" w:alignment="right" w:leader="none"/>
    </w:r>
    <w:r>
      <w:rPr>
        <w:lang w:val="en-US"/>
      </w:rPr>
      <w:t>391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D4FDB" w:rsidRDefault="00B61133">
    <w:pPr>
      <w:pStyle w:val="Footer"/>
      <w:rPr>
        <w:lang w:val="en-US"/>
      </w:rPr>
    </w:pPr>
    <w:r>
      <w:rPr>
        <w:lang w:val="en-US"/>
      </w:rPr>
      <w:t>392</w:t>
    </w:r>
    <w:r w:rsidRPr="00772AA7">
      <w:rPr>
        <w:lang w:val="en-US"/>
      </w:rPr>
      <w:ptab w:relativeTo="margin" w:alignment="center" w:leader="none"/>
    </w:r>
    <w:r w:rsidRPr="00772AA7">
      <w:rPr>
        <w:lang w:val="en-US"/>
      </w:rPr>
      <w:ptab w:relativeTo="margin" w:alignment="right" w:leader="none"/>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ptab w:relativeTo="margin" w:alignment="center" w:leader="none"/>
    </w:r>
    <w:r>
      <w:ptab w:relativeTo="margin" w:alignment="right" w:leader="none"/>
    </w:r>
    <w:r>
      <w:rPr>
        <w:lang w:val="en-US"/>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7D4BAB" w:rsidRDefault="00B61133" w:rsidP="007D4BAB">
    <w:pPr>
      <w:pStyle w:val="Footer"/>
      <w:jc w:val="right"/>
    </w:pPr>
    <w:r w:rsidRPr="000D4FDB">
      <w:rPr>
        <w:lang w:val="en-US"/>
      </w:rPr>
      <w:ptab w:relativeTo="margin" w:alignment="center" w:leader="none"/>
    </w:r>
    <w:r w:rsidRPr="000D4FDB">
      <w:rPr>
        <w:lang w:val="en-US"/>
      </w:rPr>
      <w:ptab w:relativeTo="margin" w:alignment="right" w:leader="none"/>
    </w:r>
    <w:r>
      <w:rPr>
        <w:lang w:val="en-US"/>
      </w:rPr>
      <w:t>393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133" w:rsidRDefault="00B61133" w:rsidP="00FB4C59">
      <w:pPr>
        <w:spacing w:after="0" w:line="240" w:lineRule="auto"/>
      </w:pPr>
      <w:r>
        <w:separator/>
      </w:r>
    </w:p>
  </w:footnote>
  <w:footnote w:type="continuationSeparator" w:id="0">
    <w:p w:rsidR="00B61133" w:rsidRDefault="00B61133"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9858F0" w:rsidRDefault="00B61133" w:rsidP="009858F0">
    <w:pPr>
      <w:spacing w:after="0"/>
      <w:ind w:left="2340" w:hanging="2340"/>
      <w:outlineLvl w:val="0"/>
      <w:rPr>
        <w:rFonts w:ascii="Times New Roman" w:hAnsi="Times New Roman"/>
        <w:sz w:val="20"/>
        <w:szCs w:val="20"/>
      </w:rPr>
    </w:pPr>
    <w:r>
      <w:rPr>
        <w:rFonts w:ascii="Times New Roman" w:hAnsi="Times New Roman"/>
        <w:sz w:val="20"/>
        <w:szCs w:val="20"/>
      </w:rPr>
      <w:t>Syahirah &amp; Farah Wahida</w:t>
    </w:r>
    <w:r w:rsidRPr="009858F0">
      <w:rPr>
        <w:rFonts w:ascii="Times New Roman" w:hAnsi="Times New Roman"/>
        <w:sz w:val="20"/>
        <w:szCs w:val="20"/>
      </w:rPr>
      <w:t>:    OPTIMIZATION OF MONTMORILLONITE K10 ION-EXCHANGE WITH Fe</w:t>
    </w:r>
    <w:r w:rsidRPr="009858F0">
      <w:rPr>
        <w:rFonts w:ascii="Times New Roman" w:hAnsi="Times New Roman"/>
        <w:sz w:val="20"/>
        <w:szCs w:val="20"/>
        <w:vertAlign w:val="superscript"/>
      </w:rPr>
      <w:t>3+</w:t>
    </w:r>
    <w:r w:rsidRPr="009858F0">
      <w:rPr>
        <w:rFonts w:ascii="Times New Roman" w:hAnsi="Times New Roman"/>
        <w:sz w:val="20"/>
        <w:szCs w:val="20"/>
      </w:rPr>
      <w:t xml:space="preserve"> FOR THE APPLICATION OF BIODIESEL PRODUCTION</w:t>
    </w:r>
  </w:p>
  <w:p w:rsidR="00B61133" w:rsidRPr="006B72B0" w:rsidRDefault="00B61133" w:rsidP="006B72B0">
    <w:pPr>
      <w:pStyle w:val="Header"/>
      <w:rPr>
        <w:rFonts w:ascii="Times New Roman" w:hAnsi="Times New Roman"/>
        <w:lang w:val="en-US"/>
      </w:rPr>
    </w:pPr>
  </w:p>
  <w:p w:rsidR="00B61133" w:rsidRDefault="00B6113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389 - 403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389 - 403</w:t>
    </w:r>
  </w:p>
  <w:p w:rsidR="00B61133" w:rsidRPr="00F4760B" w:rsidRDefault="00B61133" w:rsidP="00F4760B">
    <w:pPr>
      <w:pStyle w:val="Header"/>
      <w:rPr>
        <w:lang w:val="en-U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389 - 403</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389 - 403</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389 - 403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389 - 403</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389 - 403</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Pr="000A74C2" w:rsidRDefault="00B61133" w:rsidP="000A74C2">
    <w:pPr>
      <w:spacing w:after="0"/>
      <w:ind w:left="2430" w:hanging="2430"/>
      <w:outlineLvl w:val="0"/>
      <w:rPr>
        <w:rFonts w:ascii="Times New Roman" w:hAnsi="Times New Roman"/>
        <w:sz w:val="20"/>
        <w:szCs w:val="20"/>
      </w:rPr>
    </w:pPr>
    <w:r>
      <w:rPr>
        <w:rFonts w:ascii="Times New Roman" w:hAnsi="Times New Roman"/>
        <w:sz w:val="20"/>
        <w:szCs w:val="20"/>
      </w:rPr>
      <w:t xml:space="preserve">Syahirah &amp; Farah Wahida:     </w:t>
    </w:r>
    <w:r>
      <w:rPr>
        <w:rFonts w:ascii="Times New Roman" w:hAnsi="Times New Roman"/>
        <w:sz w:val="20"/>
        <w:szCs w:val="20"/>
      </w:rPr>
      <w:tab/>
    </w:r>
    <w:r w:rsidRPr="000A74C2">
      <w:rPr>
        <w:rFonts w:ascii="Times New Roman" w:hAnsi="Times New Roman"/>
        <w:sz w:val="20"/>
        <w:szCs w:val="20"/>
      </w:rPr>
      <w:t>OPTIMIZATION OF MONTMORILLONITE K10 ION-EXCHANGE WITH Fe</w:t>
    </w:r>
    <w:r w:rsidRPr="000A74C2">
      <w:rPr>
        <w:rFonts w:ascii="Times New Roman" w:hAnsi="Times New Roman"/>
        <w:sz w:val="20"/>
        <w:szCs w:val="20"/>
        <w:vertAlign w:val="superscript"/>
      </w:rPr>
      <w:t>3+</w:t>
    </w:r>
    <w:r w:rsidRPr="000A74C2">
      <w:rPr>
        <w:rFonts w:ascii="Times New Roman" w:hAnsi="Times New Roman"/>
        <w:sz w:val="20"/>
        <w:szCs w:val="20"/>
      </w:rPr>
      <w:t xml:space="preserve"> FOR THE APPLICATION OF BIODIESEL PRODUCTION</w:t>
    </w:r>
  </w:p>
  <w:p w:rsidR="00B61133" w:rsidRDefault="00B6113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rsidP="000A74C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389 - 403</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33" w:rsidRDefault="00B611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45CE2"/>
    <w:multiLevelType w:val="hybridMultilevel"/>
    <w:tmpl w:val="C5F6E6B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6A285DB4"/>
    <w:multiLevelType w:val="hybridMultilevel"/>
    <w:tmpl w:val="3D8C806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455E"/>
    <w:rsid w:val="000313ED"/>
    <w:rsid w:val="00036EA5"/>
    <w:rsid w:val="00041111"/>
    <w:rsid w:val="00063F7E"/>
    <w:rsid w:val="000645D4"/>
    <w:rsid w:val="00084936"/>
    <w:rsid w:val="000A74C2"/>
    <w:rsid w:val="000C49FF"/>
    <w:rsid w:val="000D16A1"/>
    <w:rsid w:val="000D2B0C"/>
    <w:rsid w:val="000D4FDB"/>
    <w:rsid w:val="000E069B"/>
    <w:rsid w:val="000F77DA"/>
    <w:rsid w:val="000F7FC8"/>
    <w:rsid w:val="001068E8"/>
    <w:rsid w:val="001106D8"/>
    <w:rsid w:val="00113B8B"/>
    <w:rsid w:val="001141B0"/>
    <w:rsid w:val="00117BCD"/>
    <w:rsid w:val="001249A9"/>
    <w:rsid w:val="001535E8"/>
    <w:rsid w:val="00156B6C"/>
    <w:rsid w:val="00177EFA"/>
    <w:rsid w:val="001A3275"/>
    <w:rsid w:val="001D035A"/>
    <w:rsid w:val="001D3855"/>
    <w:rsid w:val="001D6F2C"/>
    <w:rsid w:val="001E501A"/>
    <w:rsid w:val="0020209D"/>
    <w:rsid w:val="00207A6D"/>
    <w:rsid w:val="002149DA"/>
    <w:rsid w:val="00233177"/>
    <w:rsid w:val="00254603"/>
    <w:rsid w:val="002627A2"/>
    <w:rsid w:val="00277498"/>
    <w:rsid w:val="002860B7"/>
    <w:rsid w:val="00290F4D"/>
    <w:rsid w:val="002A2FC0"/>
    <w:rsid w:val="002B188F"/>
    <w:rsid w:val="002B3BD8"/>
    <w:rsid w:val="002F3F91"/>
    <w:rsid w:val="002F55F5"/>
    <w:rsid w:val="00304767"/>
    <w:rsid w:val="00304B34"/>
    <w:rsid w:val="00312A6F"/>
    <w:rsid w:val="00352D57"/>
    <w:rsid w:val="003609F3"/>
    <w:rsid w:val="00361BAF"/>
    <w:rsid w:val="00362FCE"/>
    <w:rsid w:val="00367D1F"/>
    <w:rsid w:val="003B4FC1"/>
    <w:rsid w:val="003B6019"/>
    <w:rsid w:val="003D585B"/>
    <w:rsid w:val="003E1F59"/>
    <w:rsid w:val="003E5387"/>
    <w:rsid w:val="003E7DA6"/>
    <w:rsid w:val="003F12FF"/>
    <w:rsid w:val="003F7B17"/>
    <w:rsid w:val="004227FD"/>
    <w:rsid w:val="00430F9C"/>
    <w:rsid w:val="004760D4"/>
    <w:rsid w:val="00482180"/>
    <w:rsid w:val="00485690"/>
    <w:rsid w:val="00494C46"/>
    <w:rsid w:val="004B43FF"/>
    <w:rsid w:val="004C070C"/>
    <w:rsid w:val="004C7089"/>
    <w:rsid w:val="004D335F"/>
    <w:rsid w:val="004D7E25"/>
    <w:rsid w:val="004F265B"/>
    <w:rsid w:val="00502641"/>
    <w:rsid w:val="0054578F"/>
    <w:rsid w:val="0057795C"/>
    <w:rsid w:val="005B07CF"/>
    <w:rsid w:val="005B169F"/>
    <w:rsid w:val="005C6768"/>
    <w:rsid w:val="005E39DC"/>
    <w:rsid w:val="005E4871"/>
    <w:rsid w:val="00601C8A"/>
    <w:rsid w:val="00617AA2"/>
    <w:rsid w:val="00622005"/>
    <w:rsid w:val="0062232A"/>
    <w:rsid w:val="006257E5"/>
    <w:rsid w:val="00634C25"/>
    <w:rsid w:val="0063542E"/>
    <w:rsid w:val="00637469"/>
    <w:rsid w:val="006416AB"/>
    <w:rsid w:val="0065373D"/>
    <w:rsid w:val="00660445"/>
    <w:rsid w:val="00663BE8"/>
    <w:rsid w:val="00664F73"/>
    <w:rsid w:val="00666974"/>
    <w:rsid w:val="00667F00"/>
    <w:rsid w:val="00672906"/>
    <w:rsid w:val="006768E9"/>
    <w:rsid w:val="00687982"/>
    <w:rsid w:val="00692EBB"/>
    <w:rsid w:val="00694461"/>
    <w:rsid w:val="006B3EC8"/>
    <w:rsid w:val="006B72B0"/>
    <w:rsid w:val="006C2015"/>
    <w:rsid w:val="006D286E"/>
    <w:rsid w:val="006D695E"/>
    <w:rsid w:val="006D79AF"/>
    <w:rsid w:val="006F717F"/>
    <w:rsid w:val="00725A6A"/>
    <w:rsid w:val="007706A6"/>
    <w:rsid w:val="00772AA7"/>
    <w:rsid w:val="007943F3"/>
    <w:rsid w:val="007A0583"/>
    <w:rsid w:val="007A5241"/>
    <w:rsid w:val="007A738C"/>
    <w:rsid w:val="007B1349"/>
    <w:rsid w:val="007C6546"/>
    <w:rsid w:val="007D45AC"/>
    <w:rsid w:val="007D4BAB"/>
    <w:rsid w:val="007D66CE"/>
    <w:rsid w:val="007E25BD"/>
    <w:rsid w:val="007E54A0"/>
    <w:rsid w:val="007F0758"/>
    <w:rsid w:val="00802C35"/>
    <w:rsid w:val="0082181A"/>
    <w:rsid w:val="0082457A"/>
    <w:rsid w:val="00825624"/>
    <w:rsid w:val="008341FD"/>
    <w:rsid w:val="0083587A"/>
    <w:rsid w:val="008566E5"/>
    <w:rsid w:val="00883CC3"/>
    <w:rsid w:val="008B470E"/>
    <w:rsid w:val="008B5904"/>
    <w:rsid w:val="008D1880"/>
    <w:rsid w:val="008D29BF"/>
    <w:rsid w:val="008E10E7"/>
    <w:rsid w:val="008E1211"/>
    <w:rsid w:val="008E5BBF"/>
    <w:rsid w:val="008E6968"/>
    <w:rsid w:val="008F0CF0"/>
    <w:rsid w:val="008F3DC2"/>
    <w:rsid w:val="008F45FE"/>
    <w:rsid w:val="009211AF"/>
    <w:rsid w:val="00921742"/>
    <w:rsid w:val="009357B8"/>
    <w:rsid w:val="009801EB"/>
    <w:rsid w:val="009858F0"/>
    <w:rsid w:val="009866F6"/>
    <w:rsid w:val="009A06E2"/>
    <w:rsid w:val="009B0F4A"/>
    <w:rsid w:val="009B3139"/>
    <w:rsid w:val="009D030D"/>
    <w:rsid w:val="00A049C6"/>
    <w:rsid w:val="00A14DB9"/>
    <w:rsid w:val="00A16DB6"/>
    <w:rsid w:val="00A4762A"/>
    <w:rsid w:val="00A64690"/>
    <w:rsid w:val="00A74A7E"/>
    <w:rsid w:val="00A85E24"/>
    <w:rsid w:val="00AA43F9"/>
    <w:rsid w:val="00AB18C8"/>
    <w:rsid w:val="00AD1B8A"/>
    <w:rsid w:val="00AE713F"/>
    <w:rsid w:val="00AF2305"/>
    <w:rsid w:val="00AF2821"/>
    <w:rsid w:val="00AF4494"/>
    <w:rsid w:val="00B1121C"/>
    <w:rsid w:val="00B25B65"/>
    <w:rsid w:val="00B2770A"/>
    <w:rsid w:val="00B314AD"/>
    <w:rsid w:val="00B51963"/>
    <w:rsid w:val="00B57BD3"/>
    <w:rsid w:val="00B61133"/>
    <w:rsid w:val="00B616F6"/>
    <w:rsid w:val="00B6537B"/>
    <w:rsid w:val="00B75BF6"/>
    <w:rsid w:val="00B7735A"/>
    <w:rsid w:val="00B91DE7"/>
    <w:rsid w:val="00BA1F7B"/>
    <w:rsid w:val="00BB58AF"/>
    <w:rsid w:val="00BC0816"/>
    <w:rsid w:val="00BC44CC"/>
    <w:rsid w:val="00BE6617"/>
    <w:rsid w:val="00BE7C30"/>
    <w:rsid w:val="00C055BF"/>
    <w:rsid w:val="00C112EA"/>
    <w:rsid w:val="00C1289D"/>
    <w:rsid w:val="00C2226A"/>
    <w:rsid w:val="00C23746"/>
    <w:rsid w:val="00C31E90"/>
    <w:rsid w:val="00C34C71"/>
    <w:rsid w:val="00C4438E"/>
    <w:rsid w:val="00C52A3F"/>
    <w:rsid w:val="00C874AC"/>
    <w:rsid w:val="00C94D92"/>
    <w:rsid w:val="00C97340"/>
    <w:rsid w:val="00CA513F"/>
    <w:rsid w:val="00CB3AA6"/>
    <w:rsid w:val="00CE0E6C"/>
    <w:rsid w:val="00CE2BC6"/>
    <w:rsid w:val="00CE7ECA"/>
    <w:rsid w:val="00CF05FF"/>
    <w:rsid w:val="00CF2EC8"/>
    <w:rsid w:val="00D257FB"/>
    <w:rsid w:val="00D340BB"/>
    <w:rsid w:val="00D34708"/>
    <w:rsid w:val="00D505D5"/>
    <w:rsid w:val="00D613A2"/>
    <w:rsid w:val="00D6781A"/>
    <w:rsid w:val="00D75B35"/>
    <w:rsid w:val="00D76E09"/>
    <w:rsid w:val="00D92CAB"/>
    <w:rsid w:val="00D9736F"/>
    <w:rsid w:val="00D9792A"/>
    <w:rsid w:val="00DD0CD5"/>
    <w:rsid w:val="00DD377F"/>
    <w:rsid w:val="00DD7C38"/>
    <w:rsid w:val="00E0529B"/>
    <w:rsid w:val="00E25547"/>
    <w:rsid w:val="00E3287E"/>
    <w:rsid w:val="00E332A9"/>
    <w:rsid w:val="00E51EBA"/>
    <w:rsid w:val="00E54D12"/>
    <w:rsid w:val="00E66197"/>
    <w:rsid w:val="00E83B1D"/>
    <w:rsid w:val="00EA59F9"/>
    <w:rsid w:val="00ED3B91"/>
    <w:rsid w:val="00F121A0"/>
    <w:rsid w:val="00F31093"/>
    <w:rsid w:val="00F33AB1"/>
    <w:rsid w:val="00F412AF"/>
    <w:rsid w:val="00F43667"/>
    <w:rsid w:val="00F447A7"/>
    <w:rsid w:val="00F4760B"/>
    <w:rsid w:val="00F82059"/>
    <w:rsid w:val="00F9064D"/>
    <w:rsid w:val="00FB4C59"/>
    <w:rsid w:val="00FB6521"/>
    <w:rsid w:val="00FC5284"/>
    <w:rsid w:val="00FD020E"/>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uiPriority w:val="35"/>
    <w:qFormat/>
    <w:rsid w:val="00FD020E"/>
    <w:pPr>
      <w:suppressLineNumbers/>
      <w:suppressAutoHyphens/>
      <w:autoSpaceDN w:val="0"/>
      <w:spacing w:before="120" w:after="120" w:line="256" w:lineRule="auto"/>
      <w:textAlignment w:val="baseline"/>
    </w:pPr>
    <w:rPr>
      <w:rFonts w:ascii="Calibri" w:eastAsia="Calibri" w:hAnsi="Calibri" w:cs="Lucida Sans"/>
      <w:i/>
      <w:iCs/>
      <w:sz w:val="24"/>
      <w:szCs w:val="24"/>
      <w:lang w:val="en-MY" w:bidi="ar-SA"/>
    </w:rPr>
  </w:style>
  <w:style w:type="paragraph" w:customStyle="1" w:styleId="Standard">
    <w:name w:val="Standard"/>
    <w:link w:val="StandardChar"/>
    <w:rsid w:val="00FD020E"/>
    <w:pPr>
      <w:suppressAutoHyphens/>
      <w:autoSpaceDN w:val="0"/>
      <w:spacing w:after="160" w:line="256" w:lineRule="auto"/>
      <w:textAlignment w:val="baseline"/>
    </w:pPr>
    <w:rPr>
      <w:rFonts w:ascii="Calibri" w:hAnsi="Calibri" w:cs="Arial"/>
      <w:sz w:val="22"/>
      <w:szCs w:val="22"/>
      <w:lang w:eastAsia="en-US"/>
    </w:rPr>
  </w:style>
  <w:style w:type="character" w:customStyle="1" w:styleId="StandardChar">
    <w:name w:val="Standard Char"/>
    <w:basedOn w:val="DefaultParagraphFont"/>
    <w:link w:val="Standard"/>
    <w:rsid w:val="00FD020E"/>
    <w:rPr>
      <w:rFonts w:ascii="Calibri" w:hAnsi="Calibri" w:cs="Arial"/>
      <w:sz w:val="22"/>
      <w:szCs w:val="22"/>
      <w:lang w:eastAsia="en-US"/>
    </w:rPr>
  </w:style>
  <w:style w:type="character" w:customStyle="1" w:styleId="ListParagraphChar">
    <w:name w:val="List Paragraph Char"/>
    <w:basedOn w:val="StandardChar"/>
    <w:link w:val="ListParagraph"/>
    <w:uiPriority w:val="34"/>
    <w:rsid w:val="00FD020E"/>
    <w:rPr>
      <w:rFonts w:ascii="Calibri" w:eastAsia="Times New Roman" w:hAnsi="Calibri" w:cs="Arial"/>
      <w:sz w:val="22"/>
      <w:szCs w:val="22"/>
      <w:lang w:val="en-US" w:eastAsia="en-US" w:bidi="en-US"/>
    </w:rPr>
  </w:style>
  <w:style w:type="table" w:styleId="TableGrid">
    <w:name w:val="Table Grid"/>
    <w:basedOn w:val="TableNormal"/>
    <w:uiPriority w:val="59"/>
    <w:rsid w:val="001E501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uiPriority w:val="35"/>
    <w:qFormat/>
    <w:rsid w:val="00FD020E"/>
    <w:pPr>
      <w:suppressLineNumbers/>
      <w:suppressAutoHyphens/>
      <w:autoSpaceDN w:val="0"/>
      <w:spacing w:before="120" w:after="120" w:line="256" w:lineRule="auto"/>
      <w:textAlignment w:val="baseline"/>
    </w:pPr>
    <w:rPr>
      <w:rFonts w:ascii="Calibri" w:eastAsia="Calibri" w:hAnsi="Calibri" w:cs="Lucida Sans"/>
      <w:i/>
      <w:iCs/>
      <w:sz w:val="24"/>
      <w:szCs w:val="24"/>
      <w:lang w:val="en-MY" w:bidi="ar-SA"/>
    </w:rPr>
  </w:style>
  <w:style w:type="paragraph" w:customStyle="1" w:styleId="Standard">
    <w:name w:val="Standard"/>
    <w:link w:val="StandardChar"/>
    <w:rsid w:val="00FD020E"/>
    <w:pPr>
      <w:suppressAutoHyphens/>
      <w:autoSpaceDN w:val="0"/>
      <w:spacing w:after="160" w:line="256" w:lineRule="auto"/>
      <w:textAlignment w:val="baseline"/>
    </w:pPr>
    <w:rPr>
      <w:rFonts w:ascii="Calibri" w:hAnsi="Calibri" w:cs="Arial"/>
      <w:sz w:val="22"/>
      <w:szCs w:val="22"/>
      <w:lang w:eastAsia="en-US"/>
    </w:rPr>
  </w:style>
  <w:style w:type="character" w:customStyle="1" w:styleId="StandardChar">
    <w:name w:val="Standard Char"/>
    <w:basedOn w:val="DefaultParagraphFont"/>
    <w:link w:val="Standard"/>
    <w:rsid w:val="00FD020E"/>
    <w:rPr>
      <w:rFonts w:ascii="Calibri" w:hAnsi="Calibri" w:cs="Arial"/>
      <w:sz w:val="22"/>
      <w:szCs w:val="22"/>
      <w:lang w:eastAsia="en-US"/>
    </w:rPr>
  </w:style>
  <w:style w:type="character" w:customStyle="1" w:styleId="ListParagraphChar">
    <w:name w:val="List Paragraph Char"/>
    <w:basedOn w:val="StandardChar"/>
    <w:link w:val="ListParagraph"/>
    <w:uiPriority w:val="34"/>
    <w:rsid w:val="00FD020E"/>
    <w:rPr>
      <w:rFonts w:ascii="Calibri" w:eastAsia="Times New Roman" w:hAnsi="Calibri" w:cs="Arial"/>
      <w:sz w:val="22"/>
      <w:szCs w:val="22"/>
      <w:lang w:val="en-US" w:eastAsia="en-US" w:bidi="en-US"/>
    </w:rPr>
  </w:style>
  <w:style w:type="table" w:styleId="TableGrid">
    <w:name w:val="Table Grid"/>
    <w:basedOn w:val="TableNormal"/>
    <w:uiPriority w:val="59"/>
    <w:rsid w:val="001E501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header" Target="header20.xml"/><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header" Target="header22.xml"/><Relationship Id="rId47" Type="http://schemas.openxmlformats.org/officeDocument/2006/relationships/header" Target="header25.xml"/><Relationship Id="rId50" Type="http://schemas.openxmlformats.org/officeDocument/2006/relationships/header" Target="header27.xml"/><Relationship Id="rId55" Type="http://schemas.openxmlformats.org/officeDocument/2006/relationships/image" Target="media/image8.jpeg"/><Relationship Id="rId63" Type="http://schemas.openxmlformats.org/officeDocument/2006/relationships/image" Target="media/image11.png"/><Relationship Id="rId68" Type="http://schemas.openxmlformats.org/officeDocument/2006/relationships/footer" Target="footer16.xml"/><Relationship Id="rId76" Type="http://schemas.openxmlformats.org/officeDocument/2006/relationships/header" Target="header38.xml"/><Relationship Id="rId84" Type="http://schemas.openxmlformats.org/officeDocument/2006/relationships/header" Target="header43.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34.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image" Target="media/image2.png"/><Relationship Id="rId37" Type="http://schemas.openxmlformats.org/officeDocument/2006/relationships/image" Target="media/image3.png"/><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image" Target="media/image6.jpeg"/><Relationship Id="rId58" Type="http://schemas.openxmlformats.org/officeDocument/2006/relationships/footer" Target="footer13.xml"/><Relationship Id="rId66" Type="http://schemas.openxmlformats.org/officeDocument/2006/relationships/header" Target="header32.xml"/><Relationship Id="rId74" Type="http://schemas.openxmlformats.org/officeDocument/2006/relationships/header" Target="header36.xml"/><Relationship Id="rId79" Type="http://schemas.openxmlformats.org/officeDocument/2006/relationships/header" Target="header39.xml"/><Relationship Id="rId87" Type="http://schemas.openxmlformats.org/officeDocument/2006/relationships/footer" Target="footer22.xml"/><Relationship Id="rId5" Type="http://schemas.openxmlformats.org/officeDocument/2006/relationships/settings" Target="settings.xml"/><Relationship Id="rId61" Type="http://schemas.openxmlformats.org/officeDocument/2006/relationships/image" Target="media/image9.png"/><Relationship Id="rId82" Type="http://schemas.openxmlformats.org/officeDocument/2006/relationships/footer" Target="footer20.xml"/><Relationship Id="rId90" Type="http://schemas.openxmlformats.org/officeDocument/2006/relationships/theme" Target="theme/theme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12.xml"/><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header" Target="header23.xml"/><Relationship Id="rId48" Type="http://schemas.openxmlformats.org/officeDocument/2006/relationships/header" Target="header26.xml"/><Relationship Id="rId56" Type="http://schemas.openxmlformats.org/officeDocument/2006/relationships/header" Target="header28.xml"/><Relationship Id="rId64" Type="http://schemas.openxmlformats.org/officeDocument/2006/relationships/image" Target="media/image12.png"/><Relationship Id="rId69" Type="http://schemas.openxmlformats.org/officeDocument/2006/relationships/header" Target="header33.xml"/><Relationship Id="rId77"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header" Target="header35.xml"/><Relationship Id="rId80" Type="http://schemas.openxmlformats.org/officeDocument/2006/relationships/header" Target="header40.xml"/><Relationship Id="rId85" Type="http://schemas.openxmlformats.org/officeDocument/2006/relationships/header" Target="header4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header" Target="header19.xml"/><Relationship Id="rId46" Type="http://schemas.openxmlformats.org/officeDocument/2006/relationships/header" Target="header24.xml"/><Relationship Id="rId59" Type="http://schemas.openxmlformats.org/officeDocument/2006/relationships/footer" Target="footer14.xml"/><Relationship Id="rId67" Type="http://schemas.openxmlformats.org/officeDocument/2006/relationships/footer" Target="footer15.xml"/><Relationship Id="rId20" Type="http://schemas.openxmlformats.org/officeDocument/2006/relationships/header" Target="header7.xml"/><Relationship Id="rId41" Type="http://schemas.openxmlformats.org/officeDocument/2006/relationships/header" Target="header21.xml"/><Relationship Id="rId54" Type="http://schemas.openxmlformats.org/officeDocument/2006/relationships/image" Target="media/image7.jpeg"/><Relationship Id="rId62" Type="http://schemas.openxmlformats.org/officeDocument/2006/relationships/image" Target="media/image10.png"/><Relationship Id="rId70" Type="http://schemas.openxmlformats.org/officeDocument/2006/relationships/image" Target="media/image13.png"/><Relationship Id="rId75" Type="http://schemas.openxmlformats.org/officeDocument/2006/relationships/header" Target="header37.xml"/><Relationship Id="rId83" Type="http://schemas.openxmlformats.org/officeDocument/2006/relationships/header" Target="header42.xml"/><Relationship Id="rId88"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8.xml"/><Relationship Id="rId49" Type="http://schemas.openxmlformats.org/officeDocument/2006/relationships/footer" Target="footer12.xml"/><Relationship Id="rId57" Type="http://schemas.openxmlformats.org/officeDocument/2006/relationships/header" Target="header29.xml"/><Relationship Id="rId10" Type="http://schemas.openxmlformats.org/officeDocument/2006/relationships/header" Target="header1.xml"/><Relationship Id="rId31" Type="http://schemas.openxmlformats.org/officeDocument/2006/relationships/header" Target="header15.xml"/><Relationship Id="rId44" Type="http://schemas.openxmlformats.org/officeDocument/2006/relationships/footer" Target="footer10.xml"/><Relationship Id="rId52" Type="http://schemas.openxmlformats.org/officeDocument/2006/relationships/image" Target="media/image5.jpeg"/><Relationship Id="rId60" Type="http://schemas.openxmlformats.org/officeDocument/2006/relationships/header" Target="header30.xml"/><Relationship Id="rId65" Type="http://schemas.openxmlformats.org/officeDocument/2006/relationships/header" Target="header31.xml"/><Relationship Id="rId73" Type="http://schemas.openxmlformats.org/officeDocument/2006/relationships/footer" Target="footer17.xml"/><Relationship Id="rId78" Type="http://schemas.openxmlformats.org/officeDocument/2006/relationships/footer" Target="footer19.xml"/><Relationship Id="rId81" Type="http://schemas.openxmlformats.org/officeDocument/2006/relationships/header" Target="header41.xml"/><Relationship Id="rId86"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CD4F4-D450-4E3F-9412-320BCB5CB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15</Pages>
  <Words>22277</Words>
  <Characters>126985</Characters>
  <Application>Microsoft Office Word</Application>
  <DocSecurity>0</DocSecurity>
  <Lines>1058</Lines>
  <Paragraphs>297</Paragraphs>
  <ScaleCrop>false</ScaleCrop>
  <HeadingPairs>
    <vt:vector size="2" baseType="variant">
      <vt:variant>
        <vt:lpstr>Title</vt:lpstr>
      </vt:variant>
      <vt:variant>
        <vt:i4>1</vt:i4>
      </vt:variant>
    </vt:vector>
  </HeadingPairs>
  <TitlesOfParts>
    <vt:vector size="1" baseType="lpstr">
      <vt:lpstr>MJAS Vol 24 No 3 (2020)</vt:lpstr>
    </vt:vector>
  </TitlesOfParts>
  <Company>UKM</Company>
  <LinksUpToDate>false</LinksUpToDate>
  <CharactersWithSpaces>148965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3 (2020)</dc:title>
  <dc:creator>Harun Hj Hamzah</dc:creator>
  <cp:lastModifiedBy>Harun</cp:lastModifiedBy>
  <cp:revision>53</cp:revision>
  <cp:lastPrinted>2020-06-02T11:05:00Z</cp:lastPrinted>
  <dcterms:created xsi:type="dcterms:W3CDTF">2020-05-11T15:46:00Z</dcterms:created>
  <dcterms:modified xsi:type="dcterms:W3CDTF">2020-06-02T11:08:00Z</dcterms:modified>
</cp:coreProperties>
</file>