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E53" w:rsidRPr="00686D4E" w:rsidRDefault="00A62E53" w:rsidP="00A62E53">
      <w:pPr>
        <w:jc w:val="center"/>
        <w:outlineLvl w:val="0"/>
        <w:rPr>
          <w:rFonts w:ascii="Times New Roman" w:hAnsi="Times New Roman" w:cs="Times New Roman"/>
          <w:sz w:val="28"/>
        </w:rPr>
      </w:pPr>
      <w:r w:rsidRPr="00686D4E">
        <w:rPr>
          <w:rFonts w:ascii="Times New Roman" w:hAnsi="Times New Roman" w:cs="Times New Roman"/>
          <w:sz w:val="28"/>
        </w:rPr>
        <w:t>APPLICATION OF MICROWAVE-ASSISTED EXTRACTION COUPLED</w:t>
      </w:r>
    </w:p>
    <w:p w:rsidR="00A62E53" w:rsidRPr="00686D4E" w:rsidRDefault="00A62E53" w:rsidP="00A62E53">
      <w:pPr>
        <w:jc w:val="center"/>
        <w:outlineLvl w:val="0"/>
        <w:rPr>
          <w:rFonts w:ascii="Times New Roman" w:hAnsi="Times New Roman" w:cs="Times New Roman"/>
          <w:sz w:val="28"/>
        </w:rPr>
      </w:pPr>
      <w:r w:rsidRPr="00686D4E">
        <w:rPr>
          <w:rFonts w:ascii="Times New Roman" w:hAnsi="Times New Roman" w:cs="Times New Roman"/>
          <w:sz w:val="28"/>
        </w:rPr>
        <w:t>WITH DISPERSIVE LIQUID-LIQUID MICROEXTRACTION FOR THE</w:t>
      </w:r>
    </w:p>
    <w:p w:rsidR="00686D4E" w:rsidRPr="00686D4E" w:rsidRDefault="00A62E53" w:rsidP="00A62E53">
      <w:pPr>
        <w:jc w:val="center"/>
        <w:outlineLvl w:val="0"/>
        <w:rPr>
          <w:rFonts w:ascii="Times New Roman" w:hAnsi="Times New Roman" w:cs="Times New Roman"/>
          <w:sz w:val="28"/>
        </w:rPr>
      </w:pPr>
      <w:r w:rsidRPr="00686D4E">
        <w:rPr>
          <w:rFonts w:ascii="Times New Roman" w:hAnsi="Times New Roman" w:cs="Times New Roman"/>
          <w:sz w:val="28"/>
        </w:rPr>
        <w:t xml:space="preserve">DETERMINATION OF POLYCYCLIC AROMATIC HYDROCARBONS </w:t>
      </w:r>
    </w:p>
    <w:p w:rsidR="00785CA6" w:rsidRPr="00686D4E" w:rsidRDefault="00A62E53" w:rsidP="00686D4E">
      <w:pPr>
        <w:jc w:val="center"/>
        <w:outlineLvl w:val="0"/>
        <w:rPr>
          <w:rFonts w:ascii="Times New Roman" w:hAnsi="Times New Roman" w:cs="Times New Roman"/>
          <w:sz w:val="28"/>
        </w:rPr>
      </w:pPr>
      <w:r w:rsidRPr="00686D4E">
        <w:rPr>
          <w:rFonts w:ascii="Times New Roman" w:hAnsi="Times New Roman" w:cs="Times New Roman"/>
          <w:sz w:val="28"/>
        </w:rPr>
        <w:t>IN</w:t>
      </w:r>
      <w:r w:rsidR="00686D4E" w:rsidRPr="00686D4E">
        <w:rPr>
          <w:rFonts w:ascii="Times New Roman" w:hAnsi="Times New Roman" w:cs="Times New Roman"/>
          <w:sz w:val="28"/>
        </w:rPr>
        <w:t xml:space="preserve"> </w:t>
      </w:r>
      <w:r w:rsidRPr="00686D4E">
        <w:rPr>
          <w:rFonts w:ascii="Times New Roman" w:hAnsi="Times New Roman" w:cs="Times New Roman"/>
          <w:sz w:val="28"/>
        </w:rPr>
        <w:t>VEGETABLES</w:t>
      </w:r>
      <w:r w:rsidRPr="00686D4E">
        <w:rPr>
          <w:rFonts w:ascii="Times New Roman" w:hAnsi="Times New Roman" w:cs="Times New Roman"/>
          <w:b/>
          <w:sz w:val="28"/>
          <w:szCs w:val="20"/>
        </w:rPr>
        <w:t xml:space="preserve"> </w:t>
      </w:r>
    </w:p>
    <w:p w:rsidR="00785CA6" w:rsidRPr="00686D4E" w:rsidRDefault="00785CA6" w:rsidP="009C4E07">
      <w:pPr>
        <w:jc w:val="center"/>
        <w:outlineLvl w:val="0"/>
        <w:rPr>
          <w:rFonts w:ascii="Times New Roman" w:hAnsi="Times New Roman" w:cs="Times New Roman"/>
          <w:b/>
          <w:sz w:val="24"/>
        </w:rPr>
      </w:pPr>
    </w:p>
    <w:p w:rsidR="00A62E53" w:rsidRPr="00686D4E" w:rsidRDefault="00A62E53" w:rsidP="00A62E53">
      <w:pPr>
        <w:jc w:val="center"/>
        <w:outlineLvl w:val="0"/>
        <w:rPr>
          <w:rFonts w:ascii="Times New Roman" w:hAnsi="Times New Roman" w:cs="Times New Roman"/>
          <w:sz w:val="24"/>
          <w:lang w:val="ms-MY"/>
        </w:rPr>
      </w:pPr>
      <w:r w:rsidRPr="00686D4E">
        <w:rPr>
          <w:rFonts w:ascii="Times New Roman" w:hAnsi="Times New Roman" w:cs="Times New Roman"/>
          <w:sz w:val="24"/>
        </w:rPr>
        <w:t>(</w:t>
      </w:r>
      <w:r w:rsidRPr="00686D4E">
        <w:rPr>
          <w:rFonts w:ascii="Times New Roman" w:hAnsi="Times New Roman" w:cs="Times New Roman"/>
          <w:sz w:val="24"/>
          <w:lang w:val="ms-MY"/>
        </w:rPr>
        <w:t xml:space="preserve">Applikasi Pengekstrakan </w:t>
      </w:r>
      <w:r w:rsidR="00686D4E" w:rsidRPr="00686D4E">
        <w:rPr>
          <w:rFonts w:ascii="Times New Roman" w:hAnsi="Times New Roman" w:cs="Times New Roman"/>
          <w:sz w:val="24"/>
          <w:lang w:val="ms-MY"/>
        </w:rPr>
        <w:t>Berbantukan Mikrogelombang Gandingan dengan Pengekstrakan</w:t>
      </w:r>
    </w:p>
    <w:p w:rsidR="00686D4E" w:rsidRPr="00686D4E" w:rsidRDefault="00686D4E" w:rsidP="00A62E53">
      <w:pPr>
        <w:jc w:val="center"/>
        <w:outlineLvl w:val="0"/>
        <w:rPr>
          <w:rFonts w:ascii="Times New Roman" w:hAnsi="Times New Roman" w:cs="Times New Roman"/>
          <w:sz w:val="24"/>
          <w:lang w:val="ms-MY"/>
        </w:rPr>
      </w:pPr>
      <w:r w:rsidRPr="00686D4E">
        <w:rPr>
          <w:rFonts w:ascii="Times New Roman" w:hAnsi="Times New Roman" w:cs="Times New Roman"/>
          <w:sz w:val="24"/>
          <w:lang w:val="ms-MY"/>
        </w:rPr>
        <w:t xml:space="preserve">Mikro Cecair-Cecair Serakan bagi Penentukan Hidrokarbon Aromatik Polisiklik </w:t>
      </w:r>
    </w:p>
    <w:p w:rsidR="00785CA6" w:rsidRPr="00686D4E" w:rsidRDefault="00686D4E" w:rsidP="00A62E53">
      <w:pPr>
        <w:jc w:val="center"/>
        <w:outlineLvl w:val="0"/>
        <w:rPr>
          <w:rFonts w:ascii="Times New Roman" w:hAnsi="Times New Roman" w:cs="Times New Roman"/>
          <w:b/>
          <w:szCs w:val="20"/>
        </w:rPr>
      </w:pPr>
      <w:r w:rsidRPr="00686D4E">
        <w:rPr>
          <w:rFonts w:ascii="Times New Roman" w:hAnsi="Times New Roman" w:cs="Times New Roman"/>
          <w:sz w:val="24"/>
          <w:lang w:val="ms-MY"/>
        </w:rPr>
        <w:t>dalam Sayur-Sayuran</w:t>
      </w:r>
      <w:r w:rsidR="00A62E53" w:rsidRPr="00686D4E">
        <w:rPr>
          <w:rFonts w:ascii="Times New Roman" w:hAnsi="Times New Roman" w:cs="Times New Roman"/>
          <w:sz w:val="24"/>
        </w:rPr>
        <w:t>)</w:t>
      </w:r>
      <w:r w:rsidR="00A62E53" w:rsidRPr="00686D4E">
        <w:rPr>
          <w:rFonts w:ascii="Times New Roman" w:hAnsi="Times New Roman" w:cs="Times New Roman"/>
          <w:b/>
          <w:sz w:val="24"/>
          <w:szCs w:val="20"/>
        </w:rPr>
        <w:t xml:space="preserve"> </w:t>
      </w:r>
    </w:p>
    <w:p w:rsidR="00785CA6" w:rsidRPr="00686D4E" w:rsidRDefault="00785CA6" w:rsidP="00785CA6">
      <w:pPr>
        <w:jc w:val="center"/>
        <w:outlineLvl w:val="0"/>
        <w:rPr>
          <w:rFonts w:ascii="Times New Roman" w:hAnsi="Times New Roman" w:cs="Times New Roman"/>
          <w:b/>
          <w:szCs w:val="20"/>
        </w:rPr>
      </w:pPr>
    </w:p>
    <w:p w:rsidR="00A62E53" w:rsidRPr="00686D4E" w:rsidRDefault="00A62E53" w:rsidP="00785CA6">
      <w:pPr>
        <w:jc w:val="center"/>
        <w:outlineLvl w:val="0"/>
        <w:rPr>
          <w:rFonts w:ascii="Times New Roman" w:hAnsi="Times New Roman" w:cs="Times New Roman"/>
          <w:szCs w:val="20"/>
        </w:rPr>
      </w:pPr>
      <w:r w:rsidRPr="00686D4E">
        <w:rPr>
          <w:rFonts w:ascii="Times New Roman" w:hAnsi="Times New Roman" w:cs="Times New Roman"/>
          <w:szCs w:val="20"/>
        </w:rPr>
        <w:t>Chai Mee Kin</w:t>
      </w:r>
      <w:r w:rsidRPr="00686D4E">
        <w:rPr>
          <w:rFonts w:ascii="Times New Roman" w:hAnsi="Times New Roman" w:cs="Times New Roman"/>
          <w:szCs w:val="20"/>
          <w:vertAlign w:val="superscript"/>
        </w:rPr>
        <w:t>1</w:t>
      </w:r>
      <w:r w:rsidR="00686D4E" w:rsidRPr="00686D4E">
        <w:rPr>
          <w:rFonts w:ascii="Times New Roman" w:hAnsi="Times New Roman" w:cs="Times New Roman"/>
          <w:szCs w:val="20"/>
          <w:vertAlign w:val="superscript"/>
        </w:rPr>
        <w:t>,</w:t>
      </w:r>
      <w:r w:rsidRPr="00686D4E">
        <w:rPr>
          <w:rFonts w:ascii="Times New Roman" w:hAnsi="Times New Roman" w:cs="Times New Roman"/>
          <w:szCs w:val="20"/>
          <w:vertAlign w:val="superscript"/>
        </w:rPr>
        <w:t>*</w:t>
      </w:r>
      <w:r w:rsidRPr="00686D4E">
        <w:rPr>
          <w:rFonts w:ascii="Times New Roman" w:hAnsi="Times New Roman" w:cs="Times New Roman"/>
          <w:szCs w:val="20"/>
        </w:rPr>
        <w:t>, Tan Yeong Hwang</w:t>
      </w:r>
      <w:r w:rsidRPr="00686D4E">
        <w:rPr>
          <w:rFonts w:ascii="Times New Roman" w:hAnsi="Times New Roman" w:cs="Times New Roman"/>
          <w:szCs w:val="20"/>
          <w:vertAlign w:val="superscript"/>
        </w:rPr>
        <w:t>1</w:t>
      </w:r>
      <w:r w:rsidRPr="00686D4E">
        <w:rPr>
          <w:rFonts w:ascii="Times New Roman" w:hAnsi="Times New Roman" w:cs="Times New Roman"/>
          <w:szCs w:val="20"/>
        </w:rPr>
        <w:t>, Wong Ling Shing</w:t>
      </w:r>
      <w:r w:rsidRPr="00686D4E">
        <w:rPr>
          <w:rFonts w:ascii="Times New Roman" w:hAnsi="Times New Roman" w:cs="Times New Roman"/>
          <w:szCs w:val="20"/>
          <w:vertAlign w:val="superscript"/>
        </w:rPr>
        <w:t>2</w:t>
      </w:r>
      <w:r w:rsidRPr="00686D4E">
        <w:rPr>
          <w:rFonts w:ascii="Times New Roman" w:hAnsi="Times New Roman" w:cs="Times New Roman"/>
          <w:szCs w:val="20"/>
        </w:rPr>
        <w:t xml:space="preserve"> </w:t>
      </w:r>
    </w:p>
    <w:p w:rsidR="00785CA6" w:rsidRPr="00686D4E" w:rsidRDefault="00785CA6" w:rsidP="00785CA6">
      <w:pPr>
        <w:jc w:val="center"/>
        <w:outlineLvl w:val="0"/>
        <w:rPr>
          <w:rFonts w:ascii="Times New Roman" w:hAnsi="Times New Roman" w:cs="Times New Roman"/>
          <w:b/>
          <w:sz w:val="18"/>
          <w:szCs w:val="18"/>
        </w:rPr>
      </w:pPr>
    </w:p>
    <w:p w:rsidR="00686D4E" w:rsidRPr="00686D4E" w:rsidRDefault="00785CA6" w:rsidP="00A62E53">
      <w:pPr>
        <w:jc w:val="center"/>
        <w:outlineLvl w:val="0"/>
        <w:rPr>
          <w:rFonts w:ascii="Times New Roman" w:hAnsi="Times New Roman" w:cs="Times New Roman"/>
          <w:i/>
          <w:sz w:val="18"/>
          <w:szCs w:val="18"/>
        </w:rPr>
      </w:pPr>
      <w:r w:rsidRPr="00686D4E">
        <w:rPr>
          <w:rFonts w:ascii="Times New Roman" w:hAnsi="Times New Roman" w:cs="Times New Roman"/>
          <w:i/>
          <w:sz w:val="18"/>
          <w:szCs w:val="18"/>
          <w:vertAlign w:val="superscript"/>
        </w:rPr>
        <w:t>1</w:t>
      </w:r>
      <w:r w:rsidR="00A62E53" w:rsidRPr="00686D4E">
        <w:rPr>
          <w:rFonts w:ascii="Times New Roman" w:hAnsi="Times New Roman" w:cs="Times New Roman"/>
          <w:i/>
          <w:sz w:val="18"/>
          <w:szCs w:val="18"/>
        </w:rPr>
        <w:t xml:space="preserve">College of Engineering, </w:t>
      </w:r>
    </w:p>
    <w:p w:rsidR="00686D4E" w:rsidRPr="00686D4E" w:rsidRDefault="00A62E53" w:rsidP="00A62E53">
      <w:pPr>
        <w:jc w:val="center"/>
        <w:outlineLvl w:val="0"/>
        <w:rPr>
          <w:rFonts w:ascii="Times New Roman" w:hAnsi="Times New Roman" w:cs="Times New Roman"/>
          <w:i/>
          <w:sz w:val="18"/>
          <w:szCs w:val="18"/>
        </w:rPr>
      </w:pPr>
      <w:r w:rsidRPr="00686D4E">
        <w:rPr>
          <w:rFonts w:ascii="Times New Roman" w:hAnsi="Times New Roman" w:cs="Times New Roman"/>
          <w:i/>
          <w:sz w:val="18"/>
          <w:szCs w:val="18"/>
        </w:rPr>
        <w:t xml:space="preserve">Universiti Tenaga Nasional, </w:t>
      </w:r>
    </w:p>
    <w:p w:rsidR="00A62E53" w:rsidRPr="00686D4E" w:rsidRDefault="00A62E53" w:rsidP="00A62E53">
      <w:pPr>
        <w:jc w:val="center"/>
        <w:outlineLvl w:val="0"/>
        <w:rPr>
          <w:rFonts w:ascii="Times New Roman" w:hAnsi="Times New Roman" w:cs="Times New Roman"/>
          <w:i/>
          <w:sz w:val="18"/>
          <w:szCs w:val="18"/>
        </w:rPr>
      </w:pPr>
      <w:r w:rsidRPr="00686D4E">
        <w:rPr>
          <w:rFonts w:ascii="Times New Roman" w:hAnsi="Times New Roman" w:cs="Times New Roman"/>
          <w:i/>
          <w:sz w:val="18"/>
          <w:szCs w:val="18"/>
        </w:rPr>
        <w:t>Jalan Ikram-Uniten, 43000 Kajang, Selangor, Malaysia</w:t>
      </w:r>
    </w:p>
    <w:p w:rsidR="00686D4E" w:rsidRPr="00686D4E" w:rsidRDefault="00A62E53" w:rsidP="00A62E53">
      <w:pPr>
        <w:jc w:val="center"/>
        <w:outlineLvl w:val="0"/>
        <w:rPr>
          <w:rFonts w:ascii="Times New Roman" w:hAnsi="Times New Roman" w:cs="Times New Roman"/>
          <w:i/>
          <w:sz w:val="18"/>
          <w:szCs w:val="18"/>
        </w:rPr>
      </w:pPr>
      <w:r w:rsidRPr="00686D4E">
        <w:rPr>
          <w:rFonts w:ascii="Times New Roman" w:hAnsi="Times New Roman" w:cs="Times New Roman"/>
          <w:i/>
          <w:sz w:val="18"/>
          <w:szCs w:val="18"/>
          <w:vertAlign w:val="superscript"/>
        </w:rPr>
        <w:t>2</w:t>
      </w:r>
      <w:r w:rsidRPr="00686D4E">
        <w:rPr>
          <w:rFonts w:ascii="Times New Roman" w:hAnsi="Times New Roman" w:cs="Times New Roman"/>
          <w:i/>
          <w:sz w:val="18"/>
          <w:szCs w:val="18"/>
        </w:rPr>
        <w:t xml:space="preserve">Faculty of Health and Life Science, </w:t>
      </w:r>
    </w:p>
    <w:p w:rsidR="00686D4E" w:rsidRPr="00686D4E" w:rsidRDefault="00A62E53" w:rsidP="00A62E53">
      <w:pPr>
        <w:jc w:val="center"/>
        <w:outlineLvl w:val="0"/>
        <w:rPr>
          <w:rFonts w:ascii="Times New Roman" w:hAnsi="Times New Roman" w:cs="Times New Roman"/>
          <w:i/>
          <w:sz w:val="18"/>
          <w:szCs w:val="18"/>
        </w:rPr>
      </w:pPr>
      <w:r w:rsidRPr="00686D4E">
        <w:rPr>
          <w:rFonts w:ascii="Times New Roman" w:hAnsi="Times New Roman" w:cs="Times New Roman"/>
          <w:i/>
          <w:sz w:val="18"/>
          <w:szCs w:val="18"/>
        </w:rPr>
        <w:t xml:space="preserve">INTI International University, </w:t>
      </w:r>
    </w:p>
    <w:p w:rsidR="00785CA6" w:rsidRPr="00686D4E" w:rsidRDefault="00A62E53" w:rsidP="00686D4E">
      <w:pPr>
        <w:jc w:val="center"/>
        <w:outlineLvl w:val="0"/>
        <w:rPr>
          <w:rFonts w:ascii="Times New Roman" w:hAnsi="Times New Roman" w:cs="Times New Roman"/>
          <w:i/>
          <w:sz w:val="18"/>
          <w:szCs w:val="18"/>
        </w:rPr>
      </w:pPr>
      <w:r w:rsidRPr="00686D4E">
        <w:rPr>
          <w:rFonts w:ascii="Times New Roman" w:hAnsi="Times New Roman" w:cs="Times New Roman"/>
          <w:i/>
          <w:sz w:val="18"/>
          <w:szCs w:val="18"/>
        </w:rPr>
        <w:t>Persiaran Perdana BBN, Putra Nilai, 71800 Nilai,</w:t>
      </w:r>
      <w:r w:rsidR="00686D4E" w:rsidRPr="00686D4E">
        <w:rPr>
          <w:rFonts w:ascii="Times New Roman" w:hAnsi="Times New Roman" w:cs="Times New Roman"/>
          <w:i/>
          <w:sz w:val="18"/>
          <w:szCs w:val="18"/>
        </w:rPr>
        <w:t xml:space="preserve"> </w:t>
      </w:r>
      <w:r w:rsidRPr="00686D4E">
        <w:rPr>
          <w:rFonts w:ascii="Times New Roman" w:hAnsi="Times New Roman" w:cs="Times New Roman"/>
          <w:i/>
          <w:sz w:val="18"/>
          <w:szCs w:val="18"/>
        </w:rPr>
        <w:t>Negeri Sembilan, Malaysia</w:t>
      </w:r>
    </w:p>
    <w:p w:rsidR="00A415C1" w:rsidRPr="00686D4E" w:rsidRDefault="00A415C1" w:rsidP="00785CA6">
      <w:pPr>
        <w:jc w:val="center"/>
        <w:outlineLvl w:val="0"/>
        <w:rPr>
          <w:rFonts w:ascii="Times New Roman" w:hAnsi="Times New Roman" w:cs="Times New Roman"/>
          <w:b/>
          <w:sz w:val="18"/>
          <w:szCs w:val="18"/>
        </w:rPr>
      </w:pPr>
    </w:p>
    <w:p w:rsidR="00A415C1" w:rsidRPr="00686D4E" w:rsidRDefault="00A415C1" w:rsidP="00A415C1">
      <w:pPr>
        <w:jc w:val="center"/>
        <w:outlineLvl w:val="0"/>
        <w:rPr>
          <w:rFonts w:ascii="Times New Roman" w:hAnsi="Times New Roman" w:cs="Times New Roman"/>
          <w:i/>
          <w:sz w:val="18"/>
        </w:rPr>
      </w:pPr>
      <w:r w:rsidRPr="00686D4E">
        <w:rPr>
          <w:rFonts w:ascii="Times New Roman" w:hAnsi="Times New Roman" w:cs="Times New Roman"/>
          <w:i/>
          <w:sz w:val="18"/>
          <w:vertAlign w:val="superscript"/>
        </w:rPr>
        <w:t>*</w:t>
      </w:r>
      <w:r w:rsidR="00A62E53" w:rsidRPr="00686D4E">
        <w:rPr>
          <w:rFonts w:ascii="Times New Roman" w:hAnsi="Times New Roman" w:cs="Times New Roman"/>
          <w:i/>
          <w:sz w:val="18"/>
        </w:rPr>
        <w:t>Corresponding author: mkchai@uniten.edu.my</w:t>
      </w:r>
    </w:p>
    <w:p w:rsidR="009C4E07" w:rsidRPr="00686D4E" w:rsidRDefault="009C4E07" w:rsidP="00686D4E">
      <w:pPr>
        <w:outlineLvl w:val="0"/>
        <w:rPr>
          <w:rFonts w:ascii="Times New Roman" w:hAnsi="Times New Roman" w:cs="Times New Roman"/>
          <w:b/>
          <w:sz w:val="18"/>
          <w:szCs w:val="18"/>
        </w:rPr>
      </w:pPr>
    </w:p>
    <w:p w:rsidR="00785CA6" w:rsidRPr="00686D4E" w:rsidRDefault="00785CA6" w:rsidP="00686D4E">
      <w:pPr>
        <w:jc w:val="center"/>
        <w:outlineLvl w:val="0"/>
        <w:rPr>
          <w:rFonts w:ascii="Times New Roman" w:hAnsi="Times New Roman" w:cs="Times New Roman"/>
          <w:b/>
          <w:sz w:val="18"/>
          <w:szCs w:val="18"/>
        </w:rPr>
      </w:pPr>
      <w:r w:rsidRPr="00686D4E">
        <w:rPr>
          <w:rFonts w:ascii="Times New Roman" w:hAnsi="Times New Roman" w:cs="Times New Roman"/>
          <w:b/>
          <w:sz w:val="18"/>
          <w:szCs w:val="18"/>
        </w:rPr>
        <w:t>Abstract</w:t>
      </w:r>
    </w:p>
    <w:p w:rsidR="003F3701" w:rsidRPr="00686D4E" w:rsidRDefault="00A62E53" w:rsidP="00686D4E">
      <w:pPr>
        <w:outlineLvl w:val="0"/>
        <w:rPr>
          <w:rFonts w:ascii="Times New Roman" w:hAnsi="Times New Roman" w:cs="Times New Roman"/>
          <w:sz w:val="18"/>
          <w:szCs w:val="18"/>
        </w:rPr>
      </w:pPr>
      <w:r w:rsidRPr="00686D4E">
        <w:rPr>
          <w:rFonts w:ascii="Times New Roman" w:hAnsi="Times New Roman" w:cs="Times New Roman"/>
          <w:sz w:val="18"/>
          <w:szCs w:val="18"/>
        </w:rPr>
        <w:t xml:space="preserve">Microwave-assisted extraction (MAE) coupled with dispersive liquid-liquid microextraction (DLLME) followed by gas- chromatography flame ionization detector (GC-FID) for the determination of 13 PAHs in vegetable samples was developed in this study. The analytical performances of the optimized DLLME and MAE-DLLME including </w:t>
      </w:r>
      <w:r w:rsidR="00951245" w:rsidRPr="00686D4E">
        <w:rPr>
          <w:rFonts w:ascii="Times New Roman" w:hAnsi="Times New Roman" w:cs="Times New Roman"/>
          <w:sz w:val="18"/>
          <w:szCs w:val="18"/>
        </w:rPr>
        <w:t>limit of</w:t>
      </w:r>
      <w:r w:rsidRPr="00686D4E">
        <w:rPr>
          <w:rFonts w:ascii="Times New Roman" w:hAnsi="Times New Roman" w:cs="Times New Roman"/>
          <w:sz w:val="18"/>
          <w:szCs w:val="18"/>
        </w:rPr>
        <w:t xml:space="preserve"> detection</w:t>
      </w:r>
      <w:r w:rsidR="00951245" w:rsidRPr="00686D4E">
        <w:rPr>
          <w:rFonts w:ascii="Times New Roman" w:hAnsi="Times New Roman" w:cs="Times New Roman"/>
          <w:sz w:val="18"/>
          <w:szCs w:val="18"/>
        </w:rPr>
        <w:t xml:space="preserve"> (LOD)</w:t>
      </w:r>
      <w:r w:rsidRPr="00686D4E">
        <w:rPr>
          <w:rFonts w:ascii="Times New Roman" w:hAnsi="Times New Roman" w:cs="Times New Roman"/>
          <w:sz w:val="18"/>
          <w:szCs w:val="18"/>
        </w:rPr>
        <w:t xml:space="preserve">, </w:t>
      </w:r>
      <w:r w:rsidR="00951245" w:rsidRPr="00686D4E">
        <w:rPr>
          <w:rFonts w:ascii="Times New Roman" w:hAnsi="Times New Roman" w:cs="Times New Roman"/>
          <w:sz w:val="18"/>
          <w:szCs w:val="18"/>
        </w:rPr>
        <w:t>limit of</w:t>
      </w:r>
      <w:r w:rsidRPr="00686D4E">
        <w:rPr>
          <w:rFonts w:ascii="Times New Roman" w:hAnsi="Times New Roman" w:cs="Times New Roman"/>
          <w:sz w:val="18"/>
          <w:szCs w:val="18"/>
        </w:rPr>
        <w:t xml:space="preserve"> quantification</w:t>
      </w:r>
      <w:r w:rsidR="00951245" w:rsidRPr="00686D4E">
        <w:rPr>
          <w:rFonts w:ascii="Times New Roman" w:hAnsi="Times New Roman" w:cs="Times New Roman"/>
          <w:sz w:val="18"/>
          <w:szCs w:val="18"/>
        </w:rPr>
        <w:t xml:space="preserve"> (LOQ)</w:t>
      </w:r>
      <w:r w:rsidRPr="00686D4E">
        <w:rPr>
          <w:rFonts w:ascii="Times New Roman" w:hAnsi="Times New Roman" w:cs="Times New Roman"/>
          <w:sz w:val="18"/>
          <w:szCs w:val="18"/>
        </w:rPr>
        <w:t xml:space="preserve">, precision, accuracy, relative extraction recovery and relative extraction factor were </w:t>
      </w:r>
      <w:r w:rsidR="00DF56D7" w:rsidRPr="00686D4E">
        <w:rPr>
          <w:rFonts w:ascii="Times New Roman" w:hAnsi="Times New Roman" w:cs="Times New Roman"/>
          <w:sz w:val="18"/>
          <w:szCs w:val="18"/>
        </w:rPr>
        <w:t xml:space="preserve">validated and </w:t>
      </w:r>
      <w:r w:rsidRPr="00686D4E">
        <w:rPr>
          <w:rFonts w:ascii="Times New Roman" w:hAnsi="Times New Roman" w:cs="Times New Roman"/>
          <w:sz w:val="18"/>
          <w:szCs w:val="18"/>
        </w:rPr>
        <w:t xml:space="preserve">compared. The </w:t>
      </w:r>
      <w:r w:rsidR="00951245" w:rsidRPr="00686D4E">
        <w:rPr>
          <w:rFonts w:ascii="Times New Roman" w:hAnsi="Times New Roman" w:cs="Times New Roman"/>
          <w:sz w:val="18"/>
          <w:szCs w:val="18"/>
        </w:rPr>
        <w:t>LOD</w:t>
      </w:r>
      <w:r w:rsidRPr="00686D4E">
        <w:rPr>
          <w:rFonts w:ascii="Times New Roman" w:hAnsi="Times New Roman" w:cs="Times New Roman"/>
          <w:sz w:val="18"/>
          <w:szCs w:val="18"/>
        </w:rPr>
        <w:t xml:space="preserve"> of DLLME and MAE-DLLME were in the range of 0.040-0.400 and 0.0200-0.080 µg/L, respectively. For DLLME, precision and accuracy were 1.22-7.50% (RSD) and 71.77% to 90.93%, respectively; while for MAE-DLLME, were 0.77%-3.07% (RSD) and 83.65-98.42%, respectively. The relative extraction recovery was improved from 70.81% – 85.41% in DLLME to 85.79% - 99.61% in MAE-DLLME. The relative enrichment factors were ranged from 126-156 and 165 to 202 for DLLME and MAE-DLLME, respectively. The volume of extraction solvent was reduced from 50 µ</w:t>
      </w:r>
      <w:r w:rsidR="00686D4E">
        <w:rPr>
          <w:rFonts w:ascii="Times New Roman" w:hAnsi="Times New Roman" w:cs="Times New Roman"/>
          <w:sz w:val="18"/>
          <w:szCs w:val="18"/>
        </w:rPr>
        <w:t>L</w:t>
      </w:r>
      <w:r w:rsidRPr="00686D4E">
        <w:rPr>
          <w:rFonts w:ascii="Times New Roman" w:hAnsi="Times New Roman" w:cs="Times New Roman"/>
          <w:sz w:val="18"/>
          <w:szCs w:val="18"/>
        </w:rPr>
        <w:t xml:space="preserve"> to 30 µ</w:t>
      </w:r>
      <w:r w:rsidR="00686D4E">
        <w:rPr>
          <w:rFonts w:ascii="Times New Roman" w:hAnsi="Times New Roman" w:cs="Times New Roman"/>
          <w:sz w:val="18"/>
          <w:szCs w:val="18"/>
        </w:rPr>
        <w:t>L</w:t>
      </w:r>
      <w:r w:rsidRPr="00686D4E">
        <w:rPr>
          <w:rFonts w:ascii="Times New Roman" w:hAnsi="Times New Roman" w:cs="Times New Roman"/>
          <w:sz w:val="18"/>
          <w:szCs w:val="18"/>
        </w:rPr>
        <w:t xml:space="preserve"> in MAE- DLLME. The overall analytical performances of MAE-DLLME is better than DLLME. The application of proposed MAE- DLLME in real samples was also investigated and discussed.</w:t>
      </w:r>
    </w:p>
    <w:p w:rsidR="00A62E53" w:rsidRPr="00686D4E" w:rsidRDefault="00A62E53" w:rsidP="00686D4E">
      <w:pPr>
        <w:outlineLvl w:val="0"/>
        <w:rPr>
          <w:rFonts w:ascii="Times New Roman" w:hAnsi="Times New Roman" w:cs="Times New Roman"/>
          <w:sz w:val="18"/>
          <w:szCs w:val="18"/>
        </w:rPr>
      </w:pPr>
    </w:p>
    <w:p w:rsidR="00785CA6" w:rsidRPr="00686D4E" w:rsidRDefault="00785CA6" w:rsidP="00686D4E">
      <w:pPr>
        <w:ind w:left="993" w:hanging="993"/>
        <w:outlineLvl w:val="0"/>
        <w:rPr>
          <w:rFonts w:ascii="Times New Roman" w:hAnsi="Times New Roman" w:cs="Times New Roman"/>
          <w:sz w:val="18"/>
          <w:szCs w:val="18"/>
        </w:rPr>
      </w:pPr>
      <w:r w:rsidRPr="00686D4E">
        <w:rPr>
          <w:rFonts w:ascii="Times New Roman" w:hAnsi="Times New Roman" w:cs="Times New Roman"/>
          <w:b/>
          <w:sz w:val="18"/>
          <w:szCs w:val="18"/>
        </w:rPr>
        <w:t>Keyword</w:t>
      </w:r>
      <w:r w:rsidR="009C4E07" w:rsidRPr="00686D4E">
        <w:rPr>
          <w:rFonts w:ascii="Times New Roman" w:hAnsi="Times New Roman" w:cs="Times New Roman"/>
          <w:b/>
          <w:sz w:val="18"/>
          <w:szCs w:val="18"/>
        </w:rPr>
        <w:t>s</w:t>
      </w:r>
      <w:r w:rsidRPr="00686D4E">
        <w:rPr>
          <w:rFonts w:ascii="Times New Roman" w:hAnsi="Times New Roman" w:cs="Times New Roman"/>
          <w:b/>
          <w:bCs/>
          <w:sz w:val="18"/>
          <w:szCs w:val="18"/>
        </w:rPr>
        <w:t>:</w:t>
      </w:r>
      <w:r w:rsidRPr="00686D4E">
        <w:rPr>
          <w:rFonts w:ascii="Times New Roman" w:hAnsi="Times New Roman" w:cs="Times New Roman"/>
          <w:sz w:val="18"/>
          <w:szCs w:val="18"/>
        </w:rPr>
        <w:t xml:space="preserve"> </w:t>
      </w:r>
      <w:r w:rsidR="00686D4E" w:rsidRPr="00686D4E">
        <w:rPr>
          <w:rFonts w:ascii="Times New Roman" w:hAnsi="Times New Roman" w:cs="Times New Roman"/>
          <w:sz w:val="18"/>
          <w:szCs w:val="18"/>
        </w:rPr>
        <w:t>dispersive liquid-liquid microextraction</w:t>
      </w:r>
      <w:r w:rsidR="00686D4E">
        <w:rPr>
          <w:rFonts w:ascii="Times New Roman" w:hAnsi="Times New Roman" w:cs="Times New Roman"/>
          <w:sz w:val="18"/>
          <w:szCs w:val="18"/>
        </w:rPr>
        <w:t>,</w:t>
      </w:r>
      <w:r w:rsidR="00686D4E" w:rsidRPr="00686D4E">
        <w:rPr>
          <w:rFonts w:ascii="Times New Roman" w:hAnsi="Times New Roman" w:cs="Times New Roman"/>
          <w:sz w:val="18"/>
          <w:szCs w:val="18"/>
        </w:rPr>
        <w:t xml:space="preserve"> microwave-assisted extraction</w:t>
      </w:r>
      <w:r w:rsidR="00686D4E">
        <w:rPr>
          <w:rFonts w:ascii="Times New Roman" w:hAnsi="Times New Roman" w:cs="Times New Roman"/>
          <w:sz w:val="18"/>
          <w:szCs w:val="18"/>
        </w:rPr>
        <w:t>,</w:t>
      </w:r>
      <w:r w:rsidR="00686D4E" w:rsidRPr="00686D4E">
        <w:rPr>
          <w:rFonts w:ascii="Times New Roman" w:hAnsi="Times New Roman" w:cs="Times New Roman"/>
          <w:sz w:val="18"/>
          <w:szCs w:val="18"/>
        </w:rPr>
        <w:t xml:space="preserve"> polycyclic aromatic hydrocarbons</w:t>
      </w:r>
      <w:r w:rsidR="00686D4E">
        <w:rPr>
          <w:rFonts w:ascii="Times New Roman" w:hAnsi="Times New Roman" w:cs="Times New Roman"/>
          <w:sz w:val="18"/>
          <w:szCs w:val="18"/>
        </w:rPr>
        <w:t>,</w:t>
      </w:r>
      <w:r w:rsidR="00686D4E" w:rsidRPr="00686D4E">
        <w:rPr>
          <w:rFonts w:ascii="Times New Roman" w:hAnsi="Times New Roman" w:cs="Times New Roman"/>
          <w:sz w:val="18"/>
          <w:szCs w:val="18"/>
        </w:rPr>
        <w:t xml:space="preserve"> extraction solvent</w:t>
      </w:r>
    </w:p>
    <w:p w:rsidR="00785CA6" w:rsidRPr="00686D4E" w:rsidRDefault="00785CA6" w:rsidP="009C4E07">
      <w:pPr>
        <w:jc w:val="center"/>
        <w:outlineLvl w:val="0"/>
        <w:rPr>
          <w:rFonts w:ascii="Times New Roman" w:hAnsi="Times New Roman" w:cs="Times New Roman"/>
          <w:b/>
          <w:sz w:val="18"/>
          <w:szCs w:val="18"/>
        </w:rPr>
      </w:pPr>
    </w:p>
    <w:p w:rsidR="00785CA6" w:rsidRPr="00686D4E" w:rsidRDefault="00785CA6" w:rsidP="00785CA6">
      <w:pPr>
        <w:jc w:val="center"/>
        <w:outlineLvl w:val="0"/>
        <w:rPr>
          <w:rFonts w:ascii="Times New Roman" w:hAnsi="Times New Roman" w:cs="Times New Roman"/>
          <w:b/>
          <w:sz w:val="18"/>
          <w:szCs w:val="18"/>
          <w:lang w:val="ms-MY"/>
        </w:rPr>
      </w:pPr>
      <w:r w:rsidRPr="00686D4E">
        <w:rPr>
          <w:rFonts w:ascii="Times New Roman" w:hAnsi="Times New Roman" w:cs="Times New Roman"/>
          <w:b/>
          <w:sz w:val="18"/>
          <w:szCs w:val="18"/>
          <w:lang w:val="ms-MY"/>
        </w:rPr>
        <w:t>Abstrak</w:t>
      </w:r>
    </w:p>
    <w:p w:rsidR="00785CA6" w:rsidRPr="00686D4E" w:rsidRDefault="00A62E53" w:rsidP="00951245">
      <w:pPr>
        <w:widowControl/>
        <w:wordWrap/>
        <w:adjustRightInd w:val="0"/>
        <w:rPr>
          <w:rFonts w:ascii="Times New Roman" w:hAnsi="Times New Roman" w:cs="Times New Roman"/>
          <w:sz w:val="18"/>
          <w:szCs w:val="18"/>
          <w:lang w:val="ms-MY"/>
        </w:rPr>
      </w:pPr>
      <w:r w:rsidRPr="00686D4E">
        <w:rPr>
          <w:rFonts w:ascii="Times New Roman" w:hAnsi="Times New Roman" w:cs="Times New Roman"/>
          <w:sz w:val="18"/>
          <w:szCs w:val="18"/>
          <w:lang w:val="ms-MY"/>
        </w:rPr>
        <w:t>Pengekstrakan berbantukan mikrogelombang (MAE) gandingan dengan pengekstrakan mikro cecair-cecair serakan (DLLME</w:t>
      </w:r>
      <w:r w:rsidR="00951245" w:rsidRPr="00686D4E">
        <w:rPr>
          <w:rFonts w:ascii="Times New Roman" w:hAnsi="Times New Roman" w:cs="Times New Roman"/>
          <w:sz w:val="18"/>
          <w:szCs w:val="18"/>
          <w:lang w:val="ms-MY"/>
        </w:rPr>
        <w:t xml:space="preserve">) </w:t>
      </w:r>
      <w:r w:rsidRPr="00686D4E">
        <w:rPr>
          <w:rFonts w:ascii="Times New Roman" w:hAnsi="Times New Roman" w:cs="Times New Roman"/>
          <w:sz w:val="18"/>
          <w:szCs w:val="18"/>
          <w:lang w:val="ms-MY"/>
        </w:rPr>
        <w:t xml:space="preserve">yang diikuti dengan gas kromatografi-pengesan </w:t>
      </w:r>
      <w:r w:rsidR="001508B3" w:rsidRPr="00686D4E">
        <w:rPr>
          <w:rFonts w:ascii="Times New Roman" w:hAnsi="Times New Roman" w:cs="Times New Roman"/>
          <w:sz w:val="18"/>
          <w:szCs w:val="18"/>
          <w:lang w:val="ms-MY"/>
        </w:rPr>
        <w:t>nyalaan ion</w:t>
      </w:r>
      <w:r w:rsidRPr="00686D4E">
        <w:rPr>
          <w:rFonts w:ascii="Times New Roman" w:hAnsi="Times New Roman" w:cs="Times New Roman"/>
          <w:sz w:val="18"/>
          <w:szCs w:val="18"/>
          <w:lang w:val="ms-MY"/>
        </w:rPr>
        <w:t xml:space="preserve"> (GC-FID) bagi penentuka</w:t>
      </w:r>
      <w:r w:rsidR="00951245" w:rsidRPr="00686D4E">
        <w:rPr>
          <w:rFonts w:ascii="Times New Roman" w:hAnsi="Times New Roman" w:cs="Times New Roman"/>
          <w:sz w:val="18"/>
          <w:szCs w:val="18"/>
          <w:lang w:val="ms-MY"/>
        </w:rPr>
        <w:t xml:space="preserve">n 13 jenis hidrokarbon aromatik </w:t>
      </w:r>
      <w:r w:rsidRPr="00686D4E">
        <w:rPr>
          <w:rFonts w:ascii="Times New Roman" w:hAnsi="Times New Roman" w:cs="Times New Roman"/>
          <w:sz w:val="18"/>
          <w:szCs w:val="18"/>
          <w:lang w:val="ms-MY"/>
        </w:rPr>
        <w:t>polisiklik (PAHs) dalam sampel sayur-sayuran telah dibangunkan dalam kajian ini. Analisis prestasi optim</w:t>
      </w:r>
      <w:r w:rsidR="00951245" w:rsidRPr="00686D4E">
        <w:rPr>
          <w:rFonts w:ascii="Times New Roman" w:hAnsi="Times New Roman" w:cs="Times New Roman"/>
          <w:sz w:val="18"/>
          <w:szCs w:val="18"/>
          <w:lang w:val="ms-MY"/>
        </w:rPr>
        <w:t xml:space="preserve">um DLLME dan </w:t>
      </w:r>
      <w:r w:rsidRPr="00686D4E">
        <w:rPr>
          <w:rFonts w:ascii="Times New Roman" w:hAnsi="Times New Roman" w:cs="Times New Roman"/>
          <w:sz w:val="18"/>
          <w:szCs w:val="18"/>
          <w:lang w:val="ms-MY"/>
        </w:rPr>
        <w:t xml:space="preserve">MAE-DLLME </w:t>
      </w:r>
      <w:r w:rsidR="00951245" w:rsidRPr="00686D4E">
        <w:rPr>
          <w:rFonts w:ascii="Times New Roman" w:hAnsi="Times New Roman" w:cs="Times New Roman"/>
          <w:sz w:val="18"/>
          <w:szCs w:val="18"/>
          <w:lang w:val="ms-MY"/>
        </w:rPr>
        <w:t xml:space="preserve">seperti had pengesanan (LODs), kepersisan, kejituan, </w:t>
      </w:r>
      <w:r w:rsidR="00DF56D7" w:rsidRPr="00686D4E">
        <w:rPr>
          <w:rFonts w:ascii="Times New Roman" w:hAnsi="Times New Roman" w:cs="Times New Roman"/>
          <w:sz w:val="18"/>
          <w:szCs w:val="18"/>
          <w:lang w:val="ms-MY"/>
        </w:rPr>
        <w:t xml:space="preserve">perolehan semula </w:t>
      </w:r>
      <w:r w:rsidR="00951245" w:rsidRPr="00686D4E">
        <w:rPr>
          <w:rFonts w:ascii="Times New Roman" w:hAnsi="Times New Roman" w:cs="Times New Roman"/>
          <w:sz w:val="18"/>
          <w:szCs w:val="18"/>
          <w:lang w:val="ms-MY"/>
        </w:rPr>
        <w:t xml:space="preserve">pengekstrakan secara relatif dan faktor-faktor pengayaan secara relatif </w:t>
      </w:r>
      <w:r w:rsidRPr="00686D4E">
        <w:rPr>
          <w:rFonts w:ascii="Times New Roman" w:hAnsi="Times New Roman" w:cs="Times New Roman"/>
          <w:sz w:val="18"/>
          <w:szCs w:val="18"/>
          <w:lang w:val="ms-MY"/>
        </w:rPr>
        <w:t xml:space="preserve">telah </w:t>
      </w:r>
      <w:r w:rsidR="00DF56D7" w:rsidRPr="00686D4E">
        <w:rPr>
          <w:rFonts w:ascii="Times New Roman" w:hAnsi="Times New Roman" w:cs="Times New Roman"/>
          <w:sz w:val="18"/>
          <w:szCs w:val="18"/>
          <w:lang w:val="ms-MY"/>
        </w:rPr>
        <w:t xml:space="preserve">disahkan dan </w:t>
      </w:r>
      <w:r w:rsidRPr="00686D4E">
        <w:rPr>
          <w:rFonts w:ascii="Times New Roman" w:hAnsi="Times New Roman" w:cs="Times New Roman"/>
          <w:sz w:val="18"/>
          <w:szCs w:val="18"/>
          <w:lang w:val="ms-MY"/>
        </w:rPr>
        <w:t xml:space="preserve">dibandingkan. </w:t>
      </w:r>
      <w:r w:rsidR="00DF56D7" w:rsidRPr="00686D4E">
        <w:rPr>
          <w:rFonts w:ascii="Times New Roman" w:hAnsi="Times New Roman" w:cs="Times New Roman"/>
          <w:sz w:val="18"/>
          <w:szCs w:val="18"/>
          <w:lang w:val="ms-MY"/>
        </w:rPr>
        <w:t>Had pengesanan (</w:t>
      </w:r>
      <w:r w:rsidR="00951245" w:rsidRPr="00686D4E">
        <w:rPr>
          <w:rFonts w:ascii="Times New Roman" w:hAnsi="Times New Roman" w:cs="Times New Roman"/>
          <w:sz w:val="18"/>
          <w:szCs w:val="18"/>
          <w:lang w:val="ms-MY"/>
        </w:rPr>
        <w:t>LODs</w:t>
      </w:r>
      <w:r w:rsidR="00DF56D7" w:rsidRPr="00686D4E">
        <w:rPr>
          <w:rFonts w:ascii="Times New Roman" w:hAnsi="Times New Roman" w:cs="Times New Roman"/>
          <w:sz w:val="18"/>
          <w:szCs w:val="18"/>
          <w:lang w:val="ms-MY"/>
        </w:rPr>
        <w:t>)</w:t>
      </w:r>
      <w:r w:rsidRPr="00686D4E">
        <w:rPr>
          <w:rFonts w:ascii="Times New Roman" w:hAnsi="Times New Roman" w:cs="Times New Roman"/>
          <w:sz w:val="18"/>
          <w:szCs w:val="18"/>
          <w:lang w:val="ms-MY"/>
        </w:rPr>
        <w:t xml:space="preserve"> bagi D</w:t>
      </w:r>
      <w:r w:rsidR="00951245" w:rsidRPr="00686D4E">
        <w:rPr>
          <w:rFonts w:ascii="Times New Roman" w:hAnsi="Times New Roman" w:cs="Times New Roman"/>
          <w:sz w:val="18"/>
          <w:szCs w:val="18"/>
          <w:lang w:val="ms-MY"/>
        </w:rPr>
        <w:t xml:space="preserve">LLME dan MAE-DLLME adalah dalam </w:t>
      </w:r>
      <w:r w:rsidRPr="00686D4E">
        <w:rPr>
          <w:rFonts w:ascii="Times New Roman" w:hAnsi="Times New Roman" w:cs="Times New Roman"/>
          <w:sz w:val="18"/>
          <w:szCs w:val="18"/>
          <w:lang w:val="ms-MY"/>
        </w:rPr>
        <w:t>lingkungan 0.040-0.400 dan 0.0200-0.080 μg/L, masing-masing. Bagi DLLME, keper</w:t>
      </w:r>
      <w:r w:rsidR="00951245" w:rsidRPr="00686D4E">
        <w:rPr>
          <w:rFonts w:ascii="Times New Roman" w:hAnsi="Times New Roman" w:cs="Times New Roman"/>
          <w:sz w:val="18"/>
          <w:szCs w:val="18"/>
          <w:lang w:val="ms-MY"/>
        </w:rPr>
        <w:t xml:space="preserve">sisan dan kejituan adalah dalam </w:t>
      </w:r>
      <w:r w:rsidRPr="00686D4E">
        <w:rPr>
          <w:rFonts w:ascii="Times New Roman" w:hAnsi="Times New Roman" w:cs="Times New Roman"/>
          <w:sz w:val="18"/>
          <w:szCs w:val="18"/>
          <w:lang w:val="ms-MY"/>
        </w:rPr>
        <w:t>lingkungan 1.22-7.50% dan 71.77-90.93%, masing-masing; manakala bagi MAE-DLLME</w:t>
      </w:r>
      <w:r w:rsidR="00951245" w:rsidRPr="00686D4E">
        <w:rPr>
          <w:rFonts w:ascii="Times New Roman" w:hAnsi="Times New Roman" w:cs="Times New Roman"/>
          <w:sz w:val="18"/>
          <w:szCs w:val="18"/>
          <w:lang w:val="ms-MY"/>
        </w:rPr>
        <w:t>, adalah dalam lingkungan 0.77-</w:t>
      </w:r>
      <w:r w:rsidRPr="00686D4E">
        <w:rPr>
          <w:rFonts w:ascii="Times New Roman" w:hAnsi="Times New Roman" w:cs="Times New Roman"/>
          <w:sz w:val="18"/>
          <w:szCs w:val="18"/>
          <w:lang w:val="ms-MY"/>
        </w:rPr>
        <w:t xml:space="preserve">3.07% dan 83.65-98.42%, masing-masing. </w:t>
      </w:r>
      <w:r w:rsidR="00DF56D7" w:rsidRPr="00686D4E">
        <w:rPr>
          <w:rFonts w:ascii="Times New Roman" w:hAnsi="Times New Roman" w:cs="Times New Roman"/>
          <w:sz w:val="18"/>
          <w:szCs w:val="18"/>
          <w:lang w:val="ms-MY"/>
        </w:rPr>
        <w:t xml:space="preserve">Perolehan semula </w:t>
      </w:r>
      <w:r w:rsidRPr="00686D4E">
        <w:rPr>
          <w:rFonts w:ascii="Times New Roman" w:hAnsi="Times New Roman" w:cs="Times New Roman"/>
          <w:sz w:val="18"/>
          <w:szCs w:val="18"/>
          <w:lang w:val="ms-MY"/>
        </w:rPr>
        <w:t xml:space="preserve">pengekstrakan </w:t>
      </w:r>
      <w:r w:rsidR="00951245" w:rsidRPr="00686D4E">
        <w:rPr>
          <w:rFonts w:ascii="Times New Roman" w:hAnsi="Times New Roman" w:cs="Times New Roman"/>
          <w:sz w:val="18"/>
          <w:szCs w:val="18"/>
          <w:lang w:val="ms-MY"/>
        </w:rPr>
        <w:t xml:space="preserve">secara </w:t>
      </w:r>
      <w:r w:rsidRPr="00686D4E">
        <w:rPr>
          <w:rFonts w:ascii="Times New Roman" w:hAnsi="Times New Roman" w:cs="Times New Roman"/>
          <w:sz w:val="18"/>
          <w:szCs w:val="18"/>
          <w:lang w:val="ms-MY"/>
        </w:rPr>
        <w:t>relatif telah ditingka</w:t>
      </w:r>
      <w:r w:rsidR="00951245" w:rsidRPr="00686D4E">
        <w:rPr>
          <w:rFonts w:ascii="Times New Roman" w:hAnsi="Times New Roman" w:cs="Times New Roman"/>
          <w:sz w:val="18"/>
          <w:szCs w:val="18"/>
          <w:lang w:val="ms-MY"/>
        </w:rPr>
        <w:t xml:space="preserve">tkan daripada 70.81-85.41% pada </w:t>
      </w:r>
      <w:r w:rsidRPr="00686D4E">
        <w:rPr>
          <w:rFonts w:ascii="Times New Roman" w:hAnsi="Times New Roman" w:cs="Times New Roman"/>
          <w:sz w:val="18"/>
          <w:szCs w:val="18"/>
          <w:lang w:val="ms-MY"/>
        </w:rPr>
        <w:t xml:space="preserve">DLLME hingga 85.79 - 99.61% pada MAE-DLLME. Faktor-faktor pengayaan </w:t>
      </w:r>
      <w:r w:rsidR="00951245" w:rsidRPr="00686D4E">
        <w:rPr>
          <w:rFonts w:ascii="Times New Roman" w:hAnsi="Times New Roman" w:cs="Times New Roman"/>
          <w:sz w:val="18"/>
          <w:szCs w:val="18"/>
          <w:lang w:val="ms-MY"/>
        </w:rPr>
        <w:t xml:space="preserve">secara </w:t>
      </w:r>
      <w:r w:rsidRPr="00686D4E">
        <w:rPr>
          <w:rFonts w:ascii="Times New Roman" w:hAnsi="Times New Roman" w:cs="Times New Roman"/>
          <w:sz w:val="18"/>
          <w:szCs w:val="18"/>
          <w:lang w:val="ms-MY"/>
        </w:rPr>
        <w:t>relatif adalah 126-156 dan 165-202 bagi</w:t>
      </w:r>
      <w:r w:rsidR="00951245" w:rsidRPr="00686D4E">
        <w:rPr>
          <w:rFonts w:ascii="Times New Roman" w:hAnsi="Times New Roman" w:cs="Times New Roman"/>
          <w:sz w:val="18"/>
          <w:szCs w:val="18"/>
          <w:lang w:val="ms-MY"/>
        </w:rPr>
        <w:t xml:space="preserve"> </w:t>
      </w:r>
      <w:r w:rsidRPr="00686D4E">
        <w:rPr>
          <w:rFonts w:ascii="Times New Roman" w:hAnsi="Times New Roman" w:cs="Times New Roman"/>
          <w:sz w:val="18"/>
          <w:szCs w:val="18"/>
          <w:lang w:val="ms-MY"/>
        </w:rPr>
        <w:t>DLLME dan MAE-DLLME, masing-masing. Jumlah pengekstrakan pelarut yang digunaka</w:t>
      </w:r>
      <w:r w:rsidR="00951245" w:rsidRPr="00686D4E">
        <w:rPr>
          <w:rFonts w:ascii="Times New Roman" w:hAnsi="Times New Roman" w:cs="Times New Roman"/>
          <w:sz w:val="18"/>
          <w:szCs w:val="18"/>
          <w:lang w:val="ms-MY"/>
        </w:rPr>
        <w:t xml:space="preserve">n telah dikurangkan daripada 50 </w:t>
      </w:r>
      <w:r w:rsidRPr="00686D4E">
        <w:rPr>
          <w:rFonts w:ascii="Times New Roman" w:hAnsi="Times New Roman" w:cs="Times New Roman"/>
          <w:sz w:val="18"/>
          <w:szCs w:val="18"/>
          <w:lang w:val="ms-MY"/>
        </w:rPr>
        <w:t>μ</w:t>
      </w:r>
      <w:r w:rsidR="00686D4E">
        <w:rPr>
          <w:rFonts w:ascii="Times New Roman" w:hAnsi="Times New Roman" w:cs="Times New Roman"/>
          <w:sz w:val="18"/>
          <w:szCs w:val="18"/>
          <w:lang w:val="ms-MY"/>
        </w:rPr>
        <w:t>L</w:t>
      </w:r>
      <w:r w:rsidRPr="00686D4E">
        <w:rPr>
          <w:rFonts w:ascii="Times New Roman" w:hAnsi="Times New Roman" w:cs="Times New Roman"/>
          <w:sz w:val="18"/>
          <w:szCs w:val="18"/>
          <w:lang w:val="ms-MY"/>
        </w:rPr>
        <w:t xml:space="preserve"> di DLLME kepada 30 μ</w:t>
      </w:r>
      <w:r w:rsidR="00686D4E">
        <w:rPr>
          <w:rFonts w:ascii="Times New Roman" w:hAnsi="Times New Roman" w:cs="Times New Roman"/>
          <w:sz w:val="18"/>
          <w:szCs w:val="18"/>
          <w:lang w:val="ms-MY"/>
        </w:rPr>
        <w:t>L</w:t>
      </w:r>
      <w:r w:rsidRPr="00686D4E">
        <w:rPr>
          <w:rFonts w:ascii="Times New Roman" w:hAnsi="Times New Roman" w:cs="Times New Roman"/>
          <w:sz w:val="18"/>
          <w:szCs w:val="18"/>
          <w:lang w:val="ms-MY"/>
        </w:rPr>
        <w:t xml:space="preserve"> di MAE-DLLME. Prestasi keseluruhan analisis MAE-DLLME adalah lebih baik </w:t>
      </w:r>
      <w:r w:rsidR="00951245" w:rsidRPr="00686D4E">
        <w:rPr>
          <w:rFonts w:ascii="Times New Roman" w:hAnsi="Times New Roman" w:cs="Times New Roman"/>
          <w:sz w:val="18"/>
          <w:szCs w:val="18"/>
          <w:lang w:val="ms-MY"/>
        </w:rPr>
        <w:t xml:space="preserve">daripada </w:t>
      </w:r>
      <w:r w:rsidRPr="00686D4E">
        <w:rPr>
          <w:rFonts w:ascii="Times New Roman" w:hAnsi="Times New Roman" w:cs="Times New Roman"/>
          <w:sz w:val="18"/>
          <w:szCs w:val="18"/>
          <w:lang w:val="ms-MY"/>
        </w:rPr>
        <w:t>DLLME. Penggunaan MAE-DLLME dalam analisis sampel sebenar juga disiasat dan dibincangkan.</w:t>
      </w:r>
    </w:p>
    <w:p w:rsidR="00951245" w:rsidRPr="00686D4E" w:rsidRDefault="00951245" w:rsidP="00951245">
      <w:pPr>
        <w:widowControl/>
        <w:wordWrap/>
        <w:adjustRightInd w:val="0"/>
        <w:rPr>
          <w:rFonts w:ascii="Times New Roman" w:hAnsi="Times New Roman" w:cs="Times New Roman"/>
          <w:sz w:val="18"/>
          <w:szCs w:val="18"/>
          <w:lang w:val="ms-MY"/>
        </w:rPr>
      </w:pPr>
    </w:p>
    <w:p w:rsidR="00785CA6" w:rsidRPr="00686D4E" w:rsidRDefault="00785CA6" w:rsidP="00686D4E">
      <w:pPr>
        <w:ind w:left="993" w:hanging="993"/>
        <w:outlineLvl w:val="0"/>
        <w:rPr>
          <w:rFonts w:ascii="Times New Roman" w:hAnsi="Times New Roman" w:cs="Times New Roman"/>
          <w:sz w:val="18"/>
          <w:szCs w:val="18"/>
          <w:lang w:val="ms-MY"/>
        </w:rPr>
      </w:pPr>
      <w:r w:rsidRPr="00686D4E">
        <w:rPr>
          <w:rFonts w:ascii="Times New Roman" w:hAnsi="Times New Roman" w:cs="Times New Roman"/>
          <w:b/>
          <w:sz w:val="18"/>
          <w:szCs w:val="18"/>
          <w:lang w:val="ms-MY"/>
        </w:rPr>
        <w:t xml:space="preserve">Kata kunci: </w:t>
      </w:r>
      <w:r w:rsidR="00686D4E" w:rsidRPr="00686D4E">
        <w:rPr>
          <w:rFonts w:ascii="Times New Roman" w:hAnsi="Times New Roman" w:cs="Times New Roman"/>
          <w:sz w:val="18"/>
          <w:szCs w:val="18"/>
          <w:lang w:val="ms-MY"/>
        </w:rPr>
        <w:t>pengekstrakan mikro cecair-cecair serakan</w:t>
      </w:r>
      <w:r w:rsidR="00686D4E">
        <w:rPr>
          <w:rFonts w:ascii="Times New Roman" w:hAnsi="Times New Roman" w:cs="Times New Roman"/>
          <w:sz w:val="18"/>
          <w:szCs w:val="18"/>
          <w:lang w:val="ms-MY"/>
        </w:rPr>
        <w:t>,</w:t>
      </w:r>
      <w:r w:rsidR="00686D4E" w:rsidRPr="00686D4E">
        <w:rPr>
          <w:rFonts w:ascii="Times New Roman" w:hAnsi="Times New Roman" w:cs="Times New Roman"/>
          <w:sz w:val="18"/>
          <w:szCs w:val="18"/>
          <w:lang w:val="ms-MY"/>
        </w:rPr>
        <w:t xml:space="preserve"> pengekstrakan berbantukan mikrogelombang</w:t>
      </w:r>
      <w:r w:rsidR="00686D4E">
        <w:rPr>
          <w:rFonts w:ascii="Times New Roman" w:hAnsi="Times New Roman" w:cs="Times New Roman"/>
          <w:sz w:val="18"/>
          <w:szCs w:val="18"/>
          <w:lang w:val="ms-MY"/>
        </w:rPr>
        <w:t>,</w:t>
      </w:r>
      <w:r w:rsidR="00686D4E" w:rsidRPr="00686D4E">
        <w:rPr>
          <w:rFonts w:ascii="Times New Roman" w:hAnsi="Times New Roman" w:cs="Times New Roman"/>
          <w:sz w:val="18"/>
          <w:szCs w:val="18"/>
          <w:lang w:val="ms-MY"/>
        </w:rPr>
        <w:t xml:space="preserve"> hidrokarbon aromatik polisiklik</w:t>
      </w:r>
      <w:r w:rsidR="00686D4E">
        <w:rPr>
          <w:rFonts w:ascii="Times New Roman" w:hAnsi="Times New Roman" w:cs="Times New Roman"/>
          <w:sz w:val="18"/>
          <w:szCs w:val="18"/>
          <w:lang w:val="ms-MY"/>
        </w:rPr>
        <w:t>,</w:t>
      </w:r>
      <w:r w:rsidR="00686D4E" w:rsidRPr="00686D4E">
        <w:rPr>
          <w:rFonts w:ascii="Times New Roman" w:hAnsi="Times New Roman" w:cs="Times New Roman"/>
          <w:sz w:val="18"/>
          <w:szCs w:val="18"/>
          <w:lang w:val="ms-MY"/>
        </w:rPr>
        <w:t xml:space="preserve"> pelarut pengekstrakan.</w:t>
      </w:r>
    </w:p>
    <w:p w:rsidR="00785CA6" w:rsidRPr="00686D4E" w:rsidRDefault="00785CA6" w:rsidP="00951245">
      <w:pPr>
        <w:outlineLvl w:val="0"/>
        <w:rPr>
          <w:rFonts w:ascii="Times New Roman" w:hAnsi="Times New Roman" w:cs="Times New Roman"/>
          <w:b/>
          <w:szCs w:val="20"/>
        </w:rPr>
      </w:pPr>
    </w:p>
    <w:p w:rsidR="00785CA6" w:rsidRPr="00686D4E" w:rsidRDefault="00785CA6" w:rsidP="00DF56D7">
      <w:pPr>
        <w:jc w:val="center"/>
        <w:outlineLvl w:val="0"/>
        <w:rPr>
          <w:rFonts w:ascii="Times New Roman" w:hAnsi="Times New Roman" w:cs="Times New Roman"/>
          <w:b/>
        </w:rPr>
      </w:pPr>
      <w:r w:rsidRPr="00686D4E">
        <w:rPr>
          <w:rFonts w:ascii="Times New Roman" w:hAnsi="Times New Roman" w:cs="Times New Roman"/>
          <w:b/>
        </w:rPr>
        <w:t>Introduction</w:t>
      </w:r>
    </w:p>
    <w:p w:rsidR="00951245" w:rsidRPr="00686D4E" w:rsidRDefault="00951245" w:rsidP="00951245">
      <w:pPr>
        <w:rPr>
          <w:rFonts w:ascii="Times New Roman" w:hAnsi="Times New Roman" w:cs="Times New Roman"/>
          <w:szCs w:val="20"/>
        </w:rPr>
      </w:pPr>
      <w:r w:rsidRPr="00686D4E">
        <w:rPr>
          <w:rFonts w:ascii="Times New Roman" w:hAnsi="Times New Roman" w:cs="Times New Roman"/>
          <w:szCs w:val="20"/>
        </w:rPr>
        <w:t xml:space="preserve">Vegetables and fruits are essential elements of a healthy daily diet. They provide a large amount of vitamins, fibres and minerals. However, the occurrence of polycyclic aromatic hydrocarbons (PAHs) exposure on vegetables has been reported [1-3]. The contamination of PAHs on vegetables are primarily from human activities. Previous studies reported that the vegetables that grew in vicinity of contaminated sources were contaminated with high levels of PAHs sufficient to threaten human health [1, 2]. PAHs are a group of hydrocarbons with fused aromatic </w:t>
      </w:r>
      <w:r w:rsidRPr="00686D4E">
        <w:rPr>
          <w:rFonts w:ascii="Times New Roman" w:hAnsi="Times New Roman" w:cs="Times New Roman"/>
          <w:szCs w:val="20"/>
        </w:rPr>
        <w:lastRenderedPageBreak/>
        <w:t>rings that form during the incomplete combustion of organic compounds. Numerous studies have confirmed their carcinogenicity. Therefore, PAHs have been declared as carcinogens and genotoxins by Scientific Committee on Food (SCF) [4] and the Joint FAO/WHO Expert Committee on Food Additives (JECFA) [5]. Since vegetables are an important part of human daily diets, it is necessary to ensure that vegetables are not exposed to high levels of PAHs.</w:t>
      </w:r>
    </w:p>
    <w:p w:rsidR="00951245" w:rsidRPr="00686D4E" w:rsidRDefault="00951245" w:rsidP="00951245">
      <w:pPr>
        <w:rPr>
          <w:rFonts w:ascii="Times New Roman" w:hAnsi="Times New Roman" w:cs="Times New Roman"/>
          <w:szCs w:val="20"/>
        </w:rPr>
      </w:pPr>
    </w:p>
    <w:p w:rsidR="00686D4E" w:rsidRDefault="00951245" w:rsidP="00125F8F">
      <w:pPr>
        <w:rPr>
          <w:rFonts w:ascii="Times New Roman" w:hAnsi="Times New Roman" w:cs="Times New Roman"/>
          <w:szCs w:val="20"/>
        </w:rPr>
      </w:pPr>
      <w:r w:rsidRPr="00686D4E">
        <w:rPr>
          <w:rFonts w:ascii="Times New Roman" w:hAnsi="Times New Roman" w:cs="Times New Roman"/>
          <w:szCs w:val="20"/>
        </w:rPr>
        <w:t>Most analytical instruments are unable to handle analytes directly in food sample with complex matrices and usually trace levels of PAHs are found in food samples [6]. Therefore, before chromatographic analysis, well- designed sample preparation is necessary for the extraction and preconcentration of analytes from the food sample. There are several sample preparation methods available for extraction of PAHs from vegetable samples. Dispersive liquid-liquid microextraction (DLLME) is one of the successful sample preparation techniques developed by Rezaee et al. [7]. The DLLME technique showed several advantages such as miniaturized solvent consumption, simplicity, rapidity and high extraction efficiency [8]. However, DLLME has several drawbacks. Chlorinated solvents which are highly toxic usually chosen as extraction solvents due to their high efficiency [9]. Previous studies have employed DLLME for extraction of PAHs from vegetables and the presence of matrix interference was reported [9]. Even though dilution was used to reduce the effect of matrix interference, matrix components were still present and mixed with extraction solvent. This caused difficulty in transferring the clean extraction phase for chromatographic analysis and a high volume of extraction solvent was required to reduce this problem. In order to overcome the matrix interference of DLLME, it is imperative to introduce a clean-up step before chromatographic analysis of PAHs.</w:t>
      </w:r>
    </w:p>
    <w:p w:rsidR="00686D4E" w:rsidRDefault="00686D4E" w:rsidP="00125F8F">
      <w:pPr>
        <w:rPr>
          <w:rFonts w:ascii="Times New Roman" w:hAnsi="Times New Roman" w:cs="Times New Roman"/>
          <w:szCs w:val="20"/>
        </w:rPr>
      </w:pPr>
    </w:p>
    <w:p w:rsidR="00B951D8" w:rsidRPr="00686D4E" w:rsidRDefault="00951245" w:rsidP="00125F8F">
      <w:pPr>
        <w:rPr>
          <w:rFonts w:ascii="Times New Roman" w:hAnsi="Times New Roman" w:cs="Times New Roman"/>
          <w:szCs w:val="20"/>
        </w:rPr>
      </w:pPr>
      <w:r w:rsidRPr="00686D4E">
        <w:rPr>
          <w:rFonts w:ascii="Times New Roman" w:hAnsi="Times New Roman" w:cs="Times New Roman"/>
          <w:szCs w:val="20"/>
        </w:rPr>
        <w:t>Recently, microwave-assisted extraction (MAE) has been developed for food samples preparation. MAE helps to isolate the organic analytes from food matrices. MAE gained noticeable attraction due to its extraction time minimization, low volumes of organic solvents consumption and increased extraction recovery [10]. MAE has been successfully used in previous studies to clean up food samples [11-13]. In</w:t>
      </w:r>
      <w:r w:rsidR="00F34A5C" w:rsidRPr="00686D4E">
        <w:rPr>
          <w:rFonts w:ascii="Times New Roman" w:hAnsi="Times New Roman" w:cs="Times New Roman"/>
          <w:szCs w:val="20"/>
        </w:rPr>
        <w:t xml:space="preserve"> the previous study [14],</w:t>
      </w:r>
      <w:r w:rsidRPr="00686D4E">
        <w:rPr>
          <w:rFonts w:ascii="Times New Roman" w:hAnsi="Times New Roman" w:cs="Times New Roman"/>
          <w:szCs w:val="20"/>
        </w:rPr>
        <w:t xml:space="preserve"> two extraction methods, which are DLLME and MAE coupled with DLLME (MAE-DLLME), have been used for the determination of 13 PAHs in vegetables followed by gas-chromatography-flame ionization detector (GC-FID). Various parameters</w:t>
      </w:r>
      <w:r w:rsidR="00DF56D7" w:rsidRPr="00686D4E">
        <w:rPr>
          <w:rFonts w:ascii="Times New Roman" w:hAnsi="Times New Roman" w:cs="Times New Roman"/>
          <w:szCs w:val="20"/>
        </w:rPr>
        <w:t xml:space="preserve"> such as extraction solvent, dispersion solvent, extraction time, microwave power and the irradiation time</w:t>
      </w:r>
      <w:r w:rsidRPr="00686D4E">
        <w:rPr>
          <w:rFonts w:ascii="Times New Roman" w:hAnsi="Times New Roman" w:cs="Times New Roman"/>
          <w:szCs w:val="20"/>
        </w:rPr>
        <w:t xml:space="preserve"> of MAE-DLLME have been studied and optimized. To overcome the limitations of using toxic chlorinated solvents as extraction solvents in conventional DLLME, th</w:t>
      </w:r>
      <w:r w:rsidR="00F34A5C" w:rsidRPr="00686D4E">
        <w:rPr>
          <w:rFonts w:ascii="Times New Roman" w:hAnsi="Times New Roman" w:cs="Times New Roman"/>
          <w:szCs w:val="20"/>
        </w:rPr>
        <w:t>e</w:t>
      </w:r>
      <w:r w:rsidRPr="00686D4E">
        <w:rPr>
          <w:rFonts w:ascii="Times New Roman" w:hAnsi="Times New Roman" w:cs="Times New Roman"/>
          <w:szCs w:val="20"/>
        </w:rPr>
        <w:t xml:space="preserve"> study selected low toxic brominated and alcohol solvents for extraction. </w:t>
      </w:r>
      <w:r w:rsidR="003D6227" w:rsidRPr="00686D4E">
        <w:rPr>
          <w:rFonts w:ascii="Times New Roman" w:hAnsi="Times New Roman" w:cs="Times New Roman"/>
          <w:szCs w:val="20"/>
        </w:rPr>
        <w:t>The main objective of this</w:t>
      </w:r>
      <w:r w:rsidR="00F34A5C" w:rsidRPr="00686D4E">
        <w:rPr>
          <w:rFonts w:ascii="Times New Roman" w:hAnsi="Times New Roman" w:cs="Times New Roman"/>
          <w:szCs w:val="20"/>
        </w:rPr>
        <w:t xml:space="preserve"> study</w:t>
      </w:r>
      <w:r w:rsidR="003D6227" w:rsidRPr="00686D4E">
        <w:rPr>
          <w:rFonts w:ascii="Times New Roman" w:hAnsi="Times New Roman" w:cs="Times New Roman"/>
          <w:szCs w:val="20"/>
        </w:rPr>
        <w:t xml:space="preserve"> was to validate and compare analytical performance</w:t>
      </w:r>
      <w:r w:rsidR="00F34A5C" w:rsidRPr="00686D4E">
        <w:rPr>
          <w:rFonts w:ascii="Times New Roman" w:hAnsi="Times New Roman" w:cs="Times New Roman"/>
          <w:szCs w:val="20"/>
        </w:rPr>
        <w:t>s</w:t>
      </w:r>
      <w:r w:rsidR="003D6227" w:rsidRPr="00686D4E">
        <w:rPr>
          <w:rFonts w:ascii="Times New Roman" w:hAnsi="Times New Roman" w:cs="Times New Roman"/>
          <w:szCs w:val="20"/>
        </w:rPr>
        <w:t xml:space="preserve"> of </w:t>
      </w:r>
      <w:r w:rsidRPr="00686D4E">
        <w:rPr>
          <w:rFonts w:ascii="Times New Roman" w:hAnsi="Times New Roman" w:cs="Times New Roman"/>
          <w:szCs w:val="20"/>
        </w:rPr>
        <w:t>DLLME and MAE-DLLME. The efficiency of both methods for extraction of 13 PAHs in different vegetable samples was also investigated.</w:t>
      </w:r>
    </w:p>
    <w:p w:rsidR="00B951D8" w:rsidRPr="00686D4E" w:rsidRDefault="00B951D8" w:rsidP="00B951D8">
      <w:pPr>
        <w:outlineLvl w:val="0"/>
        <w:rPr>
          <w:rFonts w:ascii="Times New Roman" w:hAnsi="Times New Roman" w:cs="Times New Roman"/>
          <w:szCs w:val="20"/>
        </w:rPr>
      </w:pPr>
    </w:p>
    <w:p w:rsidR="00785CA6" w:rsidRPr="00686D4E" w:rsidRDefault="00DE73D6" w:rsidP="00785CA6">
      <w:pPr>
        <w:jc w:val="center"/>
        <w:outlineLvl w:val="0"/>
        <w:rPr>
          <w:rFonts w:ascii="Times New Roman" w:hAnsi="Times New Roman" w:cs="Times New Roman"/>
          <w:b/>
          <w:szCs w:val="20"/>
        </w:rPr>
      </w:pPr>
      <w:r w:rsidRPr="00686D4E">
        <w:rPr>
          <w:rFonts w:ascii="Times New Roman" w:hAnsi="Times New Roman" w:cs="Times New Roman"/>
          <w:b/>
          <w:szCs w:val="20"/>
        </w:rPr>
        <w:t>Materials and Methods</w:t>
      </w:r>
    </w:p>
    <w:p w:rsidR="003D6227" w:rsidRPr="00686D4E" w:rsidRDefault="003D6227" w:rsidP="003D6227">
      <w:pPr>
        <w:jc w:val="left"/>
        <w:outlineLvl w:val="0"/>
        <w:rPr>
          <w:rFonts w:ascii="Times New Roman" w:hAnsi="Times New Roman" w:cs="Times New Roman"/>
          <w:b/>
          <w:szCs w:val="20"/>
        </w:rPr>
      </w:pPr>
      <w:r w:rsidRPr="00686D4E">
        <w:rPr>
          <w:rFonts w:ascii="Times New Roman" w:hAnsi="Times New Roman" w:cs="Times New Roman"/>
          <w:b/>
          <w:szCs w:val="20"/>
        </w:rPr>
        <w:t xml:space="preserve">Reagents and </w:t>
      </w:r>
      <w:r w:rsidR="00686D4E">
        <w:rPr>
          <w:rFonts w:ascii="Times New Roman" w:hAnsi="Times New Roman" w:cs="Times New Roman"/>
          <w:b/>
          <w:szCs w:val="20"/>
        </w:rPr>
        <w:t>m</w:t>
      </w:r>
      <w:r w:rsidRPr="00686D4E">
        <w:rPr>
          <w:rFonts w:ascii="Times New Roman" w:hAnsi="Times New Roman" w:cs="Times New Roman"/>
          <w:b/>
          <w:szCs w:val="20"/>
        </w:rPr>
        <w:t>aterials</w:t>
      </w:r>
    </w:p>
    <w:p w:rsidR="00686D4E" w:rsidRDefault="003D6227" w:rsidP="00686D4E">
      <w:pPr>
        <w:wordWrap/>
        <w:spacing w:before="3"/>
        <w:rPr>
          <w:rFonts w:ascii="Times New Roman" w:hAnsi="Times New Roman" w:cs="Times New Roman"/>
          <w:szCs w:val="20"/>
        </w:rPr>
      </w:pPr>
      <w:r w:rsidRPr="00686D4E">
        <w:rPr>
          <w:rFonts w:ascii="Times New Roman" w:hAnsi="Times New Roman" w:cs="Times New Roman"/>
          <w:szCs w:val="20"/>
        </w:rPr>
        <w:t>Standard formulations of 13 PAHs (EPA 525 PAH Mix B, 500 µg/ml in acetone), containing acenaphthylene (ACY), phenanthrene (PHE), fluorine (FLU), anthracene (ANT), benzo[a]anthracene (BaA), pyrene (PYR), benzo[a]pyrene (BaP), chrysene (CHR), benzo[b]fluoranthene (BbF), benzo[k]fluoranthene (BkF), benzo[ghi]perylene (BghiP), dibenz[a,h]anthracene (DahA), indeno[1,2,3-cd]pyrene (IcP) and biphenyl solution (2000 µg/ml in methanol) were purchased from Sigma-</w:t>
      </w:r>
      <w:r w:rsidR="00686D4E" w:rsidRPr="00686D4E">
        <w:rPr>
          <w:rFonts w:ascii="Times New Roman" w:hAnsi="Times New Roman" w:cs="Times New Roman"/>
          <w:szCs w:val="20"/>
        </w:rPr>
        <w:t>Aldrich</w:t>
      </w:r>
      <w:r w:rsidRPr="00686D4E">
        <w:rPr>
          <w:rFonts w:ascii="Times New Roman" w:hAnsi="Times New Roman" w:cs="Times New Roman"/>
          <w:szCs w:val="20"/>
        </w:rPr>
        <w:t xml:space="preserve"> (USA). Acetone, hexane and acetonitrile were purchased from Fisher Scientific (Loughborough, UK). Highest purity bromobenzene, 1-bromo-3-methylbutane, 1-bromobutane, 2-ethyl-1-hexanol, 2-heptanol, 2-bromo-2-methylbutane and 2-octanol were purchased from Merck (Darmstadt, Germany). All the reagents used were HPLC grade or analytical reagent grade.</w:t>
      </w:r>
    </w:p>
    <w:p w:rsidR="00686D4E" w:rsidRDefault="00686D4E" w:rsidP="00686D4E">
      <w:pPr>
        <w:wordWrap/>
        <w:spacing w:before="3"/>
        <w:rPr>
          <w:rFonts w:ascii="Times New Roman" w:hAnsi="Times New Roman" w:cs="Times New Roman"/>
          <w:szCs w:val="20"/>
        </w:rPr>
      </w:pPr>
    </w:p>
    <w:p w:rsidR="003D6227" w:rsidRPr="00686D4E" w:rsidRDefault="003D6227" w:rsidP="00686D4E">
      <w:pPr>
        <w:wordWrap/>
        <w:spacing w:before="3"/>
        <w:rPr>
          <w:rFonts w:ascii="Times New Roman" w:hAnsi="Times New Roman" w:cs="Times New Roman"/>
          <w:szCs w:val="20"/>
        </w:rPr>
      </w:pPr>
      <w:r w:rsidRPr="00686D4E">
        <w:rPr>
          <w:rFonts w:ascii="Times New Roman" w:hAnsi="Times New Roman" w:cs="Times New Roman"/>
          <w:szCs w:val="20"/>
        </w:rPr>
        <w:t>Mixed working solutions (10 mg/L) of 13 PAHs and biphenyl as internal standard were prepared in acetone and methanol, respectively. Stock solutions were stored at 4°C in a refrigerator prior to use. Diluted solution was prepared daily for further studies.</w:t>
      </w:r>
    </w:p>
    <w:p w:rsidR="003D6227" w:rsidRPr="00686D4E" w:rsidRDefault="003D6227" w:rsidP="003D6227">
      <w:pPr>
        <w:wordWrap/>
        <w:spacing w:before="3" w:line="242" w:lineRule="auto"/>
        <w:rPr>
          <w:rFonts w:ascii="Times New Roman" w:hAnsi="Times New Roman" w:cs="Times New Roman"/>
          <w:szCs w:val="20"/>
        </w:rPr>
      </w:pPr>
    </w:p>
    <w:p w:rsidR="003D6227" w:rsidRPr="00686D4E" w:rsidRDefault="003D6227" w:rsidP="003D6227">
      <w:pPr>
        <w:jc w:val="left"/>
        <w:outlineLvl w:val="0"/>
        <w:rPr>
          <w:rFonts w:ascii="Times New Roman" w:hAnsi="Times New Roman" w:cs="Times New Roman"/>
          <w:b/>
          <w:szCs w:val="20"/>
        </w:rPr>
      </w:pPr>
      <w:r w:rsidRPr="00686D4E">
        <w:rPr>
          <w:rFonts w:ascii="Times New Roman" w:hAnsi="Times New Roman" w:cs="Times New Roman"/>
          <w:b/>
          <w:szCs w:val="20"/>
        </w:rPr>
        <w:t>Instrumentations</w:t>
      </w:r>
    </w:p>
    <w:p w:rsidR="003D6227" w:rsidRPr="00686D4E" w:rsidRDefault="003D6227"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The mixture of PAHs was separated and identified using a gas chromatograph (GC, Agilent 7890A) with a split/splitless injector system, Agilent 7683B automatic liquid sampler and a flame ionization detector (FID). The SLB-5ms capillary column (30 m×0.25 mm ID, 0.25 µm film thickness) was used for PAHs separation. The carrier gas was high purity helium gas (99.9995%, Air products, UK), with a flow rate of 1.67 m</w:t>
      </w:r>
      <w:r w:rsidR="00686D4E">
        <w:rPr>
          <w:rFonts w:ascii="Times New Roman" w:hAnsi="Times New Roman" w:cs="Times New Roman"/>
          <w:szCs w:val="20"/>
        </w:rPr>
        <w:t>L</w:t>
      </w:r>
      <w:r w:rsidRPr="00686D4E">
        <w:rPr>
          <w:rFonts w:ascii="Times New Roman" w:hAnsi="Times New Roman" w:cs="Times New Roman"/>
          <w:szCs w:val="20"/>
        </w:rPr>
        <w:t>/min. It was passed through an Agilent Big Universal Trap-Helium purge (model RMSN-2) to remove water, oxygen and hydrocarbons. The injection port was kept at 290 °C and splitless mode was used. The PAHs separation was conducted with the following programmed temperatures: initial 70 °C held for 1 min</w:t>
      </w:r>
      <w:r w:rsidR="00686D4E">
        <w:rPr>
          <w:rFonts w:ascii="Times New Roman" w:hAnsi="Times New Roman" w:cs="Times New Roman"/>
          <w:szCs w:val="20"/>
        </w:rPr>
        <w:t>ute</w:t>
      </w:r>
      <w:r w:rsidRPr="00686D4E">
        <w:rPr>
          <w:rFonts w:ascii="Times New Roman" w:hAnsi="Times New Roman" w:cs="Times New Roman"/>
          <w:szCs w:val="20"/>
        </w:rPr>
        <w:t xml:space="preserve">, 20 °C/min to 120 °C </w:t>
      </w:r>
      <w:r w:rsidRPr="00686D4E">
        <w:rPr>
          <w:rFonts w:ascii="Times New Roman" w:hAnsi="Times New Roman" w:cs="Times New Roman"/>
          <w:szCs w:val="20"/>
        </w:rPr>
        <w:lastRenderedPageBreak/>
        <w:t>held for 1 min</w:t>
      </w:r>
      <w:r w:rsidR="00686D4E">
        <w:rPr>
          <w:rFonts w:ascii="Times New Roman" w:hAnsi="Times New Roman" w:cs="Times New Roman"/>
          <w:szCs w:val="20"/>
        </w:rPr>
        <w:t>ute</w:t>
      </w:r>
      <w:r w:rsidRPr="00686D4E">
        <w:rPr>
          <w:rFonts w:ascii="Times New Roman" w:hAnsi="Times New Roman" w:cs="Times New Roman"/>
          <w:szCs w:val="20"/>
        </w:rPr>
        <w:t>; 120 to 258 at 10 °C/min held for 1 min</w:t>
      </w:r>
      <w:r w:rsidR="00497270">
        <w:rPr>
          <w:rFonts w:ascii="Times New Roman" w:hAnsi="Times New Roman" w:cs="Times New Roman"/>
          <w:szCs w:val="20"/>
        </w:rPr>
        <w:t>ute</w:t>
      </w:r>
      <w:r w:rsidRPr="00686D4E">
        <w:rPr>
          <w:rFonts w:ascii="Times New Roman" w:hAnsi="Times New Roman" w:cs="Times New Roman"/>
          <w:szCs w:val="20"/>
        </w:rPr>
        <w:t>; 258 °C to 262 °C at 1 °C/min held for 2 min</w:t>
      </w:r>
      <w:r w:rsidR="00497270">
        <w:rPr>
          <w:rFonts w:ascii="Times New Roman" w:hAnsi="Times New Roman" w:cs="Times New Roman"/>
          <w:szCs w:val="20"/>
        </w:rPr>
        <w:t>utes</w:t>
      </w:r>
      <w:r w:rsidRPr="00686D4E">
        <w:rPr>
          <w:rFonts w:ascii="Times New Roman" w:hAnsi="Times New Roman" w:cs="Times New Roman"/>
          <w:szCs w:val="20"/>
        </w:rPr>
        <w:t>; and 262 °C to 280 °C at 5 °C/min and held for 5.1 min</w:t>
      </w:r>
      <w:r w:rsidR="00497270">
        <w:rPr>
          <w:rFonts w:ascii="Times New Roman" w:hAnsi="Times New Roman" w:cs="Times New Roman"/>
          <w:szCs w:val="20"/>
        </w:rPr>
        <w:t>utes</w:t>
      </w:r>
      <w:r w:rsidRPr="00686D4E">
        <w:rPr>
          <w:rFonts w:ascii="Times New Roman" w:hAnsi="Times New Roman" w:cs="Times New Roman"/>
          <w:szCs w:val="20"/>
        </w:rPr>
        <w:t>. The total time for one GC run was 36 min</w:t>
      </w:r>
      <w:r w:rsidR="00497270">
        <w:rPr>
          <w:rFonts w:ascii="Times New Roman" w:hAnsi="Times New Roman" w:cs="Times New Roman"/>
          <w:szCs w:val="20"/>
        </w:rPr>
        <w:t>utes</w:t>
      </w:r>
      <w:r w:rsidRPr="00686D4E">
        <w:rPr>
          <w:rFonts w:ascii="Times New Roman" w:hAnsi="Times New Roman" w:cs="Times New Roman"/>
          <w:szCs w:val="20"/>
        </w:rPr>
        <w:t>. The FID temperature was maintained at 300 °C, hydrogen gas (Air products, UK) and nitrogen gas (makeup flow) (Air products, UK) were regulated at a flow of 35 m</w:t>
      </w:r>
      <w:r w:rsidR="00497270">
        <w:rPr>
          <w:rFonts w:ascii="Times New Roman" w:hAnsi="Times New Roman" w:cs="Times New Roman"/>
          <w:szCs w:val="20"/>
        </w:rPr>
        <w:t>L</w:t>
      </w:r>
      <w:r w:rsidRPr="00686D4E">
        <w:rPr>
          <w:rFonts w:ascii="Times New Roman" w:hAnsi="Times New Roman" w:cs="Times New Roman"/>
          <w:szCs w:val="20"/>
        </w:rPr>
        <w:t>/min. The air flow (Air products, UK) for FID was at 350 m</w:t>
      </w:r>
      <w:r w:rsidR="00497270">
        <w:rPr>
          <w:rFonts w:ascii="Times New Roman" w:hAnsi="Times New Roman" w:cs="Times New Roman"/>
          <w:szCs w:val="20"/>
        </w:rPr>
        <w:t>L</w:t>
      </w:r>
      <w:r w:rsidRPr="00686D4E">
        <w:rPr>
          <w:rFonts w:ascii="Times New Roman" w:hAnsi="Times New Roman" w:cs="Times New Roman"/>
          <w:szCs w:val="20"/>
        </w:rPr>
        <w:t>/min. Agilent Chemstation (B.04.02 version) was used as an instrumental controller and for data analysis.</w:t>
      </w:r>
    </w:p>
    <w:p w:rsidR="003D6227" w:rsidRPr="00686D4E" w:rsidRDefault="003D6227" w:rsidP="003D6227">
      <w:pPr>
        <w:wordWrap/>
        <w:spacing w:before="3" w:line="242" w:lineRule="auto"/>
        <w:rPr>
          <w:rFonts w:ascii="Times New Roman" w:hAnsi="Times New Roman" w:cs="Times New Roman"/>
          <w:szCs w:val="20"/>
        </w:rPr>
      </w:pPr>
    </w:p>
    <w:p w:rsidR="003D6227" w:rsidRPr="00686D4E" w:rsidRDefault="003D6227" w:rsidP="003D6227">
      <w:pPr>
        <w:jc w:val="left"/>
        <w:outlineLvl w:val="0"/>
        <w:rPr>
          <w:rFonts w:ascii="Times New Roman" w:hAnsi="Times New Roman" w:cs="Times New Roman"/>
          <w:b/>
          <w:szCs w:val="20"/>
        </w:rPr>
      </w:pPr>
      <w:r w:rsidRPr="00686D4E">
        <w:rPr>
          <w:rFonts w:ascii="Times New Roman" w:hAnsi="Times New Roman" w:cs="Times New Roman"/>
          <w:b/>
          <w:szCs w:val="20"/>
        </w:rPr>
        <w:t xml:space="preserve">Sample </w:t>
      </w:r>
      <w:r w:rsidR="00497270">
        <w:rPr>
          <w:rFonts w:ascii="Times New Roman" w:hAnsi="Times New Roman" w:cs="Times New Roman"/>
          <w:b/>
          <w:szCs w:val="20"/>
        </w:rPr>
        <w:t>p</w:t>
      </w:r>
      <w:r w:rsidRPr="00686D4E">
        <w:rPr>
          <w:rFonts w:ascii="Times New Roman" w:hAnsi="Times New Roman" w:cs="Times New Roman"/>
          <w:b/>
          <w:szCs w:val="20"/>
        </w:rPr>
        <w:t>reparation</w:t>
      </w:r>
    </w:p>
    <w:p w:rsidR="003D6227" w:rsidRPr="00686D4E" w:rsidRDefault="003D6227"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The vegetable samples (cabbage) were purchased from a local hypermarket and washed with running tap water. The mass of 25 g vegetable was weighted, added with 300 m</w:t>
      </w:r>
      <w:r w:rsidR="00497270">
        <w:rPr>
          <w:rFonts w:ascii="Times New Roman" w:hAnsi="Times New Roman" w:cs="Times New Roman"/>
          <w:szCs w:val="20"/>
        </w:rPr>
        <w:t>L</w:t>
      </w:r>
      <w:r w:rsidRPr="00686D4E">
        <w:rPr>
          <w:rFonts w:ascii="Times New Roman" w:hAnsi="Times New Roman" w:cs="Times New Roman"/>
          <w:szCs w:val="20"/>
        </w:rPr>
        <w:t xml:space="preserve"> distilled water, and homogenized using food processor (Philips, HR2001/70). Then, the homogenized sample was sieved using sift followed by filtration using Whatman filter paper (Grade 1, 110 mm). The filtered sample were then centrifuged using Spinplus Centrifuge (Topscien) at 4000 rpm for 5 minutes. After that, the supernatant was filtered using 0.22 µm pore size nylon membrane filters (Jinlong) and appropriate volume of filtered sample was transferred into glass bottle. The sample was spiked with appropriate concentrations of PAHs and biphenyl (internal standard) before extraction with DLLME or MAE-DLLME.</w:t>
      </w:r>
    </w:p>
    <w:p w:rsidR="003D6227" w:rsidRPr="00686D4E" w:rsidRDefault="003D6227" w:rsidP="003D6227">
      <w:pPr>
        <w:wordWrap/>
        <w:spacing w:before="3" w:line="242" w:lineRule="auto"/>
        <w:rPr>
          <w:rFonts w:ascii="Times New Roman" w:hAnsi="Times New Roman" w:cs="Times New Roman"/>
          <w:szCs w:val="20"/>
        </w:rPr>
      </w:pPr>
    </w:p>
    <w:p w:rsidR="003D6227" w:rsidRPr="00686D4E" w:rsidRDefault="003D6227" w:rsidP="003D6227">
      <w:pPr>
        <w:jc w:val="left"/>
        <w:outlineLvl w:val="0"/>
        <w:rPr>
          <w:rFonts w:ascii="Times New Roman" w:hAnsi="Times New Roman" w:cs="Times New Roman"/>
          <w:b/>
          <w:szCs w:val="20"/>
        </w:rPr>
      </w:pPr>
      <w:r w:rsidRPr="00686D4E">
        <w:rPr>
          <w:rFonts w:ascii="Times New Roman" w:hAnsi="Times New Roman" w:cs="Times New Roman"/>
          <w:b/>
          <w:szCs w:val="20"/>
        </w:rPr>
        <w:t xml:space="preserve">DLLME </w:t>
      </w:r>
      <w:r w:rsidR="00497270">
        <w:rPr>
          <w:rFonts w:ascii="Times New Roman" w:hAnsi="Times New Roman" w:cs="Times New Roman"/>
          <w:b/>
          <w:szCs w:val="20"/>
        </w:rPr>
        <w:t>e</w:t>
      </w:r>
      <w:r w:rsidRPr="00686D4E">
        <w:rPr>
          <w:rFonts w:ascii="Times New Roman" w:hAnsi="Times New Roman" w:cs="Times New Roman"/>
          <w:b/>
          <w:szCs w:val="20"/>
        </w:rPr>
        <w:t>xtraction</w:t>
      </w:r>
    </w:p>
    <w:p w:rsidR="003D6227" w:rsidRPr="00686D4E" w:rsidRDefault="007C4FFA" w:rsidP="004C0283">
      <w:pPr>
        <w:outlineLvl w:val="0"/>
        <w:rPr>
          <w:rFonts w:ascii="Times New Roman" w:hAnsi="Times New Roman" w:cs="Times New Roman"/>
          <w:szCs w:val="20"/>
        </w:rPr>
      </w:pPr>
      <w:r w:rsidRPr="00686D4E">
        <w:rPr>
          <w:rFonts w:ascii="Times New Roman" w:hAnsi="Times New Roman" w:cs="Times New Roman"/>
          <w:szCs w:val="20"/>
        </w:rPr>
        <w:t xml:space="preserve">The parameters effecting the DLLME extraction such as extraction solvent, dispersion solvent, extraction time have been studied and optimized [14]. </w:t>
      </w:r>
      <w:r w:rsidR="003D6227" w:rsidRPr="00686D4E">
        <w:rPr>
          <w:rFonts w:ascii="Times New Roman" w:hAnsi="Times New Roman" w:cs="Times New Roman"/>
          <w:szCs w:val="20"/>
        </w:rPr>
        <w:t>The</w:t>
      </w:r>
      <w:r w:rsidRPr="00686D4E">
        <w:rPr>
          <w:rFonts w:ascii="Times New Roman" w:hAnsi="Times New Roman" w:cs="Times New Roman"/>
          <w:szCs w:val="20"/>
        </w:rPr>
        <w:t xml:space="preserve"> </w:t>
      </w:r>
      <w:r w:rsidR="003D6227" w:rsidRPr="00686D4E">
        <w:rPr>
          <w:rFonts w:ascii="Times New Roman" w:hAnsi="Times New Roman" w:cs="Times New Roman"/>
          <w:szCs w:val="20"/>
        </w:rPr>
        <w:t>mixture of extraction solvent</w:t>
      </w:r>
      <w:r w:rsidR="00DF56D7" w:rsidRPr="00686D4E">
        <w:rPr>
          <w:rFonts w:ascii="Times New Roman" w:hAnsi="Times New Roman" w:cs="Times New Roman"/>
          <w:szCs w:val="20"/>
        </w:rPr>
        <w:t xml:space="preserve"> (1-bromo-3-methylbutane)</w:t>
      </w:r>
      <w:r w:rsidR="003D6227" w:rsidRPr="00686D4E">
        <w:rPr>
          <w:rFonts w:ascii="Times New Roman" w:hAnsi="Times New Roman" w:cs="Times New Roman"/>
          <w:szCs w:val="20"/>
        </w:rPr>
        <w:t>, dispersive solvent</w:t>
      </w:r>
      <w:r w:rsidR="00DF56D7" w:rsidRPr="00686D4E">
        <w:rPr>
          <w:rFonts w:ascii="Times New Roman" w:hAnsi="Times New Roman" w:cs="Times New Roman"/>
          <w:szCs w:val="20"/>
        </w:rPr>
        <w:t xml:space="preserve"> (acetone)</w:t>
      </w:r>
      <w:r w:rsidR="003D6227" w:rsidRPr="00686D4E">
        <w:rPr>
          <w:rFonts w:ascii="Times New Roman" w:hAnsi="Times New Roman" w:cs="Times New Roman"/>
          <w:szCs w:val="20"/>
        </w:rPr>
        <w:t xml:space="preserve"> and internal standard</w:t>
      </w:r>
      <w:r w:rsidR="00DF56D7" w:rsidRPr="00686D4E">
        <w:rPr>
          <w:rFonts w:ascii="Times New Roman" w:hAnsi="Times New Roman" w:cs="Times New Roman"/>
          <w:szCs w:val="20"/>
        </w:rPr>
        <w:t xml:space="preserve"> (biphenyl)</w:t>
      </w:r>
      <w:r w:rsidR="003D6227" w:rsidRPr="00686D4E">
        <w:rPr>
          <w:rFonts w:ascii="Times New Roman" w:hAnsi="Times New Roman" w:cs="Times New Roman"/>
          <w:szCs w:val="20"/>
        </w:rPr>
        <w:t xml:space="preserve"> was r</w:t>
      </w:r>
      <w:r w:rsidR="00C11491" w:rsidRPr="00686D4E">
        <w:rPr>
          <w:rFonts w:ascii="Times New Roman" w:hAnsi="Times New Roman" w:cs="Times New Roman"/>
          <w:szCs w:val="20"/>
        </w:rPr>
        <w:t xml:space="preserve">apidly injected into centrifuge </w:t>
      </w:r>
      <w:r w:rsidR="003D6227" w:rsidRPr="00686D4E">
        <w:rPr>
          <w:rFonts w:ascii="Times New Roman" w:hAnsi="Times New Roman" w:cs="Times New Roman"/>
          <w:szCs w:val="20"/>
        </w:rPr>
        <w:t>tube containing spiked sample using a microvolume syringe</w:t>
      </w:r>
      <w:r w:rsidR="004C0283" w:rsidRPr="00686D4E">
        <w:rPr>
          <w:rFonts w:ascii="Times New Roman" w:hAnsi="Times New Roman" w:cs="Times New Roman"/>
          <w:szCs w:val="20"/>
        </w:rPr>
        <w:t xml:space="preserve"> in one minute extraction time</w:t>
      </w:r>
      <w:r w:rsidR="003D6227" w:rsidRPr="00686D4E">
        <w:rPr>
          <w:rFonts w:ascii="Times New Roman" w:hAnsi="Times New Roman" w:cs="Times New Roman"/>
          <w:szCs w:val="20"/>
        </w:rPr>
        <w:t>. The mixture was gently shaken and centrifuged at</w:t>
      </w:r>
      <w:r w:rsidR="00DF56D7" w:rsidRPr="00686D4E">
        <w:rPr>
          <w:rFonts w:ascii="Times New Roman" w:hAnsi="Times New Roman" w:cs="Times New Roman"/>
          <w:szCs w:val="20"/>
        </w:rPr>
        <w:t xml:space="preserve"> </w:t>
      </w:r>
      <w:r w:rsidR="003D6227" w:rsidRPr="00686D4E">
        <w:rPr>
          <w:rFonts w:ascii="Times New Roman" w:hAnsi="Times New Roman" w:cs="Times New Roman"/>
          <w:szCs w:val="20"/>
        </w:rPr>
        <w:t>4000 rpm for 3 min</w:t>
      </w:r>
      <w:r w:rsidR="00497270">
        <w:rPr>
          <w:rFonts w:ascii="Times New Roman" w:hAnsi="Times New Roman" w:cs="Times New Roman"/>
          <w:szCs w:val="20"/>
        </w:rPr>
        <w:t>utes</w:t>
      </w:r>
      <w:r w:rsidR="003D6227" w:rsidRPr="00686D4E">
        <w:rPr>
          <w:rFonts w:ascii="Times New Roman" w:hAnsi="Times New Roman" w:cs="Times New Roman"/>
          <w:szCs w:val="20"/>
        </w:rPr>
        <w:t>. After centrifugation, organic phase was collected with syringe and sent for GC-FID analysis.</w:t>
      </w:r>
      <w:r w:rsidR="00DF56D7" w:rsidRPr="00686D4E">
        <w:rPr>
          <w:rFonts w:ascii="Times New Roman" w:hAnsi="Times New Roman" w:cs="Times New Roman"/>
          <w:szCs w:val="20"/>
        </w:rPr>
        <w:t xml:space="preserve"> </w:t>
      </w:r>
      <w:r w:rsidR="004D1585" w:rsidRPr="00686D4E">
        <w:rPr>
          <w:rFonts w:ascii="Times New Roman" w:hAnsi="Times New Roman" w:cs="Times New Roman"/>
          <w:szCs w:val="20"/>
        </w:rPr>
        <w:t>T</w:t>
      </w:r>
      <w:r w:rsidR="00DF56D7" w:rsidRPr="00686D4E">
        <w:rPr>
          <w:rFonts w:ascii="Times New Roman" w:hAnsi="Times New Roman" w:cs="Times New Roman"/>
          <w:szCs w:val="20"/>
        </w:rPr>
        <w:t xml:space="preserve">he </w:t>
      </w:r>
      <w:r w:rsidR="004D1585" w:rsidRPr="00686D4E">
        <w:rPr>
          <w:rFonts w:ascii="Times New Roman" w:hAnsi="Times New Roman" w:cs="Times New Roman"/>
          <w:szCs w:val="20"/>
        </w:rPr>
        <w:t xml:space="preserve">extraction </w:t>
      </w:r>
      <w:r w:rsidR="00DF56D7" w:rsidRPr="00686D4E">
        <w:rPr>
          <w:rFonts w:ascii="Times New Roman" w:hAnsi="Times New Roman" w:cs="Times New Roman"/>
          <w:szCs w:val="20"/>
        </w:rPr>
        <w:t>was conducted in triplicate (n</w:t>
      </w:r>
      <w:r w:rsidR="00497270">
        <w:rPr>
          <w:rFonts w:ascii="Times New Roman" w:hAnsi="Times New Roman" w:cs="Times New Roman"/>
          <w:szCs w:val="20"/>
        </w:rPr>
        <w:t xml:space="preserve"> </w:t>
      </w:r>
      <w:r w:rsidR="00DF56D7" w:rsidRPr="00686D4E">
        <w:rPr>
          <w:rFonts w:ascii="Times New Roman" w:hAnsi="Times New Roman" w:cs="Times New Roman"/>
          <w:szCs w:val="20"/>
        </w:rPr>
        <w:t>=</w:t>
      </w:r>
      <w:r w:rsidR="00497270">
        <w:rPr>
          <w:rFonts w:ascii="Times New Roman" w:hAnsi="Times New Roman" w:cs="Times New Roman"/>
          <w:szCs w:val="20"/>
        </w:rPr>
        <w:t xml:space="preserve"> </w:t>
      </w:r>
      <w:r w:rsidR="00DF56D7" w:rsidRPr="00686D4E">
        <w:rPr>
          <w:rFonts w:ascii="Times New Roman" w:hAnsi="Times New Roman" w:cs="Times New Roman"/>
          <w:szCs w:val="20"/>
        </w:rPr>
        <w:t xml:space="preserve">3). </w:t>
      </w:r>
    </w:p>
    <w:p w:rsidR="003D6227" w:rsidRPr="00686D4E" w:rsidRDefault="003D6227" w:rsidP="003D6227">
      <w:pPr>
        <w:wordWrap/>
        <w:spacing w:before="3" w:line="242" w:lineRule="auto"/>
        <w:rPr>
          <w:rFonts w:ascii="Times New Roman" w:hAnsi="Times New Roman" w:cs="Times New Roman"/>
          <w:szCs w:val="20"/>
        </w:rPr>
      </w:pPr>
    </w:p>
    <w:p w:rsidR="003D6227" w:rsidRPr="00686D4E" w:rsidRDefault="003D6227" w:rsidP="003D6227">
      <w:pPr>
        <w:jc w:val="left"/>
        <w:outlineLvl w:val="0"/>
        <w:rPr>
          <w:rFonts w:ascii="Times New Roman" w:hAnsi="Times New Roman" w:cs="Times New Roman"/>
          <w:b/>
          <w:szCs w:val="20"/>
        </w:rPr>
      </w:pPr>
      <w:r w:rsidRPr="00686D4E">
        <w:rPr>
          <w:rFonts w:ascii="Times New Roman" w:hAnsi="Times New Roman" w:cs="Times New Roman"/>
          <w:b/>
          <w:szCs w:val="20"/>
        </w:rPr>
        <w:t xml:space="preserve">MAE-DLLME </w:t>
      </w:r>
      <w:r w:rsidR="00497270">
        <w:rPr>
          <w:rFonts w:ascii="Times New Roman" w:hAnsi="Times New Roman" w:cs="Times New Roman"/>
          <w:b/>
          <w:szCs w:val="20"/>
        </w:rPr>
        <w:t>e</w:t>
      </w:r>
      <w:r w:rsidRPr="00686D4E">
        <w:rPr>
          <w:rFonts w:ascii="Times New Roman" w:hAnsi="Times New Roman" w:cs="Times New Roman"/>
          <w:b/>
          <w:szCs w:val="20"/>
        </w:rPr>
        <w:t>xtraction</w:t>
      </w:r>
    </w:p>
    <w:p w:rsidR="004D1585" w:rsidRPr="00686D4E" w:rsidRDefault="004C0283" w:rsidP="004D1585">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Parameters such as microwave power, extraction solvent and irradiation time were optimized in the previous study [14]. </w:t>
      </w:r>
      <w:r w:rsidR="003D6227" w:rsidRPr="00686D4E">
        <w:rPr>
          <w:rFonts w:ascii="Times New Roman" w:hAnsi="Times New Roman" w:cs="Times New Roman"/>
          <w:szCs w:val="20"/>
        </w:rPr>
        <w:t xml:space="preserve">The volume of 4 mL </w:t>
      </w:r>
      <w:r w:rsidRPr="00686D4E">
        <w:rPr>
          <w:rFonts w:ascii="Times New Roman" w:hAnsi="Times New Roman" w:cs="Times New Roman"/>
          <w:szCs w:val="20"/>
        </w:rPr>
        <w:t xml:space="preserve">extraction </w:t>
      </w:r>
      <w:r w:rsidR="003D6227" w:rsidRPr="00686D4E">
        <w:rPr>
          <w:rFonts w:ascii="Times New Roman" w:hAnsi="Times New Roman" w:cs="Times New Roman"/>
          <w:szCs w:val="20"/>
        </w:rPr>
        <w:t xml:space="preserve">solvent </w:t>
      </w:r>
      <w:r w:rsidR="00DF56D7" w:rsidRPr="00686D4E">
        <w:rPr>
          <w:rFonts w:ascii="Times New Roman" w:hAnsi="Times New Roman" w:cs="Times New Roman"/>
          <w:szCs w:val="20"/>
        </w:rPr>
        <w:t xml:space="preserve">(acetone) </w:t>
      </w:r>
      <w:r w:rsidR="003D6227" w:rsidRPr="00686D4E">
        <w:rPr>
          <w:rFonts w:ascii="Times New Roman" w:hAnsi="Times New Roman" w:cs="Times New Roman"/>
          <w:szCs w:val="20"/>
        </w:rPr>
        <w:t xml:space="preserve">was added into glass bottle containing 10 mL spiked sample. Then, it was closed with cap and microwaved at </w:t>
      </w:r>
      <w:r w:rsidR="00F3034E" w:rsidRPr="00686D4E">
        <w:rPr>
          <w:rFonts w:ascii="Times New Roman" w:hAnsi="Times New Roman" w:cs="Times New Roman"/>
          <w:szCs w:val="20"/>
        </w:rPr>
        <w:t>200 W</w:t>
      </w:r>
      <w:r w:rsidR="003D6227" w:rsidRPr="00686D4E">
        <w:rPr>
          <w:rFonts w:ascii="Times New Roman" w:hAnsi="Times New Roman" w:cs="Times New Roman"/>
          <w:szCs w:val="20"/>
        </w:rPr>
        <w:t xml:space="preserve"> for </w:t>
      </w:r>
      <w:r w:rsidR="00F3034E" w:rsidRPr="00686D4E">
        <w:rPr>
          <w:rFonts w:ascii="Times New Roman" w:hAnsi="Times New Roman" w:cs="Times New Roman"/>
          <w:szCs w:val="20"/>
        </w:rPr>
        <w:t>1</w:t>
      </w:r>
      <w:r w:rsidRPr="00686D4E">
        <w:rPr>
          <w:rFonts w:ascii="Times New Roman" w:hAnsi="Times New Roman" w:cs="Times New Roman"/>
          <w:szCs w:val="20"/>
        </w:rPr>
        <w:t>.5</w:t>
      </w:r>
      <w:r w:rsidR="00F3034E" w:rsidRPr="00686D4E">
        <w:rPr>
          <w:rFonts w:ascii="Times New Roman" w:hAnsi="Times New Roman" w:cs="Times New Roman"/>
          <w:szCs w:val="20"/>
        </w:rPr>
        <w:t xml:space="preserve"> min</w:t>
      </w:r>
      <w:r w:rsidR="00497270">
        <w:rPr>
          <w:rFonts w:ascii="Times New Roman" w:hAnsi="Times New Roman" w:cs="Times New Roman"/>
          <w:szCs w:val="20"/>
        </w:rPr>
        <w:t>utes</w:t>
      </w:r>
      <w:r w:rsidR="003D6227" w:rsidRPr="00686D4E">
        <w:rPr>
          <w:rFonts w:ascii="Times New Roman" w:hAnsi="Times New Roman" w:cs="Times New Roman"/>
          <w:szCs w:val="20"/>
        </w:rPr>
        <w:t>. After it was cooling down to room temperature, the spiked sample was shifted into centrifuge tube and centrifuged at 4000 rpm for 5 min</w:t>
      </w:r>
      <w:r w:rsidR="00497270">
        <w:rPr>
          <w:rFonts w:ascii="Times New Roman" w:hAnsi="Times New Roman" w:cs="Times New Roman"/>
          <w:szCs w:val="20"/>
        </w:rPr>
        <w:t>utes</w:t>
      </w:r>
      <w:r w:rsidR="003D6227" w:rsidRPr="00686D4E">
        <w:rPr>
          <w:rFonts w:ascii="Times New Roman" w:hAnsi="Times New Roman" w:cs="Times New Roman"/>
          <w:szCs w:val="20"/>
        </w:rPr>
        <w:t>. Then, 5 m</w:t>
      </w:r>
      <w:r w:rsidR="00497270">
        <w:rPr>
          <w:rFonts w:ascii="Times New Roman" w:hAnsi="Times New Roman" w:cs="Times New Roman"/>
          <w:szCs w:val="20"/>
        </w:rPr>
        <w:t>L</w:t>
      </w:r>
      <w:r w:rsidR="003D6227" w:rsidRPr="00686D4E">
        <w:rPr>
          <w:rFonts w:ascii="Times New Roman" w:hAnsi="Times New Roman" w:cs="Times New Roman"/>
          <w:szCs w:val="20"/>
        </w:rPr>
        <w:t xml:space="preserve"> aqueous phase was transferred into another centrifuge tube and immediately used for DLLME extraction process</w:t>
      </w:r>
      <w:r w:rsidR="004D1585" w:rsidRPr="00686D4E">
        <w:rPr>
          <w:rFonts w:ascii="Times New Roman" w:hAnsi="Times New Roman" w:cs="Times New Roman"/>
          <w:szCs w:val="20"/>
        </w:rPr>
        <w:t xml:space="preserve"> as described above</w:t>
      </w:r>
      <w:r w:rsidR="003D6227" w:rsidRPr="00686D4E">
        <w:rPr>
          <w:rFonts w:ascii="Times New Roman" w:hAnsi="Times New Roman" w:cs="Times New Roman"/>
          <w:szCs w:val="20"/>
        </w:rPr>
        <w:t>.</w:t>
      </w:r>
      <w:r w:rsidR="004D1585" w:rsidRPr="00686D4E">
        <w:rPr>
          <w:rFonts w:ascii="Times New Roman" w:hAnsi="Times New Roman" w:cs="Times New Roman"/>
          <w:szCs w:val="20"/>
        </w:rPr>
        <w:t xml:space="preserve"> </w:t>
      </w:r>
    </w:p>
    <w:p w:rsidR="0066798A" w:rsidRPr="00686D4E" w:rsidRDefault="0066798A" w:rsidP="004D1585">
      <w:pPr>
        <w:wordWrap/>
        <w:spacing w:before="3" w:line="242" w:lineRule="auto"/>
        <w:rPr>
          <w:rFonts w:ascii="Times New Roman" w:hAnsi="Times New Roman" w:cs="Times New Roman"/>
          <w:szCs w:val="20"/>
        </w:rPr>
      </w:pPr>
    </w:p>
    <w:p w:rsidR="003D6227" w:rsidRPr="00686D4E" w:rsidRDefault="003D6227" w:rsidP="003D6227">
      <w:pPr>
        <w:wordWrap/>
        <w:spacing w:before="3" w:line="242" w:lineRule="auto"/>
        <w:rPr>
          <w:rFonts w:ascii="Times New Roman" w:hAnsi="Times New Roman" w:cs="Times New Roman"/>
          <w:b/>
          <w:szCs w:val="20"/>
        </w:rPr>
      </w:pPr>
      <w:r w:rsidRPr="00686D4E">
        <w:rPr>
          <w:rFonts w:ascii="Times New Roman" w:hAnsi="Times New Roman" w:cs="Times New Roman"/>
          <w:b/>
          <w:szCs w:val="20"/>
        </w:rPr>
        <w:t>Analytical Performances of DLLME and MAE-DLLME</w:t>
      </w:r>
    </w:p>
    <w:p w:rsidR="0032438F" w:rsidRPr="00686D4E" w:rsidRDefault="003D6227"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Analytical parameters including sensitivity, limits of detection (LOD) and limits of </w:t>
      </w:r>
      <w:r w:rsidR="00C11491" w:rsidRPr="00686D4E">
        <w:rPr>
          <w:rFonts w:ascii="Times New Roman" w:hAnsi="Times New Roman" w:cs="Times New Roman"/>
          <w:szCs w:val="20"/>
        </w:rPr>
        <w:t>quantification</w:t>
      </w:r>
      <w:r w:rsidRPr="00686D4E">
        <w:rPr>
          <w:rFonts w:ascii="Times New Roman" w:hAnsi="Times New Roman" w:cs="Times New Roman"/>
          <w:szCs w:val="20"/>
        </w:rPr>
        <w:t xml:space="preserve"> (LOQ), precision, accuracy, relative enrichment factor (EF) and relative extraction recovery (ER) were investigated and compared. The validation methods used were followed guideline set</w:t>
      </w:r>
      <w:r w:rsidR="00C11491" w:rsidRPr="00686D4E">
        <w:rPr>
          <w:rFonts w:ascii="Times New Roman" w:hAnsi="Times New Roman" w:cs="Times New Roman"/>
          <w:szCs w:val="20"/>
        </w:rPr>
        <w:t xml:space="preserve"> by International Conference on </w:t>
      </w:r>
      <w:r w:rsidRPr="00686D4E">
        <w:rPr>
          <w:rFonts w:ascii="Times New Roman" w:hAnsi="Times New Roman" w:cs="Times New Roman"/>
          <w:szCs w:val="20"/>
        </w:rPr>
        <w:t>Harmonization (ICH) [15].</w:t>
      </w:r>
      <w:r w:rsidR="0066798A" w:rsidRPr="00686D4E">
        <w:rPr>
          <w:rFonts w:ascii="Times New Roman" w:hAnsi="Times New Roman" w:cs="Times New Roman"/>
          <w:szCs w:val="20"/>
        </w:rPr>
        <w:t xml:space="preserve"> The validation was</w:t>
      </w:r>
      <w:r w:rsidR="00C35E7D" w:rsidRPr="00686D4E">
        <w:rPr>
          <w:rFonts w:ascii="Times New Roman" w:hAnsi="Times New Roman" w:cs="Times New Roman"/>
          <w:szCs w:val="20"/>
        </w:rPr>
        <w:t xml:space="preserve"> conducted in triplicate</w:t>
      </w:r>
      <w:r w:rsidR="004D1585" w:rsidRPr="00686D4E">
        <w:rPr>
          <w:rFonts w:ascii="Times New Roman" w:hAnsi="Times New Roman" w:cs="Times New Roman"/>
          <w:szCs w:val="20"/>
        </w:rPr>
        <w:t xml:space="preserve"> (n</w:t>
      </w:r>
      <w:r w:rsidR="00497270">
        <w:rPr>
          <w:rFonts w:ascii="Times New Roman" w:hAnsi="Times New Roman" w:cs="Times New Roman"/>
          <w:szCs w:val="20"/>
        </w:rPr>
        <w:t xml:space="preserve"> </w:t>
      </w:r>
      <w:r w:rsidR="004D1585" w:rsidRPr="00686D4E">
        <w:rPr>
          <w:rFonts w:ascii="Times New Roman" w:hAnsi="Times New Roman" w:cs="Times New Roman"/>
          <w:szCs w:val="20"/>
        </w:rPr>
        <w:t>=</w:t>
      </w:r>
      <w:r w:rsidR="00497270">
        <w:rPr>
          <w:rFonts w:ascii="Times New Roman" w:hAnsi="Times New Roman" w:cs="Times New Roman"/>
          <w:szCs w:val="20"/>
        </w:rPr>
        <w:t xml:space="preserve"> </w:t>
      </w:r>
      <w:r w:rsidR="004D1585" w:rsidRPr="00686D4E">
        <w:rPr>
          <w:rFonts w:ascii="Times New Roman" w:hAnsi="Times New Roman" w:cs="Times New Roman"/>
          <w:szCs w:val="20"/>
        </w:rPr>
        <w:t>3)</w:t>
      </w:r>
      <w:r w:rsidR="00C35E7D" w:rsidRPr="00686D4E">
        <w:rPr>
          <w:rFonts w:ascii="Times New Roman" w:hAnsi="Times New Roman" w:cs="Times New Roman"/>
          <w:szCs w:val="20"/>
        </w:rPr>
        <w:t>.</w:t>
      </w:r>
      <w:r w:rsidR="00497270">
        <w:rPr>
          <w:rFonts w:ascii="Times New Roman" w:hAnsi="Times New Roman" w:cs="Times New Roman"/>
          <w:szCs w:val="20"/>
        </w:rPr>
        <w:t xml:space="preserve"> </w:t>
      </w:r>
      <w:r w:rsidR="0032438F" w:rsidRPr="00686D4E">
        <w:rPr>
          <w:rFonts w:ascii="Times New Roman" w:hAnsi="Times New Roman" w:cs="Times New Roman"/>
          <w:szCs w:val="20"/>
        </w:rPr>
        <w:t>In this study, the calculation of LOD was performed by analyzing blank samples which spiked with decreased concentration of PAHs until a peak height of three time higher than the noise level was achieved</w:t>
      </w:r>
      <w:r w:rsidR="004D1585" w:rsidRPr="00686D4E">
        <w:rPr>
          <w:rFonts w:ascii="Times New Roman" w:hAnsi="Times New Roman" w:cs="Times New Roman"/>
          <w:szCs w:val="20"/>
        </w:rPr>
        <w:t xml:space="preserve"> (S/N=3)</w:t>
      </w:r>
      <w:r w:rsidR="0032438F" w:rsidRPr="00686D4E">
        <w:rPr>
          <w:rFonts w:ascii="Times New Roman" w:hAnsi="Times New Roman" w:cs="Times New Roman"/>
          <w:szCs w:val="20"/>
        </w:rPr>
        <w:t>. For the calculation of LOQ, the blank samples which spiked with decreased concentration of PAHs were analyzed until a peak height of ten time higher than the noise level was achieved</w:t>
      </w:r>
      <w:r w:rsidR="004D1585" w:rsidRPr="00686D4E">
        <w:rPr>
          <w:rFonts w:ascii="Times New Roman" w:hAnsi="Times New Roman" w:cs="Times New Roman"/>
          <w:szCs w:val="20"/>
        </w:rPr>
        <w:t xml:space="preserve"> (S/N=10)</w:t>
      </w:r>
      <w:r w:rsidR="0032438F" w:rsidRPr="00686D4E">
        <w:rPr>
          <w:rFonts w:ascii="Times New Roman" w:hAnsi="Times New Roman" w:cs="Times New Roman"/>
          <w:szCs w:val="20"/>
        </w:rPr>
        <w:t>.</w:t>
      </w:r>
    </w:p>
    <w:p w:rsidR="0032438F" w:rsidRPr="00686D4E" w:rsidRDefault="0032438F" w:rsidP="003D6227">
      <w:pPr>
        <w:wordWrap/>
        <w:spacing w:before="3" w:line="242" w:lineRule="auto"/>
        <w:rPr>
          <w:rFonts w:ascii="Times New Roman" w:hAnsi="Times New Roman" w:cs="Times New Roman"/>
          <w:szCs w:val="20"/>
        </w:rPr>
      </w:pPr>
    </w:p>
    <w:p w:rsidR="0032438F" w:rsidRPr="00686D4E" w:rsidRDefault="0032438F"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Accuracy was evaluated by spiking the vegetable sample with the standard solutions of PAHs at three different concentrations in triplicate. The results of spiked samples and spiked distilled water were compared</w:t>
      </w:r>
      <w:r w:rsidR="004D1585" w:rsidRPr="00686D4E">
        <w:rPr>
          <w:rFonts w:ascii="Times New Roman" w:hAnsi="Times New Roman" w:cs="Times New Roman"/>
          <w:szCs w:val="20"/>
        </w:rPr>
        <w:t>. The</w:t>
      </w:r>
      <w:r w:rsidRPr="00686D4E">
        <w:rPr>
          <w:rFonts w:ascii="Times New Roman" w:hAnsi="Times New Roman" w:cs="Times New Roman"/>
          <w:szCs w:val="20"/>
        </w:rPr>
        <w:t xml:space="preserve"> precision was studied in terms of intra- and inter-day variability and evaluated at three concentration levels of PAHs. The precision was studied in triplicate (n = 3) during the same day (repeatability) and three different days (intermediate precision) in a week. The precision was expressed as the percentage of relative standard deviation (RSD%).</w:t>
      </w:r>
    </w:p>
    <w:p w:rsidR="0032438F" w:rsidRPr="00686D4E" w:rsidRDefault="0032438F" w:rsidP="003D6227">
      <w:pPr>
        <w:wordWrap/>
        <w:spacing w:before="3" w:line="242" w:lineRule="auto"/>
        <w:rPr>
          <w:rFonts w:ascii="Times New Roman" w:hAnsi="Times New Roman" w:cs="Times New Roman"/>
          <w:szCs w:val="20"/>
        </w:rPr>
      </w:pPr>
    </w:p>
    <w:p w:rsidR="0066798A" w:rsidRDefault="004D1585"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The extraction recovery (ER) was defined as the ratio of the amount of analyte in sedimented phase (</w:t>
      </w:r>
      <w:r w:rsidR="002C2630" w:rsidRPr="00686D4E">
        <w:rPr>
          <w:rFonts w:ascii="Times New Roman" w:hAnsi="Times New Roman" w:cs="Times New Roman"/>
          <w:szCs w:val="20"/>
        </w:rPr>
        <w:t>n</w:t>
      </w:r>
      <w:r w:rsidRPr="00686D4E">
        <w:rPr>
          <w:rFonts w:ascii="Times New Roman" w:hAnsi="Times New Roman" w:cs="Times New Roman"/>
          <w:szCs w:val="20"/>
          <w:vertAlign w:val="subscript"/>
        </w:rPr>
        <w:t>sed</w:t>
      </w:r>
      <w:r w:rsidRPr="00686D4E">
        <w:rPr>
          <w:rFonts w:ascii="Times New Roman" w:hAnsi="Times New Roman" w:cs="Times New Roman"/>
          <w:szCs w:val="20"/>
        </w:rPr>
        <w:t xml:space="preserve">) with the initial amount of analyte in </w:t>
      </w:r>
      <w:r w:rsidR="00F44DCA" w:rsidRPr="00686D4E">
        <w:rPr>
          <w:rFonts w:ascii="Times New Roman" w:hAnsi="Times New Roman" w:cs="Times New Roman"/>
          <w:szCs w:val="20"/>
        </w:rPr>
        <w:t>the</w:t>
      </w:r>
      <w:r w:rsidRPr="00686D4E">
        <w:rPr>
          <w:rFonts w:ascii="Times New Roman" w:hAnsi="Times New Roman" w:cs="Times New Roman"/>
          <w:szCs w:val="20"/>
        </w:rPr>
        <w:t xml:space="preserve"> sample (n</w:t>
      </w:r>
      <w:r w:rsidRPr="00686D4E">
        <w:rPr>
          <w:rFonts w:ascii="Times New Roman" w:hAnsi="Times New Roman" w:cs="Times New Roman"/>
          <w:szCs w:val="20"/>
          <w:vertAlign w:val="subscript"/>
        </w:rPr>
        <w:t>0</w:t>
      </w:r>
      <w:r w:rsidRPr="00686D4E">
        <w:rPr>
          <w:rFonts w:ascii="Times New Roman" w:hAnsi="Times New Roman" w:cs="Times New Roman"/>
          <w:szCs w:val="20"/>
        </w:rPr>
        <w:t>).</w:t>
      </w:r>
      <w:r w:rsidR="00F44DCA" w:rsidRPr="00686D4E">
        <w:rPr>
          <w:rFonts w:ascii="Times New Roman" w:hAnsi="Times New Roman" w:cs="Times New Roman"/>
          <w:szCs w:val="20"/>
        </w:rPr>
        <w:t xml:space="preserve"> </w:t>
      </w:r>
      <w:r w:rsidR="002C2630" w:rsidRPr="00686D4E">
        <w:rPr>
          <w:rFonts w:ascii="Times New Roman" w:hAnsi="Times New Roman" w:cs="Times New Roman"/>
          <w:szCs w:val="20"/>
        </w:rPr>
        <w:t>The enrichment factor (EF) was defined as the ratio between the concentration of analytes in the sedimented phase (C</w:t>
      </w:r>
      <w:r w:rsidR="002C2630" w:rsidRPr="00686D4E">
        <w:rPr>
          <w:rFonts w:ascii="Times New Roman" w:hAnsi="Times New Roman" w:cs="Times New Roman"/>
          <w:szCs w:val="20"/>
          <w:vertAlign w:val="subscript"/>
        </w:rPr>
        <w:t>sed</w:t>
      </w:r>
      <w:r w:rsidR="002C2630" w:rsidRPr="00686D4E">
        <w:rPr>
          <w:rFonts w:ascii="Times New Roman" w:hAnsi="Times New Roman" w:cs="Times New Roman"/>
          <w:szCs w:val="20"/>
        </w:rPr>
        <w:t>) with the initial concentration of analyte (C</w:t>
      </w:r>
      <w:r w:rsidR="002C2630" w:rsidRPr="00686D4E">
        <w:rPr>
          <w:rFonts w:ascii="Times New Roman" w:hAnsi="Times New Roman" w:cs="Times New Roman"/>
          <w:szCs w:val="20"/>
          <w:vertAlign w:val="subscript"/>
        </w:rPr>
        <w:t>0</w:t>
      </w:r>
      <w:r w:rsidR="002C2630" w:rsidRPr="00686D4E">
        <w:rPr>
          <w:rFonts w:ascii="Times New Roman" w:hAnsi="Times New Roman" w:cs="Times New Roman"/>
          <w:szCs w:val="20"/>
        </w:rPr>
        <w:t>) within the sample</w:t>
      </w:r>
      <w:r w:rsidR="00B14AEE" w:rsidRPr="00686D4E">
        <w:rPr>
          <w:rFonts w:ascii="Times New Roman" w:hAnsi="Times New Roman" w:cs="Times New Roman"/>
          <w:szCs w:val="20"/>
        </w:rPr>
        <w:t xml:space="preserve"> [16]</w:t>
      </w:r>
      <w:r w:rsidR="002C2630" w:rsidRPr="00686D4E">
        <w:rPr>
          <w:rFonts w:ascii="Times New Roman" w:hAnsi="Times New Roman" w:cs="Times New Roman"/>
          <w:szCs w:val="20"/>
        </w:rPr>
        <w:t xml:space="preserve">. </w:t>
      </w:r>
      <w:r w:rsidR="00962A2B" w:rsidRPr="00686D4E">
        <w:rPr>
          <w:rFonts w:ascii="Times New Roman" w:hAnsi="Times New Roman" w:cs="Times New Roman"/>
          <w:szCs w:val="20"/>
        </w:rPr>
        <w:t>The r</w:t>
      </w:r>
      <w:r w:rsidR="002C2630" w:rsidRPr="00686D4E">
        <w:rPr>
          <w:rFonts w:ascii="Times New Roman" w:hAnsi="Times New Roman" w:cs="Times New Roman"/>
          <w:szCs w:val="20"/>
        </w:rPr>
        <w:t>elative ER</w:t>
      </w:r>
      <w:r w:rsidR="00962A2B" w:rsidRPr="00686D4E">
        <w:rPr>
          <w:rFonts w:ascii="Times New Roman" w:hAnsi="Times New Roman" w:cs="Times New Roman"/>
          <w:szCs w:val="20"/>
        </w:rPr>
        <w:t>s (or EFs) were</w:t>
      </w:r>
      <w:r w:rsidR="002C2630" w:rsidRPr="00686D4E">
        <w:rPr>
          <w:rFonts w:ascii="Times New Roman" w:hAnsi="Times New Roman" w:cs="Times New Roman"/>
          <w:szCs w:val="20"/>
        </w:rPr>
        <w:t xml:space="preserve"> defined as ratio of ER</w:t>
      </w:r>
      <w:r w:rsidR="00962A2B" w:rsidRPr="00686D4E">
        <w:rPr>
          <w:rFonts w:ascii="Times New Roman" w:hAnsi="Times New Roman" w:cs="Times New Roman"/>
          <w:szCs w:val="20"/>
        </w:rPr>
        <w:t>s (or EFs)</w:t>
      </w:r>
      <w:r w:rsidR="002C2630" w:rsidRPr="00686D4E">
        <w:rPr>
          <w:rFonts w:ascii="Times New Roman" w:hAnsi="Times New Roman" w:cs="Times New Roman"/>
          <w:szCs w:val="20"/>
        </w:rPr>
        <w:t xml:space="preserve"> attained by spiking </w:t>
      </w:r>
      <w:r w:rsidR="00962A2B" w:rsidRPr="00686D4E">
        <w:rPr>
          <w:rFonts w:ascii="Times New Roman" w:hAnsi="Times New Roman" w:cs="Times New Roman"/>
          <w:szCs w:val="20"/>
        </w:rPr>
        <w:t xml:space="preserve">vegetable </w:t>
      </w:r>
      <w:r w:rsidR="002C2630" w:rsidRPr="00686D4E">
        <w:rPr>
          <w:rFonts w:ascii="Times New Roman" w:hAnsi="Times New Roman" w:cs="Times New Roman"/>
          <w:szCs w:val="20"/>
        </w:rPr>
        <w:t xml:space="preserve">sample and spiked distilled water. Relative enrichment factor (EF) was defined as ratio of EF obtained by spiked </w:t>
      </w:r>
      <w:r w:rsidR="00962A2B" w:rsidRPr="00686D4E">
        <w:rPr>
          <w:rFonts w:ascii="Times New Roman" w:hAnsi="Times New Roman" w:cs="Times New Roman"/>
          <w:szCs w:val="20"/>
        </w:rPr>
        <w:t>vegetable</w:t>
      </w:r>
      <w:r w:rsidR="002C2630" w:rsidRPr="00686D4E">
        <w:rPr>
          <w:rFonts w:ascii="Times New Roman" w:hAnsi="Times New Roman" w:cs="Times New Roman"/>
          <w:szCs w:val="20"/>
        </w:rPr>
        <w:t xml:space="preserve"> sample and spiked distilled water</w:t>
      </w:r>
      <w:r w:rsidR="00962A2B" w:rsidRPr="00686D4E">
        <w:rPr>
          <w:rFonts w:ascii="Times New Roman" w:hAnsi="Times New Roman" w:cs="Times New Roman"/>
          <w:szCs w:val="20"/>
        </w:rPr>
        <w:t xml:space="preserve"> within the working range</w:t>
      </w:r>
      <w:r w:rsidR="00B14AEE" w:rsidRPr="00686D4E">
        <w:rPr>
          <w:rFonts w:ascii="Times New Roman" w:hAnsi="Times New Roman" w:cs="Times New Roman"/>
          <w:szCs w:val="20"/>
        </w:rPr>
        <w:t xml:space="preserve"> [16]</w:t>
      </w:r>
      <w:r w:rsidR="00962A2B" w:rsidRPr="00686D4E">
        <w:rPr>
          <w:rFonts w:ascii="Times New Roman" w:hAnsi="Times New Roman" w:cs="Times New Roman"/>
          <w:szCs w:val="20"/>
        </w:rPr>
        <w:t>.</w:t>
      </w:r>
    </w:p>
    <w:p w:rsidR="00497270" w:rsidRPr="00686D4E" w:rsidRDefault="00497270" w:rsidP="003D6227">
      <w:pPr>
        <w:wordWrap/>
        <w:spacing w:before="3" w:line="242" w:lineRule="auto"/>
        <w:rPr>
          <w:rFonts w:ascii="Times New Roman" w:hAnsi="Times New Roman" w:cs="Times New Roman"/>
          <w:szCs w:val="20"/>
        </w:rPr>
      </w:pPr>
    </w:p>
    <w:p w:rsidR="003D6227" w:rsidRPr="00686D4E" w:rsidRDefault="003D6227" w:rsidP="003D6227">
      <w:pPr>
        <w:wordWrap/>
        <w:spacing w:before="3" w:line="242" w:lineRule="auto"/>
        <w:rPr>
          <w:rFonts w:ascii="Times New Roman" w:hAnsi="Times New Roman" w:cs="Times New Roman"/>
          <w:szCs w:val="20"/>
        </w:rPr>
      </w:pPr>
      <w:r w:rsidRPr="00686D4E">
        <w:rPr>
          <w:rFonts w:ascii="Times New Roman" w:hAnsi="Times New Roman" w:cs="Times New Roman"/>
          <w:b/>
          <w:szCs w:val="20"/>
        </w:rPr>
        <w:t xml:space="preserve">Real </w:t>
      </w:r>
      <w:r w:rsidR="00497270" w:rsidRPr="00686D4E">
        <w:rPr>
          <w:rFonts w:ascii="Times New Roman" w:hAnsi="Times New Roman" w:cs="Times New Roman"/>
          <w:b/>
          <w:szCs w:val="20"/>
        </w:rPr>
        <w:t>sample analysis</w:t>
      </w:r>
    </w:p>
    <w:p w:rsidR="00785CA6" w:rsidRPr="00686D4E" w:rsidRDefault="003D6227" w:rsidP="00125F8F">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To evaluate the feasibility of the proposed MAE-DLLME in real sample analysis, three types of </w:t>
      </w:r>
      <w:r w:rsidR="00112F79" w:rsidRPr="00686D4E">
        <w:rPr>
          <w:rFonts w:ascii="Times New Roman" w:hAnsi="Times New Roman" w:cs="Times New Roman"/>
          <w:szCs w:val="20"/>
        </w:rPr>
        <w:t xml:space="preserve">popular salad </w:t>
      </w:r>
      <w:r w:rsidRPr="00686D4E">
        <w:rPr>
          <w:rFonts w:ascii="Times New Roman" w:hAnsi="Times New Roman" w:cs="Times New Roman"/>
          <w:szCs w:val="20"/>
        </w:rPr>
        <w:lastRenderedPageBreak/>
        <w:t>organic vegetables, namely cabbage, tomato and carrot, purchased from a local market, were analyzed. The samples were prepared, extracted and analyzed using optimized MAE-DLLME-GC-FID. Relative ER was used to express the efficiency of proposed MAE-DLLME.</w:t>
      </w:r>
    </w:p>
    <w:p w:rsidR="00753968" w:rsidRPr="00686D4E" w:rsidRDefault="00753968" w:rsidP="00125F8F">
      <w:pPr>
        <w:wordWrap/>
        <w:spacing w:before="3" w:line="242" w:lineRule="auto"/>
        <w:rPr>
          <w:rFonts w:ascii="Times New Roman" w:hAnsi="Times New Roman" w:cs="Times New Roman"/>
          <w:szCs w:val="20"/>
        </w:rPr>
      </w:pPr>
    </w:p>
    <w:p w:rsidR="00785CA6" w:rsidRPr="00686D4E" w:rsidRDefault="00785CA6" w:rsidP="00785CA6">
      <w:pPr>
        <w:jc w:val="center"/>
        <w:outlineLvl w:val="0"/>
        <w:rPr>
          <w:rFonts w:ascii="Times New Roman" w:hAnsi="Times New Roman" w:cs="Times New Roman"/>
          <w:b/>
          <w:szCs w:val="20"/>
        </w:rPr>
      </w:pPr>
      <w:r w:rsidRPr="00686D4E">
        <w:rPr>
          <w:rFonts w:ascii="Times New Roman" w:hAnsi="Times New Roman" w:cs="Times New Roman"/>
          <w:b/>
          <w:szCs w:val="20"/>
        </w:rPr>
        <w:t>Result</w:t>
      </w:r>
      <w:r w:rsidR="003D6227" w:rsidRPr="00686D4E">
        <w:rPr>
          <w:rFonts w:ascii="Times New Roman" w:hAnsi="Times New Roman" w:cs="Times New Roman"/>
          <w:b/>
          <w:szCs w:val="20"/>
        </w:rPr>
        <w:t>s</w:t>
      </w:r>
      <w:r w:rsidRPr="00686D4E">
        <w:rPr>
          <w:rFonts w:ascii="Times New Roman" w:hAnsi="Times New Roman" w:cs="Times New Roman"/>
          <w:b/>
          <w:szCs w:val="20"/>
        </w:rPr>
        <w:t xml:space="preserve"> and Discussion</w:t>
      </w:r>
    </w:p>
    <w:p w:rsidR="00EC180B" w:rsidRPr="00686D4E" w:rsidRDefault="003D6227" w:rsidP="00EC180B">
      <w:pPr>
        <w:wordWrap/>
        <w:spacing w:before="3" w:line="242" w:lineRule="auto"/>
        <w:rPr>
          <w:rFonts w:ascii="Times New Roman" w:hAnsi="Times New Roman" w:cs="Times New Roman"/>
          <w:szCs w:val="20"/>
        </w:rPr>
      </w:pPr>
      <w:r w:rsidRPr="00686D4E">
        <w:rPr>
          <w:rFonts w:ascii="Times New Roman" w:hAnsi="Times New Roman" w:cs="Times New Roman"/>
          <w:szCs w:val="20"/>
        </w:rPr>
        <w:t>In this study, the one-at-a-time design has been employed to study the effects of parameters affecting the efficiency of MAE-DLLME. Relative extraction recovery (ER) and relative enrichment factor (EF) were used to express the extraction efficiency</w:t>
      </w:r>
      <w:r w:rsidR="00EC180B" w:rsidRPr="00686D4E">
        <w:rPr>
          <w:rFonts w:ascii="Times New Roman" w:hAnsi="Times New Roman" w:cs="Times New Roman"/>
          <w:szCs w:val="20"/>
        </w:rPr>
        <w:t>.</w:t>
      </w:r>
    </w:p>
    <w:p w:rsidR="00EC180B" w:rsidRPr="00686D4E" w:rsidRDefault="00EC180B" w:rsidP="00EC180B">
      <w:pPr>
        <w:wordWrap/>
        <w:spacing w:before="3" w:line="242" w:lineRule="auto"/>
        <w:rPr>
          <w:rFonts w:ascii="Times New Roman" w:hAnsi="Times New Roman" w:cs="Times New Roman"/>
          <w:szCs w:val="20"/>
        </w:rPr>
      </w:pPr>
    </w:p>
    <w:p w:rsidR="003D6227" w:rsidRPr="00686D4E" w:rsidRDefault="003D6227" w:rsidP="003D6227">
      <w:pPr>
        <w:wordWrap/>
        <w:spacing w:before="3" w:line="242" w:lineRule="auto"/>
        <w:rPr>
          <w:rFonts w:ascii="Times New Roman" w:hAnsi="Times New Roman" w:cs="Times New Roman"/>
          <w:b/>
          <w:szCs w:val="20"/>
        </w:rPr>
      </w:pPr>
      <w:r w:rsidRPr="00686D4E">
        <w:rPr>
          <w:rFonts w:ascii="Times New Roman" w:hAnsi="Times New Roman" w:cs="Times New Roman"/>
          <w:b/>
          <w:szCs w:val="20"/>
        </w:rPr>
        <w:t xml:space="preserve">Optimization of </w:t>
      </w:r>
      <w:r w:rsidR="000D7299" w:rsidRPr="00686D4E">
        <w:rPr>
          <w:rFonts w:ascii="Times New Roman" w:hAnsi="Times New Roman" w:cs="Times New Roman"/>
          <w:b/>
          <w:szCs w:val="20"/>
        </w:rPr>
        <w:t xml:space="preserve">DLLME and </w:t>
      </w:r>
      <w:r w:rsidRPr="00686D4E">
        <w:rPr>
          <w:rFonts w:ascii="Times New Roman" w:hAnsi="Times New Roman" w:cs="Times New Roman"/>
          <w:b/>
          <w:szCs w:val="20"/>
        </w:rPr>
        <w:t>MAE-DLLME</w:t>
      </w:r>
    </w:p>
    <w:p w:rsidR="000D7299" w:rsidRPr="00686D4E" w:rsidRDefault="000D7299" w:rsidP="000D7299">
      <w:pPr>
        <w:wordWrap/>
        <w:spacing w:before="3" w:line="242" w:lineRule="auto"/>
        <w:rPr>
          <w:rFonts w:ascii="Times New Roman" w:hAnsi="Times New Roman" w:cs="Times New Roman"/>
          <w:szCs w:val="20"/>
        </w:rPr>
      </w:pPr>
      <w:r w:rsidRPr="00686D4E">
        <w:rPr>
          <w:rFonts w:ascii="Times New Roman" w:hAnsi="Times New Roman" w:cs="Times New Roman"/>
          <w:szCs w:val="20"/>
        </w:rPr>
        <w:t>T</w:t>
      </w:r>
      <w:r w:rsidR="003D6227" w:rsidRPr="00686D4E">
        <w:rPr>
          <w:rFonts w:ascii="Times New Roman" w:hAnsi="Times New Roman" w:cs="Times New Roman"/>
          <w:szCs w:val="20"/>
        </w:rPr>
        <w:t xml:space="preserve">he optimization </w:t>
      </w:r>
      <w:r w:rsidRPr="00686D4E">
        <w:rPr>
          <w:rFonts w:ascii="Times New Roman" w:hAnsi="Times New Roman" w:cs="Times New Roman"/>
          <w:szCs w:val="20"/>
        </w:rPr>
        <w:t xml:space="preserve">of </w:t>
      </w:r>
      <w:r w:rsidR="003D6227" w:rsidRPr="00686D4E">
        <w:rPr>
          <w:rFonts w:ascii="Times New Roman" w:hAnsi="Times New Roman" w:cs="Times New Roman"/>
          <w:szCs w:val="20"/>
        </w:rPr>
        <w:t xml:space="preserve">DLLME </w:t>
      </w:r>
      <w:r w:rsidRPr="00686D4E">
        <w:rPr>
          <w:rFonts w:ascii="Times New Roman" w:hAnsi="Times New Roman" w:cs="Times New Roman"/>
          <w:szCs w:val="20"/>
        </w:rPr>
        <w:t xml:space="preserve">and MAE-DLLME </w:t>
      </w:r>
      <w:r w:rsidR="003D6227" w:rsidRPr="00686D4E">
        <w:rPr>
          <w:rFonts w:ascii="Times New Roman" w:hAnsi="Times New Roman" w:cs="Times New Roman"/>
          <w:szCs w:val="20"/>
        </w:rPr>
        <w:t>extraction</w:t>
      </w:r>
      <w:r w:rsidRPr="00686D4E">
        <w:rPr>
          <w:rFonts w:ascii="Times New Roman" w:hAnsi="Times New Roman" w:cs="Times New Roman"/>
          <w:szCs w:val="20"/>
        </w:rPr>
        <w:t>s</w:t>
      </w:r>
      <w:r w:rsidR="003D6227" w:rsidRPr="00686D4E">
        <w:rPr>
          <w:rFonts w:ascii="Times New Roman" w:hAnsi="Times New Roman" w:cs="Times New Roman"/>
          <w:szCs w:val="20"/>
        </w:rPr>
        <w:t xml:space="preserve"> followed by a gas chromatography-flame ionization detector (GC-FID) for the determination of 13 PAHs in vegetables </w:t>
      </w:r>
      <w:r w:rsidR="00125F8F" w:rsidRPr="00686D4E">
        <w:rPr>
          <w:rFonts w:ascii="Times New Roman" w:hAnsi="Times New Roman" w:cs="Times New Roman"/>
          <w:szCs w:val="20"/>
        </w:rPr>
        <w:t xml:space="preserve">was </w:t>
      </w:r>
      <w:r w:rsidR="003D6227" w:rsidRPr="00686D4E">
        <w:rPr>
          <w:rFonts w:ascii="Times New Roman" w:hAnsi="Times New Roman" w:cs="Times New Roman"/>
          <w:szCs w:val="20"/>
        </w:rPr>
        <w:t>discussed</w:t>
      </w:r>
      <w:r w:rsidRPr="00686D4E">
        <w:rPr>
          <w:rFonts w:ascii="Times New Roman" w:hAnsi="Times New Roman" w:cs="Times New Roman"/>
          <w:szCs w:val="20"/>
        </w:rPr>
        <w:t xml:space="preserve"> in a previous paper [14]</w:t>
      </w:r>
      <w:r w:rsidR="003D6227" w:rsidRPr="00686D4E">
        <w:rPr>
          <w:rFonts w:ascii="Times New Roman" w:hAnsi="Times New Roman" w:cs="Times New Roman"/>
          <w:szCs w:val="20"/>
        </w:rPr>
        <w:t xml:space="preserve">. </w:t>
      </w:r>
      <w:r w:rsidRPr="00686D4E">
        <w:rPr>
          <w:rFonts w:ascii="Times New Roman" w:hAnsi="Times New Roman" w:cs="Times New Roman"/>
          <w:szCs w:val="20"/>
        </w:rPr>
        <w:t xml:space="preserve">The extraction solvent of 1-bromo-3-methylbutane </w:t>
      </w:r>
      <w:r w:rsidR="003D6227" w:rsidRPr="00686D4E">
        <w:rPr>
          <w:rFonts w:ascii="Times New Roman" w:hAnsi="Times New Roman" w:cs="Times New Roman"/>
          <w:szCs w:val="20"/>
        </w:rPr>
        <w:t xml:space="preserve">was found to be the most efficient in extracting the </w:t>
      </w:r>
      <w:r w:rsidRPr="00686D4E">
        <w:rPr>
          <w:rFonts w:ascii="Times New Roman" w:hAnsi="Times New Roman" w:cs="Times New Roman"/>
          <w:szCs w:val="20"/>
        </w:rPr>
        <w:t xml:space="preserve">13 </w:t>
      </w:r>
      <w:r w:rsidR="003D6227" w:rsidRPr="00686D4E">
        <w:rPr>
          <w:rFonts w:ascii="Times New Roman" w:hAnsi="Times New Roman" w:cs="Times New Roman"/>
          <w:szCs w:val="20"/>
        </w:rPr>
        <w:t xml:space="preserve">investigated PAHs because </w:t>
      </w:r>
      <w:r w:rsidR="00C11491" w:rsidRPr="00686D4E">
        <w:rPr>
          <w:rFonts w:ascii="Times New Roman" w:hAnsi="Times New Roman" w:cs="Times New Roman"/>
          <w:szCs w:val="20"/>
        </w:rPr>
        <w:t>of its</w:t>
      </w:r>
      <w:r w:rsidR="003D6227" w:rsidRPr="00686D4E">
        <w:rPr>
          <w:rFonts w:ascii="Times New Roman" w:hAnsi="Times New Roman" w:cs="Times New Roman"/>
          <w:szCs w:val="20"/>
        </w:rPr>
        <w:t xml:space="preserve"> nonpolar </w:t>
      </w:r>
      <w:r w:rsidR="00C11491" w:rsidRPr="00686D4E">
        <w:rPr>
          <w:rFonts w:ascii="Times New Roman" w:hAnsi="Times New Roman" w:cs="Times New Roman"/>
          <w:szCs w:val="20"/>
        </w:rPr>
        <w:t xml:space="preserve">and water-insoluble </w:t>
      </w:r>
      <w:r w:rsidR="00137990" w:rsidRPr="00686D4E">
        <w:rPr>
          <w:rFonts w:ascii="Times New Roman" w:hAnsi="Times New Roman" w:cs="Times New Roman"/>
          <w:szCs w:val="20"/>
        </w:rPr>
        <w:t>nature</w:t>
      </w:r>
      <w:r w:rsidR="00C11491" w:rsidRPr="00686D4E">
        <w:rPr>
          <w:rFonts w:ascii="Times New Roman" w:hAnsi="Times New Roman" w:cs="Times New Roman"/>
          <w:szCs w:val="20"/>
        </w:rPr>
        <w:t xml:space="preserve"> which</w:t>
      </w:r>
      <w:r w:rsidR="003D6227" w:rsidRPr="00686D4E">
        <w:rPr>
          <w:rFonts w:ascii="Times New Roman" w:hAnsi="Times New Roman" w:cs="Times New Roman"/>
          <w:szCs w:val="20"/>
        </w:rPr>
        <w:t xml:space="preserve"> able to form nonpolar interaction with PAHs. Besides that, the solvent of 1-bromo-3-methylbutane is</w:t>
      </w:r>
      <w:r w:rsidRPr="00686D4E">
        <w:rPr>
          <w:rFonts w:ascii="Times New Roman" w:hAnsi="Times New Roman" w:cs="Times New Roman"/>
          <w:szCs w:val="20"/>
        </w:rPr>
        <w:t xml:space="preserve"> low toxic and</w:t>
      </w:r>
      <w:r w:rsidR="003D6227" w:rsidRPr="00686D4E">
        <w:rPr>
          <w:rFonts w:ascii="Times New Roman" w:hAnsi="Times New Roman" w:cs="Times New Roman"/>
          <w:szCs w:val="20"/>
        </w:rPr>
        <w:t xml:space="preserve"> less viscous than other extraction solvent</w:t>
      </w:r>
      <w:r w:rsidRPr="00686D4E">
        <w:rPr>
          <w:rFonts w:ascii="Times New Roman" w:hAnsi="Times New Roman" w:cs="Times New Roman"/>
          <w:szCs w:val="20"/>
        </w:rPr>
        <w:t>s</w:t>
      </w:r>
      <w:r w:rsidR="003D6227" w:rsidRPr="00686D4E">
        <w:rPr>
          <w:rFonts w:ascii="Times New Roman" w:hAnsi="Times New Roman" w:cs="Times New Roman"/>
          <w:szCs w:val="20"/>
        </w:rPr>
        <w:t>. Low viscosity is more favorable for the extraction of PAHs because high viscosity would slow down the mass transfer thus reduce extraction efficiency [8, 1</w:t>
      </w:r>
      <w:r w:rsidRPr="00686D4E">
        <w:rPr>
          <w:rFonts w:ascii="Times New Roman" w:hAnsi="Times New Roman" w:cs="Times New Roman"/>
          <w:szCs w:val="20"/>
        </w:rPr>
        <w:t>7</w:t>
      </w:r>
      <w:r w:rsidR="003D6227" w:rsidRPr="00686D4E">
        <w:rPr>
          <w:rFonts w:ascii="Times New Roman" w:hAnsi="Times New Roman" w:cs="Times New Roman"/>
          <w:szCs w:val="20"/>
        </w:rPr>
        <w:t xml:space="preserve">]. </w:t>
      </w:r>
    </w:p>
    <w:p w:rsidR="000D7299" w:rsidRPr="00686D4E" w:rsidRDefault="000D7299" w:rsidP="000D7299">
      <w:pPr>
        <w:wordWrap/>
        <w:spacing w:before="3" w:line="242" w:lineRule="auto"/>
        <w:rPr>
          <w:rFonts w:ascii="Times New Roman" w:hAnsi="Times New Roman" w:cs="Times New Roman"/>
          <w:szCs w:val="20"/>
        </w:rPr>
      </w:pPr>
    </w:p>
    <w:p w:rsidR="003D6227" w:rsidRPr="00686D4E" w:rsidRDefault="000D7299" w:rsidP="000D7299">
      <w:pPr>
        <w:wordWrap/>
        <w:spacing w:before="3" w:line="242" w:lineRule="auto"/>
        <w:rPr>
          <w:rFonts w:ascii="Times New Roman" w:hAnsi="Times New Roman" w:cs="Times New Roman"/>
          <w:szCs w:val="20"/>
        </w:rPr>
      </w:pPr>
      <w:r w:rsidRPr="00686D4E">
        <w:rPr>
          <w:rFonts w:ascii="Times New Roman" w:hAnsi="Times New Roman" w:cs="Times New Roman"/>
          <w:szCs w:val="20"/>
        </w:rPr>
        <w:t>The optimum DLLME conditions were 5.0 m</w:t>
      </w:r>
      <w:r w:rsidR="00497270">
        <w:rPr>
          <w:rFonts w:ascii="Times New Roman" w:hAnsi="Times New Roman" w:cs="Times New Roman"/>
          <w:szCs w:val="20"/>
        </w:rPr>
        <w:t>L</w:t>
      </w:r>
      <w:r w:rsidRPr="00686D4E">
        <w:rPr>
          <w:rFonts w:ascii="Times New Roman" w:hAnsi="Times New Roman" w:cs="Times New Roman"/>
          <w:szCs w:val="20"/>
        </w:rPr>
        <w:t xml:space="preserve"> of sample solution, 30 μ</w:t>
      </w:r>
      <w:r w:rsidR="00497270">
        <w:rPr>
          <w:rFonts w:ascii="Times New Roman" w:hAnsi="Times New Roman" w:cs="Times New Roman"/>
          <w:szCs w:val="20"/>
        </w:rPr>
        <w:t>L</w:t>
      </w:r>
      <w:r w:rsidRPr="00686D4E">
        <w:rPr>
          <w:rFonts w:ascii="Times New Roman" w:hAnsi="Times New Roman" w:cs="Times New Roman"/>
          <w:szCs w:val="20"/>
        </w:rPr>
        <w:t xml:space="preserve"> of 1-bromo-3-methylbutane (extraction solvent) and 800 μ</w:t>
      </w:r>
      <w:r w:rsidR="00497270">
        <w:rPr>
          <w:rFonts w:ascii="Times New Roman" w:hAnsi="Times New Roman" w:cs="Times New Roman"/>
          <w:szCs w:val="20"/>
        </w:rPr>
        <w:t>L</w:t>
      </w:r>
      <w:r w:rsidRPr="00686D4E">
        <w:rPr>
          <w:rFonts w:ascii="Times New Roman" w:hAnsi="Times New Roman" w:cs="Times New Roman"/>
          <w:szCs w:val="20"/>
        </w:rPr>
        <w:t xml:space="preserve"> of acetone (dispersive solvent) in one minute extraction time. </w:t>
      </w:r>
      <w:r w:rsidR="009774E3" w:rsidRPr="00686D4E">
        <w:rPr>
          <w:rFonts w:ascii="Times New Roman" w:hAnsi="Times New Roman" w:cs="Times New Roman"/>
          <w:szCs w:val="20"/>
        </w:rPr>
        <w:t xml:space="preserve">In the MAE-DLLME, the sample was extracted by microwave </w:t>
      </w:r>
      <w:r w:rsidRPr="00686D4E">
        <w:rPr>
          <w:rFonts w:ascii="Times New Roman" w:hAnsi="Times New Roman" w:cs="Times New Roman"/>
          <w:szCs w:val="20"/>
        </w:rPr>
        <w:t xml:space="preserve">power </w:t>
      </w:r>
      <w:r w:rsidR="009774E3" w:rsidRPr="00686D4E">
        <w:rPr>
          <w:rFonts w:ascii="Times New Roman" w:hAnsi="Times New Roman" w:cs="Times New Roman"/>
          <w:szCs w:val="20"/>
        </w:rPr>
        <w:t>of</w:t>
      </w:r>
      <w:r w:rsidRPr="00686D4E">
        <w:rPr>
          <w:rFonts w:ascii="Times New Roman" w:hAnsi="Times New Roman" w:cs="Times New Roman"/>
          <w:szCs w:val="20"/>
        </w:rPr>
        <w:t xml:space="preserve"> 200 W in acetone for 1.5 minutes of irradiation time at room temperature</w:t>
      </w:r>
      <w:r w:rsidR="009774E3" w:rsidRPr="00686D4E">
        <w:rPr>
          <w:rFonts w:ascii="Times New Roman" w:hAnsi="Times New Roman" w:cs="Times New Roman"/>
          <w:szCs w:val="20"/>
        </w:rPr>
        <w:t xml:space="preserve"> followed by optimized DLLME</w:t>
      </w:r>
      <w:r w:rsidR="000A5095" w:rsidRPr="00686D4E">
        <w:rPr>
          <w:rFonts w:ascii="Times New Roman" w:hAnsi="Times New Roman" w:cs="Times New Roman"/>
          <w:szCs w:val="20"/>
        </w:rPr>
        <w:t xml:space="preserve"> [14]</w:t>
      </w:r>
      <w:r w:rsidR="009774E3" w:rsidRPr="00686D4E">
        <w:rPr>
          <w:rFonts w:ascii="Times New Roman" w:hAnsi="Times New Roman" w:cs="Times New Roman"/>
          <w:szCs w:val="20"/>
        </w:rPr>
        <w:t>.</w:t>
      </w:r>
    </w:p>
    <w:p w:rsidR="003D6227" w:rsidRPr="00686D4E" w:rsidRDefault="003D6227" w:rsidP="003D6227">
      <w:pPr>
        <w:wordWrap/>
        <w:spacing w:before="3" w:line="242" w:lineRule="auto"/>
        <w:rPr>
          <w:rFonts w:ascii="Times New Roman" w:hAnsi="Times New Roman" w:cs="Times New Roman"/>
          <w:szCs w:val="20"/>
        </w:rPr>
      </w:pPr>
    </w:p>
    <w:p w:rsidR="00C11491" w:rsidRPr="00686D4E" w:rsidRDefault="00C11491" w:rsidP="00C11491">
      <w:pPr>
        <w:wordWrap/>
        <w:spacing w:before="3" w:line="242" w:lineRule="auto"/>
        <w:rPr>
          <w:rFonts w:ascii="Times New Roman" w:hAnsi="Times New Roman" w:cs="Times New Roman"/>
          <w:b/>
          <w:szCs w:val="20"/>
        </w:rPr>
      </w:pPr>
      <w:r w:rsidRPr="00686D4E">
        <w:rPr>
          <w:rFonts w:ascii="Times New Roman" w:hAnsi="Times New Roman" w:cs="Times New Roman"/>
          <w:b/>
          <w:szCs w:val="20"/>
        </w:rPr>
        <w:t xml:space="preserve">Analytical </w:t>
      </w:r>
      <w:r w:rsidR="00497270">
        <w:rPr>
          <w:rFonts w:ascii="Times New Roman" w:hAnsi="Times New Roman" w:cs="Times New Roman"/>
          <w:b/>
          <w:szCs w:val="20"/>
        </w:rPr>
        <w:t>p</w:t>
      </w:r>
      <w:r w:rsidRPr="00686D4E">
        <w:rPr>
          <w:rFonts w:ascii="Times New Roman" w:hAnsi="Times New Roman" w:cs="Times New Roman"/>
          <w:b/>
          <w:szCs w:val="20"/>
        </w:rPr>
        <w:t>erformances of DLLME and MAE-DLLME</w:t>
      </w:r>
    </w:p>
    <w:p w:rsidR="003D6227" w:rsidRPr="00686D4E" w:rsidRDefault="00C11491" w:rsidP="003D6227">
      <w:pPr>
        <w:wordWrap/>
        <w:spacing w:before="3" w:line="242" w:lineRule="auto"/>
        <w:rPr>
          <w:rFonts w:ascii="Times New Roman" w:hAnsi="Times New Roman" w:cs="Times New Roman"/>
          <w:szCs w:val="20"/>
        </w:rPr>
      </w:pPr>
      <w:r w:rsidRPr="00686D4E">
        <w:rPr>
          <w:rFonts w:ascii="Times New Roman" w:hAnsi="Times New Roman" w:cs="Times New Roman"/>
          <w:szCs w:val="20"/>
        </w:rPr>
        <w:t>The sensitivity of DLLME and MAE-DLLME were evaluated by comparing chromatograms of blank sample obtained using optimized DLLME, optimized MAE-DLLME and chromatogram of spiked cabbage sample obtained using optimized MAE-DLLME. The results were illustrated in Figure 1. Based on Figure 1(a) and (b), some interferences were not fully abated in MAE-DLLME</w:t>
      </w:r>
      <w:r w:rsidR="00841CA5" w:rsidRPr="00686D4E">
        <w:rPr>
          <w:rFonts w:ascii="Times New Roman" w:hAnsi="Times New Roman" w:cs="Times New Roman"/>
          <w:szCs w:val="20"/>
        </w:rPr>
        <w:t xml:space="preserve"> because there were</w:t>
      </w:r>
      <w:r w:rsidR="000A5095" w:rsidRPr="00686D4E">
        <w:rPr>
          <w:rFonts w:ascii="Times New Roman" w:hAnsi="Times New Roman" w:cs="Times New Roman"/>
          <w:szCs w:val="20"/>
        </w:rPr>
        <w:t xml:space="preserve"> some peaks still appear on the chromatogram</w:t>
      </w:r>
      <w:r w:rsidR="0025475D" w:rsidRPr="00686D4E">
        <w:rPr>
          <w:rFonts w:ascii="Times New Roman" w:hAnsi="Times New Roman" w:cs="Times New Roman"/>
          <w:szCs w:val="20"/>
        </w:rPr>
        <w:t xml:space="preserve"> (Figure 1b)</w:t>
      </w:r>
      <w:r w:rsidR="000A5095" w:rsidRPr="00686D4E">
        <w:rPr>
          <w:rFonts w:ascii="Times New Roman" w:hAnsi="Times New Roman" w:cs="Times New Roman"/>
          <w:szCs w:val="20"/>
        </w:rPr>
        <w:t xml:space="preserve">. </w:t>
      </w:r>
      <w:r w:rsidR="00497270" w:rsidRPr="00686D4E">
        <w:rPr>
          <w:rFonts w:ascii="Times New Roman" w:hAnsi="Times New Roman" w:cs="Times New Roman"/>
          <w:szCs w:val="20"/>
        </w:rPr>
        <w:t>However,</w:t>
      </w:r>
      <w:r w:rsidRPr="00686D4E">
        <w:rPr>
          <w:rFonts w:ascii="Times New Roman" w:hAnsi="Times New Roman" w:cs="Times New Roman"/>
          <w:szCs w:val="20"/>
        </w:rPr>
        <w:t xml:space="preserve"> their peak</w:t>
      </w:r>
      <w:r w:rsidR="0025475D" w:rsidRPr="00686D4E">
        <w:rPr>
          <w:rFonts w:ascii="Times New Roman" w:hAnsi="Times New Roman" w:cs="Times New Roman"/>
          <w:szCs w:val="20"/>
        </w:rPr>
        <w:t>’s</w:t>
      </w:r>
      <w:r w:rsidRPr="00686D4E">
        <w:rPr>
          <w:rFonts w:ascii="Times New Roman" w:hAnsi="Times New Roman" w:cs="Times New Roman"/>
          <w:szCs w:val="20"/>
        </w:rPr>
        <w:t xml:space="preserve"> </w:t>
      </w:r>
      <w:r w:rsidR="0025475D" w:rsidRPr="00686D4E">
        <w:rPr>
          <w:rFonts w:ascii="Times New Roman" w:hAnsi="Times New Roman" w:cs="Times New Roman"/>
          <w:szCs w:val="20"/>
        </w:rPr>
        <w:t xml:space="preserve">number and </w:t>
      </w:r>
      <w:r w:rsidRPr="00686D4E">
        <w:rPr>
          <w:rFonts w:ascii="Times New Roman" w:hAnsi="Times New Roman" w:cs="Times New Roman"/>
          <w:szCs w:val="20"/>
        </w:rPr>
        <w:t xml:space="preserve">height </w:t>
      </w:r>
      <w:r w:rsidR="0025475D" w:rsidRPr="00686D4E">
        <w:rPr>
          <w:rFonts w:ascii="Times New Roman" w:hAnsi="Times New Roman" w:cs="Times New Roman"/>
          <w:szCs w:val="20"/>
        </w:rPr>
        <w:t xml:space="preserve">were lesser and </w:t>
      </w:r>
      <w:r w:rsidRPr="00686D4E">
        <w:rPr>
          <w:rFonts w:ascii="Times New Roman" w:hAnsi="Times New Roman" w:cs="Times New Roman"/>
          <w:szCs w:val="20"/>
        </w:rPr>
        <w:t>lower than the interference peaks in DLLME</w:t>
      </w:r>
      <w:r w:rsidR="0025475D" w:rsidRPr="00686D4E">
        <w:rPr>
          <w:rFonts w:ascii="Times New Roman" w:hAnsi="Times New Roman" w:cs="Times New Roman"/>
          <w:szCs w:val="20"/>
        </w:rPr>
        <w:t xml:space="preserve"> (Figure 1a)</w:t>
      </w:r>
      <w:r w:rsidRPr="00686D4E">
        <w:rPr>
          <w:rFonts w:ascii="Times New Roman" w:hAnsi="Times New Roman" w:cs="Times New Roman"/>
          <w:szCs w:val="20"/>
        </w:rPr>
        <w:t>. Furthermore, no interference in MAE-DLLME was overlapped with the peak of PAHs. Therefore MAE-DLLME has better sensitivity than DLLME.</w:t>
      </w:r>
    </w:p>
    <w:p w:rsidR="0066798A" w:rsidRPr="00686D4E" w:rsidRDefault="0066798A" w:rsidP="003D6227">
      <w:pPr>
        <w:wordWrap/>
        <w:spacing w:before="3" w:line="242" w:lineRule="auto"/>
        <w:rPr>
          <w:rFonts w:ascii="Times New Roman" w:hAnsi="Times New Roman" w:cs="Times New Roman"/>
          <w:szCs w:val="20"/>
        </w:rPr>
      </w:pPr>
    </w:p>
    <w:p w:rsidR="0066798A" w:rsidRPr="00686D4E" w:rsidRDefault="0066798A" w:rsidP="0066798A">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The results of the analytical performance of DLLME and MAE-DLLME were summarized in Table 1 and 2. The LOD range was between 0.040 μg/L and 0.400 μg/L in DLLME and 0.020 μg/L and 0.080 μg/L in MAE-DLLME. For LOQ, the range was varied from 0.100 μg/L to 1.200 μg/L in DLLME and 0.080 μg/L to 0.250 μg/L in MAE-DLLME. </w:t>
      </w:r>
    </w:p>
    <w:p w:rsidR="0066798A" w:rsidRPr="00686D4E" w:rsidRDefault="0066798A" w:rsidP="0066798A">
      <w:pPr>
        <w:wordWrap/>
        <w:spacing w:before="3" w:line="242" w:lineRule="auto"/>
        <w:rPr>
          <w:rFonts w:ascii="Times New Roman" w:hAnsi="Times New Roman" w:cs="Times New Roman"/>
          <w:szCs w:val="20"/>
        </w:rPr>
      </w:pPr>
    </w:p>
    <w:p w:rsidR="0066798A" w:rsidRPr="00686D4E" w:rsidRDefault="0066798A" w:rsidP="0066798A">
      <w:pPr>
        <w:wordWrap/>
        <w:spacing w:before="3" w:line="242" w:lineRule="auto"/>
        <w:rPr>
          <w:rFonts w:ascii="Times New Roman" w:hAnsi="Times New Roman" w:cs="Times New Roman"/>
          <w:szCs w:val="20"/>
        </w:rPr>
      </w:pPr>
      <w:r w:rsidRPr="00686D4E">
        <w:rPr>
          <w:rFonts w:ascii="Times New Roman" w:hAnsi="Times New Roman" w:cs="Times New Roman"/>
          <w:szCs w:val="20"/>
        </w:rPr>
        <w:t>The precision and the accuracy performances were attained by spiking cabbage sample at 80 μg/</w:t>
      </w:r>
      <w:r w:rsidR="00497270">
        <w:rPr>
          <w:rFonts w:ascii="Times New Roman" w:hAnsi="Times New Roman" w:cs="Times New Roman"/>
          <w:szCs w:val="20"/>
        </w:rPr>
        <w:t>L</w:t>
      </w:r>
      <w:r w:rsidRPr="00686D4E">
        <w:rPr>
          <w:rFonts w:ascii="Times New Roman" w:hAnsi="Times New Roman" w:cs="Times New Roman"/>
          <w:szCs w:val="20"/>
        </w:rPr>
        <w:t xml:space="preserve"> of 13 PAHs in MAE-DLLME and 120 μg/</w:t>
      </w:r>
      <w:r w:rsidR="00497270">
        <w:rPr>
          <w:rFonts w:ascii="Times New Roman" w:hAnsi="Times New Roman" w:cs="Times New Roman"/>
          <w:szCs w:val="20"/>
        </w:rPr>
        <w:t>L</w:t>
      </w:r>
      <w:r w:rsidRPr="00686D4E">
        <w:rPr>
          <w:rFonts w:ascii="Times New Roman" w:hAnsi="Times New Roman" w:cs="Times New Roman"/>
          <w:szCs w:val="20"/>
        </w:rPr>
        <w:t xml:space="preserve"> in DLLME. The precision and accuracy were ranged from 1.22% to 7.50% and 71.77% to 90.93% respectively in DLLME. For MAE-DLLME, the precision was ranged from 0.77% to 3.07% and accuracy was between 83.65% and 98.42%. These results demonstrated that MAE-DLLME is more accurate and repeatable than DLLME. Besides, the relative ERs and EFs of MAE-DLLME were higher than the relative ERs and EFs of DLLME. It may due to the low volume usage of extraction solvent and reduction of matrix interference in MAE-DLLME.</w:t>
      </w:r>
    </w:p>
    <w:p w:rsidR="0066798A" w:rsidRPr="00686D4E" w:rsidRDefault="0066798A" w:rsidP="003D6227">
      <w:pPr>
        <w:wordWrap/>
        <w:spacing w:before="3" w:line="242" w:lineRule="auto"/>
        <w:rPr>
          <w:rFonts w:ascii="Times New Roman" w:hAnsi="Times New Roman" w:cs="Times New Roman"/>
          <w:szCs w:val="20"/>
        </w:rPr>
      </w:pPr>
    </w:p>
    <w:p w:rsidR="0066798A" w:rsidRPr="00686D4E" w:rsidRDefault="0066798A" w:rsidP="0066798A">
      <w:pPr>
        <w:wordWrap/>
        <w:spacing w:before="3" w:line="242" w:lineRule="auto"/>
        <w:rPr>
          <w:rFonts w:ascii="Times New Roman" w:hAnsi="Times New Roman" w:cs="Times New Roman"/>
          <w:szCs w:val="20"/>
        </w:rPr>
      </w:pPr>
      <w:r w:rsidRPr="00686D4E">
        <w:rPr>
          <w:rFonts w:ascii="Times New Roman" w:hAnsi="Times New Roman" w:cs="Times New Roman"/>
          <w:szCs w:val="20"/>
        </w:rPr>
        <w:t>Based on the results in Table 1 and 2, the proposed MAE-DLLME showed better analytical performance than DLLME. This might due to the good sample preparation that eliminated the large matrix impurities from the sample. During the microwave process, the thermal labile matrix impurities would be degraded thus enable high mass transfer of PAHs from samples into organic phase. Furthermore, the minimum volume of extraction solvent (50 μ</w:t>
      </w:r>
      <w:r w:rsidR="00497270">
        <w:rPr>
          <w:rFonts w:ascii="Times New Roman" w:hAnsi="Times New Roman" w:cs="Times New Roman"/>
          <w:szCs w:val="20"/>
        </w:rPr>
        <w:t>L</w:t>
      </w:r>
      <w:r w:rsidRPr="00686D4E">
        <w:rPr>
          <w:rFonts w:ascii="Times New Roman" w:hAnsi="Times New Roman" w:cs="Times New Roman"/>
          <w:szCs w:val="20"/>
        </w:rPr>
        <w:t>) used in DLLME was higher than the minimum volume of extraction solvent (30 μ</w:t>
      </w:r>
      <w:r w:rsidR="00497270">
        <w:rPr>
          <w:rFonts w:ascii="Times New Roman" w:hAnsi="Times New Roman" w:cs="Times New Roman"/>
          <w:szCs w:val="20"/>
        </w:rPr>
        <w:t>L</w:t>
      </w:r>
      <w:r w:rsidRPr="00686D4E">
        <w:rPr>
          <w:rFonts w:ascii="Times New Roman" w:hAnsi="Times New Roman" w:cs="Times New Roman"/>
          <w:szCs w:val="20"/>
        </w:rPr>
        <w:t xml:space="preserve">) used in MAE-DLLME. The reduction of extraction solvent minimized the exposure risk of organic solvent to operator and environment. MAE-DLLME is more cost-effective if large amounts of sample are required to be analysed. </w:t>
      </w:r>
    </w:p>
    <w:p w:rsidR="0066798A" w:rsidRPr="00686D4E" w:rsidRDefault="0066798A" w:rsidP="003D6227">
      <w:pPr>
        <w:wordWrap/>
        <w:spacing w:before="3" w:line="242" w:lineRule="auto"/>
        <w:rPr>
          <w:rFonts w:ascii="Times New Roman" w:hAnsi="Times New Roman" w:cs="Times New Roman"/>
          <w:szCs w:val="20"/>
        </w:rPr>
      </w:pPr>
    </w:p>
    <w:p w:rsidR="00497270" w:rsidRDefault="00497270" w:rsidP="003D6227">
      <w:pPr>
        <w:wordWrap/>
        <w:spacing w:before="3" w:line="242" w:lineRule="auto"/>
        <w:rPr>
          <w:rFonts w:ascii="Times New Roman" w:hAnsi="Times New Roman" w:cs="Times New Roman"/>
          <w:szCs w:val="20"/>
        </w:rPr>
      </w:pPr>
    </w:p>
    <w:p w:rsidR="00497270" w:rsidRPr="00686D4E" w:rsidRDefault="00497270" w:rsidP="00497270">
      <w:pPr>
        <w:wordWrap/>
        <w:spacing w:before="3" w:line="242" w:lineRule="auto"/>
        <w:jc w:val="left"/>
        <w:rPr>
          <w:rFonts w:ascii="Times New Roman" w:hAnsi="Times New Roman" w:cs="Times New Roman"/>
          <w:szCs w:val="20"/>
        </w:rPr>
      </w:pPr>
      <w:r w:rsidRPr="00686D4E">
        <w:rPr>
          <w:rFonts w:ascii="Times New Roman" w:hAnsi="Times New Roman" w:cs="Times New Roman"/>
          <w:szCs w:val="20"/>
        </w:rPr>
        <w:t>*Peak No. 1-Biphenyl (Internal Standard), 2-Acenaphthylene, 3-Fluorene, 4-Phenanthrene, 5-Anthracene, 6-</w:t>
      </w:r>
    </w:p>
    <w:p w:rsidR="00497270" w:rsidRPr="00686D4E" w:rsidRDefault="00497270" w:rsidP="00497270">
      <w:pPr>
        <w:wordWrap/>
        <w:spacing w:before="3" w:line="242" w:lineRule="auto"/>
        <w:jc w:val="left"/>
        <w:rPr>
          <w:rFonts w:ascii="Times New Roman" w:hAnsi="Times New Roman" w:cs="Times New Roman"/>
          <w:szCs w:val="20"/>
        </w:rPr>
      </w:pPr>
      <w:r w:rsidRPr="00686D4E">
        <w:rPr>
          <w:rFonts w:ascii="Times New Roman" w:hAnsi="Times New Roman" w:cs="Times New Roman"/>
          <w:szCs w:val="20"/>
        </w:rPr>
        <w:t>Pyrene, 7-benzo[a]anthracene, 8-Chrysene, 9-benzo[b]fluoranthene, 10-benzo[k]fluoranthene, 11-</w:t>
      </w:r>
    </w:p>
    <w:p w:rsidR="00497270" w:rsidRPr="00686D4E" w:rsidRDefault="00497270" w:rsidP="00497270">
      <w:pPr>
        <w:wordWrap/>
        <w:spacing w:before="3" w:line="242" w:lineRule="auto"/>
        <w:jc w:val="left"/>
        <w:rPr>
          <w:rFonts w:ascii="Times New Roman" w:hAnsi="Times New Roman" w:cs="Times New Roman"/>
          <w:szCs w:val="20"/>
        </w:rPr>
      </w:pPr>
      <w:r w:rsidRPr="00686D4E">
        <w:rPr>
          <w:rFonts w:ascii="Times New Roman" w:hAnsi="Times New Roman" w:cs="Times New Roman"/>
          <w:szCs w:val="20"/>
        </w:rPr>
        <w:t>benzo[a]pyrene, 12-Dibenz[a,h]anthracene, 13-Benzo[ghi]perylene, 14-Indeno[1,2,3-cd]pyrene.</w:t>
      </w:r>
    </w:p>
    <w:p w:rsidR="003B6D22" w:rsidRPr="00686D4E" w:rsidRDefault="00125F8F" w:rsidP="003D6227">
      <w:pPr>
        <w:wordWrap/>
        <w:spacing w:before="3" w:line="242" w:lineRule="auto"/>
        <w:rPr>
          <w:rFonts w:ascii="Times New Roman" w:hAnsi="Times New Roman" w:cs="Times New Roman"/>
          <w:szCs w:val="20"/>
        </w:rPr>
      </w:pPr>
      <w:r w:rsidRPr="00686D4E">
        <w:rPr>
          <w:rFonts w:ascii="Times New Roman" w:hAnsi="Times New Roman" w:cs="Times New Roman"/>
          <w:noProof/>
          <w:szCs w:val="20"/>
          <w:lang w:eastAsia="zh-CN"/>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7315</wp:posOffset>
            </wp:positionV>
            <wp:extent cx="6257978" cy="346009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978" cy="346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491" w:rsidRPr="00497270" w:rsidRDefault="00C11491" w:rsidP="00497270">
      <w:pPr>
        <w:wordWrap/>
        <w:spacing w:before="3" w:line="242" w:lineRule="auto"/>
        <w:rPr>
          <w:rFonts w:ascii="Times New Roman" w:hAnsi="Times New Roman" w:cs="Times New Roman"/>
          <w:bCs/>
          <w:szCs w:val="20"/>
        </w:rPr>
      </w:pPr>
      <w:r w:rsidRPr="00497270">
        <w:rPr>
          <w:rFonts w:ascii="Times New Roman" w:hAnsi="Times New Roman" w:cs="Times New Roman"/>
          <w:bCs/>
          <w:szCs w:val="20"/>
        </w:rPr>
        <w:t>Figure 1. Chromatograms of (a) blank cabbage sample using optimized DLLME (b) blank cabbage sample</w:t>
      </w:r>
    </w:p>
    <w:p w:rsidR="00497270" w:rsidRPr="00497270" w:rsidRDefault="00497270" w:rsidP="00497270">
      <w:pPr>
        <w:wordWrap/>
        <w:spacing w:before="3" w:line="242" w:lineRule="auto"/>
        <w:ind w:left="851" w:hanging="851"/>
        <w:jc w:val="left"/>
        <w:rPr>
          <w:rFonts w:ascii="Times New Roman" w:hAnsi="Times New Roman" w:cs="Times New Roman"/>
          <w:bCs/>
          <w:szCs w:val="20"/>
        </w:rPr>
      </w:pPr>
      <w:r>
        <w:rPr>
          <w:rFonts w:ascii="Times New Roman" w:hAnsi="Times New Roman" w:cs="Times New Roman"/>
          <w:bCs/>
          <w:szCs w:val="20"/>
        </w:rPr>
        <w:t xml:space="preserve">                </w:t>
      </w:r>
      <w:r w:rsidR="00C11491" w:rsidRPr="00497270">
        <w:rPr>
          <w:rFonts w:ascii="Times New Roman" w:hAnsi="Times New Roman" w:cs="Times New Roman"/>
          <w:bCs/>
          <w:szCs w:val="20"/>
        </w:rPr>
        <w:t>using optimized MAE-DLLME and (c) spiked cabbage sample using optimized MAE-DLLME</w:t>
      </w:r>
      <w:r>
        <w:rPr>
          <w:rFonts w:ascii="Times New Roman" w:hAnsi="Times New Roman" w:cs="Times New Roman"/>
          <w:bCs/>
          <w:szCs w:val="20"/>
        </w:rPr>
        <w:t xml:space="preserve">.      </w:t>
      </w:r>
      <w:r w:rsidRPr="00686D4E">
        <w:rPr>
          <w:rFonts w:ascii="Times New Roman" w:hAnsi="Times New Roman" w:cs="Times New Roman"/>
          <w:szCs w:val="20"/>
        </w:rPr>
        <w:t>No. 1-Biphenyl (Internal Standard), 2-Acenaphthylene, 3-Fluorene, 4-Phenanthrene, 5-Anthracene, 6-</w:t>
      </w:r>
    </w:p>
    <w:p w:rsidR="00497270" w:rsidRPr="00686D4E" w:rsidRDefault="00497270" w:rsidP="00497270">
      <w:pPr>
        <w:wordWrap/>
        <w:spacing w:before="3" w:line="242" w:lineRule="auto"/>
        <w:ind w:left="851" w:hanging="851"/>
        <w:jc w:val="left"/>
        <w:rPr>
          <w:rFonts w:ascii="Times New Roman" w:hAnsi="Times New Roman" w:cs="Times New Roman"/>
          <w:szCs w:val="20"/>
        </w:rPr>
      </w:pPr>
      <w:r>
        <w:rPr>
          <w:rFonts w:ascii="Times New Roman" w:hAnsi="Times New Roman" w:cs="Times New Roman"/>
          <w:szCs w:val="20"/>
        </w:rPr>
        <w:t xml:space="preserve">                </w:t>
      </w:r>
      <w:r w:rsidRPr="00686D4E">
        <w:rPr>
          <w:rFonts w:ascii="Times New Roman" w:hAnsi="Times New Roman" w:cs="Times New Roman"/>
          <w:szCs w:val="20"/>
        </w:rPr>
        <w:t>Pyrene, 7-benzo[a]anthracene, 8-Chrysene, 9-benzo[b]fluoranthene, 10-benzo[k]fluoranthene, 11-</w:t>
      </w:r>
    </w:p>
    <w:p w:rsidR="00497270" w:rsidRPr="00686D4E" w:rsidRDefault="00497270" w:rsidP="00497270">
      <w:pPr>
        <w:wordWrap/>
        <w:spacing w:before="3" w:line="242" w:lineRule="auto"/>
        <w:jc w:val="left"/>
        <w:rPr>
          <w:rFonts w:ascii="Times New Roman" w:hAnsi="Times New Roman" w:cs="Times New Roman"/>
          <w:szCs w:val="20"/>
        </w:rPr>
      </w:pPr>
      <w:r>
        <w:rPr>
          <w:rFonts w:ascii="Times New Roman" w:hAnsi="Times New Roman" w:cs="Times New Roman"/>
          <w:szCs w:val="20"/>
        </w:rPr>
        <w:t xml:space="preserve">                </w:t>
      </w:r>
      <w:r w:rsidRPr="00686D4E">
        <w:rPr>
          <w:rFonts w:ascii="Times New Roman" w:hAnsi="Times New Roman" w:cs="Times New Roman"/>
          <w:szCs w:val="20"/>
        </w:rPr>
        <w:t>benzo[a]pyrene, 12-Dibenz[a,h]anthracene, 13-Benzo[ghi]perylene, 14-Indeno[1,2,3-cd]pyrene</w:t>
      </w:r>
    </w:p>
    <w:p w:rsidR="003B6D22" w:rsidRPr="00686D4E" w:rsidRDefault="003B6D22" w:rsidP="00497270">
      <w:pPr>
        <w:wordWrap/>
        <w:spacing w:before="3" w:line="242" w:lineRule="auto"/>
        <w:jc w:val="center"/>
        <w:rPr>
          <w:rFonts w:ascii="Times New Roman" w:hAnsi="Times New Roman" w:cs="Times New Roman"/>
          <w:szCs w:val="20"/>
        </w:rPr>
      </w:pPr>
    </w:p>
    <w:p w:rsidR="009E4FE9" w:rsidRDefault="009E4FE9" w:rsidP="00497270">
      <w:pPr>
        <w:wordWrap/>
        <w:spacing w:before="3" w:line="242" w:lineRule="auto"/>
        <w:jc w:val="center"/>
        <w:rPr>
          <w:rFonts w:ascii="Times New Roman" w:hAnsi="Times New Roman" w:cs="Times New Roman"/>
          <w:szCs w:val="20"/>
        </w:rPr>
      </w:pPr>
      <w:r w:rsidRPr="00686D4E">
        <w:rPr>
          <w:rFonts w:ascii="Times New Roman" w:hAnsi="Times New Roman" w:cs="Times New Roman"/>
          <w:szCs w:val="20"/>
        </w:rPr>
        <w:t>Table 1. Analytical performance of DLLME</w:t>
      </w:r>
    </w:p>
    <w:p w:rsidR="00497270" w:rsidRPr="00686D4E" w:rsidRDefault="00497270" w:rsidP="00497270">
      <w:pPr>
        <w:wordWrap/>
        <w:spacing w:before="3" w:line="242" w:lineRule="auto"/>
        <w:jc w:val="center"/>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715"/>
        <w:gridCol w:w="733"/>
        <w:gridCol w:w="1085"/>
        <w:gridCol w:w="689"/>
        <w:gridCol w:w="1302"/>
        <w:gridCol w:w="1279"/>
      </w:tblGrid>
      <w:tr w:rsidR="00686D4E" w:rsidRPr="00686D4E" w:rsidTr="00497270">
        <w:trPr>
          <w:jc w:val="center"/>
        </w:trPr>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Analytes</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LOD</w:t>
            </w:r>
            <w:r w:rsidR="001B1D3A" w:rsidRPr="00686D4E">
              <w:rPr>
                <w:rFonts w:ascii="Times New Roman" w:hAnsi="Times New Roman" w:cs="Times New Roman"/>
                <w:b/>
                <w:szCs w:val="20"/>
                <w:vertAlign w:val="superscript"/>
              </w:rPr>
              <w:t>a</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LOQ</w:t>
            </w:r>
            <w:r w:rsidR="001B1D3A" w:rsidRPr="00686D4E">
              <w:rPr>
                <w:rFonts w:ascii="Times New Roman" w:hAnsi="Times New Roman" w:cs="Times New Roman"/>
                <w:b/>
                <w:szCs w:val="20"/>
                <w:vertAlign w:val="superscript"/>
              </w:rPr>
              <w:t>b</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Accuracy</w:t>
            </w:r>
            <w:r w:rsidR="001B1D3A" w:rsidRPr="00686D4E">
              <w:rPr>
                <w:rFonts w:ascii="Times New Roman" w:hAnsi="Times New Roman" w:cs="Times New Roman"/>
                <w:b/>
                <w:szCs w:val="20"/>
                <w:vertAlign w:val="superscript"/>
              </w:rPr>
              <w:t>c</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RSD</w:t>
            </w:r>
            <w:r w:rsidR="001B1D3A" w:rsidRPr="00686D4E">
              <w:rPr>
                <w:rFonts w:ascii="Times New Roman" w:hAnsi="Times New Roman" w:cs="Times New Roman"/>
                <w:b/>
                <w:szCs w:val="20"/>
                <w:vertAlign w:val="superscript"/>
              </w:rPr>
              <w:t>d</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Relative ER</w:t>
            </w:r>
            <w:r w:rsidR="001B1D3A" w:rsidRPr="00686D4E">
              <w:rPr>
                <w:rFonts w:ascii="Times New Roman" w:hAnsi="Times New Roman" w:cs="Times New Roman"/>
                <w:b/>
                <w:szCs w:val="20"/>
                <w:vertAlign w:val="superscript"/>
              </w:rPr>
              <w:t>e</w:t>
            </w:r>
          </w:p>
        </w:tc>
        <w:tc>
          <w:tcPr>
            <w:tcW w:w="0" w:type="auto"/>
            <w:tcBorders>
              <w:top w:val="single" w:sz="4" w:space="0" w:color="auto"/>
              <w:bottom w:val="single" w:sz="4" w:space="0" w:color="auto"/>
            </w:tcBorders>
          </w:tcPr>
          <w:p w:rsidR="009E4FE9" w:rsidRPr="00686D4E" w:rsidRDefault="009E4FE9" w:rsidP="001B1D3A">
            <w:pPr>
              <w:jc w:val="center"/>
              <w:outlineLvl w:val="0"/>
              <w:rPr>
                <w:rFonts w:ascii="Times New Roman" w:hAnsi="Times New Roman" w:cs="Times New Roman"/>
                <w:b/>
                <w:szCs w:val="20"/>
              </w:rPr>
            </w:pPr>
            <w:r w:rsidRPr="00686D4E">
              <w:rPr>
                <w:rFonts w:ascii="Times New Roman" w:hAnsi="Times New Roman" w:cs="Times New Roman"/>
                <w:b/>
                <w:szCs w:val="20"/>
              </w:rPr>
              <w:t>Relative EF</w:t>
            </w:r>
            <w:r w:rsidR="001B1D3A" w:rsidRPr="00686D4E">
              <w:rPr>
                <w:rFonts w:ascii="Times New Roman" w:hAnsi="Times New Roman" w:cs="Times New Roman"/>
                <w:b/>
                <w:szCs w:val="20"/>
                <w:vertAlign w:val="superscript"/>
              </w:rPr>
              <w:t>e</w:t>
            </w:r>
          </w:p>
        </w:tc>
      </w:tr>
      <w:tr w:rsidR="00686D4E" w:rsidRPr="00686D4E" w:rsidTr="00497270">
        <w:trPr>
          <w:jc w:val="center"/>
        </w:trPr>
        <w:tc>
          <w:tcPr>
            <w:tcW w:w="0" w:type="auto"/>
            <w:tcBorders>
              <w:top w:val="single" w:sz="4" w:space="0" w:color="auto"/>
            </w:tcBorders>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ACY</w:t>
            </w:r>
          </w:p>
        </w:tc>
        <w:tc>
          <w:tcPr>
            <w:tcW w:w="0" w:type="auto"/>
            <w:tcBorders>
              <w:top w:val="single" w:sz="4" w:space="0" w:color="auto"/>
            </w:tcBorders>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tcBorders>
              <w:top w:val="single" w:sz="4" w:space="0" w:color="auto"/>
            </w:tcBorders>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20</w:t>
            </w:r>
          </w:p>
        </w:tc>
        <w:tc>
          <w:tcPr>
            <w:tcW w:w="0" w:type="auto"/>
            <w:tcBorders>
              <w:top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88.16</w:t>
            </w:r>
          </w:p>
        </w:tc>
        <w:tc>
          <w:tcPr>
            <w:tcW w:w="0" w:type="auto"/>
            <w:tcBorders>
              <w:top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2.94</w:t>
            </w:r>
          </w:p>
        </w:tc>
        <w:tc>
          <w:tcPr>
            <w:tcW w:w="0" w:type="auto"/>
            <w:tcBorders>
              <w:top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88.16</w:t>
            </w:r>
          </w:p>
        </w:tc>
        <w:tc>
          <w:tcPr>
            <w:tcW w:w="0" w:type="auto"/>
            <w:tcBorders>
              <w:top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192</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FLU</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20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90.93</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4.59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90.93</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202</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PHE</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80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82.99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2.79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82.99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195</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ANT</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30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89.40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7.19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89.40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182</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PYR</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15</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79.28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4.93</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79.28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168</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BaA</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77.08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4.89</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77.08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179</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CHR</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78.52</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4.66</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78.52</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174</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BbF</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120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71.77</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2.06</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71.77</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180</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BkF</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20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76.46</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1.22</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76.46</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174</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BaP</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77.28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7.50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77.28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166</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DahA</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76.50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3.18</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76.50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165</w:t>
            </w:r>
          </w:p>
        </w:tc>
      </w:tr>
      <w:tr w:rsidR="00686D4E" w:rsidRPr="00686D4E" w:rsidTr="00497270">
        <w:trPr>
          <w:jc w:val="center"/>
        </w:trPr>
        <w:tc>
          <w:tcPr>
            <w:tcW w:w="0" w:type="auto"/>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BghiP</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30</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80.22</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2.84</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80.22</w:t>
            </w:r>
          </w:p>
        </w:tc>
        <w:tc>
          <w:tcPr>
            <w:tcW w:w="0" w:type="auto"/>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166</w:t>
            </w:r>
          </w:p>
        </w:tc>
      </w:tr>
      <w:tr w:rsidR="00686D4E" w:rsidRPr="00686D4E" w:rsidTr="00497270">
        <w:trPr>
          <w:jc w:val="center"/>
        </w:trPr>
        <w:tc>
          <w:tcPr>
            <w:tcW w:w="0" w:type="auto"/>
            <w:tcBorders>
              <w:bottom w:val="single" w:sz="4" w:space="0" w:color="auto"/>
            </w:tcBorders>
            <w:vAlign w:val="center"/>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IcP</w:t>
            </w:r>
          </w:p>
        </w:tc>
        <w:tc>
          <w:tcPr>
            <w:tcW w:w="0" w:type="auto"/>
            <w:tcBorders>
              <w:bottom w:val="single" w:sz="4" w:space="0" w:color="auto"/>
            </w:tcBorders>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tcBorders>
              <w:bottom w:val="single" w:sz="4" w:space="0" w:color="auto"/>
            </w:tcBorders>
            <w:vAlign w:val="bottom"/>
          </w:tcPr>
          <w:p w:rsidR="009E4FE9" w:rsidRPr="00686D4E" w:rsidRDefault="009E4FE9" w:rsidP="001B1D3A">
            <w:pPr>
              <w:jc w:val="center"/>
              <w:rPr>
                <w:rFonts w:ascii="Times New Roman" w:hAnsi="Times New Roman" w:cs="Times New Roman"/>
                <w:szCs w:val="20"/>
              </w:rPr>
            </w:pPr>
            <w:r w:rsidRPr="00686D4E">
              <w:rPr>
                <w:rFonts w:ascii="Times New Roman" w:hAnsi="Times New Roman" w:cs="Times New Roman"/>
                <w:szCs w:val="20"/>
              </w:rPr>
              <w:t>40</w:t>
            </w:r>
          </w:p>
        </w:tc>
        <w:tc>
          <w:tcPr>
            <w:tcW w:w="0" w:type="auto"/>
            <w:tcBorders>
              <w:bottom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78.56</w:t>
            </w:r>
          </w:p>
        </w:tc>
        <w:tc>
          <w:tcPr>
            <w:tcW w:w="0" w:type="auto"/>
            <w:tcBorders>
              <w:bottom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2.40</w:t>
            </w:r>
          </w:p>
        </w:tc>
        <w:tc>
          <w:tcPr>
            <w:tcW w:w="0" w:type="auto"/>
            <w:tcBorders>
              <w:bottom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78.56</w:t>
            </w:r>
          </w:p>
        </w:tc>
        <w:tc>
          <w:tcPr>
            <w:tcW w:w="0" w:type="auto"/>
            <w:tcBorders>
              <w:bottom w:val="single" w:sz="4" w:space="0" w:color="auto"/>
            </w:tcBorders>
            <w:vAlign w:val="bottom"/>
          </w:tcPr>
          <w:p w:rsidR="009E4FE9" w:rsidRPr="00686D4E" w:rsidRDefault="009E4FE9"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167</w:t>
            </w:r>
          </w:p>
        </w:tc>
      </w:tr>
    </w:tbl>
    <w:p w:rsidR="0052685E" w:rsidRPr="00497270" w:rsidRDefault="0052685E" w:rsidP="00497270">
      <w:pPr>
        <w:wordWrap/>
        <w:spacing w:before="3" w:line="242" w:lineRule="auto"/>
        <w:ind w:firstLine="720"/>
        <w:rPr>
          <w:rFonts w:ascii="Times New Roman" w:hAnsi="Times New Roman" w:cs="Times New Roman"/>
          <w:sz w:val="16"/>
          <w:szCs w:val="16"/>
        </w:rPr>
      </w:pPr>
      <w:r w:rsidRPr="00497270">
        <w:rPr>
          <w:rFonts w:ascii="Times New Roman" w:hAnsi="Times New Roman" w:cs="Times New Roman"/>
          <w:sz w:val="16"/>
          <w:szCs w:val="16"/>
          <w:vertAlign w:val="superscript"/>
        </w:rPr>
        <w:t>a</w:t>
      </w:r>
      <w:r w:rsidRPr="00497270">
        <w:rPr>
          <w:rFonts w:ascii="Times New Roman" w:hAnsi="Times New Roman" w:cs="Times New Roman"/>
          <w:sz w:val="16"/>
          <w:szCs w:val="16"/>
        </w:rPr>
        <w:t>: LOD, limit of detection (S/N = 3), 10</w:t>
      </w:r>
      <w:r w:rsidRPr="00497270">
        <w:rPr>
          <w:rFonts w:ascii="Times New Roman" w:hAnsi="Times New Roman" w:cs="Times New Roman"/>
          <w:sz w:val="16"/>
          <w:szCs w:val="16"/>
          <w:vertAlign w:val="superscript"/>
        </w:rPr>
        <w:t>-2</w:t>
      </w:r>
      <w:r w:rsidRPr="00497270">
        <w:rPr>
          <w:rFonts w:ascii="Times New Roman" w:hAnsi="Times New Roman" w:cs="Times New Roman"/>
          <w:sz w:val="16"/>
          <w:szCs w:val="16"/>
        </w:rPr>
        <w:t xml:space="preserve"> μg/L</w:t>
      </w:r>
    </w:p>
    <w:p w:rsidR="0052685E" w:rsidRPr="00497270" w:rsidRDefault="0052685E" w:rsidP="00497270">
      <w:pPr>
        <w:wordWrap/>
        <w:spacing w:before="3" w:line="242" w:lineRule="auto"/>
        <w:ind w:firstLine="720"/>
        <w:rPr>
          <w:rFonts w:ascii="Times New Roman" w:hAnsi="Times New Roman" w:cs="Times New Roman"/>
          <w:sz w:val="16"/>
          <w:szCs w:val="16"/>
        </w:rPr>
      </w:pPr>
      <w:r w:rsidRPr="00497270">
        <w:rPr>
          <w:rFonts w:ascii="Times New Roman" w:hAnsi="Times New Roman" w:cs="Times New Roman"/>
          <w:sz w:val="16"/>
          <w:szCs w:val="16"/>
          <w:vertAlign w:val="superscript"/>
        </w:rPr>
        <w:t>b</w:t>
      </w:r>
      <w:r w:rsidRPr="00497270">
        <w:rPr>
          <w:rFonts w:ascii="Times New Roman" w:hAnsi="Times New Roman" w:cs="Times New Roman"/>
          <w:sz w:val="16"/>
          <w:szCs w:val="16"/>
        </w:rPr>
        <w:t>: LOQ, limit of quantification (S/N = 10), 10</w:t>
      </w:r>
      <w:r w:rsidRPr="00497270">
        <w:rPr>
          <w:rFonts w:ascii="Times New Roman" w:hAnsi="Times New Roman" w:cs="Times New Roman"/>
          <w:sz w:val="16"/>
          <w:szCs w:val="16"/>
          <w:vertAlign w:val="superscript"/>
        </w:rPr>
        <w:t>-2</w:t>
      </w:r>
      <w:r w:rsidRPr="00497270">
        <w:rPr>
          <w:rFonts w:ascii="Times New Roman" w:hAnsi="Times New Roman" w:cs="Times New Roman"/>
          <w:sz w:val="16"/>
          <w:szCs w:val="16"/>
        </w:rPr>
        <w:t xml:space="preserve"> μg/L</w:t>
      </w:r>
    </w:p>
    <w:p w:rsidR="0052685E" w:rsidRPr="00497270" w:rsidRDefault="0052685E" w:rsidP="00497270">
      <w:pPr>
        <w:wordWrap/>
        <w:spacing w:before="3" w:line="242" w:lineRule="auto"/>
        <w:ind w:left="720"/>
        <w:rPr>
          <w:rFonts w:ascii="Times New Roman" w:hAnsi="Times New Roman" w:cs="Times New Roman"/>
          <w:sz w:val="16"/>
          <w:szCs w:val="16"/>
        </w:rPr>
      </w:pPr>
      <w:r w:rsidRPr="00497270">
        <w:rPr>
          <w:rFonts w:ascii="Times New Roman" w:hAnsi="Times New Roman" w:cs="Times New Roman"/>
          <w:sz w:val="16"/>
          <w:szCs w:val="16"/>
          <w:vertAlign w:val="superscript"/>
        </w:rPr>
        <w:t>c</w:t>
      </w:r>
      <w:r w:rsidRPr="00497270">
        <w:rPr>
          <w:rFonts w:ascii="Times New Roman" w:hAnsi="Times New Roman" w:cs="Times New Roman"/>
          <w:sz w:val="16"/>
          <w:szCs w:val="16"/>
        </w:rPr>
        <w:t>: Accuracy was obtained by calculating ratio of relative ER of cabbage sample and distilled water sample spiked with 120 μg/L in DLLME and 80 μg/L in MAE-DLLME</w:t>
      </w:r>
    </w:p>
    <w:p w:rsidR="0052685E" w:rsidRPr="00497270" w:rsidRDefault="0052685E" w:rsidP="00497270">
      <w:pPr>
        <w:wordWrap/>
        <w:spacing w:before="3" w:line="242" w:lineRule="auto"/>
        <w:ind w:firstLine="720"/>
        <w:rPr>
          <w:rFonts w:ascii="Times New Roman" w:hAnsi="Times New Roman" w:cs="Times New Roman"/>
          <w:sz w:val="16"/>
          <w:szCs w:val="16"/>
        </w:rPr>
      </w:pPr>
      <w:r w:rsidRPr="00497270">
        <w:rPr>
          <w:rFonts w:ascii="Times New Roman" w:hAnsi="Times New Roman" w:cs="Times New Roman"/>
          <w:sz w:val="16"/>
          <w:szCs w:val="16"/>
        </w:rPr>
        <w:t>respectively</w:t>
      </w:r>
    </w:p>
    <w:p w:rsidR="0052685E" w:rsidRPr="00497270" w:rsidRDefault="0052685E" w:rsidP="00497270">
      <w:pPr>
        <w:wordWrap/>
        <w:spacing w:before="3" w:line="242" w:lineRule="auto"/>
        <w:ind w:left="720"/>
        <w:rPr>
          <w:rFonts w:ascii="Times New Roman" w:hAnsi="Times New Roman" w:cs="Times New Roman"/>
          <w:sz w:val="16"/>
          <w:szCs w:val="16"/>
        </w:rPr>
      </w:pPr>
      <w:r w:rsidRPr="00497270">
        <w:rPr>
          <w:rFonts w:ascii="Times New Roman" w:hAnsi="Times New Roman" w:cs="Times New Roman"/>
          <w:sz w:val="16"/>
          <w:szCs w:val="16"/>
          <w:vertAlign w:val="superscript"/>
        </w:rPr>
        <w:t>d</w:t>
      </w:r>
      <w:r w:rsidRPr="00497270">
        <w:rPr>
          <w:rFonts w:ascii="Times New Roman" w:hAnsi="Times New Roman" w:cs="Times New Roman"/>
          <w:sz w:val="16"/>
          <w:szCs w:val="16"/>
        </w:rPr>
        <w:t>: Precision was obtained by calculating ratio of RSD of cabbage sample and distilled water sample spiked with 120 μg/L in DLLME and 80 μg/L in MAE-DLLME respectively</w:t>
      </w:r>
    </w:p>
    <w:p w:rsidR="0052685E" w:rsidRPr="00497270" w:rsidRDefault="0052685E" w:rsidP="00497270">
      <w:pPr>
        <w:wordWrap/>
        <w:spacing w:before="3" w:line="242" w:lineRule="auto"/>
        <w:ind w:firstLine="720"/>
        <w:rPr>
          <w:rFonts w:ascii="Times New Roman" w:hAnsi="Times New Roman" w:cs="Times New Roman"/>
          <w:sz w:val="16"/>
          <w:szCs w:val="16"/>
        </w:rPr>
      </w:pPr>
      <w:r w:rsidRPr="00497270">
        <w:rPr>
          <w:rFonts w:ascii="Times New Roman" w:hAnsi="Times New Roman" w:cs="Times New Roman"/>
          <w:sz w:val="16"/>
          <w:szCs w:val="16"/>
          <w:vertAlign w:val="superscript"/>
        </w:rPr>
        <w:t>e</w:t>
      </w:r>
      <w:r w:rsidRPr="00497270">
        <w:rPr>
          <w:rFonts w:ascii="Times New Roman" w:hAnsi="Times New Roman" w:cs="Times New Roman"/>
          <w:sz w:val="16"/>
          <w:szCs w:val="16"/>
        </w:rPr>
        <w:t>: Relative ER and EF were obtained by calculating the ratio of EF obtained by spiked cabbage sample and spiked distilled water</w:t>
      </w:r>
    </w:p>
    <w:p w:rsidR="0052685E" w:rsidRPr="00686D4E" w:rsidRDefault="0052685E" w:rsidP="00C11491">
      <w:pPr>
        <w:wordWrap/>
        <w:spacing w:before="3" w:line="242" w:lineRule="auto"/>
        <w:rPr>
          <w:rFonts w:ascii="Times New Roman" w:hAnsi="Times New Roman" w:cs="Times New Roman"/>
          <w:szCs w:val="20"/>
        </w:rPr>
      </w:pPr>
    </w:p>
    <w:p w:rsidR="0066798A" w:rsidRDefault="0066798A" w:rsidP="009E4FE9">
      <w:pPr>
        <w:wordWrap/>
        <w:spacing w:before="3" w:line="242" w:lineRule="auto"/>
        <w:rPr>
          <w:rFonts w:ascii="Times New Roman" w:hAnsi="Times New Roman" w:cs="Times New Roman"/>
          <w:szCs w:val="20"/>
        </w:rPr>
      </w:pPr>
    </w:p>
    <w:p w:rsidR="00497270" w:rsidRDefault="00497270" w:rsidP="009E4FE9">
      <w:pPr>
        <w:wordWrap/>
        <w:spacing w:before="3" w:line="242" w:lineRule="auto"/>
        <w:rPr>
          <w:rFonts w:ascii="Times New Roman" w:hAnsi="Times New Roman" w:cs="Times New Roman"/>
          <w:szCs w:val="20"/>
        </w:rPr>
      </w:pPr>
    </w:p>
    <w:p w:rsidR="00497270" w:rsidRPr="00686D4E" w:rsidRDefault="00497270" w:rsidP="009E4FE9">
      <w:pPr>
        <w:wordWrap/>
        <w:spacing w:before="3" w:line="242" w:lineRule="auto"/>
        <w:rPr>
          <w:rFonts w:ascii="Times New Roman" w:hAnsi="Times New Roman" w:cs="Times New Roman"/>
          <w:szCs w:val="20"/>
        </w:rPr>
      </w:pPr>
    </w:p>
    <w:p w:rsidR="009E4FE9" w:rsidRDefault="009E4FE9" w:rsidP="00497270">
      <w:pPr>
        <w:wordWrap/>
        <w:spacing w:before="3" w:line="242" w:lineRule="auto"/>
        <w:jc w:val="center"/>
        <w:rPr>
          <w:rFonts w:ascii="Times New Roman" w:hAnsi="Times New Roman" w:cs="Times New Roman"/>
          <w:szCs w:val="20"/>
        </w:rPr>
      </w:pPr>
      <w:r w:rsidRPr="00686D4E">
        <w:rPr>
          <w:rFonts w:ascii="Times New Roman" w:hAnsi="Times New Roman" w:cs="Times New Roman"/>
          <w:szCs w:val="20"/>
        </w:rPr>
        <w:lastRenderedPageBreak/>
        <w:t>Table 2. Analytical performance of MAE-DLLME</w:t>
      </w:r>
    </w:p>
    <w:p w:rsidR="00497270" w:rsidRPr="00686D4E" w:rsidRDefault="00497270" w:rsidP="00497270">
      <w:pPr>
        <w:wordWrap/>
        <w:spacing w:before="3" w:line="242" w:lineRule="auto"/>
        <w:jc w:val="center"/>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715"/>
        <w:gridCol w:w="733"/>
        <w:gridCol w:w="1085"/>
        <w:gridCol w:w="689"/>
        <w:gridCol w:w="1302"/>
        <w:gridCol w:w="1279"/>
      </w:tblGrid>
      <w:tr w:rsidR="00686D4E" w:rsidRPr="00686D4E" w:rsidTr="006F0BBE">
        <w:trPr>
          <w:jc w:val="center"/>
        </w:trPr>
        <w:tc>
          <w:tcPr>
            <w:tcW w:w="0" w:type="auto"/>
            <w:tcBorders>
              <w:top w:val="single" w:sz="4" w:space="0" w:color="auto"/>
              <w:bottom w:val="single" w:sz="4" w:space="0" w:color="auto"/>
            </w:tcBorders>
          </w:tcPr>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Analytes</w:t>
            </w:r>
          </w:p>
        </w:tc>
        <w:tc>
          <w:tcPr>
            <w:tcW w:w="0" w:type="auto"/>
            <w:tcBorders>
              <w:top w:val="single" w:sz="4" w:space="0" w:color="auto"/>
              <w:bottom w:val="single" w:sz="4" w:space="0" w:color="auto"/>
            </w:tcBorders>
          </w:tcPr>
          <w:p w:rsidR="001B1D3A" w:rsidRPr="00686D4E" w:rsidRDefault="001B1D3A" w:rsidP="00C96AB4">
            <w:pPr>
              <w:jc w:val="center"/>
              <w:outlineLvl w:val="0"/>
              <w:rPr>
                <w:rFonts w:ascii="Times New Roman" w:hAnsi="Times New Roman" w:cs="Times New Roman"/>
                <w:b/>
                <w:szCs w:val="20"/>
              </w:rPr>
            </w:pPr>
            <w:r w:rsidRPr="00686D4E">
              <w:rPr>
                <w:rFonts w:ascii="Times New Roman" w:hAnsi="Times New Roman" w:cs="Times New Roman"/>
                <w:b/>
                <w:szCs w:val="20"/>
              </w:rPr>
              <w:t>LOD</w:t>
            </w:r>
            <w:r w:rsidRPr="00686D4E">
              <w:rPr>
                <w:rFonts w:ascii="Times New Roman" w:hAnsi="Times New Roman" w:cs="Times New Roman"/>
                <w:b/>
                <w:szCs w:val="20"/>
                <w:vertAlign w:val="superscript"/>
              </w:rPr>
              <w:t>a</w:t>
            </w:r>
            <w:r w:rsidR="00C96AB4" w:rsidRPr="00686D4E">
              <w:rPr>
                <w:rFonts w:ascii="Times New Roman" w:hAnsi="Times New Roman" w:cs="Times New Roman"/>
                <w:b/>
                <w:szCs w:val="20"/>
              </w:rPr>
              <w:t xml:space="preserve"> </w:t>
            </w:r>
          </w:p>
        </w:tc>
        <w:tc>
          <w:tcPr>
            <w:tcW w:w="0" w:type="auto"/>
            <w:tcBorders>
              <w:top w:val="single" w:sz="4" w:space="0" w:color="auto"/>
              <w:bottom w:val="single" w:sz="4" w:space="0" w:color="auto"/>
            </w:tcBorders>
          </w:tcPr>
          <w:p w:rsidR="001B1D3A" w:rsidRPr="00686D4E" w:rsidRDefault="001B1D3A" w:rsidP="00C96AB4">
            <w:pPr>
              <w:jc w:val="center"/>
              <w:outlineLvl w:val="0"/>
              <w:rPr>
                <w:rFonts w:ascii="Times New Roman" w:hAnsi="Times New Roman" w:cs="Times New Roman"/>
                <w:b/>
                <w:szCs w:val="20"/>
              </w:rPr>
            </w:pPr>
            <w:r w:rsidRPr="00686D4E">
              <w:rPr>
                <w:rFonts w:ascii="Times New Roman" w:hAnsi="Times New Roman" w:cs="Times New Roman"/>
                <w:b/>
                <w:szCs w:val="20"/>
              </w:rPr>
              <w:t>LOQ</w:t>
            </w:r>
            <w:r w:rsidRPr="00686D4E">
              <w:rPr>
                <w:rFonts w:ascii="Times New Roman" w:hAnsi="Times New Roman" w:cs="Times New Roman"/>
                <w:b/>
                <w:szCs w:val="20"/>
                <w:vertAlign w:val="superscript"/>
              </w:rPr>
              <w:t>b</w:t>
            </w:r>
            <w:r w:rsidR="00C96AB4" w:rsidRPr="00686D4E">
              <w:rPr>
                <w:rFonts w:ascii="Times New Roman" w:hAnsi="Times New Roman" w:cs="Times New Roman"/>
                <w:b/>
                <w:szCs w:val="20"/>
              </w:rPr>
              <w:t xml:space="preserve"> </w:t>
            </w:r>
          </w:p>
        </w:tc>
        <w:tc>
          <w:tcPr>
            <w:tcW w:w="0" w:type="auto"/>
            <w:tcBorders>
              <w:top w:val="single" w:sz="4" w:space="0" w:color="auto"/>
              <w:bottom w:val="single" w:sz="4" w:space="0" w:color="auto"/>
            </w:tcBorders>
          </w:tcPr>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Accuracy</w:t>
            </w:r>
            <w:r w:rsidRPr="00686D4E">
              <w:rPr>
                <w:rFonts w:ascii="Times New Roman" w:hAnsi="Times New Roman" w:cs="Times New Roman"/>
                <w:b/>
                <w:szCs w:val="20"/>
                <w:vertAlign w:val="superscript"/>
              </w:rPr>
              <w:t>c</w:t>
            </w:r>
          </w:p>
        </w:tc>
        <w:tc>
          <w:tcPr>
            <w:tcW w:w="0" w:type="auto"/>
            <w:tcBorders>
              <w:top w:val="single" w:sz="4" w:space="0" w:color="auto"/>
              <w:bottom w:val="single" w:sz="4" w:space="0" w:color="auto"/>
            </w:tcBorders>
          </w:tcPr>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RSD</w:t>
            </w:r>
            <w:r w:rsidRPr="00686D4E">
              <w:rPr>
                <w:rFonts w:ascii="Times New Roman" w:hAnsi="Times New Roman" w:cs="Times New Roman"/>
                <w:b/>
                <w:szCs w:val="20"/>
                <w:vertAlign w:val="superscript"/>
              </w:rPr>
              <w:t>d</w:t>
            </w:r>
          </w:p>
        </w:tc>
        <w:tc>
          <w:tcPr>
            <w:tcW w:w="0" w:type="auto"/>
            <w:tcBorders>
              <w:top w:val="single" w:sz="4" w:space="0" w:color="auto"/>
              <w:bottom w:val="single" w:sz="4" w:space="0" w:color="auto"/>
            </w:tcBorders>
          </w:tcPr>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Relative ER</w:t>
            </w:r>
            <w:r w:rsidRPr="00686D4E">
              <w:rPr>
                <w:rFonts w:ascii="Times New Roman" w:hAnsi="Times New Roman" w:cs="Times New Roman"/>
                <w:b/>
                <w:szCs w:val="20"/>
                <w:vertAlign w:val="superscript"/>
              </w:rPr>
              <w:t>e</w:t>
            </w:r>
          </w:p>
        </w:tc>
        <w:tc>
          <w:tcPr>
            <w:tcW w:w="0" w:type="auto"/>
            <w:tcBorders>
              <w:top w:val="single" w:sz="4" w:space="0" w:color="auto"/>
              <w:bottom w:val="single" w:sz="4" w:space="0" w:color="auto"/>
            </w:tcBorders>
          </w:tcPr>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Relative EF</w:t>
            </w:r>
            <w:r w:rsidRPr="00686D4E">
              <w:rPr>
                <w:rFonts w:ascii="Times New Roman" w:hAnsi="Times New Roman" w:cs="Times New Roman"/>
                <w:b/>
                <w:szCs w:val="20"/>
                <w:vertAlign w:val="superscript"/>
              </w:rPr>
              <w:t>e</w:t>
            </w:r>
          </w:p>
        </w:tc>
      </w:tr>
      <w:tr w:rsidR="00686D4E" w:rsidRPr="00686D4E" w:rsidTr="006F0BBE">
        <w:trPr>
          <w:jc w:val="center"/>
        </w:trPr>
        <w:tc>
          <w:tcPr>
            <w:tcW w:w="0" w:type="auto"/>
            <w:tcBorders>
              <w:top w:val="single" w:sz="4" w:space="0" w:color="auto"/>
            </w:tcBorders>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ACY</w:t>
            </w:r>
          </w:p>
        </w:tc>
        <w:tc>
          <w:tcPr>
            <w:tcW w:w="0" w:type="auto"/>
            <w:tcBorders>
              <w:top w:val="single" w:sz="4" w:space="0" w:color="auto"/>
            </w:tcBorders>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tcBorders>
              <w:top w:val="single" w:sz="4" w:space="0" w:color="auto"/>
            </w:tcBorders>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tcBorders>
              <w:top w:val="single" w:sz="4" w:space="0" w:color="auto"/>
            </w:tcBorders>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94.74</w:t>
            </w:r>
          </w:p>
        </w:tc>
        <w:tc>
          <w:tcPr>
            <w:tcW w:w="0" w:type="auto"/>
            <w:tcBorders>
              <w:top w:val="single" w:sz="4" w:space="0" w:color="auto"/>
            </w:tcBorders>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1.25</w:t>
            </w:r>
          </w:p>
        </w:tc>
        <w:tc>
          <w:tcPr>
            <w:tcW w:w="0" w:type="auto"/>
            <w:tcBorders>
              <w:top w:val="single" w:sz="4" w:space="0" w:color="auto"/>
            </w:tcBorders>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94.74</w:t>
            </w:r>
          </w:p>
        </w:tc>
        <w:tc>
          <w:tcPr>
            <w:tcW w:w="0" w:type="auto"/>
            <w:tcBorders>
              <w:top w:val="single" w:sz="4" w:space="0" w:color="auto"/>
            </w:tcBorders>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131</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FLU</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88.45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2.77</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88.45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134</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PHE</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92.60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3.07</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92.60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126</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ANT</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94.09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1.83</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94.09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141</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PYR</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98.42</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2.61</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98.42</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143</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BaA</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94.06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1.79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94.06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136</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CHR</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84.12</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2.49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84.12</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138</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BbF</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5</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86.78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2.16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86.78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144</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BkF</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93.49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0.77</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93.49</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145</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BaP</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5</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86.46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86.46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136</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DahA</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92.38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92.38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135</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BghiP</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4</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10</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87.46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1.43</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87.46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142</w:t>
            </w:r>
          </w:p>
        </w:tc>
      </w:tr>
      <w:tr w:rsidR="00686D4E" w:rsidRPr="00686D4E" w:rsidTr="006F0BBE">
        <w:trPr>
          <w:jc w:val="center"/>
        </w:trPr>
        <w:tc>
          <w:tcPr>
            <w:tcW w:w="0" w:type="auto"/>
            <w:vAlign w:val="center"/>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IcP</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2</w:t>
            </w:r>
          </w:p>
        </w:tc>
        <w:tc>
          <w:tcPr>
            <w:tcW w:w="0" w:type="auto"/>
            <w:vAlign w:val="bottom"/>
          </w:tcPr>
          <w:p w:rsidR="001B1D3A" w:rsidRPr="00686D4E" w:rsidRDefault="001B1D3A" w:rsidP="001B1D3A">
            <w:pPr>
              <w:jc w:val="center"/>
              <w:rPr>
                <w:rFonts w:ascii="Times New Roman" w:hAnsi="Times New Roman" w:cs="Times New Roman"/>
                <w:szCs w:val="20"/>
              </w:rPr>
            </w:pPr>
            <w:r w:rsidRPr="00686D4E">
              <w:rPr>
                <w:rFonts w:ascii="Times New Roman" w:hAnsi="Times New Roman" w:cs="Times New Roman"/>
                <w:szCs w:val="20"/>
              </w:rPr>
              <w:t>8</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83.65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1.86</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83.65</w:t>
            </w:r>
          </w:p>
        </w:tc>
        <w:tc>
          <w:tcPr>
            <w:tcW w:w="0" w:type="auto"/>
            <w:vAlign w:val="bottom"/>
          </w:tcPr>
          <w:p w:rsidR="001B1D3A" w:rsidRPr="00686D4E" w:rsidRDefault="001B1D3A" w:rsidP="001B1D3A">
            <w:pPr>
              <w:jc w:val="center"/>
              <w:rPr>
                <w:rFonts w:ascii="Times New Roman" w:eastAsia="Times New Roman" w:hAnsi="Times New Roman" w:cs="Times New Roman"/>
                <w:szCs w:val="20"/>
              </w:rPr>
            </w:pPr>
            <w:r w:rsidRPr="00686D4E">
              <w:rPr>
                <w:rFonts w:ascii="Times New Roman" w:eastAsia="Times New Roman" w:hAnsi="Times New Roman" w:cs="Times New Roman"/>
                <w:szCs w:val="20"/>
              </w:rPr>
              <w:t>156</w:t>
            </w:r>
          </w:p>
        </w:tc>
      </w:tr>
    </w:tbl>
    <w:p w:rsidR="001B1D3A" w:rsidRPr="006F0BBE" w:rsidRDefault="006F0BBE" w:rsidP="006F0BBE">
      <w:pPr>
        <w:wordWrap/>
        <w:spacing w:before="3" w:line="242" w:lineRule="auto"/>
        <w:ind w:left="720"/>
        <w:rPr>
          <w:rFonts w:ascii="Times New Roman" w:hAnsi="Times New Roman" w:cs="Times New Roman"/>
          <w:sz w:val="16"/>
          <w:szCs w:val="16"/>
        </w:rPr>
      </w:pPr>
      <w:r>
        <w:rPr>
          <w:rFonts w:ascii="Times New Roman" w:hAnsi="Times New Roman" w:cs="Times New Roman"/>
          <w:sz w:val="16"/>
          <w:szCs w:val="16"/>
        </w:rPr>
        <w:t xml:space="preserve">          </w:t>
      </w:r>
      <w:r w:rsidR="0052685E" w:rsidRPr="006F0BBE">
        <w:rPr>
          <w:rFonts w:ascii="Times New Roman" w:hAnsi="Times New Roman" w:cs="Times New Roman"/>
          <w:sz w:val="16"/>
          <w:szCs w:val="16"/>
        </w:rPr>
        <w:t xml:space="preserve">The abbreviations are same as </w:t>
      </w:r>
      <w:r w:rsidR="00125F8F" w:rsidRPr="006F0BBE">
        <w:rPr>
          <w:rFonts w:ascii="Times New Roman" w:hAnsi="Times New Roman" w:cs="Times New Roman"/>
          <w:sz w:val="16"/>
          <w:szCs w:val="16"/>
        </w:rPr>
        <w:t>described</w:t>
      </w:r>
      <w:r w:rsidR="0052685E" w:rsidRPr="006F0BBE">
        <w:rPr>
          <w:rFonts w:ascii="Times New Roman" w:hAnsi="Times New Roman" w:cs="Times New Roman"/>
          <w:sz w:val="16"/>
          <w:szCs w:val="16"/>
        </w:rPr>
        <w:t xml:space="preserve"> in Table 1.</w:t>
      </w:r>
    </w:p>
    <w:p w:rsidR="0052685E" w:rsidRPr="00686D4E" w:rsidRDefault="0052685E" w:rsidP="001B1D3A">
      <w:pPr>
        <w:wordWrap/>
        <w:spacing w:before="3" w:line="242" w:lineRule="auto"/>
        <w:rPr>
          <w:rFonts w:ascii="Times New Roman" w:hAnsi="Times New Roman" w:cs="Times New Roman"/>
          <w:szCs w:val="20"/>
        </w:rPr>
      </w:pPr>
    </w:p>
    <w:p w:rsidR="00137990" w:rsidRPr="00686D4E" w:rsidRDefault="00137990" w:rsidP="00137990">
      <w:pPr>
        <w:wordWrap/>
        <w:spacing w:before="3" w:line="242" w:lineRule="auto"/>
        <w:rPr>
          <w:rFonts w:ascii="Times New Roman" w:hAnsi="Times New Roman" w:cs="Times New Roman"/>
          <w:b/>
          <w:szCs w:val="20"/>
        </w:rPr>
      </w:pPr>
      <w:r w:rsidRPr="00686D4E">
        <w:rPr>
          <w:rFonts w:ascii="Times New Roman" w:hAnsi="Times New Roman" w:cs="Times New Roman"/>
          <w:b/>
          <w:szCs w:val="20"/>
        </w:rPr>
        <w:t>Comparison of analytical performance of MAE-DLLME with other studies</w:t>
      </w:r>
    </w:p>
    <w:p w:rsidR="00137990" w:rsidRPr="00686D4E" w:rsidRDefault="00137990" w:rsidP="00137990">
      <w:pPr>
        <w:wordWrap/>
        <w:spacing w:before="3" w:line="242" w:lineRule="auto"/>
        <w:rPr>
          <w:rFonts w:ascii="Times New Roman" w:hAnsi="Times New Roman" w:cs="Times New Roman"/>
          <w:szCs w:val="20"/>
        </w:rPr>
      </w:pPr>
      <w:r w:rsidRPr="00686D4E">
        <w:rPr>
          <w:rFonts w:ascii="Times New Roman" w:hAnsi="Times New Roman" w:cs="Times New Roman"/>
          <w:szCs w:val="20"/>
        </w:rPr>
        <w:t>The method performance of developed MAE-DLLME was compared with other methods from literature studies for the determination o</w:t>
      </w:r>
      <w:r w:rsidR="001B1D3A" w:rsidRPr="00686D4E">
        <w:rPr>
          <w:rFonts w:ascii="Times New Roman" w:hAnsi="Times New Roman" w:cs="Times New Roman"/>
          <w:szCs w:val="20"/>
        </w:rPr>
        <w:t>f PAHs in vegetables. Table 3</w:t>
      </w:r>
      <w:r w:rsidRPr="00686D4E">
        <w:rPr>
          <w:rFonts w:ascii="Times New Roman" w:hAnsi="Times New Roman" w:cs="Times New Roman"/>
          <w:szCs w:val="20"/>
        </w:rPr>
        <w:t xml:space="preserve"> shows some analytical features and parameters of the previous st</w:t>
      </w:r>
      <w:r w:rsidR="007459E8" w:rsidRPr="00686D4E">
        <w:rPr>
          <w:rFonts w:ascii="Times New Roman" w:hAnsi="Times New Roman" w:cs="Times New Roman"/>
          <w:szCs w:val="20"/>
        </w:rPr>
        <w:t xml:space="preserve">udies and developed MAE-DLLME. </w:t>
      </w:r>
    </w:p>
    <w:p w:rsidR="007459E8" w:rsidRPr="00686D4E" w:rsidRDefault="007459E8" w:rsidP="00137990">
      <w:pPr>
        <w:wordWrap/>
        <w:spacing w:before="3" w:line="242" w:lineRule="auto"/>
        <w:rPr>
          <w:rFonts w:ascii="Times New Roman" w:hAnsi="Times New Roman" w:cs="Times New Roman"/>
          <w:szCs w:val="20"/>
        </w:rPr>
      </w:pPr>
    </w:p>
    <w:p w:rsidR="00137990" w:rsidRPr="00686D4E" w:rsidRDefault="00137990" w:rsidP="00137990">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It is evident that the developed MAE-DLLME has numerous advantages. No hazardous chemicals were used in developed MAE-DLLME for sample preparation prior to extraction. The matrix interferences in vegetable samples can be </w:t>
      </w:r>
      <w:r w:rsidR="007459E8" w:rsidRPr="00686D4E">
        <w:rPr>
          <w:rFonts w:ascii="Times New Roman" w:hAnsi="Times New Roman" w:cs="Times New Roman"/>
          <w:szCs w:val="20"/>
        </w:rPr>
        <w:t>minimized</w:t>
      </w:r>
      <w:r w:rsidRPr="00686D4E">
        <w:rPr>
          <w:rFonts w:ascii="Times New Roman" w:hAnsi="Times New Roman" w:cs="Times New Roman"/>
          <w:szCs w:val="20"/>
        </w:rPr>
        <w:t xml:space="preserve"> by microwave heating without chemical digestion. </w:t>
      </w:r>
      <w:r w:rsidR="007459E8" w:rsidRPr="00686D4E">
        <w:rPr>
          <w:rFonts w:ascii="Times New Roman" w:hAnsi="Times New Roman" w:cs="Times New Roman"/>
          <w:szCs w:val="20"/>
        </w:rPr>
        <w:t>Low lethal dose (LD</w:t>
      </w:r>
      <w:r w:rsidR="007459E8" w:rsidRPr="00686D4E">
        <w:rPr>
          <w:rFonts w:ascii="Times New Roman" w:hAnsi="Times New Roman" w:cs="Times New Roman"/>
          <w:szCs w:val="20"/>
          <w:vertAlign w:val="subscript"/>
        </w:rPr>
        <w:t>50</w:t>
      </w:r>
      <w:r w:rsidR="007459E8" w:rsidRPr="00686D4E">
        <w:rPr>
          <w:rFonts w:ascii="Times New Roman" w:hAnsi="Times New Roman" w:cs="Times New Roman"/>
          <w:szCs w:val="20"/>
        </w:rPr>
        <w:t>) indicating that the solvent is low toxic and safe to use. T</w:t>
      </w:r>
      <w:r w:rsidRPr="00686D4E">
        <w:rPr>
          <w:rFonts w:ascii="Times New Roman" w:hAnsi="Times New Roman" w:cs="Times New Roman"/>
          <w:szCs w:val="20"/>
        </w:rPr>
        <w:t xml:space="preserve">he extraction solvent </w:t>
      </w:r>
      <w:r w:rsidR="007459E8" w:rsidRPr="00686D4E">
        <w:rPr>
          <w:rFonts w:ascii="Times New Roman" w:hAnsi="Times New Roman" w:cs="Times New Roman"/>
          <w:szCs w:val="20"/>
        </w:rPr>
        <w:t>employed</w:t>
      </w:r>
      <w:r w:rsidRPr="00686D4E">
        <w:rPr>
          <w:rFonts w:ascii="Times New Roman" w:hAnsi="Times New Roman" w:cs="Times New Roman"/>
          <w:szCs w:val="20"/>
        </w:rPr>
        <w:t xml:space="preserve"> in present study </w:t>
      </w:r>
      <w:r w:rsidR="007459E8" w:rsidRPr="00686D4E">
        <w:rPr>
          <w:rFonts w:ascii="Times New Roman" w:hAnsi="Times New Roman" w:cs="Times New Roman"/>
          <w:szCs w:val="20"/>
        </w:rPr>
        <w:t>is</w:t>
      </w:r>
      <w:r w:rsidRPr="00686D4E">
        <w:rPr>
          <w:rFonts w:ascii="Times New Roman" w:hAnsi="Times New Roman" w:cs="Times New Roman"/>
          <w:szCs w:val="20"/>
        </w:rPr>
        <w:t xml:space="preserve"> less toxic than</w:t>
      </w:r>
      <w:r w:rsidR="007459E8" w:rsidRPr="00686D4E">
        <w:rPr>
          <w:rFonts w:ascii="Times New Roman" w:hAnsi="Times New Roman" w:cs="Times New Roman"/>
          <w:szCs w:val="20"/>
        </w:rPr>
        <w:t xml:space="preserve"> literature studies</w:t>
      </w:r>
      <w:r w:rsidRPr="00686D4E">
        <w:rPr>
          <w:rFonts w:ascii="Times New Roman" w:hAnsi="Times New Roman" w:cs="Times New Roman"/>
          <w:szCs w:val="20"/>
        </w:rPr>
        <w:t xml:space="preserve">. In addition, MAE-DLLME required small volume of solvent to clean-up and extract the PAHs from </w:t>
      </w:r>
      <w:r w:rsidR="007459E8" w:rsidRPr="00686D4E">
        <w:rPr>
          <w:rFonts w:ascii="Times New Roman" w:hAnsi="Times New Roman" w:cs="Times New Roman"/>
          <w:szCs w:val="20"/>
        </w:rPr>
        <w:t xml:space="preserve">one </w:t>
      </w:r>
      <w:r w:rsidRPr="00686D4E">
        <w:rPr>
          <w:rFonts w:ascii="Times New Roman" w:hAnsi="Times New Roman" w:cs="Times New Roman"/>
          <w:szCs w:val="20"/>
        </w:rPr>
        <w:t xml:space="preserve">vegetable samples. </w:t>
      </w:r>
      <w:r w:rsidR="007459E8" w:rsidRPr="00686D4E">
        <w:rPr>
          <w:rFonts w:ascii="Times New Roman" w:hAnsi="Times New Roman" w:cs="Times New Roman"/>
          <w:szCs w:val="20"/>
        </w:rPr>
        <w:t>Moreover, t</w:t>
      </w:r>
      <w:r w:rsidRPr="00686D4E">
        <w:rPr>
          <w:rFonts w:ascii="Times New Roman" w:hAnsi="Times New Roman" w:cs="Times New Roman"/>
          <w:szCs w:val="20"/>
        </w:rPr>
        <w:t xml:space="preserve">he extraction time is short and the RSD value was very low. Thereby, the developed MAE-DLLME-GC-FID used in this study is a fast, cost-effective and </w:t>
      </w:r>
      <w:r w:rsidR="006F0BBE" w:rsidRPr="00686D4E">
        <w:rPr>
          <w:rFonts w:ascii="Times New Roman" w:hAnsi="Times New Roman" w:cs="Times New Roman"/>
          <w:szCs w:val="20"/>
        </w:rPr>
        <w:t>environmentally</w:t>
      </w:r>
      <w:r w:rsidRPr="00686D4E">
        <w:rPr>
          <w:rFonts w:ascii="Times New Roman" w:hAnsi="Times New Roman" w:cs="Times New Roman"/>
          <w:szCs w:val="20"/>
        </w:rPr>
        <w:t xml:space="preserve"> friendly method for the determination of PAHs in vegetable sample.  </w:t>
      </w:r>
    </w:p>
    <w:p w:rsidR="0066798A" w:rsidRPr="00686D4E" w:rsidRDefault="0066798A" w:rsidP="00C11491">
      <w:pPr>
        <w:wordWrap/>
        <w:spacing w:before="3" w:line="242" w:lineRule="auto"/>
        <w:rPr>
          <w:rFonts w:ascii="Times New Roman" w:hAnsi="Times New Roman" w:cs="Times New Roman"/>
          <w:szCs w:val="20"/>
        </w:rPr>
      </w:pPr>
    </w:p>
    <w:p w:rsidR="00137990" w:rsidRDefault="001B1D3A" w:rsidP="006F0BBE">
      <w:pPr>
        <w:wordWrap/>
        <w:spacing w:before="3" w:line="242" w:lineRule="auto"/>
        <w:ind w:left="709" w:hanging="709"/>
        <w:rPr>
          <w:rFonts w:ascii="Times New Roman" w:hAnsi="Times New Roman" w:cs="Times New Roman"/>
          <w:szCs w:val="20"/>
        </w:rPr>
      </w:pPr>
      <w:r w:rsidRPr="00686D4E">
        <w:rPr>
          <w:rFonts w:ascii="Times New Roman" w:hAnsi="Times New Roman" w:cs="Times New Roman"/>
          <w:szCs w:val="20"/>
        </w:rPr>
        <w:t>Table 3</w:t>
      </w:r>
      <w:r w:rsidR="007459E8" w:rsidRPr="00686D4E">
        <w:rPr>
          <w:rFonts w:ascii="Times New Roman" w:hAnsi="Times New Roman" w:cs="Times New Roman"/>
          <w:szCs w:val="20"/>
        </w:rPr>
        <w:t>. Comparison of the developed MAE-DLLME with other methods for the determination of PAHs in vegetable samples</w:t>
      </w:r>
    </w:p>
    <w:p w:rsidR="006F0BBE" w:rsidRPr="00686D4E" w:rsidRDefault="006F0BBE" w:rsidP="006F0BBE">
      <w:pPr>
        <w:wordWrap/>
        <w:spacing w:before="3" w:line="242" w:lineRule="auto"/>
        <w:ind w:left="709" w:hanging="709"/>
        <w:rPr>
          <w:rFonts w:ascii="Times New Roman" w:hAnsi="Times New Roman" w:cs="Times New Roman"/>
          <w:szCs w:val="20"/>
        </w:rPr>
      </w:pPr>
    </w:p>
    <w:tbl>
      <w:tblPr>
        <w:tblStyle w:val="TableGrid"/>
        <w:tblW w:w="92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980"/>
        <w:gridCol w:w="1530"/>
        <w:gridCol w:w="1620"/>
        <w:gridCol w:w="1134"/>
        <w:gridCol w:w="743"/>
        <w:gridCol w:w="733"/>
      </w:tblGrid>
      <w:tr w:rsidR="00686D4E" w:rsidRPr="00686D4E" w:rsidTr="0066798A">
        <w:tc>
          <w:tcPr>
            <w:tcW w:w="1526" w:type="dxa"/>
            <w:tcBorders>
              <w:top w:val="single" w:sz="4" w:space="0" w:color="auto"/>
              <w:bottom w:val="single" w:sz="4" w:space="0" w:color="auto"/>
            </w:tcBorders>
          </w:tcPr>
          <w:p w:rsidR="005F01FC" w:rsidRPr="00686D4E" w:rsidRDefault="005F01FC" w:rsidP="001B1D3A">
            <w:pPr>
              <w:jc w:val="center"/>
              <w:outlineLvl w:val="0"/>
              <w:rPr>
                <w:rFonts w:ascii="Times New Roman" w:hAnsi="Times New Roman" w:cs="Times New Roman"/>
                <w:b/>
                <w:szCs w:val="20"/>
              </w:rPr>
            </w:pPr>
            <w:r w:rsidRPr="00686D4E">
              <w:rPr>
                <w:rFonts w:ascii="Times New Roman" w:hAnsi="Times New Roman" w:cs="Times New Roman"/>
                <w:b/>
                <w:szCs w:val="20"/>
              </w:rPr>
              <w:t>Method</w:t>
            </w:r>
          </w:p>
        </w:tc>
        <w:tc>
          <w:tcPr>
            <w:tcW w:w="1980" w:type="dxa"/>
            <w:tcBorders>
              <w:top w:val="single" w:sz="4" w:space="0" w:color="auto"/>
              <w:bottom w:val="single" w:sz="4" w:space="0" w:color="auto"/>
            </w:tcBorders>
          </w:tcPr>
          <w:p w:rsidR="005F01FC" w:rsidRPr="00686D4E" w:rsidRDefault="005F01FC" w:rsidP="001B1D3A">
            <w:pPr>
              <w:jc w:val="center"/>
              <w:outlineLvl w:val="0"/>
              <w:rPr>
                <w:rFonts w:ascii="Times New Roman" w:hAnsi="Times New Roman" w:cs="Times New Roman"/>
                <w:b/>
                <w:szCs w:val="20"/>
              </w:rPr>
            </w:pPr>
            <w:r w:rsidRPr="00686D4E">
              <w:rPr>
                <w:rFonts w:ascii="Times New Roman" w:hAnsi="Times New Roman" w:cs="Times New Roman"/>
                <w:b/>
                <w:szCs w:val="20"/>
              </w:rPr>
              <w:t>Types of ES*</w:t>
            </w:r>
          </w:p>
        </w:tc>
        <w:tc>
          <w:tcPr>
            <w:tcW w:w="1530" w:type="dxa"/>
            <w:tcBorders>
              <w:top w:val="single" w:sz="4" w:space="0" w:color="auto"/>
              <w:bottom w:val="single" w:sz="4" w:space="0" w:color="auto"/>
            </w:tcBorders>
          </w:tcPr>
          <w:p w:rsidR="005F01FC" w:rsidRPr="00686D4E" w:rsidRDefault="005F01FC" w:rsidP="001B1D3A">
            <w:pPr>
              <w:jc w:val="center"/>
              <w:outlineLvl w:val="0"/>
              <w:rPr>
                <w:rFonts w:ascii="Times New Roman" w:hAnsi="Times New Roman" w:cs="Times New Roman"/>
                <w:b/>
                <w:szCs w:val="20"/>
              </w:rPr>
            </w:pPr>
            <w:r w:rsidRPr="00686D4E">
              <w:rPr>
                <w:rFonts w:ascii="Times New Roman" w:hAnsi="Times New Roman" w:cs="Times New Roman"/>
                <w:b/>
                <w:szCs w:val="20"/>
              </w:rPr>
              <w:t>LD</w:t>
            </w:r>
            <w:r w:rsidRPr="00686D4E">
              <w:rPr>
                <w:rFonts w:ascii="Times New Roman" w:hAnsi="Times New Roman" w:cs="Times New Roman"/>
                <w:b/>
                <w:szCs w:val="20"/>
                <w:vertAlign w:val="subscript"/>
              </w:rPr>
              <w:t>50</w:t>
            </w:r>
            <w:r w:rsidRPr="00686D4E">
              <w:rPr>
                <w:rFonts w:ascii="Times New Roman" w:hAnsi="Times New Roman" w:cs="Times New Roman"/>
                <w:b/>
                <w:szCs w:val="20"/>
              </w:rPr>
              <w:t xml:space="preserve"> of </w:t>
            </w:r>
            <w:r w:rsidR="006F0BBE">
              <w:rPr>
                <w:rFonts w:ascii="Times New Roman" w:hAnsi="Times New Roman" w:cs="Times New Roman"/>
                <w:b/>
                <w:szCs w:val="20"/>
              </w:rPr>
              <w:t>S</w:t>
            </w:r>
            <w:r w:rsidRPr="00686D4E">
              <w:rPr>
                <w:rFonts w:ascii="Times New Roman" w:hAnsi="Times New Roman" w:cs="Times New Roman"/>
                <w:b/>
                <w:szCs w:val="20"/>
              </w:rPr>
              <w:t>olvent (oral, mg/kg)</w:t>
            </w:r>
          </w:p>
        </w:tc>
        <w:tc>
          <w:tcPr>
            <w:tcW w:w="1620" w:type="dxa"/>
            <w:tcBorders>
              <w:top w:val="single" w:sz="4" w:space="0" w:color="auto"/>
              <w:bottom w:val="single" w:sz="4" w:space="0" w:color="auto"/>
            </w:tcBorders>
          </w:tcPr>
          <w:p w:rsidR="005F01FC" w:rsidRPr="00686D4E" w:rsidRDefault="006F0BBE" w:rsidP="001B1D3A">
            <w:pPr>
              <w:jc w:val="center"/>
              <w:outlineLvl w:val="0"/>
              <w:rPr>
                <w:rFonts w:ascii="Times New Roman" w:hAnsi="Times New Roman" w:cs="Times New Roman"/>
                <w:b/>
                <w:szCs w:val="20"/>
              </w:rPr>
            </w:pPr>
            <w:r w:rsidRPr="00686D4E">
              <w:rPr>
                <w:rFonts w:ascii="Times New Roman" w:hAnsi="Times New Roman" w:cs="Times New Roman"/>
                <w:b/>
                <w:szCs w:val="20"/>
              </w:rPr>
              <w:t xml:space="preserve">Organic Solvent Consumption </w:t>
            </w:r>
            <w:r w:rsidR="005F01FC" w:rsidRPr="00686D4E">
              <w:rPr>
                <w:rFonts w:ascii="Times New Roman" w:hAnsi="Times New Roman" w:cs="Times New Roman"/>
                <w:b/>
                <w:szCs w:val="20"/>
              </w:rPr>
              <w:t>(mL)</w:t>
            </w:r>
          </w:p>
        </w:tc>
        <w:tc>
          <w:tcPr>
            <w:tcW w:w="1134" w:type="dxa"/>
            <w:tcBorders>
              <w:top w:val="single" w:sz="4" w:space="0" w:color="auto"/>
              <w:bottom w:val="single" w:sz="4" w:space="0" w:color="auto"/>
            </w:tcBorders>
          </w:tcPr>
          <w:p w:rsidR="005F01FC" w:rsidRPr="00686D4E" w:rsidRDefault="005F01FC" w:rsidP="001B1D3A">
            <w:pPr>
              <w:jc w:val="center"/>
              <w:outlineLvl w:val="0"/>
              <w:rPr>
                <w:rFonts w:ascii="Times New Roman" w:hAnsi="Times New Roman" w:cs="Times New Roman"/>
                <w:b/>
                <w:szCs w:val="20"/>
              </w:rPr>
            </w:pPr>
            <w:r w:rsidRPr="00686D4E">
              <w:rPr>
                <w:rFonts w:ascii="Times New Roman" w:hAnsi="Times New Roman" w:cs="Times New Roman"/>
                <w:b/>
                <w:szCs w:val="20"/>
              </w:rPr>
              <w:t xml:space="preserve">Extraction </w:t>
            </w:r>
            <w:r w:rsidR="006F0BBE">
              <w:rPr>
                <w:rFonts w:ascii="Times New Roman" w:hAnsi="Times New Roman" w:cs="Times New Roman"/>
                <w:b/>
                <w:szCs w:val="20"/>
              </w:rPr>
              <w:t>T</w:t>
            </w:r>
            <w:r w:rsidRPr="00686D4E">
              <w:rPr>
                <w:rFonts w:ascii="Times New Roman" w:hAnsi="Times New Roman" w:cs="Times New Roman"/>
                <w:b/>
                <w:szCs w:val="20"/>
              </w:rPr>
              <w:t>ime (min)</w:t>
            </w:r>
          </w:p>
        </w:tc>
        <w:tc>
          <w:tcPr>
            <w:tcW w:w="743" w:type="dxa"/>
            <w:tcBorders>
              <w:top w:val="single" w:sz="4" w:space="0" w:color="auto"/>
              <w:bottom w:val="single" w:sz="4" w:space="0" w:color="auto"/>
            </w:tcBorders>
          </w:tcPr>
          <w:p w:rsidR="005F01FC" w:rsidRPr="00686D4E" w:rsidRDefault="005F01FC" w:rsidP="001B1D3A">
            <w:pPr>
              <w:jc w:val="center"/>
              <w:rPr>
                <w:rFonts w:ascii="Times New Roman" w:hAnsi="Times New Roman" w:cs="Times New Roman"/>
                <w:b/>
                <w:szCs w:val="20"/>
              </w:rPr>
            </w:pPr>
            <w:r w:rsidRPr="00686D4E">
              <w:rPr>
                <w:rFonts w:ascii="Times New Roman" w:hAnsi="Times New Roman" w:cs="Times New Roman"/>
                <w:b/>
                <w:szCs w:val="20"/>
              </w:rPr>
              <w:t>RSD%</w:t>
            </w:r>
          </w:p>
        </w:tc>
        <w:tc>
          <w:tcPr>
            <w:tcW w:w="733" w:type="dxa"/>
            <w:tcBorders>
              <w:top w:val="single" w:sz="4" w:space="0" w:color="auto"/>
              <w:bottom w:val="single" w:sz="4" w:space="0" w:color="auto"/>
            </w:tcBorders>
          </w:tcPr>
          <w:p w:rsidR="005F01FC" w:rsidRPr="00686D4E" w:rsidRDefault="005F01FC" w:rsidP="001B1D3A">
            <w:pPr>
              <w:jc w:val="center"/>
              <w:rPr>
                <w:rFonts w:ascii="Times New Roman" w:hAnsi="Times New Roman" w:cs="Times New Roman"/>
                <w:b/>
                <w:szCs w:val="20"/>
              </w:rPr>
            </w:pPr>
            <w:r w:rsidRPr="00686D4E">
              <w:rPr>
                <w:rFonts w:ascii="Times New Roman" w:hAnsi="Times New Roman" w:cs="Times New Roman"/>
                <w:b/>
                <w:szCs w:val="20"/>
              </w:rPr>
              <w:t>Ref</w:t>
            </w:r>
          </w:p>
        </w:tc>
      </w:tr>
      <w:tr w:rsidR="00686D4E" w:rsidRPr="00686D4E" w:rsidTr="0066798A">
        <w:tc>
          <w:tcPr>
            <w:tcW w:w="1526" w:type="dxa"/>
            <w:tcBorders>
              <w:top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CD-LLE-CC-HPLC-FLD</w:t>
            </w:r>
            <w:r w:rsidRPr="00686D4E">
              <w:rPr>
                <w:rFonts w:ascii="Times New Roman" w:hAnsi="Times New Roman" w:cs="Times New Roman"/>
                <w:szCs w:val="20"/>
                <w:vertAlign w:val="superscript"/>
              </w:rPr>
              <w:t>a</w:t>
            </w:r>
          </w:p>
        </w:tc>
        <w:tc>
          <w:tcPr>
            <w:tcW w:w="1980" w:type="dxa"/>
            <w:tcBorders>
              <w:top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Cyclohexane, N,N-dimethylformamide–water</w:t>
            </w:r>
          </w:p>
        </w:tc>
        <w:tc>
          <w:tcPr>
            <w:tcW w:w="1530" w:type="dxa"/>
            <w:tcBorders>
              <w:top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&gt;5000, 3000</w:t>
            </w:r>
          </w:p>
        </w:tc>
        <w:tc>
          <w:tcPr>
            <w:tcW w:w="1620" w:type="dxa"/>
            <w:tcBorders>
              <w:top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&gt; 150</w:t>
            </w:r>
          </w:p>
        </w:tc>
        <w:tc>
          <w:tcPr>
            <w:tcW w:w="1134" w:type="dxa"/>
            <w:tcBorders>
              <w:top w:val="single" w:sz="4" w:space="0" w:color="auto"/>
            </w:tcBorders>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&gt;2</w:t>
            </w:r>
          </w:p>
        </w:tc>
        <w:tc>
          <w:tcPr>
            <w:tcW w:w="743" w:type="dxa"/>
            <w:tcBorders>
              <w:top w:val="single" w:sz="4" w:space="0" w:color="auto"/>
            </w:tcBorders>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NA</w:t>
            </w:r>
          </w:p>
        </w:tc>
        <w:tc>
          <w:tcPr>
            <w:tcW w:w="733" w:type="dxa"/>
            <w:tcBorders>
              <w:top w:val="single" w:sz="4" w:space="0" w:color="auto"/>
            </w:tcBorders>
          </w:tcPr>
          <w:p w:rsidR="005F01FC" w:rsidRPr="00686D4E" w:rsidRDefault="00805272"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[18</w:t>
            </w:r>
            <w:r w:rsidR="005F01FC" w:rsidRPr="00686D4E">
              <w:rPr>
                <w:rFonts w:ascii="Times New Roman" w:hAnsi="Times New Roman" w:cs="Times New Roman"/>
                <w:szCs w:val="20"/>
              </w:rPr>
              <w:t>]</w:t>
            </w:r>
          </w:p>
        </w:tc>
      </w:tr>
      <w:tr w:rsidR="00686D4E" w:rsidRPr="00686D4E" w:rsidTr="0066798A">
        <w:tc>
          <w:tcPr>
            <w:tcW w:w="1526"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CD-Soxhlet-HPLC-UVD</w:t>
            </w:r>
            <w:r w:rsidRPr="00686D4E">
              <w:rPr>
                <w:rFonts w:ascii="Times New Roman" w:hAnsi="Times New Roman" w:cs="Times New Roman"/>
                <w:szCs w:val="20"/>
                <w:vertAlign w:val="superscript"/>
              </w:rPr>
              <w:t>b</w:t>
            </w:r>
          </w:p>
        </w:tc>
        <w:tc>
          <w:tcPr>
            <w:tcW w:w="198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Cyclohexane/acetone (2:1, v/v)</w:t>
            </w:r>
          </w:p>
        </w:tc>
        <w:tc>
          <w:tcPr>
            <w:tcW w:w="153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&gt;5000, 5800</w:t>
            </w:r>
          </w:p>
        </w:tc>
        <w:tc>
          <w:tcPr>
            <w:tcW w:w="162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NA</w:t>
            </w:r>
          </w:p>
        </w:tc>
        <w:tc>
          <w:tcPr>
            <w:tcW w:w="1134"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480</w:t>
            </w:r>
          </w:p>
        </w:tc>
        <w:tc>
          <w:tcPr>
            <w:tcW w:w="743" w:type="dxa"/>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4.5-11</w:t>
            </w:r>
          </w:p>
        </w:tc>
        <w:tc>
          <w:tcPr>
            <w:tcW w:w="733" w:type="dxa"/>
          </w:tcPr>
          <w:p w:rsidR="005F01FC" w:rsidRPr="00686D4E" w:rsidRDefault="00805272"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[19</w:t>
            </w:r>
            <w:r w:rsidR="005F01FC" w:rsidRPr="00686D4E">
              <w:rPr>
                <w:rFonts w:ascii="Times New Roman" w:hAnsi="Times New Roman" w:cs="Times New Roman"/>
                <w:szCs w:val="20"/>
              </w:rPr>
              <w:t>]</w:t>
            </w:r>
          </w:p>
        </w:tc>
      </w:tr>
      <w:tr w:rsidR="00686D4E" w:rsidRPr="00686D4E" w:rsidTr="0066798A">
        <w:tc>
          <w:tcPr>
            <w:tcW w:w="1526"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CD-HOLLE-HPLC-FLD</w:t>
            </w:r>
            <w:r w:rsidRPr="00686D4E">
              <w:rPr>
                <w:rFonts w:ascii="Times New Roman" w:hAnsi="Times New Roman" w:cs="Times New Roman"/>
                <w:szCs w:val="20"/>
                <w:vertAlign w:val="superscript"/>
              </w:rPr>
              <w:t>c</w:t>
            </w:r>
          </w:p>
        </w:tc>
        <w:tc>
          <w:tcPr>
            <w:tcW w:w="198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Tetrachloroethane</w:t>
            </w:r>
          </w:p>
        </w:tc>
        <w:tc>
          <w:tcPr>
            <w:tcW w:w="153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2629</w:t>
            </w:r>
          </w:p>
        </w:tc>
        <w:tc>
          <w:tcPr>
            <w:tcW w:w="1620"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&lt; 10</w:t>
            </w:r>
          </w:p>
        </w:tc>
        <w:tc>
          <w:tcPr>
            <w:tcW w:w="1134" w:type="dxa"/>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0</w:t>
            </w:r>
          </w:p>
        </w:tc>
        <w:tc>
          <w:tcPr>
            <w:tcW w:w="743" w:type="dxa"/>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1.1–8.5</w:t>
            </w:r>
          </w:p>
        </w:tc>
        <w:tc>
          <w:tcPr>
            <w:tcW w:w="733" w:type="dxa"/>
          </w:tcPr>
          <w:p w:rsidR="005F01FC" w:rsidRPr="00686D4E" w:rsidRDefault="00805272"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[20</w:t>
            </w:r>
            <w:r w:rsidR="005F01FC" w:rsidRPr="00686D4E">
              <w:rPr>
                <w:rFonts w:ascii="Times New Roman" w:hAnsi="Times New Roman" w:cs="Times New Roman"/>
                <w:szCs w:val="20"/>
              </w:rPr>
              <w:t>]</w:t>
            </w:r>
          </w:p>
        </w:tc>
      </w:tr>
      <w:tr w:rsidR="00686D4E" w:rsidRPr="00686D4E" w:rsidTr="0066798A">
        <w:tc>
          <w:tcPr>
            <w:tcW w:w="1526" w:type="dxa"/>
            <w:tcBorders>
              <w:bottom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MAE-DLLME-GC-FID</w:t>
            </w:r>
          </w:p>
        </w:tc>
        <w:tc>
          <w:tcPr>
            <w:tcW w:w="1980" w:type="dxa"/>
            <w:tcBorders>
              <w:bottom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1-bromo-3-methylbutane</w:t>
            </w:r>
          </w:p>
        </w:tc>
        <w:tc>
          <w:tcPr>
            <w:tcW w:w="1530" w:type="dxa"/>
            <w:tcBorders>
              <w:bottom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6150</w:t>
            </w:r>
          </w:p>
        </w:tc>
        <w:tc>
          <w:tcPr>
            <w:tcW w:w="1620" w:type="dxa"/>
            <w:tcBorders>
              <w:bottom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4.83</w:t>
            </w:r>
          </w:p>
        </w:tc>
        <w:tc>
          <w:tcPr>
            <w:tcW w:w="1134" w:type="dxa"/>
            <w:tcBorders>
              <w:bottom w:val="single" w:sz="4" w:space="0" w:color="auto"/>
            </w:tcBorders>
          </w:tcPr>
          <w:p w:rsidR="005F01FC" w:rsidRPr="00686D4E" w:rsidRDefault="005F01FC" w:rsidP="001B1D3A">
            <w:pPr>
              <w:wordWrap/>
              <w:spacing w:before="120"/>
              <w:jc w:val="center"/>
              <w:outlineLvl w:val="0"/>
              <w:rPr>
                <w:rFonts w:ascii="Times New Roman" w:hAnsi="Times New Roman" w:cs="Times New Roman"/>
                <w:szCs w:val="20"/>
              </w:rPr>
            </w:pPr>
            <w:r w:rsidRPr="00686D4E">
              <w:rPr>
                <w:rFonts w:ascii="Times New Roman" w:hAnsi="Times New Roman" w:cs="Times New Roman"/>
                <w:szCs w:val="20"/>
              </w:rPr>
              <w:t>1</w:t>
            </w:r>
          </w:p>
        </w:tc>
        <w:tc>
          <w:tcPr>
            <w:tcW w:w="743" w:type="dxa"/>
            <w:tcBorders>
              <w:bottom w:val="single" w:sz="4" w:space="0" w:color="auto"/>
            </w:tcBorders>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0.77–3.07</w:t>
            </w:r>
          </w:p>
        </w:tc>
        <w:tc>
          <w:tcPr>
            <w:tcW w:w="733" w:type="dxa"/>
            <w:tcBorders>
              <w:bottom w:val="single" w:sz="4" w:space="0" w:color="auto"/>
            </w:tcBorders>
          </w:tcPr>
          <w:p w:rsidR="005F01FC" w:rsidRPr="00686D4E" w:rsidRDefault="005F01FC" w:rsidP="001B1D3A">
            <w:pPr>
              <w:wordWrap/>
              <w:spacing w:before="120" w:line="242" w:lineRule="auto"/>
              <w:jc w:val="center"/>
              <w:outlineLvl w:val="0"/>
              <w:rPr>
                <w:rFonts w:ascii="Times New Roman" w:hAnsi="Times New Roman" w:cs="Times New Roman"/>
                <w:szCs w:val="20"/>
              </w:rPr>
            </w:pPr>
            <w:r w:rsidRPr="00686D4E">
              <w:rPr>
                <w:rFonts w:ascii="Times New Roman" w:hAnsi="Times New Roman" w:cs="Times New Roman"/>
                <w:szCs w:val="20"/>
              </w:rPr>
              <w:t>This study</w:t>
            </w:r>
          </w:p>
          <w:p w:rsidR="00805272" w:rsidRPr="00686D4E" w:rsidRDefault="00805272" w:rsidP="001B1D3A">
            <w:pPr>
              <w:wordWrap/>
              <w:spacing w:before="120" w:line="242" w:lineRule="auto"/>
              <w:jc w:val="center"/>
              <w:outlineLvl w:val="0"/>
              <w:rPr>
                <w:rFonts w:ascii="Times New Roman" w:hAnsi="Times New Roman" w:cs="Times New Roman"/>
                <w:szCs w:val="20"/>
              </w:rPr>
            </w:pPr>
          </w:p>
        </w:tc>
      </w:tr>
    </w:tbl>
    <w:p w:rsidR="00137990" w:rsidRPr="006F0BBE" w:rsidRDefault="007459E8" w:rsidP="00C11491">
      <w:pPr>
        <w:wordWrap/>
        <w:spacing w:before="3" w:line="242" w:lineRule="auto"/>
        <w:rPr>
          <w:rFonts w:ascii="Times New Roman" w:hAnsi="Times New Roman" w:cs="Times New Roman"/>
          <w:sz w:val="16"/>
          <w:szCs w:val="16"/>
        </w:rPr>
      </w:pPr>
      <w:r w:rsidRPr="006F0BBE">
        <w:rPr>
          <w:rFonts w:ascii="Times New Roman" w:hAnsi="Times New Roman" w:cs="Times New Roman"/>
          <w:sz w:val="16"/>
          <w:szCs w:val="16"/>
        </w:rPr>
        <w:t>“NA” indicating no data; “ES” indicating</w:t>
      </w:r>
      <w:r w:rsidR="00500BF4" w:rsidRPr="006F0BBE">
        <w:rPr>
          <w:rFonts w:ascii="Times New Roman" w:hAnsi="Times New Roman" w:cs="Times New Roman"/>
          <w:sz w:val="16"/>
          <w:szCs w:val="16"/>
        </w:rPr>
        <w:t xml:space="preserve"> </w:t>
      </w:r>
      <w:r w:rsidRPr="006F0BBE">
        <w:rPr>
          <w:rFonts w:ascii="Times New Roman" w:hAnsi="Times New Roman" w:cs="Times New Roman"/>
          <w:sz w:val="16"/>
          <w:szCs w:val="16"/>
        </w:rPr>
        <w:t>e</w:t>
      </w:r>
      <w:r w:rsidR="00500BF4" w:rsidRPr="006F0BBE">
        <w:rPr>
          <w:rFonts w:ascii="Times New Roman" w:hAnsi="Times New Roman" w:cs="Times New Roman"/>
          <w:sz w:val="16"/>
          <w:szCs w:val="16"/>
        </w:rPr>
        <w:t xml:space="preserve">xtraction solvent; </w:t>
      </w:r>
      <w:r w:rsidR="00500BF4" w:rsidRPr="006F0BBE">
        <w:rPr>
          <w:rFonts w:ascii="Times New Roman" w:hAnsi="Times New Roman" w:cs="Times New Roman"/>
          <w:sz w:val="16"/>
          <w:szCs w:val="16"/>
          <w:vertAlign w:val="superscript"/>
        </w:rPr>
        <w:t>a.</w:t>
      </w:r>
      <w:r w:rsidR="00500BF4" w:rsidRPr="006F0BBE">
        <w:rPr>
          <w:rFonts w:ascii="Times New Roman" w:hAnsi="Times New Roman" w:cs="Times New Roman"/>
          <w:sz w:val="16"/>
          <w:szCs w:val="16"/>
        </w:rPr>
        <w:t xml:space="preserve"> </w:t>
      </w:r>
      <w:r w:rsidR="00125F8F" w:rsidRPr="006F0BBE">
        <w:rPr>
          <w:rFonts w:ascii="Times New Roman" w:hAnsi="Times New Roman" w:cs="Times New Roman"/>
          <w:sz w:val="16"/>
          <w:szCs w:val="16"/>
        </w:rPr>
        <w:t xml:space="preserve">CC-HPLC-FLD: </w:t>
      </w:r>
      <w:r w:rsidR="00500BF4" w:rsidRPr="006F0BBE">
        <w:rPr>
          <w:rFonts w:ascii="Times New Roman" w:hAnsi="Times New Roman" w:cs="Times New Roman"/>
          <w:sz w:val="16"/>
          <w:szCs w:val="16"/>
        </w:rPr>
        <w:t xml:space="preserve">Chemical digestion-liquid-liquid extraction-column chromatography-high performance liquid chromatography-fluorescence detector; </w:t>
      </w:r>
      <w:r w:rsidR="00500BF4" w:rsidRPr="006F0BBE">
        <w:rPr>
          <w:rFonts w:ascii="Times New Roman" w:hAnsi="Times New Roman" w:cs="Times New Roman"/>
          <w:sz w:val="16"/>
          <w:szCs w:val="16"/>
          <w:vertAlign w:val="superscript"/>
        </w:rPr>
        <w:t>b.</w:t>
      </w:r>
      <w:r w:rsidR="00500BF4" w:rsidRPr="006F0BBE">
        <w:rPr>
          <w:rFonts w:ascii="Times New Roman" w:hAnsi="Times New Roman" w:cs="Times New Roman"/>
          <w:sz w:val="16"/>
          <w:szCs w:val="16"/>
        </w:rPr>
        <w:t xml:space="preserve"> </w:t>
      </w:r>
      <w:r w:rsidR="00203916" w:rsidRPr="006F0BBE">
        <w:rPr>
          <w:rFonts w:ascii="Times New Roman" w:hAnsi="Times New Roman" w:cs="Times New Roman"/>
          <w:sz w:val="16"/>
          <w:szCs w:val="16"/>
        </w:rPr>
        <w:t xml:space="preserve">CD-Soxhlet-HPLC-UVD: </w:t>
      </w:r>
      <w:r w:rsidR="00500BF4" w:rsidRPr="006F0BBE">
        <w:rPr>
          <w:rFonts w:ascii="Times New Roman" w:hAnsi="Times New Roman" w:cs="Times New Roman"/>
          <w:sz w:val="16"/>
          <w:szCs w:val="16"/>
        </w:rPr>
        <w:t xml:space="preserve">Chemical digestion-Soxhlet extraction-column chromatography-high performance liquid chromatography-ultraviolet detector; </w:t>
      </w:r>
      <w:r w:rsidR="00500BF4" w:rsidRPr="006F0BBE">
        <w:rPr>
          <w:rFonts w:ascii="Times New Roman" w:hAnsi="Times New Roman" w:cs="Times New Roman"/>
          <w:sz w:val="16"/>
          <w:szCs w:val="16"/>
          <w:vertAlign w:val="superscript"/>
        </w:rPr>
        <w:t>c.</w:t>
      </w:r>
      <w:r w:rsidR="00500BF4" w:rsidRPr="006F0BBE">
        <w:rPr>
          <w:rFonts w:ascii="Times New Roman" w:hAnsi="Times New Roman" w:cs="Times New Roman"/>
          <w:sz w:val="16"/>
          <w:szCs w:val="16"/>
        </w:rPr>
        <w:t xml:space="preserve"> </w:t>
      </w:r>
      <w:r w:rsidR="00203916" w:rsidRPr="006F0BBE">
        <w:rPr>
          <w:rFonts w:ascii="Times New Roman" w:hAnsi="Times New Roman" w:cs="Times New Roman"/>
          <w:sz w:val="16"/>
          <w:szCs w:val="16"/>
        </w:rPr>
        <w:t xml:space="preserve">CD-HOLLE-HPLC-FLD: </w:t>
      </w:r>
      <w:r w:rsidR="00500BF4" w:rsidRPr="006F0BBE">
        <w:rPr>
          <w:rFonts w:ascii="Times New Roman" w:hAnsi="Times New Roman" w:cs="Times New Roman"/>
          <w:sz w:val="16"/>
          <w:szCs w:val="16"/>
        </w:rPr>
        <w:t>Chemical digestion-homogeneous liquid-liquid extraction-high performance liquid chromatography-fluorescence detector</w:t>
      </w:r>
    </w:p>
    <w:p w:rsidR="006F0BBE" w:rsidRPr="00686D4E" w:rsidRDefault="006F0BBE" w:rsidP="00C11491">
      <w:pPr>
        <w:wordWrap/>
        <w:spacing w:before="3" w:line="242" w:lineRule="auto"/>
        <w:rPr>
          <w:rFonts w:ascii="Times New Roman" w:hAnsi="Times New Roman" w:cs="Times New Roman"/>
          <w:szCs w:val="20"/>
        </w:rPr>
      </w:pPr>
    </w:p>
    <w:p w:rsidR="00E825C9" w:rsidRPr="00686D4E" w:rsidRDefault="00E825C9" w:rsidP="00E825C9">
      <w:pPr>
        <w:wordWrap/>
        <w:spacing w:before="3" w:line="242" w:lineRule="auto"/>
        <w:rPr>
          <w:rFonts w:ascii="Times New Roman" w:hAnsi="Times New Roman" w:cs="Times New Roman"/>
          <w:b/>
          <w:szCs w:val="20"/>
        </w:rPr>
      </w:pPr>
      <w:r w:rsidRPr="00686D4E">
        <w:rPr>
          <w:rFonts w:ascii="Times New Roman" w:hAnsi="Times New Roman" w:cs="Times New Roman"/>
          <w:b/>
          <w:szCs w:val="20"/>
        </w:rPr>
        <w:t>Real sample analysis</w:t>
      </w:r>
    </w:p>
    <w:p w:rsidR="00E825C9" w:rsidRPr="00686D4E" w:rsidRDefault="00E825C9" w:rsidP="00E825C9">
      <w:pPr>
        <w:wordWrap/>
        <w:spacing w:before="3" w:line="242" w:lineRule="auto"/>
        <w:rPr>
          <w:rFonts w:ascii="Times New Roman" w:hAnsi="Times New Roman" w:cs="Times New Roman"/>
          <w:szCs w:val="20"/>
        </w:rPr>
      </w:pPr>
      <w:r w:rsidRPr="00686D4E">
        <w:rPr>
          <w:rFonts w:ascii="Times New Roman" w:hAnsi="Times New Roman" w:cs="Times New Roman"/>
          <w:szCs w:val="20"/>
        </w:rPr>
        <w:t>There are different organic nutrient levels and pollutants in organic vegetables were reported</w:t>
      </w:r>
      <w:r w:rsidR="00736A40" w:rsidRPr="00686D4E">
        <w:rPr>
          <w:rFonts w:ascii="Times New Roman" w:hAnsi="Times New Roman" w:cs="Times New Roman"/>
          <w:szCs w:val="20"/>
        </w:rPr>
        <w:t xml:space="preserve"> [2</w:t>
      </w:r>
      <w:r w:rsidR="00805272" w:rsidRPr="00686D4E">
        <w:rPr>
          <w:rFonts w:ascii="Times New Roman" w:hAnsi="Times New Roman" w:cs="Times New Roman"/>
          <w:szCs w:val="20"/>
        </w:rPr>
        <w:t>1</w:t>
      </w:r>
      <w:r w:rsidR="003B6D22" w:rsidRPr="00686D4E">
        <w:rPr>
          <w:rFonts w:ascii="Times New Roman" w:hAnsi="Times New Roman" w:cs="Times New Roman"/>
          <w:szCs w:val="20"/>
        </w:rPr>
        <w:t>]</w:t>
      </w:r>
      <w:r w:rsidRPr="00686D4E">
        <w:rPr>
          <w:rFonts w:ascii="Times New Roman" w:hAnsi="Times New Roman" w:cs="Times New Roman"/>
          <w:szCs w:val="20"/>
        </w:rPr>
        <w:t xml:space="preserve">. These organic </w:t>
      </w:r>
      <w:r w:rsidRPr="00686D4E">
        <w:rPr>
          <w:rFonts w:ascii="Times New Roman" w:hAnsi="Times New Roman" w:cs="Times New Roman"/>
          <w:szCs w:val="20"/>
        </w:rPr>
        <w:lastRenderedPageBreak/>
        <w:t xml:space="preserve">contents such as </w:t>
      </w:r>
      <w:r w:rsidR="00137990" w:rsidRPr="00686D4E">
        <w:rPr>
          <w:rFonts w:ascii="Times New Roman" w:hAnsi="Times New Roman" w:cs="Times New Roman"/>
          <w:szCs w:val="20"/>
        </w:rPr>
        <w:t xml:space="preserve">nonpolar </w:t>
      </w:r>
      <w:r w:rsidRPr="00686D4E">
        <w:rPr>
          <w:rFonts w:ascii="Times New Roman" w:hAnsi="Times New Roman" w:cs="Times New Roman"/>
          <w:szCs w:val="20"/>
        </w:rPr>
        <w:t>chlorophylls and carotenes might cause matrix effect in extrac</w:t>
      </w:r>
      <w:r w:rsidR="00736A40" w:rsidRPr="00686D4E">
        <w:rPr>
          <w:rFonts w:ascii="Times New Roman" w:hAnsi="Times New Roman" w:cs="Times New Roman"/>
          <w:szCs w:val="20"/>
        </w:rPr>
        <w:t>tion of PAHs from vegetables [2</w:t>
      </w:r>
      <w:r w:rsidR="00805272" w:rsidRPr="00686D4E">
        <w:rPr>
          <w:rFonts w:ascii="Times New Roman" w:hAnsi="Times New Roman" w:cs="Times New Roman"/>
          <w:szCs w:val="20"/>
        </w:rPr>
        <w:t>2</w:t>
      </w:r>
      <w:r w:rsidRPr="00686D4E">
        <w:rPr>
          <w:rFonts w:ascii="Times New Roman" w:hAnsi="Times New Roman" w:cs="Times New Roman"/>
          <w:szCs w:val="20"/>
        </w:rPr>
        <w:t xml:space="preserve">]. </w:t>
      </w:r>
      <w:r w:rsidR="00736A40" w:rsidRPr="00686D4E">
        <w:rPr>
          <w:rFonts w:ascii="Times New Roman" w:hAnsi="Times New Roman" w:cs="Times New Roman"/>
          <w:szCs w:val="20"/>
        </w:rPr>
        <w:t>T</w:t>
      </w:r>
      <w:r w:rsidRPr="00686D4E">
        <w:rPr>
          <w:rFonts w:ascii="Times New Roman" w:hAnsi="Times New Roman" w:cs="Times New Roman"/>
          <w:szCs w:val="20"/>
        </w:rPr>
        <w:t xml:space="preserve">hree types of </w:t>
      </w:r>
      <w:r w:rsidR="00805272" w:rsidRPr="00686D4E">
        <w:rPr>
          <w:rFonts w:ascii="Times New Roman" w:hAnsi="Times New Roman" w:cs="Times New Roman"/>
          <w:szCs w:val="20"/>
        </w:rPr>
        <w:t xml:space="preserve">popular salad </w:t>
      </w:r>
      <w:r w:rsidRPr="00686D4E">
        <w:rPr>
          <w:rFonts w:ascii="Times New Roman" w:hAnsi="Times New Roman" w:cs="Times New Roman"/>
          <w:szCs w:val="20"/>
        </w:rPr>
        <w:t>organic vegetables, namely cabbage, tomato and carrot</w:t>
      </w:r>
      <w:r w:rsidR="00805272" w:rsidRPr="00686D4E">
        <w:rPr>
          <w:rFonts w:ascii="Times New Roman" w:hAnsi="Times New Roman" w:cs="Times New Roman"/>
          <w:szCs w:val="20"/>
        </w:rPr>
        <w:t xml:space="preserve"> </w:t>
      </w:r>
      <w:r w:rsidRPr="00686D4E">
        <w:rPr>
          <w:rFonts w:ascii="Times New Roman" w:hAnsi="Times New Roman" w:cs="Times New Roman"/>
          <w:szCs w:val="20"/>
        </w:rPr>
        <w:t>were analyzed in this study to evaluate the feasibility of the proposed MAE-DLLME in real sample analysis. Relative ER was used to express the efficiency of proposed MAE-DLLME.</w:t>
      </w:r>
    </w:p>
    <w:p w:rsidR="00E825C9" w:rsidRPr="00686D4E" w:rsidRDefault="00E825C9" w:rsidP="00E825C9">
      <w:pPr>
        <w:wordWrap/>
        <w:spacing w:before="3" w:line="242" w:lineRule="auto"/>
        <w:rPr>
          <w:rFonts w:ascii="Times New Roman" w:hAnsi="Times New Roman" w:cs="Times New Roman"/>
          <w:szCs w:val="20"/>
        </w:rPr>
      </w:pPr>
    </w:p>
    <w:p w:rsidR="001B1D3A" w:rsidRPr="00686D4E" w:rsidRDefault="00E825C9" w:rsidP="00C11491">
      <w:pPr>
        <w:wordWrap/>
        <w:spacing w:before="3" w:line="242" w:lineRule="auto"/>
        <w:rPr>
          <w:rFonts w:ascii="Times New Roman" w:hAnsi="Times New Roman" w:cs="Times New Roman"/>
          <w:szCs w:val="20"/>
        </w:rPr>
      </w:pPr>
      <w:r w:rsidRPr="00686D4E">
        <w:rPr>
          <w:rFonts w:ascii="Times New Roman" w:hAnsi="Times New Roman" w:cs="Times New Roman"/>
          <w:szCs w:val="20"/>
        </w:rPr>
        <w:t>The result of extraction of PAHs from real</w:t>
      </w:r>
      <w:r w:rsidR="001B1D3A" w:rsidRPr="00686D4E">
        <w:rPr>
          <w:rFonts w:ascii="Times New Roman" w:hAnsi="Times New Roman" w:cs="Times New Roman"/>
          <w:szCs w:val="20"/>
        </w:rPr>
        <w:t xml:space="preserve"> samples is tabulated in Table 4</w:t>
      </w:r>
      <w:r w:rsidRPr="00686D4E">
        <w:rPr>
          <w:rFonts w:ascii="Times New Roman" w:hAnsi="Times New Roman" w:cs="Times New Roman"/>
          <w:szCs w:val="20"/>
        </w:rPr>
        <w:t xml:space="preserve">. </w:t>
      </w:r>
      <w:r w:rsidR="00805272" w:rsidRPr="00686D4E">
        <w:rPr>
          <w:rFonts w:ascii="Times New Roman" w:hAnsi="Times New Roman" w:cs="Times New Roman"/>
          <w:szCs w:val="20"/>
        </w:rPr>
        <w:t xml:space="preserve">The spiked blank sample was used as control sample and the analysis was conducted in triplicate. </w:t>
      </w:r>
      <w:r w:rsidRPr="00686D4E">
        <w:rPr>
          <w:rFonts w:ascii="Times New Roman" w:hAnsi="Times New Roman" w:cs="Times New Roman"/>
          <w:szCs w:val="20"/>
        </w:rPr>
        <w:t>The proposed MAE-DLLME was able to extract 13 PAHs from organic vegetables. The samples of carrot were found to have high concentration of high molecular weight PAHs. This might because high molecular weight PAHs are more likely to adsorb to the soils, thus increase</w:t>
      </w:r>
      <w:r w:rsidR="00805272" w:rsidRPr="00686D4E">
        <w:rPr>
          <w:rFonts w:ascii="Times New Roman" w:hAnsi="Times New Roman" w:cs="Times New Roman"/>
          <w:szCs w:val="20"/>
        </w:rPr>
        <w:t xml:space="preserve"> the chance of contamination [23</w:t>
      </w:r>
      <w:r w:rsidRPr="00686D4E">
        <w:rPr>
          <w:rFonts w:ascii="Times New Roman" w:hAnsi="Times New Roman" w:cs="Times New Roman"/>
          <w:szCs w:val="20"/>
        </w:rPr>
        <w:t xml:space="preserve">]. Cabbages were found to have the highest concentration of total PAHs compared to tomato and carrot. The large surface area of air exchange in cabbage could facilitate the </w:t>
      </w:r>
      <w:r w:rsidR="003B6D22" w:rsidRPr="00686D4E">
        <w:rPr>
          <w:rFonts w:ascii="Times New Roman" w:hAnsi="Times New Roman" w:cs="Times New Roman"/>
          <w:szCs w:val="20"/>
        </w:rPr>
        <w:t>adsorpti</w:t>
      </w:r>
      <w:r w:rsidR="00736A40" w:rsidRPr="00686D4E">
        <w:rPr>
          <w:rFonts w:ascii="Times New Roman" w:hAnsi="Times New Roman" w:cs="Times New Roman"/>
          <w:szCs w:val="20"/>
        </w:rPr>
        <w:t>on of</w:t>
      </w:r>
      <w:r w:rsidR="00805272" w:rsidRPr="00686D4E">
        <w:rPr>
          <w:rFonts w:ascii="Times New Roman" w:hAnsi="Times New Roman" w:cs="Times New Roman"/>
          <w:szCs w:val="20"/>
        </w:rPr>
        <w:t xml:space="preserve"> PAHs [</w:t>
      </w:r>
      <w:r w:rsidR="00736A40" w:rsidRPr="00686D4E">
        <w:rPr>
          <w:rFonts w:ascii="Times New Roman" w:hAnsi="Times New Roman" w:cs="Times New Roman"/>
          <w:szCs w:val="20"/>
        </w:rPr>
        <w:t>2</w:t>
      </w:r>
      <w:r w:rsidR="00805272" w:rsidRPr="00686D4E">
        <w:rPr>
          <w:rFonts w:ascii="Times New Roman" w:hAnsi="Times New Roman" w:cs="Times New Roman"/>
          <w:szCs w:val="20"/>
        </w:rPr>
        <w:t>3</w:t>
      </w:r>
      <w:r w:rsidRPr="00686D4E">
        <w:rPr>
          <w:rFonts w:ascii="Times New Roman" w:hAnsi="Times New Roman" w:cs="Times New Roman"/>
          <w:szCs w:val="20"/>
        </w:rPr>
        <w:t>]. According to the product label on the vegetables, the vegetable samples were planted in Johor and Negeri Sembilan of Malaysia. After harvested, these vegetables were transported to local market in Klang, Selangor of Malaysia. The distance between plantation and market is more than 100 kilometers. Therefore, the contamination of PAHs in these vegetables were mainly due to the long distance transportation.</w:t>
      </w:r>
    </w:p>
    <w:p w:rsidR="001B1D3A" w:rsidRPr="00686D4E" w:rsidRDefault="001B1D3A" w:rsidP="00C11491">
      <w:pPr>
        <w:wordWrap/>
        <w:spacing w:before="3" w:line="242" w:lineRule="auto"/>
        <w:rPr>
          <w:rFonts w:ascii="Times New Roman" w:hAnsi="Times New Roman" w:cs="Times New Roman"/>
          <w:szCs w:val="20"/>
        </w:rPr>
      </w:pPr>
    </w:p>
    <w:p w:rsidR="001B1D3A" w:rsidRDefault="001B1D3A" w:rsidP="006F0BBE">
      <w:pPr>
        <w:pStyle w:val="SAP-Paragraph"/>
        <w:ind w:firstLineChars="0" w:firstLine="720"/>
        <w:jc w:val="center"/>
        <w:rPr>
          <w:rFonts w:eastAsiaTheme="minorEastAsia"/>
          <w:szCs w:val="20"/>
          <w:lang w:val="en-MY"/>
        </w:rPr>
      </w:pPr>
      <w:r w:rsidRPr="00686D4E">
        <w:rPr>
          <w:szCs w:val="20"/>
          <w:lang w:val="en-US"/>
        </w:rPr>
        <w:t>Table 4.</w:t>
      </w:r>
      <w:r w:rsidR="0066798A" w:rsidRPr="00686D4E">
        <w:rPr>
          <w:szCs w:val="20"/>
          <w:lang w:val="en-US"/>
        </w:rPr>
        <w:t xml:space="preserve"> </w:t>
      </w:r>
      <w:r w:rsidRPr="00686D4E">
        <w:rPr>
          <w:rFonts w:eastAsiaTheme="minorEastAsia"/>
          <w:szCs w:val="20"/>
          <w:lang w:val="en-MY"/>
        </w:rPr>
        <w:t>PAH</w:t>
      </w:r>
      <w:r w:rsidR="0066798A" w:rsidRPr="00686D4E">
        <w:rPr>
          <w:rFonts w:eastAsiaTheme="minorEastAsia"/>
          <w:szCs w:val="20"/>
          <w:lang w:val="en-MY"/>
        </w:rPr>
        <w:t>s</w:t>
      </w:r>
      <w:r w:rsidRPr="00686D4E">
        <w:rPr>
          <w:rFonts w:eastAsiaTheme="minorEastAsia"/>
          <w:szCs w:val="20"/>
          <w:lang w:val="en-MY"/>
        </w:rPr>
        <w:t xml:space="preserve"> concentrations (µg/kg, fresh weight) in organic vegetables (n</w:t>
      </w:r>
      <w:r w:rsidR="006F0BBE">
        <w:rPr>
          <w:rFonts w:eastAsiaTheme="minorEastAsia"/>
          <w:szCs w:val="20"/>
          <w:lang w:val="en-MY"/>
        </w:rPr>
        <w:t xml:space="preserve"> </w:t>
      </w:r>
      <w:r w:rsidRPr="00686D4E">
        <w:rPr>
          <w:rFonts w:eastAsiaTheme="minorEastAsia"/>
          <w:szCs w:val="20"/>
          <w:lang w:val="en-MY"/>
        </w:rPr>
        <w:t>=</w:t>
      </w:r>
      <w:r w:rsidR="006F0BBE">
        <w:rPr>
          <w:rFonts w:eastAsiaTheme="minorEastAsia"/>
          <w:szCs w:val="20"/>
          <w:lang w:val="en-MY"/>
        </w:rPr>
        <w:t xml:space="preserve"> </w:t>
      </w:r>
      <w:r w:rsidRPr="00686D4E">
        <w:rPr>
          <w:rFonts w:eastAsiaTheme="minorEastAsia"/>
          <w:szCs w:val="20"/>
          <w:lang w:val="en-MY"/>
        </w:rPr>
        <w:t>3)</w:t>
      </w:r>
    </w:p>
    <w:p w:rsidR="006F0BBE" w:rsidRPr="00686D4E" w:rsidRDefault="006F0BBE" w:rsidP="006F0BBE">
      <w:pPr>
        <w:pStyle w:val="SAP-Paragraph"/>
        <w:ind w:firstLineChars="0" w:firstLine="720"/>
        <w:jc w:val="center"/>
        <w:rPr>
          <w:rFonts w:eastAsiaTheme="minorEastAsia"/>
          <w:szCs w:val="20"/>
          <w:lang w:val="en-MY"/>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915"/>
        <w:gridCol w:w="972"/>
        <w:gridCol w:w="865"/>
        <w:gridCol w:w="801"/>
      </w:tblGrid>
      <w:tr w:rsidR="00686D4E" w:rsidRPr="006F0BBE" w:rsidTr="006F0BBE">
        <w:trPr>
          <w:trHeight w:val="300"/>
          <w:jc w:val="center"/>
        </w:trPr>
        <w:tc>
          <w:tcPr>
            <w:tcW w:w="0" w:type="auto"/>
            <w:tcBorders>
              <w:top w:val="single" w:sz="4" w:space="0" w:color="auto"/>
              <w:bottom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b/>
                <w:bCs/>
                <w:szCs w:val="20"/>
              </w:rPr>
            </w:pPr>
            <w:r w:rsidRPr="006F0BBE">
              <w:rPr>
                <w:rFonts w:ascii="Times New Roman" w:eastAsia="Times New Roman" w:hAnsi="Times New Roman" w:cs="Times New Roman"/>
                <w:b/>
                <w:bCs/>
                <w:szCs w:val="20"/>
              </w:rPr>
              <w:t>Sample</w:t>
            </w:r>
          </w:p>
        </w:tc>
        <w:tc>
          <w:tcPr>
            <w:tcW w:w="0" w:type="auto"/>
            <w:tcBorders>
              <w:top w:val="single" w:sz="4" w:space="0" w:color="auto"/>
              <w:bottom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b/>
                <w:bCs/>
                <w:szCs w:val="20"/>
              </w:rPr>
            </w:pPr>
            <w:r w:rsidRPr="006F0BBE">
              <w:rPr>
                <w:rFonts w:ascii="Times New Roman" w:eastAsia="Times New Roman" w:hAnsi="Times New Roman" w:cs="Times New Roman"/>
                <w:b/>
                <w:bCs/>
                <w:szCs w:val="20"/>
              </w:rPr>
              <w:t>Cabbage</w:t>
            </w:r>
          </w:p>
        </w:tc>
        <w:tc>
          <w:tcPr>
            <w:tcW w:w="0" w:type="auto"/>
            <w:tcBorders>
              <w:top w:val="single" w:sz="4" w:space="0" w:color="auto"/>
              <w:bottom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b/>
                <w:bCs/>
                <w:szCs w:val="20"/>
              </w:rPr>
            </w:pPr>
            <w:r w:rsidRPr="006F0BBE">
              <w:rPr>
                <w:rFonts w:ascii="Times New Roman" w:eastAsia="Times New Roman" w:hAnsi="Times New Roman" w:cs="Times New Roman"/>
                <w:b/>
                <w:bCs/>
                <w:szCs w:val="20"/>
              </w:rPr>
              <w:t>Tomato</w:t>
            </w:r>
          </w:p>
        </w:tc>
        <w:tc>
          <w:tcPr>
            <w:tcW w:w="0" w:type="auto"/>
            <w:tcBorders>
              <w:top w:val="single" w:sz="4" w:space="0" w:color="auto"/>
              <w:bottom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b/>
                <w:bCs/>
                <w:szCs w:val="20"/>
              </w:rPr>
            </w:pPr>
            <w:r w:rsidRPr="006F0BBE">
              <w:rPr>
                <w:rFonts w:ascii="Times New Roman" w:eastAsia="Times New Roman" w:hAnsi="Times New Roman" w:cs="Times New Roman"/>
                <w:b/>
                <w:bCs/>
                <w:szCs w:val="20"/>
              </w:rPr>
              <w:t>Carrot</w:t>
            </w:r>
          </w:p>
        </w:tc>
      </w:tr>
      <w:tr w:rsidR="00686D4E" w:rsidRPr="006F0BBE" w:rsidTr="006F0BBE">
        <w:trPr>
          <w:trHeight w:val="56"/>
          <w:jc w:val="center"/>
        </w:trPr>
        <w:tc>
          <w:tcPr>
            <w:tcW w:w="0" w:type="auto"/>
            <w:tcBorders>
              <w:top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ACY</w:t>
            </w:r>
          </w:p>
        </w:tc>
        <w:tc>
          <w:tcPr>
            <w:tcW w:w="0" w:type="auto"/>
            <w:tcBorders>
              <w:top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0.049</w:t>
            </w:r>
          </w:p>
        </w:tc>
        <w:tc>
          <w:tcPr>
            <w:tcW w:w="0" w:type="auto"/>
            <w:tcBorders>
              <w:top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0.044</w:t>
            </w:r>
          </w:p>
        </w:tc>
        <w:tc>
          <w:tcPr>
            <w:tcW w:w="0" w:type="auto"/>
            <w:tcBorders>
              <w:top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0.161</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FLU</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0.113</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0.139</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PHE</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0.090</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ANT</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0.157</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0.199</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PYR</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0.368</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0.402</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0.184</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BaA</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0.223</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0.167</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0.231</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CHR</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0.195</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0.116</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BbF</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0.356</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0.345</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0.410</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BkF</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0.322</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BaP</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0.372</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0.278</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DahA</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0.560</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0.192</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0.196</w:t>
            </w:r>
          </w:p>
        </w:tc>
      </w:tr>
      <w:tr w:rsidR="00686D4E" w:rsidRPr="006F0BBE" w:rsidTr="006F0BBE">
        <w:trPr>
          <w:trHeight w:val="66"/>
          <w:jc w:val="center"/>
        </w:trPr>
        <w:tc>
          <w:tcPr>
            <w:tcW w:w="0" w:type="auto"/>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BghiP</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0.086</w:t>
            </w:r>
          </w:p>
        </w:tc>
      </w:tr>
      <w:tr w:rsidR="00686D4E" w:rsidRPr="006F0BBE" w:rsidTr="006F0BBE">
        <w:trPr>
          <w:trHeight w:val="66"/>
          <w:jc w:val="center"/>
        </w:trPr>
        <w:tc>
          <w:tcPr>
            <w:tcW w:w="0" w:type="auto"/>
            <w:tcBorders>
              <w:bottom w:val="single" w:sz="4" w:space="0" w:color="auto"/>
            </w:tcBorders>
            <w:shd w:val="clear" w:color="auto" w:fill="auto"/>
            <w:noWrap/>
            <w:vAlign w:val="center"/>
            <w:hideMark/>
          </w:tcPr>
          <w:p w:rsidR="001B1D3A" w:rsidRPr="006F0BBE" w:rsidRDefault="001B1D3A" w:rsidP="00EC180B">
            <w:pPr>
              <w:jc w:val="center"/>
              <w:rPr>
                <w:rFonts w:ascii="Times New Roman" w:eastAsia="Times New Roman" w:hAnsi="Times New Roman" w:cs="Times New Roman"/>
                <w:szCs w:val="20"/>
              </w:rPr>
            </w:pPr>
            <w:r w:rsidRPr="006F0BBE">
              <w:rPr>
                <w:rFonts w:ascii="Times New Roman" w:eastAsia="Times New Roman" w:hAnsi="Times New Roman" w:cs="Times New Roman"/>
                <w:szCs w:val="20"/>
              </w:rPr>
              <w:t>IcP</w:t>
            </w:r>
          </w:p>
        </w:tc>
        <w:tc>
          <w:tcPr>
            <w:tcW w:w="0" w:type="auto"/>
            <w:tcBorders>
              <w:bottom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0.214</w:t>
            </w:r>
          </w:p>
        </w:tc>
        <w:tc>
          <w:tcPr>
            <w:tcW w:w="0" w:type="auto"/>
            <w:tcBorders>
              <w:bottom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n.d.</w:t>
            </w:r>
          </w:p>
        </w:tc>
        <w:tc>
          <w:tcPr>
            <w:tcW w:w="0" w:type="auto"/>
            <w:tcBorders>
              <w:bottom w:val="single" w:sz="4" w:space="0" w:color="auto"/>
            </w:tcBorders>
            <w:shd w:val="clear" w:color="auto" w:fill="auto"/>
            <w:noWrap/>
            <w:vAlign w:val="bottom"/>
            <w:hideMark/>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0.621</w:t>
            </w:r>
          </w:p>
        </w:tc>
      </w:tr>
      <w:tr w:rsidR="00686D4E" w:rsidRPr="006F0BBE" w:rsidTr="006F0BBE">
        <w:trPr>
          <w:trHeight w:val="56"/>
          <w:jc w:val="center"/>
        </w:trPr>
        <w:tc>
          <w:tcPr>
            <w:tcW w:w="0" w:type="auto"/>
            <w:tcBorders>
              <w:top w:val="single" w:sz="4" w:space="0" w:color="auto"/>
              <w:bottom w:val="single" w:sz="4" w:space="0" w:color="auto"/>
            </w:tcBorders>
            <w:shd w:val="clear" w:color="auto" w:fill="auto"/>
            <w:noWrap/>
            <w:vAlign w:val="center"/>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Σ13PAH</w:t>
            </w:r>
          </w:p>
        </w:tc>
        <w:tc>
          <w:tcPr>
            <w:tcW w:w="0" w:type="auto"/>
            <w:tcBorders>
              <w:top w:val="single" w:sz="4" w:space="0" w:color="auto"/>
              <w:bottom w:val="single" w:sz="4" w:space="0" w:color="auto"/>
            </w:tcBorders>
            <w:shd w:val="clear" w:color="auto" w:fill="auto"/>
            <w:noWrap/>
            <w:vAlign w:val="bottom"/>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2.969</w:t>
            </w:r>
          </w:p>
        </w:tc>
        <w:tc>
          <w:tcPr>
            <w:tcW w:w="0" w:type="auto"/>
            <w:tcBorders>
              <w:top w:val="single" w:sz="4" w:space="0" w:color="auto"/>
              <w:bottom w:val="single" w:sz="4" w:space="0" w:color="auto"/>
            </w:tcBorders>
            <w:shd w:val="clear" w:color="auto" w:fill="auto"/>
            <w:noWrap/>
            <w:vAlign w:val="bottom"/>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1.488</w:t>
            </w:r>
          </w:p>
        </w:tc>
        <w:tc>
          <w:tcPr>
            <w:tcW w:w="0" w:type="auto"/>
            <w:tcBorders>
              <w:top w:val="single" w:sz="4" w:space="0" w:color="auto"/>
              <w:bottom w:val="single" w:sz="4" w:space="0" w:color="auto"/>
            </w:tcBorders>
            <w:shd w:val="clear" w:color="auto" w:fill="auto"/>
            <w:noWrap/>
            <w:vAlign w:val="bottom"/>
          </w:tcPr>
          <w:p w:rsidR="001B1D3A" w:rsidRPr="006F0BBE" w:rsidRDefault="001B1D3A" w:rsidP="00EC180B">
            <w:pPr>
              <w:jc w:val="center"/>
              <w:rPr>
                <w:rFonts w:ascii="Times New Roman" w:hAnsi="Times New Roman" w:cs="Times New Roman"/>
                <w:szCs w:val="20"/>
              </w:rPr>
            </w:pPr>
            <w:r w:rsidRPr="006F0BBE">
              <w:rPr>
                <w:rFonts w:ascii="Times New Roman" w:hAnsi="Times New Roman" w:cs="Times New Roman"/>
                <w:szCs w:val="20"/>
              </w:rPr>
              <w:t>2.283</w:t>
            </w:r>
          </w:p>
        </w:tc>
      </w:tr>
    </w:tbl>
    <w:p w:rsidR="001B1D3A" w:rsidRPr="006F0BBE" w:rsidRDefault="001B1D3A" w:rsidP="006F0BBE">
      <w:pPr>
        <w:ind w:left="2029" w:firstLine="851"/>
        <w:rPr>
          <w:rFonts w:ascii="Times New Roman" w:hAnsi="Times New Roman" w:cs="Times New Roman"/>
          <w:sz w:val="16"/>
          <w:szCs w:val="16"/>
        </w:rPr>
      </w:pPr>
      <w:r w:rsidRPr="006F0BBE">
        <w:rPr>
          <w:rFonts w:ascii="Times New Roman" w:hAnsi="Times New Roman" w:cs="Times New Roman"/>
          <w:sz w:val="16"/>
          <w:szCs w:val="16"/>
        </w:rPr>
        <w:t>n.d.: not detected</w:t>
      </w:r>
    </w:p>
    <w:p w:rsidR="001B1D3A" w:rsidRPr="00686D4E" w:rsidRDefault="001B1D3A" w:rsidP="00C11491">
      <w:pPr>
        <w:wordWrap/>
        <w:spacing w:before="3" w:line="242" w:lineRule="auto"/>
        <w:rPr>
          <w:rFonts w:ascii="Times New Roman" w:hAnsi="Times New Roman" w:cs="Times New Roman"/>
          <w:szCs w:val="20"/>
        </w:rPr>
      </w:pPr>
    </w:p>
    <w:p w:rsidR="001B1D3A" w:rsidRPr="00686D4E" w:rsidRDefault="001B1D3A" w:rsidP="001B1D3A">
      <w:pPr>
        <w:jc w:val="center"/>
        <w:outlineLvl w:val="0"/>
        <w:rPr>
          <w:rFonts w:ascii="Times New Roman" w:hAnsi="Times New Roman" w:cs="Times New Roman"/>
          <w:b/>
          <w:szCs w:val="20"/>
        </w:rPr>
      </w:pPr>
      <w:r w:rsidRPr="00686D4E">
        <w:rPr>
          <w:rFonts w:ascii="Times New Roman" w:hAnsi="Times New Roman" w:cs="Times New Roman"/>
          <w:b/>
          <w:szCs w:val="20"/>
        </w:rPr>
        <w:t>Conclusion</w:t>
      </w:r>
    </w:p>
    <w:p w:rsidR="001B1D3A" w:rsidRPr="00686D4E" w:rsidRDefault="001B1D3A" w:rsidP="001B1D3A">
      <w:pPr>
        <w:wordWrap/>
        <w:spacing w:before="3" w:line="242" w:lineRule="auto"/>
        <w:rPr>
          <w:rFonts w:ascii="Times New Roman" w:hAnsi="Times New Roman" w:cs="Times New Roman"/>
          <w:szCs w:val="20"/>
        </w:rPr>
      </w:pPr>
      <w:r w:rsidRPr="00686D4E">
        <w:rPr>
          <w:rFonts w:ascii="Times New Roman" w:hAnsi="Times New Roman" w:cs="Times New Roman"/>
          <w:szCs w:val="20"/>
        </w:rPr>
        <w:t>In the present study, an analytical method of MAE-DLLME coupled with GC-FID for clean-up and extraction of</w:t>
      </w:r>
    </w:p>
    <w:p w:rsidR="001B1D3A" w:rsidRPr="00686D4E" w:rsidRDefault="001B1D3A" w:rsidP="001B1D3A">
      <w:pPr>
        <w:wordWrap/>
        <w:spacing w:before="3" w:line="242" w:lineRule="auto"/>
        <w:rPr>
          <w:rFonts w:ascii="Times New Roman" w:hAnsi="Times New Roman" w:cs="Times New Roman"/>
          <w:szCs w:val="20"/>
        </w:rPr>
      </w:pPr>
      <w:r w:rsidRPr="00686D4E">
        <w:rPr>
          <w:rFonts w:ascii="Times New Roman" w:hAnsi="Times New Roman" w:cs="Times New Roman"/>
          <w:szCs w:val="20"/>
        </w:rPr>
        <w:t xml:space="preserve">13 PAHs from vegetable samples has been developed. The analytical performances of DLLME and MAE-DLLME were validated and compared. The results showed that both methods exhibited low limits of detection and limits of quantification, good precision, accuracy, extraction recovery and enrichment factor. Although MAE-DLLME required the consumption of organic solvents and processing time in microwave process, the overall performance of MAE-DLLME is better than DLLME due to the thermal degradation of matrix components. In conclusions, MAE coupled with DLLME successfully increased extraction efficiency by degrading matrix interference and reducing volume of extraction solvent. The developed MAE-DLLME is preferable for analysis of PAHs in food sample with complex matrices. With the recent development of automation technology, the </w:t>
      </w:r>
      <w:r w:rsidR="00805272" w:rsidRPr="00686D4E">
        <w:rPr>
          <w:rFonts w:ascii="Times New Roman" w:hAnsi="Times New Roman" w:cs="Times New Roman"/>
          <w:szCs w:val="20"/>
        </w:rPr>
        <w:t xml:space="preserve">automated MAE-DLLME </w:t>
      </w:r>
      <w:r w:rsidRPr="00686D4E">
        <w:rPr>
          <w:rFonts w:ascii="Times New Roman" w:hAnsi="Times New Roman" w:cs="Times New Roman"/>
          <w:szCs w:val="20"/>
        </w:rPr>
        <w:t>procedure should be developed in the future.</w:t>
      </w:r>
    </w:p>
    <w:p w:rsidR="0066798A" w:rsidRPr="00686D4E" w:rsidRDefault="0066798A" w:rsidP="004D3674">
      <w:pP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686D4E">
        <w:rPr>
          <w:rFonts w:ascii="Times New Roman" w:hAnsi="Times New Roman" w:cs="Times New Roman"/>
          <w:b/>
          <w:szCs w:val="20"/>
        </w:rPr>
        <w:t>References</w:t>
      </w:r>
    </w:p>
    <w:p w:rsidR="004D3674" w:rsidRPr="00686D4E" w:rsidRDefault="004D3674" w:rsidP="003A2A26">
      <w:pPr>
        <w:jc w:val="center"/>
        <w:outlineLvl w:val="0"/>
        <w:rPr>
          <w:rFonts w:ascii="Times New Roman" w:hAnsi="Times New Roman" w:cs="Times New Roman"/>
          <w:b/>
          <w:szCs w:val="20"/>
        </w:rPr>
      </w:pPr>
    </w:p>
    <w:p w:rsidR="0052685E"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Li, H., Zhu, D., Lu, X., Du, H., Guan, S. and Chen, Z. (2018). Determination and risk assessment of sixteen polycyclic</w:t>
      </w:r>
      <w:r w:rsidRPr="00686D4E">
        <w:rPr>
          <w:rFonts w:ascii="Times New Roman" w:hAnsi="Times New Roman" w:cs="Times New Roman"/>
          <w:spacing w:val="-5"/>
          <w:szCs w:val="20"/>
        </w:rPr>
        <w:t xml:space="preserve"> </w:t>
      </w:r>
      <w:r w:rsidRPr="00686D4E">
        <w:rPr>
          <w:rFonts w:ascii="Times New Roman" w:hAnsi="Times New Roman" w:cs="Times New Roman"/>
          <w:szCs w:val="20"/>
        </w:rPr>
        <w:t>aromatic</w:t>
      </w:r>
      <w:r w:rsidRPr="00686D4E">
        <w:rPr>
          <w:rFonts w:ascii="Times New Roman" w:hAnsi="Times New Roman" w:cs="Times New Roman"/>
          <w:spacing w:val="-4"/>
          <w:szCs w:val="20"/>
        </w:rPr>
        <w:t xml:space="preserve"> </w:t>
      </w:r>
      <w:r w:rsidRPr="00686D4E">
        <w:rPr>
          <w:rFonts w:ascii="Times New Roman" w:hAnsi="Times New Roman" w:cs="Times New Roman"/>
          <w:szCs w:val="20"/>
        </w:rPr>
        <w:t>hydrocarbons</w:t>
      </w:r>
      <w:r w:rsidRPr="00686D4E">
        <w:rPr>
          <w:rFonts w:ascii="Times New Roman" w:hAnsi="Times New Roman" w:cs="Times New Roman"/>
          <w:spacing w:val="-3"/>
          <w:szCs w:val="20"/>
        </w:rPr>
        <w:t xml:space="preserve"> </w:t>
      </w:r>
      <w:r w:rsidRPr="00686D4E">
        <w:rPr>
          <w:rFonts w:ascii="Times New Roman" w:hAnsi="Times New Roman" w:cs="Times New Roman"/>
          <w:szCs w:val="20"/>
        </w:rPr>
        <w:t>in</w:t>
      </w:r>
      <w:r w:rsidRPr="00686D4E">
        <w:rPr>
          <w:rFonts w:ascii="Times New Roman" w:hAnsi="Times New Roman" w:cs="Times New Roman"/>
          <w:spacing w:val="-7"/>
          <w:szCs w:val="20"/>
        </w:rPr>
        <w:t xml:space="preserve"> </w:t>
      </w:r>
      <w:r w:rsidRPr="00686D4E">
        <w:rPr>
          <w:rFonts w:ascii="Times New Roman" w:hAnsi="Times New Roman" w:cs="Times New Roman"/>
          <w:szCs w:val="20"/>
        </w:rPr>
        <w:t>vegetables.</w:t>
      </w:r>
      <w:r w:rsidRPr="00686D4E">
        <w:rPr>
          <w:rFonts w:ascii="Times New Roman" w:hAnsi="Times New Roman" w:cs="Times New Roman"/>
          <w:spacing w:val="-1"/>
          <w:szCs w:val="20"/>
        </w:rPr>
        <w:t xml:space="preserve"> </w:t>
      </w:r>
      <w:r w:rsidRPr="00686D4E">
        <w:rPr>
          <w:rFonts w:ascii="Times New Roman" w:hAnsi="Times New Roman" w:cs="Times New Roman"/>
          <w:i/>
          <w:szCs w:val="20"/>
        </w:rPr>
        <w:t>Journal</w:t>
      </w:r>
      <w:r w:rsidRPr="00686D4E">
        <w:rPr>
          <w:rFonts w:ascii="Times New Roman" w:hAnsi="Times New Roman" w:cs="Times New Roman"/>
          <w:i/>
          <w:spacing w:val="-6"/>
          <w:szCs w:val="20"/>
        </w:rPr>
        <w:t xml:space="preserve"> </w:t>
      </w:r>
      <w:r w:rsidRPr="00686D4E">
        <w:rPr>
          <w:rFonts w:ascii="Times New Roman" w:hAnsi="Times New Roman" w:cs="Times New Roman"/>
          <w:i/>
          <w:szCs w:val="20"/>
        </w:rPr>
        <w:t>of</w:t>
      </w:r>
      <w:r w:rsidRPr="00686D4E">
        <w:rPr>
          <w:rFonts w:ascii="Times New Roman" w:hAnsi="Times New Roman" w:cs="Times New Roman"/>
          <w:i/>
          <w:spacing w:val="-10"/>
          <w:szCs w:val="20"/>
        </w:rPr>
        <w:t xml:space="preserve"> </w:t>
      </w:r>
      <w:r w:rsidRPr="00686D4E">
        <w:rPr>
          <w:rFonts w:ascii="Times New Roman" w:hAnsi="Times New Roman" w:cs="Times New Roman"/>
          <w:i/>
          <w:szCs w:val="20"/>
        </w:rPr>
        <w:t>Environmental</w:t>
      </w:r>
      <w:r w:rsidRPr="00686D4E">
        <w:rPr>
          <w:rFonts w:ascii="Times New Roman" w:hAnsi="Times New Roman" w:cs="Times New Roman"/>
          <w:i/>
          <w:spacing w:val="-4"/>
          <w:szCs w:val="20"/>
        </w:rPr>
        <w:t xml:space="preserve"> </w:t>
      </w:r>
      <w:r w:rsidRPr="00686D4E">
        <w:rPr>
          <w:rFonts w:ascii="Times New Roman" w:hAnsi="Times New Roman" w:cs="Times New Roman"/>
          <w:i/>
          <w:szCs w:val="20"/>
        </w:rPr>
        <w:t>Science</w:t>
      </w:r>
      <w:r w:rsidRPr="00686D4E">
        <w:rPr>
          <w:rFonts w:ascii="Times New Roman" w:hAnsi="Times New Roman" w:cs="Times New Roman"/>
          <w:i/>
          <w:spacing w:val="-5"/>
          <w:szCs w:val="20"/>
        </w:rPr>
        <w:t xml:space="preserve"> </w:t>
      </w:r>
      <w:r w:rsidRPr="00686D4E">
        <w:rPr>
          <w:rFonts w:ascii="Times New Roman" w:hAnsi="Times New Roman" w:cs="Times New Roman"/>
          <w:i/>
          <w:szCs w:val="20"/>
        </w:rPr>
        <w:t>and</w:t>
      </w:r>
      <w:r w:rsidRPr="00686D4E">
        <w:rPr>
          <w:rFonts w:ascii="Times New Roman" w:hAnsi="Times New Roman" w:cs="Times New Roman"/>
          <w:i/>
          <w:spacing w:val="-4"/>
          <w:szCs w:val="20"/>
        </w:rPr>
        <w:t xml:space="preserve"> </w:t>
      </w:r>
      <w:r w:rsidRPr="00686D4E">
        <w:rPr>
          <w:rFonts w:ascii="Times New Roman" w:hAnsi="Times New Roman" w:cs="Times New Roman"/>
          <w:i/>
          <w:szCs w:val="20"/>
        </w:rPr>
        <w:t>Health,</w:t>
      </w:r>
      <w:r w:rsidRPr="00686D4E">
        <w:rPr>
          <w:rFonts w:ascii="Times New Roman" w:hAnsi="Times New Roman" w:cs="Times New Roman"/>
          <w:i/>
          <w:spacing w:val="-7"/>
          <w:szCs w:val="20"/>
        </w:rPr>
        <w:t xml:space="preserve"> </w:t>
      </w:r>
      <w:r w:rsidRPr="00686D4E">
        <w:rPr>
          <w:rFonts w:ascii="Times New Roman" w:hAnsi="Times New Roman" w:cs="Times New Roman"/>
          <w:i/>
          <w:szCs w:val="20"/>
        </w:rPr>
        <w:t>Part</w:t>
      </w:r>
      <w:r w:rsidRPr="00686D4E">
        <w:rPr>
          <w:rFonts w:ascii="Times New Roman" w:hAnsi="Times New Roman" w:cs="Times New Roman"/>
          <w:i/>
          <w:spacing w:val="-8"/>
          <w:szCs w:val="20"/>
        </w:rPr>
        <w:t xml:space="preserve"> </w:t>
      </w:r>
      <w:r w:rsidRPr="00686D4E">
        <w:rPr>
          <w:rFonts w:ascii="Times New Roman" w:hAnsi="Times New Roman" w:cs="Times New Roman"/>
          <w:i/>
          <w:szCs w:val="20"/>
        </w:rPr>
        <w:t>A</w:t>
      </w:r>
      <w:r w:rsidRPr="00686D4E">
        <w:rPr>
          <w:rFonts w:ascii="Times New Roman" w:hAnsi="Times New Roman" w:cs="Times New Roman"/>
          <w:szCs w:val="20"/>
        </w:rPr>
        <w:t>,</w:t>
      </w:r>
      <w:r w:rsidRPr="00686D4E">
        <w:rPr>
          <w:rFonts w:ascii="Times New Roman" w:hAnsi="Times New Roman" w:cs="Times New Roman"/>
          <w:spacing w:val="-6"/>
          <w:szCs w:val="20"/>
        </w:rPr>
        <w:t xml:space="preserve"> </w:t>
      </w:r>
      <w:r w:rsidRPr="00686D4E">
        <w:rPr>
          <w:rFonts w:ascii="Times New Roman" w:hAnsi="Times New Roman" w:cs="Times New Roman"/>
          <w:szCs w:val="20"/>
        </w:rPr>
        <w:t>53(2): 116</w:t>
      </w:r>
      <w:r w:rsidR="004D3674">
        <w:rPr>
          <w:rFonts w:ascii="Times New Roman" w:hAnsi="Times New Roman" w:cs="Times New Roman"/>
          <w:szCs w:val="20"/>
        </w:rPr>
        <w:t>-</w:t>
      </w:r>
      <w:r w:rsidRPr="00686D4E">
        <w:rPr>
          <w:rFonts w:ascii="Times New Roman" w:hAnsi="Times New Roman" w:cs="Times New Roman"/>
          <w:szCs w:val="20"/>
        </w:rPr>
        <w:t>123.</w:t>
      </w:r>
    </w:p>
    <w:p w:rsidR="0052685E"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Singh, L. and Agarwal, T. (2018). </w:t>
      </w:r>
      <w:r w:rsidRPr="00686D4E">
        <w:rPr>
          <w:rFonts w:ascii="Times New Roman" w:hAnsi="Times New Roman" w:cs="Times New Roman"/>
          <w:spacing w:val="-4"/>
          <w:szCs w:val="20"/>
        </w:rPr>
        <w:t xml:space="preserve">PAHs </w:t>
      </w:r>
      <w:r w:rsidRPr="00686D4E">
        <w:rPr>
          <w:rFonts w:ascii="Times New Roman" w:hAnsi="Times New Roman" w:cs="Times New Roman"/>
          <w:szCs w:val="20"/>
        </w:rPr>
        <w:t xml:space="preserve">in Indian diet: Assessing the cancer risk. </w:t>
      </w:r>
      <w:r w:rsidRPr="00686D4E">
        <w:rPr>
          <w:rFonts w:ascii="Times New Roman" w:hAnsi="Times New Roman" w:cs="Times New Roman"/>
          <w:i/>
          <w:szCs w:val="20"/>
        </w:rPr>
        <w:t>Chemosphere</w:t>
      </w:r>
      <w:r w:rsidRPr="00686D4E">
        <w:rPr>
          <w:rFonts w:ascii="Times New Roman" w:hAnsi="Times New Roman" w:cs="Times New Roman"/>
          <w:szCs w:val="20"/>
        </w:rPr>
        <w:t>, 202: 366</w:t>
      </w:r>
      <w:r w:rsidR="004D3674">
        <w:rPr>
          <w:rFonts w:ascii="Times New Roman" w:hAnsi="Times New Roman" w:cs="Times New Roman"/>
          <w:szCs w:val="20"/>
        </w:rPr>
        <w:t>-</w:t>
      </w:r>
      <w:r w:rsidRPr="00686D4E">
        <w:rPr>
          <w:rFonts w:ascii="Times New Roman" w:hAnsi="Times New Roman" w:cs="Times New Roman"/>
          <w:szCs w:val="20"/>
        </w:rPr>
        <w:t>376.</w:t>
      </w:r>
    </w:p>
    <w:p w:rsidR="004D3674"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Soceanu, A., Dobrinas, S., Stanciu, G. and Popescu, V. (2014). Polycyclic </w:t>
      </w:r>
      <w:r w:rsidR="004D3674" w:rsidRPr="00686D4E">
        <w:rPr>
          <w:rFonts w:ascii="Times New Roman" w:hAnsi="Times New Roman" w:cs="Times New Roman"/>
          <w:szCs w:val="20"/>
        </w:rPr>
        <w:t xml:space="preserve">aromatic hydrocarbons in vegetables grown in urban and rural areas. </w:t>
      </w:r>
      <w:r w:rsidRPr="00686D4E">
        <w:rPr>
          <w:rFonts w:ascii="Times New Roman" w:hAnsi="Times New Roman" w:cs="Times New Roman"/>
          <w:i/>
          <w:szCs w:val="20"/>
        </w:rPr>
        <w:t>Environmental Engineering and Management Journal</w:t>
      </w:r>
      <w:r w:rsidRPr="00686D4E">
        <w:rPr>
          <w:rFonts w:ascii="Times New Roman" w:hAnsi="Times New Roman" w:cs="Times New Roman"/>
          <w:szCs w:val="20"/>
        </w:rPr>
        <w:t>, 13(9): 2311</w:t>
      </w:r>
      <w:r w:rsidR="004D3674">
        <w:rPr>
          <w:rFonts w:ascii="Times New Roman" w:hAnsi="Times New Roman" w:cs="Times New Roman"/>
          <w:szCs w:val="20"/>
        </w:rPr>
        <w:t>-</w:t>
      </w:r>
      <w:r w:rsidRPr="00686D4E">
        <w:rPr>
          <w:rFonts w:ascii="Times New Roman" w:hAnsi="Times New Roman" w:cs="Times New Roman"/>
          <w:szCs w:val="20"/>
        </w:rPr>
        <w:t>2315.</w:t>
      </w:r>
    </w:p>
    <w:p w:rsidR="0052685E" w:rsidRPr="004D3674" w:rsidRDefault="0052685E" w:rsidP="004D3674">
      <w:pPr>
        <w:pStyle w:val="ListParagraph"/>
        <w:numPr>
          <w:ilvl w:val="0"/>
          <w:numId w:val="1"/>
        </w:numPr>
        <w:ind w:left="709" w:hanging="709"/>
        <w:outlineLvl w:val="0"/>
        <w:rPr>
          <w:rFonts w:ascii="Times New Roman" w:hAnsi="Times New Roman" w:cs="Times New Roman"/>
          <w:szCs w:val="20"/>
        </w:rPr>
      </w:pPr>
      <w:r w:rsidRPr="004D3674">
        <w:rPr>
          <w:rFonts w:ascii="Times New Roman" w:hAnsi="Times New Roman" w:cs="Times New Roman"/>
          <w:szCs w:val="20"/>
        </w:rPr>
        <w:lastRenderedPageBreak/>
        <w:t>International Agency for research on cancer. (2017). IARC Monographs on the evaluation of carcinogenic risks to humans. http://monographs.iarc.fr/ENG/Classification/latest_classif.php. [Access online 18 April 2019].</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European Commission (2002). Opinion </w:t>
      </w:r>
      <w:r w:rsidR="004D3674" w:rsidRPr="00686D4E">
        <w:rPr>
          <w:rFonts w:ascii="Times New Roman" w:hAnsi="Times New Roman" w:cs="Times New Roman"/>
          <w:szCs w:val="20"/>
        </w:rPr>
        <w:t>of the scientific committee on food on the risks to human health of polycyclic aromatic hydrocarbons in food.</w:t>
      </w:r>
      <w:r w:rsidRPr="00686D4E">
        <w:rPr>
          <w:rFonts w:ascii="Times New Roman" w:hAnsi="Times New Roman" w:cs="Times New Roman"/>
          <w:szCs w:val="20"/>
        </w:rPr>
        <w:t xml:space="preserve"> https://ec.europa.eu/food/sites/food/files/safety/docs/sci- com_scf_out153_en.pdf. [Access online 19 April 2019].</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Saraji, M., and Boroujeni, M. K. (2013). Recent developments in dispersive liquid-liquid microextraction microextraction techniques. </w:t>
      </w:r>
      <w:r w:rsidR="00F61C23" w:rsidRPr="00686D4E">
        <w:rPr>
          <w:rFonts w:ascii="Times New Roman" w:hAnsi="Times New Roman" w:cs="Times New Roman"/>
          <w:i/>
          <w:szCs w:val="20"/>
        </w:rPr>
        <w:t>Analytical and Bioanalytical Chemistry</w:t>
      </w:r>
      <w:r w:rsidRPr="00686D4E">
        <w:rPr>
          <w:rFonts w:ascii="Times New Roman" w:hAnsi="Times New Roman" w:cs="Times New Roman"/>
          <w:szCs w:val="20"/>
        </w:rPr>
        <w:t>, 406: 2027</w:t>
      </w:r>
      <w:r w:rsidR="004D3674">
        <w:rPr>
          <w:rFonts w:ascii="Times New Roman" w:hAnsi="Times New Roman" w:cs="Times New Roman"/>
          <w:szCs w:val="20"/>
        </w:rPr>
        <w:t>-</w:t>
      </w:r>
      <w:r w:rsidRPr="00686D4E">
        <w:rPr>
          <w:rFonts w:ascii="Times New Roman" w:hAnsi="Times New Roman" w:cs="Times New Roman"/>
          <w:szCs w:val="20"/>
        </w:rPr>
        <w:t>2066.</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Rezaee, M., Assadi, Y., Milani Hosseini, M.R., Aghaee, E., Ahmadi, F. and Berijani, S. (2006). Determination of organic compounds in water using dispersive liquid-liquid microextraction. </w:t>
      </w:r>
      <w:r w:rsidRPr="00686D4E">
        <w:rPr>
          <w:rFonts w:ascii="Times New Roman" w:hAnsi="Times New Roman" w:cs="Times New Roman"/>
          <w:i/>
          <w:szCs w:val="20"/>
        </w:rPr>
        <w:t>Journal of Chromatography</w:t>
      </w:r>
      <w:r w:rsidRPr="00686D4E">
        <w:rPr>
          <w:rFonts w:ascii="Times New Roman" w:hAnsi="Times New Roman" w:cs="Times New Roman"/>
          <w:szCs w:val="20"/>
        </w:rPr>
        <w:t>. A, 1116</w:t>
      </w:r>
      <w:r w:rsidR="00F61C23" w:rsidRPr="00686D4E">
        <w:rPr>
          <w:rFonts w:ascii="Times New Roman" w:hAnsi="Times New Roman" w:cs="Times New Roman"/>
          <w:szCs w:val="20"/>
        </w:rPr>
        <w:t xml:space="preserve"> </w:t>
      </w:r>
      <w:r w:rsidRPr="00686D4E">
        <w:rPr>
          <w:rFonts w:ascii="Times New Roman" w:hAnsi="Times New Roman" w:cs="Times New Roman"/>
          <w:szCs w:val="20"/>
        </w:rPr>
        <w:t>(1-2): 1</w:t>
      </w:r>
      <w:r w:rsidR="004D3674">
        <w:rPr>
          <w:rFonts w:ascii="Times New Roman" w:hAnsi="Times New Roman" w:cs="Times New Roman"/>
          <w:szCs w:val="20"/>
        </w:rPr>
        <w:t>-</w:t>
      </w:r>
      <w:r w:rsidRPr="00686D4E">
        <w:rPr>
          <w:rFonts w:ascii="Times New Roman" w:hAnsi="Times New Roman" w:cs="Times New Roman"/>
          <w:szCs w:val="20"/>
        </w:rPr>
        <w:t>9.</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Peng, G., Lu, Y., He, Q., Mmereki, D., Zhou, G., Chen, J. and Tang, X. (2016). Dispersive </w:t>
      </w:r>
      <w:r w:rsidR="004D3674" w:rsidRPr="00686D4E">
        <w:rPr>
          <w:rFonts w:ascii="Times New Roman" w:hAnsi="Times New Roman" w:cs="Times New Roman"/>
          <w:szCs w:val="20"/>
        </w:rPr>
        <w:t>liquid–liquid microextraction using low-toxic solvent for the determination of heavy metals in water samples by inductively coupled plasma–mass spectrometry</w:t>
      </w:r>
      <w:r w:rsidR="004D3674" w:rsidRPr="00686D4E">
        <w:rPr>
          <w:rFonts w:ascii="Times New Roman" w:hAnsi="Times New Roman" w:cs="Times New Roman"/>
          <w:i/>
          <w:szCs w:val="20"/>
        </w:rPr>
        <w:t>.</w:t>
      </w:r>
      <w:r w:rsidRPr="00686D4E">
        <w:rPr>
          <w:rFonts w:ascii="Times New Roman" w:hAnsi="Times New Roman" w:cs="Times New Roman"/>
          <w:i/>
          <w:szCs w:val="20"/>
        </w:rPr>
        <w:t xml:space="preserve"> Journal of AOAC </w:t>
      </w:r>
      <w:r w:rsidR="00F61C23" w:rsidRPr="00686D4E">
        <w:rPr>
          <w:rFonts w:ascii="Times New Roman" w:hAnsi="Times New Roman" w:cs="Times New Roman"/>
          <w:i/>
          <w:szCs w:val="20"/>
        </w:rPr>
        <w:t>International</w:t>
      </w:r>
      <w:r w:rsidRPr="00686D4E">
        <w:rPr>
          <w:rFonts w:ascii="Times New Roman" w:hAnsi="Times New Roman" w:cs="Times New Roman"/>
          <w:szCs w:val="20"/>
        </w:rPr>
        <w:t>, 99</w:t>
      </w:r>
      <w:r w:rsidR="00F61C23" w:rsidRPr="00686D4E">
        <w:rPr>
          <w:rFonts w:ascii="Times New Roman" w:hAnsi="Times New Roman" w:cs="Times New Roman"/>
          <w:szCs w:val="20"/>
        </w:rPr>
        <w:t xml:space="preserve"> </w:t>
      </w:r>
      <w:r w:rsidRPr="00686D4E">
        <w:rPr>
          <w:rFonts w:ascii="Times New Roman" w:hAnsi="Times New Roman" w:cs="Times New Roman"/>
          <w:szCs w:val="20"/>
        </w:rPr>
        <w:t>(1): 260</w:t>
      </w:r>
      <w:r w:rsidR="004D3674">
        <w:rPr>
          <w:rFonts w:ascii="Times New Roman" w:hAnsi="Times New Roman" w:cs="Times New Roman"/>
          <w:szCs w:val="20"/>
        </w:rPr>
        <w:t>-</w:t>
      </w:r>
      <w:r w:rsidRPr="00686D4E">
        <w:rPr>
          <w:rFonts w:ascii="Times New Roman" w:hAnsi="Times New Roman" w:cs="Times New Roman"/>
          <w:szCs w:val="20"/>
        </w:rPr>
        <w:t>266.</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Chai, M. K., Chander, P. D. and Wong, L. S. (2016). Modified </w:t>
      </w:r>
      <w:r w:rsidR="004D3674" w:rsidRPr="00686D4E">
        <w:rPr>
          <w:rFonts w:ascii="Times New Roman" w:hAnsi="Times New Roman" w:cs="Times New Roman"/>
          <w:szCs w:val="20"/>
        </w:rPr>
        <w:t>dispersive liquid-liquid microextraction using green solvent for extraction of polycyclic aromatic hydrocarbosn</w:t>
      </w:r>
      <w:r w:rsidRPr="00686D4E">
        <w:rPr>
          <w:rFonts w:ascii="Times New Roman" w:hAnsi="Times New Roman" w:cs="Times New Roman"/>
          <w:szCs w:val="20"/>
        </w:rPr>
        <w:t xml:space="preserve"> (PAHs) </w:t>
      </w:r>
      <w:r w:rsidR="004D3674" w:rsidRPr="00686D4E">
        <w:rPr>
          <w:rFonts w:ascii="Times New Roman" w:hAnsi="Times New Roman" w:cs="Times New Roman"/>
          <w:szCs w:val="20"/>
        </w:rPr>
        <w:t xml:space="preserve">in vegetable samples. </w:t>
      </w:r>
      <w:r w:rsidRPr="00686D4E">
        <w:rPr>
          <w:rFonts w:ascii="Times New Roman" w:hAnsi="Times New Roman" w:cs="Times New Roman"/>
          <w:i/>
          <w:szCs w:val="20"/>
        </w:rPr>
        <w:t>Malaysian Journal of Analytical Sciences</w:t>
      </w:r>
      <w:r w:rsidRPr="00686D4E">
        <w:rPr>
          <w:rFonts w:ascii="Times New Roman" w:hAnsi="Times New Roman" w:cs="Times New Roman"/>
          <w:szCs w:val="20"/>
        </w:rPr>
        <w:t>, 20(1): 14</w:t>
      </w:r>
      <w:r w:rsidR="00F61C23" w:rsidRPr="00686D4E">
        <w:rPr>
          <w:rFonts w:ascii="Times New Roman" w:hAnsi="Times New Roman" w:cs="Times New Roman"/>
          <w:szCs w:val="20"/>
        </w:rPr>
        <w:t xml:space="preserve"> </w:t>
      </w:r>
      <w:r w:rsidRPr="00686D4E">
        <w:rPr>
          <w:rFonts w:ascii="Times New Roman" w:hAnsi="Times New Roman" w:cs="Times New Roman"/>
          <w:szCs w:val="20"/>
        </w:rPr>
        <w:t>–</w:t>
      </w:r>
      <w:r w:rsidR="00F61C23" w:rsidRPr="00686D4E">
        <w:rPr>
          <w:rFonts w:ascii="Times New Roman" w:hAnsi="Times New Roman" w:cs="Times New Roman"/>
          <w:szCs w:val="20"/>
        </w:rPr>
        <w:t xml:space="preserve"> </w:t>
      </w:r>
      <w:r w:rsidRPr="00686D4E">
        <w:rPr>
          <w:rFonts w:ascii="Times New Roman" w:hAnsi="Times New Roman" w:cs="Times New Roman"/>
          <w:szCs w:val="20"/>
        </w:rPr>
        <w:t>20.</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Wang, H., Ding, J. and Ren, N. (2016). Recent advances in microwave-assisted extraction of trace organic pollutants from food and environmental samples. </w:t>
      </w:r>
      <w:r w:rsidRPr="00686D4E">
        <w:rPr>
          <w:rFonts w:ascii="Times New Roman" w:hAnsi="Times New Roman" w:cs="Times New Roman"/>
          <w:i/>
          <w:szCs w:val="20"/>
        </w:rPr>
        <w:t>Trends in Analytical Chemistry</w:t>
      </w:r>
      <w:r w:rsidRPr="00686D4E">
        <w:rPr>
          <w:rFonts w:ascii="Times New Roman" w:hAnsi="Times New Roman" w:cs="Times New Roman"/>
          <w:szCs w:val="20"/>
        </w:rPr>
        <w:t>, 75: 197</w:t>
      </w:r>
      <w:r w:rsidR="00D82F5D">
        <w:rPr>
          <w:rFonts w:ascii="Times New Roman" w:hAnsi="Times New Roman" w:cs="Times New Roman"/>
          <w:szCs w:val="20"/>
        </w:rPr>
        <w:t>-</w:t>
      </w:r>
      <w:r w:rsidRPr="00686D4E">
        <w:rPr>
          <w:rFonts w:ascii="Times New Roman" w:hAnsi="Times New Roman" w:cs="Times New Roman"/>
          <w:szCs w:val="20"/>
        </w:rPr>
        <w:t>208.</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Campillo, N., Viñas, P., Martínez-Castillo, N. and Hernández-Córdoba, M. (2011). Determination of volatile nitrosamines in meat products by microwave-assisted extraction and dispersive liquid-liquid microextraction coupled to gas chro</w:t>
      </w:r>
      <w:r w:rsidR="00F61C23" w:rsidRPr="00686D4E">
        <w:rPr>
          <w:rFonts w:ascii="Times New Roman" w:hAnsi="Times New Roman" w:cs="Times New Roman"/>
          <w:szCs w:val="20"/>
        </w:rPr>
        <w:t xml:space="preserve">matography-mass spectrometry. </w:t>
      </w:r>
      <w:r w:rsidR="00F61C23" w:rsidRPr="00686D4E">
        <w:rPr>
          <w:rFonts w:ascii="Times New Roman" w:hAnsi="Times New Roman" w:cs="Times New Roman"/>
          <w:i/>
          <w:szCs w:val="20"/>
        </w:rPr>
        <w:t>Journal of Chromatography</w:t>
      </w:r>
      <w:r w:rsidRPr="00686D4E">
        <w:rPr>
          <w:rFonts w:ascii="Times New Roman" w:hAnsi="Times New Roman" w:cs="Times New Roman"/>
          <w:i/>
          <w:szCs w:val="20"/>
        </w:rPr>
        <w:t xml:space="preserve"> A</w:t>
      </w:r>
      <w:r w:rsidR="00D82F5D">
        <w:rPr>
          <w:rFonts w:ascii="Times New Roman" w:hAnsi="Times New Roman" w:cs="Times New Roman"/>
          <w:szCs w:val="20"/>
        </w:rPr>
        <w:t>,</w:t>
      </w:r>
      <w:r w:rsidRPr="00686D4E">
        <w:rPr>
          <w:rFonts w:ascii="Times New Roman" w:hAnsi="Times New Roman" w:cs="Times New Roman"/>
          <w:szCs w:val="20"/>
        </w:rPr>
        <w:t xml:space="preserve"> 1218: 1815</w:t>
      </w:r>
      <w:r w:rsidR="00D82F5D">
        <w:rPr>
          <w:rFonts w:ascii="Times New Roman" w:hAnsi="Times New Roman" w:cs="Times New Roman"/>
          <w:szCs w:val="20"/>
        </w:rPr>
        <w:t>-</w:t>
      </w:r>
      <w:r w:rsidRPr="00686D4E">
        <w:rPr>
          <w:rFonts w:ascii="Times New Roman" w:hAnsi="Times New Roman" w:cs="Times New Roman"/>
          <w:szCs w:val="20"/>
        </w:rPr>
        <w:t>1221.</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Mahmoudpour, M., Mohtadinia, J., Mousavi, M. M., Ansarin, M. and Nemati, M. (2016). Application of the microwave-assisted extraction and dispersive liquid–liquid microextraction for the analysis of PAHs in smoked rice. </w:t>
      </w:r>
      <w:r w:rsidRPr="00686D4E">
        <w:rPr>
          <w:rFonts w:ascii="Times New Roman" w:hAnsi="Times New Roman" w:cs="Times New Roman"/>
          <w:i/>
          <w:szCs w:val="20"/>
        </w:rPr>
        <w:t>Food Analytical Methods</w:t>
      </w:r>
      <w:r w:rsidRPr="00686D4E">
        <w:rPr>
          <w:rFonts w:ascii="Times New Roman" w:hAnsi="Times New Roman" w:cs="Times New Roman"/>
          <w:szCs w:val="20"/>
        </w:rPr>
        <w:t>, 10</w:t>
      </w:r>
      <w:r w:rsidR="00F61C23" w:rsidRPr="00686D4E">
        <w:rPr>
          <w:rFonts w:ascii="Times New Roman" w:hAnsi="Times New Roman" w:cs="Times New Roman"/>
          <w:szCs w:val="20"/>
        </w:rPr>
        <w:t>(1): 1</w:t>
      </w:r>
      <w:r w:rsidR="00D82F5D">
        <w:rPr>
          <w:rFonts w:ascii="Times New Roman" w:hAnsi="Times New Roman" w:cs="Times New Roman"/>
          <w:szCs w:val="20"/>
        </w:rPr>
        <w:t>-</w:t>
      </w:r>
      <w:r w:rsidRPr="00686D4E">
        <w:rPr>
          <w:rFonts w:ascii="Times New Roman" w:hAnsi="Times New Roman" w:cs="Times New Roman"/>
          <w:szCs w:val="20"/>
        </w:rPr>
        <w:t>10.</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Mari, A., Ahmadi-Jouibari, T. and Nazir, F. (2016). Application of microwave-assisted dispersive liquid– liquid microextraction and graphite furnace atomic absorption spectrometry for ultra-trace determination of lead and cadmium in cereals and agricultural. </w:t>
      </w:r>
      <w:r w:rsidR="00F61C23" w:rsidRPr="00686D4E">
        <w:rPr>
          <w:rFonts w:ascii="Times New Roman" w:hAnsi="Times New Roman" w:cs="Times New Roman"/>
          <w:i/>
          <w:szCs w:val="20"/>
        </w:rPr>
        <w:t>International Journal of Environmental Analytical Chemistry</w:t>
      </w:r>
      <w:r w:rsidRPr="00686D4E">
        <w:rPr>
          <w:rFonts w:ascii="Times New Roman" w:hAnsi="Times New Roman" w:cs="Times New Roman"/>
          <w:szCs w:val="20"/>
        </w:rPr>
        <w:t>. 96: 271</w:t>
      </w:r>
      <w:r w:rsidR="00D82F5D">
        <w:rPr>
          <w:rFonts w:ascii="Times New Roman" w:hAnsi="Times New Roman" w:cs="Times New Roman"/>
          <w:szCs w:val="20"/>
        </w:rPr>
        <w:t>-</w:t>
      </w:r>
      <w:r w:rsidRPr="00686D4E">
        <w:rPr>
          <w:rFonts w:ascii="Times New Roman" w:hAnsi="Times New Roman" w:cs="Times New Roman"/>
          <w:szCs w:val="20"/>
        </w:rPr>
        <w:t>283.</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Tan, Y. H., Chai, M. K. and Wong, L. S. (2018). The effects of parameters on the efficiency of DLLME in extracting of PAHs from vegetable samples. </w:t>
      </w:r>
      <w:r w:rsidRPr="00686D4E">
        <w:rPr>
          <w:rFonts w:ascii="Times New Roman" w:hAnsi="Times New Roman" w:cs="Times New Roman"/>
          <w:i/>
          <w:szCs w:val="20"/>
        </w:rPr>
        <w:t>International Journal of Engineering and Technology</w:t>
      </w:r>
      <w:r w:rsidRPr="00686D4E">
        <w:rPr>
          <w:rFonts w:ascii="Times New Roman" w:hAnsi="Times New Roman" w:cs="Times New Roman"/>
          <w:szCs w:val="20"/>
        </w:rPr>
        <w:t>, 7</w:t>
      </w:r>
      <w:r w:rsidR="00F61C23" w:rsidRPr="00686D4E">
        <w:rPr>
          <w:rFonts w:ascii="Times New Roman" w:hAnsi="Times New Roman" w:cs="Times New Roman"/>
          <w:szCs w:val="20"/>
        </w:rPr>
        <w:t xml:space="preserve"> </w:t>
      </w:r>
      <w:r w:rsidRPr="00686D4E">
        <w:rPr>
          <w:rFonts w:ascii="Times New Roman" w:hAnsi="Times New Roman" w:cs="Times New Roman"/>
          <w:szCs w:val="20"/>
        </w:rPr>
        <w:t>(4.35): 15</w:t>
      </w:r>
      <w:r w:rsidR="00D82F5D">
        <w:rPr>
          <w:rFonts w:ascii="Times New Roman" w:hAnsi="Times New Roman" w:cs="Times New Roman"/>
          <w:szCs w:val="20"/>
        </w:rPr>
        <w:t>-</w:t>
      </w:r>
      <w:r w:rsidRPr="00686D4E">
        <w:rPr>
          <w:rFonts w:ascii="Times New Roman" w:hAnsi="Times New Roman" w:cs="Times New Roman"/>
          <w:szCs w:val="20"/>
        </w:rPr>
        <w:t>21.</w:t>
      </w:r>
    </w:p>
    <w:p w:rsidR="00F61C23"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ICH Expert Working Group. (2005). Validation of analytical procedures: text and methodology Q2 (R1).</w:t>
      </w:r>
    </w:p>
    <w:p w:rsidR="00F44DCA" w:rsidRPr="00686D4E" w:rsidRDefault="00F44DCA"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Xu, F., Liu, L., Wei, W. and Xu, R. (2017). Determination of five endosulfan pesticides in the fish pond water by dispersive liquid-liquid microextraction combined with GC-MS. </w:t>
      </w:r>
      <w:r w:rsidRPr="00686D4E">
        <w:rPr>
          <w:rFonts w:ascii="Times New Roman" w:hAnsi="Times New Roman" w:cs="Times New Roman"/>
          <w:i/>
          <w:szCs w:val="20"/>
        </w:rPr>
        <w:t>Forensic Sciences Research</w:t>
      </w:r>
      <w:r w:rsidRPr="00686D4E">
        <w:rPr>
          <w:rFonts w:ascii="Times New Roman" w:hAnsi="Times New Roman" w:cs="Times New Roman"/>
          <w:szCs w:val="20"/>
        </w:rPr>
        <w:t>, 2(1): 1-6.</w:t>
      </w:r>
    </w:p>
    <w:p w:rsidR="00203916" w:rsidRPr="00686D4E" w:rsidRDefault="0052685E"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Wagner, I. and Stichlmair, J. (2001). The effect of viscosity on mass transfer in pulsed sieve-tray extraction columns. </w:t>
      </w:r>
      <w:r w:rsidRPr="00686D4E">
        <w:rPr>
          <w:rFonts w:ascii="Times New Roman" w:hAnsi="Times New Roman" w:cs="Times New Roman"/>
          <w:i/>
          <w:szCs w:val="20"/>
        </w:rPr>
        <w:t>Chemical Engineering and Technology</w:t>
      </w:r>
      <w:r w:rsidRPr="00686D4E">
        <w:rPr>
          <w:rFonts w:ascii="Times New Roman" w:hAnsi="Times New Roman" w:cs="Times New Roman"/>
          <w:szCs w:val="20"/>
        </w:rPr>
        <w:t>, 24</w:t>
      </w:r>
      <w:r w:rsidR="00F61C23" w:rsidRPr="00686D4E">
        <w:rPr>
          <w:rFonts w:ascii="Times New Roman" w:hAnsi="Times New Roman" w:cs="Times New Roman"/>
          <w:szCs w:val="20"/>
        </w:rPr>
        <w:t xml:space="preserve"> (6): 616</w:t>
      </w:r>
      <w:r w:rsidR="00D82F5D">
        <w:rPr>
          <w:rFonts w:ascii="Times New Roman" w:hAnsi="Times New Roman" w:cs="Times New Roman"/>
          <w:szCs w:val="20"/>
        </w:rPr>
        <w:t>-</w:t>
      </w:r>
      <w:r w:rsidRPr="00686D4E">
        <w:rPr>
          <w:rFonts w:ascii="Times New Roman" w:hAnsi="Times New Roman" w:cs="Times New Roman"/>
          <w:szCs w:val="20"/>
        </w:rPr>
        <w:t>619.</w:t>
      </w:r>
    </w:p>
    <w:p w:rsidR="00203916" w:rsidRPr="00686D4E" w:rsidRDefault="00203916"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Camargo, M. C. R., and Toledo, M. C. F. (2003). Polycyclic aromatic hydrocarbons in Brazilian vegetables and fruits. </w:t>
      </w:r>
      <w:r w:rsidRPr="00686D4E">
        <w:rPr>
          <w:rFonts w:ascii="Times New Roman" w:hAnsi="Times New Roman" w:cs="Times New Roman"/>
          <w:i/>
          <w:szCs w:val="20"/>
        </w:rPr>
        <w:t>Food Control</w:t>
      </w:r>
      <w:r w:rsidRPr="00686D4E">
        <w:rPr>
          <w:rFonts w:ascii="Times New Roman" w:hAnsi="Times New Roman" w:cs="Times New Roman"/>
          <w:szCs w:val="20"/>
        </w:rPr>
        <w:t>, 14(1)</w:t>
      </w:r>
      <w:r w:rsidR="00D82F5D">
        <w:rPr>
          <w:rFonts w:ascii="Times New Roman" w:hAnsi="Times New Roman" w:cs="Times New Roman"/>
          <w:szCs w:val="20"/>
        </w:rPr>
        <w:t>:</w:t>
      </w:r>
      <w:r w:rsidRPr="00686D4E">
        <w:rPr>
          <w:rFonts w:ascii="Times New Roman" w:hAnsi="Times New Roman" w:cs="Times New Roman"/>
          <w:szCs w:val="20"/>
        </w:rPr>
        <w:t xml:space="preserve"> 49</w:t>
      </w:r>
      <w:r w:rsidR="00D82F5D">
        <w:rPr>
          <w:rFonts w:ascii="Times New Roman" w:hAnsi="Times New Roman" w:cs="Times New Roman"/>
          <w:szCs w:val="20"/>
        </w:rPr>
        <w:t>-5</w:t>
      </w:r>
      <w:r w:rsidRPr="00686D4E">
        <w:rPr>
          <w:rFonts w:ascii="Times New Roman" w:hAnsi="Times New Roman" w:cs="Times New Roman"/>
          <w:szCs w:val="20"/>
        </w:rPr>
        <w:t>3.</w:t>
      </w:r>
    </w:p>
    <w:p w:rsidR="00736A40" w:rsidRPr="00686D4E" w:rsidRDefault="00203916"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Ashraf, M. W. and Salam, A. (2012). Polycyclic </w:t>
      </w:r>
      <w:r w:rsidR="00D82F5D" w:rsidRPr="00686D4E">
        <w:rPr>
          <w:rFonts w:ascii="Times New Roman" w:hAnsi="Times New Roman" w:cs="Times New Roman"/>
          <w:szCs w:val="20"/>
        </w:rPr>
        <w:t xml:space="preserve">aromatic hydrocarbons </w:t>
      </w:r>
      <w:r w:rsidRPr="00686D4E">
        <w:rPr>
          <w:rFonts w:ascii="Times New Roman" w:hAnsi="Times New Roman" w:cs="Times New Roman"/>
          <w:szCs w:val="20"/>
        </w:rPr>
        <w:t xml:space="preserve">(PAHs) </w:t>
      </w:r>
      <w:r w:rsidR="00D82F5D" w:rsidRPr="00686D4E">
        <w:rPr>
          <w:rFonts w:ascii="Times New Roman" w:hAnsi="Times New Roman" w:cs="Times New Roman"/>
          <w:szCs w:val="20"/>
        </w:rPr>
        <w:t xml:space="preserve">in vegetables and fruits produced in </w:t>
      </w:r>
      <w:r w:rsidRPr="00686D4E">
        <w:rPr>
          <w:rFonts w:ascii="Times New Roman" w:hAnsi="Times New Roman" w:cs="Times New Roman"/>
          <w:szCs w:val="20"/>
        </w:rPr>
        <w:t xml:space="preserve">Saudi Arabia. </w:t>
      </w:r>
      <w:r w:rsidRPr="00686D4E">
        <w:rPr>
          <w:rFonts w:ascii="Times New Roman" w:hAnsi="Times New Roman" w:cs="Times New Roman"/>
          <w:i/>
          <w:szCs w:val="20"/>
        </w:rPr>
        <w:t>Bulletin of Environmental Contamination and Toxicology</w:t>
      </w:r>
      <w:r w:rsidRPr="00686D4E">
        <w:rPr>
          <w:rFonts w:ascii="Times New Roman" w:hAnsi="Times New Roman" w:cs="Times New Roman"/>
          <w:szCs w:val="20"/>
        </w:rPr>
        <w:t>, 88 (4)</w:t>
      </w:r>
      <w:r w:rsidR="00D82F5D">
        <w:rPr>
          <w:rFonts w:ascii="Times New Roman" w:hAnsi="Times New Roman" w:cs="Times New Roman"/>
          <w:szCs w:val="20"/>
        </w:rPr>
        <w:t>:</w:t>
      </w:r>
      <w:r w:rsidRPr="00686D4E">
        <w:rPr>
          <w:rFonts w:ascii="Times New Roman" w:hAnsi="Times New Roman" w:cs="Times New Roman"/>
          <w:szCs w:val="20"/>
        </w:rPr>
        <w:t xml:space="preserve"> 543</w:t>
      </w:r>
      <w:r w:rsidR="00D82F5D">
        <w:rPr>
          <w:rFonts w:ascii="Times New Roman" w:hAnsi="Times New Roman" w:cs="Times New Roman"/>
          <w:szCs w:val="20"/>
        </w:rPr>
        <w:t>-</w:t>
      </w:r>
      <w:r w:rsidRPr="00686D4E">
        <w:rPr>
          <w:rFonts w:ascii="Times New Roman" w:hAnsi="Times New Roman" w:cs="Times New Roman"/>
          <w:szCs w:val="20"/>
        </w:rPr>
        <w:t>547.</w:t>
      </w:r>
    </w:p>
    <w:p w:rsidR="00736A40" w:rsidRPr="00686D4E" w:rsidRDefault="00736A40"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Zhao, X., Liu, X., Zhao, Z., Huang, C., Zhang, M., Wang, H.</w:t>
      </w:r>
      <w:r w:rsidR="00D82F5D">
        <w:rPr>
          <w:rFonts w:ascii="Times New Roman" w:hAnsi="Times New Roman" w:cs="Times New Roman"/>
          <w:szCs w:val="20"/>
        </w:rPr>
        <w:t xml:space="preserve"> and </w:t>
      </w:r>
      <w:r w:rsidRPr="00686D4E">
        <w:rPr>
          <w:rFonts w:ascii="Times New Roman" w:hAnsi="Times New Roman" w:cs="Times New Roman"/>
          <w:szCs w:val="20"/>
        </w:rPr>
        <w:t xml:space="preserve">Wang, X. (2009). Homogeneous liquid-liquid extraction combined with high performance liquid chromatography-fluorescence detection for determination of polycyclic aromatic hydrocarbons in vegetables. </w:t>
      </w:r>
      <w:r w:rsidRPr="00686D4E">
        <w:rPr>
          <w:rFonts w:ascii="Times New Roman" w:hAnsi="Times New Roman" w:cs="Times New Roman"/>
          <w:i/>
          <w:szCs w:val="20"/>
        </w:rPr>
        <w:t>Journal of Separation Science</w:t>
      </w:r>
      <w:r w:rsidRPr="00686D4E">
        <w:rPr>
          <w:rFonts w:ascii="Times New Roman" w:hAnsi="Times New Roman" w:cs="Times New Roman"/>
          <w:szCs w:val="20"/>
        </w:rPr>
        <w:t>, 32(12)</w:t>
      </w:r>
      <w:r w:rsidR="00D82F5D">
        <w:rPr>
          <w:rFonts w:ascii="Times New Roman" w:hAnsi="Times New Roman" w:cs="Times New Roman"/>
          <w:szCs w:val="20"/>
        </w:rPr>
        <w:t>:</w:t>
      </w:r>
      <w:r w:rsidRPr="00686D4E">
        <w:rPr>
          <w:rFonts w:ascii="Times New Roman" w:hAnsi="Times New Roman" w:cs="Times New Roman"/>
          <w:szCs w:val="20"/>
        </w:rPr>
        <w:t xml:space="preserve"> 2051</w:t>
      </w:r>
      <w:r w:rsidR="00D82F5D">
        <w:rPr>
          <w:rFonts w:ascii="Times New Roman" w:hAnsi="Times New Roman" w:cs="Times New Roman"/>
          <w:szCs w:val="20"/>
        </w:rPr>
        <w:t>-</w:t>
      </w:r>
      <w:r w:rsidRPr="00686D4E">
        <w:rPr>
          <w:rFonts w:ascii="Times New Roman" w:hAnsi="Times New Roman" w:cs="Times New Roman"/>
          <w:szCs w:val="20"/>
        </w:rPr>
        <w:t>2057.</w:t>
      </w:r>
    </w:p>
    <w:p w:rsidR="0066798A" w:rsidRPr="00D82F5D" w:rsidRDefault="0052685E" w:rsidP="00D82F5D">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Lima, G. P. P., and Vianello, F. (2011). Review on the main differences between organic and conventional</w:t>
      </w:r>
      <w:r w:rsidR="00F61C23" w:rsidRPr="00686D4E">
        <w:rPr>
          <w:rFonts w:ascii="Times New Roman" w:hAnsi="Times New Roman" w:cs="Times New Roman"/>
          <w:szCs w:val="20"/>
        </w:rPr>
        <w:t xml:space="preserve"> plant-based foods. </w:t>
      </w:r>
      <w:r w:rsidR="00F61C23" w:rsidRPr="00686D4E">
        <w:rPr>
          <w:rFonts w:ascii="Times New Roman" w:hAnsi="Times New Roman" w:cs="Times New Roman"/>
          <w:i/>
          <w:szCs w:val="20"/>
        </w:rPr>
        <w:t>International Journal of Food Science and Technology</w:t>
      </w:r>
      <w:r w:rsidR="00F61C23" w:rsidRPr="00686D4E">
        <w:rPr>
          <w:rFonts w:ascii="Times New Roman" w:hAnsi="Times New Roman" w:cs="Times New Roman"/>
          <w:szCs w:val="20"/>
        </w:rPr>
        <w:t>, 46: 1</w:t>
      </w:r>
      <w:r w:rsidR="00D82F5D">
        <w:rPr>
          <w:rFonts w:ascii="Times New Roman" w:hAnsi="Times New Roman" w:cs="Times New Roman"/>
          <w:szCs w:val="20"/>
        </w:rPr>
        <w:t>-</w:t>
      </w:r>
      <w:r w:rsidR="00F61C23" w:rsidRPr="00686D4E">
        <w:rPr>
          <w:rFonts w:ascii="Times New Roman" w:hAnsi="Times New Roman" w:cs="Times New Roman"/>
          <w:szCs w:val="20"/>
        </w:rPr>
        <w:t>13.</w:t>
      </w:r>
    </w:p>
    <w:p w:rsidR="003B6D22" w:rsidRPr="00686D4E" w:rsidRDefault="003B6D22"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Dugaya, A., Herrenknechtb , C., Czokc, M., Guyona, F and Pages, N. (2002). New procedure for selective extraction of polycyclic aromatic hydrocarbons in plants for gas chromatographic–mass spectrometric analysis. </w:t>
      </w:r>
      <w:r w:rsidRPr="00686D4E">
        <w:rPr>
          <w:rFonts w:ascii="Times New Roman" w:hAnsi="Times New Roman" w:cs="Times New Roman"/>
          <w:i/>
          <w:szCs w:val="20"/>
        </w:rPr>
        <w:t>Journal of Chromatography A</w:t>
      </w:r>
      <w:r w:rsidR="00D82F5D">
        <w:rPr>
          <w:rFonts w:ascii="Times New Roman" w:hAnsi="Times New Roman" w:cs="Times New Roman"/>
          <w:szCs w:val="20"/>
        </w:rPr>
        <w:t>,</w:t>
      </w:r>
      <w:r w:rsidRPr="00686D4E">
        <w:rPr>
          <w:rFonts w:ascii="Times New Roman" w:hAnsi="Times New Roman" w:cs="Times New Roman"/>
          <w:szCs w:val="20"/>
        </w:rPr>
        <w:t xml:space="preserve"> 938: 1</w:t>
      </w:r>
      <w:r w:rsidR="00D82F5D">
        <w:rPr>
          <w:rFonts w:ascii="Times New Roman" w:hAnsi="Times New Roman" w:cs="Times New Roman"/>
          <w:szCs w:val="20"/>
        </w:rPr>
        <w:t>-</w:t>
      </w:r>
      <w:r w:rsidRPr="00686D4E">
        <w:rPr>
          <w:rFonts w:ascii="Times New Roman" w:hAnsi="Times New Roman" w:cs="Times New Roman"/>
          <w:szCs w:val="20"/>
        </w:rPr>
        <w:t xml:space="preserve">7. </w:t>
      </w:r>
    </w:p>
    <w:p w:rsidR="00F61C23" w:rsidRPr="00686D4E" w:rsidRDefault="00F61C23" w:rsidP="004D3674">
      <w:pPr>
        <w:pStyle w:val="ListParagraph"/>
        <w:numPr>
          <w:ilvl w:val="0"/>
          <w:numId w:val="1"/>
        </w:numPr>
        <w:ind w:left="709" w:hanging="709"/>
        <w:outlineLvl w:val="0"/>
        <w:rPr>
          <w:rFonts w:ascii="Times New Roman" w:hAnsi="Times New Roman" w:cs="Times New Roman"/>
          <w:szCs w:val="20"/>
        </w:rPr>
      </w:pPr>
      <w:r w:rsidRPr="00686D4E">
        <w:rPr>
          <w:rFonts w:ascii="Times New Roman" w:hAnsi="Times New Roman" w:cs="Times New Roman"/>
          <w:szCs w:val="20"/>
        </w:rPr>
        <w:t xml:space="preserve">Paris, A., Ledauphin, J., Poinot, P. and Gaillard, J. (2018). Polycyclic aromatic hydrocarbons in fruits and vegetables: Origin, analysis, and occurrence. </w:t>
      </w:r>
      <w:r w:rsidRPr="00686D4E">
        <w:rPr>
          <w:rFonts w:ascii="Times New Roman" w:hAnsi="Times New Roman" w:cs="Times New Roman"/>
          <w:i/>
          <w:szCs w:val="20"/>
        </w:rPr>
        <w:t>Environmental Pollution</w:t>
      </w:r>
      <w:r w:rsidRPr="00686D4E">
        <w:rPr>
          <w:rFonts w:ascii="Times New Roman" w:hAnsi="Times New Roman" w:cs="Times New Roman"/>
          <w:szCs w:val="20"/>
        </w:rPr>
        <w:t>, 234: 96</w:t>
      </w:r>
      <w:r w:rsidR="00D82F5D">
        <w:rPr>
          <w:rFonts w:ascii="Times New Roman" w:hAnsi="Times New Roman" w:cs="Times New Roman"/>
          <w:szCs w:val="20"/>
        </w:rPr>
        <w:t>-</w:t>
      </w:r>
      <w:bookmarkStart w:id="0" w:name="_GoBack"/>
      <w:bookmarkEnd w:id="0"/>
      <w:r w:rsidRPr="00686D4E">
        <w:rPr>
          <w:rFonts w:ascii="Times New Roman" w:hAnsi="Times New Roman" w:cs="Times New Roman"/>
          <w:szCs w:val="20"/>
        </w:rPr>
        <w:t>106.</w:t>
      </w:r>
    </w:p>
    <w:p w:rsidR="004E5EE2" w:rsidRPr="00686D4E" w:rsidRDefault="004E5EE2" w:rsidP="004D3674">
      <w:pPr>
        <w:ind w:left="709" w:hanging="709"/>
        <w:outlineLvl w:val="0"/>
        <w:rPr>
          <w:rFonts w:ascii="Times New Roman" w:hAnsi="Times New Roman" w:cs="Times New Roman"/>
          <w:b/>
          <w:sz w:val="24"/>
        </w:rPr>
      </w:pPr>
    </w:p>
    <w:sectPr w:rsidR="004E5EE2" w:rsidRPr="00686D4E" w:rsidSect="00686D4E">
      <w:headerReference w:type="default" r:id="rId8"/>
      <w:footerReference w:type="default" r:id="rId9"/>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70" w:rsidRDefault="00497270" w:rsidP="006B61BE">
      <w:r>
        <w:separator/>
      </w:r>
    </w:p>
  </w:endnote>
  <w:endnote w:type="continuationSeparator" w:id="0">
    <w:p w:rsidR="00497270" w:rsidRDefault="0049727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70" w:rsidRDefault="00497270">
    <w:pPr>
      <w:pStyle w:val="Footer"/>
      <w:jc w:val="right"/>
    </w:pPr>
  </w:p>
  <w:p w:rsidR="00497270" w:rsidRDefault="00497270">
    <w:pPr>
      <w:pStyle w:val="Footer"/>
    </w:pPr>
  </w:p>
  <w:p w:rsidR="00497270" w:rsidRDefault="00497270"/>
  <w:p w:rsidR="00497270" w:rsidRDefault="00497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70" w:rsidRDefault="00497270" w:rsidP="006B61BE">
      <w:r>
        <w:separator/>
      </w:r>
    </w:p>
  </w:footnote>
  <w:footnote w:type="continuationSeparator" w:id="0">
    <w:p w:rsidR="00497270" w:rsidRDefault="00497270"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270" w:rsidRDefault="00497270">
    <w:pPr>
      <w:pStyle w:val="Header"/>
    </w:pPr>
  </w:p>
  <w:p w:rsidR="00497270" w:rsidRDefault="00497270"/>
  <w:p w:rsidR="00497270" w:rsidRDefault="00497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557A1"/>
    <w:multiLevelType w:val="hybridMultilevel"/>
    <w:tmpl w:val="1196050E"/>
    <w:lvl w:ilvl="0" w:tplc="23ACD2D0">
      <w:start w:val="1"/>
      <w:numFmt w:val="decimal"/>
      <w:lvlText w:val="%1."/>
      <w:lvlJc w:val="left"/>
      <w:pPr>
        <w:ind w:left="387" w:hanging="274"/>
      </w:pPr>
      <w:rPr>
        <w:rFonts w:ascii="Times New Roman" w:eastAsia="Times New Roman" w:hAnsi="Times New Roman" w:cs="Times New Roman" w:hint="default"/>
        <w:spacing w:val="0"/>
        <w:w w:val="96"/>
        <w:sz w:val="15"/>
        <w:szCs w:val="15"/>
        <w:lang w:val="en-US" w:eastAsia="en-US" w:bidi="en-US"/>
      </w:rPr>
    </w:lvl>
    <w:lvl w:ilvl="1" w:tplc="0150BE04">
      <w:numFmt w:val="bullet"/>
      <w:lvlText w:val="•"/>
      <w:lvlJc w:val="left"/>
      <w:pPr>
        <w:ind w:left="1462" w:hanging="274"/>
      </w:pPr>
      <w:rPr>
        <w:rFonts w:hint="default"/>
        <w:lang w:val="en-US" w:eastAsia="en-US" w:bidi="en-US"/>
      </w:rPr>
    </w:lvl>
    <w:lvl w:ilvl="2" w:tplc="1846A4B6">
      <w:numFmt w:val="bullet"/>
      <w:lvlText w:val="•"/>
      <w:lvlJc w:val="left"/>
      <w:pPr>
        <w:ind w:left="2544" w:hanging="274"/>
      </w:pPr>
      <w:rPr>
        <w:rFonts w:hint="default"/>
        <w:lang w:val="en-US" w:eastAsia="en-US" w:bidi="en-US"/>
      </w:rPr>
    </w:lvl>
    <w:lvl w:ilvl="3" w:tplc="8302478A">
      <w:numFmt w:val="bullet"/>
      <w:lvlText w:val="•"/>
      <w:lvlJc w:val="left"/>
      <w:pPr>
        <w:ind w:left="3626" w:hanging="274"/>
      </w:pPr>
      <w:rPr>
        <w:rFonts w:hint="default"/>
        <w:lang w:val="en-US" w:eastAsia="en-US" w:bidi="en-US"/>
      </w:rPr>
    </w:lvl>
    <w:lvl w:ilvl="4" w:tplc="EB7A43C2">
      <w:numFmt w:val="bullet"/>
      <w:lvlText w:val="•"/>
      <w:lvlJc w:val="left"/>
      <w:pPr>
        <w:ind w:left="4708" w:hanging="274"/>
      </w:pPr>
      <w:rPr>
        <w:rFonts w:hint="default"/>
        <w:lang w:val="en-US" w:eastAsia="en-US" w:bidi="en-US"/>
      </w:rPr>
    </w:lvl>
    <w:lvl w:ilvl="5" w:tplc="F8A0B55C">
      <w:numFmt w:val="bullet"/>
      <w:lvlText w:val="•"/>
      <w:lvlJc w:val="left"/>
      <w:pPr>
        <w:ind w:left="5790" w:hanging="274"/>
      </w:pPr>
      <w:rPr>
        <w:rFonts w:hint="default"/>
        <w:lang w:val="en-US" w:eastAsia="en-US" w:bidi="en-US"/>
      </w:rPr>
    </w:lvl>
    <w:lvl w:ilvl="6" w:tplc="FB1263CC">
      <w:numFmt w:val="bullet"/>
      <w:lvlText w:val="•"/>
      <w:lvlJc w:val="left"/>
      <w:pPr>
        <w:ind w:left="6872" w:hanging="274"/>
      </w:pPr>
      <w:rPr>
        <w:rFonts w:hint="default"/>
        <w:lang w:val="en-US" w:eastAsia="en-US" w:bidi="en-US"/>
      </w:rPr>
    </w:lvl>
    <w:lvl w:ilvl="7" w:tplc="223A8E8C">
      <w:numFmt w:val="bullet"/>
      <w:lvlText w:val="•"/>
      <w:lvlJc w:val="left"/>
      <w:pPr>
        <w:ind w:left="7954" w:hanging="274"/>
      </w:pPr>
      <w:rPr>
        <w:rFonts w:hint="default"/>
        <w:lang w:val="en-US" w:eastAsia="en-US" w:bidi="en-US"/>
      </w:rPr>
    </w:lvl>
    <w:lvl w:ilvl="8" w:tplc="1BEEDB32">
      <w:numFmt w:val="bullet"/>
      <w:lvlText w:val="•"/>
      <w:lvlJc w:val="left"/>
      <w:pPr>
        <w:ind w:left="9036" w:hanging="274"/>
      </w:pPr>
      <w:rPr>
        <w:rFonts w:hint="default"/>
        <w:lang w:val="en-US" w:eastAsia="en-US" w:bidi="en-US"/>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A5095"/>
    <w:rsid w:val="000D7299"/>
    <w:rsid w:val="00112F79"/>
    <w:rsid w:val="00125F8F"/>
    <w:rsid w:val="00137990"/>
    <w:rsid w:val="001508B3"/>
    <w:rsid w:val="00177E5A"/>
    <w:rsid w:val="001871B4"/>
    <w:rsid w:val="001B1D3A"/>
    <w:rsid w:val="00203916"/>
    <w:rsid w:val="0025475D"/>
    <w:rsid w:val="002C2624"/>
    <w:rsid w:val="002C2630"/>
    <w:rsid w:val="00303084"/>
    <w:rsid w:val="00324132"/>
    <w:rsid w:val="0032438F"/>
    <w:rsid w:val="003A2A26"/>
    <w:rsid w:val="003A6234"/>
    <w:rsid w:val="003B6D22"/>
    <w:rsid w:val="003D6227"/>
    <w:rsid w:val="003F3701"/>
    <w:rsid w:val="00414563"/>
    <w:rsid w:val="00497270"/>
    <w:rsid w:val="004C0283"/>
    <w:rsid w:val="004D1585"/>
    <w:rsid w:val="004D3674"/>
    <w:rsid w:val="004E5EE2"/>
    <w:rsid w:val="00500BF4"/>
    <w:rsid w:val="0052575F"/>
    <w:rsid w:val="0052685E"/>
    <w:rsid w:val="005B64EA"/>
    <w:rsid w:val="005F01FC"/>
    <w:rsid w:val="0060418B"/>
    <w:rsid w:val="0066186E"/>
    <w:rsid w:val="0066798A"/>
    <w:rsid w:val="006752F3"/>
    <w:rsid w:val="00685C81"/>
    <w:rsid w:val="00686D4E"/>
    <w:rsid w:val="006B61BE"/>
    <w:rsid w:val="006D76E4"/>
    <w:rsid w:val="006F0BBE"/>
    <w:rsid w:val="00713919"/>
    <w:rsid w:val="00736A40"/>
    <w:rsid w:val="007459E8"/>
    <w:rsid w:val="00747021"/>
    <w:rsid w:val="00753968"/>
    <w:rsid w:val="00763E99"/>
    <w:rsid w:val="0077276F"/>
    <w:rsid w:val="00785CA6"/>
    <w:rsid w:val="00792AE4"/>
    <w:rsid w:val="007B3645"/>
    <w:rsid w:val="007C4FFA"/>
    <w:rsid w:val="00805272"/>
    <w:rsid w:val="0082319D"/>
    <w:rsid w:val="008302C4"/>
    <w:rsid w:val="00841CA5"/>
    <w:rsid w:val="00855B26"/>
    <w:rsid w:val="00893C65"/>
    <w:rsid w:val="00951245"/>
    <w:rsid w:val="00962A2B"/>
    <w:rsid w:val="009774E3"/>
    <w:rsid w:val="009C4E07"/>
    <w:rsid w:val="009E4FE9"/>
    <w:rsid w:val="00A415C1"/>
    <w:rsid w:val="00A62E53"/>
    <w:rsid w:val="00AA16BA"/>
    <w:rsid w:val="00B14AEE"/>
    <w:rsid w:val="00B951D8"/>
    <w:rsid w:val="00BD1340"/>
    <w:rsid w:val="00C11491"/>
    <w:rsid w:val="00C35E7D"/>
    <w:rsid w:val="00C96AB4"/>
    <w:rsid w:val="00CA064C"/>
    <w:rsid w:val="00CC3BBA"/>
    <w:rsid w:val="00D32C6F"/>
    <w:rsid w:val="00D75333"/>
    <w:rsid w:val="00D82F5D"/>
    <w:rsid w:val="00DC2178"/>
    <w:rsid w:val="00DE73D6"/>
    <w:rsid w:val="00DF56D7"/>
    <w:rsid w:val="00E33950"/>
    <w:rsid w:val="00E825C9"/>
    <w:rsid w:val="00EC180B"/>
    <w:rsid w:val="00F3034E"/>
    <w:rsid w:val="00F32069"/>
    <w:rsid w:val="00F34A5C"/>
    <w:rsid w:val="00F4378D"/>
    <w:rsid w:val="00F44DCA"/>
    <w:rsid w:val="00F61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65874"/>
  <w15:docId w15:val="{6A1E07CE-00A8-4816-A751-3743BBF8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1"/>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13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Paragraph">
    <w:name w:val="SAP-Paragraph"/>
    <w:link w:val="SAP-ParagraphChar"/>
    <w:rsid w:val="001B1D3A"/>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1B1D3A"/>
    <w:rPr>
      <w:rFonts w:ascii="Times New Roman" w:eastAsia="Times New Roma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19</cp:revision>
  <cp:lastPrinted>2017-03-01T05:33:00Z</cp:lastPrinted>
  <dcterms:created xsi:type="dcterms:W3CDTF">2020-01-15T06:42:00Z</dcterms:created>
  <dcterms:modified xsi:type="dcterms:W3CDTF">2020-01-23T07:00:00Z</dcterms:modified>
</cp:coreProperties>
</file>