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3E"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3A594C">
        <w:rPr>
          <w:rFonts w:ascii="Times New Roman" w:hAnsi="Times New Roman" w:cs="Times New Roman"/>
          <w:sz w:val="24"/>
          <w:szCs w:val="24"/>
        </w:rPr>
        <w:t>134</w:t>
      </w:r>
      <w:r w:rsidR="002A2FE3">
        <w:rPr>
          <w:rFonts w:ascii="Times New Roman" w:hAnsi="Times New Roman" w:cs="Times New Roman"/>
          <w:sz w:val="24"/>
          <w:szCs w:val="24"/>
        </w:rPr>
        <w:t xml:space="preserve"> - 145</w:t>
      </w:r>
      <w:bookmarkStart w:id="0" w:name="_GoBack"/>
      <w:bookmarkEnd w:id="0"/>
    </w:p>
    <w:p w:rsidR="003A594C" w:rsidRDefault="003A594C" w:rsidP="001573E3">
      <w:pPr>
        <w:spacing w:after="0" w:line="240" w:lineRule="auto"/>
        <w:rPr>
          <w:rFonts w:ascii="Times New Roman" w:hAnsi="Times New Roman" w:cs="Times New Roman"/>
          <w:sz w:val="24"/>
          <w:szCs w:val="24"/>
        </w:rPr>
      </w:pPr>
    </w:p>
    <w:p w:rsidR="003A594C" w:rsidRDefault="003A594C" w:rsidP="001573E3">
      <w:pPr>
        <w:spacing w:after="0" w:line="240" w:lineRule="auto"/>
        <w:rPr>
          <w:rFonts w:ascii="Times New Roman" w:hAnsi="Times New Roman" w:cs="Times New Roman"/>
          <w:sz w:val="24"/>
          <w:szCs w:val="24"/>
        </w:rPr>
      </w:pPr>
    </w:p>
    <w:p w:rsidR="003A594C" w:rsidRDefault="003A594C" w:rsidP="001573E3">
      <w:pPr>
        <w:spacing w:after="0" w:line="240" w:lineRule="auto"/>
        <w:rPr>
          <w:rFonts w:ascii="Times New Roman" w:hAnsi="Times New Roman" w:cs="Times New Roman"/>
          <w:sz w:val="24"/>
          <w:szCs w:val="24"/>
        </w:rPr>
      </w:pPr>
    </w:p>
    <w:p w:rsidR="003A594C" w:rsidRDefault="003A594C" w:rsidP="001573E3">
      <w:pPr>
        <w:spacing w:after="0" w:line="240" w:lineRule="auto"/>
        <w:rPr>
          <w:rFonts w:ascii="Times New Roman" w:hAnsi="Times New Roman" w:cs="Times New Roman"/>
          <w:sz w:val="24"/>
          <w:szCs w:val="24"/>
        </w:rPr>
      </w:pPr>
    </w:p>
    <w:p w:rsidR="003A594C" w:rsidRPr="008A29CF" w:rsidRDefault="003A594C" w:rsidP="003A594C">
      <w:pPr>
        <w:spacing w:after="0" w:line="240" w:lineRule="auto"/>
        <w:jc w:val="center"/>
        <w:rPr>
          <w:rFonts w:ascii="Times New Roman" w:hAnsi="Times New Roman" w:cs="Times New Roman"/>
          <w:sz w:val="28"/>
          <w:szCs w:val="28"/>
        </w:rPr>
      </w:pPr>
      <w:r w:rsidRPr="008A29CF">
        <w:rPr>
          <w:rFonts w:ascii="Times New Roman" w:hAnsi="Times New Roman" w:cs="Times New Roman"/>
          <w:sz w:val="28"/>
          <w:szCs w:val="28"/>
        </w:rPr>
        <w:t xml:space="preserve">INSIGHTS OF THE CHEMICAL CONSTITUENTS AND HYDROTHERMAL CARBONIZATION OF </w:t>
      </w:r>
      <w:r w:rsidRPr="008A29CF">
        <w:rPr>
          <w:rFonts w:ascii="Times New Roman" w:hAnsi="Times New Roman" w:cs="Times New Roman"/>
          <w:i/>
          <w:sz w:val="28"/>
          <w:szCs w:val="28"/>
        </w:rPr>
        <w:t>Crescentia cujete</w:t>
      </w:r>
      <w:r w:rsidRPr="008A29CF">
        <w:rPr>
          <w:rFonts w:ascii="Times New Roman" w:hAnsi="Times New Roman" w:cs="Times New Roman"/>
          <w:sz w:val="28"/>
          <w:szCs w:val="28"/>
        </w:rPr>
        <w:t xml:space="preserve"> L.</w:t>
      </w:r>
    </w:p>
    <w:p w:rsidR="003A594C" w:rsidRPr="00EC11C6" w:rsidRDefault="003A594C" w:rsidP="003A594C">
      <w:pPr>
        <w:spacing w:after="0" w:line="240" w:lineRule="auto"/>
        <w:jc w:val="center"/>
        <w:rPr>
          <w:rFonts w:ascii="Times New Roman" w:hAnsi="Times New Roman" w:cs="Times New Roman"/>
          <w:b/>
          <w:bCs/>
          <w:sz w:val="24"/>
          <w:szCs w:val="24"/>
        </w:rPr>
      </w:pPr>
    </w:p>
    <w:p w:rsidR="003A594C" w:rsidRPr="008A29CF" w:rsidRDefault="003A594C" w:rsidP="003A594C">
      <w:pPr>
        <w:spacing w:after="0" w:line="240" w:lineRule="auto"/>
        <w:jc w:val="center"/>
        <w:rPr>
          <w:rFonts w:ascii="Times New Roman" w:hAnsi="Times New Roman" w:cs="Times New Roman"/>
          <w:bCs/>
          <w:sz w:val="24"/>
          <w:szCs w:val="20"/>
        </w:rPr>
      </w:pPr>
      <w:r w:rsidRPr="008A29CF">
        <w:rPr>
          <w:rFonts w:ascii="Times New Roman" w:hAnsi="Times New Roman" w:cs="Times New Roman"/>
          <w:bCs/>
          <w:sz w:val="24"/>
          <w:szCs w:val="20"/>
        </w:rPr>
        <w:t>(</w:t>
      </w:r>
      <w:r w:rsidRPr="008A29CF">
        <w:rPr>
          <w:rFonts w:ascii="Times New Roman" w:hAnsi="Times New Roman" w:cs="Times New Roman"/>
          <w:bCs/>
          <w:sz w:val="24"/>
          <w:szCs w:val="20"/>
          <w:lang w:val="ms-MY"/>
        </w:rPr>
        <w:t xml:space="preserve">Pencirian Jujukan Kimia dan Pengkarbonan Hidrotermal bagi </w:t>
      </w:r>
      <w:r w:rsidRPr="008A29CF">
        <w:rPr>
          <w:rFonts w:ascii="Times New Roman" w:hAnsi="Times New Roman" w:cs="Times New Roman"/>
          <w:bCs/>
          <w:i/>
          <w:sz w:val="24"/>
          <w:szCs w:val="20"/>
          <w:lang w:val="ms-MY"/>
        </w:rPr>
        <w:t>Crescentia cujete</w:t>
      </w:r>
      <w:r w:rsidRPr="008A29CF">
        <w:rPr>
          <w:rFonts w:ascii="Times New Roman" w:hAnsi="Times New Roman" w:cs="Times New Roman"/>
          <w:bCs/>
          <w:sz w:val="24"/>
          <w:szCs w:val="20"/>
          <w:lang w:val="ms-MY"/>
        </w:rPr>
        <w:t xml:space="preserve"> L</w:t>
      </w:r>
      <w:r w:rsidRPr="008A29CF">
        <w:rPr>
          <w:rFonts w:ascii="Times New Roman" w:hAnsi="Times New Roman" w:cs="Times New Roman"/>
          <w:bCs/>
          <w:sz w:val="24"/>
          <w:szCs w:val="20"/>
        </w:rPr>
        <w:t>.)</w:t>
      </w:r>
    </w:p>
    <w:p w:rsidR="003A594C" w:rsidRPr="008A29CF" w:rsidRDefault="003A594C" w:rsidP="003A594C">
      <w:pPr>
        <w:spacing w:after="0" w:line="240" w:lineRule="auto"/>
        <w:jc w:val="center"/>
        <w:rPr>
          <w:rFonts w:ascii="Times New Roman" w:hAnsi="Times New Roman" w:cs="Times New Roman"/>
          <w:bCs/>
          <w:sz w:val="24"/>
          <w:szCs w:val="20"/>
        </w:rPr>
      </w:pPr>
    </w:p>
    <w:p w:rsidR="003A594C" w:rsidRPr="008A29CF" w:rsidRDefault="003A594C" w:rsidP="003A594C">
      <w:pPr>
        <w:autoSpaceDE w:val="0"/>
        <w:autoSpaceDN w:val="0"/>
        <w:adjustRightInd w:val="0"/>
        <w:spacing w:after="0" w:line="240" w:lineRule="auto"/>
        <w:jc w:val="center"/>
        <w:rPr>
          <w:rFonts w:ascii="Times New Roman" w:eastAsia="PMingLiU" w:hAnsi="Times New Roman" w:cs="Times New Roman"/>
          <w:bCs/>
          <w:sz w:val="20"/>
          <w:szCs w:val="20"/>
          <w:lang w:val="en-PH" w:eastAsia="zh-TW"/>
        </w:rPr>
      </w:pPr>
      <w:r w:rsidRPr="008A29CF">
        <w:rPr>
          <w:rFonts w:ascii="Times New Roman" w:eastAsia="PMingLiU" w:hAnsi="Times New Roman" w:cs="Times New Roman"/>
          <w:bCs/>
          <w:sz w:val="20"/>
          <w:szCs w:val="20"/>
          <w:lang w:val="en-PH" w:eastAsia="zh-TW"/>
        </w:rPr>
        <w:t>Judith Clarisse Jose</w:t>
      </w:r>
      <w:r w:rsidRPr="008A29CF">
        <w:rPr>
          <w:rFonts w:ascii="Times New Roman" w:eastAsia="PMingLiU" w:hAnsi="Times New Roman" w:cs="Times New Roman"/>
          <w:bCs/>
          <w:sz w:val="20"/>
          <w:szCs w:val="20"/>
          <w:vertAlign w:val="superscript"/>
          <w:lang w:val="en-PH" w:eastAsia="zh-TW"/>
        </w:rPr>
        <w:t>1</w:t>
      </w:r>
      <w:r w:rsidRPr="008A29CF">
        <w:rPr>
          <w:rFonts w:ascii="Times New Roman" w:eastAsia="PMingLiU" w:hAnsi="Times New Roman" w:cs="Times New Roman"/>
          <w:bCs/>
          <w:sz w:val="20"/>
          <w:szCs w:val="20"/>
          <w:lang w:val="en-PH" w:eastAsia="zh-TW"/>
        </w:rPr>
        <w:t>, Glenn Oyong</w:t>
      </w:r>
      <w:r w:rsidRPr="008A29CF">
        <w:rPr>
          <w:rFonts w:ascii="Times New Roman" w:eastAsia="PMingLiU" w:hAnsi="Times New Roman" w:cs="Times New Roman"/>
          <w:bCs/>
          <w:sz w:val="20"/>
          <w:szCs w:val="20"/>
          <w:vertAlign w:val="superscript"/>
          <w:lang w:val="en-PH" w:eastAsia="zh-TW"/>
        </w:rPr>
        <w:t>2</w:t>
      </w:r>
      <w:r w:rsidRPr="008A29CF">
        <w:rPr>
          <w:rFonts w:ascii="Times New Roman" w:eastAsia="PMingLiU" w:hAnsi="Times New Roman" w:cs="Times New Roman"/>
          <w:bCs/>
          <w:sz w:val="20"/>
          <w:szCs w:val="20"/>
          <w:lang w:val="en-PH" w:eastAsia="zh-TW"/>
        </w:rPr>
        <w:t>, Michael Dominic Ajero</w:t>
      </w:r>
      <w:r w:rsidRPr="008A29CF">
        <w:rPr>
          <w:rFonts w:ascii="Times New Roman" w:eastAsia="PMingLiU" w:hAnsi="Times New Roman" w:cs="Times New Roman"/>
          <w:bCs/>
          <w:sz w:val="20"/>
          <w:szCs w:val="20"/>
          <w:vertAlign w:val="superscript"/>
          <w:lang w:val="en-PH" w:eastAsia="zh-TW"/>
        </w:rPr>
        <w:t>3</w:t>
      </w:r>
      <w:r w:rsidRPr="008A29CF">
        <w:rPr>
          <w:rFonts w:ascii="Times New Roman" w:eastAsia="PMingLiU" w:hAnsi="Times New Roman" w:cs="Times New Roman"/>
          <w:bCs/>
          <w:sz w:val="20"/>
          <w:szCs w:val="20"/>
          <w:lang w:val="en-PH" w:eastAsia="zh-TW"/>
        </w:rPr>
        <w:t>, Irving Chiong</w:t>
      </w:r>
      <w:r w:rsidRPr="008A29CF">
        <w:rPr>
          <w:rFonts w:ascii="Times New Roman" w:eastAsia="PMingLiU" w:hAnsi="Times New Roman" w:cs="Times New Roman"/>
          <w:bCs/>
          <w:sz w:val="20"/>
          <w:szCs w:val="20"/>
          <w:vertAlign w:val="superscript"/>
          <w:lang w:val="en-PH" w:eastAsia="zh-TW"/>
        </w:rPr>
        <w:t>3</w:t>
      </w:r>
      <w:r w:rsidRPr="008A29CF">
        <w:rPr>
          <w:rFonts w:ascii="Times New Roman" w:eastAsia="PMingLiU" w:hAnsi="Times New Roman" w:cs="Times New Roman"/>
          <w:bCs/>
          <w:sz w:val="20"/>
          <w:szCs w:val="20"/>
          <w:lang w:val="en-PH" w:eastAsia="zh-TW"/>
        </w:rPr>
        <w:t>, Esperanza Cabrera</w:t>
      </w:r>
      <w:r w:rsidRPr="008A29CF">
        <w:rPr>
          <w:rFonts w:ascii="Times New Roman" w:eastAsia="PMingLiU" w:hAnsi="Times New Roman" w:cs="Times New Roman"/>
          <w:bCs/>
          <w:sz w:val="20"/>
          <w:szCs w:val="20"/>
          <w:vertAlign w:val="superscript"/>
          <w:lang w:val="en-PH" w:eastAsia="zh-TW"/>
        </w:rPr>
        <w:t>1,2</w:t>
      </w:r>
      <w:r w:rsidRPr="008A29CF">
        <w:rPr>
          <w:rFonts w:ascii="Times New Roman" w:eastAsia="PMingLiU" w:hAnsi="Times New Roman" w:cs="Times New Roman"/>
          <w:bCs/>
          <w:sz w:val="20"/>
          <w:szCs w:val="20"/>
          <w:lang w:val="en-PH" w:eastAsia="zh-TW"/>
        </w:rPr>
        <w:t xml:space="preserve">, </w:t>
      </w:r>
    </w:p>
    <w:p w:rsidR="003A594C" w:rsidRPr="00EC11C6" w:rsidRDefault="003A594C" w:rsidP="003A594C">
      <w:pPr>
        <w:autoSpaceDE w:val="0"/>
        <w:autoSpaceDN w:val="0"/>
        <w:adjustRightInd w:val="0"/>
        <w:spacing w:after="0" w:line="240" w:lineRule="auto"/>
        <w:jc w:val="center"/>
        <w:rPr>
          <w:rFonts w:ascii="Times New Roman" w:eastAsia="PMingLiU" w:hAnsi="Times New Roman" w:cs="Times New Roman"/>
          <w:bCs/>
          <w:sz w:val="20"/>
          <w:szCs w:val="20"/>
          <w:lang w:val="en-PH" w:eastAsia="zh-TW"/>
        </w:rPr>
      </w:pPr>
      <w:r w:rsidRPr="008A29CF">
        <w:rPr>
          <w:rFonts w:ascii="Times New Roman" w:eastAsia="PMingLiU" w:hAnsi="Times New Roman" w:cs="Times New Roman"/>
          <w:bCs/>
          <w:sz w:val="20"/>
          <w:szCs w:val="20"/>
          <w:lang w:val="en-PH" w:eastAsia="zh-TW"/>
        </w:rPr>
        <w:t>Maria Carmen S. Tan</w:t>
      </w:r>
      <w:r w:rsidRPr="008A29CF">
        <w:rPr>
          <w:rFonts w:ascii="Times New Roman" w:eastAsia="PMingLiU" w:hAnsi="Times New Roman" w:cs="Times New Roman"/>
          <w:bCs/>
          <w:sz w:val="20"/>
          <w:szCs w:val="20"/>
          <w:vertAlign w:val="superscript"/>
          <w:lang w:val="en-PH" w:eastAsia="zh-TW"/>
        </w:rPr>
        <w:t>1</w:t>
      </w:r>
      <w:r w:rsidRPr="00EC11C6">
        <w:rPr>
          <w:rFonts w:ascii="Times New Roman" w:eastAsia="PMingLiU" w:hAnsi="Times New Roman" w:cs="Times New Roman"/>
          <w:bCs/>
          <w:sz w:val="20"/>
          <w:szCs w:val="20"/>
          <w:lang w:val="en-PH" w:eastAsia="zh-TW"/>
        </w:rPr>
        <w:t>*</w:t>
      </w:r>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bCs/>
          <w:sz w:val="20"/>
          <w:szCs w:val="20"/>
          <w:vertAlign w:val="superscript"/>
          <w:lang w:val="en-PH" w:eastAsia="zh-TW"/>
        </w:rPr>
      </w:pPr>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i/>
          <w:iCs/>
          <w:sz w:val="20"/>
          <w:szCs w:val="20"/>
          <w:lang w:val="en-PH" w:eastAsia="zh-TW"/>
        </w:rPr>
      </w:pPr>
      <w:r w:rsidRPr="003A594C">
        <w:rPr>
          <w:rFonts w:ascii="Times New Roman" w:eastAsia="PMingLiU" w:hAnsi="Times New Roman" w:cs="Times New Roman"/>
          <w:i/>
          <w:iCs/>
          <w:sz w:val="20"/>
          <w:szCs w:val="20"/>
          <w:vertAlign w:val="superscript"/>
          <w:lang w:val="en-PH" w:eastAsia="zh-TW"/>
        </w:rPr>
        <w:t>1</w:t>
      </w:r>
      <w:r w:rsidRPr="003A594C">
        <w:rPr>
          <w:rFonts w:ascii="Times New Roman" w:eastAsia="PMingLiU" w:hAnsi="Times New Roman"/>
          <w:i/>
          <w:iCs/>
          <w:sz w:val="20"/>
          <w:szCs w:val="20"/>
          <w:lang w:val="en-PH" w:eastAsia="zh-TW"/>
        </w:rPr>
        <w:t>Biology Department</w:t>
      </w:r>
      <w:r w:rsidRPr="003A594C">
        <w:rPr>
          <w:rFonts w:ascii="Times New Roman" w:eastAsia="PMingLiU" w:hAnsi="Times New Roman" w:cs="Times New Roman"/>
          <w:i/>
          <w:iCs/>
          <w:sz w:val="20"/>
          <w:szCs w:val="20"/>
          <w:lang w:val="en-PH" w:eastAsia="zh-TW"/>
        </w:rPr>
        <w:t xml:space="preserve"> </w:t>
      </w:r>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i/>
          <w:iCs/>
          <w:sz w:val="20"/>
          <w:szCs w:val="20"/>
          <w:lang w:val="en-PH" w:eastAsia="zh-TW"/>
        </w:rPr>
      </w:pPr>
      <w:r w:rsidRPr="003A594C">
        <w:rPr>
          <w:rFonts w:ascii="Times New Roman" w:eastAsia="PMingLiU" w:hAnsi="Times New Roman" w:cs="Times New Roman"/>
          <w:i/>
          <w:iCs/>
          <w:sz w:val="20"/>
          <w:szCs w:val="20"/>
          <w:vertAlign w:val="superscript"/>
          <w:lang w:val="en-PH" w:eastAsia="zh-TW"/>
        </w:rPr>
        <w:t>2</w:t>
      </w:r>
      <w:r w:rsidRPr="003A594C">
        <w:rPr>
          <w:rFonts w:ascii="Times New Roman" w:eastAsia="PMingLiU" w:hAnsi="Times New Roman" w:cs="Times New Roman"/>
          <w:i/>
          <w:iCs/>
          <w:sz w:val="20"/>
          <w:szCs w:val="20"/>
          <w:lang w:val="en-PH" w:eastAsia="zh-TW"/>
        </w:rPr>
        <w:t>Molecular Science Unit Laboratory Center for Natural Scien</w:t>
      </w:r>
      <w:r w:rsidRPr="003A594C">
        <w:rPr>
          <w:rFonts w:ascii="Times New Roman" w:eastAsia="PMingLiU" w:hAnsi="Times New Roman"/>
          <w:i/>
          <w:iCs/>
          <w:sz w:val="20"/>
          <w:szCs w:val="20"/>
          <w:lang w:val="en-PH" w:eastAsia="zh-TW"/>
        </w:rPr>
        <w:t>ces and Environmental Research</w:t>
      </w:r>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i/>
          <w:iCs/>
          <w:sz w:val="20"/>
          <w:szCs w:val="20"/>
          <w:lang w:val="en-PH" w:eastAsia="zh-TW"/>
        </w:rPr>
      </w:pPr>
      <w:r w:rsidRPr="003A594C">
        <w:rPr>
          <w:rFonts w:ascii="Times New Roman" w:eastAsia="PMingLiU" w:hAnsi="Times New Roman" w:cs="Times New Roman"/>
          <w:i/>
          <w:iCs/>
          <w:sz w:val="20"/>
          <w:szCs w:val="20"/>
          <w:vertAlign w:val="superscript"/>
          <w:lang w:val="en-PH" w:eastAsia="zh-TW"/>
        </w:rPr>
        <w:t>3</w:t>
      </w:r>
      <w:r w:rsidRPr="003A594C">
        <w:rPr>
          <w:rFonts w:ascii="Times New Roman" w:eastAsia="PMingLiU" w:hAnsi="Times New Roman"/>
          <w:i/>
          <w:iCs/>
          <w:sz w:val="20"/>
          <w:szCs w:val="20"/>
          <w:lang w:val="en-PH" w:eastAsia="zh-TW"/>
        </w:rPr>
        <w:t>Chemistry Department</w:t>
      </w:r>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i/>
          <w:iCs/>
          <w:sz w:val="20"/>
          <w:szCs w:val="20"/>
          <w:lang w:val="en-PH" w:eastAsia="zh-TW"/>
        </w:rPr>
      </w:pPr>
      <w:r w:rsidRPr="003A594C">
        <w:rPr>
          <w:rFonts w:ascii="Times New Roman" w:eastAsia="PMingLiU" w:hAnsi="Times New Roman" w:cs="Times New Roman"/>
          <w:i/>
          <w:iCs/>
          <w:sz w:val="20"/>
          <w:szCs w:val="20"/>
          <w:lang w:val="en-PH" w:eastAsia="zh-TW"/>
        </w:rPr>
        <w:t>De La Salle University, 2401 Taft Avenue, Manila 0922, Philippines</w:t>
      </w:r>
    </w:p>
    <w:p w:rsidR="003A594C" w:rsidRPr="003A594C" w:rsidRDefault="003A594C" w:rsidP="003A594C">
      <w:pPr>
        <w:autoSpaceDE w:val="0"/>
        <w:autoSpaceDN w:val="0"/>
        <w:adjustRightInd w:val="0"/>
        <w:spacing w:after="0" w:line="240" w:lineRule="auto"/>
        <w:jc w:val="center"/>
        <w:rPr>
          <w:rFonts w:ascii="Times New Roman" w:eastAsia="PMingLiU" w:hAnsi="Times New Roman" w:cs="Times New Roman"/>
          <w:i/>
          <w:iCs/>
          <w:sz w:val="20"/>
          <w:szCs w:val="20"/>
          <w:lang w:val="en-PH" w:eastAsia="zh-TW"/>
        </w:rPr>
      </w:pPr>
    </w:p>
    <w:p w:rsidR="003A594C" w:rsidRPr="003A594C" w:rsidRDefault="003A594C" w:rsidP="003A594C">
      <w:pPr>
        <w:spacing w:after="0" w:line="240" w:lineRule="auto"/>
        <w:jc w:val="center"/>
        <w:rPr>
          <w:rFonts w:ascii="Times New Roman" w:hAnsi="Times New Roman" w:cs="Times New Roman"/>
          <w:i/>
          <w:iCs/>
          <w:sz w:val="20"/>
          <w:szCs w:val="20"/>
        </w:rPr>
      </w:pPr>
      <w:r w:rsidRPr="003A594C">
        <w:rPr>
          <w:rFonts w:ascii="Times New Roman" w:hAnsi="Times New Roman" w:cs="Times New Roman"/>
          <w:i/>
          <w:iCs/>
          <w:sz w:val="20"/>
          <w:szCs w:val="20"/>
        </w:rPr>
        <w:t xml:space="preserve">*Corresponding author: </w:t>
      </w:r>
      <w:r w:rsidRPr="003A594C">
        <w:rPr>
          <w:rFonts w:ascii="Times New Roman" w:hAnsi="Times New Roman"/>
          <w:i/>
          <w:iCs/>
          <w:sz w:val="20"/>
          <w:szCs w:val="20"/>
        </w:rPr>
        <w:t xml:space="preserve"> </w:t>
      </w:r>
      <w:r w:rsidRPr="003A594C">
        <w:rPr>
          <w:rFonts w:ascii="Times New Roman" w:hAnsi="Times New Roman" w:cs="Times New Roman"/>
          <w:i/>
          <w:iCs/>
          <w:sz w:val="20"/>
          <w:szCs w:val="20"/>
        </w:rPr>
        <w:t>maria.carmen.tan@dlsu.edu.ph</w:t>
      </w:r>
    </w:p>
    <w:p w:rsidR="003A594C" w:rsidRPr="003A594C" w:rsidRDefault="003A594C" w:rsidP="003A594C">
      <w:pPr>
        <w:spacing w:after="0" w:line="240" w:lineRule="auto"/>
        <w:jc w:val="center"/>
        <w:rPr>
          <w:rFonts w:ascii="Times New Roman" w:hAnsi="Times New Roman"/>
          <w:noProof/>
          <w:sz w:val="20"/>
          <w:szCs w:val="20"/>
        </w:rPr>
      </w:pPr>
    </w:p>
    <w:p w:rsidR="003A594C" w:rsidRPr="003A594C" w:rsidRDefault="003A594C" w:rsidP="003A594C">
      <w:pPr>
        <w:spacing w:after="0" w:line="240" w:lineRule="auto"/>
        <w:jc w:val="center"/>
        <w:rPr>
          <w:rFonts w:ascii="Times New Roman" w:hAnsi="Times New Roman"/>
          <w:noProof/>
          <w:sz w:val="20"/>
          <w:szCs w:val="20"/>
        </w:rPr>
      </w:pPr>
    </w:p>
    <w:p w:rsidR="003A594C" w:rsidRPr="003A594C" w:rsidRDefault="003A594C" w:rsidP="003A594C">
      <w:pPr>
        <w:spacing w:after="0" w:line="240" w:lineRule="auto"/>
        <w:jc w:val="center"/>
        <w:rPr>
          <w:rFonts w:ascii="Times New Roman" w:hAnsi="Times New Roman"/>
          <w:noProof/>
          <w:sz w:val="20"/>
          <w:szCs w:val="20"/>
        </w:rPr>
      </w:pPr>
      <w:r w:rsidRPr="003A594C">
        <w:rPr>
          <w:rFonts w:ascii="Times New Roman" w:hAnsi="Times New Roman"/>
          <w:noProof/>
          <w:sz w:val="20"/>
          <w:szCs w:val="20"/>
        </w:rPr>
        <w:t>Received: 12 December 2019; Accepted: 21 January 2020</w:t>
      </w:r>
    </w:p>
    <w:p w:rsidR="003A594C" w:rsidRPr="003A594C" w:rsidRDefault="003A594C" w:rsidP="003A594C">
      <w:pPr>
        <w:spacing w:after="0" w:line="240" w:lineRule="auto"/>
        <w:jc w:val="center"/>
        <w:rPr>
          <w:rFonts w:ascii="Times New Roman" w:hAnsi="Times New Roman"/>
          <w:noProof/>
          <w:sz w:val="20"/>
          <w:szCs w:val="20"/>
        </w:rPr>
      </w:pPr>
    </w:p>
    <w:p w:rsidR="003A594C" w:rsidRPr="003A594C" w:rsidRDefault="003A594C" w:rsidP="003A594C">
      <w:pPr>
        <w:spacing w:after="0" w:line="240" w:lineRule="auto"/>
        <w:jc w:val="center"/>
        <w:rPr>
          <w:rFonts w:ascii="Times New Roman" w:hAnsi="Times New Roman"/>
          <w:noProof/>
          <w:sz w:val="20"/>
          <w:szCs w:val="20"/>
        </w:rPr>
      </w:pPr>
    </w:p>
    <w:p w:rsidR="003A594C" w:rsidRPr="003A594C" w:rsidRDefault="003A594C" w:rsidP="003A594C">
      <w:pPr>
        <w:spacing w:after="0" w:line="240" w:lineRule="auto"/>
        <w:jc w:val="center"/>
        <w:rPr>
          <w:rFonts w:ascii="Times New Roman" w:hAnsi="Times New Roman"/>
          <w:b/>
          <w:noProof/>
          <w:sz w:val="20"/>
          <w:szCs w:val="20"/>
        </w:rPr>
      </w:pPr>
      <w:r w:rsidRPr="003A594C">
        <w:rPr>
          <w:rFonts w:ascii="Times New Roman" w:hAnsi="Times New Roman"/>
          <w:b/>
          <w:noProof/>
          <w:sz w:val="20"/>
          <w:szCs w:val="20"/>
        </w:rPr>
        <w:t>Abstract</w:t>
      </w:r>
    </w:p>
    <w:p w:rsidR="003A594C" w:rsidRPr="003A594C" w:rsidRDefault="003A594C" w:rsidP="003A594C">
      <w:pPr>
        <w:spacing w:after="0" w:line="240" w:lineRule="auto"/>
        <w:jc w:val="both"/>
        <w:rPr>
          <w:rFonts w:ascii="Times New Roman" w:hAnsi="Times New Roman" w:cs="Times New Roman"/>
          <w:sz w:val="20"/>
          <w:szCs w:val="20"/>
        </w:rPr>
      </w:pPr>
      <w:r w:rsidRPr="003A594C">
        <w:rPr>
          <w:rFonts w:ascii="Times New Roman" w:hAnsi="Times New Roman" w:cs="Times New Roman"/>
          <w:i/>
          <w:iCs/>
          <w:sz w:val="20"/>
          <w:szCs w:val="20"/>
        </w:rPr>
        <w:t xml:space="preserve">Crescentia cujete </w:t>
      </w:r>
      <w:r w:rsidRPr="003A594C">
        <w:rPr>
          <w:rFonts w:ascii="Times New Roman" w:hAnsi="Times New Roman" w:cs="Times New Roman"/>
          <w:sz w:val="20"/>
          <w:szCs w:val="20"/>
        </w:rPr>
        <w:t xml:space="preserve">L. is an evergreen tree that presents several medicinal and industrial applications. This study primarily aimed to present preliminary characterization of the fruit extracts and fruit pulp of </w:t>
      </w:r>
      <w:r w:rsidRPr="003A594C">
        <w:rPr>
          <w:rFonts w:ascii="Times New Roman" w:hAnsi="Times New Roman" w:cs="Times New Roman"/>
          <w:i/>
          <w:iCs/>
          <w:sz w:val="20"/>
          <w:szCs w:val="20"/>
        </w:rPr>
        <w:t xml:space="preserve">Crescentia cujete </w:t>
      </w:r>
      <w:r w:rsidRPr="003A594C">
        <w:rPr>
          <w:rFonts w:ascii="Times New Roman" w:hAnsi="Times New Roman" w:cs="Times New Roman"/>
          <w:sz w:val="20"/>
          <w:szCs w:val="20"/>
        </w:rPr>
        <w:t xml:space="preserve">L. using several analytical techniques. Characterization of the crude MeOH extract and pure compound, </w:t>
      </w:r>
      <w:r w:rsidRPr="003A594C">
        <w:rPr>
          <w:rFonts w:ascii="Times New Roman" w:hAnsi="Times New Roman" w:cs="Times New Roman"/>
          <w:i/>
          <w:iCs/>
          <w:sz w:val="20"/>
          <w:szCs w:val="20"/>
        </w:rPr>
        <w:t>trans</w:t>
      </w:r>
      <w:r w:rsidRPr="003A594C">
        <w:rPr>
          <w:rFonts w:ascii="Times New Roman" w:hAnsi="Times New Roman" w:cs="Times New Roman"/>
          <w:sz w:val="20"/>
          <w:szCs w:val="20"/>
        </w:rPr>
        <w:t>-cinnamic acid, isolated from the fruit extract were performed using gas chromatography-electron ionization-mass spectrometry (GC-EI-MS). Lyophilized pulp was characterized by energy dispersive X-ray spectroscopy (EDX). Hydrochar samples resulting from hydrothermal carbonization (HTC) of fruit pulp were characterized using Fourier transform infrared spectroscopy (FTIR), scanning electron microscopy (SEM) and thermogravimetric analysis (TGA). Eight constituents were eluted from the crude MeOH extract which were mainly composed of furan (5-Hydroxymethylfurfural, 53.99%), a pyranone derivative (2,3-dihydro-3,5-dihydroxy-6-methyl-</w:t>
      </w:r>
      <w:r w:rsidRPr="003A594C">
        <w:rPr>
          <w:rFonts w:ascii="Times New Roman" w:hAnsi="Times New Roman" w:cs="Times New Roman"/>
          <w:spacing w:val="-8"/>
          <w:sz w:val="20"/>
          <w:szCs w:val="20"/>
        </w:rPr>
        <w:t>4H-pyran-4-one, 8.68%)</w:t>
      </w:r>
      <w:r w:rsidRPr="003A594C">
        <w:rPr>
          <w:rFonts w:ascii="Times New Roman" w:hAnsi="Times New Roman" w:cs="Times New Roman"/>
          <w:sz w:val="20"/>
          <w:szCs w:val="20"/>
        </w:rPr>
        <w:t xml:space="preserve"> and a carboxylic acid (3-phenyl-2-propenoic acid, 7.94% or compound </w:t>
      </w:r>
      <w:r w:rsidRPr="003A594C">
        <w:rPr>
          <w:rFonts w:ascii="Times New Roman" w:hAnsi="Times New Roman" w:cs="Times New Roman"/>
          <w:b/>
          <w:sz w:val="20"/>
          <w:szCs w:val="20"/>
        </w:rPr>
        <w:t>5)</w:t>
      </w:r>
      <w:r w:rsidRPr="003A594C">
        <w:rPr>
          <w:rFonts w:ascii="Times New Roman" w:hAnsi="Times New Roman" w:cs="Times New Roman"/>
          <w:sz w:val="20"/>
          <w:szCs w:val="20"/>
        </w:rPr>
        <w:t xml:space="preserve">. Other notable compounds of the extract include furaneol (0.78% and 1.56%), phenol, 2,4-bis(1,1-dimethylethyl)- (3.73%), benzenepropanoic acid, 3,5-bis(1,1-dimethylethyl)-4-hydroxy-, methyl ester (1.15%) and </w:t>
      </w:r>
      <w:r w:rsidRPr="003A594C">
        <w:rPr>
          <w:rFonts w:ascii="Times New Roman" w:hAnsi="Times New Roman" w:cs="Times New Roman"/>
          <w:i/>
          <w:iCs/>
          <w:sz w:val="20"/>
          <w:szCs w:val="20"/>
        </w:rPr>
        <w:t>n</w:t>
      </w:r>
      <w:r w:rsidRPr="003A594C">
        <w:rPr>
          <w:rFonts w:ascii="Times New Roman" w:hAnsi="Times New Roman" w:cs="Times New Roman"/>
          <w:sz w:val="20"/>
          <w:szCs w:val="20"/>
        </w:rPr>
        <w:t xml:space="preserve">-hexadecanoic acid (0.59%). GC-EI-MS confirmed the purity of the isolated compound </w:t>
      </w:r>
      <w:r w:rsidRPr="003A594C">
        <w:rPr>
          <w:rFonts w:ascii="Times New Roman" w:hAnsi="Times New Roman" w:cs="Times New Roman"/>
          <w:i/>
          <w:iCs/>
          <w:sz w:val="20"/>
          <w:szCs w:val="20"/>
        </w:rPr>
        <w:t>trans</w:t>
      </w:r>
      <w:r w:rsidRPr="003A594C">
        <w:rPr>
          <w:rFonts w:ascii="Times New Roman" w:hAnsi="Times New Roman" w:cs="Times New Roman"/>
          <w:sz w:val="20"/>
          <w:szCs w:val="20"/>
        </w:rPr>
        <w:t>-cinnamic acid (100%). EDX analysis showed high levels of K</w:t>
      </w:r>
      <w:r w:rsidRPr="003A594C">
        <w:rPr>
          <w:rFonts w:ascii="Times New Roman" w:hAnsi="Times New Roman" w:cs="Times New Roman"/>
          <w:sz w:val="20"/>
          <w:szCs w:val="20"/>
          <w:vertAlign w:val="subscript"/>
        </w:rPr>
        <w:t>2</w:t>
      </w:r>
      <w:r w:rsidRPr="003A594C">
        <w:rPr>
          <w:rFonts w:ascii="Times New Roman" w:hAnsi="Times New Roman" w:cs="Times New Roman"/>
          <w:sz w:val="20"/>
          <w:szCs w:val="20"/>
        </w:rPr>
        <w:t>O (79.56%), P</w:t>
      </w:r>
      <w:r w:rsidRPr="003A594C">
        <w:rPr>
          <w:rFonts w:ascii="Times New Roman" w:hAnsi="Times New Roman" w:cs="Times New Roman"/>
          <w:sz w:val="20"/>
          <w:szCs w:val="20"/>
          <w:vertAlign w:val="subscript"/>
        </w:rPr>
        <w:t>2</w:t>
      </w:r>
      <w:r w:rsidRPr="003A594C">
        <w:rPr>
          <w:rFonts w:ascii="Times New Roman" w:hAnsi="Times New Roman" w:cs="Times New Roman"/>
          <w:sz w:val="20"/>
          <w:szCs w:val="20"/>
        </w:rPr>
        <w:t>O</w:t>
      </w:r>
      <w:r w:rsidRPr="003A594C">
        <w:rPr>
          <w:rFonts w:ascii="Times New Roman" w:hAnsi="Times New Roman" w:cs="Times New Roman"/>
          <w:sz w:val="20"/>
          <w:szCs w:val="20"/>
          <w:vertAlign w:val="subscript"/>
        </w:rPr>
        <w:t xml:space="preserve">5 </w:t>
      </w:r>
      <w:r w:rsidRPr="003A594C">
        <w:rPr>
          <w:rFonts w:ascii="Times New Roman" w:hAnsi="Times New Roman" w:cs="Times New Roman"/>
          <w:sz w:val="20"/>
          <w:szCs w:val="20"/>
        </w:rPr>
        <w:t>(9.925%), and SO</w:t>
      </w:r>
      <w:r w:rsidRPr="003A594C">
        <w:rPr>
          <w:rFonts w:ascii="Times New Roman" w:hAnsi="Times New Roman" w:cs="Times New Roman"/>
          <w:sz w:val="20"/>
          <w:szCs w:val="20"/>
          <w:vertAlign w:val="subscript"/>
        </w:rPr>
        <w:t xml:space="preserve">3 </w:t>
      </w:r>
      <w:r w:rsidRPr="003A594C">
        <w:rPr>
          <w:rFonts w:ascii="Times New Roman" w:hAnsi="Times New Roman" w:cs="Times New Roman"/>
          <w:sz w:val="20"/>
          <w:szCs w:val="20"/>
        </w:rPr>
        <w:t xml:space="preserve">(9.131%) from the lyophilized pulp. Aliphatic compounds such as alkanes and alkenes were mostly present in both hydrochars as revealed by FTIR analyses. SEM and TGA analyses showed degradation of the lignin components of both hydrochars after the hydrothermal carbonization process. These results present the chemical characterization of the </w:t>
      </w:r>
      <w:r w:rsidRPr="003A594C">
        <w:rPr>
          <w:rFonts w:ascii="Times New Roman" w:hAnsi="Times New Roman" w:cs="Times New Roman"/>
          <w:i/>
          <w:iCs/>
          <w:sz w:val="20"/>
          <w:szCs w:val="20"/>
        </w:rPr>
        <w:t xml:space="preserve">C. cujete </w:t>
      </w:r>
      <w:r w:rsidRPr="003A594C">
        <w:rPr>
          <w:rFonts w:ascii="Times New Roman" w:hAnsi="Times New Roman" w:cs="Times New Roman"/>
          <w:sz w:val="20"/>
          <w:szCs w:val="20"/>
        </w:rPr>
        <w:t xml:space="preserve">fruit and the HTC of the pulp biomass which exhibited promising properties for applications as solid fuel or as an adsorbent. </w:t>
      </w:r>
    </w:p>
    <w:p w:rsidR="003A594C" w:rsidRPr="003A594C" w:rsidRDefault="003A594C" w:rsidP="003A594C">
      <w:pPr>
        <w:spacing w:after="0" w:line="240" w:lineRule="auto"/>
        <w:ind w:firstLine="720"/>
        <w:jc w:val="both"/>
        <w:rPr>
          <w:rFonts w:ascii="Times New Roman" w:hAnsi="Times New Roman" w:cs="Times New Roman"/>
          <w:b/>
          <w:bCs/>
          <w:sz w:val="20"/>
          <w:szCs w:val="20"/>
        </w:rPr>
      </w:pPr>
    </w:p>
    <w:p w:rsidR="003A594C" w:rsidRPr="003A594C" w:rsidRDefault="003A594C" w:rsidP="003A594C">
      <w:pPr>
        <w:spacing w:after="0" w:line="240" w:lineRule="auto"/>
        <w:jc w:val="both"/>
        <w:rPr>
          <w:rFonts w:ascii="Times New Roman" w:hAnsi="Times New Roman" w:cs="Times New Roman"/>
          <w:sz w:val="20"/>
          <w:szCs w:val="20"/>
        </w:rPr>
      </w:pPr>
      <w:r w:rsidRPr="003A594C">
        <w:rPr>
          <w:rFonts w:ascii="Times New Roman" w:hAnsi="Times New Roman" w:cs="Times New Roman"/>
          <w:b/>
          <w:bCs/>
          <w:sz w:val="20"/>
          <w:szCs w:val="20"/>
        </w:rPr>
        <w:t xml:space="preserve">Keywords: </w:t>
      </w:r>
      <w:r w:rsidRPr="003A594C">
        <w:rPr>
          <w:rFonts w:ascii="Times New Roman" w:hAnsi="Times New Roman"/>
          <w:b/>
          <w:bCs/>
          <w:sz w:val="20"/>
          <w:szCs w:val="20"/>
        </w:rPr>
        <w:t xml:space="preserve"> </w:t>
      </w:r>
      <w:r w:rsidRPr="003A594C">
        <w:rPr>
          <w:rFonts w:ascii="Times New Roman" w:hAnsi="Times New Roman" w:cs="Times New Roman"/>
          <w:i/>
          <w:iCs/>
          <w:sz w:val="20"/>
          <w:szCs w:val="20"/>
        </w:rPr>
        <w:t>Crescentia cujete</w:t>
      </w:r>
      <w:r w:rsidRPr="003A594C">
        <w:rPr>
          <w:rFonts w:ascii="Times New Roman" w:hAnsi="Times New Roman" w:cs="Times New Roman"/>
          <w:sz w:val="20"/>
          <w:szCs w:val="20"/>
        </w:rPr>
        <w:t xml:space="preserve"> L., hydrothermal carbonization, hydrochar</w:t>
      </w:r>
    </w:p>
    <w:p w:rsidR="003A594C" w:rsidRPr="003A594C" w:rsidRDefault="003A594C" w:rsidP="003A594C">
      <w:pPr>
        <w:spacing w:after="0" w:line="240" w:lineRule="auto"/>
        <w:jc w:val="center"/>
        <w:rPr>
          <w:rFonts w:ascii="Times New Roman" w:hAnsi="Times New Roman" w:cs="Times New Roman"/>
          <w:b/>
          <w:bCs/>
          <w:sz w:val="20"/>
          <w:szCs w:val="20"/>
        </w:rPr>
      </w:pPr>
    </w:p>
    <w:p w:rsidR="003A594C" w:rsidRPr="003A594C" w:rsidRDefault="003A594C" w:rsidP="003A594C">
      <w:pPr>
        <w:spacing w:after="0" w:line="240" w:lineRule="auto"/>
        <w:jc w:val="center"/>
        <w:rPr>
          <w:rFonts w:ascii="Times New Roman" w:hAnsi="Times New Roman" w:cs="Times New Roman"/>
          <w:i/>
          <w:iCs/>
          <w:sz w:val="20"/>
          <w:szCs w:val="20"/>
          <w:lang w:val="ms-MY"/>
        </w:rPr>
      </w:pPr>
      <w:r w:rsidRPr="003A594C">
        <w:rPr>
          <w:rFonts w:ascii="Times New Roman" w:hAnsi="Times New Roman" w:cs="Times New Roman"/>
          <w:b/>
          <w:bCs/>
          <w:sz w:val="20"/>
          <w:szCs w:val="20"/>
          <w:lang w:val="ms-MY"/>
        </w:rPr>
        <w:t>Abstrak</w:t>
      </w:r>
    </w:p>
    <w:p w:rsidR="003A594C" w:rsidRPr="003A594C" w:rsidRDefault="003A594C" w:rsidP="003A594C">
      <w:pPr>
        <w:spacing w:after="0" w:line="240" w:lineRule="auto"/>
        <w:jc w:val="both"/>
        <w:rPr>
          <w:rFonts w:ascii="Times New Roman" w:hAnsi="Times New Roman" w:cs="Times New Roman"/>
          <w:sz w:val="20"/>
          <w:szCs w:val="20"/>
          <w:lang w:val="ms-MY"/>
        </w:rPr>
      </w:pPr>
      <w:r w:rsidRPr="003A594C">
        <w:rPr>
          <w:rFonts w:ascii="Times New Roman" w:hAnsi="Times New Roman" w:cs="Times New Roman"/>
          <w:i/>
          <w:iCs/>
          <w:sz w:val="20"/>
          <w:szCs w:val="20"/>
          <w:lang w:val="ms-MY"/>
        </w:rPr>
        <w:t xml:space="preserve">Crescentia cujete </w:t>
      </w:r>
      <w:r w:rsidRPr="003A594C">
        <w:rPr>
          <w:rFonts w:ascii="Times New Roman" w:hAnsi="Times New Roman" w:cs="Times New Roman"/>
          <w:sz w:val="20"/>
          <w:szCs w:val="20"/>
          <w:lang w:val="ms-MY"/>
        </w:rPr>
        <w:t xml:space="preserve">L. ialah tumbuhan yang digunakan dalam perubatan dan aplikasi industri. Kajian ini dijalankan dengan tujuan melakukan saringan pencirian ekstrak buah dan pulpa </w:t>
      </w:r>
      <w:r w:rsidRPr="003A594C">
        <w:rPr>
          <w:rFonts w:ascii="Times New Roman" w:hAnsi="Times New Roman" w:cs="Times New Roman"/>
          <w:i/>
          <w:iCs/>
          <w:sz w:val="20"/>
          <w:szCs w:val="20"/>
          <w:lang w:val="ms-MY"/>
        </w:rPr>
        <w:t xml:space="preserve">Crescentia cujete </w:t>
      </w:r>
      <w:r w:rsidRPr="003A594C">
        <w:rPr>
          <w:rFonts w:ascii="Times New Roman" w:hAnsi="Times New Roman" w:cs="Times New Roman"/>
          <w:sz w:val="20"/>
          <w:szCs w:val="20"/>
          <w:lang w:val="ms-MY"/>
        </w:rPr>
        <w:t xml:space="preserve">L. menggunakan beberapa teknik analisis. Pencirian esktrak mentah MeOH dan sebatian tulen, </w:t>
      </w:r>
      <w:r w:rsidRPr="003A594C">
        <w:rPr>
          <w:rFonts w:ascii="Times New Roman" w:hAnsi="Times New Roman" w:cs="Times New Roman"/>
          <w:i/>
          <w:sz w:val="20"/>
          <w:szCs w:val="20"/>
          <w:lang w:val="ms-MY"/>
        </w:rPr>
        <w:t>trans</w:t>
      </w:r>
      <w:r w:rsidRPr="003A594C">
        <w:rPr>
          <w:rFonts w:ascii="Times New Roman" w:hAnsi="Times New Roman" w:cs="Times New Roman"/>
          <w:sz w:val="20"/>
          <w:szCs w:val="20"/>
          <w:lang w:val="ms-MY"/>
        </w:rPr>
        <w:t xml:space="preserve">-asid sinamik, dipencil dari ekstrak buah dilakukan menggunakan kromatografi gas-pengionan elektron-spektrometri jisim (GC-EI-MS). Pulpa liofili </w:t>
      </w:r>
      <w:r w:rsidRPr="003A594C">
        <w:rPr>
          <w:rFonts w:ascii="Times New Roman" w:hAnsi="Times New Roman" w:cs="Times New Roman"/>
          <w:sz w:val="20"/>
          <w:szCs w:val="20"/>
          <w:lang w:val="ms-MY"/>
        </w:rPr>
        <w:lastRenderedPageBreak/>
        <w:t xml:space="preserve">dicirikan melalui spektroskopi sinar-X tenaga serakan (EDX). Sampel hidrochar yang terhasil dari pengkarbonan hidrotermal (HTC) pulpa buah telah dicirikan menggunakan spektroskopi infremerah transformasi Fourier (FTIR), mikroskopi imbasan elektron (SEM) dan analisis termogravimetrik (TGA). Lapan jujukan kimia yang terelusi dari ekstrak mentah MeOH terdiri daripada furan (5-hidroksimetilfurfural, 55.99%), terbitan piranon (2,3-dihidro-3,4-dihidroksi-6-metil-4H-piran-4-on, 8.68%) dan asid karbosilik (3-fenil-2-asid propenoik, 7.94% atau sebatian 5). Sebatian lain yang dikenal pasti dari ekstrak termasuklah furaneol (0.78% dan 1.56%), fenol, 2,4-bis(1,1-dimetiletil)- (3.73%), asid benzenapropanoik, 3,5-bis(1,1-dimetiletil)-4-hidroksi-, metil ester (1.15%) dan asid </w:t>
      </w:r>
      <w:r w:rsidRPr="003A594C">
        <w:rPr>
          <w:rFonts w:ascii="Times New Roman" w:hAnsi="Times New Roman" w:cs="Times New Roman"/>
          <w:i/>
          <w:sz w:val="20"/>
          <w:szCs w:val="20"/>
          <w:lang w:val="ms-MY"/>
        </w:rPr>
        <w:t>n</w:t>
      </w:r>
      <w:r w:rsidRPr="003A594C">
        <w:rPr>
          <w:rFonts w:ascii="Times New Roman" w:hAnsi="Times New Roman" w:cs="Times New Roman"/>
          <w:sz w:val="20"/>
          <w:szCs w:val="20"/>
          <w:lang w:val="ms-MY"/>
        </w:rPr>
        <w:t xml:space="preserve">-heksadekanoik (0.59%). GC-EI-MS telah membantu mengesahkan ketulenan sebatia </w:t>
      </w:r>
      <w:r w:rsidRPr="003A594C">
        <w:rPr>
          <w:rFonts w:ascii="Times New Roman" w:hAnsi="Times New Roman" w:cs="Times New Roman"/>
          <w:i/>
          <w:sz w:val="20"/>
          <w:szCs w:val="20"/>
          <w:lang w:val="ms-MY"/>
        </w:rPr>
        <w:t>trans</w:t>
      </w:r>
      <w:r w:rsidRPr="003A594C">
        <w:rPr>
          <w:rFonts w:ascii="Times New Roman" w:hAnsi="Times New Roman" w:cs="Times New Roman"/>
          <w:sz w:val="20"/>
          <w:szCs w:val="20"/>
          <w:lang w:val="ms-MY"/>
        </w:rPr>
        <w:t>-asid sinamik yang dipencilkan (100%). Analisis EDX menunjukkan aras tinggi bagi K</w:t>
      </w:r>
      <w:r w:rsidRPr="003A594C">
        <w:rPr>
          <w:rFonts w:ascii="Times New Roman" w:hAnsi="Times New Roman" w:cs="Times New Roman"/>
          <w:sz w:val="20"/>
          <w:szCs w:val="20"/>
          <w:vertAlign w:val="subscript"/>
          <w:lang w:val="ms-MY"/>
        </w:rPr>
        <w:t>2</w:t>
      </w:r>
      <w:r w:rsidRPr="003A594C">
        <w:rPr>
          <w:rFonts w:ascii="Times New Roman" w:hAnsi="Times New Roman" w:cs="Times New Roman"/>
          <w:sz w:val="20"/>
          <w:szCs w:val="20"/>
          <w:lang w:val="ms-MY"/>
        </w:rPr>
        <w:t>O (79.56%), P</w:t>
      </w:r>
      <w:r w:rsidRPr="003A594C">
        <w:rPr>
          <w:rFonts w:ascii="Times New Roman" w:hAnsi="Times New Roman" w:cs="Times New Roman"/>
          <w:sz w:val="20"/>
          <w:szCs w:val="20"/>
          <w:vertAlign w:val="subscript"/>
          <w:lang w:val="ms-MY"/>
        </w:rPr>
        <w:t>2</w:t>
      </w:r>
      <w:r w:rsidRPr="003A594C">
        <w:rPr>
          <w:rFonts w:ascii="Times New Roman" w:hAnsi="Times New Roman" w:cs="Times New Roman"/>
          <w:sz w:val="20"/>
          <w:szCs w:val="20"/>
          <w:lang w:val="ms-MY"/>
        </w:rPr>
        <w:t>O</w:t>
      </w:r>
      <w:r w:rsidRPr="003A594C">
        <w:rPr>
          <w:rFonts w:ascii="Times New Roman" w:hAnsi="Times New Roman" w:cs="Times New Roman"/>
          <w:sz w:val="20"/>
          <w:szCs w:val="20"/>
          <w:vertAlign w:val="subscript"/>
          <w:lang w:val="ms-MY"/>
        </w:rPr>
        <w:t>5</w:t>
      </w:r>
      <w:r w:rsidRPr="003A594C">
        <w:rPr>
          <w:rFonts w:ascii="Times New Roman" w:hAnsi="Times New Roman" w:cs="Times New Roman"/>
          <w:sz w:val="20"/>
          <w:szCs w:val="20"/>
          <w:lang w:val="ms-MY"/>
        </w:rPr>
        <w:t xml:space="preserve"> (9.925%), dan SO</w:t>
      </w:r>
      <w:r w:rsidRPr="003A594C">
        <w:rPr>
          <w:rFonts w:ascii="Times New Roman" w:hAnsi="Times New Roman" w:cs="Times New Roman"/>
          <w:sz w:val="20"/>
          <w:szCs w:val="20"/>
          <w:vertAlign w:val="subscript"/>
          <w:lang w:val="ms-MY"/>
        </w:rPr>
        <w:t>3</w:t>
      </w:r>
      <w:r w:rsidRPr="003A594C">
        <w:rPr>
          <w:rFonts w:ascii="Times New Roman" w:hAnsi="Times New Roman" w:cs="Times New Roman"/>
          <w:sz w:val="20"/>
          <w:szCs w:val="20"/>
          <w:lang w:val="ms-MY"/>
        </w:rPr>
        <w:t xml:space="preserve"> (9.131%) dari pulpa liofili. Sebatian alifatik seperti alkana dan alkena paling banyak dikesan dalam hidrochar seperti yang dibuktikan oleh analisis FTIR, Analisis SEM dan TGA menunjukkan degradasi komponen lignin bagi hidrochar selepas proses pengkarbonan hidrotermal. Hasil kajian ini menunjukkan pencirian kimia bagi </w:t>
      </w:r>
      <w:r w:rsidRPr="003A594C">
        <w:rPr>
          <w:rFonts w:ascii="Times New Roman" w:hAnsi="Times New Roman" w:cs="Times New Roman"/>
          <w:i/>
          <w:sz w:val="20"/>
          <w:szCs w:val="20"/>
          <w:lang w:val="ms-MY"/>
        </w:rPr>
        <w:t>C. cujete</w:t>
      </w:r>
      <w:r w:rsidRPr="003A594C">
        <w:rPr>
          <w:rFonts w:ascii="Times New Roman" w:hAnsi="Times New Roman" w:cs="Times New Roman"/>
          <w:sz w:val="20"/>
          <w:szCs w:val="20"/>
          <w:lang w:val="ms-MY"/>
        </w:rPr>
        <w:t xml:space="preserve"> dan HTC bagi biojisim pulpa menjanjikan potensi aplikasi sebagai bahan bakar atau penjerap. </w:t>
      </w:r>
    </w:p>
    <w:p w:rsidR="003A594C" w:rsidRPr="003A594C" w:rsidRDefault="003A594C" w:rsidP="003A594C">
      <w:pPr>
        <w:spacing w:after="0" w:line="240" w:lineRule="auto"/>
        <w:jc w:val="both"/>
        <w:rPr>
          <w:rFonts w:ascii="Times New Roman" w:hAnsi="Times New Roman" w:cs="Times New Roman"/>
          <w:sz w:val="20"/>
          <w:szCs w:val="20"/>
          <w:lang w:val="ms-MY"/>
        </w:rPr>
      </w:pPr>
    </w:p>
    <w:p w:rsidR="003A594C" w:rsidRDefault="003A594C" w:rsidP="003A594C">
      <w:pPr>
        <w:spacing w:after="0" w:line="240" w:lineRule="auto"/>
        <w:jc w:val="both"/>
        <w:rPr>
          <w:rFonts w:ascii="Times New Roman" w:hAnsi="Times New Roman" w:cs="Times New Roman"/>
          <w:sz w:val="20"/>
          <w:szCs w:val="20"/>
          <w:lang w:val="ms-MY"/>
        </w:rPr>
      </w:pPr>
      <w:r w:rsidRPr="003A594C">
        <w:rPr>
          <w:rFonts w:ascii="Times New Roman" w:hAnsi="Times New Roman" w:cs="Times New Roman"/>
          <w:b/>
          <w:bCs/>
          <w:sz w:val="20"/>
          <w:szCs w:val="20"/>
          <w:lang w:val="ms-MY"/>
        </w:rPr>
        <w:t xml:space="preserve">Kata kunci: </w:t>
      </w:r>
      <w:r w:rsidRPr="003A594C">
        <w:rPr>
          <w:rFonts w:ascii="Times New Roman" w:hAnsi="Times New Roman"/>
          <w:b/>
          <w:bCs/>
          <w:sz w:val="20"/>
          <w:szCs w:val="20"/>
          <w:lang w:val="ms-MY"/>
        </w:rPr>
        <w:t xml:space="preserve"> </w:t>
      </w:r>
      <w:r w:rsidRPr="003A594C">
        <w:rPr>
          <w:rFonts w:ascii="Times New Roman" w:hAnsi="Times New Roman" w:cs="Times New Roman"/>
          <w:i/>
          <w:iCs/>
          <w:sz w:val="20"/>
          <w:szCs w:val="20"/>
          <w:lang w:val="ms-MY"/>
        </w:rPr>
        <w:t>Crescentia cujete</w:t>
      </w:r>
      <w:r w:rsidRPr="003A594C">
        <w:rPr>
          <w:rFonts w:ascii="Times New Roman" w:hAnsi="Times New Roman" w:cs="Times New Roman"/>
          <w:sz w:val="20"/>
          <w:szCs w:val="20"/>
          <w:lang w:val="ms-MY"/>
        </w:rPr>
        <w:t xml:space="preserve"> L., pengkarbonan hidrotermal, hidrochar</w:t>
      </w:r>
    </w:p>
    <w:p w:rsidR="003A594C" w:rsidRDefault="003A594C" w:rsidP="003A594C">
      <w:pPr>
        <w:spacing w:after="0" w:line="240" w:lineRule="auto"/>
        <w:jc w:val="both"/>
        <w:rPr>
          <w:rFonts w:ascii="Times New Roman" w:hAnsi="Times New Roman" w:cs="Times New Roman"/>
          <w:sz w:val="20"/>
          <w:szCs w:val="20"/>
          <w:lang w:val="ms-MY"/>
        </w:rPr>
      </w:pPr>
    </w:p>
    <w:p w:rsidR="003A594C" w:rsidRPr="00F447A7" w:rsidRDefault="003A594C" w:rsidP="003A594C">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 xml:space="preserve">Zhang, B., Heidari, M., Regmi, B., Salaudeen, S., Arku, P., Thimmannagari, M. and Dutta, A. (2018). Hydrothermal carbonization of fruit wastes: A promising technique for generating hydrochar. </w:t>
      </w:r>
      <w:r w:rsidRPr="008A29CF">
        <w:rPr>
          <w:rFonts w:ascii="Times New Roman" w:hAnsi="Times New Roman"/>
          <w:i/>
          <w:iCs/>
          <w:sz w:val="20"/>
          <w:szCs w:val="20"/>
          <w:shd w:val="clear" w:color="auto" w:fill="FFFFFF"/>
        </w:rPr>
        <w:t>Energies</w:t>
      </w:r>
      <w:r w:rsidRPr="008A29CF">
        <w:rPr>
          <w:rFonts w:ascii="Times New Roman" w:hAnsi="Times New Roman"/>
          <w:sz w:val="20"/>
          <w:szCs w:val="20"/>
          <w:shd w:val="clear" w:color="auto" w:fill="FFFFFF"/>
        </w:rPr>
        <w:t xml:space="preserve">, 11(8): 2022-2035.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Lucian, M. and Fiori, L. (2017). Hydrothermal carbonization of waste biomass: Process design, modeling, energy efficiency and cost analysis. </w:t>
      </w:r>
      <w:r w:rsidRPr="008A29CF">
        <w:rPr>
          <w:rFonts w:ascii="Times New Roman" w:hAnsi="Times New Roman"/>
          <w:i/>
          <w:iCs/>
          <w:sz w:val="20"/>
          <w:szCs w:val="20"/>
          <w:shd w:val="clear" w:color="auto" w:fill="FFFFFF"/>
        </w:rPr>
        <w:t>Energies</w:t>
      </w:r>
      <w:r w:rsidRPr="008A29CF">
        <w:rPr>
          <w:rFonts w:ascii="Times New Roman" w:hAnsi="Times New Roman"/>
          <w:sz w:val="20"/>
          <w:szCs w:val="20"/>
          <w:shd w:val="clear" w:color="auto" w:fill="FFFFFF"/>
        </w:rPr>
        <w:t xml:space="preserve">, 10(2): 211-228.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Kantakanit, P., Tippayawong, N., Koonaphapdeelert, S. and Pattiya, A. (2018). Hydrochar generation from hydrothermal carbonization of organic wastes. </w:t>
      </w:r>
      <w:r w:rsidRPr="008A29CF">
        <w:rPr>
          <w:rFonts w:ascii="Times New Roman" w:hAnsi="Times New Roman"/>
          <w:i/>
          <w:iCs/>
          <w:sz w:val="20"/>
          <w:szCs w:val="20"/>
          <w:shd w:val="clear" w:color="auto" w:fill="FFFFFF"/>
        </w:rPr>
        <w:t>IOP Conference Series: Earth and Environmental Science</w:t>
      </w:r>
      <w:r w:rsidRPr="008A29CF">
        <w:rPr>
          <w:rFonts w:ascii="Times New Roman" w:hAnsi="Times New Roman"/>
          <w:sz w:val="20"/>
          <w:szCs w:val="20"/>
          <w:shd w:val="clear" w:color="auto" w:fill="FFFFFF"/>
        </w:rPr>
        <w:t xml:space="preserve">, 159: 1-6.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Wang, T., Zhai, Y., Zhu, Y., Li, C. and Zeng, G. (2018). A review of the hydrothermal carbonization of biomass waste for hydrochar formation: Process conditions, fundamentals, and physicochemical properties. </w:t>
      </w:r>
      <w:r w:rsidRPr="008A29CF">
        <w:rPr>
          <w:rFonts w:ascii="Times New Roman" w:hAnsi="Times New Roman"/>
          <w:i/>
          <w:iCs/>
          <w:sz w:val="20"/>
          <w:szCs w:val="20"/>
          <w:shd w:val="clear" w:color="auto" w:fill="FFFFFF"/>
        </w:rPr>
        <w:t>Renewable and Sustainable Energy Reviews</w:t>
      </w:r>
      <w:r w:rsidRPr="008A29CF">
        <w:rPr>
          <w:rFonts w:ascii="Times New Roman" w:hAnsi="Times New Roman"/>
          <w:sz w:val="20"/>
          <w:szCs w:val="20"/>
          <w:shd w:val="clear" w:color="auto" w:fill="FFFFFF"/>
        </w:rPr>
        <w:t xml:space="preserve">, 90: 223-247.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Arango-Ulloa, J., Bohorquez, A., Duque, M. and Maass, B. (2009). Diversity of the calabash tree (</w:t>
      </w:r>
      <w:r w:rsidRPr="008A29CF">
        <w:rPr>
          <w:rFonts w:ascii="Times New Roman" w:hAnsi="Times New Roman"/>
          <w:i/>
          <w:iCs/>
          <w:sz w:val="20"/>
          <w:szCs w:val="20"/>
          <w:shd w:val="clear" w:color="auto" w:fill="FFFFFF"/>
        </w:rPr>
        <w:t>Crescentia cujete</w:t>
      </w:r>
      <w:r w:rsidRPr="008A29CF">
        <w:rPr>
          <w:rFonts w:ascii="Times New Roman" w:hAnsi="Times New Roman"/>
          <w:sz w:val="20"/>
          <w:szCs w:val="20"/>
          <w:shd w:val="clear" w:color="auto" w:fill="FFFFFF"/>
        </w:rPr>
        <w:t xml:space="preserve"> L.) in Colombia. </w:t>
      </w:r>
      <w:r w:rsidRPr="008A29CF">
        <w:rPr>
          <w:rFonts w:ascii="Times New Roman" w:hAnsi="Times New Roman"/>
          <w:i/>
          <w:iCs/>
          <w:sz w:val="20"/>
          <w:szCs w:val="20"/>
          <w:shd w:val="clear" w:color="auto" w:fill="FFFFFF"/>
        </w:rPr>
        <w:t>Agroforestry Systems</w:t>
      </w:r>
      <w:r w:rsidRPr="008A29CF">
        <w:rPr>
          <w:rFonts w:ascii="Times New Roman" w:hAnsi="Times New Roman"/>
          <w:sz w:val="20"/>
          <w:szCs w:val="20"/>
          <w:shd w:val="clear" w:color="auto" w:fill="FFFFFF"/>
        </w:rPr>
        <w:t xml:space="preserve">, 76(3): 543-553.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Style w:val="Hyperlink"/>
          <w:rFonts w:ascii="Times New Roman" w:hAnsi="Times New Roman"/>
          <w:sz w:val="20"/>
          <w:szCs w:val="20"/>
          <w:shd w:val="clear" w:color="auto" w:fill="FFFFFF"/>
        </w:rPr>
      </w:pPr>
      <w:r w:rsidRPr="008A29CF">
        <w:rPr>
          <w:rFonts w:ascii="Times New Roman" w:hAnsi="Times New Roman"/>
          <w:sz w:val="20"/>
          <w:szCs w:val="20"/>
          <w:shd w:val="clear" w:color="auto" w:fill="FFFFFF"/>
        </w:rPr>
        <w:t>Tacio, H. (2015). Calabash the miracle fruit. https://businessmirror.com.ph/2015/10/15/calabash-the-miracle-fruit</w:t>
      </w:r>
      <w:r w:rsidRPr="0047463E">
        <w:rPr>
          <w:rFonts w:ascii="Times New Roman" w:hAnsi="Times New Roman"/>
          <w:sz w:val="20"/>
          <w:szCs w:val="20"/>
          <w:shd w:val="clear" w:color="auto" w:fill="FFFFFF"/>
        </w:rPr>
        <w:t>/.</w:t>
      </w:r>
      <w:r w:rsidRPr="0047463E">
        <w:rPr>
          <w:rStyle w:val="Hyperlink"/>
          <w:rFonts w:ascii="Times New Roman" w:hAnsi="Times New Roman"/>
          <w:color w:val="auto"/>
          <w:sz w:val="20"/>
          <w:szCs w:val="20"/>
          <w:u w:val="none"/>
          <w:shd w:val="clear" w:color="auto" w:fill="FFFFFF"/>
        </w:rPr>
        <w:t xml:space="preserve"> [Access online 10 October 2019].</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Style w:val="Hyperlink"/>
          <w:rFonts w:ascii="Times New Roman" w:hAnsi="Times New Roman"/>
          <w:sz w:val="20"/>
          <w:szCs w:val="20"/>
          <w:shd w:val="clear" w:color="auto" w:fill="FFFFFF"/>
        </w:rPr>
      </w:pPr>
      <w:r w:rsidRPr="008A29CF">
        <w:rPr>
          <w:rFonts w:ascii="Times New Roman" w:hAnsi="Times New Roman"/>
          <w:sz w:val="20"/>
          <w:szCs w:val="20"/>
        </w:rPr>
        <w:t>Agron, E. (2017). Calabash contains active ingredients potential for cancer treatment. http://www.pchrd.dost.gov.ph/index.php/14-r-d-updates/3132-calabash-contains-active-ingredients-potential-for-cancer-treatment</w:t>
      </w:r>
      <w:r w:rsidRPr="0047463E">
        <w:rPr>
          <w:rFonts w:ascii="Times New Roman" w:hAnsi="Times New Roman"/>
          <w:sz w:val="20"/>
          <w:szCs w:val="20"/>
        </w:rPr>
        <w:t>.</w:t>
      </w:r>
      <w:r w:rsidRPr="0047463E">
        <w:rPr>
          <w:rStyle w:val="Hyperlink"/>
          <w:rFonts w:ascii="Times New Roman" w:hAnsi="Times New Roman"/>
          <w:color w:val="auto"/>
          <w:sz w:val="20"/>
          <w:szCs w:val="20"/>
          <w:u w:val="none"/>
        </w:rPr>
        <w:t xml:space="preserve"> [Access online 10 October 2019].</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Style w:val="Hyperlink"/>
          <w:rFonts w:ascii="Times New Roman" w:hAnsi="Times New Roman"/>
          <w:sz w:val="20"/>
          <w:szCs w:val="20"/>
          <w:shd w:val="clear" w:color="auto" w:fill="FFFFFF"/>
        </w:rPr>
      </w:pPr>
      <w:r w:rsidRPr="008A29CF">
        <w:rPr>
          <w:rFonts w:ascii="Times New Roman" w:hAnsi="Times New Roman"/>
          <w:sz w:val="20"/>
          <w:szCs w:val="20"/>
        </w:rPr>
        <w:t xml:space="preserve">Morton, J. (1968). The Calabash (Crescentia cujete) in folk medicine. </w:t>
      </w:r>
      <w:r w:rsidRPr="008A29CF">
        <w:rPr>
          <w:rFonts w:ascii="Times New Roman" w:hAnsi="Times New Roman"/>
          <w:i/>
          <w:sz w:val="20"/>
          <w:szCs w:val="20"/>
        </w:rPr>
        <w:t xml:space="preserve">Economic Botany, </w:t>
      </w:r>
      <w:r w:rsidRPr="008A29CF">
        <w:rPr>
          <w:rFonts w:ascii="Times New Roman" w:hAnsi="Times New Roman"/>
          <w:iCs/>
          <w:sz w:val="20"/>
          <w:szCs w:val="20"/>
        </w:rPr>
        <w:t>22(3)</w:t>
      </w:r>
      <w:r w:rsidRPr="008A29CF">
        <w:rPr>
          <w:rFonts w:ascii="Times New Roman" w:hAnsi="Times New Roman"/>
          <w:sz w:val="20"/>
          <w:szCs w:val="20"/>
        </w:rPr>
        <w:t xml:space="preserve">: 273- 280.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 xml:space="preserve">Parvin, M. S., Das, N., Jahan, N., Akhter, M. A., Nahar, L. and Islam, M. E. (2015). Evaluation of in vitro anti-inflammatory and antibacterial potential of </w:t>
      </w:r>
      <w:r w:rsidRPr="008A29CF">
        <w:rPr>
          <w:rFonts w:ascii="Times New Roman" w:hAnsi="Times New Roman"/>
          <w:i/>
          <w:iCs/>
          <w:sz w:val="20"/>
          <w:szCs w:val="20"/>
          <w:shd w:val="clear" w:color="auto" w:fill="FFFFFF"/>
        </w:rPr>
        <w:t>Crescentia cujete</w:t>
      </w:r>
      <w:r w:rsidRPr="008A29CF">
        <w:rPr>
          <w:rFonts w:ascii="Times New Roman" w:hAnsi="Times New Roman"/>
          <w:sz w:val="20"/>
          <w:szCs w:val="20"/>
          <w:shd w:val="clear" w:color="auto" w:fill="FFFFFF"/>
        </w:rPr>
        <w:t xml:space="preserve"> leaves and stem bark.</w:t>
      </w:r>
      <w:r w:rsidRPr="008A29CF">
        <w:rPr>
          <w:rFonts w:ascii="Times New Roman" w:hAnsi="Times New Roman"/>
          <w:i/>
          <w:iCs/>
          <w:sz w:val="20"/>
          <w:szCs w:val="20"/>
          <w:shd w:val="clear" w:color="auto" w:fill="FFFFFF"/>
        </w:rPr>
        <w:t xml:space="preserve"> BMC Research Notes, </w:t>
      </w:r>
      <w:r w:rsidRPr="008A29CF">
        <w:rPr>
          <w:rFonts w:ascii="Times New Roman" w:hAnsi="Times New Roman"/>
          <w:sz w:val="20"/>
          <w:szCs w:val="20"/>
          <w:shd w:val="clear" w:color="auto" w:fill="FFFFFF"/>
        </w:rPr>
        <w:t>8(1): 412-418</w:t>
      </w:r>
      <w:r w:rsidRPr="008A29CF">
        <w:rPr>
          <w:rFonts w:ascii="Times New Roman" w:hAnsi="Times New Roman"/>
          <w:i/>
          <w:iCs/>
          <w:sz w:val="20"/>
          <w:szCs w:val="20"/>
          <w:shd w:val="clear" w:color="auto" w:fill="FFFFFF"/>
        </w:rPr>
        <w:t>.</w:t>
      </w:r>
      <w:r w:rsidRPr="008A29CF">
        <w:rPr>
          <w:rFonts w:ascii="Times New Roman" w:hAnsi="Times New Roman"/>
          <w:sz w:val="20"/>
          <w:szCs w:val="20"/>
          <w:shd w:val="clear" w:color="auto" w:fill="FFFFFF"/>
        </w:rPr>
        <w:t>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i/>
          <w:iCs/>
          <w:sz w:val="20"/>
          <w:szCs w:val="20"/>
          <w:shd w:val="clear" w:color="auto" w:fill="FFFFFF"/>
        </w:rPr>
      </w:pPr>
      <w:r w:rsidRPr="008A29CF">
        <w:rPr>
          <w:rFonts w:ascii="Times New Roman" w:eastAsia="Arial" w:hAnsi="Times New Roman"/>
          <w:sz w:val="20"/>
          <w:szCs w:val="20"/>
          <w:shd w:val="clear" w:color="auto" w:fill="FFFFFF"/>
          <w:lang w:val="en-PH"/>
        </w:rPr>
        <w:t>Jato, J. (2015</w:t>
      </w:r>
      <w:r w:rsidRPr="008A29CF">
        <w:rPr>
          <w:rFonts w:ascii="Times New Roman" w:eastAsia="Arial" w:hAnsi="Times New Roman"/>
          <w:i/>
          <w:iCs/>
          <w:sz w:val="20"/>
          <w:szCs w:val="20"/>
          <w:shd w:val="clear" w:color="auto" w:fill="FFFFFF"/>
          <w:lang w:val="en-PH"/>
        </w:rPr>
        <w:t xml:space="preserve">). </w:t>
      </w:r>
      <w:r w:rsidRPr="008A29CF">
        <w:rPr>
          <w:rFonts w:ascii="Times New Roman" w:eastAsia="Arial" w:hAnsi="Times New Roman"/>
          <w:sz w:val="20"/>
          <w:szCs w:val="20"/>
          <w:shd w:val="clear" w:color="auto" w:fill="FFFFFF"/>
          <w:lang w:val="en-PH"/>
        </w:rPr>
        <w:t xml:space="preserve">Anti-inflammatory, antimicrobial and antioxidant properties of </w:t>
      </w:r>
      <w:r w:rsidRPr="008A29CF">
        <w:rPr>
          <w:rFonts w:ascii="Times New Roman" w:eastAsia="Arial" w:hAnsi="Times New Roman"/>
          <w:i/>
          <w:iCs/>
          <w:sz w:val="20"/>
          <w:szCs w:val="20"/>
          <w:shd w:val="clear" w:color="auto" w:fill="FFFFFF"/>
          <w:lang w:val="en-PH"/>
        </w:rPr>
        <w:t xml:space="preserve">Margaritaria nobilis, Stylochiton lancifolius, Drypetes principum, Crescentia cujete </w:t>
      </w:r>
      <w:r w:rsidRPr="008A29CF">
        <w:rPr>
          <w:rFonts w:ascii="Times New Roman" w:eastAsia="Arial" w:hAnsi="Times New Roman"/>
          <w:sz w:val="20"/>
          <w:szCs w:val="20"/>
          <w:shd w:val="clear" w:color="auto" w:fill="FFFFFF"/>
          <w:lang w:val="en-PH"/>
        </w:rPr>
        <w:t>and</w:t>
      </w:r>
      <w:r w:rsidRPr="008A29CF">
        <w:rPr>
          <w:rFonts w:ascii="Times New Roman" w:eastAsia="Arial" w:hAnsi="Times New Roman"/>
          <w:i/>
          <w:iCs/>
          <w:sz w:val="20"/>
          <w:szCs w:val="20"/>
          <w:shd w:val="clear" w:color="auto" w:fill="FFFFFF"/>
          <w:lang w:val="en-PH"/>
        </w:rPr>
        <w:t xml:space="preserve"> Albizia glaberrima. </w:t>
      </w:r>
      <w:r w:rsidRPr="008A29CF">
        <w:rPr>
          <w:rFonts w:ascii="Times New Roman" w:eastAsia="Arial" w:hAnsi="Times New Roman"/>
          <w:sz w:val="20"/>
          <w:szCs w:val="20"/>
          <w:shd w:val="clear" w:color="auto" w:fill="FFFFFF"/>
          <w:lang w:val="en-PH"/>
        </w:rPr>
        <w:t>Thesis of Master Degree, Kwame Nkrumah University of Science and Technology, Kumasi, Ghana.</w:t>
      </w:r>
      <w:r w:rsidRPr="008A29CF">
        <w:rPr>
          <w:rFonts w:ascii="Times New Roman" w:eastAsia="Arial" w:hAnsi="Times New Roman"/>
          <w:i/>
          <w:iCs/>
          <w:sz w:val="20"/>
          <w:szCs w:val="20"/>
          <w:shd w:val="clear" w:color="auto" w:fill="FFFFFF"/>
          <w:lang w:val="en-PH"/>
        </w:rPr>
        <w:t xml:space="preserve">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 xml:space="preserve">Billacura, M. and Laciapag, G. C. (2017). Phytochemical screening, cytotoxicity, antioxidant, and anthelmintic property of the various extracts from </w:t>
      </w:r>
      <w:r w:rsidRPr="008A29CF">
        <w:rPr>
          <w:rFonts w:ascii="Times New Roman" w:hAnsi="Times New Roman"/>
          <w:i/>
          <w:sz w:val="20"/>
          <w:szCs w:val="20"/>
          <w:shd w:val="clear" w:color="auto" w:fill="FFFFFF"/>
        </w:rPr>
        <w:t xml:space="preserve">Crescentia cujete </w:t>
      </w:r>
      <w:r w:rsidRPr="008A29CF">
        <w:rPr>
          <w:rFonts w:ascii="Times New Roman" w:hAnsi="Times New Roman"/>
          <w:sz w:val="20"/>
          <w:szCs w:val="20"/>
          <w:shd w:val="clear" w:color="auto" w:fill="FFFFFF"/>
        </w:rPr>
        <w:t xml:space="preserve">Linn fruit. </w:t>
      </w:r>
      <w:r w:rsidRPr="008A29CF">
        <w:rPr>
          <w:rFonts w:ascii="Times New Roman" w:hAnsi="Times New Roman"/>
          <w:i/>
          <w:sz w:val="20"/>
          <w:szCs w:val="20"/>
          <w:shd w:val="clear" w:color="auto" w:fill="FFFFFF"/>
        </w:rPr>
        <w:t xml:space="preserve">Science International, </w:t>
      </w:r>
      <w:r w:rsidRPr="008A29CF">
        <w:rPr>
          <w:rFonts w:ascii="Times New Roman" w:hAnsi="Times New Roman"/>
          <w:iCs/>
          <w:sz w:val="20"/>
          <w:szCs w:val="20"/>
          <w:shd w:val="clear" w:color="auto" w:fill="FFFFFF"/>
        </w:rPr>
        <w:t>29 (2)</w:t>
      </w:r>
      <w:r w:rsidRPr="008A29CF">
        <w:rPr>
          <w:rFonts w:ascii="Times New Roman" w:hAnsi="Times New Roman"/>
          <w:sz w:val="20"/>
          <w:szCs w:val="20"/>
          <w:shd w:val="clear" w:color="auto" w:fill="FFFFFF"/>
        </w:rPr>
        <w:t>: 31-35.</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 xml:space="preserve">Billacura, M. and Pangcoga, K. K. (2017). Phytochemical screening, cytotoxicity, mutagenicity, antimutagenicity, and protective potentials of the different solvent extracts from the air-dried leaves of </w:t>
      </w:r>
      <w:r w:rsidRPr="008A29CF">
        <w:rPr>
          <w:rFonts w:ascii="Times New Roman" w:hAnsi="Times New Roman"/>
          <w:i/>
          <w:sz w:val="20"/>
          <w:szCs w:val="20"/>
          <w:shd w:val="clear" w:color="auto" w:fill="FFFFFF"/>
        </w:rPr>
        <w:t xml:space="preserve">Crescentia cujete </w:t>
      </w:r>
      <w:r w:rsidRPr="008A29CF">
        <w:rPr>
          <w:rFonts w:ascii="Times New Roman" w:hAnsi="Times New Roman"/>
          <w:sz w:val="20"/>
          <w:szCs w:val="20"/>
          <w:shd w:val="clear" w:color="auto" w:fill="FFFFFF"/>
        </w:rPr>
        <w:t xml:space="preserve">Linn. </w:t>
      </w:r>
      <w:r w:rsidRPr="008A29CF">
        <w:rPr>
          <w:rFonts w:ascii="Times New Roman" w:hAnsi="Times New Roman"/>
          <w:i/>
          <w:sz w:val="20"/>
          <w:szCs w:val="20"/>
          <w:shd w:val="clear" w:color="auto" w:fill="FFFFFF"/>
        </w:rPr>
        <w:t xml:space="preserve">International Journal of Advanced and Applied Sciences, </w:t>
      </w:r>
      <w:r w:rsidRPr="008A29CF">
        <w:rPr>
          <w:rFonts w:ascii="Times New Roman" w:hAnsi="Times New Roman"/>
          <w:iCs/>
          <w:sz w:val="20"/>
          <w:szCs w:val="20"/>
          <w:shd w:val="clear" w:color="auto" w:fill="FFFFFF"/>
        </w:rPr>
        <w:t>4</w:t>
      </w:r>
      <w:r w:rsidRPr="008A29CF">
        <w:rPr>
          <w:rFonts w:ascii="Times New Roman" w:hAnsi="Times New Roman"/>
          <w:sz w:val="20"/>
          <w:szCs w:val="20"/>
          <w:shd w:val="clear" w:color="auto" w:fill="FFFFFF"/>
        </w:rPr>
        <w:t>(4): 118-126.</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rPr>
        <w:t xml:space="preserve">Rellin, K. F. B., Dasmariñas, D. D. and Junio, H. A. (2018). Untargeted metabolite profiling of Philippine-grown </w:t>
      </w:r>
      <w:r w:rsidRPr="008A29CF">
        <w:rPr>
          <w:rFonts w:ascii="Times New Roman" w:hAnsi="Times New Roman"/>
          <w:i/>
          <w:sz w:val="20"/>
          <w:szCs w:val="20"/>
        </w:rPr>
        <w:t xml:space="preserve">Crescentia cujete </w:t>
      </w:r>
      <w:r w:rsidRPr="008A29CF">
        <w:rPr>
          <w:rFonts w:ascii="Times New Roman" w:hAnsi="Times New Roman"/>
          <w:sz w:val="20"/>
          <w:szCs w:val="20"/>
        </w:rPr>
        <w:t xml:space="preserve">and its commercial fruit juice using GC-MS and UPLC-HRMS. </w:t>
      </w:r>
      <w:r w:rsidRPr="008A29CF">
        <w:rPr>
          <w:rFonts w:ascii="Times New Roman" w:hAnsi="Times New Roman"/>
          <w:i/>
          <w:sz w:val="20"/>
          <w:szCs w:val="20"/>
        </w:rPr>
        <w:t xml:space="preserve">Philippine Journal of Science, </w:t>
      </w:r>
      <w:r w:rsidRPr="008A29CF">
        <w:rPr>
          <w:rFonts w:ascii="Times New Roman" w:hAnsi="Times New Roman"/>
          <w:iCs/>
          <w:sz w:val="20"/>
          <w:szCs w:val="20"/>
        </w:rPr>
        <w:t>147</w:t>
      </w:r>
      <w:r w:rsidRPr="008A29CF">
        <w:rPr>
          <w:rFonts w:ascii="Times New Roman" w:hAnsi="Times New Roman"/>
          <w:sz w:val="20"/>
          <w:szCs w:val="20"/>
        </w:rPr>
        <w:t>(4): 647-658.</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Liu, L., Hudgins, W., Shack, S., Yin, M. and Samid, D. (1995). Cinnamic acid: A natural product with potential use in cancer intervention. </w:t>
      </w:r>
      <w:r w:rsidRPr="008A29CF">
        <w:rPr>
          <w:rFonts w:ascii="Times New Roman" w:hAnsi="Times New Roman"/>
          <w:i/>
          <w:iCs/>
          <w:sz w:val="20"/>
          <w:szCs w:val="20"/>
          <w:shd w:val="clear" w:color="auto" w:fill="FFFFFF"/>
        </w:rPr>
        <w:t>International Journal of Cancer</w:t>
      </w:r>
      <w:r w:rsidRPr="008A29CF">
        <w:rPr>
          <w:rFonts w:ascii="Times New Roman" w:hAnsi="Times New Roman"/>
          <w:sz w:val="20"/>
          <w:szCs w:val="20"/>
          <w:shd w:val="clear" w:color="auto" w:fill="FFFFFF"/>
        </w:rPr>
        <w:t xml:space="preserve">, 62(3): 345-350.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lastRenderedPageBreak/>
        <w:t>Rajisha, K., Deepa, B., Pothan, L. and Thomas, S. (2011). Thermomechanical and spectroscopic characterization of natural fibre composites. </w:t>
      </w:r>
      <w:r w:rsidRPr="008A29CF">
        <w:rPr>
          <w:rFonts w:ascii="Times New Roman" w:hAnsi="Times New Roman"/>
          <w:i/>
          <w:iCs/>
          <w:sz w:val="20"/>
          <w:szCs w:val="20"/>
          <w:shd w:val="clear" w:color="auto" w:fill="FFFFFF"/>
        </w:rPr>
        <w:t>Interface Engineering of Natural Fibre Composites for Maximum Performance</w:t>
      </w:r>
      <w:r w:rsidRPr="008A29CF">
        <w:rPr>
          <w:rFonts w:ascii="Times New Roman" w:hAnsi="Times New Roman"/>
          <w:sz w:val="20"/>
          <w:szCs w:val="20"/>
          <w:shd w:val="clear" w:color="auto" w:fill="FFFFFF"/>
        </w:rPr>
        <w:t xml:space="preserve">: 241-274.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Hood, E. (2016). Plant-based biofuels. </w:t>
      </w:r>
      <w:r w:rsidRPr="008A29CF">
        <w:rPr>
          <w:rFonts w:ascii="Times New Roman" w:hAnsi="Times New Roman"/>
          <w:i/>
          <w:iCs/>
          <w:sz w:val="20"/>
          <w:szCs w:val="20"/>
          <w:shd w:val="clear" w:color="auto" w:fill="FFFFFF"/>
        </w:rPr>
        <w:t>F1000Research</w:t>
      </w:r>
      <w:r w:rsidRPr="008A29CF">
        <w:rPr>
          <w:rFonts w:ascii="Times New Roman" w:hAnsi="Times New Roman"/>
          <w:sz w:val="20"/>
          <w:szCs w:val="20"/>
          <w:shd w:val="clear" w:color="auto" w:fill="FFFFFF"/>
        </w:rPr>
        <w:t>, 5: pp. 1-9.</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rPr>
        <w:t xml:space="preserve">Schaldach, B. and Grützmacher, H.-Fr. (1980). The fragmentations of substituted cinnamic acids after electron impact. </w:t>
      </w:r>
      <w:r w:rsidRPr="008A29CF">
        <w:rPr>
          <w:rFonts w:ascii="Times New Roman" w:hAnsi="Times New Roman"/>
          <w:i/>
          <w:sz w:val="20"/>
          <w:szCs w:val="20"/>
        </w:rPr>
        <w:t>Organic Mass Spectrometry</w:t>
      </w:r>
      <w:r w:rsidRPr="008A29CF">
        <w:rPr>
          <w:rFonts w:ascii="Times New Roman" w:hAnsi="Times New Roman"/>
          <w:sz w:val="20"/>
          <w:szCs w:val="20"/>
        </w:rPr>
        <w:t xml:space="preserve">, </w:t>
      </w:r>
      <w:r w:rsidRPr="008A29CF">
        <w:rPr>
          <w:rFonts w:ascii="Times New Roman" w:hAnsi="Times New Roman"/>
          <w:iCs/>
          <w:sz w:val="20"/>
          <w:szCs w:val="20"/>
        </w:rPr>
        <w:t>15(</w:t>
      </w:r>
      <w:r w:rsidRPr="008A29CF">
        <w:rPr>
          <w:rFonts w:ascii="Times New Roman" w:hAnsi="Times New Roman"/>
          <w:sz w:val="20"/>
          <w:szCs w:val="20"/>
        </w:rPr>
        <w:t xml:space="preserve">4): 175-181.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Lanham-New, S., Lambert, H. and Frassetto, L. (2012). Potassium. </w:t>
      </w:r>
      <w:r w:rsidRPr="008A29CF">
        <w:rPr>
          <w:rFonts w:ascii="Times New Roman" w:hAnsi="Times New Roman"/>
          <w:i/>
          <w:iCs/>
          <w:sz w:val="20"/>
          <w:szCs w:val="20"/>
          <w:shd w:val="clear" w:color="auto" w:fill="FFFFFF"/>
        </w:rPr>
        <w:t>Advances in Nutrition</w:t>
      </w:r>
      <w:r w:rsidRPr="008A29CF">
        <w:rPr>
          <w:rFonts w:ascii="Times New Roman" w:hAnsi="Times New Roman"/>
          <w:sz w:val="20"/>
          <w:szCs w:val="20"/>
          <w:shd w:val="clear" w:color="auto" w:fill="FFFFFF"/>
        </w:rPr>
        <w:t xml:space="preserve">, 3(6): 820- 821.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Weaver, C. (2013). Potassium and health. </w:t>
      </w:r>
      <w:r w:rsidRPr="008A29CF">
        <w:rPr>
          <w:rFonts w:ascii="Times New Roman" w:hAnsi="Times New Roman"/>
          <w:i/>
          <w:iCs/>
          <w:sz w:val="20"/>
          <w:szCs w:val="20"/>
          <w:shd w:val="clear" w:color="auto" w:fill="FFFFFF"/>
        </w:rPr>
        <w:t>Advances in Nutrition</w:t>
      </w:r>
      <w:r w:rsidRPr="008A29CF">
        <w:rPr>
          <w:rFonts w:ascii="Times New Roman" w:hAnsi="Times New Roman"/>
          <w:sz w:val="20"/>
          <w:szCs w:val="20"/>
          <w:shd w:val="clear" w:color="auto" w:fill="FFFFFF"/>
        </w:rPr>
        <w:t xml:space="preserve">, 4(3): 368S-377S.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Uribarri, J. and Calvo, M. (2013). Dietary phosphorus intake and health. </w:t>
      </w:r>
      <w:r w:rsidRPr="008A29CF">
        <w:rPr>
          <w:rFonts w:ascii="Times New Roman" w:hAnsi="Times New Roman"/>
          <w:i/>
          <w:iCs/>
          <w:sz w:val="20"/>
          <w:szCs w:val="20"/>
          <w:shd w:val="clear" w:color="auto" w:fill="FFFFFF"/>
        </w:rPr>
        <w:t>The American Journal of Clinical Nutrition</w:t>
      </w:r>
      <w:r w:rsidRPr="008A29CF">
        <w:rPr>
          <w:rFonts w:ascii="Times New Roman" w:hAnsi="Times New Roman"/>
          <w:sz w:val="20"/>
          <w:szCs w:val="20"/>
          <w:shd w:val="clear" w:color="auto" w:fill="FFFFFF"/>
        </w:rPr>
        <w:t xml:space="preserve">, 99(2): 247-248.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Nimni, M., Han, B. and Cordoba, F. (2007). Are we getting enough sulfur in our diet?. </w:t>
      </w:r>
      <w:r w:rsidRPr="008A29CF">
        <w:rPr>
          <w:rFonts w:ascii="Times New Roman" w:hAnsi="Times New Roman"/>
          <w:i/>
          <w:iCs/>
          <w:sz w:val="20"/>
          <w:szCs w:val="20"/>
          <w:shd w:val="clear" w:color="auto" w:fill="FFFFFF"/>
        </w:rPr>
        <w:t>Nutrition &amp; Metabolism</w:t>
      </w:r>
      <w:r w:rsidRPr="008A29CF">
        <w:rPr>
          <w:rFonts w:ascii="Times New Roman" w:hAnsi="Times New Roman"/>
          <w:sz w:val="20"/>
          <w:szCs w:val="20"/>
          <w:shd w:val="clear" w:color="auto" w:fill="FFFFFF"/>
        </w:rPr>
        <w:t>, 4(1): 1-12.</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rPr>
        <w:t xml:space="preserve">Bost, M., Houdart, S., Oberli, M., Kalonji, E., Huneau, J. and Margaritis, I. (2016). Dietary copper and human health: Current evidence and unresolved issues. </w:t>
      </w:r>
      <w:r w:rsidRPr="008A29CF">
        <w:rPr>
          <w:rFonts w:ascii="Times New Roman" w:hAnsi="Times New Roman"/>
          <w:i/>
          <w:iCs/>
          <w:sz w:val="20"/>
          <w:szCs w:val="20"/>
        </w:rPr>
        <w:t xml:space="preserve">Journal of Trace Elements in Medicine and Biology, </w:t>
      </w:r>
      <w:r w:rsidRPr="008A29CF">
        <w:rPr>
          <w:rFonts w:ascii="Times New Roman" w:hAnsi="Times New Roman"/>
          <w:sz w:val="20"/>
          <w:szCs w:val="20"/>
        </w:rPr>
        <w:t xml:space="preserve">35: 107-115.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Ghaffar, S. H. and Fan, M. (2013). Structural analysis for lignin characteristics in biomass straw.</w:t>
      </w:r>
      <w:r w:rsidRPr="008A29CF">
        <w:rPr>
          <w:rFonts w:ascii="Times New Roman" w:hAnsi="Times New Roman"/>
          <w:i/>
          <w:iCs/>
          <w:sz w:val="20"/>
          <w:szCs w:val="20"/>
          <w:shd w:val="clear" w:color="auto" w:fill="FFFFFF"/>
        </w:rPr>
        <w:t xml:space="preserve"> Biomass and Bioenergy, </w:t>
      </w:r>
      <w:r w:rsidRPr="008A29CF">
        <w:rPr>
          <w:rFonts w:ascii="Times New Roman" w:hAnsi="Times New Roman"/>
          <w:sz w:val="20"/>
          <w:szCs w:val="20"/>
          <w:shd w:val="clear" w:color="auto" w:fill="FFFFFF"/>
        </w:rPr>
        <w:t>57: 264-279.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Zhang, X., Gao, B., Fang, J., Zou, W., Dong, L. and Cao, C. (2019). Chemically activated hydrochar as an effective adsorbent for volatile organic compounds (VOCs). </w:t>
      </w:r>
      <w:r w:rsidRPr="008A29CF">
        <w:rPr>
          <w:rFonts w:ascii="Times New Roman" w:hAnsi="Times New Roman"/>
          <w:i/>
          <w:iCs/>
          <w:sz w:val="20"/>
          <w:szCs w:val="20"/>
          <w:shd w:val="clear" w:color="auto" w:fill="FFFFFF"/>
        </w:rPr>
        <w:t>Chemosphere</w:t>
      </w:r>
      <w:r w:rsidRPr="008A29CF">
        <w:rPr>
          <w:rFonts w:ascii="Times New Roman" w:hAnsi="Times New Roman"/>
          <w:sz w:val="20"/>
          <w:szCs w:val="20"/>
          <w:shd w:val="clear" w:color="auto" w:fill="FFFFFF"/>
        </w:rPr>
        <w:t xml:space="preserve">, 218: 680-686. </w:t>
      </w:r>
    </w:p>
    <w:p w:rsidR="003A594C" w:rsidRPr="008A29CF" w:rsidRDefault="003A594C" w:rsidP="003A594C">
      <w:pPr>
        <w:pStyle w:val="ListParagraph"/>
        <w:numPr>
          <w:ilvl w:val="0"/>
          <w:numId w:val="5"/>
        </w:numPr>
        <w:tabs>
          <w:tab w:val="left" w:pos="0"/>
        </w:tabs>
        <w:spacing w:after="0" w:line="240" w:lineRule="auto"/>
        <w:ind w:left="360"/>
        <w:contextualSpacing w:val="0"/>
        <w:jc w:val="both"/>
        <w:rPr>
          <w:rFonts w:ascii="Times New Roman" w:hAnsi="Times New Roman"/>
          <w:sz w:val="20"/>
          <w:szCs w:val="20"/>
          <w:shd w:val="clear" w:color="auto" w:fill="FFFFFF"/>
        </w:rPr>
      </w:pPr>
      <w:r w:rsidRPr="008A29CF">
        <w:rPr>
          <w:rFonts w:ascii="Times New Roman" w:hAnsi="Times New Roman"/>
          <w:sz w:val="20"/>
          <w:szCs w:val="20"/>
          <w:shd w:val="clear" w:color="auto" w:fill="FFFFFF"/>
        </w:rPr>
        <w:t>Plavniece, A., Zhurinsh, A., Dobele, G. and Locs, J. (2019). Chemically activated hydrochar flakes from birch wood. </w:t>
      </w:r>
      <w:r w:rsidRPr="008A29CF">
        <w:rPr>
          <w:rFonts w:ascii="Times New Roman" w:hAnsi="Times New Roman"/>
          <w:i/>
          <w:iCs/>
          <w:sz w:val="20"/>
          <w:szCs w:val="20"/>
          <w:shd w:val="clear" w:color="auto" w:fill="FFFFFF"/>
        </w:rPr>
        <w:t>Key Engineering Materials</w:t>
      </w:r>
      <w:r w:rsidRPr="008A29CF">
        <w:rPr>
          <w:rFonts w:ascii="Times New Roman" w:hAnsi="Times New Roman"/>
          <w:sz w:val="20"/>
          <w:szCs w:val="20"/>
          <w:shd w:val="clear" w:color="auto" w:fill="FFFFFF"/>
        </w:rPr>
        <w:t>, 800: 261-266.</w:t>
      </w:r>
    </w:p>
    <w:p w:rsidR="003A594C" w:rsidRPr="003A594C" w:rsidRDefault="003A594C" w:rsidP="003A594C">
      <w:pPr>
        <w:spacing w:after="0" w:line="240" w:lineRule="auto"/>
        <w:jc w:val="both"/>
        <w:rPr>
          <w:rFonts w:ascii="Times New Roman" w:hAnsi="Times New Roman" w:cs="Times New Roman"/>
          <w:sz w:val="20"/>
          <w:szCs w:val="20"/>
          <w:lang w:val="ms-MY"/>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sectPr w:rsidR="00095557"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3857AD3"/>
    <w:multiLevelType w:val="hybridMultilevel"/>
    <w:tmpl w:val="3FCA87EE"/>
    <w:lvl w:ilvl="0" w:tplc="23B2CF12">
      <w:start w:val="1"/>
      <w:numFmt w:val="decimal"/>
      <w:lvlText w:val="%1."/>
      <w:lvlJc w:val="left"/>
      <w:pPr>
        <w:ind w:left="8299" w:hanging="360"/>
      </w:pPr>
      <w:rPr>
        <w:rFonts w:hint="default"/>
        <w:i w:val="0"/>
        <w:iCs w:val="0"/>
        <w:color w:val="auto"/>
      </w:rPr>
    </w:lvl>
    <w:lvl w:ilvl="1" w:tplc="34090019" w:tentative="1">
      <w:start w:val="1"/>
      <w:numFmt w:val="lowerLetter"/>
      <w:lvlText w:val="%2."/>
      <w:lvlJc w:val="left"/>
      <w:pPr>
        <w:ind w:left="9019" w:hanging="360"/>
      </w:pPr>
    </w:lvl>
    <w:lvl w:ilvl="2" w:tplc="3409001B" w:tentative="1">
      <w:start w:val="1"/>
      <w:numFmt w:val="lowerRoman"/>
      <w:lvlText w:val="%3."/>
      <w:lvlJc w:val="right"/>
      <w:pPr>
        <w:ind w:left="9739" w:hanging="180"/>
      </w:pPr>
    </w:lvl>
    <w:lvl w:ilvl="3" w:tplc="3409000F" w:tentative="1">
      <w:start w:val="1"/>
      <w:numFmt w:val="decimal"/>
      <w:lvlText w:val="%4."/>
      <w:lvlJc w:val="left"/>
      <w:pPr>
        <w:ind w:left="10459" w:hanging="360"/>
      </w:pPr>
    </w:lvl>
    <w:lvl w:ilvl="4" w:tplc="34090019" w:tentative="1">
      <w:start w:val="1"/>
      <w:numFmt w:val="lowerLetter"/>
      <w:lvlText w:val="%5."/>
      <w:lvlJc w:val="left"/>
      <w:pPr>
        <w:ind w:left="11179" w:hanging="360"/>
      </w:pPr>
    </w:lvl>
    <w:lvl w:ilvl="5" w:tplc="3409001B" w:tentative="1">
      <w:start w:val="1"/>
      <w:numFmt w:val="lowerRoman"/>
      <w:lvlText w:val="%6."/>
      <w:lvlJc w:val="right"/>
      <w:pPr>
        <w:ind w:left="11899" w:hanging="180"/>
      </w:pPr>
    </w:lvl>
    <w:lvl w:ilvl="6" w:tplc="3409000F" w:tentative="1">
      <w:start w:val="1"/>
      <w:numFmt w:val="decimal"/>
      <w:lvlText w:val="%7."/>
      <w:lvlJc w:val="left"/>
      <w:pPr>
        <w:ind w:left="12619" w:hanging="360"/>
      </w:pPr>
    </w:lvl>
    <w:lvl w:ilvl="7" w:tplc="34090019" w:tentative="1">
      <w:start w:val="1"/>
      <w:numFmt w:val="lowerLetter"/>
      <w:lvlText w:val="%8."/>
      <w:lvlJc w:val="left"/>
      <w:pPr>
        <w:ind w:left="13339" w:hanging="360"/>
      </w:pPr>
    </w:lvl>
    <w:lvl w:ilvl="8" w:tplc="3409001B" w:tentative="1">
      <w:start w:val="1"/>
      <w:numFmt w:val="lowerRoman"/>
      <w:lvlText w:val="%9."/>
      <w:lvlJc w:val="right"/>
      <w:pPr>
        <w:ind w:left="14059"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A2FE3"/>
    <w:rsid w:val="002F626B"/>
    <w:rsid w:val="003A594C"/>
    <w:rsid w:val="0044292C"/>
    <w:rsid w:val="00487993"/>
    <w:rsid w:val="005F401D"/>
    <w:rsid w:val="007D0E7F"/>
    <w:rsid w:val="00832F59"/>
    <w:rsid w:val="00834CDE"/>
    <w:rsid w:val="00900BAC"/>
    <w:rsid w:val="00975E1A"/>
    <w:rsid w:val="00AC72D0"/>
    <w:rsid w:val="00C71438"/>
    <w:rsid w:val="00C72F3E"/>
    <w:rsid w:val="00C73A4A"/>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character" w:styleId="Hyperlink">
    <w:name w:val="Hyperlink"/>
    <w:basedOn w:val="DefaultParagraphFont"/>
    <w:uiPriority w:val="99"/>
    <w:unhideWhenUsed/>
    <w:qFormat/>
    <w:rsid w:val="003A59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character" w:styleId="Hyperlink">
    <w:name w:val="Hyperlink"/>
    <w:basedOn w:val="DefaultParagraphFont"/>
    <w:uiPriority w:val="99"/>
    <w:unhideWhenUsed/>
    <w:qFormat/>
    <w:rsid w:val="003A5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3</cp:revision>
  <dcterms:created xsi:type="dcterms:W3CDTF">2020-02-05T01:32:00Z</dcterms:created>
  <dcterms:modified xsi:type="dcterms:W3CDTF">2020-02-05T01:33:00Z</dcterms:modified>
</cp:coreProperties>
</file>