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1" w:rsidRDefault="00C80273" w:rsidP="00CD41CA">
      <w:pPr>
        <w:spacing w:after="0" w:line="240" w:lineRule="auto"/>
        <w:jc w:val="center"/>
        <w:rPr>
          <w:rFonts w:ascii="Times New Roman" w:hAnsi="Times New Roman"/>
          <w:b/>
          <w:noProof/>
          <w:color w:val="FFFFFF"/>
          <w:sz w:val="24"/>
          <w:szCs w:val="28"/>
          <w:lang w:bidi="ar-SA"/>
        </w:rPr>
      </w:pPr>
      <w:bookmarkStart w:id="0" w:name="_GoBack"/>
      <w:bookmarkEnd w:id="0"/>
      <w:r>
        <w:rPr>
          <w:rFonts w:ascii="Times New Roman" w:hAnsi="Times New Roman"/>
          <w:b/>
          <w:noProof/>
          <w:color w:val="FFFFFF" w:themeColor="background1"/>
          <w:sz w:val="32"/>
          <w:szCs w:val="32"/>
          <w:lang w:val="en-MY" w:eastAsia="en-MY" w:bidi="ar-SA"/>
        </w:rPr>
        <w:drawing>
          <wp:anchor distT="0" distB="0" distL="114300" distR="114300" simplePos="0" relativeHeight="251658240" behindDoc="0" locked="0" layoutInCell="1" allowOverlap="1" wp14:anchorId="6F683066" wp14:editId="0B159EA9">
            <wp:simplePos x="914400" y="114300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anchor>
        </w:drawing>
      </w:r>
      <w:r w:rsidR="00084936" w:rsidRPr="00016385">
        <w:rPr>
          <w:rFonts w:ascii="Times New Roman" w:hAnsi="Times New Roman"/>
          <w:b/>
          <w:noProof/>
          <w:color w:val="FFFFFF"/>
          <w:sz w:val="24"/>
          <w:szCs w:val="28"/>
          <w:lang w:bidi="ar-SA"/>
        </w:rPr>
        <w:t>S</w:t>
      </w:r>
    </w:p>
    <w:p w:rsidR="001F0F2F" w:rsidRPr="001F0F2F" w:rsidRDefault="001F0F2F" w:rsidP="001F0F2F">
      <w:pPr>
        <w:spacing w:after="0" w:line="240" w:lineRule="auto"/>
        <w:jc w:val="center"/>
        <w:outlineLvl w:val="0"/>
        <w:rPr>
          <w:rFonts w:ascii="Times New Roman" w:hAnsi="Times New Roman"/>
          <w:b/>
          <w:szCs w:val="20"/>
        </w:rPr>
      </w:pPr>
      <w:bookmarkStart w:id="1" w:name="_Hlk15063385"/>
      <w:r w:rsidRPr="001F0F2F">
        <w:rPr>
          <w:rFonts w:ascii="Times New Roman" w:hAnsi="Times New Roman"/>
          <w:sz w:val="28"/>
          <w:szCs w:val="28"/>
        </w:rPr>
        <w:t>CORROSION INHIBITION STUDY ON GLYCEROL AS SIMULTANEOUS GAS HYDRATE AND CORROSION INHIBITOR IN GAS PIPELINES</w:t>
      </w:r>
    </w:p>
    <w:bookmarkEnd w:id="1"/>
    <w:p w:rsidR="001F0F2F" w:rsidRPr="001F0F2F" w:rsidRDefault="001F0F2F" w:rsidP="001F0F2F">
      <w:pPr>
        <w:spacing w:after="0" w:line="240" w:lineRule="auto"/>
        <w:jc w:val="center"/>
        <w:outlineLvl w:val="0"/>
        <w:rPr>
          <w:rFonts w:ascii="Times New Roman" w:hAnsi="Times New Roman"/>
          <w:b/>
          <w:sz w:val="24"/>
        </w:rPr>
      </w:pPr>
    </w:p>
    <w:p w:rsidR="001F0F2F" w:rsidRPr="00311766" w:rsidRDefault="001F0F2F" w:rsidP="00311766">
      <w:pPr>
        <w:pStyle w:val="HTMLPreformatted"/>
        <w:jc w:val="center"/>
        <w:rPr>
          <w:rFonts w:ascii="Times New Roman" w:hAnsi="Times New Roman" w:cs="Times New Roman"/>
          <w:sz w:val="24"/>
          <w:szCs w:val="24"/>
          <w:lang w:val="ms-MY"/>
        </w:rPr>
      </w:pPr>
      <w:r w:rsidRPr="001F0F2F">
        <w:rPr>
          <w:rFonts w:ascii="Times New Roman" w:hAnsi="Times New Roman" w:cs="Times New Roman"/>
          <w:sz w:val="24"/>
          <w:szCs w:val="24"/>
          <w:lang w:val="ms-MY"/>
        </w:rPr>
        <w:t>(Kajian Perencatan Kakisan oleh Gliserol sebagai Perencat Serentak untuk</w:t>
      </w:r>
      <w:r w:rsidR="00311766">
        <w:rPr>
          <w:rFonts w:ascii="Times New Roman" w:hAnsi="Times New Roman" w:cs="Times New Roman"/>
          <w:sz w:val="24"/>
          <w:szCs w:val="24"/>
          <w:lang w:val="ms-MY"/>
        </w:rPr>
        <w:t xml:space="preserve"> </w:t>
      </w:r>
      <w:r w:rsidRPr="001F0F2F">
        <w:rPr>
          <w:rFonts w:ascii="Times New Roman" w:hAnsi="Times New Roman" w:cs="Times New Roman"/>
          <w:sz w:val="24"/>
          <w:szCs w:val="24"/>
          <w:lang w:val="ms-MY"/>
        </w:rPr>
        <w:t>Hidrat Gas dan Kakisan dalam Saluran Paip Gas)</w:t>
      </w:r>
    </w:p>
    <w:p w:rsidR="00311766" w:rsidRDefault="00311766" w:rsidP="001F0F2F">
      <w:pPr>
        <w:spacing w:after="0" w:line="240" w:lineRule="auto"/>
        <w:jc w:val="center"/>
        <w:rPr>
          <w:rFonts w:ascii="Times New Roman" w:hAnsi="Times New Roman"/>
          <w:sz w:val="20"/>
          <w:szCs w:val="20"/>
        </w:rPr>
      </w:pPr>
    </w:p>
    <w:p w:rsidR="001F0F2F" w:rsidRPr="00311766" w:rsidRDefault="001F0F2F" w:rsidP="001F0F2F">
      <w:pPr>
        <w:spacing w:after="0" w:line="240" w:lineRule="auto"/>
        <w:jc w:val="center"/>
        <w:rPr>
          <w:rFonts w:ascii="Times New Roman" w:hAnsi="Times New Roman"/>
          <w:sz w:val="20"/>
          <w:szCs w:val="20"/>
          <w:vertAlign w:val="superscript"/>
        </w:rPr>
      </w:pPr>
      <w:r w:rsidRPr="00311766">
        <w:rPr>
          <w:rFonts w:ascii="Times New Roman" w:hAnsi="Times New Roman"/>
          <w:sz w:val="20"/>
          <w:szCs w:val="20"/>
        </w:rPr>
        <w:t>Vinayagam Sivabalan</w:t>
      </w:r>
      <w:r w:rsidRPr="00311766">
        <w:rPr>
          <w:rFonts w:ascii="Times New Roman" w:hAnsi="Times New Roman"/>
          <w:sz w:val="20"/>
          <w:szCs w:val="20"/>
          <w:vertAlign w:val="superscript"/>
        </w:rPr>
        <w:t>1,2</w:t>
      </w:r>
      <w:r w:rsidRPr="00311766">
        <w:rPr>
          <w:rFonts w:ascii="Times New Roman" w:hAnsi="Times New Roman"/>
          <w:sz w:val="20"/>
          <w:szCs w:val="20"/>
        </w:rPr>
        <w:t>, Belkhir Walid</w:t>
      </w:r>
      <w:r w:rsidRPr="00311766">
        <w:rPr>
          <w:rFonts w:ascii="Times New Roman" w:hAnsi="Times New Roman"/>
          <w:sz w:val="20"/>
          <w:szCs w:val="20"/>
          <w:vertAlign w:val="superscript"/>
        </w:rPr>
        <w:t>1,3</w:t>
      </w:r>
      <w:r w:rsidRPr="00311766">
        <w:rPr>
          <w:rFonts w:ascii="Times New Roman" w:hAnsi="Times New Roman"/>
          <w:sz w:val="20"/>
          <w:szCs w:val="20"/>
        </w:rPr>
        <w:t>, Yoann Madec</w:t>
      </w:r>
      <w:r w:rsidRPr="00311766">
        <w:rPr>
          <w:rFonts w:ascii="Times New Roman" w:hAnsi="Times New Roman"/>
          <w:sz w:val="20"/>
          <w:szCs w:val="20"/>
          <w:vertAlign w:val="superscript"/>
        </w:rPr>
        <w:t>1,4</w:t>
      </w:r>
      <w:r w:rsidRPr="00311766">
        <w:rPr>
          <w:rFonts w:ascii="Times New Roman" w:hAnsi="Times New Roman"/>
          <w:sz w:val="20"/>
          <w:szCs w:val="20"/>
        </w:rPr>
        <w:t>, Ali Qasim</w:t>
      </w:r>
      <w:r w:rsidRPr="00311766">
        <w:rPr>
          <w:rFonts w:ascii="Times New Roman" w:hAnsi="Times New Roman"/>
          <w:sz w:val="20"/>
          <w:szCs w:val="20"/>
          <w:vertAlign w:val="superscript"/>
        </w:rPr>
        <w:t>1,2</w:t>
      </w:r>
      <w:r w:rsidR="008E471C">
        <w:rPr>
          <w:rFonts w:ascii="Times New Roman" w:hAnsi="Times New Roman"/>
          <w:sz w:val="20"/>
          <w:szCs w:val="20"/>
        </w:rPr>
        <w:t xml:space="preserve">, </w:t>
      </w:r>
      <w:r w:rsidRPr="00311766">
        <w:rPr>
          <w:rFonts w:ascii="Times New Roman" w:hAnsi="Times New Roman"/>
          <w:sz w:val="20"/>
          <w:szCs w:val="20"/>
        </w:rPr>
        <w:t>Bhajan Lal</w:t>
      </w:r>
      <w:r w:rsidRPr="00311766">
        <w:rPr>
          <w:rFonts w:ascii="Times New Roman" w:hAnsi="Times New Roman"/>
          <w:sz w:val="20"/>
          <w:szCs w:val="20"/>
          <w:vertAlign w:val="superscript"/>
        </w:rPr>
        <w:t>1,2</w:t>
      </w:r>
      <w:r w:rsidRPr="00311766">
        <w:rPr>
          <w:rFonts w:ascii="Times New Roman" w:hAnsi="Times New Roman"/>
          <w:sz w:val="20"/>
          <w:szCs w:val="20"/>
        </w:rPr>
        <w:t>*</w:t>
      </w:r>
    </w:p>
    <w:p w:rsidR="001F0F2F" w:rsidRPr="001F0F2F" w:rsidRDefault="001F0F2F" w:rsidP="001F0F2F">
      <w:pPr>
        <w:spacing w:after="0" w:line="240" w:lineRule="auto"/>
        <w:jc w:val="center"/>
        <w:outlineLvl w:val="0"/>
        <w:rPr>
          <w:rFonts w:ascii="Times New Roman" w:hAnsi="Times New Roman"/>
          <w:b/>
          <w:sz w:val="18"/>
          <w:szCs w:val="18"/>
        </w:rPr>
      </w:pPr>
    </w:p>
    <w:p w:rsidR="001F0F2F" w:rsidRPr="001F0F2F" w:rsidRDefault="001F0F2F" w:rsidP="001F0F2F">
      <w:pPr>
        <w:spacing w:after="0" w:line="240" w:lineRule="auto"/>
        <w:jc w:val="center"/>
        <w:rPr>
          <w:rFonts w:ascii="Times New Roman" w:hAnsi="Times New Roman"/>
          <w:i/>
          <w:iCs/>
          <w:sz w:val="18"/>
          <w:szCs w:val="18"/>
        </w:rPr>
      </w:pPr>
      <w:r w:rsidRPr="001F0F2F">
        <w:rPr>
          <w:rFonts w:ascii="Times New Roman" w:hAnsi="Times New Roman"/>
          <w:i/>
          <w:iCs/>
          <w:sz w:val="18"/>
          <w:szCs w:val="18"/>
          <w:vertAlign w:val="superscript"/>
        </w:rPr>
        <w:t>1</w:t>
      </w:r>
      <w:r w:rsidRPr="001F0F2F">
        <w:rPr>
          <w:rFonts w:ascii="Times New Roman" w:hAnsi="Times New Roman"/>
          <w:i/>
          <w:iCs/>
          <w:sz w:val="18"/>
          <w:szCs w:val="18"/>
        </w:rPr>
        <w:t>Chemical Engineering Department,</w:t>
      </w:r>
    </w:p>
    <w:p w:rsidR="001F0F2F" w:rsidRPr="001F0F2F" w:rsidRDefault="001F0F2F" w:rsidP="001F0F2F">
      <w:pPr>
        <w:spacing w:after="0" w:line="240" w:lineRule="auto"/>
        <w:jc w:val="center"/>
        <w:rPr>
          <w:rFonts w:ascii="Times New Roman" w:hAnsi="Times New Roman"/>
          <w:i/>
          <w:iCs/>
          <w:sz w:val="18"/>
          <w:szCs w:val="18"/>
        </w:rPr>
      </w:pPr>
      <w:r w:rsidRPr="001F0F2F">
        <w:rPr>
          <w:rFonts w:ascii="Times New Roman" w:hAnsi="Times New Roman"/>
          <w:i/>
          <w:iCs/>
          <w:sz w:val="18"/>
          <w:szCs w:val="18"/>
          <w:vertAlign w:val="superscript"/>
        </w:rPr>
        <w:t>2</w:t>
      </w:r>
      <w:r w:rsidRPr="001F0F2F">
        <w:rPr>
          <w:rFonts w:ascii="Times New Roman" w:hAnsi="Times New Roman"/>
          <w:i/>
          <w:iCs/>
          <w:sz w:val="18"/>
          <w:szCs w:val="18"/>
        </w:rPr>
        <w:t>CO</w:t>
      </w:r>
      <w:r w:rsidRPr="001F0F2F">
        <w:rPr>
          <w:rFonts w:ascii="Times New Roman" w:hAnsi="Times New Roman"/>
          <w:i/>
          <w:iCs/>
          <w:sz w:val="18"/>
          <w:szCs w:val="18"/>
          <w:vertAlign w:val="subscript"/>
        </w:rPr>
        <w:t>2</w:t>
      </w:r>
      <w:r w:rsidRPr="001F0F2F">
        <w:rPr>
          <w:rFonts w:ascii="Times New Roman" w:hAnsi="Times New Roman"/>
          <w:i/>
          <w:iCs/>
          <w:sz w:val="18"/>
          <w:szCs w:val="18"/>
        </w:rPr>
        <w:t xml:space="preserve"> Research Centre (CO</w:t>
      </w:r>
      <w:r w:rsidRPr="001F0F2F">
        <w:rPr>
          <w:rFonts w:ascii="Times New Roman" w:hAnsi="Times New Roman"/>
          <w:i/>
          <w:iCs/>
          <w:sz w:val="18"/>
          <w:szCs w:val="18"/>
          <w:vertAlign w:val="subscript"/>
        </w:rPr>
        <w:t>2</w:t>
      </w:r>
      <w:r w:rsidRPr="001F0F2F">
        <w:rPr>
          <w:rFonts w:ascii="Times New Roman" w:hAnsi="Times New Roman"/>
          <w:i/>
          <w:iCs/>
          <w:sz w:val="18"/>
          <w:szCs w:val="18"/>
        </w:rPr>
        <w:t>RES),</w:t>
      </w:r>
    </w:p>
    <w:p w:rsidR="001F0F2F" w:rsidRPr="001F0F2F" w:rsidRDefault="001F0F2F" w:rsidP="001F0F2F">
      <w:pPr>
        <w:spacing w:after="0" w:line="240" w:lineRule="auto"/>
        <w:jc w:val="center"/>
        <w:rPr>
          <w:rFonts w:ascii="Times New Roman" w:hAnsi="Times New Roman"/>
          <w:i/>
          <w:iCs/>
          <w:sz w:val="18"/>
          <w:szCs w:val="18"/>
        </w:rPr>
      </w:pPr>
      <w:r w:rsidRPr="001F0F2F">
        <w:rPr>
          <w:rFonts w:ascii="Times New Roman" w:hAnsi="Times New Roman"/>
          <w:i/>
          <w:iCs/>
          <w:sz w:val="18"/>
          <w:szCs w:val="18"/>
        </w:rPr>
        <w:t>Universiti Teknologi PETRONAS, Bandar Seri Iskandar, 32610, Perak, Malaysia</w:t>
      </w:r>
    </w:p>
    <w:p w:rsidR="001F0F2F" w:rsidRPr="001F0F2F" w:rsidRDefault="001F0F2F" w:rsidP="001F0F2F">
      <w:pPr>
        <w:spacing w:after="0" w:line="240" w:lineRule="auto"/>
        <w:jc w:val="center"/>
        <w:rPr>
          <w:rFonts w:ascii="Times New Roman" w:hAnsi="Times New Roman"/>
          <w:i/>
          <w:iCs/>
          <w:sz w:val="18"/>
          <w:szCs w:val="18"/>
        </w:rPr>
      </w:pPr>
      <w:r w:rsidRPr="001F0F2F">
        <w:rPr>
          <w:rFonts w:ascii="Times New Roman" w:hAnsi="Times New Roman"/>
          <w:i/>
          <w:iCs/>
          <w:sz w:val="18"/>
          <w:szCs w:val="18"/>
          <w:vertAlign w:val="superscript"/>
        </w:rPr>
        <w:t>3</w:t>
      </w:r>
      <w:r w:rsidRPr="001F0F2F">
        <w:rPr>
          <w:rFonts w:ascii="Times New Roman" w:hAnsi="Times New Roman"/>
          <w:i/>
          <w:iCs/>
          <w:sz w:val="18"/>
          <w:szCs w:val="18"/>
        </w:rPr>
        <w:t>Department of Science and Engineering of Materials,</w:t>
      </w:r>
    </w:p>
    <w:p w:rsidR="001F0F2F" w:rsidRPr="001F0F2F" w:rsidRDefault="001F0F2F" w:rsidP="001F0F2F">
      <w:pPr>
        <w:spacing w:after="0" w:line="240" w:lineRule="auto"/>
        <w:jc w:val="center"/>
        <w:rPr>
          <w:rFonts w:ascii="Times New Roman" w:hAnsi="Times New Roman"/>
          <w:i/>
          <w:iCs/>
          <w:sz w:val="18"/>
          <w:szCs w:val="18"/>
        </w:rPr>
      </w:pPr>
      <w:r w:rsidRPr="001F0F2F">
        <w:rPr>
          <w:rFonts w:ascii="Times New Roman" w:hAnsi="Times New Roman"/>
          <w:i/>
          <w:iCs/>
          <w:sz w:val="18"/>
          <w:szCs w:val="18"/>
        </w:rPr>
        <w:t>University Institute of Technology, 71100 Chalon-sur-Saône, France</w:t>
      </w:r>
    </w:p>
    <w:p w:rsidR="001F0F2F" w:rsidRPr="001F0F2F" w:rsidRDefault="001F0F2F" w:rsidP="001F0F2F">
      <w:pPr>
        <w:spacing w:after="0" w:line="240" w:lineRule="auto"/>
        <w:jc w:val="center"/>
        <w:rPr>
          <w:rFonts w:ascii="Times New Roman" w:hAnsi="Times New Roman"/>
          <w:i/>
          <w:iCs/>
          <w:sz w:val="18"/>
          <w:szCs w:val="18"/>
        </w:rPr>
      </w:pPr>
      <w:r w:rsidRPr="001F0F2F">
        <w:rPr>
          <w:rFonts w:ascii="Times New Roman" w:hAnsi="Times New Roman"/>
          <w:i/>
          <w:iCs/>
          <w:sz w:val="18"/>
          <w:szCs w:val="18"/>
          <w:vertAlign w:val="superscript"/>
        </w:rPr>
        <w:t>4</w:t>
      </w:r>
      <w:r w:rsidRPr="001F0F2F">
        <w:rPr>
          <w:rFonts w:ascii="Times New Roman" w:hAnsi="Times New Roman"/>
          <w:i/>
          <w:iCs/>
          <w:sz w:val="18"/>
          <w:szCs w:val="18"/>
        </w:rPr>
        <w:t>Department of Process Engineering,</w:t>
      </w:r>
    </w:p>
    <w:p w:rsidR="001F0F2F" w:rsidRPr="001F0F2F" w:rsidRDefault="001F0F2F" w:rsidP="001F0F2F">
      <w:pPr>
        <w:spacing w:after="0" w:line="240" w:lineRule="auto"/>
        <w:jc w:val="center"/>
        <w:rPr>
          <w:rFonts w:ascii="Times New Roman" w:hAnsi="Times New Roman"/>
          <w:i/>
          <w:iCs/>
          <w:sz w:val="18"/>
          <w:szCs w:val="18"/>
        </w:rPr>
      </w:pPr>
      <w:r w:rsidRPr="001F0F2F">
        <w:rPr>
          <w:rFonts w:ascii="Times New Roman" w:hAnsi="Times New Roman"/>
          <w:i/>
          <w:iCs/>
          <w:sz w:val="18"/>
          <w:szCs w:val="18"/>
        </w:rPr>
        <w:t>National Superior Engineering School of Industrial Technologies (ENGSTI), 64000 Pau, France</w:t>
      </w:r>
    </w:p>
    <w:p w:rsidR="001F0F2F" w:rsidRPr="001F0F2F" w:rsidRDefault="001F0F2F" w:rsidP="001F0F2F">
      <w:pPr>
        <w:spacing w:after="0" w:line="240" w:lineRule="auto"/>
        <w:jc w:val="center"/>
        <w:rPr>
          <w:rFonts w:ascii="Times New Roman" w:hAnsi="Times New Roman"/>
          <w:i/>
          <w:iCs/>
          <w:sz w:val="18"/>
          <w:szCs w:val="18"/>
          <w:u w:val="single"/>
        </w:rPr>
      </w:pPr>
    </w:p>
    <w:p w:rsidR="001F0F2F" w:rsidRPr="001F0F2F" w:rsidRDefault="001F0F2F" w:rsidP="001F0F2F">
      <w:pPr>
        <w:spacing w:after="0" w:line="240" w:lineRule="auto"/>
        <w:jc w:val="center"/>
        <w:outlineLvl w:val="0"/>
        <w:rPr>
          <w:rFonts w:ascii="Times New Roman" w:hAnsi="Times New Roman"/>
          <w:i/>
          <w:sz w:val="18"/>
        </w:rPr>
      </w:pPr>
      <w:r w:rsidRPr="00311766">
        <w:rPr>
          <w:rFonts w:ascii="Times New Roman" w:hAnsi="Times New Roman"/>
          <w:i/>
          <w:sz w:val="18"/>
        </w:rPr>
        <w:t>*</w:t>
      </w:r>
      <w:r w:rsidRPr="001F0F2F">
        <w:rPr>
          <w:rFonts w:ascii="Times New Roman" w:hAnsi="Times New Roman"/>
          <w:i/>
          <w:sz w:val="18"/>
        </w:rPr>
        <w:t xml:space="preserve">Corresponding author: </w:t>
      </w:r>
      <w:r w:rsidRPr="00311766">
        <w:rPr>
          <w:rStyle w:val="Hyperlink"/>
          <w:rFonts w:ascii="Times New Roman" w:hAnsi="Times New Roman"/>
          <w:i/>
          <w:iCs/>
          <w:color w:val="auto"/>
          <w:sz w:val="18"/>
          <w:szCs w:val="18"/>
          <w:u w:val="none"/>
        </w:rPr>
        <w:t>bhajan.lal@utp.edu.my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95966">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195966">
        <w:rPr>
          <w:rFonts w:ascii="Times New Roman" w:hAnsi="Times New Roman"/>
          <w:noProof/>
          <w:sz w:val="18"/>
          <w:szCs w:val="18"/>
          <w:lang w:bidi="ar-SA"/>
        </w:rPr>
        <w:t>23 January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11766" w:rsidRPr="00A832D6" w:rsidRDefault="00311766" w:rsidP="00311766">
      <w:pPr>
        <w:spacing w:after="0" w:line="240" w:lineRule="auto"/>
        <w:jc w:val="both"/>
      </w:pPr>
      <w:r w:rsidRPr="00A832D6">
        <w:rPr>
          <w:rFonts w:ascii="Times New Roman" w:hAnsi="Times New Roman"/>
          <w:sz w:val="18"/>
          <w:szCs w:val="16"/>
        </w:rPr>
        <w:t>Gas hydrate inhibitors (GHI) and Corrosion Inhibitors (CI)</w:t>
      </w:r>
      <w:r w:rsidRPr="00A832D6">
        <w:rPr>
          <w:rFonts w:ascii="Times New Roman" w:hAnsi="Times New Roman"/>
          <w:sz w:val="16"/>
          <w:szCs w:val="16"/>
        </w:rPr>
        <w:t xml:space="preserve"> </w:t>
      </w:r>
      <w:r w:rsidRPr="00A832D6">
        <w:rPr>
          <w:rFonts w:ascii="Times New Roman" w:hAnsi="Times New Roman"/>
          <w:sz w:val="18"/>
          <w:szCs w:val="16"/>
        </w:rPr>
        <w:t>often tend to display antagonistic behaviour in flow assurance of oil and gas. Compatible GHI and CI that have no</w:t>
      </w:r>
      <w:r w:rsidRPr="00A832D6">
        <w:rPr>
          <w:rFonts w:ascii="Times New Roman" w:hAnsi="Times New Roman"/>
          <w:sz w:val="16"/>
          <w:szCs w:val="16"/>
        </w:rPr>
        <w:t xml:space="preserve"> </w:t>
      </w:r>
      <w:r w:rsidRPr="00A832D6">
        <w:rPr>
          <w:rFonts w:ascii="Times New Roman" w:hAnsi="Times New Roman"/>
          <w:sz w:val="18"/>
          <w:szCs w:val="16"/>
        </w:rPr>
        <w:t>compromises are still under research and development. Latest researches are being done on multifunctional gas hydrate and corrosion inhibitor (GHCl). Glycerol has been tested for its</w:t>
      </w:r>
      <w:r w:rsidRPr="00A832D6">
        <w:rPr>
          <w:rFonts w:ascii="Times New Roman" w:hAnsi="Times New Roman"/>
          <w:sz w:val="16"/>
          <w:szCs w:val="16"/>
        </w:rPr>
        <w:t xml:space="preserve"> </w:t>
      </w:r>
      <w:r w:rsidRPr="00A832D6">
        <w:rPr>
          <w:rFonts w:ascii="Times New Roman" w:hAnsi="Times New Roman"/>
          <w:sz w:val="18"/>
          <w:szCs w:val="16"/>
        </w:rPr>
        <w:t>inhibition performance for both hydrate and corrosion in various distinguished experiments.</w:t>
      </w:r>
      <w:r w:rsidRPr="00A832D6">
        <w:rPr>
          <w:rFonts w:ascii="Times New Roman" w:hAnsi="Times New Roman"/>
          <w:sz w:val="16"/>
          <w:szCs w:val="16"/>
        </w:rPr>
        <w:t xml:space="preserve"> </w:t>
      </w:r>
      <w:r w:rsidRPr="00A832D6">
        <w:rPr>
          <w:rFonts w:ascii="Times New Roman" w:hAnsi="Times New Roman"/>
          <w:sz w:val="18"/>
          <w:szCs w:val="16"/>
        </w:rPr>
        <w:t>However, glycerol's corrosion inhibition on X52 mild steel in seawater environment has</w:t>
      </w:r>
      <w:r w:rsidRPr="00A832D6">
        <w:rPr>
          <w:rFonts w:ascii="Times New Roman" w:hAnsi="Times New Roman"/>
          <w:sz w:val="16"/>
          <w:szCs w:val="16"/>
        </w:rPr>
        <w:t xml:space="preserve"> </w:t>
      </w:r>
      <w:r w:rsidRPr="00A832D6">
        <w:rPr>
          <w:rFonts w:ascii="Times New Roman" w:hAnsi="Times New Roman"/>
          <w:sz w:val="18"/>
          <w:szCs w:val="16"/>
        </w:rPr>
        <w:t>never been tested. In this work, the corrosion inhibitor property of glycerol on X52 mild steel in</w:t>
      </w:r>
      <w:r w:rsidRPr="00A832D6">
        <w:rPr>
          <w:rFonts w:ascii="Times New Roman" w:hAnsi="Times New Roman"/>
          <w:sz w:val="16"/>
          <w:szCs w:val="16"/>
        </w:rPr>
        <w:t xml:space="preserve"> </w:t>
      </w:r>
      <w:r w:rsidRPr="00A832D6">
        <w:rPr>
          <w:rFonts w:ascii="Times New Roman" w:hAnsi="Times New Roman"/>
          <w:sz w:val="18"/>
          <w:szCs w:val="16"/>
        </w:rPr>
        <w:t>3.5wt</w:t>
      </w:r>
      <w:r>
        <w:rPr>
          <w:rFonts w:ascii="Times New Roman" w:hAnsi="Times New Roman"/>
          <w:sz w:val="18"/>
          <w:szCs w:val="16"/>
        </w:rPr>
        <w:t>.</w:t>
      </w:r>
      <w:r w:rsidRPr="00A832D6">
        <w:rPr>
          <w:rFonts w:ascii="Times New Roman" w:hAnsi="Times New Roman"/>
          <w:sz w:val="18"/>
          <w:szCs w:val="16"/>
        </w:rPr>
        <w:t>% NaCl brine solution is investigated. The concentrations of glycerol used are 400, 600, 800, 1000, 5000, and</w:t>
      </w:r>
      <w:r w:rsidRPr="00A832D6">
        <w:rPr>
          <w:rFonts w:ascii="Times New Roman" w:hAnsi="Times New Roman"/>
          <w:sz w:val="16"/>
          <w:szCs w:val="16"/>
        </w:rPr>
        <w:t xml:space="preserve"> </w:t>
      </w:r>
      <w:r w:rsidRPr="00A832D6">
        <w:rPr>
          <w:rFonts w:ascii="Times New Roman" w:hAnsi="Times New Roman"/>
          <w:sz w:val="18"/>
          <w:szCs w:val="16"/>
        </w:rPr>
        <w:t>10000</w:t>
      </w:r>
      <w:r>
        <w:rPr>
          <w:rFonts w:ascii="Times New Roman" w:hAnsi="Times New Roman"/>
          <w:sz w:val="18"/>
          <w:szCs w:val="16"/>
        </w:rPr>
        <w:t xml:space="preserve"> </w:t>
      </w:r>
      <w:r w:rsidRPr="00A832D6">
        <w:rPr>
          <w:rFonts w:ascii="Times New Roman" w:hAnsi="Times New Roman"/>
          <w:sz w:val="18"/>
          <w:szCs w:val="16"/>
        </w:rPr>
        <w:t>ppm. The pH and conductivity of glycerol have been measured and the</w:t>
      </w:r>
      <w:r w:rsidRPr="00A832D6">
        <w:rPr>
          <w:rFonts w:ascii="Times New Roman" w:hAnsi="Times New Roman"/>
          <w:sz w:val="16"/>
          <w:szCs w:val="16"/>
        </w:rPr>
        <w:t xml:space="preserve"> </w:t>
      </w:r>
      <w:r w:rsidRPr="00A832D6">
        <w:rPr>
          <w:rFonts w:ascii="Times New Roman" w:hAnsi="Times New Roman"/>
          <w:sz w:val="18"/>
          <w:szCs w:val="16"/>
        </w:rPr>
        <w:t>relationship between pH, conductivity and corrosion has been thoroughly discussed. The</w:t>
      </w:r>
      <w:r w:rsidRPr="00A832D6">
        <w:rPr>
          <w:rFonts w:ascii="Times New Roman" w:hAnsi="Times New Roman"/>
          <w:sz w:val="16"/>
          <w:szCs w:val="16"/>
        </w:rPr>
        <w:t xml:space="preserve"> </w:t>
      </w:r>
      <w:r w:rsidRPr="00A832D6">
        <w:rPr>
          <w:rFonts w:ascii="Times New Roman" w:hAnsi="Times New Roman"/>
          <w:sz w:val="18"/>
          <w:szCs w:val="16"/>
        </w:rPr>
        <w:t>performance of glycerol has been studied further based on adsorption isotherms such</w:t>
      </w:r>
      <w:r w:rsidRPr="00A832D6">
        <w:rPr>
          <w:rFonts w:ascii="Times New Roman" w:hAnsi="Times New Roman"/>
          <w:sz w:val="16"/>
          <w:szCs w:val="16"/>
        </w:rPr>
        <w:t xml:space="preserve"> </w:t>
      </w:r>
      <w:r w:rsidRPr="00A832D6">
        <w:rPr>
          <w:rFonts w:ascii="Times New Roman" w:hAnsi="Times New Roman"/>
          <w:sz w:val="18"/>
          <w:szCs w:val="16"/>
        </w:rPr>
        <w:t>as Langmuir, Frumkin, Temkin and Freundlich isotherm. The Temkin isotherm shows the best fit for</w:t>
      </w:r>
      <w:r w:rsidRPr="00A832D6">
        <w:rPr>
          <w:rFonts w:ascii="Times New Roman" w:hAnsi="Times New Roman"/>
          <w:sz w:val="16"/>
          <w:szCs w:val="16"/>
        </w:rPr>
        <w:t xml:space="preserve"> </w:t>
      </w:r>
      <w:r w:rsidRPr="00A832D6">
        <w:rPr>
          <w:rFonts w:ascii="Times New Roman" w:hAnsi="Times New Roman"/>
          <w:sz w:val="18"/>
          <w:szCs w:val="16"/>
        </w:rPr>
        <w:t xml:space="preserve">adsorption isotherm </w:t>
      </w:r>
      <w:r w:rsidRPr="00A832D6">
        <w:rPr>
          <w:rFonts w:ascii="Times New Roman" w:hAnsi="Times New Roman"/>
          <w:sz w:val="18"/>
          <w:szCs w:val="18"/>
        </w:rPr>
        <w:t>with R</w:t>
      </w:r>
      <w:r w:rsidRPr="00A832D6">
        <w:rPr>
          <w:rFonts w:ascii="Times New Roman" w:hAnsi="Times New Roman"/>
          <w:sz w:val="18"/>
          <w:szCs w:val="18"/>
          <w:vertAlign w:val="superscript"/>
        </w:rPr>
        <w:t>2</w:t>
      </w:r>
      <w:r w:rsidRPr="00A832D6">
        <w:rPr>
          <w:rFonts w:ascii="Times New Roman" w:hAnsi="Times New Roman"/>
          <w:sz w:val="18"/>
          <w:szCs w:val="18"/>
        </w:rPr>
        <w:t xml:space="preserve"> of 0.97.</w:t>
      </w:r>
    </w:p>
    <w:p w:rsidR="00311766" w:rsidRPr="00A832D6" w:rsidRDefault="00311766" w:rsidP="00311766">
      <w:pPr>
        <w:spacing w:after="0" w:line="240" w:lineRule="auto"/>
        <w:jc w:val="both"/>
        <w:outlineLvl w:val="0"/>
        <w:rPr>
          <w:rFonts w:ascii="Times New Roman" w:hAnsi="Times New Roman"/>
          <w:sz w:val="18"/>
          <w:szCs w:val="18"/>
        </w:rPr>
      </w:pPr>
    </w:p>
    <w:p w:rsidR="00311766" w:rsidRPr="00A832D6" w:rsidRDefault="00311766" w:rsidP="00311766">
      <w:pPr>
        <w:spacing w:after="0" w:line="240" w:lineRule="auto"/>
        <w:jc w:val="both"/>
        <w:outlineLvl w:val="0"/>
        <w:rPr>
          <w:rFonts w:ascii="Times New Roman" w:hAnsi="Times New Roman"/>
        </w:rPr>
      </w:pPr>
      <w:r w:rsidRPr="00A832D6">
        <w:rPr>
          <w:rFonts w:ascii="Times New Roman" w:hAnsi="Times New Roman"/>
          <w:b/>
          <w:sz w:val="18"/>
          <w:szCs w:val="18"/>
        </w:rPr>
        <w:t>Keywords</w:t>
      </w:r>
      <w:r w:rsidRPr="00A832D6">
        <w:rPr>
          <w:rFonts w:ascii="Times New Roman" w:hAnsi="Times New Roman"/>
          <w:sz w:val="18"/>
          <w:szCs w:val="18"/>
        </w:rPr>
        <w:t>:</w:t>
      </w:r>
      <w:r>
        <w:rPr>
          <w:rFonts w:ascii="Times New Roman" w:hAnsi="Times New Roman"/>
          <w:sz w:val="18"/>
          <w:szCs w:val="18"/>
        </w:rPr>
        <w:t xml:space="preserve"> </w:t>
      </w:r>
      <w:r w:rsidRPr="00A832D6">
        <w:rPr>
          <w:rFonts w:ascii="Times New Roman" w:hAnsi="Times New Roman"/>
          <w:sz w:val="18"/>
          <w:szCs w:val="18"/>
        </w:rPr>
        <w:t xml:space="preserve"> hydrate, corrosion, pH, conductivity, adsorption</w:t>
      </w:r>
    </w:p>
    <w:p w:rsidR="00311766" w:rsidRPr="00A832D6" w:rsidRDefault="00311766" w:rsidP="00311766">
      <w:pPr>
        <w:spacing w:after="0" w:line="240" w:lineRule="auto"/>
        <w:jc w:val="center"/>
        <w:outlineLvl w:val="0"/>
        <w:rPr>
          <w:rFonts w:ascii="Times New Roman" w:hAnsi="Times New Roman"/>
          <w:b/>
          <w:sz w:val="18"/>
          <w:szCs w:val="18"/>
        </w:rPr>
      </w:pPr>
    </w:p>
    <w:p w:rsidR="00311766" w:rsidRPr="00A832D6" w:rsidRDefault="00311766" w:rsidP="00311766">
      <w:pPr>
        <w:spacing w:after="0" w:line="240" w:lineRule="auto"/>
        <w:jc w:val="center"/>
        <w:outlineLvl w:val="0"/>
        <w:rPr>
          <w:rFonts w:ascii="Times New Roman" w:hAnsi="Times New Roman"/>
          <w:b/>
          <w:sz w:val="18"/>
          <w:szCs w:val="18"/>
          <w:lang w:val="ms-MY"/>
        </w:rPr>
      </w:pPr>
      <w:r w:rsidRPr="00A832D6">
        <w:rPr>
          <w:rFonts w:ascii="Times New Roman" w:hAnsi="Times New Roman"/>
          <w:b/>
          <w:sz w:val="18"/>
          <w:szCs w:val="18"/>
          <w:lang w:val="ms-MY"/>
        </w:rPr>
        <w:t>Abstrak</w:t>
      </w:r>
    </w:p>
    <w:p w:rsidR="00311766" w:rsidRPr="00A832D6" w:rsidRDefault="00311766" w:rsidP="00311766">
      <w:pPr>
        <w:pStyle w:val="HTMLPreformatted"/>
        <w:shd w:val="clear" w:color="auto" w:fill="F8F9FA"/>
        <w:jc w:val="both"/>
        <w:rPr>
          <w:rFonts w:eastAsia="SimSun"/>
          <w:sz w:val="18"/>
          <w:szCs w:val="18"/>
          <w:lang w:val="ms-MY"/>
        </w:rPr>
      </w:pPr>
      <w:r w:rsidRPr="00A832D6">
        <w:rPr>
          <w:rFonts w:ascii="Times New Roman" w:eastAsia="SimSun" w:hAnsi="Times New Roman" w:cs="Times New Roman"/>
          <w:kern w:val="2"/>
          <w:sz w:val="18"/>
          <w:szCs w:val="18"/>
          <w:lang w:val="ms-MY" w:eastAsia="ko-KR" w:bidi="ar-SA"/>
        </w:rPr>
        <w:t>Perencat hidrat gas (GHI) dan perencat kakisan (CI) sering menunjukkan kecenderungan antagonistik dalam penjaminan aliran minyak dan gas.</w:t>
      </w:r>
      <w:r>
        <w:rPr>
          <w:rFonts w:ascii="Times New Roman" w:eastAsia="SimSun" w:hAnsi="Times New Roman" w:cs="Times New Roman"/>
          <w:kern w:val="2"/>
          <w:sz w:val="18"/>
          <w:szCs w:val="18"/>
          <w:lang w:val="ms-MY" w:eastAsia="ko-KR" w:bidi="ar-SA"/>
        </w:rPr>
        <w:t xml:space="preserve"> </w:t>
      </w:r>
      <w:r w:rsidRPr="00A832D6">
        <w:rPr>
          <w:rFonts w:ascii="Times New Roman" w:eastAsia="SimSun" w:hAnsi="Times New Roman" w:cs="Times New Roman"/>
          <w:kern w:val="2"/>
          <w:sz w:val="18"/>
          <w:szCs w:val="18"/>
          <w:lang w:val="ms-MY" w:eastAsia="ko-KR" w:bidi="ar-SA"/>
        </w:rPr>
        <w:t>GHI dan CI yang tidak mempunyai kompromi ialah masih dalam penyelidikan dan pembangunan. Penyelidikan terkini dilakukan pada perencat multifungsi (GHCl) yang boleh merencat hidrat dan kakisan. Gliserol telah diuji untuk prestasi perencatannya untuk hidrat dan kakisan dalam pelbagai eksperimen yang berbeza. Bagaimanapun, perencatan kakisan gliserol pada keluli lembut X52 dalam persekitaran air laut tidak pernah diuji. Dalam penyiasatan ini, sifat perencat kakisan gliserol pada keluli lembut X52 dalam larutan garam NaCl 3.5wt</w:t>
      </w:r>
      <w:r>
        <w:rPr>
          <w:rFonts w:ascii="Times New Roman" w:eastAsia="SimSun" w:hAnsi="Times New Roman" w:cs="Times New Roman"/>
          <w:kern w:val="2"/>
          <w:sz w:val="18"/>
          <w:szCs w:val="18"/>
          <w:lang w:val="ms-MY" w:eastAsia="ko-KR" w:bidi="ar-SA"/>
        </w:rPr>
        <w:t>.</w:t>
      </w:r>
      <w:r w:rsidRPr="00A832D6">
        <w:rPr>
          <w:rFonts w:ascii="Times New Roman" w:eastAsia="SimSun" w:hAnsi="Times New Roman" w:cs="Times New Roman"/>
          <w:kern w:val="2"/>
          <w:sz w:val="18"/>
          <w:szCs w:val="18"/>
          <w:lang w:val="ms-MY" w:eastAsia="ko-KR" w:bidi="ar-SA"/>
        </w:rPr>
        <w:t>% disiasat. Kepekatan gliserol yang digunakan ialah 400, 600, 800, 1000, 5000, dan 10000</w:t>
      </w:r>
      <w:r>
        <w:rPr>
          <w:rFonts w:ascii="Times New Roman" w:eastAsia="SimSun" w:hAnsi="Times New Roman" w:cs="Times New Roman"/>
          <w:kern w:val="2"/>
          <w:sz w:val="18"/>
          <w:szCs w:val="18"/>
          <w:lang w:val="ms-MY" w:eastAsia="ko-KR" w:bidi="ar-SA"/>
        </w:rPr>
        <w:t xml:space="preserve"> </w:t>
      </w:r>
      <w:r w:rsidRPr="00A832D6">
        <w:rPr>
          <w:rFonts w:ascii="Times New Roman" w:eastAsia="SimSun" w:hAnsi="Times New Roman" w:cs="Times New Roman"/>
          <w:kern w:val="2"/>
          <w:sz w:val="18"/>
          <w:szCs w:val="18"/>
          <w:lang w:val="ms-MY" w:eastAsia="ko-KR" w:bidi="ar-SA"/>
        </w:rPr>
        <w:t>ppm. Nilai pH dan konduktiviti gliserol telah diukur dan hubungan antara pH, konduktiviti dan kakisan telah dibincangkan dengan teliti. Prestasi gliserol telah dikaji lebih lanjut berdasarkan model isoterma penjerapan seperti model Langmuir, Frumkin, Temkin dan Freundlich. Model Temkin didapati paling sesuai untuk isoterma penjerapan dengan R</w:t>
      </w:r>
      <w:r w:rsidRPr="00A832D6">
        <w:rPr>
          <w:rFonts w:ascii="Times New Roman" w:eastAsia="SimSun" w:hAnsi="Times New Roman" w:cs="Times New Roman"/>
          <w:kern w:val="2"/>
          <w:sz w:val="18"/>
          <w:szCs w:val="18"/>
          <w:vertAlign w:val="superscript"/>
          <w:lang w:val="ms-MY" w:eastAsia="ko-KR" w:bidi="ar-SA"/>
        </w:rPr>
        <w:t>2</w:t>
      </w:r>
      <w:r w:rsidRPr="00A832D6">
        <w:rPr>
          <w:rFonts w:ascii="Times New Roman" w:eastAsia="SimSun" w:hAnsi="Times New Roman" w:cs="Times New Roman"/>
          <w:kern w:val="2"/>
          <w:sz w:val="18"/>
          <w:szCs w:val="18"/>
          <w:lang w:val="ms-MY" w:eastAsia="ko-KR" w:bidi="ar-SA"/>
        </w:rPr>
        <w:t>, 0.97.</w:t>
      </w:r>
    </w:p>
    <w:p w:rsidR="00311766" w:rsidRPr="00A832D6" w:rsidRDefault="00311766" w:rsidP="00311766">
      <w:pPr>
        <w:spacing w:after="0" w:line="240" w:lineRule="auto"/>
        <w:jc w:val="both"/>
        <w:outlineLvl w:val="0"/>
        <w:rPr>
          <w:rFonts w:ascii="Times New Roman" w:hAnsi="Times New Roman"/>
          <w:sz w:val="18"/>
          <w:szCs w:val="18"/>
          <w:lang w:val="ms-MY"/>
        </w:rPr>
      </w:pPr>
    </w:p>
    <w:p w:rsidR="006768E9" w:rsidRDefault="00311766" w:rsidP="00311766">
      <w:pPr>
        <w:spacing w:after="0" w:line="240" w:lineRule="auto"/>
        <w:jc w:val="both"/>
        <w:rPr>
          <w:rFonts w:ascii="Times New Roman" w:hAnsi="Times New Roman"/>
          <w:noProof/>
          <w:sz w:val="20"/>
          <w:szCs w:val="20"/>
          <w:lang w:bidi="ar-SA"/>
        </w:rPr>
      </w:pPr>
      <w:r w:rsidRPr="00A832D6">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A832D6">
        <w:rPr>
          <w:rFonts w:ascii="Times New Roman" w:hAnsi="Times New Roman"/>
          <w:bCs/>
          <w:sz w:val="18"/>
          <w:szCs w:val="18"/>
          <w:lang w:val="ms-MY"/>
        </w:rPr>
        <w:t>hidrat, kakisan, pH, konduktiviti, penjerapan</w:t>
      </w:r>
    </w:p>
    <w:p w:rsidR="00494C46" w:rsidRDefault="00494C46" w:rsidP="00F447A7">
      <w:pPr>
        <w:spacing w:after="0" w:line="240" w:lineRule="auto"/>
        <w:jc w:val="center"/>
        <w:rPr>
          <w:rFonts w:ascii="Times New Roman" w:hAnsi="Times New Roman"/>
          <w:noProof/>
          <w:sz w:val="20"/>
          <w:szCs w:val="20"/>
          <w:lang w:bidi="ar-SA"/>
        </w:rPr>
      </w:pPr>
    </w:p>
    <w:p w:rsidR="00311766" w:rsidRDefault="00311766" w:rsidP="00F447A7">
      <w:pPr>
        <w:spacing w:after="0" w:line="240" w:lineRule="auto"/>
        <w:jc w:val="center"/>
        <w:rPr>
          <w:rFonts w:ascii="Times New Roman" w:hAnsi="Times New Roman"/>
          <w:noProof/>
          <w:sz w:val="20"/>
          <w:szCs w:val="20"/>
          <w:lang w:bidi="ar-SA"/>
        </w:rPr>
      </w:pPr>
    </w:p>
    <w:p w:rsidR="00311766" w:rsidRPr="00BE7C30" w:rsidRDefault="0031176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311766" w:rsidRPr="00311766" w:rsidRDefault="00311766" w:rsidP="00311766">
      <w:pPr>
        <w:pStyle w:val="BodyText"/>
        <w:jc w:val="both"/>
        <w:rPr>
          <w:sz w:val="20"/>
          <w:lang w:val="en-US"/>
        </w:rPr>
      </w:pPr>
      <w:r w:rsidRPr="00311766">
        <w:rPr>
          <w:sz w:val="20"/>
          <w:lang w:val="en-US"/>
        </w:rPr>
        <w:t xml:space="preserve">In the oil and gas industry, the term ‘flow assurance’ refers to the provision of the safe and economical delivery of hydrocarbon stream from the reservoir to the selling point through process facilities </w:t>
      </w:r>
      <w:r w:rsidRPr="00311766">
        <w:rPr>
          <w:sz w:val="20"/>
          <w:lang w:val="en-US"/>
        </w:rPr>
        <w:fldChar w:fldCharType="begin" w:fldLock="1"/>
      </w:r>
      <w:r w:rsidRPr="00311766">
        <w:rPr>
          <w:sz w:val="20"/>
          <w:lang w:val="en-US"/>
        </w:rPr>
        <w:instrText>ADDIN CSL_CITATION {"citationItems":[{"id":"ITEM-1","itemData":{"DOI":"10.1016/C2009-0-62311-4","ISBN":"9781856179454","author":[{"dropping-particle":"","family":"Sloan, Dendy; Koh, Carolyn; K.Sum, Amadeu; L.Ballard, Adam; Creek, Jefferson; Eaton, Michael; Lachance, Jason; cMullen, Norm; Palermo, Thierry; Shoup, George; Talley","given":"Larry","non-dropping-particle":"","parse-names":false,"suffix":""},{"dropping-particle":"","family":"Sloan","given":"D.","non-dropping-particle":"","parse-names":false,"suffix":""},{"dropping-particle":"","family":"Koh","given":"C.","non-dropping-particle":"","parse-names":false,"suffix":""},{"dropping-particle":"","family":"Sum","given":"A.","non-dropping-particle":"","parse-names":false,"suffix":""},{"dropping-particle":"","family":"Windows","given":"Microsoft","non-dropping-particle":"","parse-names":false,"suffix":""},{"dropping-particle":"","family":"Corporation","given":"Microsoft","non-dropping-particle":"","parse-names":false,"suffix":""},{"dropping-particle":"","family":"Hori","given":"Kazunari","non-dropping-particle":"","parse-names":false,"suffix":""},{"dropping-particle":"","family":"Sakajiri","given":"Akihiro","non-dropping-particle":"","parse-names":false,"suffix":""}],"container-title":"Elsevier","id":"ITEM-1","issued":{"date-parts":[["2011"]]},"publisher":"Elsevier","title":"Natural Gas Hydrates in Flow Assurance","type":"book"},"uris":["http://www.mendeley.com/documents/?uuid=c4c3f683-9a05-4613-98dd-57cf2be1aab2"]}],"mendeley":{"formattedCitation":"[1]","plainTextFormattedCitation":"[1]","previouslyFormattedCitation":"(Sloan, Dendy; Koh, Carolyn; K.Sum, Amadeu; L.Ballard, Adam; Creek, Jefferson; Eaton, Michael; Lachance, Jason; cMullen, Norm; Palermo, Thierry; Shoup, George; Talley et al., 2011)"},"properties":{"noteIndex":0},"schema":"https://github.com/citation-style-language/schema/raw/master/csl-citation.json"}</w:instrText>
      </w:r>
      <w:r w:rsidRPr="00311766">
        <w:rPr>
          <w:sz w:val="20"/>
          <w:lang w:val="en-US"/>
        </w:rPr>
        <w:fldChar w:fldCharType="separate"/>
      </w:r>
      <w:r w:rsidRPr="00311766">
        <w:rPr>
          <w:noProof/>
          <w:sz w:val="20"/>
          <w:lang w:val="en-US"/>
        </w:rPr>
        <w:t>[1]</w:t>
      </w:r>
      <w:r w:rsidRPr="00311766">
        <w:rPr>
          <w:sz w:val="20"/>
          <w:lang w:val="en-US"/>
        </w:rPr>
        <w:fldChar w:fldCharType="end"/>
      </w:r>
      <w:r w:rsidRPr="00311766">
        <w:rPr>
          <w:sz w:val="20"/>
          <w:lang w:val="en-US"/>
        </w:rPr>
        <w:t xml:space="preserve">. Flow assurance issues mainly involve the formation of hydrates, corrosion, asphaltenes, slugging, and emulsions </w:t>
      </w:r>
      <w:r w:rsidRPr="00311766">
        <w:rPr>
          <w:sz w:val="20"/>
          <w:lang w:val="en-US"/>
        </w:rPr>
        <w:fldChar w:fldCharType="begin" w:fldLock="1"/>
      </w:r>
      <w:r w:rsidRPr="00311766">
        <w:rPr>
          <w:sz w:val="20"/>
          <w:lang w:val="en-US"/>
        </w:rPr>
        <w:instrText>ADDIN CSL_CITATION {"citationItems":[{"id":"ITEM-1","itemData":{"abstract":"Increasing hydrocarbon production from the conventional and unconventional reservoirs in the cold environments has led oil companies to face a critical operational challenge of one or more of the fluid flow assurance issues during production and transportation of pipelines. Challenging flow assurance and field development issues affect both well completion design and production operation strategies. Flow assurance issues such as hydrates, wax deposition are one of the important areas being studied today due to the high cost of deepwater exploration and production. The focus of flow assurance analysis and design has often been from flowline entry to the initial separator at the production facility. This manuscript illustrates the flow assurance issues that affect the flow of hydrocarbon stream transport from the reservoir to the point of sale, on the onshore and offshore oil fields located in cold environments. Also, presents the mitigation methods used for each issue of the fluid flow assurance issues. These issues are hydrates, waxing, asphaltenes, slugging, naphthenates, scales, corrosion, erosion and emulsions. The chemical strategy and selecting the optimal injection points are the best way to prevent deposit build up and to avoid any future criticalities; and allow re-establishing the desired production flow rate. This manuscript reviewed the fluid flow assurance issues and it was found that managing these issues is the best solution to prevent the causes of the loss of production.","author":[{"dropping-particle":"","family":"Theyab","given":"Muhammad Ali","non-dropping-particle":"","parse-names":false,"suffix":""}],"container-title":"SciFed Journal of Petroleum","id":"ITEM-1","issue":"1","issued":{"date-parts":[["2018"]]},"page":"1-11","title":"Fluid Flow Assurance Issues : Literature Review","type":"article-journal","volume":"2"},"uris":["http://www.mendeley.com/documents/?uuid=0fdca137-c9ea-4e84-973f-7b71bca863fa"]}],"mendeley":{"formattedCitation":"[2]","plainTextFormattedCitation":"[2]","previouslyFormattedCitation":"(Theyab, 2018)"},"properties":{"noteIndex":0},"schema":"https://github.com/citation-style-language/schema/raw/master/csl-citation.json"}</w:instrText>
      </w:r>
      <w:r w:rsidRPr="00311766">
        <w:rPr>
          <w:sz w:val="20"/>
          <w:lang w:val="en-US"/>
        </w:rPr>
        <w:fldChar w:fldCharType="separate"/>
      </w:r>
      <w:r w:rsidRPr="00311766">
        <w:rPr>
          <w:noProof/>
          <w:sz w:val="20"/>
          <w:lang w:val="en-US"/>
        </w:rPr>
        <w:t>[2]</w:t>
      </w:r>
      <w:r w:rsidRPr="00311766">
        <w:rPr>
          <w:sz w:val="20"/>
          <w:lang w:val="en-US"/>
        </w:rPr>
        <w:fldChar w:fldCharType="end"/>
      </w:r>
      <w:r w:rsidRPr="00311766">
        <w:rPr>
          <w:sz w:val="20"/>
          <w:lang w:val="en-US"/>
        </w:rPr>
        <w:t xml:space="preserve">. Formation of gas hydrates and corrosion in pipelines are significant challenges in flow assurance </w:t>
      </w:r>
      <w:r w:rsidRPr="00311766">
        <w:rPr>
          <w:sz w:val="20"/>
          <w:lang w:val="en-US"/>
        </w:rPr>
        <w:fldChar w:fldCharType="begin" w:fldLock="1"/>
      </w:r>
      <w:r w:rsidRPr="00311766">
        <w:rPr>
          <w:sz w:val="20"/>
          <w:lang w:val="en-US"/>
        </w:rPr>
        <w:instrText>ADDIN CSL_CITATION {"citationItems":[{"id":"ITEM-1","itemData":{"DOI":"10.1016/j.fluid.2018.07.003","ISSN":"03783812","abstract":"In this study, the thermodynamic inhibition of CH4rich binary mixed hydrate system (70-30 mol% CH4+ CO2) is reported for four ammonium based ionic liquids (AILs) via experimental and modelling approaches. The T-cycle technique applied for the characterization of the AILs namely tetramethylammonium hydroxide (TMAOH), tetraethylammonium hydroxide (TEAOH), tetrapropyl ammonium hydroxide (TPrAOH) and tetrabutylammonium hydroxide (TBAOH). The hydrate liquid-vapour equilibrium (HLwVE) conditions of studied systems measure within the temperature and pressure ranges of 275.0–286.0 K and 3.0–7.50 MPa respectively at 10 wt% aqueous AILs solutions. All the studied AILs except TBAOH inflicted the THI influence by shifting the HLwVE of CH4enrich mixed gas hydrates. Elongation in AILs alkyl chain length attributed to decrease the average hydrate suppression temperature (ΔŦ). At 10 wt%, TMAOH exhibited the maximum inhibition impact with a ΔŦ value of 1.28 K, followed by TEAOH (0.8 K), TPrAOH (0.7 K), and TBAOH (−0.84 K) respectively. Instead of hydrate inhibitor, TBAOH worked as gas hydrate promotor owing to the presence of relatively higher alkyl chain cation (butyl) make it semi-clathrate hydrate. The study further extended for different concentrations (1, 5 and 10 wt%) of TMAOH among the best considered AIL in this study. COSMO-RS investigation is also incorporated to further understand the thermodynamic inhibition behaviour of AILs via sigma profile analysis. Additionally, the enthalpies of hydrate dissociation for all studied AILs systems also calculated via Clausius-Clapeyron equation in this study. The calculated hydrate dissociation enthalpies data revealed that all the studied AILs except TBAOH show insignificant participation in mixed gas hydrate cage formation, therefore, do not form semi-clathrate hydrates. However, enthalpy data of TBAOH revealed that it participated in hydrate crystalline structure, therefore, worked as semi-clathrate hydrate. Furthermore, the HLwVE predictions of studied systems also performed via electrolyte based model proposed by Dickens and Quinby-Hunt and found in respectable agreement with the experimental data.","author":[{"dropping-particle":"","family":"Khan","given":"Muhammad Saad","non-dropping-particle":"","parse-names":false,"suffix":""},{"dropping-particle":"","family":"Lal","given":"Bhajan","non-dropping-particle":"","parse-names":false,"suffix":""},{"dropping-particle":"","family":"Keong","given":"Lau Kok","non-dropping-particle":"","parse-names":false,"suffix":""},{"dropping-particle":"","family":"Sabil","given":"Khalik Mohamad","non-dropping-particle":"","parse-names":false,"suffix":""}],"container-title":"Fluid Phase Equilibria","id":"ITEM-1","issued":{"date-parts":[["2018","10"]]},"page":"300-309","publisher":"Elsevier Ltd","title":"Experimental evaluation and thermodynamic modelling of AILs alkyl chain elongation on methane riched gas hydrate system","type":"article-journal","volume":"473"},"uris":["http://www.mendeley.com/documents/?uuid=77cfb037-aef6-4935-9954-c183141ab5de"]},{"id":"ITEM-2","itemData":{"DOI":"10.1016/j.jngse.2019.03.002","ISSN":"18755100","author":[{"dropping-particle":"","family":"Yaqub","given":"Sana","non-dropping-particle":"","parse-names":false,"suffix":""},{"dropping-particle":"","family":"lal","given":"Bhajan","non-dropping-particle":"","parse-names":false,"suffix":""},{"dropping-particle":"","family":"Shariff","given":"Azmi bin Mohd","non-dropping-particle":"","parse-names":false,"suffix":""},{"dropping-particle":"","family":"Bt.Mellon","given":"Nurhayati","non-dropping-particle":"","parse-names":false,"suffix":""}],"container-title":"Journal of Natural Gas Science and Engineering","id":"ITEM-2","issue":"January","issued":{"date-parts":[["2019"]]},"page":"68-81","title":"Unraveling the Effect of Sub-Cooling Temperatures on the Kinetic Performance of Biopolymers for Methane Hydrate","type":"article-journal","volume":"65"},"uris":["http://www.mendeley.com/documents/?uuid=e858747f-40d6-4cf4-b9c3-b9de8f5bdfeb"]},{"id":"ITEM-3","itemData":{"DOI":"10.1016/j.molliq.2019.02.115","ISSN":"01677322","author":[{"dropping-particle":"","family":"Qasim","given":"Ali","non-dropping-particle":"","parse-names":false,"suffix":""},{"dropping-particle":"","family":"Khan","given":"Muhammad Saad","non-dropping-particle":"","parse-names":false,"suffix":""},{"dropping-particle":"","family":"Lal","given":"Bhajan","non-dropping-particle":"","parse-names":false,"suffix":""},{"dropping-particle":"","family":"Shariff","given":"Azmi Mohammad","non-dropping-particle":"","parse-names":false,"suffix":""}],"container-title":"Journal of Molecular Liquids","id":"ITEM-3","issued":{"date-parts":[["2019"]]},"page":"106-114","publisher":"Elsevier B.V.","title":"Phase equilibrium measurement and modeling approach to quaternary ammonium salts with and without monoethylene glycol for carbon dioxide hydrates","type":"article-journal","volume":"282"},"uris":["http://www.mendeley.com/documents/?uuid=da6c369a-1175-42da-9716-53cb1df40ccc"]},{"id":"ITEM-4","itemData":{"DOI":"10.1016/j.molliq.2017.11.115","ISSN":"01677322","abstract":"This paper presents a series of experimental and modelling studies on the thermodynamic inhibition effects of four ionic liquids on the methane hydrate formation. The investigated ionic liquids are 1-methyl-3-octylimidazolium chloride [MOIM-Cl], 1-methylimidazolium hydrogen sulfate [H-MIM-HSO4], tetraethylammonium iodide [TEA-I], and 1-hexyl-3-methylimidazolium iodide [HMIM-I]. The impact of 0.1 mass fraction concentration ionic liquids on the methane hydrate phase boundary was evaluated by measuring the dissociation temperature of methane hydrate in the pressure range of 5.1–11.1 MPa, using a high pressure differential scanning calorimeter. The molar dissociation enthalpy of methane hydrates was calculated using the Clausius–Clapeyron equation. The density was measured for 0.10 mass fraction of aqueous solutions of ionic liquids at 293.15 K, and then compared to the commercially available gas hydrate inhibitors. The results demonstrated that 1-methylimidazolium hydrogen sulfate [H-MIM-HSO4] has the highest inhibitory performance among the four ionic liquids considered. Moreover, the Dickens and Quinby-Hunt (electrolyte) model was applied to predict the phase equilibrium data of the studied ILs. The predicted data is in agreement with the experimental data.","author":[{"dropping-particle":"","family":"Nashed","given":"Omar","non-dropping-particle":"","parse-names":false,"suffix":""},{"dropping-particle":"","family":"Dadebayev","given":"Didar","non-dropping-particle":"","parse-names":false,"suffix":""},{"dropping-particle":"","family":"Khan","given":"Muhammad Saad","non-dropping-particle":"","parse-names":false,"suffix":""},{"dropping-particle":"","family":"Bavoh","given":"Cornelius B.","non-dropping-particle":"","parse-names":false,"suffix":""},{"dropping-particle":"","family":"Lal","given":"Bhajan","non-dropping-particle":"","parse-names":false,"suffix":""},{"dropping-particle":"","family":"Shariff","given":"Azmi Mohd","non-dropping-particle":"","parse-names":false,"suffix":""}],"container-title":"Journal of Molecular Liquids","id":"ITEM-4","issue":"November","issued":{"date-parts":[["2018","1"]]},"page":"886-891","publisher":"Elsevier B.V.","title":"Experimental and modelling studies on thermodynamic methane hydrate inhibition in the presence of ionic liquids","type":"article-journal","volume":"249"},"uris":["http://www.mendeley.com/documents/?uuid=593869cf-97f8-4761-8395-e73555dd3eba"]},{"id":"ITEM-5","itemData":{"ISSN":"09231730","author":[{"dropping-particle":"","family":"Asrar","given":"Nausha","non-dropping-particle":"","parse-names":false,"suffix":""},{"dropping-particle":"","family":"MacKay","given":"Bruce","non-dropping-particle":"","parse-names":false,"suffix":""},{"dropping-particle":"","family":"Birketveit","given":"Øystein","non-dropping-particle":"","parse-names":false,"suffix":""},{"dropping-particle":"","family":"Stopanicev","given":"Marko","non-dropping-particle":"","parse-names":false,"suffix":""},{"dropping-particle":"","family":"Jackson","given":"Joshua E","non-dropping-particle":"","parse-names":false,"suffix":""},{"dropping-particle":"","family":"Jenkins","given":"Alyn","non-dropping-particle":"","parse-names":false,"suffix":""},{"dropping-particle":"","family":"Melot","given":"Denis","non-dropping-particle":"","parse-names":false,"suffix":""},{"dropping-particle":"","family":"Scheie","given":"Jan","non-dropping-particle":"","parse-names":false,"suffix":""},{"dropping-particle":"","family":"Vittonato","given":"Jean","non-dropping-particle":"","parse-names":false,"suffix":""}],"container-title":"Oilfield Review","id":"ITEM-5","issue":"2","issued":{"date-parts":[["2016"]]},"page":"34-49","title":"Corrosion- The Longest War","type":"article-magazine","volume":"28"},"uris":["http://www.mendeley.com/documents/?uuid=2a76257b-5527-46eb-9232-e5b10b399010"]}],"mendeley":{"formattedCitation":"[3–7]","plainTextFormattedCitation":"[3–7]","previouslyFormattedCitation":"(Asrar et al., 2016; Muhammad Saad Khan, Lal, Keong, &amp; Sabil, 2018; Nashed, Dadebayev, et al., 2018; Qasim, Khan, Lal, &amp; Shariff, 2019; Yaqub, lal, Shariff, &amp; Bt.Mellon, 2019)"},"properties":{"noteIndex":0},"schema":"https://github.com/citation-style-language/schema/raw/master/csl-citation.json"}</w:instrText>
      </w:r>
      <w:r w:rsidRPr="00311766">
        <w:rPr>
          <w:sz w:val="20"/>
          <w:lang w:val="en-US"/>
        </w:rPr>
        <w:fldChar w:fldCharType="separate"/>
      </w:r>
      <w:r w:rsidRPr="00311766">
        <w:rPr>
          <w:noProof/>
          <w:sz w:val="20"/>
          <w:lang w:val="en-US"/>
        </w:rPr>
        <w:t>[3-7]</w:t>
      </w:r>
      <w:r w:rsidRPr="00311766">
        <w:rPr>
          <w:sz w:val="20"/>
          <w:lang w:val="en-US"/>
        </w:rPr>
        <w:fldChar w:fldCharType="end"/>
      </w:r>
      <w:r w:rsidRPr="00311766">
        <w:rPr>
          <w:sz w:val="20"/>
          <w:lang w:val="en-US"/>
        </w:rPr>
        <w:t xml:space="preserve">. These issues cause a considerable impact to the production in terms of the cost involved, the engineering effort and maintenance that have to be invested </w:t>
      </w:r>
      <w:r w:rsidRPr="00311766">
        <w:rPr>
          <w:sz w:val="20"/>
          <w:lang w:val="en-US"/>
        </w:rPr>
        <w:fldChar w:fldCharType="begin" w:fldLock="1"/>
      </w:r>
      <w:r w:rsidRPr="00311766">
        <w:rPr>
          <w:sz w:val="20"/>
          <w:lang w:val="en-US"/>
        </w:rPr>
        <w:instrText>ADDIN CSL_CITATION {"citationItems":[{"id":"ITEM-1","itemData":{"DOI":"10.1016/j.engfailanal.2019.02.036","ISSN":"13506307","author":[{"dropping-particle":"","family":"Yahya","given":"S.","non-dropping-particle":"","parse-names":false,"suffix":""},{"dropping-particle":"","family":"Othman","given":"N.K.","non-dropping-particle":"","parse-names":false,"suffix":""},{"dropping-particle":"","family":"Ismail","given":"M.C.","non-dropping-particle":"","parse-names":false,"suffix":""}],"container-title":"Engineering Failure Analysis","id":"ITEM-1","issued":{"date-parts":[["2019"]]},"publisher":"Elsevier Ltd","title":"Corrosion inhibition of steel in multiple flow loop under 3.5% NaCl in the presence of rice straw extracts, lignin and ethylene glycol","type":"article-journal"},"uris":["http://www.mendeley.com/documents/?uuid=78db670c-c5b4-4e0e-8163-41c47e33ae5c"]},{"id":"ITEM-2","itemData":{"author":[{"dropping-particle":"","family":"Khan","given":"Muhammmad Saad","non-dropping-particle":"","parse-names":false,"suffix":""},{"dropping-particle":"","family":"Mellon","given":"Nurhayati Bt","non-dropping-particle":"","parse-names":false,"suffix":""},{"dropping-particle":"","family":"Lal","given":"Bhajan","non-dropping-particle":"","parse-names":false,"suffix":""}],"id":"ITEM-2","issued":{"date-parts":[["0"]]},"title":"Prelimnary Experimental Evaluation for Methane (CH4) and Carbon dioxide (CO2) Gas Hydrate Mitigation","type":"article-journal"},"uris":["http://www.mendeley.com/documents/?uuid=c76e1173-e4b9-320c-97bb-c834179e8b8e"]}],"mendeley":{"formattedCitation":"[8,9]","plainTextFormattedCitation":"[8,9]","previouslyFormattedCitation":"(Muhammmad Saad Khan, Mellon, &amp; Lal, n.d.; Yahya, Othman, &amp; Ismail, 2019)"},"properties":{"noteIndex":0},"schema":"https://github.com/citation-style-language/schema/raw/master/csl-citation.json"}</w:instrText>
      </w:r>
      <w:r w:rsidRPr="00311766">
        <w:rPr>
          <w:sz w:val="20"/>
          <w:lang w:val="en-US"/>
        </w:rPr>
        <w:fldChar w:fldCharType="separate"/>
      </w:r>
      <w:r w:rsidRPr="00311766">
        <w:rPr>
          <w:noProof/>
          <w:sz w:val="20"/>
          <w:lang w:val="en-US"/>
        </w:rPr>
        <w:t>[8, 9]</w:t>
      </w:r>
      <w:r w:rsidRPr="00311766">
        <w:rPr>
          <w:sz w:val="20"/>
          <w:lang w:val="en-US"/>
        </w:rPr>
        <w:fldChar w:fldCharType="end"/>
      </w:r>
      <w:r w:rsidRPr="00311766">
        <w:rPr>
          <w:sz w:val="20"/>
          <w:lang w:val="en-US"/>
        </w:rPr>
        <w:t xml:space="preserve">. To overcome these issues that lead to severe safety and economic losses, the industry is injecting different types of gas hydrate inhibitors (GHI) and corrosion inhibitors (CI). However, GHI and CI often tend to display antagonistic behaviour. </w:t>
      </w:r>
    </w:p>
    <w:p w:rsidR="00311766" w:rsidRPr="00311766" w:rsidRDefault="00311766" w:rsidP="00311766">
      <w:pPr>
        <w:pStyle w:val="BodyText"/>
        <w:jc w:val="both"/>
        <w:rPr>
          <w:sz w:val="20"/>
          <w:lang w:val="en-US"/>
        </w:rPr>
      </w:pPr>
    </w:p>
    <w:p w:rsidR="00311766" w:rsidRPr="00311766" w:rsidRDefault="00311766" w:rsidP="00311766">
      <w:pPr>
        <w:pStyle w:val="BodyText"/>
        <w:jc w:val="both"/>
        <w:rPr>
          <w:sz w:val="20"/>
          <w:lang w:val="en-US"/>
        </w:rPr>
      </w:pPr>
      <w:r w:rsidRPr="00311766">
        <w:rPr>
          <w:sz w:val="20"/>
          <w:lang w:val="en-US"/>
        </w:rPr>
        <w:t xml:space="preserve">Along with the studies on hydrate inhibitors </w:t>
      </w:r>
      <w:r w:rsidRPr="00311766">
        <w:rPr>
          <w:sz w:val="20"/>
          <w:lang w:val="en-US"/>
        </w:rPr>
        <w:fldChar w:fldCharType="begin" w:fldLock="1"/>
      </w:r>
      <w:r w:rsidRPr="00311766">
        <w:rPr>
          <w:sz w:val="20"/>
          <w:lang w:val="en-US"/>
        </w:rPr>
        <w:instrText>ADDIN CSL_CITATION {"citationItems":[{"id":"ITEM-1","itemData":{"DOI":"10.1016/j.jct.2017.09.015","ISSN":"00219614","author":[{"dropping-particle":"","family":"Nashed","given":"Omar","non-dropping-particle":"","parse-names":false,"suffix":""},{"dropping-particle":"","family":"Sabil","given":"Khalik M.","non-dropping-particle":"","parse-names":false,"suffix":""},{"dropping-particle":"","family":"Ismail","given":"Lukman","non-dropping-particle":"","parse-names":false,"suffix":""},{"dropping-particle":"","family":"Japper-Jaafar","given":"Azuraien","non-dropping-particle":"","parse-names":false,"suffix":""},{"dropping-particle":"","family":"Lal","given":"Bhajan","non-dropping-particle":"","parse-names":false,"suffix":""}],"container-title":"The Journal of Chemical Thermodynamics","id":"ITEM-1","issued":{"date-parts":[["2018","2"]]},"page":"147-154","publisher":"Elsevier Ltd","title":"Mean induction time and isothermal kinetic analysis of methane hydrate formation in water and imidazolium based ionic liquid solutions","type":"article-journal","volume":"117"},"uris":["http://www.mendeley.com/documents/?uuid=93bf6a90-2660-4e35-a4d3-6e2261aa0264"]},{"id":"ITEM-2","itemData":{"DOI":"10.1016/j.jngse.2019.01.020","ISSN":"18755100","author":[{"dropping-particle":"","family":"Bavoh","given":"Cornelius B.","non-dropping-particle":"","parse-names":false,"suffix":""},{"dropping-particle":"","family":"Lal","given":"Bhajan","non-dropping-particle":"","parse-names":false,"suffix":""},{"dropping-particle":"","family":"Osei","given":"Harrison","non-dropping-particle":"","parse-names":false,"suffix":""},{"dropping-particle":"","family":"Sabil","given":"Khalik M.","non-dropping-particle":"","parse-names":false,"suffix":""},{"dropping-particle":"","family":"Mukhtar","given":"Hilmi","non-dropping-particle":"","parse-names":false,"suffix":""}],"container-title":"Journal of Natural Gas Science and Engineering","id":"ITEM-2","issue":"January","issued":{"date-parts":[["2019","4"]]},"page":"52-71","publisher":"Elsevier","title":"A review on the role of amino acids in gas hydrate inhibition, CO2 capture and sequestration, and natural gas storage","type":"article-journal","volume":"64"},"uris":["http://www.mendeley.com/documents/?uuid=0ea376c2-6e96-4253-addc-7945f3a5cae3"]},{"id":"ITEM-3","itemData":{"DOI":"10.1016/j.cjche.2016.07.014","ISSN":"10049541","abstract":"Recently Ionic Liquids (ILs) are introduced as novel dual function gas hydrate inhibitors. However, no desired gas hydrate inhibition has been reported due to poor ILs selection and/or tuning method criteria. Trial &amp; error as well as selection based on existing literature are the methods currently employed for selecting and/or tuning ILs. These methods are probabilistic, time consuming, expensive and may not result in selecting high performance ILs for gas hydrate mitigation. In this work, COSMO-RS is considered as a prescreening tool of ILs for gas hydrate mitigation by predicting the hydrogen bonding energies (EHB) of studied IL inhibitors and comparing the predicted EHB to the depression temperature and induction time (Ŧ). Results show that, predicted EHB and chain length of ILs strongly relate and significantly affect the gas hydrate inhibition depression temperature but correlates moderately (R=0.70) with average induction time in literature. It is deduced from the results that, Ŧ increases with increasing ILs EHB and/or decreases with increasing chain length. However, the cation-anion pairing of ILs also affects ILs gas hydrate inhibition performance. Furthermore, a visual and better understanding of ILs/water behavior for gas hydrate inhibition in terms of hydrogen bond donor and acceptor interaction analysis is also presented by determining the sigma profile and sigma potential of studied ILs cations and anions used for gas hydrate mitigation for easy ILs selection.","author":[{"dropping-particle":"","family":"Bavoh","given":"Cornelius B.","non-dropping-particle":"","parse-names":false,"suffix":""},{"dropping-particle":"","family":"Lal","given":"Bhajan","non-dropping-particle":"","parse-names":false,"suffix":""},{"dropping-particle":"","family":"Nashed","given":"Omar","non-dropping-particle":"","parse-names":false,"suffix":""},{"dropping-particle":"","family":"Khan","given":"Muhammad S.","non-dropping-particle":"","parse-names":false,"suffix":""},{"dropping-particle":"","family":"Lau","given":"K. Keong","non-dropping-particle":"","parse-names":false,"suffix":""},{"dropping-particle":"","family":"Bustam","given":"Mohd. Azmi","non-dropping-particle":"","parse-names":false,"suffix":""}],"container-title":"Chinese Journal of Chemical Engineering","id":"ITEM-3","issue":"11","issued":{"date-parts":[["2016"]]},"page":"1619-1624","publisher":"Elsevier B.V.","title":"COSMO-RS: An ionic liquid prescreening tool for gas hydrate mitigation","type":"article-journal","volume":"24"},"uris":["http://www.mendeley.com/documents/?uuid=4430f497-298b-471d-a1ae-9b1e87ab2c49"]},{"id":"ITEM-4","itemData":{"DOI":"10.1016/j.molliq.2017.05.045","ISSN":"01677322","abstract":"In this experimental study, the phase boundary behaviour of CO2 hydrate is reported in the presence of 1, 5, and 10 wt% of three aqueous ammonium based ionic liquids (AILs) solutions. The T-cycle technique is used to measure the hydrate equilibrium conditions of AILs + CO2 + H2O hydrate systems within the ranges of 274 – 283 K and 1.80 – 4.20 MPa. All studied AILs inhibited CO2 hydrate with the inhibition effect increasing with AILs concentration. The 10 wt%, TEAOH showed the highest inhibition effect with an average suppression temperature (∆Ŧ) of 1.7 K, followed by TMACl (∆Ŧ = 1.6 K) and then TPrAOH (∆Ŧ = 1.2 K). Furthermore, COSMO-RS analysis is performed to understand the molecular level inhibition mechanism of AILs. In addition, the enthalpies of hydrate dissociation for all studied systems are also determined. The calculated hydrate dissociation enthalpies revealed that all the studied AILs show insignificant participation in CO2 hydrate cage formation at all concentrations, hence, do not form semi-clathrate hydrates.","author":[{"dropping-particle":"","family":"Khan","given":"Muhammad Saad","non-dropping-particle":"","parse-names":false,"suffix":""},{"dropping-particle":"","family":"Bavoh","given":"Cornelius B.","non-dropping-particle":"","parse-names":false,"suffix":""},{"dropping-particle":"","family":"Partoon","given":"Behzad","non-dropping-particle":"","parse-names":false,"suffix":""},{"dropping-particle":"","family":"Lal","given":"Bhajan","non-dropping-particle":"","parse-names":false,"suffix":""},{"dropping-particle":"","family":"Bustam","given":"Mohamad Azmi","non-dropping-particle":"","parse-names":false,"suffix":""},{"dropping-particle":"","family":"Shariff","given":"Azmi Mohamad","non-dropping-particle":"","parse-names":false,"suffix":""}],"container-title":"Journal of Molecular Liquids","id":"ITEM-4","issue":"July","issued":{"date-parts":[["2017"]]},"page":"533-539","publisher":"Elsevier B.V","title":"Thermodynamic effect of ammonium based ionic liquids on CO2 hydrates phase boundary","type":"article-journal","volume":"238"},"uris":["http://www.mendeley.com/documents/?uuid=8c2a3c25-ddd3-4216-a33d-f3fb57fa5174"]}],"mendeley":{"formattedCitation":"[10–13]","plainTextFormattedCitation":"[10–13]","previouslyFormattedCitation":"(Bavoh et al., 2016; Bavoh, Lal, Osei, Sabil, &amp; Mukhtar, 2019; Muhammad Saad Khan et al., 2017; Nashed, Sabil, Ismail, Japper-Jaafar, &amp; Lal, 2018)"},"properties":{"noteIndex":0},"schema":"https://github.com/citation-style-language/schema/raw/master/csl-citation.json"}</w:instrText>
      </w:r>
      <w:r w:rsidRPr="00311766">
        <w:rPr>
          <w:sz w:val="20"/>
          <w:lang w:val="en-US"/>
        </w:rPr>
        <w:fldChar w:fldCharType="separate"/>
      </w:r>
      <w:r w:rsidRPr="00311766">
        <w:rPr>
          <w:noProof/>
          <w:sz w:val="20"/>
          <w:lang w:val="en-US"/>
        </w:rPr>
        <w:t>[10-13]</w:t>
      </w:r>
      <w:r w:rsidRPr="00311766">
        <w:rPr>
          <w:sz w:val="20"/>
          <w:lang w:val="en-US"/>
        </w:rPr>
        <w:fldChar w:fldCharType="end"/>
      </w:r>
      <w:r w:rsidRPr="00311766">
        <w:rPr>
          <w:sz w:val="20"/>
          <w:lang w:val="en-US"/>
        </w:rPr>
        <w:t xml:space="preserve">, and corrosion inhibitors </w:t>
      </w:r>
      <w:r w:rsidRPr="00311766">
        <w:rPr>
          <w:sz w:val="20"/>
          <w:lang w:val="en-US"/>
        </w:rPr>
        <w:fldChar w:fldCharType="begin" w:fldLock="1"/>
      </w:r>
      <w:r w:rsidRPr="00311766">
        <w:rPr>
          <w:sz w:val="20"/>
          <w:lang w:val="en-US"/>
        </w:rPr>
        <w:instrText>ADDIN CSL_CITATION {"citationItems":[{"id":"ITEM-1","itemData":{"DOI":"10.1016/j.engfailanal.2019.02.036","ISSN":"13506307","author":[{"dropping-particle":"","family":"Yahya","given":"S.","non-dropping-particle":"","parse-names":false,"suffix":""},{"dropping-particle":"","family":"Othman","given":"N.K.","non-dropping-particle":"","parse-names":false,"suffix":""},{"dropping-particle":"","family":"Ismail","given":"M.C.","non-dropping-particle":"","parse-names":false,"suffix":""}],"container-title":"Engineering Failure Analysis","id":"ITEM-1","issued":{"date-parts":[["2019"]]},"publisher":"Elsevier Ltd","title":"Corrosion inhibition of steel in multiple flow loop under 3.5% NaCl in the presence of rice straw extracts, lignin and ethylene glycol","type":"article-journal"},"uris":["http://www.mendeley.com/documents/?uuid=78db670c-c5b4-4e0e-8163-41c47e33ae5c"]},{"id":"ITEM-2","itemData":{"DOI":"10.1016/j.jtice.2018.06.007","ISSN":"18761070","abstract":"Lanthanum diphenylphosphate compound (La(dpp)3) has been developed as an effective corrosion inhibitor system for controlling the dominant cathodic process of the electrochemical reaction on mild steel surface immersed in an aqueous chloride solution. The study has clearly demonstrated that less corrosion attack has been shown on the steel surface of steel coupons immersed in solutions containing La(dpp)3 compound even at low concentrations. This research has also proved that the La(dpp)3 compound improves the inhibition effectiveness with an increase in inhibitor concentrations, resulting in the superior protective film and charge transfer resistances, as well as protective film and double layer CPE magnitude values.","author":[{"dropping-particle":"","family":"Nam","given":"Nguyen Dang","non-dropping-particle":"","parse-names":false,"suffix":""},{"dropping-particle":"Van","family":"Hien","given":"Pham","non-dropping-particle":"","parse-names":false,"suffix":""},{"dropping-particle":"","family":"Hoai","given":"Nguyen To","non-dropping-particle":"","parse-names":false,"suffix":""},{"dropping-particle":"","family":"Thu","given":"Vu Thi Hanh","non-dropping-particle":"","parse-names":false,"suffix":""}],"container-title":"Journal of the Taiwan Institute of Chemical Engineers","id":"ITEM-2","issued":{"date-parts":[["2018"]]},"page":"556-569","publisher":"Elsevier B.V.","title":"A study on the mixed corrosion inhibitor with a dominant cathodic inhibitor for mild steel in aqueous chloride solution","type":"article-journal","volume":"91"},"uris":["http://www.mendeley.com/documents/?uuid=229e0935-dbf2-434d-bd20-4b566309cbdf"]},{"id":"ITEM-3","itemData":{"DOI":"10.3390/ma11010059","ISSN":"1996-1944","author":[{"dropping-particle":"","family":"Vu","given":"Nguyen","non-dropping-particle":"","parse-names":false,"suffix":""},{"dropping-particle":"","family":"Hien","given":"Pham","non-dropping-particle":"","parse-names":false,"suffix":""},{"dropping-particle":"","family":"Man","given":"Tran","non-dropping-particle":"","parse-names":false,"suffix":""},{"dropping-particle":"","family":"Hanh Thu","given":"Vu","non-dropping-particle":"","parse-names":false,"suffix":""},{"dropping-particle":"","family":"Tri","given":"Mai","non-dropping-particle":"","parse-names":false,"suffix":""},{"dropping-particle":"","family":"Nam","given":"Nguyen","non-dropping-particle":"","parse-names":false,"suffix":""}],"container-title":"Materials","id":"ITEM-3","issue":"1","issued":{"date-parts":[["2017","12","31"]]},"page":"59","title":"A Study on Corrosion Inhibitor for Mild Steel in Ethanol Fuel Blend","type":"article-journal","volume":"11"},"uris":["http://www.mendeley.com/documents/?uuid=21d770e7-df5e-487f-b6ef-ccecc5645333"]}],"mendeley":{"formattedCitation":"[8,14,15]","plainTextFormattedCitation":"[8,14,15]","previouslyFormattedCitation":"(Nam, Hien, Hoai, &amp; Thu, 2018; Vu et al., 2017; Yahya et al., 2019)"},"properties":{"noteIndex":0},"schema":"https://github.com/citation-style-language/schema/raw/master/csl-citation.json"}</w:instrText>
      </w:r>
      <w:r w:rsidRPr="00311766">
        <w:rPr>
          <w:sz w:val="20"/>
          <w:lang w:val="en-US"/>
        </w:rPr>
        <w:fldChar w:fldCharType="separate"/>
      </w:r>
      <w:r w:rsidRPr="00311766">
        <w:rPr>
          <w:noProof/>
          <w:sz w:val="20"/>
          <w:lang w:val="en-US"/>
        </w:rPr>
        <w:t>[8, 14, 15]</w:t>
      </w:r>
      <w:r w:rsidRPr="00311766">
        <w:rPr>
          <w:sz w:val="20"/>
          <w:lang w:val="en-US"/>
        </w:rPr>
        <w:fldChar w:fldCharType="end"/>
      </w:r>
      <w:r w:rsidRPr="00311766">
        <w:rPr>
          <w:sz w:val="20"/>
          <w:lang w:val="en-US"/>
        </w:rPr>
        <w:t xml:space="preserve">, the researches on environmentally friendly dual functioning gas hydrate and corrosion inhibitor are ongoing as the presence of one hydrate inhibitor causes a negative impact on the corrosion inhibitor’s performance and vice versa </w:t>
      </w:r>
      <w:r w:rsidRPr="00311766">
        <w:rPr>
          <w:sz w:val="20"/>
          <w:lang w:val="en-US"/>
        </w:rPr>
        <w:fldChar w:fldCharType="begin" w:fldLock="1"/>
      </w:r>
      <w:r w:rsidRPr="00311766">
        <w:rPr>
          <w:sz w:val="20"/>
          <w:lang w:val="en-US"/>
        </w:rPr>
        <w:instrText>ADDIN CSL_CITATION {"citationItems":[{"id":"ITEM-1","itemData":{"DOI":"10.2523/17440-MS","ISBN":"1972952943","abstract":"The presence of hydrogen sulfide in high pressure gas systems causes several complications. Sour gas corrosion is a major concern in the oil and gas industry due to the presence of localized corrosion. At high pressures and low temperatures hydrates can occur. Sour gas decreases the pressure and increases the temperature at which hydrate formation occurs. Operators have used both corrosion inhibitors and kinetic hydrate inhibitors to decrease the capital requirements of developing sour high pressure gas systems. The development of sour gas corrosion inhibitors that are compatible with kinetic hydrate inhibitors is a major requirement for qualifying corrosion inhibitors for these applications. This paper describes laboratory work on the development of a new corrosion inhibitor by performing various performance and compatibility tests with kinetic hydrate inhibitor. The new corrosion inhibitor needed to meet various additional requirements which made the development process even more complex. The partitioning of a corrosion inhibitor between the oil and water phases has a significant impact on inhibitor selection and treatment strategy. General corrosion performance was addressed using mass loss and electrochemical data. Evaluation of localized attack was performed using vertical scanning interferometry (VSI). The main advantage of this approach is in providing quantitative data for product performance differentiation in the presence of localized corrosion.","author":[{"dropping-particle":"","family":"Menendez","given":"C M","non-dropping-particle":"","parse-names":false,"suffix":""},{"dropping-particle":"","family":"Jardine","given":"J","non-dropping-particle":"","parse-names":false,"suffix":""},{"dropping-particle":"","family":"Mok","given":"W Y","non-dropping-particle":"","parse-names":false,"suffix":""},{"dropping-particle":"","family":"Ramachandran","given":"S","non-dropping-particle":"","parse-names":false,"suffix":""},{"dropping-particle":"","family":"Jovancicevic","given":"V","non-dropping-particle":"","parse-names":false,"suffix":""},{"dropping-particle":"","family":"Bhattacharya","given":"A","non-dropping-particle":"","parse-names":false,"suffix":""}],"container-title":"International Petroleum Technology Conference","id":"ITEM-1","issued":{"date-parts":[["2014","1","19"]]},"page":"1-9","publisher":"International Petroleum Technology Conference","title":"New Sour Gas Corrosion Inhibitor Compatible with Kinetic Hydrate Inhibitor","type":"paper-conference"},"uris":["http://www.mendeley.com/documents/?uuid=a60b6646-3e4f-4c16-b875-613154dd8464"]},{"id":"ITEM-2","itemData":{"DOI":"10.1016/j.petrol.2014.05.025","ISBN":"0920-4105","ISSN":"09204105","abstract":"Pipeline industry annually invests millions of dollar on corrosion inhibitors in order to minimize corrosion[U+05F3]s implication on flow assurance; however, attention has never been focused on the possibilities of these chemicals to promote hydrate formation along deepwater pipeline which is also a flow assurance problem. Five inhibitors were investigated in this study at different concentrations and pressures in a cryogenic sapphire cell at static condition. The changes in the formation temperature established that all the inhibitors promote hydrate but at different rates while their hydrate formation patterns also differ from one another. Their ability to promote hydrate could be attributed to their hydrogen bonding properties which is required for hydrate formation. Also, the difference in the promotion rate is attributed to their different sizes and structures, active functional groups and affinity for water molecules which determine the type of hydrogen bonding exhibited by each inhibitor while in solution. The structure and size of each inhibitor also affect its electronegativity and ionization energy since the active electrons of some of the inhibitors have direct exposure to the nucleus while for others; the active electrons at the outermost shell have been shielded from direct influence of the attractive force. Furthermore, the active functional groups obeys electronegativity trend of periodic table to determine whether the resulting bond type will be polar ionic, covalent or ionic with some covalent characteristic in nature. Though, all the inhibitors are foamy; dodecylpyridinium chloride (DPC) was however the foamiest. DPC also exhibited its highest promotion ability at 200. ppm and exhibited specific behaviour at 5000. ppm to suggest a change in the hydrate formation rate beyond the Critical Micelles Concentration (CMC). Again, increase in agitation rate prolonged the complete solidification time of the hydrates probably due to the gas solubility. Finally, the feasibility of using this chemical as an additive at high concentrations for natural gas transportation and storage in slurry form was observed due to some exhibited properties, this however requires further investigations.","author":[{"dropping-particle":"","family":"Obanijesu","given":"E.O.","non-dropping-particle":"","parse-names":false,"suffix":""},{"dropping-particle":"","family":"Gubner","given":"R.","non-dropping-particle":"","parse-names":false,"suffix":""},{"dropping-particle":"","family":"Barifcani","given":"A.","non-dropping-particle":"","parse-names":false,"suffix":""},{"dropping-particle":"","family":"Pareek","given":"V.","non-dropping-particle":"","parse-names":false,"suffix":""},{"dropping-particle":"","family":"Tade","given":"M.O.","non-dropping-particle":"","parse-names":false,"suffix":""}],"container-title":"Journal of Petroleum Science and Engineering","id":"ITEM-2","issued":{"date-parts":[["2014","8"]]},"page":"239-252","publisher":"Elsevier","title":"The influence of corrosion inhibitors on hydrate formation temperature along the subsea natural gas pipelines","type":"article-journal","volume":"120"},"uris":["http://www.mendeley.com/documents/?uuid=52382ea2-a072-4031-bda3-4805663764e2"]},{"id":"ITEM-3","itemData":{"DOI":"10.1021/acs.energyfuels.7b00525","ISSN":"15205029","abstract":"© 2017 American Chemical Society. Corrosion and unwanted gas hydrate formation in subsea flowlines are two of the major issues that the global gas industry faces when transporting natural gas. Gas hydrates can cause severe blockages due to the formation of hydrate plugs that block the flow. Corrosion issues lead to significant economic loss in terms of prevention and repair. To manage these issues, hydrate and corrosion inhibitors are injected separately to subsea flowlines. However, there are often compatibility issues that negatively impact their performance as a result of surface and molecular interactions. The aim of this study is to tackle this compatibility problem by developing single polymer molecules that simultaneously prevent hydrate formation and inhibit corrosion. The resulting materials are termed as kinetic hydrate and corrosion inhibitors (KHCIs). The molecules are designed and assembled using key structural motifs that are known kinetic hydrate inhibitors (KHIs) and corrosion inhibitors. Specifically a KHI base polymer is modified with corrosion groups using a series of highly efficient chemical reactions. This method generates controlled libraries of inhibitors with the same molecular weight (Mw), Mw distribution, end groups, and composition along the chain. This control allows for accurate interpretation of the effect of the structural group on the hydrate and corrosion inhibition. This is a proof-of-concept study that can be expanded with further performance testing and modifications of polymer structure.","author":[{"dropping-particle":"","family":"Sheng","given":"Qi","non-dropping-particle":"","parse-names":false,"suffix":""},{"dropping-particle":"Da","family":"Silveira","given":"Kelly Cristine","non-dropping-particle":"","parse-names":false,"suffix":""},{"dropping-particle":"","family":"Tian","given":"Wendy","non-dropping-particle":"","parse-names":false,"suffix":""},{"dropping-particle":"","family":"Fong","given":"Celesta","non-dropping-particle":"","parse-names":false,"suffix":""},{"dropping-particle":"","family":"Maeda","given":"Nobuo","non-dropping-particle":"","parse-names":false,"suffix":""},{"dropping-particle":"","family":"Gubner","given":"Rolf","non-dropping-particle":"","parse-names":false,"suffix":""},{"dropping-particle":"","family":"Wood","given":"Colin D.","non-dropping-particle":"","parse-names":false,"suffix":""}],"container-title":"Energy and Fuels","id":"ITEM-3","issue":"7","issued":{"date-parts":[["2017"]]},"page":"6724-6731","title":"Simultaneous Hydrate and Corrosion Inhibition with Modified Poly(vinyl caprolactam) Polymers","type":"article-journal","volume":"31"},"uris":["http://www.mendeley.com/documents/?uuid=95eebf9f-b42d-442d-a67b-c65cc78df3ec"]},{"id":"ITEM-4","itemData":{"author":[{"dropping-particle":"","family":"Moloney","given":"J J","non-dropping-particle":"","parse-names":false,"suffix":""},{"dropping-particle":"","family":"Mok","given":"W Y","non-dropping-particle":"","parse-names":false,"suffix":""},{"dropping-particle":"","family":"Gamble","given":"C G","non-dropping-particle":"","parse-names":false,"suffix":""}],"container-title":"NACE International: Corrosion 2009","id":"ITEM-4","issue":"No. 09350","issued":{"date-parts":[["2009"]]},"publisher":"NACE International","publisher-place":"Atlanta, Georgia","title":"Compatible Corrosion and Kinetic Hydrate Inhibitors for Wet Sour Gas Transmission Lines","type":"paper-conference"},"uris":["http://www.mendeley.com/documents/?uuid=a2348657-a6df-4d54-93c8-522e44ed0c84"]}],"mendeley":{"formattedCitation":"[16–19]","plainTextFormattedCitation":"[16–19]","previouslyFormattedCitation":"(Menendez et al., 2014; Moloney, Mok, &amp; Gamble, 2009; Obanijesu, Gubner, Barifcani, Pareek, &amp; Tade, 2014; Sheng et al., 2017)"},"properties":{"noteIndex":0},"schema":"https://github.com/citation-style-language/schema/raw/master/csl-citation.json"}</w:instrText>
      </w:r>
      <w:r w:rsidRPr="00311766">
        <w:rPr>
          <w:sz w:val="20"/>
          <w:lang w:val="en-US"/>
        </w:rPr>
        <w:fldChar w:fldCharType="separate"/>
      </w:r>
      <w:r w:rsidRPr="00311766">
        <w:rPr>
          <w:noProof/>
          <w:sz w:val="20"/>
          <w:lang w:val="en-US"/>
        </w:rPr>
        <w:t>[16-19]</w:t>
      </w:r>
      <w:r w:rsidRPr="00311766">
        <w:rPr>
          <w:sz w:val="20"/>
          <w:lang w:val="en-US"/>
        </w:rPr>
        <w:fldChar w:fldCharType="end"/>
      </w:r>
      <w:r w:rsidRPr="00311766">
        <w:rPr>
          <w:sz w:val="20"/>
          <w:lang w:val="en-US"/>
        </w:rPr>
        <w:t xml:space="preserve">. The understanding of the gas hydrate and corrosion phenomena is required to solve this incompatibility issue. While hydrate is an ice-like structure formed when water molecules entrap light gas molecules under high pressure and temperature, corrosion is the destructive chemical attack upon a metallic structure by its environment. Corrosion is a common electrochemical phenomenon experienced in oil and gas production </w:t>
      </w:r>
      <w:r w:rsidRPr="00311766">
        <w:rPr>
          <w:sz w:val="20"/>
          <w:lang w:val="en-US"/>
        </w:rPr>
        <w:fldChar w:fldCharType="begin" w:fldLock="1"/>
      </w:r>
      <w:r w:rsidRPr="00311766">
        <w:rPr>
          <w:sz w:val="20"/>
          <w:lang w:val="en-US"/>
        </w:rPr>
        <w:instrText>ADDIN CSL_CITATION {"citationItems":[{"id":"ITEM-1","itemData":{"ISSN":"09231730","author":[{"dropping-particle":"","family":"Asrar","given":"Nausha","non-dropping-particle":"","parse-names":false,"suffix":""},{"dropping-particle":"","family":"MacKay","given":"Bruce","non-dropping-particle":"","parse-names":false,"suffix":""},{"dropping-particle":"","family":"Birketveit","given":"Øystein","non-dropping-particle":"","parse-names":false,"suffix":""},{"dropping-particle":"","family":"Stopanicev","given":"Marko","non-dropping-particle":"","parse-names":false,"suffix":""},{"dropping-particle":"","family":"Jackson","given":"Joshua E","non-dropping-particle":"","parse-names":false,"suffix":""},{"dropping-particle":"","family":"Jenkins","given":"Alyn","non-dropping-particle":"","parse-names":false,"suffix":""},{"dropping-particle":"","family":"Melot","given":"Denis","non-dropping-particle":"","parse-names":false,"suffix":""},{"dropping-particle":"","family":"Scheie","given":"Jan","non-dropping-particle":"","parse-names":false,"suffix":""},{"dropping-particle":"","family":"Vittonato","given":"Jean","non-dropping-particle":"","parse-names":false,"suffix":""}],"container-title":"Oilfield Review","id":"ITEM-1","issue":"2","issued":{"date-parts":[["2016"]]},"page":"34-49","title":"Corrosion- The Longest War","type":"article-magazine","volume":"28"},"uris":["http://www.mendeley.com/documents/?uuid=2a76257b-5527-46eb-9232-e5b10b399010"]},{"id":"ITEM-2","itemData":{"DOI":"10.1002/1521-4176(200204)53:4&lt;284::AID-MACO1111284&gt;3.0.CO;2-8","ISBN":"0070765162","ISSN":"0947-5117","abstract":"Reduce the enormous economic and environmental impact of corrosion Emphasizing quantitative techniques, this guide provides you with: Theory essential for understanding aqueous, atmospheric, and high temperature corrosion processes Corrosion resistance data for various materials Management techniques for dealing with corrosion control, including life prediction and cost analysis, information systems, and knowledge re-use Techniques for the detection, analysis, and prevention of corrosion damage, including protective coatings and cathodic protection More","author":[{"dropping-particle":"","family":"Schütze","given":"M.","non-dropping-particle":"","parse-names":false,"suffix":""}],"container-title":"Materials and Corrosion","editor":[{"dropping-particle":"","family":"Esposito","given":"Robert","non-dropping-particle":"","parse-names":false,"suffix":""},{"dropping-particle":"","family":"David E. Fogarty","given":"","non-dropping-particle":"","parse-names":false,"suffix":""}],"id":"ITEM-2","issue":"4","issued":{"date-parts":[["2002","4"]]},"page":"284-284","publisher":"McGraw-Hill Companies, Inc.","publisher-place":"United States of America","title":"Corrosion Books: Handbook of Corrosion Engineering. By Pierre R. Roberge - Materials and Corrosion 4/2002","type":"article-journal","volume":"53"},"uris":["http://www.mendeley.com/documents/?uuid=1b9b66d1-7fdf-462c-b975-d367e6286fd2"]},{"id":"ITEM-3","itemData":{"DOI":"10.5772/57255","ISBN":"978-953-51-1223-5","ISSN":"978-953-51-1223-5","PMID":"17563112","abstract":"Corrosion processes are responsible for numerous losses mainly in the industrial scope. It is clear that the best way to combat it is prevention. Among the various methods to avoid or prevent destruction or degradation of metal surface, the corrosion inhibitor is one of the best know methods of corrosion protection and one of the most useful on the industry. This method is following stand up due to low cost and practice method. Important researches have being conducted with government investment mainly in large areas such as development construction of new pipelines for shale gas and growth in construction. The focus of these researches has being the inhibitors applications in water and concrete for the protection of metals. Historically, inhibitors had great acceptance in the industries due to excellent anti-corrosive proprieties. However, many showed up as a secondary effect, damage the environment. Thus the scientific community began searching for friendly environmentally inhibitors, like the organic inhibitors. This chapter presents a revision of the corrosion inhibitors applications mainly the novel compositions environmentally friendly. Is describes the mechanisms of action of inhibitors, main characteristics, environmental impact, technical analysis and calculation of efficiency.","author":[{"dropping-particle":"","family":"G.","given":"Camila","non-dropping-particle":"","parse-names":false,"suffix":""},{"dropping-particle":"","family":"F.","given":"Alexandre","non-dropping-particle":"","parse-names":false,"suffix":""}],"container-title":"Developments in Corrosion Protection","id":"ITEM-3","issued":{"date-parts":[["2014","2","20"]]},"page":"365-379","publisher":"InTech","title":"Corrosion Inhibitors – Principles, Mechanisms and Applications","type":"chapter"},"uris":["http://www.mendeley.com/documents/?uuid=a2b93040-5746-4ff8-abdf-1cabd1624c24"]},{"id":"ITEM-4","itemData":{"DOI":"10.1002/maco.201709522","ISBN":"9781607681212","ISSN":"15214176","abstract":"Over the past several years, a new corrosion control technology has been developed for protecting damaged, painted galvanized, and galvannealed surfaces in contact with ambient aqueous environments. This technology, which we call electromagnet-ically induced corrosion control technology (EICCT), is an electronic technology that is based upon coupling surface currents into the metal structure to be protected. Electromagnetic induction experiments have demonstrated that the induced current is spread across the surfaces of complex shapes, such as an automobile body, as required by Maxwell's equations, so that induction at a single point is effective in protecting a whole, complex-shaped surface, that the power consumption is very low, and possibly that the induced signal may be tailored to optimize the efficacy. The observed efficacy is attributed to inhibition of zinc passivation as directly indicated by the coupling current. Efficacy is also indicated by inhibition of rusting at scribes in painted panels. It is important to emphasize that the technique is not a classical, impressed current cathodic protection (ICCP) system. K E Y W O R D S automobile corrosion, electromagnetic induction corrosion control technology, galvanized steel, galvannealed steel, surface currents 1 | INTRODUCTION This paper describes the evaluation of a new corrosion control technology, electromagnetic induction corrosion control technology (EICCT), which has been found to protect painted galvanized steel panels at damage sites where bare steel is exposed. To our knowledge, this technology has only once been previously described in the open, scientific literature, and that was by the present authors, [1] but its efficacy is such that it might find widespread use in protecting painted, galvanized steel structures (e.g., automobile bodies, roofing, guard rails, and light standards). The surface currents that are postulated to be responsible for protection are induced into the metal structure by a pulse generator, hereafter termed the Module. Some technical details of the Module are given below.","author":[{"dropping-particle":"","family":"Macdonald","given":"Digby D.","non-dropping-particle":"","parse-names":false,"suffix":""},{"dropping-particle":"","family":"Lewis","given":"Michael","non-dropping-particle":"","parse-names":false,"suffix":""},{"dropping-particle":"","family":"McLafferty","given":"Jason","non-dropping-particle":"","parse-names":false,"suffix":""},{"dropping-particle":"","family":"Maya-Visuet","given":"Enrique","non-dropping-particle":"","parse-names":false,"suffix":""},{"dropping-particle":"","family":"Peek","given":"Randy","non-dropping-particle":"","parse-names":false,"suffix":""}],"container-title":"Materials and Corrosion","id":"ITEM-4","issue":"4","issued":{"date-parts":[["2018"]]},"page":"436-446","title":"Electromagnetic induction corrosion control technology (EICCT)","type":"article-journal","volume":"69"},"uris":["http://www.mendeley.com/documents/?uuid=c2ae25c0-b69c-4d79-a1ed-6928b4deba88"]}],"mendeley":{"formattedCitation":"[7,20–22]","plainTextFormattedCitation":"[7,20–22]","previouslyFormattedCitation":"(Asrar et al., 2016; G. &amp; F., 2014; Macdonald, Lewis, McLafferty, Maya-Visuet, &amp; Peek, 2018; Schütze, 2002)"},"properties":{"noteIndex":0},"schema":"https://github.com/citation-style-language/schema/raw/master/csl-citation.json"}</w:instrText>
      </w:r>
      <w:r w:rsidRPr="00311766">
        <w:rPr>
          <w:sz w:val="20"/>
          <w:lang w:val="en-US"/>
        </w:rPr>
        <w:fldChar w:fldCharType="separate"/>
      </w:r>
      <w:r w:rsidRPr="00311766">
        <w:rPr>
          <w:noProof/>
          <w:sz w:val="20"/>
          <w:lang w:val="en-US"/>
        </w:rPr>
        <w:t>[7, 20-22]</w:t>
      </w:r>
      <w:r w:rsidRPr="00311766">
        <w:rPr>
          <w:sz w:val="20"/>
          <w:lang w:val="en-US"/>
        </w:rPr>
        <w:fldChar w:fldCharType="end"/>
      </w:r>
      <w:r w:rsidRPr="00311766">
        <w:rPr>
          <w:sz w:val="20"/>
          <w:lang w:val="en-US"/>
        </w:rPr>
        <w:t xml:space="preserve">. As the hydrate and corrosion inhibitors show antagonistic behaviour, it is well known that the hydrate inhibitors used in pipeline result in corrosion most of the time. Researchers have been working for decades to find a chemical that can inhibit both hydrate and corrosion in the oil and gas pipelines. Burgazli et al. </w:t>
      </w:r>
      <w:r w:rsidRPr="00311766">
        <w:rPr>
          <w:sz w:val="20"/>
          <w:lang w:val="en-US"/>
        </w:rPr>
        <w:fldChar w:fldCharType="begin" w:fldLock="1"/>
      </w:r>
      <w:r w:rsidRPr="00311766">
        <w:rPr>
          <w:sz w:val="20"/>
          <w:lang w:val="en-US"/>
        </w:rPr>
        <w:instrText>ADDIN CSL_CITATION {"citationItems":[{"id":"ITEM-1","itemData":{"DOI":"10.2118/05-11-04","ISSN":"00219487","abstract":"An overlooked benefit of some gas hydrate inhibitors is their potential as corrosion inhibitors. In this paper, a family of mols. was evaluated as gas hydrate inhibitors by an autoclave technique. The chems. were concurrently evaluated as corrosion inhibitors by linear polarization resistance. The results indicate that there are design criteria based on the chem. of these systems, which can be used to optimize their performance as both gas hydrate inhibitors and corrosion inhibitors. [on SciFinder (R)]","author":[{"dropping-particle":"","family":"Burgazli","given":"C. R.","non-dropping-particle":"","parse-names":false,"suffix":""},{"dropping-particle":"","family":"Navarrete","given":"R. C.","non-dropping-particle":"","parse-names":false,"suffix":""},{"dropping-particle":"","family":"Mead","given":"S. L.","non-dropping-particle":"","parse-names":false,"suffix":""}],"container-title":"Journal of Canadian Petroleum Technology","id":"ITEM-1","issue":"11","issued":{"date-parts":[["2005"]]},"page":"47-50","title":"New dual purpose chemistry for gas hydrate and corrosion inhibition","type":"article-journal","volume":"44"},"uris":["http://www.mendeley.com/documents/?uuid=818cb62b-11b7-4863-b46f-d01f47876315"]}],"mendeley":{"formattedCitation":"[23]","plainTextFormattedCitation":"[23]","previouslyFormattedCitation":"(Burgazli, Navarrete, &amp; Mead, 2005)"},"properties":{"noteIndex":0},"schema":"https://github.com/citation-style-language/schema/raw/master/csl-citation.json"}</w:instrText>
      </w:r>
      <w:r w:rsidRPr="00311766">
        <w:rPr>
          <w:sz w:val="20"/>
          <w:lang w:val="en-US"/>
        </w:rPr>
        <w:fldChar w:fldCharType="separate"/>
      </w:r>
      <w:r w:rsidRPr="00311766">
        <w:rPr>
          <w:noProof/>
          <w:sz w:val="20"/>
          <w:lang w:val="en-US"/>
        </w:rPr>
        <w:t>[23]</w:t>
      </w:r>
      <w:r w:rsidRPr="00311766">
        <w:rPr>
          <w:sz w:val="20"/>
          <w:lang w:val="en-US"/>
        </w:rPr>
        <w:fldChar w:fldCharType="end"/>
      </w:r>
      <w:r w:rsidRPr="00311766">
        <w:rPr>
          <w:sz w:val="20"/>
          <w:lang w:val="en-US"/>
        </w:rPr>
        <w:t xml:space="preserve"> claimed that the corrosion inhibiting property of some gas hydrate inhibitors is an overlooked benefit to be looked upon </w:t>
      </w:r>
      <w:r w:rsidRPr="00311766">
        <w:rPr>
          <w:sz w:val="20"/>
          <w:lang w:val="en-US"/>
        </w:rPr>
        <w:fldChar w:fldCharType="begin" w:fldLock="1"/>
      </w:r>
      <w:r w:rsidRPr="00311766">
        <w:rPr>
          <w:sz w:val="20"/>
          <w:lang w:val="en-US"/>
        </w:rPr>
        <w:instrText>ADDIN CSL_CITATION {"citationItems":[{"id":"ITEM-1","itemData":{"DOI":"10.2118/05-11-04","ISSN":"00219487","abstract":"An overlooked benefit of some gas hydrate inhibitors is their potential as corrosion inhibitors. In this paper, a family of mols. was evaluated as gas hydrate inhibitors by an autoclave technique. The chems. were concurrently evaluated as corrosion inhibitors by linear polarization resistance. The results indicate that there are design criteria based on the chem. of these systems, which can be used to optimize their performance as both gas hydrate inhibitors and corrosion inhibitors. [on SciFinder (R)]","author":[{"dropping-particle":"","family":"Burgazli","given":"C. R.","non-dropping-particle":"","parse-names":false,"suffix":""},{"dropping-particle":"","family":"Navarrete","given":"R. C.","non-dropping-particle":"","parse-names":false,"suffix":""},{"dropping-particle":"","family":"Mead","given":"S. L.","non-dropping-particle":"","parse-names":false,"suffix":""}],"container-title":"Journal of Canadian Petroleum Technology","id":"ITEM-1","issue":"11","issued":{"date-parts":[["2005"]]},"page":"47-50","title":"New dual purpose chemistry for gas hydrate and corrosion inhibition","type":"article-journal","volume":"44"},"uris":["http://www.mendeley.com/documents/?uuid=818cb62b-11b7-4863-b46f-d01f47876315"]},{"id":"ITEM-2","itemData":{"author":[{"dropping-particle":"","family":"Leinweber","given":"Dirk","non-dropping-particle":"","parse-names":false,"suffix":""},{"dropping-particle":"","family":"Feustel","given":"Michael","non-dropping-particle":"","parse-names":false,"suffix":""}],"id":"ITEM-2","issued":{"date-parts":[["2009"]]},"number":"US007615102B2","publisher-place":"United States","title":"Corrosion And Gas Hydrate Inhibitors With An Increased Bological Degradability And a Reduced Toxcity","type":"patent"},"uris":["http://www.mendeley.com/documents/?uuid=986da7fa-2b4d-46f9-b56d-b806acefb801"]}],"mendeley":{"formattedCitation":"[23,24]","plainTextFormattedCitation":"[23,24]","previouslyFormattedCitation":"(Burgazli et al., 2005; Patent No. US007615102B2, 2009)"},"properties":{"noteIndex":0},"schema":"https://github.com/citation-style-language/schema/raw/master/csl-citation.json"}</w:instrText>
      </w:r>
      <w:r w:rsidRPr="00311766">
        <w:rPr>
          <w:sz w:val="20"/>
          <w:lang w:val="en-US"/>
        </w:rPr>
        <w:fldChar w:fldCharType="separate"/>
      </w:r>
      <w:r w:rsidRPr="00311766">
        <w:rPr>
          <w:noProof/>
          <w:sz w:val="20"/>
          <w:lang w:val="en-US"/>
        </w:rPr>
        <w:t>[23, 24]</w:t>
      </w:r>
      <w:r w:rsidRPr="00311766">
        <w:rPr>
          <w:sz w:val="20"/>
          <w:lang w:val="en-US"/>
        </w:rPr>
        <w:fldChar w:fldCharType="end"/>
      </w:r>
      <w:r w:rsidRPr="00311766">
        <w:rPr>
          <w:sz w:val="20"/>
          <w:lang w:val="en-US"/>
        </w:rPr>
        <w:t xml:space="preserve">. The purpose of this research is to find the dual functioning chemicals that can inhibit both hydrate and corrosion in oil and gas pipelines. In this work, glycerol showing good hydrate </w:t>
      </w:r>
      <w:r w:rsidRPr="00311766">
        <w:rPr>
          <w:sz w:val="20"/>
          <w:lang w:val="en-US"/>
        </w:rPr>
        <w:fldChar w:fldCharType="begin" w:fldLock="1"/>
      </w:r>
      <w:r w:rsidRPr="00311766">
        <w:rPr>
          <w:sz w:val="20"/>
          <w:lang w:val="en-US"/>
        </w:rPr>
        <w:instrText>ADDIN CSL_CITATION {"citationItems":[{"id":"ITEM-1","itemData":{"abstract":"In this communication, we report new experimental dissociation data for various systems consisting of methane at propylene glycol and glycerol concentration up to 50 wt%. The hydrate dissociation measurements were conducted using standard constant volume (isochoric) technique together with step-heating for achieving equilibrium conditions. A statistical thermodynamic approach, with the Cubic-Plus-Association equation of state, is employed to model the phase equilibria. The hydrate-forming conditions are modelled by the solid solution theory of van der Waals and Platteeuw. A good agreement between predictions and experimental data is observed, supporting the reliability of the developed model.","author":[{"dropping-particle":"","family":"Chapoy","given":"Antonin","non-dropping-particle":"","parse-names":false,"suffix":""},{"dropping-particle":"","family":"Burgass","given":"Rod","non-dropping-particle":"","parse-names":false,"suffix":""},{"dropping-particle":"","family":"Tohidi","given":"Bahman","non-dropping-particle":"","parse-names":false,"suffix":""}],"container-title":"8th International Conference on Gas Hydrates (ICGH8-2014),","id":"ITEM-1","issue":"0","issued":{"date-parts":[["2014","8","1"]]},"title":"Hydrate Inhibition in Propylene Glycol and Glycerol Systems","type":"book"},"uris":["http://www.mendeley.com/documents/?uuid=f6f55c57-32f1-4e59-a40e-5b4c895c568f"]},{"id":"ITEM-2","itemData":{"DOI":"10.1021/je060197w","ISSN":"0021-9568","abstract":"The effect of triethylene glycol and glycerol on the\\nequilibrium hydrate formation conditions from\\nmethane (91 mol %) + ethane and methane (90.5 mol\\n%) + propane mixtures was determined. Aqueous\\nsolutions containing (20 and 30) wt % triethylene\\nglycol and 20 % glycerol were tested. The data\\nshowed that both chemicals have considerable\\ninhibiting effect on hydrate formation and that the\\ninhibiting effect is proportional to the inhibitor\\nconcentration. 0021-9568","author":[{"dropping-particle":"","family":"Wu","given":"Hui-Jie","non-dropping-particle":"","parse-names":false,"suffix":""},{"dropping-particle":"","family":"Englezos","given":"Peter","non-dropping-particle":"","parse-names":false,"suffix":""}],"container-title":"Journal of Chemical &amp; Engineering Data","id":"ITEM-2","issue":"5","issued":{"date-parts":[["2006","9"]]},"page":"1811-1813","title":"Inhibiting Effect of Triethylene Glycol and Glycerol on Gas Hydrate Formation Conditions","type":"article-journal","volume":"51"},"uris":["http://www.mendeley.com/documents/?uuid=e4cc0213-2715-4423-9bd4-86ca911a22e5"]},{"id":"ITEM-3","itemData":{"DOI":"10.1021/ie051204x","ISSN":"0888-5885","abstract":"The statistical associating fluid theory (SAFT) equation of state is employed for the prediction of the thermodynamic inhibiting effect of methanol, glycerol, ethylene glycol, and triethylene glycol on gas hydrate formation. The results were found to be in satisfactory to excellent agreement with experimental data. The SAFT equation takes into account hard-sphere repulsion, hard chain formation, dispersion, and association. This enables this model to be able to correlate and predict successfully systems containing water, alcohols, and hydrocarbons for which traditional cubic equations of state fail in general. © 2006 American Chemical Society.","author":[{"dropping-particle":"","family":"Li","given":"Xiao-Sen","non-dropping-particle":"","parse-names":false,"suffix":""},{"dropping-particle":"","family":"Wu","given":"Hui-Jie","non-dropping-particle":"","parse-names":false,"suffix":""},{"dropping-particle":"","family":"Englezos","given":"Peter","non-dropping-particle":"","parse-names":false,"suffix":""}],"container-title":"Industrial &amp; Engineering Chemistry Research","id":"ITEM-3","issue":"6","issued":{"date-parts":[["2006","3"]]},"page":"2131-2137","title":"Prediction of Gas Hydrate Formation Conditions in the Presence of Methanol, Glycerol, Ethylene Glycol, and Triethylene Glycol with the Statistical Associating Fluid Theory Equation of State","type":"article-journal","volume":"45"},"uris":["http://www.mendeley.com/documents/?uuid=d4ebfd1b-e33c-4000-90ea-12e446063a28"]},{"id":"ITEM-4","itemData":{"DOI":"10.1088/1757-899X/458/1/012016","ISSN":"1757-899X","abstract":"In this work, PVTSim was used to predict the hydrate phase equilibrium boundaries of a Malaysia synthetic natural gas (SNG) composition with increasing CO2 and H2S compositions in the presence of commonly used hydrate thermodynamic inhibitors such as methanol (MeOH), ethanol (EtOH), mono-ethylene glycol (MEG), diethylene glycol (DEG), tri-ethylene glycol (TEG). The increasing CO2 and H2S concentrations studied ranged from 5 – 50 mol%, while the inhibitors were tested at 10 wt%. To validate the accuracy of PVTSim, a validation test was conducted by predicting the phase behavior of a natural gas in the open literature. The predicted results were in good agreement with the literature data with a percentage deviation of 0.08% from the experimental data. From the predicted hydrate phase equilibrium for pure SNG field, it was found that, when the SNG composition was modified, the hydrate formation region shrank at increasing CO2 composition, reducing the hydrate formation risk whereas the hydrate formation region expanded at increasing H2S composition, increasing the hydrate formation threat. TEG was found to best inhibit hydrate formation in the studied gas compositions. 1.","author":[{"dropping-particle":"","family":"Bavoh","given":"Cornelius B.","non-dropping-particle":"","parse-names":false,"suffix":""},{"dropping-particle":"","family":"Khan","given":"Muhammad Saad","non-dropping-particle":"","parse-names":false,"suffix":""},{"dropping-particle":"","family":"Ting","given":"Vennesa Johnny","non-dropping-particle":"","parse-names":false,"suffix":""},{"dropping-particle":"","family":"Lal","given":"Bhajan","non-dropping-particle":"","parse-names":false,"suffix":""},{"dropping-particle":"","family":"Ofei","given":"Titus Ntow","non-dropping-particle":"","parse-names":false,"suffix":""},{"dropping-particle":"","family":"Ben-Awuah","given":"Joel","non-dropping-particle":"","parse-names":false,"suffix":""},{"dropping-particle":"","family":"Ayoub","given":"Muhammad","non-dropping-particle":"","parse-names":false,"suffix":""},{"dropping-particle":"","family":"Shariff","given":"Azmi Bin Mohd","non-dropping-particle":"","parse-names":false,"suffix":""},{"dropping-particle":"","family":"Lal","given":"Bhajan","non-dropping-particle":"","parse-names":false,"suffix":""},{"dropping-particle":"","family":"Bavoh","given":"Cornelius B.","non-dropping-particle":"","parse-names":false,"suffix":""},{"dropping-particle":"","family":"Khan","given":"Muhammad Saad","non-dropping-particle":"","parse-names":false,"suffix":""},{"dropping-particle":"","family":"Shariff","given":"Azmi Bin Mohd","non-dropping-particle":"","parse-names":false,"suffix":""},{"dropping-particle":"","family":"Ben-Awuah","given":"Joel","non-dropping-particle":"","parse-names":false,"suffix":""},{"dropping-particle":"","family":"Ayoub","given":"Muhammad","non-dropping-particle":"","parse-names":false,"suffix":""},{"dropping-particle":"","family":"Ting","given":"Vennesa Johnny","non-dropping-particle":"","parse-names":false,"suffix":""},{"dropping-particle":"","family":"Lal","given":"Bhajan","non-dropping-particle":"","parse-names":false,"suffix":""},{"dropping-particle":"","family":"Ofei","given":"Titus Ntow","non-dropping-particle":"","parse-names":false,"suffix":""},{"dropping-particle":"","family":"Ben-Awuah","given":"Joel","non-dropping-particle":"","parse-names":false,"suffix":""},{"dropping-particle":"","family":"Ayoub","given":"Muhammad","non-dropping-particle":"","parse-names":false,"suffix":""},{"dropping-particle":"","family":"Shariff","given":"Azmi Bin Mohd","non-dropping-particle":"","parse-names":false,"suffix":""}],"container-title":"IOP Conference Series: Materials Science and Engineering","id":"ITEM-4","issue":"1","issued":{"date-parts":[["2018","12","24"]]},"page":"012016","title":"The Effect of Acidic Gases and Thermodynamic Inhibitors on the Hydrates Phase Boundary of Synthetic Malaysia Natural Gas","type":"article-journal","volume":"458"},"uris":["http://www.mendeley.com/documents/?uuid=c670911a-04d8-4654-abd2-ca002ef298f5"]}],"mendeley":{"formattedCitation":"[25–28]","plainTextFormattedCitation":"[25–28]","previouslyFormattedCitation":"(Bavoh et al., 2018; Chapoy, Burgass, &amp; Tohidi, 2014; Li, Wu, &amp; Englezos, 2006; Wu &amp; Englezos, 2006)"},"properties":{"noteIndex":0},"schema":"https://github.com/citation-style-language/schema/raw/master/csl-citation.json"}</w:instrText>
      </w:r>
      <w:r w:rsidRPr="00311766">
        <w:rPr>
          <w:sz w:val="20"/>
          <w:lang w:val="en-US"/>
        </w:rPr>
        <w:fldChar w:fldCharType="separate"/>
      </w:r>
      <w:r w:rsidRPr="00311766">
        <w:rPr>
          <w:noProof/>
          <w:sz w:val="20"/>
          <w:lang w:val="en-US"/>
        </w:rPr>
        <w:t>[25-28]</w:t>
      </w:r>
      <w:r w:rsidRPr="00311766">
        <w:rPr>
          <w:sz w:val="20"/>
          <w:lang w:val="en-US"/>
        </w:rPr>
        <w:fldChar w:fldCharType="end"/>
      </w:r>
      <w:r w:rsidRPr="00311766">
        <w:rPr>
          <w:sz w:val="20"/>
          <w:lang w:val="en-US"/>
        </w:rPr>
        <w:t xml:space="preserve">, and corrosion </w:t>
      </w:r>
      <w:r w:rsidRPr="00311766">
        <w:rPr>
          <w:sz w:val="20"/>
          <w:lang w:val="en-US"/>
        </w:rPr>
        <w:fldChar w:fldCharType="begin" w:fldLock="1"/>
      </w:r>
      <w:r w:rsidRPr="00311766">
        <w:rPr>
          <w:sz w:val="20"/>
          <w:lang w:val="en-US"/>
        </w:rPr>
        <w:instrText>ADDIN CSL_CITATION {"citationItems":[{"id":"ITEM-1","itemData":{"DOI":"10.1155/2014/396405","ISSN":"2090-9063","abstract":"The inhibitory effect of glycerol on copper corrosion in aerated NaCl (0.5 M) solutions at three pH values (4, 7, and 10) was evaluated. Inhibition efficiency was assessed with conventional electrochemical techniques: open circuit potential, potentiodynamic polarization, and electrochemical impedance analysis. Glycerol reduced the corrosion rate of copper in NaCl solutions. The best inhibition effect ( η ≈ 83 % ) was produced in alkaline (pH 10) chloride media. This effect can be ascribed to increased viscosity and the presence of copper-glycerol complexes.","author":[{"dropping-particle":"","family":"Chi-Ucán","given":"Santos Lorenzo","non-dropping-particle":"","parse-names":false,"suffix":""},{"dropping-particle":"","family":"Castillo-Atoche","given":"Andrea","non-dropping-particle":"","parse-names":false,"suffix":""},{"dropping-particle":"","family":"Castro Borges","given":"Pedro","non-dropping-particle":"","parse-names":false,"suffix":""},{"dropping-particle":"","family":"Manzanilla-Cano","given":"José Antonio","non-dropping-particle":"","parse-names":false,"suffix":""},{"dropping-particle":"","family":"González-García","given":"Gerardo","non-dropping-particle":"","parse-names":false,"suffix":""},{"dropping-particle":"","family":"Patiño","given":"Rodrigo","non-dropping-particle":"","parse-names":false,"suffix":""},{"dropping-particle":"","family":"Díaz-Ballote","given":"Luis","non-dropping-particle":"","parse-names":false,"suffix":""}],"container-title":"Journal of Chemistry","id":"ITEM-1","issue":"Figure 1","issued":{"date-parts":[["2014"]]},"page":"1-10","title":"Inhibition Effect of Glycerol on the Corrosion of Copper in NaCl Solutions at Different pH Values","type":"article-journal","volume":"2014"},"uris":["http://www.mendeley.com/documents/?uuid=c293697f-04e0-401b-8f43-70a0d8821982"]},{"id":"ITEM-2","itemData":{"DOI":"10.11159/ffhmt16.162","abstract":"The inhibitive effect of (crude) waste glycerol from biodiesel manufacturing process on the corrosion behavior of steel was investigated. The inhibitory effects were studied on steel in 0.5 N hydrochloric acid solutions, using a weight loss method, and Scanning Electron Microscopy (SEM) techniques. The inhibition effect was studied by varying concentrations of inhibitors (0.1, 0.3, 0.5, 0.8, and 1.0%) by weight of solution. The corrosion of steel was inhibited continuously with the amount of inhibitor added. It reached to very high level of inhibition with 0.8 and 1% of inhibitor concentration. The adsorption isotherm models were applied and it is shown that the adsorption of inhibitor layer followed Langmuir isotherm model. The Scanning Electron Microscopy showed that the inhibitor is covering the surface of the metal so that it prevents the metal surface to be in contact with the acid medium.","author":[{"dropping-particle":"Al","family":"Zubaidi","given":"Isam","non-dropping-particle":"","parse-names":false,"suffix":""},{"dropping-particle":"","family":"Ibrahim","given":"Hussameldin","non-dropping-particle":"","parse-names":false,"suffix":""},{"dropping-particle":"","family":"Jones","given":"Robert","non-dropping-particle":"","parse-names":false,"suffix":""},{"dropping-particle":"","family":"Alzughaibi","given":"Mohammed","non-dropping-particle":"","parse-names":false,"suffix":""},{"dropping-particle":"","family":"Albayyadhi","given":"Moayed","non-dropping-particle":"","parse-names":false,"suffix":""},{"dropping-particle":"","family":"Darzi","given":"Farzad","non-dropping-particle":"","parse-names":false,"suffix":""}],"container-title":"Proceedings of the 3rd International Conference of Fluid Flow, Heat and Mass Transfer (FFHMT'16)","id":"ITEM-2","issue":"162","issued":{"date-parts":[["2016","5"]]},"page":"1-8","title":"Waste Glycerol as New Green Inhibition for Metal Corrosion in Acid Medium","type":"paper-conference"},"uris":["http://www.mendeley.com/documents/?uuid=7d9209ca-df79-4ff1-a95c-99242e395297"]},{"id":"ITEM-3","itemData":{"DOI":"10.3390/asi1020012","ISSN":"2571-5577","author":[{"dropping-particle":"Al","family":"Zubaidi","given":"Isam","non-dropping-particle":"","parse-names":false,"suffix":""},{"dropping-particle":"","family":"Jones","given":"Robert","non-dropping-particle":"","parse-names":false,"suffix":""},{"dropping-particle":"","family":"Alzughaibi","given":"Mohammed","non-dropping-particle":"","parse-names":false,"suffix":""},{"dropping-particle":"","family":"Albayyadhi","given":"Moayed","non-dropping-particle":"","parse-names":false,"suffix":""},{"dropping-particle":"","family":"Darzi","given":"Farzad","non-dropping-particle":"","parse-names":false,"suffix":""},{"dropping-particle":"","family":"Ibrahim","given":"Hussameldin","non-dropping-particle":"","parse-names":false,"suffix":""}],"container-title":"Applied System Innovation","id":"ITEM-3","issue":"2","issued":{"date-parts":[["2018","4","29"]]},"page":"12","title":"Crude Glycerol as an Innovative Corrosion Inhibitor","type":"article-journal","volume":"1"},"uris":["http://www.mendeley.com/documents/?uuid=1a6db356-e4ba-414c-a8f5-eab705648b35"]}],"mendeley":{"formattedCitation":"[29–31]","plainTextFormattedCitation":"[29–31]","previouslyFormattedCitation":"(Chi-Ucán et al., 2014; Zubaidi et al., 2016, 2018)"},"properties":{"noteIndex":0},"schema":"https://github.com/citation-style-language/schema/raw/master/csl-citation.json"}</w:instrText>
      </w:r>
      <w:r w:rsidRPr="00311766">
        <w:rPr>
          <w:sz w:val="20"/>
          <w:lang w:val="en-US"/>
        </w:rPr>
        <w:fldChar w:fldCharType="separate"/>
      </w:r>
      <w:r w:rsidRPr="00311766">
        <w:rPr>
          <w:noProof/>
          <w:sz w:val="20"/>
          <w:lang w:val="en-US"/>
        </w:rPr>
        <w:t>[29-31]</w:t>
      </w:r>
      <w:r w:rsidRPr="00311766">
        <w:rPr>
          <w:sz w:val="20"/>
          <w:lang w:val="en-US"/>
        </w:rPr>
        <w:fldChar w:fldCharType="end"/>
      </w:r>
      <w:r w:rsidRPr="00311766">
        <w:rPr>
          <w:sz w:val="20"/>
          <w:lang w:val="en-US"/>
        </w:rPr>
        <w:t xml:space="preserve"> inhibiting property in different conditions, is tested for its corrosion inhibition effect on Mild Steel X52 in 3.5wt.% sodium chloride (NaCl) solution.</w:t>
      </w:r>
    </w:p>
    <w:p w:rsidR="00311766" w:rsidRPr="00311766" w:rsidRDefault="00311766" w:rsidP="00311766">
      <w:pPr>
        <w:spacing w:after="0" w:line="240" w:lineRule="auto"/>
        <w:jc w:val="center"/>
        <w:outlineLvl w:val="0"/>
        <w:rPr>
          <w:rFonts w:ascii="Times New Roman" w:hAnsi="Times New Roman"/>
          <w:sz w:val="20"/>
          <w:szCs w:val="20"/>
        </w:rPr>
      </w:pPr>
    </w:p>
    <w:p w:rsidR="00311766" w:rsidRPr="00311766" w:rsidRDefault="00311766" w:rsidP="00311766">
      <w:pPr>
        <w:spacing w:after="0" w:line="240" w:lineRule="auto"/>
        <w:jc w:val="center"/>
        <w:outlineLvl w:val="0"/>
        <w:rPr>
          <w:rFonts w:ascii="Times New Roman" w:hAnsi="Times New Roman"/>
          <w:b/>
          <w:sz w:val="20"/>
          <w:szCs w:val="20"/>
        </w:rPr>
      </w:pPr>
      <w:r w:rsidRPr="00311766">
        <w:rPr>
          <w:rFonts w:ascii="Times New Roman" w:hAnsi="Times New Roman"/>
          <w:b/>
          <w:sz w:val="20"/>
          <w:szCs w:val="20"/>
        </w:rPr>
        <w:t>Materials and Methods</w:t>
      </w:r>
    </w:p>
    <w:p w:rsidR="00311766" w:rsidRPr="00311766" w:rsidRDefault="00311766" w:rsidP="00311766">
      <w:pPr>
        <w:spacing w:after="0" w:line="240" w:lineRule="auto"/>
        <w:jc w:val="both"/>
        <w:outlineLvl w:val="0"/>
        <w:rPr>
          <w:rFonts w:ascii="Times New Roman" w:hAnsi="Times New Roman"/>
          <w:b/>
          <w:bCs/>
          <w:sz w:val="20"/>
          <w:szCs w:val="20"/>
        </w:rPr>
      </w:pPr>
      <w:r w:rsidRPr="00311766">
        <w:rPr>
          <w:rFonts w:ascii="Times New Roman" w:hAnsi="Times New Roman"/>
          <w:b/>
          <w:bCs/>
          <w:sz w:val="20"/>
          <w:szCs w:val="20"/>
        </w:rPr>
        <w:t>Materials</w:t>
      </w:r>
    </w:p>
    <w:p w:rsidR="00311766" w:rsidRPr="00311766" w:rsidRDefault="00311766" w:rsidP="00311766">
      <w:pPr>
        <w:spacing w:after="0" w:line="240" w:lineRule="auto"/>
        <w:jc w:val="both"/>
        <w:rPr>
          <w:rFonts w:ascii="Times New Roman" w:hAnsi="Times New Roman"/>
          <w:sz w:val="20"/>
          <w:szCs w:val="20"/>
        </w:rPr>
      </w:pPr>
      <w:r w:rsidRPr="00311766">
        <w:rPr>
          <w:rFonts w:ascii="Times New Roman" w:hAnsi="Times New Roman"/>
          <w:sz w:val="20"/>
          <w:szCs w:val="20"/>
        </w:rPr>
        <w:t xml:space="preserve">Glycerol with 99.5% purity was purchased from MERCK (CAS 56-81-5) for this experiment. The 3.5wt.% NaCl brine solution, which is the corrosive medium for the corrosion study was prepared by using deionised water and reagent grade NaCl. Mild steel X52 samples with the dimensions of 10x10x5 mm have been used as the metal specimens. The composition of mild steel X52 is obtained from previous literature </w:t>
      </w:r>
      <w:r w:rsidRPr="00311766">
        <w:rPr>
          <w:rFonts w:ascii="Times New Roman" w:hAnsi="Times New Roman"/>
          <w:sz w:val="20"/>
          <w:szCs w:val="20"/>
        </w:rPr>
        <w:fldChar w:fldCharType="begin" w:fldLock="1"/>
      </w:r>
      <w:r w:rsidRPr="00311766">
        <w:rPr>
          <w:rFonts w:ascii="Times New Roman" w:hAnsi="Times New Roman"/>
          <w:sz w:val="20"/>
          <w:szCs w:val="20"/>
        </w:rPr>
        <w:instrText>ADDIN CSL_CITATION {"citationItems":[{"id":"ITEM-1","itemData":{"DOI":"10.1016/j.corsci.2019.03.041","ISSN":"0010938X","abstract":"The corrosion inhibition behavior of 1-ethyl 3-methylimidazolium thiocyanate, (EMIM) + (SCN) − ionic liquid (IL), on API 5 L X52 steel immersed in 0.5 M H 2 SO 4 and 0.5 M HCl aqueous solutions were studied. The kinetic corrosion parameters were determined using a gravimetrical method and electrochemical tests (polarization curves, electrochemical impedance spectroscopy). The (EMIM) + (SCN) − exhibited good inhibition efficiency, IE, (82.9% and 77.4% for H 2 SO 4 (75 ppm) and HCl (100 ppm) solutions) properties in both solutions acting as a mixed-type inhibitor. In H 2 SO 4 the IE increased with increasing IL concentration and temperature, while in HCl IE decreased with the temperature increase. The IL adsorption mechanism followed the Langmuir isotherm, presenting a competition between the physical and chemical interactions. Surface analysis techniques (energy dispersive spectroscopy and X-ray photoelectron spectroscopy) indicate that the inhibitor formed a protective film on the steel surface, evidencing the adsorption of the cation (EMIM) + and the anion (SCN) − of the IL on the steel surface, which corroborates that both the (EMIM) + and the (SCN) − of IL interact with the substrate. The evaluation of interactions of (EMIM) + (SCN) − molecules with H 2 SO 4 and HCl in the presence of water on different surfaces of iron Fe and Fe 2 O 3 (110) plane was performed, using molecular dynamics to determine the inhibitor adsorption energies in both acid media. The simulation results are in close agreement with the experimental observations that the inhibition efficiency is better in H 2 SO 4 solution in comparison with that in HCl due to the higher adsorption energy values obtained in H 2 SO 4 medium.","author":[{"dropping-particle":"","family":"Corrales-Luna","given":"Mónica","non-dropping-particle":"","parse-names":false,"suffix":""},{"dropping-particle":"","family":"Manh","given":"Tu","non-dropping-particle":"Le","parse-names":false,"suffix":""},{"dropping-particle":"","family":"Romero-Romo","given":"Mario","non-dropping-particle":"","parse-names":false,"suffix":""},{"dropping-particle":"","family":"Palomar-Pardavé","given":"Manuel","non-dropping-particle":"","parse-names":false,"suffix":""},{"dropping-particle":"","family":"Arce-Estrada","given":"Elsa M.","non-dropping-particle":"","parse-names":false,"suffix":""}],"container-title":"Corrosion Science","id":"ITEM-1","issued":{"date-parts":[["2019","3"]]},"publisher":"Elsevier Ltd.","title":"1-Ethyl 3-methylimidazolium thiocyanate ionic liquid as corrosion inhibitor of API 5L X52 steel in H2SO4 and HCl media","type":"article-journal"},"uris":["http://www.mendeley.com/documents/?uuid=ddb0a121-ea07-4317-852d-4765fab927fb"]}],"mendeley":{"formattedCitation":"[32]","plainTextFormattedCitation":"[32]","previouslyFormattedCitation":"(Corrales-Luna, Le Manh, Romero-Romo, Palomar-Pardavé, &amp; Arce-Estrada, 2019)"},"properties":{"noteIndex":0},"schema":"https://github.com/citation-style-language/schema/raw/master/csl-citation.json"}</w:instrText>
      </w:r>
      <w:r w:rsidRPr="00311766">
        <w:rPr>
          <w:rFonts w:ascii="Times New Roman" w:hAnsi="Times New Roman"/>
          <w:sz w:val="20"/>
          <w:szCs w:val="20"/>
        </w:rPr>
        <w:fldChar w:fldCharType="separate"/>
      </w:r>
      <w:r w:rsidRPr="00311766">
        <w:rPr>
          <w:rFonts w:ascii="Times New Roman" w:hAnsi="Times New Roman"/>
          <w:noProof/>
          <w:sz w:val="20"/>
          <w:szCs w:val="20"/>
        </w:rPr>
        <w:t>[32]</w:t>
      </w:r>
      <w:r w:rsidRPr="00311766">
        <w:rPr>
          <w:rFonts w:ascii="Times New Roman" w:hAnsi="Times New Roman"/>
          <w:sz w:val="20"/>
          <w:szCs w:val="20"/>
        </w:rPr>
        <w:fldChar w:fldCharType="end"/>
      </w:r>
      <w:r w:rsidRPr="00311766">
        <w:rPr>
          <w:rFonts w:ascii="Times New Roman" w:hAnsi="Times New Roman"/>
          <w:sz w:val="20"/>
          <w:szCs w:val="20"/>
        </w:rPr>
        <w:t>. The metal specimen is abraded up to 800 grit, to eliminate the surface impurities. Mild steel X52 is then washed using distilled water, rinsed with Acetone to degrease, and dried. These metal samples are used for the weight loss method in the control solution of 3.5wt.% of NaCl, and the different concentrations of glycerol in the solution.</w:t>
      </w:r>
    </w:p>
    <w:p w:rsidR="00311766" w:rsidRPr="00311766" w:rsidRDefault="00311766" w:rsidP="00311766">
      <w:pPr>
        <w:pStyle w:val="ListParagraph"/>
        <w:spacing w:after="0" w:line="240" w:lineRule="auto"/>
        <w:ind w:left="0"/>
        <w:contextualSpacing w:val="0"/>
        <w:jc w:val="both"/>
        <w:rPr>
          <w:rFonts w:ascii="Times New Roman" w:hAnsi="Times New Roman"/>
          <w:sz w:val="20"/>
          <w:szCs w:val="20"/>
        </w:rPr>
      </w:pPr>
    </w:p>
    <w:p w:rsidR="00311766" w:rsidRPr="00311766" w:rsidRDefault="00311766" w:rsidP="00311766">
      <w:pPr>
        <w:spacing w:after="0" w:line="240" w:lineRule="auto"/>
        <w:jc w:val="both"/>
        <w:outlineLvl w:val="0"/>
        <w:rPr>
          <w:rFonts w:ascii="Times New Roman" w:hAnsi="Times New Roman"/>
          <w:b/>
          <w:sz w:val="20"/>
          <w:szCs w:val="20"/>
        </w:rPr>
      </w:pPr>
      <w:r w:rsidRPr="00311766">
        <w:rPr>
          <w:rFonts w:ascii="Times New Roman" w:hAnsi="Times New Roman"/>
          <w:b/>
          <w:sz w:val="20"/>
          <w:szCs w:val="20"/>
        </w:rPr>
        <w:t xml:space="preserve">Evaluation of pH and electrical conductivity </w:t>
      </w:r>
    </w:p>
    <w:p w:rsidR="00311766" w:rsidRPr="00311766" w:rsidRDefault="00311766" w:rsidP="00311766">
      <w:pPr>
        <w:pStyle w:val="ListParagraph"/>
        <w:spacing w:after="0" w:line="240" w:lineRule="auto"/>
        <w:ind w:left="0"/>
        <w:contextualSpacing w:val="0"/>
        <w:jc w:val="both"/>
        <w:rPr>
          <w:rFonts w:ascii="Times New Roman" w:hAnsi="Times New Roman"/>
          <w:sz w:val="20"/>
          <w:szCs w:val="20"/>
        </w:rPr>
      </w:pPr>
      <w:r w:rsidRPr="00311766">
        <w:rPr>
          <w:rFonts w:ascii="Times New Roman" w:hAnsi="Times New Roman"/>
          <w:sz w:val="20"/>
          <w:szCs w:val="20"/>
        </w:rPr>
        <w:t>Both pH and electrical conductivity meter are calibrated according to the user manual. SCHOTT Lab 860 probe has been used for the pH measurement. This equipment, which is used to measure the acidity or basicity of solutions has an electrode attached to the meter, and the corresponding reading can be taken from the screen. Meanwhile, for electrical conductivity, SCHOTT Lab 960 is used. This equipment has a probe with a 4-pole cell made of graphite, which enables quick and reliable conductivity measurement with an accuracy of ±0.5% using alternating current. The tests are done at room temperature, 298.15K. The temperature is essential for the reproducibility of the conductivity measurement. The probes are immersed directly into the beakers that contain the prepared solutions, and the results appearing on the screen are recorded once they are stabilised. The measurements are repeated to confirm reproducibility.</w:t>
      </w:r>
    </w:p>
    <w:p w:rsidR="00311766" w:rsidRPr="00311766" w:rsidRDefault="00311766" w:rsidP="00311766">
      <w:pPr>
        <w:pStyle w:val="ListParagraph"/>
        <w:spacing w:after="0" w:line="240" w:lineRule="auto"/>
        <w:ind w:left="0"/>
        <w:contextualSpacing w:val="0"/>
        <w:jc w:val="both"/>
        <w:rPr>
          <w:rFonts w:ascii="Times New Roman" w:hAnsi="Times New Roman"/>
          <w:sz w:val="20"/>
          <w:szCs w:val="20"/>
        </w:rPr>
      </w:pPr>
    </w:p>
    <w:p w:rsidR="00311766" w:rsidRPr="00311766" w:rsidRDefault="00311766" w:rsidP="00311766">
      <w:pPr>
        <w:pStyle w:val="ListParagraph"/>
        <w:spacing w:after="0" w:line="240" w:lineRule="auto"/>
        <w:ind w:left="0"/>
        <w:contextualSpacing w:val="0"/>
        <w:jc w:val="both"/>
        <w:rPr>
          <w:rFonts w:ascii="Times New Roman" w:hAnsi="Times New Roman"/>
          <w:b/>
          <w:bCs/>
          <w:sz w:val="20"/>
          <w:szCs w:val="20"/>
        </w:rPr>
      </w:pPr>
      <w:r w:rsidRPr="00311766">
        <w:rPr>
          <w:rFonts w:ascii="Times New Roman" w:hAnsi="Times New Roman"/>
          <w:b/>
          <w:bCs/>
          <w:sz w:val="20"/>
          <w:szCs w:val="20"/>
        </w:rPr>
        <w:t>Weight loss method</w:t>
      </w:r>
    </w:p>
    <w:p w:rsidR="00311766" w:rsidRPr="00311766" w:rsidRDefault="00311766" w:rsidP="00311766">
      <w:pPr>
        <w:pStyle w:val="ListParagraph"/>
        <w:spacing w:after="0" w:line="240" w:lineRule="auto"/>
        <w:ind w:left="0"/>
        <w:contextualSpacing w:val="0"/>
        <w:jc w:val="both"/>
        <w:rPr>
          <w:rFonts w:ascii="Times New Roman" w:hAnsi="Times New Roman"/>
          <w:sz w:val="20"/>
          <w:szCs w:val="20"/>
        </w:rPr>
      </w:pPr>
      <w:r w:rsidRPr="00311766">
        <w:rPr>
          <w:rFonts w:ascii="Times New Roman" w:hAnsi="Times New Roman"/>
          <w:sz w:val="20"/>
          <w:szCs w:val="20"/>
        </w:rPr>
        <w:t>The metal samples are accurately weighed with Mettler Toledo electronic digital weighing balance which has a sensitivity of 0.01mg and a standard deviation of ±0.02 mg. The weighed samples are dried before being inserted into the corrosive medium. The samples are submerged into the corrosive medium, and the beakers are covered with paraffin film to ensure the solution is not exposed to foreign compounds. After the 30 days of immersion, the metal specimen was removed, washed, dried and weighed again to obtain the final mass. The corrosion rate was calculated using Equation 1.</w:t>
      </w:r>
    </w:p>
    <w:p w:rsidR="00311766" w:rsidRPr="00311766" w:rsidRDefault="00311766" w:rsidP="00311766">
      <w:pPr>
        <w:pStyle w:val="ListParagraph"/>
        <w:spacing w:after="0" w:line="240" w:lineRule="auto"/>
        <w:ind w:left="0" w:firstLine="720"/>
        <w:contextualSpacing w:val="0"/>
        <w:jc w:val="both"/>
        <w:rPr>
          <w:rFonts w:ascii="Times New Roman" w:hAnsi="Times New Roman"/>
          <w:sz w:val="20"/>
          <w:szCs w:val="20"/>
        </w:rPr>
      </w:pPr>
      <m:oMath>
        <m:r>
          <w:rPr>
            <w:rFonts w:ascii="Cambria Math" w:hAnsi="Cambria Math"/>
            <w:sz w:val="20"/>
            <w:szCs w:val="20"/>
          </w:rPr>
          <w:lastRenderedPageBreak/>
          <m:t>CR</m:t>
        </m:r>
        <m:r>
          <m:rPr>
            <m:sty m:val="p"/>
          </m:rPr>
          <w:rPr>
            <w:rFonts w:ascii="Cambria Math" w:hAnsi="Cambria Math"/>
            <w:sz w:val="20"/>
            <w:szCs w:val="20"/>
          </w:rPr>
          <m:t>= 8.76*</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4</m:t>
            </m:r>
          </m:sup>
        </m:sSup>
        <m:d>
          <m:dPr>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m</m:t>
                    </m:r>
                  </m:e>
                  <m:sub>
                    <m:r>
                      <w:rPr>
                        <w:rFonts w:ascii="Cambria Math" w:hAnsi="Cambria Math"/>
                        <w:sz w:val="20"/>
                        <w:szCs w:val="20"/>
                      </w:rPr>
                      <m:t>F</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m</m:t>
                    </m:r>
                  </m:e>
                  <m:sub>
                    <m:r>
                      <w:rPr>
                        <w:rFonts w:ascii="Cambria Math" w:hAnsi="Cambria Math"/>
                        <w:sz w:val="20"/>
                        <w:szCs w:val="20"/>
                      </w:rPr>
                      <m:t>o</m:t>
                    </m:r>
                  </m:sub>
                </m:sSub>
              </m:num>
              <m:den>
                <m:r>
                  <w:rPr>
                    <w:rFonts w:ascii="Cambria Math" w:hAnsi="Cambria Math"/>
                    <w:sz w:val="20"/>
                    <w:szCs w:val="20"/>
                  </w:rPr>
                  <m:t>Aρt</m:t>
                </m:r>
              </m:den>
            </m:f>
          </m:e>
        </m:d>
        <m:r>
          <m:rPr>
            <m:sty m:val="p"/>
          </m:rPr>
          <w:rPr>
            <w:rFonts w:ascii="Cambria Math" w:hAnsi="Cambria Math"/>
            <w:sz w:val="20"/>
            <w:szCs w:val="20"/>
          </w:rPr>
          <m:t>*100%</m:t>
        </m:r>
      </m:oMath>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t xml:space="preserve">  </w:t>
      </w:r>
      <w:r>
        <w:rPr>
          <w:rFonts w:ascii="Times New Roman" w:hAnsi="Times New Roman"/>
          <w:sz w:val="20"/>
          <w:szCs w:val="20"/>
        </w:rPr>
        <w:t xml:space="preserve">      </w:t>
      </w:r>
      <w:r w:rsidRPr="00311766">
        <w:rPr>
          <w:rFonts w:ascii="Times New Roman" w:hAnsi="Times New Roman"/>
          <w:sz w:val="20"/>
          <w:szCs w:val="20"/>
        </w:rPr>
        <w:t xml:space="preserve"> (1)</w:t>
      </w:r>
    </w:p>
    <w:p w:rsidR="00311766" w:rsidRPr="00311766" w:rsidRDefault="00311766" w:rsidP="00311766">
      <w:pPr>
        <w:pStyle w:val="ListParagraph"/>
        <w:spacing w:after="0" w:line="240" w:lineRule="auto"/>
        <w:ind w:left="0"/>
        <w:contextualSpacing w:val="0"/>
        <w:jc w:val="both"/>
        <w:rPr>
          <w:rFonts w:ascii="Times New Roman" w:hAnsi="Times New Roman"/>
          <w:sz w:val="20"/>
          <w:szCs w:val="20"/>
        </w:rPr>
      </w:pPr>
    </w:p>
    <w:p w:rsidR="00311766" w:rsidRPr="00311766" w:rsidRDefault="00311766" w:rsidP="00311766">
      <w:pPr>
        <w:pStyle w:val="ListParagraph"/>
        <w:spacing w:after="0" w:line="240" w:lineRule="auto"/>
        <w:ind w:left="0"/>
        <w:contextualSpacing w:val="0"/>
        <w:jc w:val="both"/>
        <w:rPr>
          <w:rFonts w:ascii="Times New Roman" w:hAnsi="Times New Roman"/>
          <w:sz w:val="20"/>
          <w:szCs w:val="20"/>
        </w:rPr>
      </w:pPr>
      <w:r w:rsidRPr="00311766">
        <w:rPr>
          <w:rFonts w:ascii="Times New Roman" w:hAnsi="Times New Roman"/>
          <w:sz w:val="20"/>
          <w:szCs w:val="20"/>
        </w:rPr>
        <w:t>where m</w:t>
      </w:r>
      <w:r w:rsidRPr="00311766">
        <w:rPr>
          <w:rFonts w:ascii="Times New Roman" w:hAnsi="Times New Roman"/>
          <w:sz w:val="20"/>
          <w:szCs w:val="20"/>
          <w:vertAlign w:val="subscript"/>
        </w:rPr>
        <w:t>F</w:t>
      </w:r>
      <w:r w:rsidRPr="00311766">
        <w:rPr>
          <w:rFonts w:ascii="Times New Roman" w:hAnsi="Times New Roman"/>
          <w:sz w:val="20"/>
          <w:szCs w:val="20"/>
        </w:rPr>
        <w:t xml:space="preserve"> is the final mass of the metal, m</w:t>
      </w:r>
      <w:r w:rsidRPr="00311766">
        <w:rPr>
          <w:rFonts w:ascii="Times New Roman" w:hAnsi="Times New Roman"/>
          <w:sz w:val="20"/>
          <w:szCs w:val="20"/>
          <w:vertAlign w:val="subscript"/>
        </w:rPr>
        <w:t>0</w:t>
      </w:r>
      <w:r w:rsidRPr="00311766">
        <w:rPr>
          <w:rFonts w:ascii="Times New Roman" w:hAnsi="Times New Roman"/>
          <w:sz w:val="20"/>
          <w:szCs w:val="20"/>
        </w:rPr>
        <w:t xml:space="preserve"> is the initial mass of the metal; A is the exposed surface area of metal, ρ is the density of the metal and t is the immersion period. Meanwhile, the degree of surface coverage (θ) and inhibition efficiency (η %) can be determined using equations (2) and (3).</w:t>
      </w:r>
    </w:p>
    <w:p w:rsidR="00311766" w:rsidRPr="00311766" w:rsidRDefault="00311766" w:rsidP="00311766">
      <w:pPr>
        <w:pStyle w:val="ListParagraph"/>
        <w:spacing w:after="0" w:line="240" w:lineRule="auto"/>
        <w:ind w:left="0"/>
        <w:contextualSpacing w:val="0"/>
        <w:jc w:val="both"/>
        <w:rPr>
          <w:rFonts w:ascii="Times New Roman" w:hAnsi="Times New Roman"/>
          <w:sz w:val="20"/>
          <w:szCs w:val="20"/>
        </w:rPr>
      </w:pPr>
    </w:p>
    <w:p w:rsidR="00311766" w:rsidRPr="00311766" w:rsidRDefault="00311766" w:rsidP="00311766">
      <w:pPr>
        <w:pStyle w:val="ListParagraph"/>
        <w:spacing w:after="0" w:line="240" w:lineRule="auto"/>
        <w:ind w:left="0" w:firstLine="720"/>
        <w:contextualSpacing w:val="0"/>
        <w:jc w:val="both"/>
        <w:rPr>
          <w:rFonts w:ascii="Times New Roman" w:hAnsi="Times New Roman"/>
          <w:bCs/>
          <w:iCs/>
          <w:sz w:val="20"/>
          <w:szCs w:val="20"/>
        </w:rPr>
      </w:pPr>
      <m:oMath>
        <m:r>
          <w:rPr>
            <w:rFonts w:ascii="Cambria Math" w:hAnsi="Cambria Math"/>
            <w:sz w:val="20"/>
            <w:szCs w:val="20"/>
          </w:rPr>
          <m:t>θ</m:t>
        </m:r>
        <m:r>
          <w:rPr>
            <w:rFonts w:ascii="Cambria Math" w:hAnsi="Cambria Math"/>
            <w:sz w:val="20"/>
            <w:szCs w:val="20"/>
            <w:vertAlign w:val="subscript"/>
          </w:rPr>
          <m:t>     </m:t>
        </m:r>
        <m:r>
          <w:rPr>
            <w:rFonts w:ascii="Cambria Math" w:hAnsi="Cambria Math"/>
            <w:sz w:val="20"/>
            <w:szCs w:val="20"/>
          </w:rPr>
          <m:t>=</m:t>
        </m:r>
        <m:r>
          <w:rPr>
            <w:rFonts w:ascii="Cambria Math" w:hAnsi="Cambria Math"/>
            <w:sz w:val="20"/>
            <w:szCs w:val="20"/>
            <w:vertAlign w:val="subscript"/>
          </w:rPr>
          <m:t> </m:t>
        </m:r>
        <m:box>
          <m:boxPr>
            <m:ctrlPr>
              <w:rPr>
                <w:rFonts w:ascii="Cambria Math" w:hAnsi="Cambria Math"/>
                <w:bCs/>
                <w:i/>
                <w:iCs/>
                <w:sz w:val="20"/>
                <w:szCs w:val="20"/>
              </w:rPr>
            </m:ctrlPr>
          </m:boxPr>
          <m:e>
            <m:argPr>
              <m:argSz m:val="-1"/>
            </m:argPr>
            <m:f>
              <m:fPr>
                <m:ctrlPr>
                  <w:rPr>
                    <w:rFonts w:ascii="Cambria Math" w:hAnsi="Cambria Math"/>
                    <w:bCs/>
                    <w:i/>
                    <w:iCs/>
                    <w:sz w:val="20"/>
                    <w:szCs w:val="20"/>
                  </w:rPr>
                </m:ctrlPr>
              </m:fPr>
              <m:num>
                <m:r>
                  <w:rPr>
                    <w:rFonts w:ascii="Cambria Math" w:hAnsi="Cambria Math"/>
                    <w:sz w:val="20"/>
                    <w:szCs w:val="20"/>
                  </w:rPr>
                  <m:t>Cr1-Cr0</m:t>
                </m:r>
              </m:num>
              <m:den>
                <m:r>
                  <w:rPr>
                    <w:rFonts w:ascii="Cambria Math" w:hAnsi="Cambria Math"/>
                    <w:sz w:val="20"/>
                    <w:szCs w:val="20"/>
                  </w:rPr>
                  <m:t>Cr1</m:t>
                </m:r>
              </m:den>
            </m:f>
          </m:e>
        </m:box>
      </m:oMath>
      <w:r w:rsidRPr="00311766">
        <w:rPr>
          <w:rFonts w:ascii="Times New Roman" w:hAnsi="Times New Roman"/>
          <w:bCs/>
          <w:iCs/>
          <w:sz w:val="20"/>
          <w:szCs w:val="20"/>
        </w:rPr>
        <w:t xml:space="preserve"> </w:t>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000D04A6">
        <w:rPr>
          <w:rFonts w:ascii="Times New Roman" w:hAnsi="Times New Roman"/>
          <w:bCs/>
          <w:iCs/>
          <w:sz w:val="20"/>
          <w:szCs w:val="20"/>
        </w:rPr>
        <w:t xml:space="preserve">                       </w:t>
      </w:r>
      <w:r w:rsidRPr="00311766">
        <w:rPr>
          <w:rFonts w:ascii="Times New Roman" w:hAnsi="Times New Roman"/>
          <w:bCs/>
          <w:iCs/>
          <w:sz w:val="20"/>
          <w:szCs w:val="20"/>
        </w:rPr>
        <w:t>(2)</w:t>
      </w:r>
    </w:p>
    <w:p w:rsidR="00311766" w:rsidRPr="00311766" w:rsidRDefault="00311766" w:rsidP="00311766">
      <w:pPr>
        <w:pStyle w:val="ListParagraph"/>
        <w:spacing w:after="0" w:line="240" w:lineRule="auto"/>
        <w:ind w:left="0" w:firstLine="720"/>
        <w:contextualSpacing w:val="0"/>
        <w:jc w:val="both"/>
        <w:rPr>
          <w:rFonts w:ascii="Times New Roman" w:hAnsi="Times New Roman"/>
          <w:bCs/>
          <w:iCs/>
          <w:sz w:val="20"/>
          <w:szCs w:val="20"/>
        </w:rPr>
      </w:pPr>
    </w:p>
    <w:p w:rsidR="00311766" w:rsidRPr="00311766" w:rsidRDefault="00311766" w:rsidP="00311766">
      <w:pPr>
        <w:pStyle w:val="ListParagraph"/>
        <w:spacing w:after="0" w:line="240" w:lineRule="auto"/>
        <w:ind w:left="0" w:firstLine="720"/>
        <w:contextualSpacing w:val="0"/>
        <w:jc w:val="both"/>
        <w:rPr>
          <w:rFonts w:ascii="Times New Roman" w:hAnsi="Times New Roman"/>
          <w:sz w:val="20"/>
          <w:szCs w:val="20"/>
        </w:rPr>
      </w:pPr>
      <m:oMath>
        <m:r>
          <w:rPr>
            <w:rFonts w:ascii="Cambria Math" w:hAnsi="Cambria Math"/>
            <w:sz w:val="20"/>
            <w:szCs w:val="20"/>
          </w:rPr>
          <m:t>η % =</m:t>
        </m:r>
        <m:r>
          <w:rPr>
            <w:rFonts w:ascii="Cambria Math" w:hAnsi="Cambria Math"/>
            <w:sz w:val="20"/>
            <w:szCs w:val="20"/>
            <w:vertAlign w:val="subscript"/>
          </w:rPr>
          <m:t> </m:t>
        </m:r>
        <m:box>
          <m:boxPr>
            <m:ctrlPr>
              <w:rPr>
                <w:rFonts w:ascii="Cambria Math" w:hAnsi="Cambria Math"/>
                <w:bCs/>
                <w:i/>
                <w:iCs/>
                <w:sz w:val="20"/>
                <w:szCs w:val="20"/>
              </w:rPr>
            </m:ctrlPr>
          </m:boxPr>
          <m:e>
            <m:argPr>
              <m:argSz m:val="-1"/>
            </m:argPr>
            <m:r>
              <w:rPr>
                <w:rFonts w:ascii="Cambria Math" w:hAnsi="Cambria Math"/>
                <w:sz w:val="20"/>
                <w:szCs w:val="20"/>
              </w:rPr>
              <m:t>θ</m:t>
            </m:r>
            <m:r>
              <w:rPr>
                <w:rFonts w:ascii="Cambria Math" w:hAnsi="Cambria Math"/>
                <w:sz w:val="20"/>
                <w:szCs w:val="20"/>
                <w:vertAlign w:val="subscript"/>
              </w:rPr>
              <m:t> </m:t>
            </m:r>
          </m:e>
        </m:box>
        <m:r>
          <w:rPr>
            <w:rFonts w:ascii="Cambria Math" w:hAnsi="Cambria Math"/>
            <w:sz w:val="20"/>
            <w:szCs w:val="20"/>
            <w:vertAlign w:val="subscript"/>
          </w:rPr>
          <m:t xml:space="preserve">* </m:t>
        </m:r>
        <m:r>
          <w:rPr>
            <w:rFonts w:ascii="Cambria Math" w:hAnsi="Cambria Math"/>
            <w:sz w:val="20"/>
            <w:szCs w:val="20"/>
          </w:rPr>
          <m:t>100%</m:t>
        </m:r>
      </m:oMath>
      <w:r w:rsidRPr="00311766">
        <w:rPr>
          <w:rFonts w:ascii="Times New Roman" w:hAnsi="Times New Roman"/>
          <w:bCs/>
          <w:iCs/>
          <w:sz w:val="20"/>
          <w:szCs w:val="20"/>
        </w:rPr>
        <w:t xml:space="preserve"> </w:t>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r>
      <w:r w:rsidRPr="00311766">
        <w:rPr>
          <w:rFonts w:ascii="Times New Roman" w:hAnsi="Times New Roman"/>
          <w:bCs/>
          <w:iCs/>
          <w:sz w:val="20"/>
          <w:szCs w:val="20"/>
        </w:rPr>
        <w:tab/>
        <w:t xml:space="preserve">   </w:t>
      </w:r>
      <w:r>
        <w:rPr>
          <w:rFonts w:ascii="Times New Roman" w:hAnsi="Times New Roman"/>
          <w:bCs/>
          <w:iCs/>
          <w:sz w:val="20"/>
          <w:szCs w:val="20"/>
        </w:rPr>
        <w:t xml:space="preserve">      </w:t>
      </w:r>
      <w:r w:rsidRPr="00311766">
        <w:rPr>
          <w:rFonts w:ascii="Times New Roman" w:hAnsi="Times New Roman"/>
          <w:bCs/>
          <w:iCs/>
          <w:sz w:val="20"/>
          <w:szCs w:val="20"/>
        </w:rPr>
        <w:t>(3)</w:t>
      </w:r>
    </w:p>
    <w:p w:rsidR="00311766" w:rsidRPr="00311766" w:rsidRDefault="00311766" w:rsidP="00311766">
      <w:pPr>
        <w:pStyle w:val="BodyText"/>
        <w:jc w:val="both"/>
        <w:rPr>
          <w:sz w:val="20"/>
          <w:lang w:val="en-IN"/>
        </w:rPr>
      </w:pPr>
    </w:p>
    <w:p w:rsidR="00311766" w:rsidRPr="00311766" w:rsidRDefault="00311766" w:rsidP="00311766">
      <w:pPr>
        <w:pStyle w:val="BodyText"/>
        <w:jc w:val="both"/>
        <w:rPr>
          <w:sz w:val="20"/>
          <w:lang w:val="en-IN"/>
        </w:rPr>
      </w:pPr>
      <w:r w:rsidRPr="00311766">
        <w:rPr>
          <w:sz w:val="20"/>
          <w:lang w:val="en-IN"/>
        </w:rPr>
        <w:t>where, Cr means corrosion rate (mm/year), θ stands for degree of surface coverage, η % means the inhibition efficiency while Cr</w:t>
      </w:r>
      <w:r w:rsidRPr="00311766">
        <w:rPr>
          <w:sz w:val="20"/>
          <w:vertAlign w:val="subscript"/>
          <w:lang w:val="en-IN"/>
        </w:rPr>
        <w:t>0</w:t>
      </w:r>
      <w:r w:rsidRPr="00311766">
        <w:rPr>
          <w:sz w:val="20"/>
          <w:lang w:val="en-IN"/>
        </w:rPr>
        <w:t xml:space="preserve"> and Cr</w:t>
      </w:r>
      <w:r w:rsidRPr="00311766">
        <w:rPr>
          <w:sz w:val="20"/>
          <w:vertAlign w:val="subscript"/>
          <w:lang w:val="en-IN"/>
        </w:rPr>
        <w:t xml:space="preserve">1 </w:t>
      </w:r>
      <w:r w:rsidRPr="00311766">
        <w:rPr>
          <w:sz w:val="20"/>
        </w:rPr>
        <w:t xml:space="preserve">mean </w:t>
      </w:r>
      <w:r w:rsidRPr="00311766">
        <w:rPr>
          <w:sz w:val="20"/>
          <w:lang w:val="en-IN"/>
        </w:rPr>
        <w:t>Corrosion rate (cm/hr) without and with inhibitor.</w:t>
      </w:r>
    </w:p>
    <w:p w:rsidR="00311766" w:rsidRPr="00311766" w:rsidRDefault="00311766" w:rsidP="00311766">
      <w:pPr>
        <w:pStyle w:val="BodyText"/>
        <w:jc w:val="both"/>
        <w:rPr>
          <w:sz w:val="20"/>
          <w:lang w:val="en-IN"/>
        </w:rPr>
      </w:pPr>
    </w:p>
    <w:p w:rsidR="00311766" w:rsidRPr="00311766" w:rsidRDefault="00311766" w:rsidP="00311766">
      <w:pPr>
        <w:spacing w:after="0" w:line="240" w:lineRule="auto"/>
        <w:jc w:val="both"/>
        <w:rPr>
          <w:rFonts w:ascii="Times New Roman" w:hAnsi="Times New Roman"/>
          <w:b/>
          <w:bCs/>
          <w:sz w:val="20"/>
          <w:szCs w:val="20"/>
        </w:rPr>
      </w:pPr>
      <w:r w:rsidRPr="00311766">
        <w:rPr>
          <w:rFonts w:ascii="Times New Roman" w:hAnsi="Times New Roman"/>
          <w:b/>
          <w:bCs/>
          <w:sz w:val="20"/>
          <w:szCs w:val="20"/>
        </w:rPr>
        <w:t xml:space="preserve">Adsorption isotherm </w:t>
      </w:r>
    </w:p>
    <w:p w:rsidR="00311766" w:rsidRPr="00311766" w:rsidRDefault="00311766" w:rsidP="00311766">
      <w:pPr>
        <w:spacing w:after="0" w:line="240" w:lineRule="auto"/>
        <w:jc w:val="both"/>
        <w:rPr>
          <w:rFonts w:ascii="Times New Roman" w:eastAsia="Calibri" w:hAnsi="Times New Roman"/>
          <w:sz w:val="20"/>
          <w:szCs w:val="20"/>
        </w:rPr>
      </w:pPr>
      <w:r w:rsidRPr="00311766">
        <w:rPr>
          <w:rFonts w:ascii="Times New Roman" w:hAnsi="Times New Roman"/>
          <w:sz w:val="20"/>
          <w:szCs w:val="20"/>
        </w:rPr>
        <w:t>Physical adsorption and chemisorption processes are the two main types of interaction in the adsorption of organic compounds onto solid surfaces. The processes are influenced by the nature and charge of the metal, the chemical structure of the inhibitor and the type of electrolyte. The experimental θ values were fitted to standard isotherms including that of Langmuir, Frumkin, Freundlich and Temkin. The value of correlation coefficient (R²) was used to choose the best-fitting isotherm equation. The adsorption isotherm equations are shown below:</w:t>
      </w:r>
    </w:p>
    <w:p w:rsidR="00311766" w:rsidRPr="00311766" w:rsidRDefault="00311766" w:rsidP="00311766">
      <w:pPr>
        <w:spacing w:after="0" w:line="240" w:lineRule="auto"/>
        <w:jc w:val="both"/>
        <w:rPr>
          <w:rFonts w:ascii="Times New Roman" w:hAnsi="Times New Roman"/>
          <w:b/>
          <w:bCs/>
          <w:sz w:val="20"/>
          <w:szCs w:val="20"/>
          <w:lang w:eastAsia="x-none"/>
        </w:rPr>
      </w:pPr>
    </w:p>
    <w:p w:rsidR="00311766" w:rsidRPr="00311766" w:rsidRDefault="00311766" w:rsidP="00311766">
      <w:pPr>
        <w:spacing w:after="0" w:line="240" w:lineRule="auto"/>
        <w:ind w:firstLine="720"/>
        <w:jc w:val="both"/>
        <w:rPr>
          <w:rFonts w:ascii="Times New Roman" w:hAnsi="Times New Roman"/>
          <w:bCs/>
          <w:sz w:val="20"/>
          <w:szCs w:val="20"/>
          <w:lang w:eastAsia="x-none"/>
        </w:rPr>
      </w:pPr>
      <w:r w:rsidRPr="00311766">
        <w:rPr>
          <w:rFonts w:ascii="Times New Roman" w:hAnsi="Times New Roman"/>
          <w:bCs/>
          <w:sz w:val="20"/>
          <w:szCs w:val="20"/>
          <w:lang w:eastAsia="x-none"/>
        </w:rPr>
        <w:t xml:space="preserve">Langmuir isotherm:  </w:t>
      </w:r>
      <m:oMath>
        <m:r>
          <w:rPr>
            <w:rFonts w:ascii="Cambria Math" w:hAnsi="Cambria Math"/>
            <w:sz w:val="20"/>
            <w:szCs w:val="20"/>
          </w:rPr>
          <m:t xml:space="preserve">   KC=</m:t>
        </m:r>
        <m:f>
          <m:fPr>
            <m:ctrlPr>
              <w:rPr>
                <w:rFonts w:ascii="Cambria Math" w:hAnsi="Cambria Math"/>
                <w:bCs/>
                <w:i/>
                <w:sz w:val="20"/>
                <w:szCs w:val="20"/>
              </w:rPr>
            </m:ctrlPr>
          </m:fPr>
          <m:num>
            <m:r>
              <w:rPr>
                <w:rFonts w:ascii="Cambria Math" w:hAnsi="Cambria Math"/>
                <w:sz w:val="20"/>
                <w:szCs w:val="20"/>
              </w:rPr>
              <m:t>θ</m:t>
            </m:r>
            <m:r>
              <w:rPr>
                <w:rFonts w:ascii="Cambria Math" w:hAnsi="Cambria Math"/>
                <w:sz w:val="20"/>
                <w:szCs w:val="20"/>
                <w:vertAlign w:val="subscript"/>
              </w:rPr>
              <m:t> </m:t>
            </m:r>
          </m:num>
          <m:den>
            <m:r>
              <w:rPr>
                <w:rFonts w:ascii="Cambria Math" w:hAnsi="Cambria Math"/>
                <w:sz w:val="20"/>
                <w:szCs w:val="20"/>
              </w:rPr>
              <m:t>1-θ</m:t>
            </m:r>
            <m:r>
              <w:rPr>
                <w:rFonts w:ascii="Cambria Math" w:hAnsi="Cambria Math"/>
                <w:sz w:val="20"/>
                <w:szCs w:val="20"/>
                <w:vertAlign w:val="subscript"/>
              </w:rPr>
              <m:t> </m:t>
            </m:r>
          </m:den>
        </m:f>
      </m:oMath>
      <w:r w:rsidRPr="00311766">
        <w:rPr>
          <w:rFonts w:ascii="Times New Roman" w:hAnsi="Times New Roman"/>
          <w:bCs/>
          <w:sz w:val="20"/>
          <w:szCs w:val="20"/>
          <w:lang w:eastAsia="x-none"/>
        </w:rPr>
        <w:t xml:space="preserve"> </w:t>
      </w:r>
      <w:r w:rsidRPr="00311766">
        <w:rPr>
          <w:rFonts w:ascii="Times New Roman" w:hAnsi="Times New Roman"/>
          <w:bCs/>
          <w:sz w:val="20"/>
          <w:szCs w:val="20"/>
          <w:lang w:eastAsia="x-none"/>
        </w:rPr>
        <w:tab/>
      </w:r>
      <w:r w:rsidRPr="00311766">
        <w:rPr>
          <w:rFonts w:ascii="Times New Roman" w:hAnsi="Times New Roman"/>
          <w:bCs/>
          <w:sz w:val="20"/>
          <w:szCs w:val="20"/>
          <w:lang w:eastAsia="x-none"/>
        </w:rPr>
        <w:tab/>
      </w:r>
      <w:r w:rsidRPr="00311766">
        <w:rPr>
          <w:rFonts w:ascii="Times New Roman" w:hAnsi="Times New Roman"/>
          <w:bCs/>
          <w:sz w:val="20"/>
          <w:szCs w:val="20"/>
          <w:lang w:eastAsia="x-none"/>
        </w:rPr>
        <w:tab/>
      </w:r>
      <w:r w:rsidRPr="00311766">
        <w:rPr>
          <w:rFonts w:ascii="Times New Roman" w:hAnsi="Times New Roman"/>
          <w:bCs/>
          <w:sz w:val="20"/>
          <w:szCs w:val="20"/>
          <w:lang w:eastAsia="x-none"/>
        </w:rPr>
        <w:tab/>
      </w:r>
      <w:r w:rsidRPr="00311766">
        <w:rPr>
          <w:rFonts w:ascii="Times New Roman" w:hAnsi="Times New Roman"/>
          <w:bCs/>
          <w:sz w:val="20"/>
          <w:szCs w:val="20"/>
          <w:lang w:eastAsia="x-none"/>
        </w:rPr>
        <w:tab/>
        <w:t xml:space="preserve">   </w:t>
      </w:r>
      <w:r w:rsidRPr="00311766">
        <w:rPr>
          <w:rFonts w:ascii="Times New Roman" w:hAnsi="Times New Roman"/>
          <w:bCs/>
          <w:sz w:val="20"/>
          <w:szCs w:val="20"/>
          <w:lang w:eastAsia="x-none"/>
        </w:rPr>
        <w:tab/>
      </w:r>
      <w:r w:rsidRPr="00311766">
        <w:rPr>
          <w:rFonts w:ascii="Times New Roman" w:hAnsi="Times New Roman"/>
          <w:bCs/>
          <w:sz w:val="20"/>
          <w:szCs w:val="20"/>
          <w:lang w:eastAsia="x-none"/>
        </w:rPr>
        <w:tab/>
      </w:r>
      <w:r w:rsidRPr="00311766">
        <w:rPr>
          <w:rFonts w:ascii="Times New Roman" w:hAnsi="Times New Roman"/>
          <w:bCs/>
          <w:sz w:val="20"/>
          <w:szCs w:val="20"/>
          <w:lang w:eastAsia="x-none"/>
        </w:rPr>
        <w:tab/>
        <w:t xml:space="preserve">   </w:t>
      </w:r>
      <w:r>
        <w:rPr>
          <w:rFonts w:ascii="Times New Roman" w:hAnsi="Times New Roman"/>
          <w:bCs/>
          <w:sz w:val="20"/>
          <w:szCs w:val="20"/>
          <w:lang w:eastAsia="x-none"/>
        </w:rPr>
        <w:t xml:space="preserve">      </w:t>
      </w:r>
      <w:r w:rsidRPr="00311766">
        <w:rPr>
          <w:rFonts w:ascii="Times New Roman" w:hAnsi="Times New Roman"/>
          <w:sz w:val="20"/>
          <w:szCs w:val="20"/>
          <w:lang w:eastAsia="x-none"/>
        </w:rPr>
        <w:t>(4)</w:t>
      </w:r>
    </w:p>
    <w:p w:rsidR="00311766" w:rsidRPr="00311766" w:rsidRDefault="00311766" w:rsidP="00311766">
      <w:pPr>
        <w:spacing w:after="0" w:line="240" w:lineRule="auto"/>
        <w:jc w:val="both"/>
        <w:rPr>
          <w:rFonts w:ascii="Times New Roman" w:hAnsi="Times New Roman"/>
          <w:bCs/>
          <w:sz w:val="20"/>
          <w:szCs w:val="20"/>
          <w:lang w:eastAsia="x-none"/>
        </w:rPr>
      </w:pPr>
    </w:p>
    <w:p w:rsidR="00311766" w:rsidRPr="00311766" w:rsidRDefault="00311766" w:rsidP="00311766">
      <w:pPr>
        <w:spacing w:after="0" w:line="240" w:lineRule="auto"/>
        <w:ind w:firstLine="720"/>
        <w:jc w:val="both"/>
        <w:rPr>
          <w:rFonts w:ascii="Times New Roman" w:hAnsi="Times New Roman"/>
          <w:sz w:val="20"/>
          <w:szCs w:val="20"/>
        </w:rPr>
      </w:pPr>
      <w:r w:rsidRPr="00311766">
        <w:rPr>
          <w:rFonts w:ascii="Times New Roman" w:hAnsi="Times New Roman"/>
          <w:sz w:val="20"/>
          <w:szCs w:val="20"/>
        </w:rPr>
        <w:t xml:space="preserve">Freundlich </w:t>
      </w:r>
      <w:r w:rsidRPr="00311766">
        <w:rPr>
          <w:rFonts w:ascii="Times New Roman" w:hAnsi="Times New Roman"/>
          <w:bCs/>
          <w:sz w:val="20"/>
          <w:szCs w:val="20"/>
          <w:lang w:eastAsia="x-none"/>
        </w:rPr>
        <w:t xml:space="preserve">isotherm:   </w:t>
      </w:r>
      <m:oMath>
        <m:r>
          <w:rPr>
            <w:rFonts w:ascii="Cambria Math" w:hAnsi="Cambria Math"/>
            <w:sz w:val="20"/>
            <w:szCs w:val="20"/>
          </w:rPr>
          <m:t>θ=K</m:t>
        </m:r>
        <m:sSup>
          <m:sSupPr>
            <m:ctrlPr>
              <w:rPr>
                <w:rFonts w:ascii="Cambria Math" w:hAnsi="Cambria Math"/>
                <w:i/>
                <w:sz w:val="20"/>
                <w:szCs w:val="20"/>
              </w:rPr>
            </m:ctrlPr>
          </m:sSupPr>
          <m:e>
            <m:r>
              <w:rPr>
                <w:rFonts w:ascii="Cambria Math" w:hAnsi="Cambria Math"/>
                <w:sz w:val="20"/>
                <w:szCs w:val="20"/>
              </w:rPr>
              <m:t>C</m:t>
            </m:r>
          </m:e>
          <m:sup>
            <m:r>
              <w:rPr>
                <w:rFonts w:ascii="Cambria Math" w:hAnsi="Cambria Math"/>
                <w:sz w:val="20"/>
                <w:szCs w:val="20"/>
              </w:rPr>
              <m:t>a</m:t>
            </m:r>
          </m:sup>
        </m:sSup>
        <m:r>
          <w:rPr>
            <w:rFonts w:ascii="Cambria Math" w:hAnsi="Cambria Math"/>
            <w:sz w:val="20"/>
            <w:szCs w:val="20"/>
          </w:rPr>
          <m:t xml:space="preserve"> </m:t>
        </m:r>
      </m:oMath>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t xml:space="preserve">   </w:t>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t xml:space="preserve">   </w:t>
      </w:r>
      <w:r>
        <w:rPr>
          <w:rFonts w:ascii="Times New Roman" w:hAnsi="Times New Roman"/>
          <w:sz w:val="20"/>
          <w:szCs w:val="20"/>
        </w:rPr>
        <w:t xml:space="preserve">      </w:t>
      </w:r>
      <w:r w:rsidRPr="00311766">
        <w:rPr>
          <w:rFonts w:ascii="Times New Roman" w:hAnsi="Times New Roman"/>
          <w:bCs/>
          <w:sz w:val="20"/>
          <w:szCs w:val="20"/>
        </w:rPr>
        <w:t>(5)</w:t>
      </w:r>
    </w:p>
    <w:p w:rsidR="00311766" w:rsidRPr="00311766" w:rsidRDefault="00311766" w:rsidP="00311766">
      <w:pPr>
        <w:spacing w:after="0" w:line="240" w:lineRule="auto"/>
        <w:jc w:val="both"/>
        <w:rPr>
          <w:rFonts w:ascii="Times New Roman" w:hAnsi="Times New Roman"/>
          <w:i/>
          <w:sz w:val="20"/>
          <w:szCs w:val="20"/>
        </w:rPr>
      </w:pPr>
    </w:p>
    <w:p w:rsidR="00311766" w:rsidRPr="00311766" w:rsidRDefault="00311766" w:rsidP="00311766">
      <w:pPr>
        <w:spacing w:after="0" w:line="240" w:lineRule="auto"/>
        <w:ind w:firstLine="720"/>
        <w:jc w:val="both"/>
        <w:rPr>
          <w:rFonts w:ascii="Times New Roman" w:hAnsi="Times New Roman"/>
          <w:bCs/>
          <w:sz w:val="20"/>
          <w:szCs w:val="20"/>
          <w:lang w:eastAsia="x-none"/>
        </w:rPr>
      </w:pPr>
      <w:r w:rsidRPr="00311766">
        <w:rPr>
          <w:rFonts w:ascii="Times New Roman" w:hAnsi="Times New Roman"/>
          <w:bCs/>
          <w:sz w:val="20"/>
          <w:szCs w:val="20"/>
          <w:lang w:eastAsia="x-none"/>
        </w:rPr>
        <w:t>Temkin isotherm:</w:t>
      </w:r>
      <w:r w:rsidRPr="00311766">
        <w:rPr>
          <w:rFonts w:ascii="Times New Roman" w:hAnsi="Times New Roman"/>
          <w:bCs/>
          <w:sz w:val="20"/>
          <w:szCs w:val="20"/>
          <w:lang w:eastAsia="x-none"/>
        </w:rPr>
        <w:tab/>
        <w:t xml:space="preserve">  </w:t>
      </w:r>
      <m:oMath>
        <m:r>
          <w:rPr>
            <w:rFonts w:ascii="Cambria Math" w:hAnsi="Cambria Math"/>
            <w:sz w:val="20"/>
            <w:szCs w:val="20"/>
          </w:rPr>
          <m:t xml:space="preserve">     KC=</m:t>
        </m:r>
        <m:sSup>
          <m:sSupPr>
            <m:ctrlPr>
              <w:rPr>
                <w:rFonts w:ascii="Cambria Math" w:hAnsi="Cambria Math"/>
                <w:bCs/>
                <w:i/>
                <w:sz w:val="20"/>
                <w:szCs w:val="20"/>
              </w:rPr>
            </m:ctrlPr>
          </m:sSupPr>
          <m:e>
            <m:r>
              <w:rPr>
                <w:rFonts w:ascii="Cambria Math" w:hAnsi="Cambria Math"/>
                <w:sz w:val="20"/>
                <w:szCs w:val="20"/>
              </w:rPr>
              <m:t>e</m:t>
            </m:r>
          </m:e>
          <m:sup>
            <m:r>
              <w:rPr>
                <w:rFonts w:ascii="Cambria Math" w:hAnsi="Cambria Math"/>
                <w:sz w:val="20"/>
                <w:szCs w:val="20"/>
              </w:rPr>
              <m:t>aθ</m:t>
            </m:r>
            <m:r>
              <w:rPr>
                <w:rFonts w:ascii="Cambria Math" w:hAnsi="Cambria Math"/>
                <w:sz w:val="20"/>
                <w:szCs w:val="20"/>
                <w:vertAlign w:val="subscript"/>
              </w:rPr>
              <m:t xml:space="preserve">       </m:t>
            </m:r>
          </m:sup>
        </m:sSup>
        <m:r>
          <w:rPr>
            <w:rFonts w:ascii="Cambria Math" w:hAnsi="Cambria Math"/>
            <w:sz w:val="20"/>
            <w:szCs w:val="20"/>
          </w:rPr>
          <m:t xml:space="preserve">  </m:t>
        </m:r>
      </m:oMath>
      <w:r w:rsidRPr="00311766">
        <w:rPr>
          <w:rFonts w:ascii="Times New Roman" w:hAnsi="Times New Roman"/>
          <w:sz w:val="20"/>
          <w:szCs w:val="20"/>
          <w:lang w:eastAsia="x-none"/>
        </w:rPr>
        <w:tab/>
      </w:r>
      <w:r w:rsidRPr="00311766">
        <w:rPr>
          <w:rFonts w:ascii="Times New Roman" w:hAnsi="Times New Roman"/>
          <w:sz w:val="20"/>
          <w:szCs w:val="20"/>
          <w:lang w:eastAsia="x-none"/>
        </w:rPr>
        <w:tab/>
      </w:r>
      <w:r w:rsidRPr="00311766">
        <w:rPr>
          <w:rFonts w:ascii="Times New Roman" w:hAnsi="Times New Roman"/>
          <w:sz w:val="20"/>
          <w:szCs w:val="20"/>
          <w:lang w:eastAsia="x-none"/>
        </w:rPr>
        <w:tab/>
      </w:r>
      <w:r w:rsidRPr="00311766">
        <w:rPr>
          <w:rFonts w:ascii="Times New Roman" w:hAnsi="Times New Roman"/>
          <w:sz w:val="20"/>
          <w:szCs w:val="20"/>
          <w:lang w:eastAsia="x-none"/>
        </w:rPr>
        <w:tab/>
      </w:r>
      <w:r w:rsidRPr="00311766">
        <w:rPr>
          <w:rFonts w:ascii="Times New Roman" w:hAnsi="Times New Roman"/>
          <w:sz w:val="20"/>
          <w:szCs w:val="20"/>
          <w:lang w:eastAsia="x-none"/>
        </w:rPr>
        <w:tab/>
      </w:r>
      <w:r w:rsidRPr="00311766">
        <w:rPr>
          <w:rFonts w:ascii="Times New Roman" w:hAnsi="Times New Roman"/>
          <w:bCs/>
          <w:sz w:val="20"/>
          <w:szCs w:val="20"/>
          <w:lang w:eastAsia="x-none"/>
        </w:rPr>
        <w:t xml:space="preserve">  </w:t>
      </w:r>
      <w:r w:rsidRPr="00311766">
        <w:rPr>
          <w:rFonts w:ascii="Times New Roman" w:hAnsi="Times New Roman"/>
          <w:bCs/>
          <w:sz w:val="20"/>
          <w:szCs w:val="20"/>
          <w:lang w:eastAsia="x-none"/>
        </w:rPr>
        <w:tab/>
      </w:r>
      <w:r w:rsidRPr="00311766">
        <w:rPr>
          <w:rFonts w:ascii="Times New Roman" w:hAnsi="Times New Roman"/>
          <w:bCs/>
          <w:sz w:val="20"/>
          <w:szCs w:val="20"/>
          <w:lang w:eastAsia="x-none"/>
        </w:rPr>
        <w:tab/>
        <w:t xml:space="preserve">   </w:t>
      </w:r>
      <w:r>
        <w:rPr>
          <w:rFonts w:ascii="Times New Roman" w:hAnsi="Times New Roman"/>
          <w:bCs/>
          <w:sz w:val="20"/>
          <w:szCs w:val="20"/>
          <w:lang w:eastAsia="x-none"/>
        </w:rPr>
        <w:t xml:space="preserve">      </w:t>
      </w:r>
      <w:r w:rsidRPr="00311766">
        <w:rPr>
          <w:rFonts w:ascii="Times New Roman" w:hAnsi="Times New Roman"/>
          <w:bCs/>
          <w:sz w:val="20"/>
          <w:szCs w:val="20"/>
          <w:lang w:eastAsia="x-none"/>
        </w:rPr>
        <w:t>(6)</w:t>
      </w:r>
    </w:p>
    <w:p w:rsidR="00311766" w:rsidRPr="00311766" w:rsidRDefault="00311766" w:rsidP="00311766">
      <w:pPr>
        <w:spacing w:after="0" w:line="240" w:lineRule="auto"/>
        <w:jc w:val="both"/>
        <w:rPr>
          <w:rFonts w:ascii="Times New Roman" w:hAnsi="Times New Roman"/>
          <w:bCs/>
          <w:sz w:val="20"/>
          <w:szCs w:val="20"/>
          <w:lang w:eastAsia="x-none"/>
        </w:rPr>
      </w:pPr>
    </w:p>
    <w:p w:rsidR="00311766" w:rsidRPr="00311766" w:rsidRDefault="00311766" w:rsidP="00311766">
      <w:pPr>
        <w:spacing w:after="0" w:line="240" w:lineRule="auto"/>
        <w:ind w:firstLine="720"/>
        <w:jc w:val="both"/>
        <w:rPr>
          <w:rFonts w:ascii="Times New Roman" w:hAnsi="Times New Roman"/>
          <w:b/>
          <w:sz w:val="20"/>
          <w:szCs w:val="20"/>
        </w:rPr>
      </w:pPr>
      <w:r w:rsidRPr="00311766">
        <w:rPr>
          <w:rFonts w:ascii="Times New Roman" w:hAnsi="Times New Roman"/>
          <w:bCs/>
          <w:sz w:val="20"/>
          <w:szCs w:val="20"/>
          <w:lang w:eastAsia="x-none"/>
        </w:rPr>
        <w:t>Frumkin isotherm</w:t>
      </w:r>
      <w:r w:rsidRPr="00311766">
        <w:rPr>
          <w:rFonts w:ascii="Times New Roman" w:hAnsi="Times New Roman"/>
          <w:bCs/>
          <w:sz w:val="20"/>
          <w:szCs w:val="20"/>
          <w:lang w:eastAsia="x-none"/>
        </w:rPr>
        <w:tab/>
        <w:t>:</w:t>
      </w:r>
      <m:oMath>
        <m:r>
          <w:rPr>
            <w:rFonts w:ascii="Cambria Math" w:hAnsi="Cambria Math"/>
            <w:sz w:val="20"/>
            <w:szCs w:val="20"/>
          </w:rPr>
          <m:t xml:space="preserve">      KC=</m:t>
        </m:r>
        <m:f>
          <m:fPr>
            <m:ctrlPr>
              <w:rPr>
                <w:rFonts w:ascii="Cambria Math" w:hAnsi="Cambria Math"/>
                <w:bCs/>
                <w:i/>
                <w:sz w:val="20"/>
                <w:szCs w:val="20"/>
              </w:rPr>
            </m:ctrlPr>
          </m:fPr>
          <m:num>
            <m:r>
              <w:rPr>
                <w:rFonts w:ascii="Cambria Math" w:hAnsi="Cambria Math"/>
                <w:sz w:val="20"/>
                <w:szCs w:val="20"/>
              </w:rPr>
              <m:t>θ</m:t>
            </m:r>
            <m:r>
              <w:rPr>
                <w:rFonts w:ascii="Cambria Math" w:hAnsi="Cambria Math"/>
                <w:sz w:val="20"/>
                <w:szCs w:val="20"/>
                <w:vertAlign w:val="subscript"/>
              </w:rPr>
              <m:t> </m:t>
            </m:r>
          </m:num>
          <m:den>
            <m:r>
              <w:rPr>
                <w:rFonts w:ascii="Cambria Math" w:hAnsi="Cambria Math"/>
                <w:sz w:val="20"/>
                <w:szCs w:val="20"/>
              </w:rPr>
              <m:t>1-θ</m:t>
            </m:r>
            <m:r>
              <w:rPr>
                <w:rFonts w:ascii="Cambria Math" w:hAnsi="Cambria Math"/>
                <w:sz w:val="20"/>
                <w:szCs w:val="20"/>
                <w:vertAlign w:val="subscript"/>
              </w:rPr>
              <m:t> </m:t>
            </m:r>
          </m:den>
        </m:f>
        <m:r>
          <w:rPr>
            <w:rFonts w:ascii="Cambria Math" w:hAnsi="Cambria Math"/>
            <w:sz w:val="20"/>
            <w:szCs w:val="20"/>
          </w:rPr>
          <m:t xml:space="preserve">* </m:t>
        </m:r>
        <m:sSup>
          <m:sSupPr>
            <m:ctrlPr>
              <w:rPr>
                <w:rFonts w:ascii="Cambria Math" w:hAnsi="Cambria Math"/>
                <w:bCs/>
                <w:i/>
                <w:sz w:val="20"/>
                <w:szCs w:val="20"/>
              </w:rPr>
            </m:ctrlPr>
          </m:sSupPr>
          <m:e>
            <m:r>
              <w:rPr>
                <w:rFonts w:ascii="Cambria Math" w:hAnsi="Cambria Math"/>
                <w:sz w:val="20"/>
                <w:szCs w:val="20"/>
              </w:rPr>
              <m:t>e</m:t>
            </m:r>
          </m:e>
          <m:sup>
            <m:r>
              <w:rPr>
                <w:rFonts w:ascii="Cambria Math" w:hAnsi="Cambria Math"/>
                <w:sz w:val="20"/>
                <w:szCs w:val="20"/>
              </w:rPr>
              <m:t>-2aθ</m:t>
            </m:r>
            <m:r>
              <w:rPr>
                <w:rFonts w:ascii="Cambria Math" w:hAnsi="Cambria Math"/>
                <w:sz w:val="20"/>
                <w:szCs w:val="20"/>
                <w:vertAlign w:val="subscript"/>
              </w:rPr>
              <m:t> </m:t>
            </m:r>
          </m:sup>
        </m:sSup>
      </m:oMath>
      <w:r w:rsidRPr="00311766">
        <w:rPr>
          <w:rFonts w:ascii="Times New Roman" w:hAnsi="Times New Roman"/>
          <w:b/>
          <w:bCs/>
          <w:sz w:val="20"/>
          <w:szCs w:val="20"/>
          <w:lang w:eastAsia="x-none"/>
        </w:rPr>
        <w:t xml:space="preserve">                                                    </w:t>
      </w:r>
      <w:r w:rsidRPr="00311766">
        <w:rPr>
          <w:rFonts w:ascii="Times New Roman" w:hAnsi="Times New Roman"/>
          <w:b/>
          <w:bCs/>
          <w:sz w:val="20"/>
          <w:szCs w:val="20"/>
          <w:lang w:eastAsia="x-none"/>
        </w:rPr>
        <w:tab/>
        <w:t xml:space="preserve">   </w:t>
      </w:r>
      <w:r w:rsidRPr="00311766">
        <w:rPr>
          <w:rFonts w:ascii="Times New Roman" w:hAnsi="Times New Roman"/>
          <w:b/>
          <w:bCs/>
          <w:sz w:val="20"/>
          <w:szCs w:val="20"/>
          <w:lang w:eastAsia="x-none"/>
        </w:rPr>
        <w:tab/>
      </w:r>
      <w:r w:rsidRPr="00311766">
        <w:rPr>
          <w:rFonts w:ascii="Times New Roman" w:hAnsi="Times New Roman"/>
          <w:b/>
          <w:bCs/>
          <w:sz w:val="20"/>
          <w:szCs w:val="20"/>
          <w:lang w:eastAsia="x-none"/>
        </w:rPr>
        <w:tab/>
        <w:t xml:space="preserve">  </w:t>
      </w:r>
      <w:r>
        <w:rPr>
          <w:rFonts w:ascii="Times New Roman" w:hAnsi="Times New Roman"/>
          <w:b/>
          <w:bCs/>
          <w:sz w:val="20"/>
          <w:szCs w:val="20"/>
          <w:lang w:eastAsia="x-none"/>
        </w:rPr>
        <w:t xml:space="preserve">      </w:t>
      </w:r>
      <w:r w:rsidRPr="00311766">
        <w:rPr>
          <w:rFonts w:ascii="Times New Roman" w:hAnsi="Times New Roman"/>
          <w:b/>
          <w:bCs/>
          <w:sz w:val="20"/>
          <w:szCs w:val="20"/>
          <w:lang w:eastAsia="x-none"/>
        </w:rPr>
        <w:t xml:space="preserve"> </w:t>
      </w:r>
      <w:r w:rsidRPr="00311766">
        <w:rPr>
          <w:rFonts w:ascii="Times New Roman" w:hAnsi="Times New Roman"/>
          <w:bCs/>
          <w:sz w:val="20"/>
          <w:szCs w:val="20"/>
          <w:lang w:eastAsia="x-none"/>
        </w:rPr>
        <w:t>(7)</w:t>
      </w:r>
    </w:p>
    <w:p w:rsidR="00311766" w:rsidRPr="00311766" w:rsidRDefault="00311766" w:rsidP="00311766">
      <w:pPr>
        <w:spacing w:after="0" w:line="240" w:lineRule="auto"/>
        <w:jc w:val="both"/>
        <w:rPr>
          <w:rFonts w:ascii="Times New Roman" w:hAnsi="Times New Roman"/>
          <w:b/>
          <w:sz w:val="20"/>
          <w:szCs w:val="20"/>
        </w:rPr>
      </w:pPr>
    </w:p>
    <w:p w:rsidR="00311766" w:rsidRPr="00311766" w:rsidRDefault="00311766" w:rsidP="00311766">
      <w:pPr>
        <w:pStyle w:val="BodyText"/>
        <w:jc w:val="both"/>
        <w:rPr>
          <w:sz w:val="20"/>
        </w:rPr>
      </w:pPr>
      <w:r w:rsidRPr="00311766">
        <w:rPr>
          <w:sz w:val="20"/>
        </w:rPr>
        <w:t xml:space="preserve">K is the equilibrium constant of the inhibitor adsorption process, a is the parameter of interaction between inhibitor molecules adsorbed on the steel surface, and </w:t>
      </w:r>
      <m:oMath>
        <m:r>
          <w:rPr>
            <w:rFonts w:ascii="Cambria Math" w:hAnsi="Cambria Math"/>
            <w:sz w:val="20"/>
          </w:rPr>
          <m:t>θ</m:t>
        </m:r>
      </m:oMath>
      <w:r w:rsidRPr="00311766">
        <w:rPr>
          <w:b/>
          <w:sz w:val="20"/>
        </w:rPr>
        <w:t xml:space="preserve"> </w:t>
      </w:r>
      <w:r w:rsidRPr="00311766">
        <w:rPr>
          <w:sz w:val="20"/>
        </w:rPr>
        <w:t>is the degree of surface coverage which can be calculated using equation (3).</w:t>
      </w:r>
    </w:p>
    <w:p w:rsidR="00311766" w:rsidRPr="00311766" w:rsidRDefault="00311766" w:rsidP="00311766">
      <w:pPr>
        <w:pStyle w:val="BodyText"/>
        <w:jc w:val="both"/>
        <w:rPr>
          <w:sz w:val="20"/>
        </w:rPr>
      </w:pPr>
    </w:p>
    <w:p w:rsidR="00311766" w:rsidRPr="00311766" w:rsidRDefault="00311766" w:rsidP="00311766">
      <w:pPr>
        <w:spacing w:after="0" w:line="240" w:lineRule="auto"/>
        <w:jc w:val="both"/>
        <w:rPr>
          <w:rFonts w:ascii="Times New Roman" w:hAnsi="Times New Roman"/>
          <w:sz w:val="20"/>
          <w:szCs w:val="20"/>
          <w:lang w:val="en-IN"/>
        </w:rPr>
      </w:pPr>
      <w:r w:rsidRPr="00311766">
        <w:rPr>
          <w:rFonts w:ascii="Times New Roman" w:hAnsi="Times New Roman"/>
          <w:sz w:val="20"/>
          <w:szCs w:val="20"/>
        </w:rPr>
        <w:t xml:space="preserve">The Langmuir adsorption model describes adsorption capacity for the coverage of surface sites by a monolayer quantitatively. The Langmuir isotherm is valid for monolayer adsorption onto a surface containing a finite number of identical sites. The model assumes uniform energies of adsorption onto the surface and no transmigration of adsorbate in the plane of the surface.  Langmuir isotherm is applied to a perfectly uniform surface, and when there is no interaction between the adsorbed molecules. The Freundlich adsorption model is used in the case of the possible formation of more than one adsorption monolayer on the surface and the sites are heterogeneous. Frumkin isotherm considers the interaction between the adsorbed species, where 1 in the equation (7) represents the number of water molecules displaced by one surfactant molecule as previously described.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11766" w:rsidRPr="00311766" w:rsidRDefault="00311766" w:rsidP="00311766">
      <w:pPr>
        <w:spacing w:after="0" w:line="240" w:lineRule="auto"/>
        <w:jc w:val="both"/>
        <w:outlineLvl w:val="0"/>
        <w:rPr>
          <w:rFonts w:ascii="Times New Roman" w:hAnsi="Times New Roman"/>
          <w:b/>
          <w:sz w:val="20"/>
          <w:szCs w:val="20"/>
        </w:rPr>
      </w:pPr>
      <w:r w:rsidRPr="00311766">
        <w:rPr>
          <w:rFonts w:ascii="Times New Roman" w:hAnsi="Times New Roman"/>
          <w:b/>
          <w:sz w:val="20"/>
          <w:szCs w:val="20"/>
        </w:rPr>
        <w:t>Values of pH and electrical conductivity</w:t>
      </w:r>
    </w:p>
    <w:p w:rsidR="00311766" w:rsidRPr="00311766" w:rsidRDefault="00311766" w:rsidP="00311766">
      <w:pPr>
        <w:spacing w:after="0" w:line="240" w:lineRule="auto"/>
        <w:jc w:val="both"/>
        <w:outlineLvl w:val="0"/>
        <w:rPr>
          <w:rFonts w:ascii="Times New Roman" w:hAnsi="Times New Roman"/>
          <w:sz w:val="20"/>
          <w:szCs w:val="20"/>
        </w:rPr>
      </w:pPr>
      <w:r w:rsidRPr="00311766">
        <w:rPr>
          <w:rFonts w:ascii="Times New Roman" w:hAnsi="Times New Roman"/>
          <w:sz w:val="20"/>
          <w:szCs w:val="20"/>
        </w:rPr>
        <w:t xml:space="preserve">The pH and electrical conductivity values are measured at 298.15 K. The results are tabulated in Table 1. It is observed that there is an increment in electrical conductivity and decrement in pH values with the increase of concentration. Compared to pure water, Glycerol increased electrical conductivity significantly. The increase of electrical conductivity is due to the presence of more soluble ions in the water phase that increased the mobility of ion species. The literature review shows a similar trend </w:t>
      </w:r>
      <w:r w:rsidRPr="00311766">
        <w:rPr>
          <w:rFonts w:ascii="Times New Roman" w:hAnsi="Times New Roman"/>
          <w:sz w:val="20"/>
          <w:szCs w:val="20"/>
        </w:rPr>
        <w:fldChar w:fldCharType="begin" w:fldLock="1"/>
      </w:r>
      <w:r w:rsidRPr="00311766">
        <w:rPr>
          <w:rFonts w:ascii="Times New Roman" w:hAnsi="Times New Roman"/>
          <w:sz w:val="20"/>
          <w:szCs w:val="20"/>
        </w:rPr>
        <w:instrText>ADDIN CSL_CITATION {"citationItems":[{"id":"ITEM-1","itemData":{"DOI":"10.1016/j.proeng.2016.06.586","ISSN":"18777058","abstract":"Gas hydrates attract the attention of many industries for various potential applications such as gas separation and storage. To industrialize the gas hydrate technology, rapid hydrate formation at mild conditions is crucial. Chemical additives such as ionic liquids were investigated for hydrate promotion. The knowledge of physical-chemical properties of ionic liquids is crucial in development of gas hydrate technology in industry as these fundamental properties determined the hydrate formation rate. This work measures the density, pH, electrical conductivity, and surface tension of aqueous tetrabutylammonium hydroxide solutions. The concentrations were chosen to cover the common hydrate promotion range of 0.001-10 wt%. The results showed high dependence of the studied properties on the concentration. pH and electrical conductivity were increased with increase of TBAOH concentration conversely to density and surface tension. The amount of CO2consumed to form the hydrate was measured at a pressure of 35 bar and a temperature 274.15. Significant increase of CO2consumption in the presence of TBAOH solutions was observed. However, as the concentration increased, more CO2was consumed.","author":[{"dropping-particle":"","family":"Nashed","given":"Omar","non-dropping-particle":"","parse-names":false,"suffix":""},{"dropping-particle":"","family":"Koh","given":"Josephine Chin Hui","non-dropping-particle":"","parse-names":false,"suffix":""},{"dropping-particle":"","family":"Lal","given":"Bhajan","non-dropping-particle":"","parse-names":false,"suffix":""}],"container-title":"Procedia Engineering","id":"ITEM-1","issued":{"date-parts":[["2016"]]},"page":"1351-1356","publisher":"Elsevier B.V.","title":"Physical-chemical Properties of Aqueous TBAOH Solution for Gas Hydrates Promotion","type":"article-journal","volume":"148"},"uris":["http://www.mendeley.com/documents/?uuid=4fdab453-b0ce-41b9-a8a6-360215ba66cb"]}],"mendeley":{"formattedCitation":"[33]","plainTextFormattedCitation":"[33]","previouslyFormattedCitation":"(Nashed, Koh, &amp; Lal, 2016)"},"properties":{"noteIndex":0},"schema":"https://github.com/citation-style-language/schema/raw/master/csl-citation.json"}</w:instrText>
      </w:r>
      <w:r w:rsidRPr="00311766">
        <w:rPr>
          <w:rFonts w:ascii="Times New Roman" w:hAnsi="Times New Roman"/>
          <w:sz w:val="20"/>
          <w:szCs w:val="20"/>
        </w:rPr>
        <w:fldChar w:fldCharType="separate"/>
      </w:r>
      <w:r w:rsidRPr="00311766">
        <w:rPr>
          <w:rFonts w:ascii="Times New Roman" w:hAnsi="Times New Roman"/>
          <w:noProof/>
          <w:sz w:val="20"/>
          <w:szCs w:val="20"/>
        </w:rPr>
        <w:t>[33]</w:t>
      </w:r>
      <w:r w:rsidRPr="00311766">
        <w:rPr>
          <w:rFonts w:ascii="Times New Roman" w:hAnsi="Times New Roman"/>
          <w:sz w:val="20"/>
          <w:szCs w:val="20"/>
        </w:rPr>
        <w:fldChar w:fldCharType="end"/>
      </w:r>
      <w:r w:rsidRPr="00311766">
        <w:rPr>
          <w:rFonts w:ascii="Times New Roman" w:hAnsi="Times New Roman"/>
          <w:sz w:val="20"/>
          <w:szCs w:val="20"/>
        </w:rPr>
        <w:t xml:space="preserve">. </w:t>
      </w:r>
      <w:r w:rsidR="003D1D1E">
        <w:rPr>
          <w:rFonts w:ascii="Times New Roman" w:hAnsi="Times New Roman"/>
          <w:sz w:val="20"/>
          <w:szCs w:val="20"/>
        </w:rPr>
        <w:t xml:space="preserve"> </w:t>
      </w:r>
      <w:r w:rsidRPr="00311766">
        <w:rPr>
          <w:rFonts w:ascii="Times New Roman" w:hAnsi="Times New Roman"/>
          <w:sz w:val="20"/>
          <w:szCs w:val="20"/>
        </w:rPr>
        <w:t xml:space="preserve">For pH measurements, the decrement can be attributed to the fact that glycerol in water is a weak acid with a pKa value of 14.15 </w:t>
      </w:r>
      <w:r w:rsidRPr="00311766">
        <w:rPr>
          <w:rFonts w:ascii="Times New Roman" w:hAnsi="Times New Roman"/>
          <w:sz w:val="20"/>
          <w:szCs w:val="20"/>
        </w:rPr>
        <w:fldChar w:fldCharType="begin" w:fldLock="1"/>
      </w:r>
      <w:r w:rsidRPr="00311766">
        <w:rPr>
          <w:rFonts w:ascii="Times New Roman" w:hAnsi="Times New Roman"/>
          <w:sz w:val="20"/>
          <w:szCs w:val="20"/>
        </w:rPr>
        <w:instrText>ADDIN CSL_CITATION {"citationItems":[{"id":"ITEM-1","itemData":{"DOI":"10.1002/9781118147009","ISBN":"9781118147009","editor":[{"dropping-particle":"","family":"Bhattacharyya","given":"Lokesh","non-dropping-particle":"","parse-names":false,"suffix":""},{"dropping-particle":"","family":"Rohrer","given":"Jeffrey S.","non-dropping-particle":"","parse-names":false,"suffix":""}],"id":"ITEM-1","issued":{"date-parts":[["2012","3","9"]]},"publisher":"John Wiley &amp; Sons, Inc.","publisher-place":"Hoboken, NJ, USA","title":"Applications of Ion Chromatography for Pharmaceutical and Biological Products","type":"book"},"uris":["http://www.mendeley.com/documents/?uuid=08469d6c-5001-4469-9628-355e51b9ddc3"]}],"mendeley":{"formattedCitation":"[34]","plainTextFormattedCitation":"[34]","previouslyFormattedCitation":"(Bhattacharyya &amp; Rohrer, 2012)"},"properties":{"noteIndex":0},"schema":"https://github.com/citation-style-language/schema/raw/master/csl-citation.json"}</w:instrText>
      </w:r>
      <w:r w:rsidRPr="00311766">
        <w:rPr>
          <w:rFonts w:ascii="Times New Roman" w:hAnsi="Times New Roman"/>
          <w:sz w:val="20"/>
          <w:szCs w:val="20"/>
        </w:rPr>
        <w:fldChar w:fldCharType="separate"/>
      </w:r>
      <w:r w:rsidRPr="00311766">
        <w:rPr>
          <w:rFonts w:ascii="Times New Roman" w:hAnsi="Times New Roman"/>
          <w:noProof/>
          <w:sz w:val="20"/>
          <w:szCs w:val="20"/>
        </w:rPr>
        <w:t>[34]</w:t>
      </w:r>
      <w:r w:rsidRPr="00311766">
        <w:rPr>
          <w:rFonts w:ascii="Times New Roman" w:hAnsi="Times New Roman"/>
          <w:sz w:val="20"/>
          <w:szCs w:val="20"/>
        </w:rPr>
        <w:fldChar w:fldCharType="end"/>
      </w:r>
      <w:r w:rsidRPr="00311766">
        <w:rPr>
          <w:rFonts w:ascii="Times New Roman" w:hAnsi="Times New Roman"/>
          <w:sz w:val="20"/>
          <w:szCs w:val="20"/>
        </w:rPr>
        <w:t xml:space="preserve">. Though glycerol has three OH- ions in its structure, the -OH groups do not separate as an ion, making it not a base. This slightly acidic nature improves </w:t>
      </w:r>
      <w:r w:rsidRPr="00311766">
        <w:rPr>
          <w:rFonts w:ascii="Times New Roman" w:hAnsi="Times New Roman"/>
          <w:sz w:val="20"/>
          <w:szCs w:val="20"/>
        </w:rPr>
        <w:lastRenderedPageBreak/>
        <w:t>the adsorption of Glycerol onto the mild steel X52. Both the pH and conductivity values are presented graphically in Figure 1.</w:t>
      </w:r>
    </w:p>
    <w:p w:rsidR="00311766" w:rsidRPr="00311766" w:rsidRDefault="00311766" w:rsidP="003D1D1E">
      <w:pPr>
        <w:spacing w:after="0" w:line="240" w:lineRule="auto"/>
        <w:jc w:val="both"/>
        <w:outlineLvl w:val="0"/>
        <w:rPr>
          <w:rFonts w:ascii="Times New Roman" w:hAnsi="Times New Roman"/>
          <w:sz w:val="20"/>
          <w:szCs w:val="20"/>
        </w:rPr>
      </w:pPr>
    </w:p>
    <w:p w:rsidR="00311766" w:rsidRPr="00311766" w:rsidRDefault="00311766" w:rsidP="00311766">
      <w:pPr>
        <w:spacing w:after="120" w:line="240" w:lineRule="auto"/>
        <w:jc w:val="center"/>
        <w:outlineLvl w:val="0"/>
        <w:rPr>
          <w:rFonts w:ascii="Times New Roman" w:hAnsi="Times New Roman"/>
          <w:sz w:val="20"/>
          <w:szCs w:val="20"/>
        </w:rPr>
      </w:pPr>
      <w:r w:rsidRPr="00311766">
        <w:rPr>
          <w:rFonts w:ascii="Times New Roman" w:hAnsi="Times New Roman"/>
          <w:sz w:val="20"/>
          <w:szCs w:val="20"/>
        </w:rPr>
        <w:t xml:space="preserve">Table 1. </w:t>
      </w:r>
      <w:r>
        <w:rPr>
          <w:rFonts w:ascii="Times New Roman" w:hAnsi="Times New Roman"/>
          <w:sz w:val="20"/>
          <w:szCs w:val="20"/>
        </w:rPr>
        <w:t xml:space="preserve"> </w:t>
      </w:r>
      <w:r w:rsidRPr="00311766">
        <w:rPr>
          <w:rFonts w:ascii="Times New Roman" w:hAnsi="Times New Roman"/>
          <w:sz w:val="20"/>
          <w:szCs w:val="20"/>
        </w:rPr>
        <w:t>pH and electrical conductivity values of aqueous Glycerol at 298.15 K</w:t>
      </w:r>
    </w:p>
    <w:tbl>
      <w:tblPr>
        <w:tblW w:w="0" w:type="auto"/>
        <w:jc w:val="center"/>
        <w:tblBorders>
          <w:top w:val="single" w:sz="4" w:space="0" w:color="auto"/>
        </w:tblBorders>
        <w:tblLook w:val="04A0" w:firstRow="1" w:lastRow="0" w:firstColumn="1" w:lastColumn="0" w:noHBand="0" w:noVBand="1"/>
      </w:tblPr>
      <w:tblGrid>
        <w:gridCol w:w="3195"/>
        <w:gridCol w:w="1140"/>
        <w:gridCol w:w="2206"/>
      </w:tblGrid>
      <w:tr w:rsidR="008E1C91" w:rsidRPr="00311766" w:rsidTr="008E1C91">
        <w:trPr>
          <w:jc w:val="center"/>
        </w:trPr>
        <w:tc>
          <w:tcPr>
            <w:tcW w:w="3195" w:type="dxa"/>
            <w:tcBorders>
              <w:top w:val="single" w:sz="4" w:space="0" w:color="auto"/>
              <w:left w:val="nil"/>
              <w:bottom w:val="single" w:sz="4" w:space="0" w:color="auto"/>
              <w:right w:val="nil"/>
            </w:tcBorders>
            <w:shd w:val="clear" w:color="auto" w:fill="auto"/>
            <w:vAlign w:val="center"/>
            <w:hideMark/>
          </w:tcPr>
          <w:p w:rsidR="00311766" w:rsidRPr="00311766" w:rsidRDefault="00311766" w:rsidP="00311766">
            <w:pPr>
              <w:spacing w:before="60" w:after="60" w:line="240" w:lineRule="auto"/>
              <w:rPr>
                <w:rFonts w:ascii="Times New Roman" w:eastAsia="Calibri" w:hAnsi="Times New Roman"/>
                <w:b/>
                <w:sz w:val="20"/>
                <w:szCs w:val="20"/>
              </w:rPr>
            </w:pPr>
            <w:r w:rsidRPr="00311766">
              <w:rPr>
                <w:rFonts w:ascii="Times New Roman" w:hAnsi="Times New Roman"/>
                <w:b/>
                <w:sz w:val="20"/>
                <w:szCs w:val="20"/>
              </w:rPr>
              <w:t>Sample Concentration (ppm)</w:t>
            </w:r>
          </w:p>
        </w:tc>
        <w:tc>
          <w:tcPr>
            <w:tcW w:w="1140" w:type="dxa"/>
            <w:tcBorders>
              <w:top w:val="single" w:sz="4" w:space="0" w:color="auto"/>
              <w:left w:val="nil"/>
              <w:bottom w:val="single" w:sz="4" w:space="0" w:color="auto"/>
              <w:right w:val="nil"/>
            </w:tcBorders>
            <w:shd w:val="clear" w:color="auto" w:fill="auto"/>
            <w:vAlign w:val="center"/>
            <w:hideMark/>
          </w:tcPr>
          <w:p w:rsidR="00311766" w:rsidRPr="00311766" w:rsidRDefault="00311766" w:rsidP="00311766">
            <w:pPr>
              <w:spacing w:before="60" w:after="60" w:line="240" w:lineRule="auto"/>
              <w:jc w:val="center"/>
              <w:rPr>
                <w:rFonts w:ascii="Times New Roman" w:hAnsi="Times New Roman"/>
                <w:b/>
                <w:sz w:val="20"/>
                <w:szCs w:val="20"/>
              </w:rPr>
            </w:pPr>
            <w:r w:rsidRPr="00311766">
              <w:rPr>
                <w:rFonts w:ascii="Times New Roman" w:hAnsi="Times New Roman"/>
                <w:b/>
                <w:sz w:val="20"/>
                <w:szCs w:val="20"/>
              </w:rPr>
              <w:t>pH</w:t>
            </w:r>
          </w:p>
        </w:tc>
        <w:tc>
          <w:tcPr>
            <w:tcW w:w="2206" w:type="dxa"/>
            <w:tcBorders>
              <w:top w:val="single" w:sz="4" w:space="0" w:color="auto"/>
              <w:left w:val="nil"/>
              <w:bottom w:val="single" w:sz="4" w:space="0" w:color="auto"/>
              <w:right w:val="nil"/>
            </w:tcBorders>
            <w:shd w:val="clear" w:color="auto" w:fill="auto"/>
            <w:vAlign w:val="center"/>
            <w:hideMark/>
          </w:tcPr>
          <w:p w:rsidR="00311766" w:rsidRPr="00311766" w:rsidRDefault="00311766" w:rsidP="00311766">
            <w:pPr>
              <w:spacing w:before="60" w:after="60" w:line="240" w:lineRule="auto"/>
              <w:jc w:val="center"/>
              <w:rPr>
                <w:rFonts w:ascii="Times New Roman" w:hAnsi="Times New Roman"/>
                <w:b/>
                <w:sz w:val="20"/>
                <w:szCs w:val="20"/>
              </w:rPr>
            </w:pPr>
            <w:r w:rsidRPr="00311766">
              <w:rPr>
                <w:rFonts w:ascii="Times New Roman" w:hAnsi="Times New Roman"/>
                <w:b/>
                <w:sz w:val="20"/>
                <w:szCs w:val="20"/>
              </w:rPr>
              <w:t>Conductivity (mS/cm)</w:t>
            </w:r>
          </w:p>
        </w:tc>
      </w:tr>
      <w:tr w:rsidR="008E1C91" w:rsidRPr="00311766" w:rsidTr="008E1C91">
        <w:trPr>
          <w:jc w:val="center"/>
        </w:trPr>
        <w:tc>
          <w:tcPr>
            <w:tcW w:w="3195" w:type="dxa"/>
            <w:tcBorders>
              <w:top w:val="single" w:sz="4" w:space="0" w:color="auto"/>
              <w:left w:val="nil"/>
              <w:bottom w:val="nil"/>
              <w:right w:val="nil"/>
            </w:tcBorders>
            <w:shd w:val="clear" w:color="auto" w:fill="auto"/>
            <w:vAlign w:val="center"/>
            <w:hideMark/>
          </w:tcPr>
          <w:p w:rsidR="00311766" w:rsidRPr="00311766" w:rsidRDefault="00311766" w:rsidP="008E1C91">
            <w:pPr>
              <w:spacing w:before="60" w:after="0" w:line="240" w:lineRule="auto"/>
              <w:rPr>
                <w:rFonts w:ascii="Times New Roman" w:hAnsi="Times New Roman"/>
                <w:sz w:val="20"/>
                <w:szCs w:val="20"/>
              </w:rPr>
            </w:pPr>
            <w:r w:rsidRPr="00311766">
              <w:rPr>
                <w:rFonts w:ascii="Times New Roman" w:hAnsi="Times New Roman"/>
                <w:sz w:val="20"/>
                <w:szCs w:val="20"/>
              </w:rPr>
              <w:t>Deionised water</w:t>
            </w:r>
          </w:p>
        </w:tc>
        <w:tc>
          <w:tcPr>
            <w:tcW w:w="1140" w:type="dxa"/>
            <w:tcBorders>
              <w:top w:val="single" w:sz="4" w:space="0" w:color="auto"/>
              <w:left w:val="nil"/>
              <w:bottom w:val="nil"/>
              <w:right w:val="nil"/>
            </w:tcBorders>
            <w:shd w:val="clear" w:color="auto" w:fill="auto"/>
            <w:vAlign w:val="center"/>
            <w:hideMark/>
          </w:tcPr>
          <w:p w:rsidR="00311766" w:rsidRPr="00311766" w:rsidRDefault="00311766" w:rsidP="008E1C91">
            <w:pPr>
              <w:spacing w:before="60" w:after="0" w:line="240" w:lineRule="auto"/>
              <w:jc w:val="center"/>
              <w:rPr>
                <w:rFonts w:ascii="Times New Roman" w:hAnsi="Times New Roman"/>
                <w:sz w:val="20"/>
                <w:szCs w:val="20"/>
              </w:rPr>
            </w:pPr>
            <w:r w:rsidRPr="00311766">
              <w:rPr>
                <w:rFonts w:ascii="Times New Roman" w:hAnsi="Times New Roman"/>
                <w:sz w:val="20"/>
                <w:szCs w:val="20"/>
              </w:rPr>
              <w:t>6.98</w:t>
            </w:r>
          </w:p>
        </w:tc>
        <w:tc>
          <w:tcPr>
            <w:tcW w:w="2206" w:type="dxa"/>
            <w:tcBorders>
              <w:top w:val="single" w:sz="4" w:space="0" w:color="auto"/>
              <w:left w:val="nil"/>
              <w:bottom w:val="nil"/>
              <w:right w:val="nil"/>
            </w:tcBorders>
            <w:shd w:val="clear" w:color="auto" w:fill="auto"/>
            <w:vAlign w:val="center"/>
            <w:hideMark/>
          </w:tcPr>
          <w:p w:rsidR="00311766" w:rsidRPr="00311766" w:rsidRDefault="00311766" w:rsidP="008E1C91">
            <w:pPr>
              <w:spacing w:before="60" w:after="0" w:line="240" w:lineRule="auto"/>
              <w:jc w:val="center"/>
              <w:rPr>
                <w:rFonts w:ascii="Times New Roman" w:hAnsi="Times New Roman"/>
                <w:sz w:val="20"/>
                <w:szCs w:val="20"/>
              </w:rPr>
            </w:pPr>
            <w:r w:rsidRPr="00311766">
              <w:rPr>
                <w:rFonts w:ascii="Times New Roman" w:hAnsi="Times New Roman"/>
                <w:sz w:val="20"/>
                <w:szCs w:val="20"/>
              </w:rPr>
              <w:t>0.055</w:t>
            </w:r>
          </w:p>
        </w:tc>
      </w:tr>
      <w:tr w:rsidR="008E1C91" w:rsidRPr="00311766" w:rsidTr="008E1C91">
        <w:trPr>
          <w:jc w:val="center"/>
        </w:trPr>
        <w:tc>
          <w:tcPr>
            <w:tcW w:w="3195"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rPr>
                <w:rFonts w:ascii="Times New Roman" w:hAnsi="Times New Roman"/>
                <w:sz w:val="20"/>
                <w:szCs w:val="20"/>
              </w:rPr>
            </w:pPr>
            <w:r w:rsidRPr="00311766">
              <w:rPr>
                <w:rFonts w:ascii="Times New Roman" w:hAnsi="Times New Roman"/>
                <w:sz w:val="20"/>
                <w:szCs w:val="20"/>
              </w:rPr>
              <w:t>400</w:t>
            </w:r>
          </w:p>
        </w:tc>
        <w:tc>
          <w:tcPr>
            <w:tcW w:w="1140"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jc w:val="center"/>
              <w:rPr>
                <w:rFonts w:ascii="Times New Roman" w:hAnsi="Times New Roman"/>
                <w:sz w:val="20"/>
                <w:szCs w:val="20"/>
              </w:rPr>
            </w:pPr>
            <w:r w:rsidRPr="00311766">
              <w:rPr>
                <w:rFonts w:ascii="Times New Roman" w:hAnsi="Times New Roman"/>
                <w:sz w:val="20"/>
                <w:szCs w:val="20"/>
              </w:rPr>
              <w:t>6.82</w:t>
            </w:r>
          </w:p>
        </w:tc>
        <w:tc>
          <w:tcPr>
            <w:tcW w:w="2206"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jc w:val="center"/>
              <w:rPr>
                <w:rFonts w:ascii="Times New Roman" w:hAnsi="Times New Roman"/>
                <w:sz w:val="20"/>
                <w:szCs w:val="20"/>
              </w:rPr>
            </w:pPr>
            <w:r w:rsidRPr="00311766">
              <w:rPr>
                <w:rFonts w:ascii="Times New Roman" w:hAnsi="Times New Roman"/>
                <w:sz w:val="20"/>
                <w:szCs w:val="20"/>
              </w:rPr>
              <w:t>0.7944</w:t>
            </w:r>
          </w:p>
        </w:tc>
      </w:tr>
      <w:tr w:rsidR="008E1C91" w:rsidRPr="00311766" w:rsidTr="008E1C91">
        <w:trPr>
          <w:jc w:val="center"/>
        </w:trPr>
        <w:tc>
          <w:tcPr>
            <w:tcW w:w="3195"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rPr>
                <w:rFonts w:ascii="Times New Roman" w:hAnsi="Times New Roman"/>
                <w:sz w:val="20"/>
                <w:szCs w:val="20"/>
              </w:rPr>
            </w:pPr>
            <w:r w:rsidRPr="00311766">
              <w:rPr>
                <w:rFonts w:ascii="Times New Roman" w:hAnsi="Times New Roman"/>
                <w:sz w:val="20"/>
                <w:szCs w:val="20"/>
              </w:rPr>
              <w:t>600</w:t>
            </w:r>
          </w:p>
        </w:tc>
        <w:tc>
          <w:tcPr>
            <w:tcW w:w="1140"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jc w:val="center"/>
              <w:rPr>
                <w:rFonts w:ascii="Times New Roman" w:hAnsi="Times New Roman"/>
                <w:sz w:val="20"/>
                <w:szCs w:val="20"/>
              </w:rPr>
            </w:pPr>
            <w:r w:rsidRPr="00311766">
              <w:rPr>
                <w:rFonts w:ascii="Times New Roman" w:hAnsi="Times New Roman"/>
                <w:sz w:val="20"/>
                <w:szCs w:val="20"/>
              </w:rPr>
              <w:t>6.84</w:t>
            </w:r>
          </w:p>
        </w:tc>
        <w:tc>
          <w:tcPr>
            <w:tcW w:w="2206"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jc w:val="center"/>
              <w:rPr>
                <w:rFonts w:ascii="Times New Roman" w:hAnsi="Times New Roman"/>
                <w:sz w:val="20"/>
                <w:szCs w:val="20"/>
              </w:rPr>
            </w:pPr>
            <w:r w:rsidRPr="00311766">
              <w:rPr>
                <w:rFonts w:ascii="Times New Roman" w:hAnsi="Times New Roman"/>
                <w:sz w:val="20"/>
                <w:szCs w:val="20"/>
              </w:rPr>
              <w:t>0.8753</w:t>
            </w:r>
          </w:p>
        </w:tc>
      </w:tr>
      <w:tr w:rsidR="008E1C91" w:rsidRPr="00311766" w:rsidTr="008E1C91">
        <w:trPr>
          <w:trHeight w:val="301"/>
          <w:jc w:val="center"/>
        </w:trPr>
        <w:tc>
          <w:tcPr>
            <w:tcW w:w="3195"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rPr>
                <w:rFonts w:ascii="Times New Roman" w:hAnsi="Times New Roman"/>
                <w:sz w:val="20"/>
                <w:szCs w:val="20"/>
              </w:rPr>
            </w:pPr>
            <w:r w:rsidRPr="00311766">
              <w:rPr>
                <w:rFonts w:ascii="Times New Roman" w:hAnsi="Times New Roman"/>
                <w:sz w:val="20"/>
                <w:szCs w:val="20"/>
              </w:rPr>
              <w:t>800</w:t>
            </w:r>
          </w:p>
        </w:tc>
        <w:tc>
          <w:tcPr>
            <w:tcW w:w="1140"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jc w:val="center"/>
              <w:rPr>
                <w:rFonts w:ascii="Times New Roman" w:hAnsi="Times New Roman"/>
                <w:sz w:val="20"/>
                <w:szCs w:val="20"/>
              </w:rPr>
            </w:pPr>
            <w:r w:rsidRPr="00311766">
              <w:rPr>
                <w:rFonts w:ascii="Times New Roman" w:hAnsi="Times New Roman"/>
                <w:sz w:val="20"/>
                <w:szCs w:val="20"/>
              </w:rPr>
              <w:t>6.76</w:t>
            </w:r>
          </w:p>
        </w:tc>
        <w:tc>
          <w:tcPr>
            <w:tcW w:w="2206"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jc w:val="center"/>
              <w:rPr>
                <w:rFonts w:ascii="Times New Roman" w:hAnsi="Times New Roman"/>
                <w:sz w:val="20"/>
                <w:szCs w:val="20"/>
              </w:rPr>
            </w:pPr>
            <w:r w:rsidRPr="00311766">
              <w:rPr>
                <w:rFonts w:ascii="Times New Roman" w:hAnsi="Times New Roman"/>
                <w:sz w:val="20"/>
                <w:szCs w:val="20"/>
              </w:rPr>
              <w:t>0.9933</w:t>
            </w:r>
          </w:p>
        </w:tc>
      </w:tr>
      <w:tr w:rsidR="008E1C91" w:rsidRPr="00311766" w:rsidTr="008E1C91">
        <w:trPr>
          <w:jc w:val="center"/>
        </w:trPr>
        <w:tc>
          <w:tcPr>
            <w:tcW w:w="3195"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rPr>
                <w:rFonts w:ascii="Times New Roman" w:hAnsi="Times New Roman"/>
                <w:sz w:val="20"/>
                <w:szCs w:val="20"/>
              </w:rPr>
            </w:pPr>
            <w:r w:rsidRPr="00311766">
              <w:rPr>
                <w:rFonts w:ascii="Times New Roman" w:hAnsi="Times New Roman"/>
                <w:sz w:val="20"/>
                <w:szCs w:val="20"/>
              </w:rPr>
              <w:t>1000</w:t>
            </w:r>
          </w:p>
        </w:tc>
        <w:tc>
          <w:tcPr>
            <w:tcW w:w="1140"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jc w:val="center"/>
              <w:rPr>
                <w:rFonts w:ascii="Times New Roman" w:hAnsi="Times New Roman"/>
                <w:sz w:val="20"/>
                <w:szCs w:val="20"/>
              </w:rPr>
            </w:pPr>
            <w:r w:rsidRPr="00311766">
              <w:rPr>
                <w:rFonts w:ascii="Times New Roman" w:hAnsi="Times New Roman"/>
                <w:sz w:val="20"/>
                <w:szCs w:val="20"/>
              </w:rPr>
              <w:t>6.66</w:t>
            </w:r>
          </w:p>
        </w:tc>
        <w:tc>
          <w:tcPr>
            <w:tcW w:w="2206"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jc w:val="center"/>
              <w:rPr>
                <w:rFonts w:ascii="Times New Roman" w:hAnsi="Times New Roman"/>
                <w:sz w:val="20"/>
                <w:szCs w:val="20"/>
              </w:rPr>
            </w:pPr>
            <w:r w:rsidRPr="00311766">
              <w:rPr>
                <w:rFonts w:ascii="Times New Roman" w:hAnsi="Times New Roman"/>
                <w:sz w:val="20"/>
                <w:szCs w:val="20"/>
              </w:rPr>
              <w:t>0.9802</w:t>
            </w:r>
          </w:p>
        </w:tc>
      </w:tr>
      <w:tr w:rsidR="008E1C91" w:rsidRPr="00311766" w:rsidTr="008E1C91">
        <w:trPr>
          <w:jc w:val="center"/>
        </w:trPr>
        <w:tc>
          <w:tcPr>
            <w:tcW w:w="3195"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rPr>
                <w:rFonts w:ascii="Times New Roman" w:hAnsi="Times New Roman"/>
                <w:sz w:val="20"/>
                <w:szCs w:val="20"/>
              </w:rPr>
            </w:pPr>
            <w:r w:rsidRPr="00311766">
              <w:rPr>
                <w:rFonts w:ascii="Times New Roman" w:hAnsi="Times New Roman"/>
                <w:sz w:val="20"/>
                <w:szCs w:val="20"/>
              </w:rPr>
              <w:t>5000</w:t>
            </w:r>
          </w:p>
        </w:tc>
        <w:tc>
          <w:tcPr>
            <w:tcW w:w="1140"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jc w:val="center"/>
              <w:rPr>
                <w:rFonts w:ascii="Times New Roman" w:hAnsi="Times New Roman"/>
                <w:sz w:val="20"/>
                <w:szCs w:val="20"/>
              </w:rPr>
            </w:pPr>
            <w:r w:rsidRPr="00311766">
              <w:rPr>
                <w:rFonts w:ascii="Times New Roman" w:hAnsi="Times New Roman"/>
                <w:sz w:val="20"/>
                <w:szCs w:val="20"/>
              </w:rPr>
              <w:t>6.53</w:t>
            </w:r>
          </w:p>
        </w:tc>
        <w:tc>
          <w:tcPr>
            <w:tcW w:w="2206" w:type="dxa"/>
            <w:tcBorders>
              <w:top w:val="nil"/>
              <w:left w:val="nil"/>
              <w:bottom w:val="nil"/>
              <w:right w:val="nil"/>
            </w:tcBorders>
            <w:shd w:val="clear" w:color="auto" w:fill="auto"/>
            <w:vAlign w:val="center"/>
            <w:hideMark/>
          </w:tcPr>
          <w:p w:rsidR="00311766" w:rsidRPr="00311766" w:rsidRDefault="00311766" w:rsidP="008E1C91">
            <w:pPr>
              <w:spacing w:before="60" w:after="0" w:line="240" w:lineRule="auto"/>
              <w:jc w:val="center"/>
              <w:rPr>
                <w:rFonts w:ascii="Times New Roman" w:hAnsi="Times New Roman"/>
                <w:sz w:val="20"/>
                <w:szCs w:val="20"/>
              </w:rPr>
            </w:pPr>
            <w:r w:rsidRPr="00311766">
              <w:rPr>
                <w:rFonts w:ascii="Times New Roman" w:hAnsi="Times New Roman"/>
                <w:sz w:val="20"/>
                <w:szCs w:val="20"/>
              </w:rPr>
              <w:t>1.034</w:t>
            </w:r>
          </w:p>
        </w:tc>
      </w:tr>
      <w:tr w:rsidR="008E1C91" w:rsidRPr="00311766" w:rsidTr="008E1C91">
        <w:trPr>
          <w:jc w:val="center"/>
        </w:trPr>
        <w:tc>
          <w:tcPr>
            <w:tcW w:w="3195" w:type="dxa"/>
            <w:tcBorders>
              <w:top w:val="nil"/>
              <w:left w:val="nil"/>
              <w:bottom w:val="single" w:sz="4" w:space="0" w:color="auto"/>
              <w:right w:val="nil"/>
            </w:tcBorders>
            <w:shd w:val="clear" w:color="auto" w:fill="auto"/>
            <w:vAlign w:val="center"/>
          </w:tcPr>
          <w:p w:rsidR="008E1C91" w:rsidRPr="00311766" w:rsidRDefault="008E1C91" w:rsidP="008E1C91">
            <w:pPr>
              <w:spacing w:before="60" w:after="60" w:line="240" w:lineRule="auto"/>
              <w:rPr>
                <w:rFonts w:ascii="Times New Roman" w:hAnsi="Times New Roman"/>
                <w:sz w:val="20"/>
                <w:szCs w:val="20"/>
              </w:rPr>
            </w:pPr>
            <w:r w:rsidRPr="00311766">
              <w:rPr>
                <w:rFonts w:ascii="Times New Roman" w:hAnsi="Times New Roman"/>
                <w:sz w:val="20"/>
                <w:szCs w:val="20"/>
              </w:rPr>
              <w:t>10000</w:t>
            </w:r>
          </w:p>
        </w:tc>
        <w:tc>
          <w:tcPr>
            <w:tcW w:w="1140" w:type="dxa"/>
            <w:tcBorders>
              <w:top w:val="nil"/>
              <w:left w:val="nil"/>
              <w:bottom w:val="single" w:sz="4" w:space="0" w:color="auto"/>
              <w:right w:val="nil"/>
            </w:tcBorders>
            <w:shd w:val="clear" w:color="auto" w:fill="auto"/>
            <w:vAlign w:val="center"/>
          </w:tcPr>
          <w:p w:rsidR="008E1C91" w:rsidRPr="00311766" w:rsidRDefault="008E1C91" w:rsidP="008E1C91">
            <w:pPr>
              <w:spacing w:before="60" w:after="60" w:line="240" w:lineRule="auto"/>
              <w:jc w:val="center"/>
              <w:rPr>
                <w:rFonts w:ascii="Times New Roman" w:hAnsi="Times New Roman"/>
                <w:sz w:val="20"/>
                <w:szCs w:val="20"/>
              </w:rPr>
            </w:pPr>
            <w:r w:rsidRPr="00311766">
              <w:rPr>
                <w:rFonts w:ascii="Times New Roman" w:hAnsi="Times New Roman"/>
                <w:sz w:val="20"/>
                <w:szCs w:val="20"/>
              </w:rPr>
              <w:t>6.35</w:t>
            </w:r>
          </w:p>
        </w:tc>
        <w:tc>
          <w:tcPr>
            <w:tcW w:w="2206" w:type="dxa"/>
            <w:tcBorders>
              <w:top w:val="nil"/>
              <w:left w:val="nil"/>
              <w:bottom w:val="single" w:sz="4" w:space="0" w:color="auto"/>
              <w:right w:val="nil"/>
            </w:tcBorders>
            <w:shd w:val="clear" w:color="auto" w:fill="auto"/>
            <w:vAlign w:val="center"/>
          </w:tcPr>
          <w:p w:rsidR="008E1C91" w:rsidRPr="00311766" w:rsidRDefault="008E1C91" w:rsidP="008E1C91">
            <w:pPr>
              <w:spacing w:before="60" w:after="60" w:line="240" w:lineRule="auto"/>
              <w:jc w:val="center"/>
              <w:rPr>
                <w:rFonts w:ascii="Times New Roman" w:hAnsi="Times New Roman"/>
                <w:sz w:val="20"/>
                <w:szCs w:val="20"/>
              </w:rPr>
            </w:pPr>
            <w:r w:rsidRPr="00311766">
              <w:rPr>
                <w:rFonts w:ascii="Times New Roman" w:hAnsi="Times New Roman"/>
                <w:sz w:val="20"/>
                <w:szCs w:val="20"/>
              </w:rPr>
              <w:t>1.235</w:t>
            </w:r>
          </w:p>
        </w:tc>
      </w:tr>
    </w:tbl>
    <w:p w:rsidR="00311766" w:rsidRPr="00311766" w:rsidRDefault="00921BC9" w:rsidP="00311766">
      <w:pPr>
        <w:tabs>
          <w:tab w:val="left" w:pos="2520"/>
        </w:tabs>
        <w:spacing w:after="0" w:line="240" w:lineRule="auto"/>
        <w:jc w:val="both"/>
        <w:rPr>
          <w:rFonts w:ascii="Times New Roman" w:hAnsi="Times New Roman"/>
          <w:sz w:val="20"/>
          <w:szCs w:val="20"/>
        </w:rPr>
      </w:pPr>
      <w:r w:rsidRPr="00311766">
        <w:rPr>
          <w:rFonts w:ascii="Times New Roman" w:hAnsi="Times New Roman"/>
          <w:noProof/>
          <w:sz w:val="20"/>
          <w:szCs w:val="20"/>
          <w:lang w:val="en-MY" w:eastAsia="en-MY" w:bidi="ar-SA"/>
        </w:rPr>
        <mc:AlternateContent>
          <mc:Choice Requires="wps">
            <w:drawing>
              <wp:anchor distT="0" distB="0" distL="114300" distR="114300" simplePos="0" relativeHeight="251678720" behindDoc="0" locked="0" layoutInCell="1" allowOverlap="1" wp14:anchorId="0FDF429F" wp14:editId="030B99D1">
                <wp:simplePos x="0" y="0"/>
                <wp:positionH relativeFrom="column">
                  <wp:posOffset>4010024</wp:posOffset>
                </wp:positionH>
                <wp:positionV relativeFrom="paragraph">
                  <wp:posOffset>427990</wp:posOffset>
                </wp:positionV>
                <wp:extent cx="423545" cy="39052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423545" cy="390525"/>
                        </a:xfrm>
                        <a:prstGeom prst="rect">
                          <a:avLst/>
                        </a:prstGeom>
                        <a:solidFill>
                          <a:schemeClr val="lt1"/>
                        </a:solidFill>
                        <a:ln w="6350">
                          <a:noFill/>
                        </a:ln>
                      </wps:spPr>
                      <wps:txbx>
                        <w:txbxContent>
                          <w:p w:rsidR="00921BC9" w:rsidRPr="00575CA0" w:rsidRDefault="00921BC9" w:rsidP="00921BC9">
                            <w:pPr>
                              <w:rPr>
                                <w:rFonts w:ascii="Times New Roman" w:hAnsi="Times New Roman"/>
                                <w:b/>
                                <w:lang w:val="en-GB"/>
                              </w:rPr>
                            </w:pPr>
                            <w:r>
                              <w:rPr>
                                <w:rFonts w:ascii="Times New Roman" w:hAnsi="Times New Roman"/>
                                <w:b/>
                                <w:lang w:val="en-GB"/>
                              </w:rPr>
                              <w:t>(b</w:t>
                            </w:r>
                            <w:r w:rsidRPr="00575CA0">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5.75pt;margin-top:33.7pt;width:33.3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" fillcolor="white [3201]" stroked="f" strokeweight=".5pt">
                <v:textbox>
                  <w:txbxContent>
                    <w:p w:rsidR="00921BC9" w:rsidRPr="00575CA0" w:rsidRDefault="00921BC9" w:rsidP="00921BC9">
                      <w:pPr>
                        <w:rPr>
                          <w:rFonts w:ascii="Times New Roman" w:hAnsi="Times New Roman"/>
                          <w:b/>
                          <w:lang w:val="en-GB"/>
                        </w:rPr>
                      </w:pPr>
                      <w:r>
                        <w:rPr>
                          <w:rFonts w:ascii="Times New Roman" w:hAnsi="Times New Roman"/>
                          <w:b/>
                          <w:lang w:val="en-GB"/>
                        </w:rPr>
                        <w:t>(b</w:t>
                      </w:r>
                      <w:r w:rsidRPr="00575CA0">
                        <w:rPr>
                          <w:rFonts w:ascii="Times New Roman" w:hAnsi="Times New Roman"/>
                          <w:b/>
                          <w:lang w:val="en-GB"/>
                        </w:rPr>
                        <w:t>)</w:t>
                      </w:r>
                    </w:p>
                  </w:txbxContent>
                </v:textbox>
              </v:shape>
            </w:pict>
          </mc:Fallback>
        </mc:AlternateContent>
      </w:r>
      <w:r w:rsidRPr="00311766">
        <w:rPr>
          <w:rFonts w:ascii="Times New Roman" w:hAnsi="Times New Roman"/>
          <w:noProof/>
          <w:sz w:val="20"/>
          <w:szCs w:val="20"/>
          <w:lang w:val="en-MY" w:eastAsia="en-MY" w:bidi="ar-SA"/>
        </w:rPr>
        <mc:AlternateContent>
          <mc:Choice Requires="wps">
            <w:drawing>
              <wp:anchor distT="0" distB="0" distL="114300" distR="114300" simplePos="0" relativeHeight="251667456" behindDoc="0" locked="0" layoutInCell="1" allowOverlap="1" wp14:anchorId="6F18A869" wp14:editId="2001BAE9">
                <wp:simplePos x="0" y="0"/>
                <wp:positionH relativeFrom="column">
                  <wp:posOffset>752475</wp:posOffset>
                </wp:positionH>
                <wp:positionV relativeFrom="paragraph">
                  <wp:posOffset>427990</wp:posOffset>
                </wp:positionV>
                <wp:extent cx="356870" cy="390525"/>
                <wp:effectExtent l="0" t="0" r="5080" b="9525"/>
                <wp:wrapNone/>
                <wp:docPr id="3" name="Text Box 3"/>
                <wp:cNvGraphicFramePr/>
                <a:graphic xmlns:a="http://schemas.openxmlformats.org/drawingml/2006/main">
                  <a:graphicData uri="http://schemas.microsoft.com/office/word/2010/wordprocessingShape">
                    <wps:wsp>
                      <wps:cNvSpPr txBox="1"/>
                      <wps:spPr>
                        <a:xfrm>
                          <a:off x="0" y="0"/>
                          <a:ext cx="356870" cy="390525"/>
                        </a:xfrm>
                        <a:prstGeom prst="rect">
                          <a:avLst/>
                        </a:prstGeom>
                        <a:solidFill>
                          <a:schemeClr val="lt1"/>
                        </a:solidFill>
                        <a:ln w="6350">
                          <a:noFill/>
                        </a:ln>
                      </wps:spPr>
                      <wps:txbx>
                        <w:txbxContent>
                          <w:p w:rsidR="00311766" w:rsidRPr="00575CA0" w:rsidRDefault="00311766" w:rsidP="00311766">
                            <w:pPr>
                              <w:rPr>
                                <w:rFonts w:ascii="Times New Roman" w:hAnsi="Times New Roman"/>
                                <w:b/>
                                <w:lang w:val="en-GB"/>
                              </w:rPr>
                            </w:pPr>
                            <w:r w:rsidRPr="00575CA0">
                              <w:rPr>
                                <w:rFonts w:ascii="Times New Roman" w:hAnsi="Times New Roman"/>
                                <w:b/>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59.25pt;margin-top:33.7pt;width:28.1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" fillcolor="white [3201]" stroked="f" strokeweight=".5pt">
                <v:textbox>
                  <w:txbxContent>
                    <w:p w:rsidR="00311766" w:rsidRPr="00575CA0" w:rsidRDefault="00311766" w:rsidP="00311766">
                      <w:pPr>
                        <w:rPr>
                          <w:rFonts w:ascii="Times New Roman" w:hAnsi="Times New Roman"/>
                          <w:b/>
                          <w:lang w:val="en-GB"/>
                        </w:rPr>
                      </w:pPr>
                      <w:r w:rsidRPr="00575CA0">
                        <w:rPr>
                          <w:rFonts w:ascii="Times New Roman" w:hAnsi="Times New Roman"/>
                          <w:b/>
                          <w:lang w:val="en-GB"/>
                        </w:rPr>
                        <w:t>(a)</w:t>
                      </w:r>
                    </w:p>
                  </w:txbxContent>
                </v:textbox>
              </v:shape>
            </w:pict>
          </mc:Fallback>
        </mc:AlternateContent>
      </w:r>
      <w:r w:rsidRPr="00311766">
        <w:rPr>
          <w:rFonts w:ascii="Times New Roman" w:hAnsi="Times New Roman"/>
          <w:noProof/>
          <w:sz w:val="20"/>
          <w:szCs w:val="20"/>
          <w:lang w:val="en-MY" w:eastAsia="en-MY" w:bidi="ar-SA"/>
        </w:rPr>
        <mc:AlternateContent>
          <mc:Choice Requires="wps">
            <w:drawing>
              <wp:anchor distT="0" distB="0" distL="114300" distR="114300" simplePos="0" relativeHeight="251668480" behindDoc="0" locked="0" layoutInCell="1" allowOverlap="1" wp14:anchorId="7D6C434C" wp14:editId="3D5EC5D4">
                <wp:simplePos x="0" y="0"/>
                <wp:positionH relativeFrom="column">
                  <wp:posOffset>4072255</wp:posOffset>
                </wp:positionH>
                <wp:positionV relativeFrom="paragraph">
                  <wp:posOffset>668655</wp:posOffset>
                </wp:positionV>
                <wp:extent cx="356870" cy="239395"/>
                <wp:effectExtent l="0" t="0" r="5080" b="8255"/>
                <wp:wrapNone/>
                <wp:docPr id="1" name="Text Box 1"/>
                <wp:cNvGraphicFramePr/>
                <a:graphic xmlns:a="http://schemas.openxmlformats.org/drawingml/2006/main">
                  <a:graphicData uri="http://schemas.microsoft.com/office/word/2010/wordprocessingShape">
                    <wps:wsp>
                      <wps:cNvSpPr txBox="1"/>
                      <wps:spPr>
                        <a:xfrm>
                          <a:off x="0" y="0"/>
                          <a:ext cx="356870" cy="239395"/>
                        </a:xfrm>
                        <a:prstGeom prst="rect">
                          <a:avLst/>
                        </a:prstGeom>
                        <a:solidFill>
                          <a:schemeClr val="lt1"/>
                        </a:solidFill>
                        <a:ln w="6350">
                          <a:noFill/>
                        </a:ln>
                      </wps:spPr>
                      <wps:txbx>
                        <w:txbxContent>
                          <w:p w:rsidR="00311766" w:rsidRPr="00575CA0" w:rsidRDefault="00311766" w:rsidP="00311766">
                            <w:pPr>
                              <w:rPr>
                                <w:rFonts w:ascii="Times New Roman" w:hAnsi="Times New Roman"/>
                                <w:b/>
                                <w:lang w:val="en-GB"/>
                              </w:rPr>
                            </w:pPr>
                            <w:r w:rsidRPr="00575CA0">
                              <w:rPr>
                                <w:rFonts w:ascii="Times New Roman" w:hAnsi="Times New Roman"/>
                                <w:b/>
                                <w:lang w:val="en-GB"/>
                              </w:rPr>
                              <w:t>(</w:t>
                            </w:r>
                            <w:r>
                              <w:rPr>
                                <w:rFonts w:ascii="Times New Roman" w:hAnsi="Times New Roman"/>
                                <w:b/>
                                <w:lang w:val="en-GB"/>
                              </w:rPr>
                              <w:t>b</w:t>
                            </w:r>
                            <w:r w:rsidRPr="00575CA0">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28" type="#_x0000_t202" style="position:absolute;left:0;text-align:left;margin-left:320.65pt;margin-top:52.65pt;width:28.1pt;height:18.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" fillcolor="white [3201]" stroked="f" strokeweight=".5pt">
                <v:textbox>
                  <w:txbxContent>
                    <w:p w:rsidR="00311766" w:rsidRPr="00575CA0" w:rsidRDefault="00311766" w:rsidP="00311766">
                      <w:pPr>
                        <w:rPr>
                          <w:rFonts w:ascii="Times New Roman" w:hAnsi="Times New Roman"/>
                          <w:b/>
                          <w:lang w:val="en-GB"/>
                        </w:rPr>
                      </w:pPr>
                      <w:r w:rsidRPr="00575CA0">
                        <w:rPr>
                          <w:rFonts w:ascii="Times New Roman" w:hAnsi="Times New Roman"/>
                          <w:b/>
                          <w:lang w:val="en-GB"/>
                        </w:rPr>
                        <w:t>(</w:t>
                      </w:r>
                      <w:r>
                        <w:rPr>
                          <w:rFonts w:ascii="Times New Roman" w:hAnsi="Times New Roman"/>
                          <w:b/>
                          <w:lang w:val="en-GB"/>
                        </w:rPr>
                        <w:t>b</w:t>
                      </w:r>
                      <w:r w:rsidRPr="00575CA0">
                        <w:rPr>
                          <w:rFonts w:ascii="Times New Roman" w:hAnsi="Times New Roman"/>
                          <w:b/>
                          <w:lang w:val="en-GB"/>
                        </w:rPr>
                        <w:t>)</w:t>
                      </w:r>
                    </w:p>
                  </w:txbxContent>
                </v:textbox>
              </v:shape>
            </w:pict>
          </mc:Fallback>
        </mc:AlternateContent>
      </w:r>
      <w:r w:rsidRPr="00A832D6">
        <w:rPr>
          <w:noProof/>
          <w:lang w:val="en-MY" w:eastAsia="en-MY" w:bidi="ar-SA"/>
        </w:rPr>
        <w:drawing>
          <wp:anchor distT="0" distB="2032" distL="114300" distR="114300" simplePos="0" relativeHeight="251676672" behindDoc="0" locked="0" layoutInCell="1" allowOverlap="1" wp14:anchorId="77D81C38" wp14:editId="38BF981D">
            <wp:simplePos x="0" y="0"/>
            <wp:positionH relativeFrom="margin">
              <wp:posOffset>3227070</wp:posOffset>
            </wp:positionH>
            <wp:positionV relativeFrom="paragraph">
              <wp:posOffset>186690</wp:posOffset>
            </wp:positionV>
            <wp:extent cx="2800350" cy="2113280"/>
            <wp:effectExtent l="0" t="0" r="19050" b="20320"/>
            <wp:wrapTopAndBottom/>
            <wp:docPr id="10"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8E1C91" w:rsidRPr="00A832D6">
        <w:rPr>
          <w:noProof/>
          <w:lang w:val="en-MY" w:eastAsia="en-MY" w:bidi="ar-SA"/>
        </w:rPr>
        <w:drawing>
          <wp:anchor distT="0" distB="0" distL="114300" distR="114300" simplePos="0" relativeHeight="251674624" behindDoc="1" locked="0" layoutInCell="1" allowOverlap="1" wp14:anchorId="293B6F79" wp14:editId="68302DC0">
            <wp:simplePos x="0" y="0"/>
            <wp:positionH relativeFrom="column">
              <wp:posOffset>206375</wp:posOffset>
            </wp:positionH>
            <wp:positionV relativeFrom="paragraph">
              <wp:posOffset>189865</wp:posOffset>
            </wp:positionV>
            <wp:extent cx="2821305" cy="2113280"/>
            <wp:effectExtent l="0" t="0" r="17145" b="20320"/>
            <wp:wrapTight wrapText="bothSides">
              <wp:wrapPolygon edited="0">
                <wp:start x="0" y="0"/>
                <wp:lineTo x="0" y="21613"/>
                <wp:lineTo x="21585" y="21613"/>
                <wp:lineTo x="21585" y="0"/>
                <wp:lineTo x="0" y="0"/>
              </wp:wrapPolygon>
            </wp:wrapTight>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311766" w:rsidRPr="00311766">
        <w:rPr>
          <w:rFonts w:ascii="Times New Roman" w:hAnsi="Times New Roman"/>
          <w:sz w:val="20"/>
          <w:szCs w:val="20"/>
        </w:rPr>
        <w:tab/>
      </w:r>
      <w:r w:rsidR="00311766" w:rsidRPr="00311766">
        <w:rPr>
          <w:rFonts w:ascii="Times New Roman" w:hAnsi="Times New Roman"/>
          <w:sz w:val="20"/>
          <w:szCs w:val="20"/>
        </w:rPr>
        <w:tab/>
      </w:r>
      <w:r w:rsidR="00311766" w:rsidRPr="00311766">
        <w:rPr>
          <w:rFonts w:ascii="Times New Roman" w:hAnsi="Times New Roman"/>
          <w:sz w:val="20"/>
          <w:szCs w:val="20"/>
        </w:rPr>
        <w:tab/>
        <w:t xml:space="preserve">              </w:t>
      </w:r>
    </w:p>
    <w:p w:rsidR="00311766" w:rsidRPr="00311766" w:rsidRDefault="00311766" w:rsidP="00921BC9">
      <w:pPr>
        <w:spacing w:before="120" w:after="0" w:line="240" w:lineRule="auto"/>
        <w:jc w:val="center"/>
        <w:rPr>
          <w:rFonts w:ascii="Times New Roman" w:hAnsi="Times New Roman"/>
          <w:sz w:val="20"/>
          <w:szCs w:val="20"/>
        </w:rPr>
      </w:pPr>
      <w:r w:rsidRPr="00311766">
        <w:rPr>
          <w:rFonts w:ascii="Times New Roman" w:hAnsi="Times New Roman"/>
          <w:sz w:val="20"/>
          <w:szCs w:val="20"/>
        </w:rPr>
        <w:t xml:space="preserve">Figure 1. </w:t>
      </w:r>
      <w:r w:rsidR="00921BC9">
        <w:rPr>
          <w:rFonts w:ascii="Times New Roman" w:hAnsi="Times New Roman"/>
          <w:sz w:val="20"/>
          <w:szCs w:val="20"/>
        </w:rPr>
        <w:t xml:space="preserve"> </w:t>
      </w:r>
      <w:r w:rsidRPr="00311766">
        <w:rPr>
          <w:rFonts w:ascii="Times New Roman" w:hAnsi="Times New Roman"/>
          <w:sz w:val="20"/>
          <w:szCs w:val="20"/>
        </w:rPr>
        <w:t>Results of (a) pH and (b) conductivity measurement of glycerol</w:t>
      </w:r>
    </w:p>
    <w:p w:rsidR="00311766" w:rsidRPr="00311766" w:rsidRDefault="00311766" w:rsidP="00921BC9">
      <w:pPr>
        <w:spacing w:after="120" w:line="240" w:lineRule="auto"/>
        <w:jc w:val="both"/>
        <w:rPr>
          <w:rFonts w:ascii="Times New Roman" w:hAnsi="Times New Roman"/>
          <w:sz w:val="20"/>
          <w:szCs w:val="20"/>
          <w:lang w:val="en-MY"/>
        </w:rPr>
      </w:pPr>
    </w:p>
    <w:p w:rsidR="00311766" w:rsidRPr="00311766" w:rsidRDefault="00311766" w:rsidP="00311766">
      <w:pPr>
        <w:spacing w:after="0" w:line="240" w:lineRule="auto"/>
        <w:jc w:val="both"/>
        <w:outlineLvl w:val="0"/>
        <w:rPr>
          <w:rFonts w:ascii="Times New Roman" w:hAnsi="Times New Roman"/>
          <w:b/>
          <w:bCs/>
          <w:sz w:val="20"/>
          <w:szCs w:val="20"/>
        </w:rPr>
      </w:pPr>
      <w:r w:rsidRPr="00311766">
        <w:rPr>
          <w:rFonts w:ascii="Times New Roman" w:hAnsi="Times New Roman"/>
          <w:b/>
          <w:bCs/>
          <w:sz w:val="20"/>
          <w:szCs w:val="20"/>
        </w:rPr>
        <w:t>Weight loss method</w:t>
      </w:r>
    </w:p>
    <w:p w:rsidR="00311766" w:rsidRPr="00311766" w:rsidRDefault="00311766" w:rsidP="00311766">
      <w:pPr>
        <w:spacing w:after="0" w:line="240" w:lineRule="auto"/>
        <w:jc w:val="both"/>
        <w:outlineLvl w:val="0"/>
        <w:rPr>
          <w:rFonts w:ascii="Times New Roman" w:hAnsi="Times New Roman"/>
          <w:sz w:val="20"/>
          <w:szCs w:val="20"/>
        </w:rPr>
      </w:pPr>
      <w:r w:rsidRPr="00311766">
        <w:rPr>
          <w:rFonts w:ascii="Times New Roman" w:hAnsi="Times New Roman"/>
          <w:sz w:val="20"/>
          <w:szCs w:val="20"/>
        </w:rPr>
        <w:t xml:space="preserve">Based on the results from the weight-loss method, the corrosion rate and the corrosion inhibition efficiency are calculated. Table 2 tabulates the data of corrosion rate of Mild Steel X52 in the absence and presence of glycerol. </w:t>
      </w:r>
    </w:p>
    <w:p w:rsidR="00311766" w:rsidRPr="00311766" w:rsidRDefault="00311766" w:rsidP="00311766">
      <w:pPr>
        <w:spacing w:after="0" w:line="240" w:lineRule="auto"/>
        <w:jc w:val="both"/>
        <w:outlineLvl w:val="0"/>
        <w:rPr>
          <w:rFonts w:ascii="Times New Roman" w:hAnsi="Times New Roman"/>
          <w:sz w:val="20"/>
          <w:szCs w:val="20"/>
        </w:rPr>
      </w:pPr>
    </w:p>
    <w:p w:rsidR="00311766" w:rsidRPr="00311766" w:rsidRDefault="00311766" w:rsidP="00921BC9">
      <w:pPr>
        <w:spacing w:after="120" w:line="240" w:lineRule="auto"/>
        <w:jc w:val="center"/>
        <w:outlineLvl w:val="0"/>
        <w:rPr>
          <w:rFonts w:ascii="Times New Roman" w:hAnsi="Times New Roman"/>
          <w:sz w:val="20"/>
          <w:szCs w:val="20"/>
        </w:rPr>
      </w:pPr>
      <w:r w:rsidRPr="00311766">
        <w:rPr>
          <w:rFonts w:ascii="Times New Roman" w:hAnsi="Times New Roman"/>
          <w:sz w:val="20"/>
          <w:szCs w:val="20"/>
        </w:rPr>
        <w:t xml:space="preserve">Table 2. </w:t>
      </w:r>
      <w:r w:rsidR="00921BC9">
        <w:rPr>
          <w:rFonts w:ascii="Times New Roman" w:hAnsi="Times New Roman"/>
          <w:sz w:val="20"/>
          <w:szCs w:val="20"/>
        </w:rPr>
        <w:t xml:space="preserve"> </w:t>
      </w:r>
      <w:r w:rsidRPr="00311766">
        <w:rPr>
          <w:rFonts w:ascii="Times New Roman" w:hAnsi="Times New Roman"/>
          <w:sz w:val="20"/>
          <w:szCs w:val="20"/>
        </w:rPr>
        <w:t>Corrosion rate of sample and the corrosion inhibition efficiency of glycerol</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596"/>
        <w:gridCol w:w="1336"/>
        <w:gridCol w:w="1317"/>
        <w:gridCol w:w="1280"/>
        <w:gridCol w:w="1680"/>
        <w:gridCol w:w="1817"/>
      </w:tblGrid>
      <w:tr w:rsidR="00311766" w:rsidRPr="00311766" w:rsidTr="003D1D1E">
        <w:trPr>
          <w:trHeight w:val="491"/>
          <w:jc w:val="center"/>
        </w:trPr>
        <w:tc>
          <w:tcPr>
            <w:tcW w:w="1596" w:type="dxa"/>
            <w:vMerge w:val="restart"/>
            <w:tcBorders>
              <w:top w:val="single" w:sz="4" w:space="0" w:color="auto"/>
              <w:bottom w:val="single" w:sz="4" w:space="0" w:color="auto"/>
            </w:tcBorders>
            <w:shd w:val="clear" w:color="auto" w:fill="auto"/>
            <w:noWrap/>
            <w:vAlign w:val="center"/>
            <w:hideMark/>
          </w:tcPr>
          <w:p w:rsidR="00311766" w:rsidRPr="00311766" w:rsidRDefault="00311766" w:rsidP="003D1D1E">
            <w:pPr>
              <w:spacing w:before="60" w:after="0" w:line="240" w:lineRule="auto"/>
              <w:rPr>
                <w:rFonts w:ascii="Times New Roman" w:hAnsi="Times New Roman"/>
                <w:b/>
                <w:sz w:val="20"/>
                <w:szCs w:val="20"/>
                <w:lang w:val="en-MY" w:eastAsia="en-MY" w:bidi="ta-IN"/>
              </w:rPr>
            </w:pPr>
            <w:r w:rsidRPr="00311766">
              <w:rPr>
                <w:rFonts w:ascii="Times New Roman" w:hAnsi="Times New Roman"/>
                <w:b/>
                <w:sz w:val="20"/>
                <w:szCs w:val="20"/>
                <w:lang w:val="en-MY" w:eastAsia="en-MY" w:bidi="ta-IN"/>
              </w:rPr>
              <w:t>Concentration (ppm)</w:t>
            </w:r>
          </w:p>
        </w:tc>
        <w:tc>
          <w:tcPr>
            <w:tcW w:w="1336" w:type="dxa"/>
            <w:vMerge w:val="restart"/>
            <w:tcBorders>
              <w:top w:val="single" w:sz="4" w:space="0" w:color="auto"/>
              <w:bottom w:val="single" w:sz="4" w:space="0" w:color="auto"/>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b/>
                <w:sz w:val="20"/>
                <w:szCs w:val="20"/>
                <w:lang w:val="en-MY" w:eastAsia="en-MY" w:bidi="ta-IN"/>
              </w:rPr>
            </w:pPr>
            <w:r w:rsidRPr="00311766">
              <w:rPr>
                <w:rFonts w:ascii="Times New Roman" w:hAnsi="Times New Roman"/>
                <w:b/>
                <w:sz w:val="20"/>
                <w:szCs w:val="20"/>
                <w:lang w:val="en-MY" w:eastAsia="en-MY" w:bidi="ta-IN"/>
              </w:rPr>
              <w:t>Initial weight (g)</w:t>
            </w:r>
          </w:p>
        </w:tc>
        <w:tc>
          <w:tcPr>
            <w:tcW w:w="1317" w:type="dxa"/>
            <w:vMerge w:val="restart"/>
            <w:tcBorders>
              <w:top w:val="single" w:sz="4" w:space="0" w:color="auto"/>
              <w:bottom w:val="single" w:sz="4" w:space="0" w:color="auto"/>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b/>
                <w:sz w:val="20"/>
                <w:szCs w:val="20"/>
                <w:lang w:val="en-MY" w:eastAsia="en-MY" w:bidi="ta-IN"/>
              </w:rPr>
            </w:pPr>
            <w:r w:rsidRPr="00311766">
              <w:rPr>
                <w:rFonts w:ascii="Times New Roman" w:hAnsi="Times New Roman"/>
                <w:b/>
                <w:sz w:val="20"/>
                <w:szCs w:val="20"/>
                <w:lang w:val="en-MY" w:eastAsia="en-MY" w:bidi="ta-IN"/>
              </w:rPr>
              <w:t>Final Weight (g)</w:t>
            </w:r>
          </w:p>
        </w:tc>
        <w:tc>
          <w:tcPr>
            <w:tcW w:w="1280" w:type="dxa"/>
            <w:vMerge w:val="restart"/>
            <w:tcBorders>
              <w:top w:val="single" w:sz="4" w:space="0" w:color="auto"/>
              <w:bottom w:val="single" w:sz="4" w:space="0" w:color="auto"/>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b/>
                <w:sz w:val="20"/>
                <w:szCs w:val="20"/>
                <w:lang w:val="en-MY" w:eastAsia="en-MY" w:bidi="ta-IN"/>
              </w:rPr>
            </w:pPr>
            <w:r w:rsidRPr="00311766">
              <w:rPr>
                <w:rFonts w:ascii="Times New Roman" w:hAnsi="Times New Roman"/>
                <w:b/>
                <w:sz w:val="20"/>
                <w:szCs w:val="20"/>
                <w:lang w:val="en-MY" w:eastAsia="en-MY" w:bidi="ta-IN"/>
              </w:rPr>
              <w:t>Weight Loss</w:t>
            </w:r>
          </w:p>
          <w:p w:rsidR="00311766" w:rsidRPr="00311766" w:rsidRDefault="00311766" w:rsidP="003D1D1E">
            <w:pPr>
              <w:spacing w:after="0" w:line="240" w:lineRule="auto"/>
              <w:jc w:val="center"/>
              <w:rPr>
                <w:rFonts w:ascii="Times New Roman" w:hAnsi="Times New Roman"/>
                <w:b/>
                <w:sz w:val="20"/>
                <w:szCs w:val="20"/>
                <w:lang w:val="en-MY" w:eastAsia="en-MY" w:bidi="ta-IN"/>
              </w:rPr>
            </w:pPr>
            <w:r w:rsidRPr="00311766">
              <w:rPr>
                <w:rFonts w:ascii="Times New Roman" w:hAnsi="Times New Roman"/>
                <w:b/>
                <w:sz w:val="20"/>
                <w:szCs w:val="20"/>
                <w:lang w:val="en-MY" w:eastAsia="en-MY" w:bidi="ta-IN"/>
              </w:rPr>
              <w:t>(g)</w:t>
            </w:r>
          </w:p>
        </w:tc>
        <w:tc>
          <w:tcPr>
            <w:tcW w:w="1680" w:type="dxa"/>
            <w:vMerge w:val="restart"/>
            <w:tcBorders>
              <w:top w:val="single" w:sz="4" w:space="0" w:color="auto"/>
              <w:bottom w:val="single" w:sz="4" w:space="0" w:color="auto"/>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b/>
                <w:sz w:val="20"/>
                <w:szCs w:val="20"/>
                <w:lang w:val="en-MY" w:eastAsia="en-MY" w:bidi="ta-IN"/>
              </w:rPr>
            </w:pPr>
            <w:r w:rsidRPr="00311766">
              <w:rPr>
                <w:rFonts w:ascii="Times New Roman" w:hAnsi="Times New Roman"/>
                <w:b/>
                <w:sz w:val="20"/>
                <w:szCs w:val="20"/>
                <w:lang w:val="en-MY" w:eastAsia="en-MY" w:bidi="ta-IN"/>
              </w:rPr>
              <w:t>Corrosion Rate (mm/year)</w:t>
            </w:r>
          </w:p>
        </w:tc>
        <w:tc>
          <w:tcPr>
            <w:tcW w:w="1817" w:type="dxa"/>
            <w:vMerge w:val="restart"/>
            <w:tcBorders>
              <w:top w:val="single" w:sz="4" w:space="0" w:color="auto"/>
              <w:bottom w:val="single" w:sz="4" w:space="0" w:color="auto"/>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b/>
                <w:sz w:val="20"/>
                <w:szCs w:val="20"/>
                <w:lang w:val="en-MY" w:eastAsia="en-MY" w:bidi="ta-IN"/>
              </w:rPr>
            </w:pPr>
            <w:r w:rsidRPr="00311766">
              <w:rPr>
                <w:rFonts w:ascii="Times New Roman" w:hAnsi="Times New Roman"/>
                <w:b/>
                <w:sz w:val="20"/>
                <w:szCs w:val="20"/>
                <w:lang w:val="en-MY" w:eastAsia="en-MY" w:bidi="ta-IN"/>
              </w:rPr>
              <w:t>Inhibition Efficiency, %</w:t>
            </w:r>
          </w:p>
        </w:tc>
      </w:tr>
      <w:tr w:rsidR="00311766" w:rsidRPr="00311766" w:rsidTr="003D1D1E">
        <w:trPr>
          <w:trHeight w:val="230"/>
          <w:jc w:val="center"/>
        </w:trPr>
        <w:tc>
          <w:tcPr>
            <w:tcW w:w="1596" w:type="dxa"/>
            <w:vMerge/>
            <w:tcBorders>
              <w:top w:val="nil"/>
              <w:bottom w:val="single" w:sz="4" w:space="0" w:color="auto"/>
            </w:tcBorders>
            <w:vAlign w:val="center"/>
            <w:hideMark/>
          </w:tcPr>
          <w:p w:rsidR="00311766" w:rsidRPr="00311766" w:rsidRDefault="00311766" w:rsidP="003D1D1E">
            <w:pPr>
              <w:spacing w:after="0" w:line="240" w:lineRule="auto"/>
              <w:rPr>
                <w:rFonts w:ascii="Times New Roman" w:hAnsi="Times New Roman"/>
                <w:sz w:val="20"/>
                <w:szCs w:val="20"/>
                <w:lang w:val="en-MY" w:eastAsia="en-MY" w:bidi="ta-IN"/>
              </w:rPr>
            </w:pPr>
          </w:p>
        </w:tc>
        <w:tc>
          <w:tcPr>
            <w:tcW w:w="1336" w:type="dxa"/>
            <w:vMerge/>
            <w:tcBorders>
              <w:top w:val="nil"/>
              <w:bottom w:val="single" w:sz="4" w:space="0" w:color="auto"/>
            </w:tcBorders>
            <w:vAlign w:val="center"/>
            <w:hideMark/>
          </w:tcPr>
          <w:p w:rsidR="00311766" w:rsidRPr="00311766" w:rsidRDefault="00311766" w:rsidP="003D1D1E">
            <w:pPr>
              <w:spacing w:after="0" w:line="240" w:lineRule="auto"/>
              <w:jc w:val="center"/>
              <w:rPr>
                <w:rFonts w:ascii="Times New Roman" w:hAnsi="Times New Roman"/>
                <w:sz w:val="20"/>
                <w:szCs w:val="20"/>
                <w:lang w:val="en-MY" w:eastAsia="en-MY" w:bidi="ta-IN"/>
              </w:rPr>
            </w:pPr>
          </w:p>
        </w:tc>
        <w:tc>
          <w:tcPr>
            <w:tcW w:w="1317" w:type="dxa"/>
            <w:vMerge/>
            <w:tcBorders>
              <w:top w:val="nil"/>
              <w:bottom w:val="single" w:sz="4" w:space="0" w:color="auto"/>
            </w:tcBorders>
            <w:vAlign w:val="center"/>
            <w:hideMark/>
          </w:tcPr>
          <w:p w:rsidR="00311766" w:rsidRPr="00311766" w:rsidRDefault="00311766" w:rsidP="003D1D1E">
            <w:pPr>
              <w:spacing w:after="0" w:line="240" w:lineRule="auto"/>
              <w:jc w:val="center"/>
              <w:rPr>
                <w:rFonts w:ascii="Times New Roman" w:hAnsi="Times New Roman"/>
                <w:sz w:val="20"/>
                <w:szCs w:val="20"/>
                <w:lang w:val="en-MY" w:eastAsia="en-MY" w:bidi="ta-IN"/>
              </w:rPr>
            </w:pPr>
          </w:p>
        </w:tc>
        <w:tc>
          <w:tcPr>
            <w:tcW w:w="1280" w:type="dxa"/>
            <w:vMerge/>
            <w:tcBorders>
              <w:top w:val="nil"/>
              <w:bottom w:val="single" w:sz="4" w:space="0" w:color="auto"/>
            </w:tcBorders>
            <w:vAlign w:val="center"/>
            <w:hideMark/>
          </w:tcPr>
          <w:p w:rsidR="00311766" w:rsidRPr="00311766" w:rsidRDefault="00311766" w:rsidP="003D1D1E">
            <w:pPr>
              <w:spacing w:after="0" w:line="240" w:lineRule="auto"/>
              <w:jc w:val="center"/>
              <w:rPr>
                <w:rFonts w:ascii="Times New Roman" w:hAnsi="Times New Roman"/>
                <w:sz w:val="20"/>
                <w:szCs w:val="20"/>
                <w:lang w:val="en-MY" w:eastAsia="en-MY" w:bidi="ta-IN"/>
              </w:rPr>
            </w:pPr>
          </w:p>
        </w:tc>
        <w:tc>
          <w:tcPr>
            <w:tcW w:w="1680" w:type="dxa"/>
            <w:vMerge/>
            <w:tcBorders>
              <w:top w:val="nil"/>
              <w:bottom w:val="single" w:sz="4" w:space="0" w:color="auto"/>
            </w:tcBorders>
            <w:vAlign w:val="center"/>
            <w:hideMark/>
          </w:tcPr>
          <w:p w:rsidR="00311766" w:rsidRPr="00311766" w:rsidRDefault="00311766" w:rsidP="003D1D1E">
            <w:pPr>
              <w:spacing w:after="0" w:line="240" w:lineRule="auto"/>
              <w:jc w:val="center"/>
              <w:rPr>
                <w:rFonts w:ascii="Times New Roman" w:hAnsi="Times New Roman"/>
                <w:sz w:val="20"/>
                <w:szCs w:val="20"/>
                <w:lang w:val="en-MY" w:eastAsia="en-MY" w:bidi="ta-IN"/>
              </w:rPr>
            </w:pPr>
          </w:p>
        </w:tc>
        <w:tc>
          <w:tcPr>
            <w:tcW w:w="1817" w:type="dxa"/>
            <w:vMerge/>
            <w:tcBorders>
              <w:top w:val="nil"/>
              <w:bottom w:val="single" w:sz="4" w:space="0" w:color="auto"/>
            </w:tcBorders>
            <w:vAlign w:val="center"/>
            <w:hideMark/>
          </w:tcPr>
          <w:p w:rsidR="00311766" w:rsidRPr="00311766" w:rsidRDefault="00311766" w:rsidP="003D1D1E">
            <w:pPr>
              <w:spacing w:after="0" w:line="240" w:lineRule="auto"/>
              <w:jc w:val="center"/>
              <w:rPr>
                <w:rFonts w:ascii="Times New Roman" w:hAnsi="Times New Roman"/>
                <w:sz w:val="20"/>
                <w:szCs w:val="20"/>
                <w:lang w:val="en-MY" w:eastAsia="en-MY" w:bidi="ta-IN"/>
              </w:rPr>
            </w:pPr>
          </w:p>
        </w:tc>
      </w:tr>
      <w:tr w:rsidR="00311766" w:rsidRPr="00311766" w:rsidTr="003D1D1E">
        <w:trPr>
          <w:trHeight w:val="170"/>
          <w:jc w:val="center"/>
        </w:trPr>
        <w:tc>
          <w:tcPr>
            <w:tcW w:w="1596" w:type="dxa"/>
            <w:tcBorders>
              <w:top w:val="single" w:sz="4" w:space="0" w:color="auto"/>
            </w:tcBorders>
            <w:shd w:val="clear" w:color="auto" w:fill="auto"/>
            <w:noWrap/>
            <w:vAlign w:val="center"/>
            <w:hideMark/>
          </w:tcPr>
          <w:p w:rsidR="00311766" w:rsidRPr="00311766" w:rsidRDefault="00311766" w:rsidP="003D1D1E">
            <w:pPr>
              <w:spacing w:before="60" w:after="0" w:line="240" w:lineRule="auto"/>
              <w:rPr>
                <w:rFonts w:ascii="Times New Roman" w:hAnsi="Times New Roman"/>
                <w:sz w:val="20"/>
                <w:szCs w:val="20"/>
                <w:lang w:val="en-MY" w:eastAsia="en-MY" w:bidi="ta-IN"/>
              </w:rPr>
            </w:pPr>
            <w:r w:rsidRPr="00311766">
              <w:rPr>
                <w:rFonts w:ascii="Times New Roman" w:hAnsi="Times New Roman"/>
                <w:sz w:val="20"/>
                <w:szCs w:val="20"/>
                <w:lang w:val="en-MY" w:eastAsia="en-MY" w:bidi="ta-IN"/>
              </w:rPr>
              <w:t>Blank</w:t>
            </w:r>
          </w:p>
        </w:tc>
        <w:tc>
          <w:tcPr>
            <w:tcW w:w="1336" w:type="dxa"/>
            <w:tcBorders>
              <w:top w:val="single" w:sz="4" w:space="0" w:color="auto"/>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3.6575</w:t>
            </w:r>
          </w:p>
        </w:tc>
        <w:tc>
          <w:tcPr>
            <w:tcW w:w="1317" w:type="dxa"/>
            <w:tcBorders>
              <w:top w:val="single" w:sz="4" w:space="0" w:color="auto"/>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3.6416</w:t>
            </w:r>
          </w:p>
        </w:tc>
        <w:tc>
          <w:tcPr>
            <w:tcW w:w="1280" w:type="dxa"/>
            <w:tcBorders>
              <w:top w:val="single" w:sz="4" w:space="0" w:color="auto"/>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0.0159</w:t>
            </w:r>
          </w:p>
        </w:tc>
        <w:tc>
          <w:tcPr>
            <w:tcW w:w="1680" w:type="dxa"/>
            <w:tcBorders>
              <w:top w:val="single" w:sz="4" w:space="0" w:color="auto"/>
            </w:tcBorders>
            <w:shd w:val="clear" w:color="000000" w:fill="FFFFFF"/>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0.0661</w:t>
            </w:r>
          </w:p>
        </w:tc>
        <w:tc>
          <w:tcPr>
            <w:tcW w:w="1817" w:type="dxa"/>
            <w:tcBorders>
              <w:top w:val="single" w:sz="4" w:space="0" w:color="auto"/>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0.00</w:t>
            </w:r>
          </w:p>
        </w:tc>
      </w:tr>
      <w:tr w:rsidR="00311766" w:rsidRPr="00311766" w:rsidTr="00921BC9">
        <w:trPr>
          <w:trHeight w:val="170"/>
          <w:jc w:val="center"/>
        </w:trPr>
        <w:tc>
          <w:tcPr>
            <w:tcW w:w="1596" w:type="dxa"/>
            <w:shd w:val="clear" w:color="auto" w:fill="auto"/>
            <w:noWrap/>
            <w:vAlign w:val="center"/>
            <w:hideMark/>
          </w:tcPr>
          <w:p w:rsidR="00311766" w:rsidRPr="00311766" w:rsidRDefault="00311766" w:rsidP="003D1D1E">
            <w:pPr>
              <w:spacing w:before="60" w:after="0" w:line="240" w:lineRule="auto"/>
              <w:rPr>
                <w:rFonts w:ascii="Times New Roman" w:hAnsi="Times New Roman"/>
                <w:sz w:val="20"/>
                <w:szCs w:val="20"/>
                <w:lang w:val="en-MY" w:eastAsia="en-MY" w:bidi="ta-IN"/>
              </w:rPr>
            </w:pPr>
            <w:r w:rsidRPr="00311766">
              <w:rPr>
                <w:rFonts w:ascii="Times New Roman" w:hAnsi="Times New Roman"/>
                <w:sz w:val="20"/>
                <w:szCs w:val="20"/>
                <w:lang w:val="en-MY" w:eastAsia="en-MY" w:bidi="ta-IN"/>
              </w:rPr>
              <w:t>400</w:t>
            </w:r>
          </w:p>
        </w:tc>
        <w:tc>
          <w:tcPr>
            <w:tcW w:w="1336"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3.6274</w:t>
            </w:r>
          </w:p>
        </w:tc>
        <w:tc>
          <w:tcPr>
            <w:tcW w:w="1317"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3.6130</w:t>
            </w:r>
          </w:p>
        </w:tc>
        <w:tc>
          <w:tcPr>
            <w:tcW w:w="1280"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0.0144</w:t>
            </w:r>
          </w:p>
        </w:tc>
        <w:tc>
          <w:tcPr>
            <w:tcW w:w="1680" w:type="dxa"/>
            <w:shd w:val="clear" w:color="000000" w:fill="FFFFFF"/>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0.0604</w:t>
            </w:r>
          </w:p>
        </w:tc>
        <w:tc>
          <w:tcPr>
            <w:tcW w:w="1817"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8.68</w:t>
            </w:r>
          </w:p>
        </w:tc>
      </w:tr>
      <w:tr w:rsidR="00311766" w:rsidRPr="00311766" w:rsidTr="00921BC9">
        <w:trPr>
          <w:trHeight w:val="170"/>
          <w:jc w:val="center"/>
        </w:trPr>
        <w:tc>
          <w:tcPr>
            <w:tcW w:w="1596" w:type="dxa"/>
            <w:shd w:val="clear" w:color="auto" w:fill="auto"/>
            <w:noWrap/>
            <w:vAlign w:val="center"/>
            <w:hideMark/>
          </w:tcPr>
          <w:p w:rsidR="00311766" w:rsidRPr="00311766" w:rsidRDefault="00311766" w:rsidP="003D1D1E">
            <w:pPr>
              <w:spacing w:before="60" w:after="0" w:line="240" w:lineRule="auto"/>
              <w:rPr>
                <w:rFonts w:ascii="Times New Roman" w:hAnsi="Times New Roman"/>
                <w:sz w:val="20"/>
                <w:szCs w:val="20"/>
                <w:lang w:val="en-MY" w:eastAsia="en-MY" w:bidi="ta-IN"/>
              </w:rPr>
            </w:pPr>
            <w:r w:rsidRPr="00311766">
              <w:rPr>
                <w:rFonts w:ascii="Times New Roman" w:hAnsi="Times New Roman"/>
                <w:sz w:val="20"/>
                <w:szCs w:val="20"/>
                <w:lang w:val="en-MY" w:eastAsia="en-MY" w:bidi="ta-IN"/>
              </w:rPr>
              <w:t>600</w:t>
            </w:r>
          </w:p>
        </w:tc>
        <w:tc>
          <w:tcPr>
            <w:tcW w:w="1336"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3.7879</w:t>
            </w:r>
          </w:p>
        </w:tc>
        <w:tc>
          <w:tcPr>
            <w:tcW w:w="1317"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3.7730</w:t>
            </w:r>
          </w:p>
        </w:tc>
        <w:tc>
          <w:tcPr>
            <w:tcW w:w="1280"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0.0149</w:t>
            </w:r>
          </w:p>
        </w:tc>
        <w:tc>
          <w:tcPr>
            <w:tcW w:w="1680" w:type="dxa"/>
            <w:shd w:val="clear" w:color="000000" w:fill="FFFFFF"/>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0.0598</w:t>
            </w:r>
          </w:p>
        </w:tc>
        <w:tc>
          <w:tcPr>
            <w:tcW w:w="1817"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9.52</w:t>
            </w:r>
          </w:p>
        </w:tc>
      </w:tr>
      <w:tr w:rsidR="00311766" w:rsidRPr="00311766" w:rsidTr="00921BC9">
        <w:trPr>
          <w:trHeight w:val="170"/>
          <w:jc w:val="center"/>
        </w:trPr>
        <w:tc>
          <w:tcPr>
            <w:tcW w:w="1596" w:type="dxa"/>
            <w:shd w:val="clear" w:color="auto" w:fill="auto"/>
            <w:noWrap/>
            <w:vAlign w:val="center"/>
            <w:hideMark/>
          </w:tcPr>
          <w:p w:rsidR="00311766" w:rsidRPr="00311766" w:rsidRDefault="00311766" w:rsidP="003D1D1E">
            <w:pPr>
              <w:spacing w:before="60" w:after="0" w:line="240" w:lineRule="auto"/>
              <w:rPr>
                <w:rFonts w:ascii="Times New Roman" w:hAnsi="Times New Roman"/>
                <w:sz w:val="20"/>
                <w:szCs w:val="20"/>
                <w:lang w:val="en-MY" w:eastAsia="en-MY" w:bidi="ta-IN"/>
              </w:rPr>
            </w:pPr>
            <w:r w:rsidRPr="00311766">
              <w:rPr>
                <w:rFonts w:ascii="Times New Roman" w:hAnsi="Times New Roman"/>
                <w:sz w:val="20"/>
                <w:szCs w:val="20"/>
                <w:lang w:val="en-MY" w:eastAsia="en-MY" w:bidi="ta-IN"/>
              </w:rPr>
              <w:t>800</w:t>
            </w:r>
          </w:p>
        </w:tc>
        <w:tc>
          <w:tcPr>
            <w:tcW w:w="1336"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3.7495</w:t>
            </w:r>
          </w:p>
        </w:tc>
        <w:tc>
          <w:tcPr>
            <w:tcW w:w="1317"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3.7350</w:t>
            </w:r>
          </w:p>
        </w:tc>
        <w:tc>
          <w:tcPr>
            <w:tcW w:w="1280"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0.0145</w:t>
            </w:r>
          </w:p>
        </w:tc>
        <w:tc>
          <w:tcPr>
            <w:tcW w:w="1680" w:type="dxa"/>
            <w:shd w:val="clear" w:color="000000" w:fill="FFFFFF"/>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0.0588</w:t>
            </w:r>
          </w:p>
        </w:tc>
        <w:tc>
          <w:tcPr>
            <w:tcW w:w="1817"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11.04</w:t>
            </w:r>
          </w:p>
        </w:tc>
      </w:tr>
      <w:tr w:rsidR="00311766" w:rsidRPr="00311766" w:rsidTr="00921BC9">
        <w:trPr>
          <w:trHeight w:val="170"/>
          <w:jc w:val="center"/>
        </w:trPr>
        <w:tc>
          <w:tcPr>
            <w:tcW w:w="1596" w:type="dxa"/>
            <w:shd w:val="clear" w:color="auto" w:fill="auto"/>
            <w:noWrap/>
            <w:vAlign w:val="center"/>
            <w:hideMark/>
          </w:tcPr>
          <w:p w:rsidR="00311766" w:rsidRPr="00311766" w:rsidRDefault="00311766" w:rsidP="003D1D1E">
            <w:pPr>
              <w:spacing w:before="60" w:after="0" w:line="240" w:lineRule="auto"/>
              <w:rPr>
                <w:rFonts w:ascii="Times New Roman" w:hAnsi="Times New Roman"/>
                <w:sz w:val="20"/>
                <w:szCs w:val="20"/>
                <w:lang w:val="en-MY" w:eastAsia="en-MY" w:bidi="ta-IN"/>
              </w:rPr>
            </w:pPr>
            <w:r w:rsidRPr="00311766">
              <w:rPr>
                <w:rFonts w:ascii="Times New Roman" w:hAnsi="Times New Roman"/>
                <w:sz w:val="20"/>
                <w:szCs w:val="20"/>
                <w:lang w:val="en-MY" w:eastAsia="en-MY" w:bidi="ta-IN"/>
              </w:rPr>
              <w:t>1000</w:t>
            </w:r>
          </w:p>
        </w:tc>
        <w:tc>
          <w:tcPr>
            <w:tcW w:w="1336"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3.5634</w:t>
            </w:r>
          </w:p>
        </w:tc>
        <w:tc>
          <w:tcPr>
            <w:tcW w:w="1317"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3.5503</w:t>
            </w:r>
          </w:p>
        </w:tc>
        <w:tc>
          <w:tcPr>
            <w:tcW w:w="1280"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0.0131</w:t>
            </w:r>
          </w:p>
        </w:tc>
        <w:tc>
          <w:tcPr>
            <w:tcW w:w="1680" w:type="dxa"/>
            <w:shd w:val="clear" w:color="000000" w:fill="FFFFFF"/>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0.0559</w:t>
            </w:r>
          </w:p>
        </w:tc>
        <w:tc>
          <w:tcPr>
            <w:tcW w:w="1817" w:type="dxa"/>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15.43</w:t>
            </w:r>
          </w:p>
        </w:tc>
      </w:tr>
      <w:tr w:rsidR="00311766" w:rsidRPr="00311766" w:rsidTr="003D1D1E">
        <w:trPr>
          <w:trHeight w:val="170"/>
          <w:jc w:val="center"/>
        </w:trPr>
        <w:tc>
          <w:tcPr>
            <w:tcW w:w="1596" w:type="dxa"/>
            <w:tcBorders>
              <w:bottom w:val="nil"/>
            </w:tcBorders>
            <w:shd w:val="clear" w:color="auto" w:fill="auto"/>
            <w:noWrap/>
            <w:vAlign w:val="center"/>
            <w:hideMark/>
          </w:tcPr>
          <w:p w:rsidR="00311766" w:rsidRPr="00311766" w:rsidRDefault="00311766" w:rsidP="003D1D1E">
            <w:pPr>
              <w:spacing w:before="60" w:after="0" w:line="240" w:lineRule="auto"/>
              <w:rPr>
                <w:rFonts w:ascii="Times New Roman" w:hAnsi="Times New Roman"/>
                <w:sz w:val="20"/>
                <w:szCs w:val="20"/>
                <w:lang w:val="en-MY" w:eastAsia="en-MY" w:bidi="ta-IN"/>
              </w:rPr>
            </w:pPr>
            <w:r w:rsidRPr="00311766">
              <w:rPr>
                <w:rFonts w:ascii="Times New Roman" w:hAnsi="Times New Roman"/>
                <w:sz w:val="20"/>
                <w:szCs w:val="20"/>
                <w:lang w:val="en-MY" w:eastAsia="en-MY" w:bidi="ta-IN"/>
              </w:rPr>
              <w:t>5000</w:t>
            </w:r>
          </w:p>
        </w:tc>
        <w:tc>
          <w:tcPr>
            <w:tcW w:w="1336" w:type="dxa"/>
            <w:tcBorders>
              <w:bottom w:val="nil"/>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3.9145</w:t>
            </w:r>
          </w:p>
        </w:tc>
        <w:tc>
          <w:tcPr>
            <w:tcW w:w="1317" w:type="dxa"/>
            <w:tcBorders>
              <w:bottom w:val="nil"/>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3.9064</w:t>
            </w:r>
          </w:p>
        </w:tc>
        <w:tc>
          <w:tcPr>
            <w:tcW w:w="1280" w:type="dxa"/>
            <w:tcBorders>
              <w:bottom w:val="nil"/>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0.0081</w:t>
            </w:r>
          </w:p>
        </w:tc>
        <w:tc>
          <w:tcPr>
            <w:tcW w:w="1680" w:type="dxa"/>
            <w:tcBorders>
              <w:bottom w:val="nil"/>
            </w:tcBorders>
            <w:shd w:val="clear" w:color="000000" w:fill="FFFFFF"/>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0.0315</w:t>
            </w:r>
          </w:p>
        </w:tc>
        <w:tc>
          <w:tcPr>
            <w:tcW w:w="1817" w:type="dxa"/>
            <w:tcBorders>
              <w:bottom w:val="nil"/>
            </w:tcBorders>
            <w:shd w:val="clear" w:color="auto" w:fill="auto"/>
            <w:noWrap/>
            <w:vAlign w:val="center"/>
            <w:hideMark/>
          </w:tcPr>
          <w:p w:rsidR="00311766" w:rsidRPr="00311766" w:rsidRDefault="00311766" w:rsidP="003D1D1E">
            <w:pPr>
              <w:spacing w:before="60" w:after="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52.40</w:t>
            </w:r>
          </w:p>
        </w:tc>
      </w:tr>
      <w:tr w:rsidR="00311766" w:rsidRPr="00311766" w:rsidTr="003D1D1E">
        <w:trPr>
          <w:trHeight w:val="170"/>
          <w:jc w:val="center"/>
        </w:trPr>
        <w:tc>
          <w:tcPr>
            <w:tcW w:w="1596" w:type="dxa"/>
            <w:tcBorders>
              <w:top w:val="nil"/>
              <w:bottom w:val="single" w:sz="4" w:space="0" w:color="auto"/>
            </w:tcBorders>
            <w:shd w:val="clear" w:color="auto" w:fill="auto"/>
            <w:noWrap/>
            <w:vAlign w:val="center"/>
            <w:hideMark/>
          </w:tcPr>
          <w:p w:rsidR="00311766" w:rsidRPr="00311766" w:rsidRDefault="00311766" w:rsidP="003D1D1E">
            <w:pPr>
              <w:spacing w:before="60" w:after="60" w:line="240" w:lineRule="auto"/>
              <w:rPr>
                <w:rFonts w:ascii="Times New Roman" w:hAnsi="Times New Roman"/>
                <w:sz w:val="20"/>
                <w:szCs w:val="20"/>
                <w:lang w:val="en-MY" w:eastAsia="en-MY" w:bidi="ta-IN"/>
              </w:rPr>
            </w:pPr>
            <w:r w:rsidRPr="00311766">
              <w:rPr>
                <w:rFonts w:ascii="Times New Roman" w:hAnsi="Times New Roman"/>
                <w:sz w:val="20"/>
                <w:szCs w:val="20"/>
                <w:lang w:val="en-MY" w:eastAsia="en-MY" w:bidi="ta-IN"/>
              </w:rPr>
              <w:t>10000</w:t>
            </w:r>
          </w:p>
        </w:tc>
        <w:tc>
          <w:tcPr>
            <w:tcW w:w="1336" w:type="dxa"/>
            <w:tcBorders>
              <w:top w:val="nil"/>
              <w:bottom w:val="single" w:sz="4" w:space="0" w:color="auto"/>
            </w:tcBorders>
            <w:shd w:val="clear" w:color="auto" w:fill="auto"/>
            <w:noWrap/>
            <w:vAlign w:val="center"/>
            <w:hideMark/>
          </w:tcPr>
          <w:p w:rsidR="00311766" w:rsidRPr="00311766" w:rsidRDefault="00311766" w:rsidP="003D1D1E">
            <w:pPr>
              <w:spacing w:before="60" w:after="6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3.7612</w:t>
            </w:r>
          </w:p>
        </w:tc>
        <w:tc>
          <w:tcPr>
            <w:tcW w:w="1317" w:type="dxa"/>
            <w:tcBorders>
              <w:top w:val="nil"/>
              <w:bottom w:val="single" w:sz="4" w:space="0" w:color="auto"/>
            </w:tcBorders>
            <w:shd w:val="clear" w:color="auto" w:fill="auto"/>
            <w:noWrap/>
            <w:vAlign w:val="center"/>
            <w:hideMark/>
          </w:tcPr>
          <w:p w:rsidR="00311766" w:rsidRPr="00311766" w:rsidRDefault="00311766" w:rsidP="003D1D1E">
            <w:pPr>
              <w:spacing w:before="60" w:after="6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3.7557</w:t>
            </w:r>
          </w:p>
        </w:tc>
        <w:tc>
          <w:tcPr>
            <w:tcW w:w="1280" w:type="dxa"/>
            <w:tcBorders>
              <w:top w:val="nil"/>
              <w:bottom w:val="single" w:sz="4" w:space="0" w:color="auto"/>
            </w:tcBorders>
            <w:shd w:val="clear" w:color="auto" w:fill="auto"/>
            <w:noWrap/>
            <w:vAlign w:val="center"/>
            <w:hideMark/>
          </w:tcPr>
          <w:p w:rsidR="00311766" w:rsidRPr="00311766" w:rsidRDefault="00311766" w:rsidP="003D1D1E">
            <w:pPr>
              <w:spacing w:before="60" w:after="6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0.0055</w:t>
            </w:r>
          </w:p>
        </w:tc>
        <w:tc>
          <w:tcPr>
            <w:tcW w:w="1680" w:type="dxa"/>
            <w:tcBorders>
              <w:top w:val="nil"/>
              <w:bottom w:val="single" w:sz="4" w:space="0" w:color="auto"/>
            </w:tcBorders>
            <w:shd w:val="clear" w:color="000000" w:fill="FFFFFF"/>
            <w:noWrap/>
            <w:vAlign w:val="center"/>
            <w:hideMark/>
          </w:tcPr>
          <w:p w:rsidR="00311766" w:rsidRPr="00311766" w:rsidRDefault="00311766" w:rsidP="003D1D1E">
            <w:pPr>
              <w:spacing w:before="60" w:after="6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0.0222</w:t>
            </w:r>
          </w:p>
        </w:tc>
        <w:tc>
          <w:tcPr>
            <w:tcW w:w="1817" w:type="dxa"/>
            <w:tcBorders>
              <w:top w:val="nil"/>
              <w:bottom w:val="single" w:sz="4" w:space="0" w:color="auto"/>
            </w:tcBorders>
            <w:shd w:val="clear" w:color="auto" w:fill="auto"/>
            <w:noWrap/>
            <w:vAlign w:val="center"/>
            <w:hideMark/>
          </w:tcPr>
          <w:p w:rsidR="00311766" w:rsidRPr="00311766" w:rsidRDefault="00311766" w:rsidP="003D1D1E">
            <w:pPr>
              <w:spacing w:before="60" w:after="60" w:line="240" w:lineRule="auto"/>
              <w:jc w:val="center"/>
              <w:rPr>
                <w:rFonts w:ascii="Times New Roman" w:hAnsi="Times New Roman"/>
                <w:sz w:val="20"/>
                <w:szCs w:val="20"/>
                <w:lang w:val="en-MY" w:eastAsia="en-MY" w:bidi="ta-IN"/>
              </w:rPr>
            </w:pPr>
            <w:r w:rsidRPr="00311766">
              <w:rPr>
                <w:rFonts w:ascii="Times New Roman" w:hAnsi="Times New Roman"/>
                <w:sz w:val="20"/>
                <w:szCs w:val="20"/>
                <w:lang w:val="en-MY" w:eastAsia="en-MY" w:bidi="ta-IN"/>
              </w:rPr>
              <w:t>66.36</w:t>
            </w:r>
          </w:p>
        </w:tc>
      </w:tr>
    </w:tbl>
    <w:p w:rsidR="00311766" w:rsidRDefault="00311766" w:rsidP="00311766">
      <w:pPr>
        <w:spacing w:after="0" w:line="240" w:lineRule="auto"/>
        <w:jc w:val="both"/>
        <w:outlineLvl w:val="0"/>
        <w:rPr>
          <w:rFonts w:ascii="Times New Roman" w:hAnsi="Times New Roman"/>
          <w:sz w:val="20"/>
          <w:szCs w:val="20"/>
        </w:rPr>
      </w:pPr>
      <w:r w:rsidRPr="00311766">
        <w:rPr>
          <w:rFonts w:ascii="Times New Roman" w:hAnsi="Times New Roman"/>
          <w:sz w:val="20"/>
          <w:szCs w:val="20"/>
        </w:rPr>
        <w:lastRenderedPageBreak/>
        <w:t>In the absence of glycerol, the corrosion rate of Mild steel X52 in 3.5wt.% NaCl is approximately 0.06mm/year. Addition of glycerol significantly reduces the corrosion rate and the inhibition efficiency increases with increasing concentration. From the addition of 400 ppm to 1000 ppm of glycerol to the corrosive medium, the corrosion rate reduces gradually. However, after adding 5000 ppm, there is a considerable leap in the corrosion inhibition efficiency. The increment of the inhibition efficiency might be due to the presence of optimum concentration glycerol at 5000 ppm, which is equivalent to 5wt.% the standard amount of chemical injection gas hydrate mitigation. Figure 2 clearly illustrates the effect of concentration of glycerol on the corrosion rate of the mild steel and the inhibition efficiency.</w:t>
      </w:r>
    </w:p>
    <w:p w:rsidR="00311766" w:rsidRPr="00311766" w:rsidRDefault="00311766" w:rsidP="008239F4">
      <w:pPr>
        <w:spacing w:after="0" w:line="240" w:lineRule="auto"/>
        <w:jc w:val="both"/>
        <w:outlineLvl w:val="0"/>
        <w:rPr>
          <w:rFonts w:ascii="Times New Roman" w:hAnsi="Times New Roman"/>
          <w:sz w:val="20"/>
          <w:szCs w:val="20"/>
        </w:rPr>
      </w:pPr>
      <w:r w:rsidRPr="00311766">
        <w:rPr>
          <w:rFonts w:ascii="Times New Roman" w:hAnsi="Times New Roman"/>
          <w:noProof/>
          <w:sz w:val="20"/>
          <w:szCs w:val="20"/>
          <w:lang w:val="en-MY" w:eastAsia="en-MY" w:bidi="ar-SA"/>
        </w:rPr>
        <w:drawing>
          <wp:anchor distT="0" distB="0" distL="114300" distR="114300" simplePos="0" relativeHeight="251662336" behindDoc="0" locked="0" layoutInCell="1" allowOverlap="1" wp14:anchorId="1BBFBCF1" wp14:editId="25C02D70">
            <wp:simplePos x="0" y="0"/>
            <wp:positionH relativeFrom="margin">
              <wp:posOffset>1168400</wp:posOffset>
            </wp:positionH>
            <wp:positionV relativeFrom="paragraph">
              <wp:posOffset>337820</wp:posOffset>
            </wp:positionV>
            <wp:extent cx="3862705" cy="2195195"/>
            <wp:effectExtent l="0" t="0" r="23495" b="14605"/>
            <wp:wrapTopAndBottom/>
            <wp:docPr id="8"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8239F4" w:rsidRDefault="008239F4" w:rsidP="00311766">
      <w:pPr>
        <w:spacing w:after="0" w:line="240" w:lineRule="auto"/>
        <w:jc w:val="both"/>
        <w:rPr>
          <w:rFonts w:ascii="Times New Roman" w:hAnsi="Times New Roman"/>
          <w:sz w:val="20"/>
          <w:szCs w:val="20"/>
        </w:rPr>
      </w:pPr>
    </w:p>
    <w:p w:rsidR="00311766" w:rsidRPr="00311766" w:rsidRDefault="00311766" w:rsidP="008239F4">
      <w:pPr>
        <w:spacing w:before="120" w:after="0" w:line="240" w:lineRule="auto"/>
        <w:jc w:val="center"/>
        <w:rPr>
          <w:rFonts w:ascii="Times New Roman" w:hAnsi="Times New Roman"/>
          <w:sz w:val="20"/>
          <w:szCs w:val="20"/>
        </w:rPr>
      </w:pPr>
      <w:r w:rsidRPr="00311766">
        <w:rPr>
          <w:rFonts w:ascii="Times New Roman" w:hAnsi="Times New Roman"/>
          <w:sz w:val="20"/>
          <w:szCs w:val="20"/>
        </w:rPr>
        <w:t>Figure 2.</w:t>
      </w:r>
      <w:r w:rsidR="008239F4">
        <w:rPr>
          <w:rFonts w:ascii="Times New Roman" w:hAnsi="Times New Roman"/>
          <w:sz w:val="20"/>
          <w:szCs w:val="20"/>
        </w:rPr>
        <w:t xml:space="preserve"> </w:t>
      </w:r>
      <w:r w:rsidRPr="00311766">
        <w:rPr>
          <w:rFonts w:ascii="Times New Roman" w:hAnsi="Times New Roman"/>
          <w:sz w:val="20"/>
          <w:szCs w:val="20"/>
        </w:rPr>
        <w:t xml:space="preserve"> Effect of concentration (ppm) of corrosion rate(mm/year) and inhibition efficiency (%)</w:t>
      </w:r>
    </w:p>
    <w:p w:rsidR="008239F4" w:rsidRPr="008239F4" w:rsidRDefault="008239F4" w:rsidP="008239F4">
      <w:pPr>
        <w:spacing w:after="120" w:line="240" w:lineRule="auto"/>
        <w:jc w:val="both"/>
        <w:rPr>
          <w:rFonts w:ascii="Times New Roman" w:hAnsi="Times New Roman"/>
          <w:bCs/>
          <w:sz w:val="20"/>
          <w:szCs w:val="20"/>
        </w:rPr>
      </w:pPr>
    </w:p>
    <w:p w:rsidR="00311766" w:rsidRPr="00311766" w:rsidRDefault="00311766" w:rsidP="00311766">
      <w:pPr>
        <w:spacing w:after="0" w:line="240" w:lineRule="auto"/>
        <w:jc w:val="both"/>
        <w:rPr>
          <w:rFonts w:ascii="Times New Roman" w:hAnsi="Times New Roman"/>
          <w:b/>
          <w:bCs/>
          <w:sz w:val="20"/>
          <w:szCs w:val="20"/>
        </w:rPr>
      </w:pPr>
      <w:r w:rsidRPr="00311766">
        <w:rPr>
          <w:rFonts w:ascii="Times New Roman" w:hAnsi="Times New Roman"/>
          <w:b/>
          <w:bCs/>
          <w:sz w:val="20"/>
          <w:szCs w:val="20"/>
        </w:rPr>
        <w:t xml:space="preserve">Adsorption isotherm </w:t>
      </w:r>
    </w:p>
    <w:p w:rsidR="00311766" w:rsidRDefault="00311766" w:rsidP="00311766">
      <w:pPr>
        <w:spacing w:after="0" w:line="240" w:lineRule="auto"/>
        <w:jc w:val="both"/>
        <w:rPr>
          <w:rFonts w:ascii="Times New Roman" w:hAnsi="Times New Roman"/>
          <w:sz w:val="20"/>
          <w:szCs w:val="20"/>
        </w:rPr>
      </w:pPr>
      <w:r w:rsidRPr="00311766">
        <w:rPr>
          <w:rFonts w:ascii="Times New Roman" w:hAnsi="Times New Roman"/>
          <w:sz w:val="20"/>
          <w:szCs w:val="20"/>
        </w:rPr>
        <w:t>From the details obtained through the weight-loss method, adsorption isotherms are applied to the experimental data for further understanding of the corrosion inhibition mechanism of Glycerol. Figure 3 shows the adsorption isotherms compared with the experimental data.</w:t>
      </w:r>
    </w:p>
    <w:p w:rsidR="008239F4" w:rsidRDefault="008239F4" w:rsidP="00311766">
      <w:pPr>
        <w:spacing w:after="0" w:line="240" w:lineRule="auto"/>
        <w:jc w:val="both"/>
        <w:rPr>
          <w:rFonts w:ascii="Times New Roman" w:hAnsi="Times New Roman"/>
          <w:sz w:val="20"/>
          <w:szCs w:val="20"/>
        </w:rPr>
      </w:pPr>
    </w:p>
    <w:p w:rsidR="008239F4" w:rsidRPr="00311766" w:rsidRDefault="00B56CB2" w:rsidP="00311766">
      <w:pPr>
        <w:spacing w:after="0" w:line="240" w:lineRule="auto"/>
        <w:jc w:val="both"/>
        <w:rPr>
          <w:rFonts w:ascii="Times New Roman" w:hAnsi="Times New Roman"/>
          <w:b/>
          <w:sz w:val="20"/>
          <w:szCs w:val="20"/>
        </w:rPr>
      </w:pPr>
      <w:r w:rsidRPr="00311766">
        <w:rPr>
          <w:rFonts w:ascii="Times New Roman" w:hAnsi="Times New Roman"/>
          <w:noProof/>
          <w:sz w:val="20"/>
          <w:szCs w:val="20"/>
          <w:lang w:val="en-MY" w:eastAsia="en-MY" w:bidi="ar-SA"/>
        </w:rPr>
        <w:drawing>
          <wp:anchor distT="0" distB="0" distL="114300" distR="116586" simplePos="0" relativeHeight="251665408" behindDoc="0" locked="0" layoutInCell="1" allowOverlap="1" wp14:anchorId="6C9B0289" wp14:editId="11BD3862">
            <wp:simplePos x="0" y="0"/>
            <wp:positionH relativeFrom="margin">
              <wp:posOffset>3048635</wp:posOffset>
            </wp:positionH>
            <wp:positionV relativeFrom="paragraph">
              <wp:posOffset>138430</wp:posOffset>
            </wp:positionV>
            <wp:extent cx="2807970" cy="2159635"/>
            <wp:effectExtent l="0" t="0" r="11430" b="12065"/>
            <wp:wrapSquare wrapText="bothSides"/>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8239F4" w:rsidRPr="00311766">
        <w:rPr>
          <w:rFonts w:ascii="Times New Roman" w:hAnsi="Times New Roman"/>
          <w:noProof/>
          <w:sz w:val="20"/>
          <w:szCs w:val="20"/>
          <w:lang w:val="en-MY" w:eastAsia="en-MY" w:bidi="ar-SA"/>
        </w:rPr>
        <mc:AlternateContent>
          <mc:Choice Requires="wps">
            <w:drawing>
              <wp:anchor distT="0" distB="0" distL="114300" distR="114300" simplePos="0" relativeHeight="251669504" behindDoc="0" locked="0" layoutInCell="1" allowOverlap="1" wp14:anchorId="139151B2" wp14:editId="48F7C340">
                <wp:simplePos x="0" y="0"/>
                <wp:positionH relativeFrom="column">
                  <wp:posOffset>534670</wp:posOffset>
                </wp:positionH>
                <wp:positionV relativeFrom="paragraph">
                  <wp:posOffset>153670</wp:posOffset>
                </wp:positionV>
                <wp:extent cx="386080" cy="239395"/>
                <wp:effectExtent l="0" t="0" r="0" b="0"/>
                <wp:wrapNone/>
                <wp:docPr id="4" name="Text Box 4"/>
                <wp:cNvGraphicFramePr/>
                <a:graphic xmlns:a="http://schemas.openxmlformats.org/drawingml/2006/main">
                  <a:graphicData uri="http://schemas.microsoft.com/office/word/2010/wordprocessingShape">
                    <wps:wsp>
                      <wps:cNvSpPr txBox="1"/>
                      <wps:spPr>
                        <a:xfrm>
                          <a:off x="0" y="0"/>
                          <a:ext cx="386080" cy="239395"/>
                        </a:xfrm>
                        <a:prstGeom prst="rect">
                          <a:avLst/>
                        </a:prstGeom>
                        <a:noFill/>
                        <a:ln w="6350">
                          <a:noFill/>
                        </a:ln>
                      </wps:spPr>
                      <wps:txbx>
                        <w:txbxContent>
                          <w:p w:rsidR="00311766" w:rsidRPr="00575CA0" w:rsidRDefault="00311766" w:rsidP="00311766">
                            <w:pPr>
                              <w:rPr>
                                <w:rFonts w:ascii="Times New Roman" w:hAnsi="Times New Roman"/>
                                <w:b/>
                                <w:lang w:val="en-GB"/>
                              </w:rPr>
                            </w:pPr>
                            <w:r w:rsidRPr="00575CA0">
                              <w:rPr>
                                <w:rFonts w:ascii="Times New Roman" w:hAnsi="Times New Roman"/>
                                <w:b/>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9" type="#_x0000_t202" style="position:absolute;left:0;text-align:left;margin-left:42.1pt;margin-top:12.1pt;width:30.4pt;height:18.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" filled="f" stroked="f" strokeweight=".5pt">
                <v:textbox>
                  <w:txbxContent>
                    <w:p w:rsidR="00311766" w:rsidRPr="00575CA0" w:rsidRDefault="00311766" w:rsidP="00311766">
                      <w:pPr>
                        <w:rPr>
                          <w:rFonts w:ascii="Times New Roman" w:hAnsi="Times New Roman"/>
                          <w:b/>
                          <w:lang w:val="en-GB"/>
                        </w:rPr>
                      </w:pPr>
                      <w:r w:rsidRPr="00575CA0">
                        <w:rPr>
                          <w:rFonts w:ascii="Times New Roman" w:hAnsi="Times New Roman"/>
                          <w:b/>
                          <w:lang w:val="en-GB"/>
                        </w:rPr>
                        <w:t>(a)</w:t>
                      </w:r>
                    </w:p>
                  </w:txbxContent>
                </v:textbox>
              </v:shape>
            </w:pict>
          </mc:Fallback>
        </mc:AlternateContent>
      </w:r>
      <w:r w:rsidR="008239F4" w:rsidRPr="00311766">
        <w:rPr>
          <w:rFonts w:ascii="Times New Roman" w:hAnsi="Times New Roman"/>
          <w:noProof/>
          <w:sz w:val="20"/>
          <w:szCs w:val="20"/>
          <w:lang w:val="en-MY" w:eastAsia="en-MY" w:bidi="ar-SA"/>
        </w:rPr>
        <mc:AlternateContent>
          <mc:Choice Requires="wps">
            <w:drawing>
              <wp:anchor distT="0" distB="0" distL="114300" distR="114300" simplePos="0" relativeHeight="251670528" behindDoc="0" locked="0" layoutInCell="1" allowOverlap="1" wp14:anchorId="640A40D2" wp14:editId="78659892">
                <wp:simplePos x="0" y="0"/>
                <wp:positionH relativeFrom="column">
                  <wp:posOffset>3571240</wp:posOffset>
                </wp:positionH>
                <wp:positionV relativeFrom="paragraph">
                  <wp:posOffset>138430</wp:posOffset>
                </wp:positionV>
                <wp:extent cx="447675" cy="23939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7675" cy="239395"/>
                        </a:xfrm>
                        <a:prstGeom prst="rect">
                          <a:avLst/>
                        </a:prstGeom>
                        <a:noFill/>
                        <a:ln w="6350">
                          <a:noFill/>
                        </a:ln>
                      </wps:spPr>
                      <wps:txbx>
                        <w:txbxContent>
                          <w:p w:rsidR="00311766" w:rsidRPr="00575CA0" w:rsidRDefault="00311766" w:rsidP="00311766">
                            <w:pPr>
                              <w:rPr>
                                <w:rFonts w:ascii="Times New Roman" w:hAnsi="Times New Roman"/>
                                <w:b/>
                                <w:lang w:val="en-GB"/>
                              </w:rPr>
                            </w:pPr>
                            <w:r w:rsidRPr="00575CA0">
                              <w:rPr>
                                <w:rFonts w:ascii="Times New Roman" w:hAnsi="Times New Roman"/>
                                <w:b/>
                                <w:lang w:val="en-GB"/>
                              </w:rPr>
                              <w:t>(</w:t>
                            </w:r>
                            <w:r>
                              <w:rPr>
                                <w:rFonts w:ascii="Times New Roman" w:hAnsi="Times New Roman"/>
                                <w:b/>
                                <w:lang w:val="en-GB"/>
                              </w:rPr>
                              <w:t>b</w:t>
                            </w:r>
                            <w:r w:rsidRPr="00575CA0">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0" type="#_x0000_t202" style="position:absolute;left:0;text-align:left;margin-left:281.2pt;margin-top:10.9pt;width:35.25pt;height:18.8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" filled="f" stroked="f" strokeweight=".5pt">
                <v:textbox>
                  <w:txbxContent>
                    <w:p w:rsidR="00311766" w:rsidRPr="00575CA0" w:rsidRDefault="00311766" w:rsidP="00311766">
                      <w:pPr>
                        <w:rPr>
                          <w:rFonts w:ascii="Times New Roman" w:hAnsi="Times New Roman"/>
                          <w:b/>
                          <w:lang w:val="en-GB"/>
                        </w:rPr>
                      </w:pPr>
                      <w:r w:rsidRPr="00575CA0">
                        <w:rPr>
                          <w:rFonts w:ascii="Times New Roman" w:hAnsi="Times New Roman"/>
                          <w:b/>
                          <w:lang w:val="en-GB"/>
                        </w:rPr>
                        <w:t>(</w:t>
                      </w:r>
                      <w:r>
                        <w:rPr>
                          <w:rFonts w:ascii="Times New Roman" w:hAnsi="Times New Roman"/>
                          <w:b/>
                          <w:lang w:val="en-GB"/>
                        </w:rPr>
                        <w:t>b</w:t>
                      </w:r>
                      <w:r w:rsidRPr="00575CA0">
                        <w:rPr>
                          <w:rFonts w:ascii="Times New Roman" w:hAnsi="Times New Roman"/>
                          <w:b/>
                          <w:lang w:val="en-GB"/>
                        </w:rPr>
                        <w:t>)</w:t>
                      </w:r>
                    </w:p>
                  </w:txbxContent>
                </v:textbox>
              </v:shape>
            </w:pict>
          </mc:Fallback>
        </mc:AlternateContent>
      </w:r>
    </w:p>
    <w:p w:rsidR="00311766" w:rsidRPr="00311766" w:rsidRDefault="008239F4" w:rsidP="00311766">
      <w:pPr>
        <w:spacing w:after="0" w:line="240" w:lineRule="auto"/>
        <w:jc w:val="both"/>
        <w:rPr>
          <w:rFonts w:ascii="Times New Roman" w:hAnsi="Times New Roman"/>
          <w:b/>
          <w:sz w:val="20"/>
          <w:szCs w:val="20"/>
        </w:rPr>
      </w:pPr>
      <w:r w:rsidRPr="00311766">
        <w:rPr>
          <w:rFonts w:ascii="Times New Roman" w:hAnsi="Times New Roman"/>
          <w:noProof/>
          <w:sz w:val="20"/>
          <w:szCs w:val="20"/>
          <w:lang w:val="en-MY" w:eastAsia="en-MY" w:bidi="ar-SA"/>
        </w:rPr>
        <w:drawing>
          <wp:anchor distT="0" distB="0" distL="114300" distR="116586" simplePos="0" relativeHeight="251663360" behindDoc="0" locked="0" layoutInCell="1" allowOverlap="1" wp14:anchorId="4F24CC47" wp14:editId="51BD91D7">
            <wp:simplePos x="0" y="0"/>
            <wp:positionH relativeFrom="margin">
              <wp:align>left</wp:align>
            </wp:positionH>
            <wp:positionV relativeFrom="paragraph">
              <wp:posOffset>0</wp:posOffset>
            </wp:positionV>
            <wp:extent cx="2799080" cy="2159635"/>
            <wp:effectExtent l="0" t="0" r="20320" b="12065"/>
            <wp:wrapSquare wrapText="bothSides"/>
            <wp:docPr id="1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8239F4" w:rsidRDefault="00311766" w:rsidP="00311766">
      <w:pPr>
        <w:spacing w:after="0" w:line="240" w:lineRule="auto"/>
        <w:jc w:val="both"/>
        <w:rPr>
          <w:rFonts w:ascii="Times New Roman" w:hAnsi="Times New Roman"/>
          <w:sz w:val="20"/>
          <w:szCs w:val="20"/>
        </w:rPr>
      </w:pPr>
      <w:r w:rsidRPr="00311766">
        <w:rPr>
          <w:rFonts w:ascii="Times New Roman" w:hAnsi="Times New Roman"/>
          <w:noProof/>
          <w:sz w:val="20"/>
          <w:szCs w:val="20"/>
          <w:lang w:val="en-MY" w:eastAsia="en-MY" w:bidi="ar-SA"/>
        </w:rPr>
        <mc:AlternateContent>
          <mc:Choice Requires="wps">
            <w:drawing>
              <wp:anchor distT="0" distB="0" distL="114300" distR="114300" simplePos="0" relativeHeight="251672576" behindDoc="0" locked="0" layoutInCell="1" allowOverlap="1" wp14:anchorId="7090BAF8" wp14:editId="7B61C270">
                <wp:simplePos x="0" y="0"/>
                <wp:positionH relativeFrom="column">
                  <wp:posOffset>2807970</wp:posOffset>
                </wp:positionH>
                <wp:positionV relativeFrom="paragraph">
                  <wp:posOffset>2464455</wp:posOffset>
                </wp:positionV>
                <wp:extent cx="356959" cy="23960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6959" cy="239602"/>
                        </a:xfrm>
                        <a:prstGeom prst="rect">
                          <a:avLst/>
                        </a:prstGeom>
                        <a:noFill/>
                        <a:ln w="6350">
                          <a:noFill/>
                        </a:ln>
                      </wps:spPr>
                      <wps:txbx>
                        <w:txbxContent>
                          <w:p w:rsidR="00311766" w:rsidRPr="00575CA0" w:rsidRDefault="00311766" w:rsidP="00311766">
                            <w:pPr>
                              <w:rPr>
                                <w:rFonts w:ascii="Times New Roman" w:hAnsi="Times New Roman"/>
                                <w:b/>
                                <w:lang w:val="en-GB"/>
                              </w:rPr>
                            </w:pPr>
                            <w:r w:rsidRPr="00575CA0">
                              <w:rPr>
                                <w:rFonts w:ascii="Times New Roman" w:hAnsi="Times New Roman"/>
                                <w:b/>
                                <w:lang w:val="en-GB"/>
                              </w:rPr>
                              <w:t>(</w:t>
                            </w:r>
                            <w:r>
                              <w:rPr>
                                <w:rFonts w:ascii="Times New Roman" w:hAnsi="Times New Roman"/>
                                <w:b/>
                                <w:lang w:val="en-GB"/>
                              </w:rPr>
                              <w:t>d</w:t>
                            </w:r>
                            <w:r w:rsidRPr="00575CA0">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1" type="#_x0000_t202" style="position:absolute;left:0;text-align:left;margin-left:221.1pt;margin-top:194.05pt;width:28.1pt;height:18.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" filled="f" stroked="f" strokeweight=".5pt">
                <v:textbox>
                  <w:txbxContent>
                    <w:p w:rsidR="00311766" w:rsidRPr="00575CA0" w:rsidRDefault="00311766" w:rsidP="00311766">
                      <w:pPr>
                        <w:rPr>
                          <w:rFonts w:ascii="Times New Roman" w:hAnsi="Times New Roman"/>
                          <w:b/>
                          <w:lang w:val="en-GB"/>
                        </w:rPr>
                      </w:pPr>
                      <w:r w:rsidRPr="00575CA0">
                        <w:rPr>
                          <w:rFonts w:ascii="Times New Roman" w:hAnsi="Times New Roman"/>
                          <w:b/>
                          <w:lang w:val="en-GB"/>
                        </w:rPr>
                        <w:t>(</w:t>
                      </w:r>
                      <w:r>
                        <w:rPr>
                          <w:rFonts w:ascii="Times New Roman" w:hAnsi="Times New Roman"/>
                          <w:b/>
                          <w:lang w:val="en-GB"/>
                        </w:rPr>
                        <w:t>d</w:t>
                      </w:r>
                      <w:r w:rsidRPr="00575CA0">
                        <w:rPr>
                          <w:rFonts w:ascii="Times New Roman" w:hAnsi="Times New Roman"/>
                          <w:b/>
                          <w:lang w:val="en-GB"/>
                        </w:rPr>
                        <w:t>)</w:t>
                      </w:r>
                    </w:p>
                  </w:txbxContent>
                </v:textbox>
              </v:shape>
            </w:pict>
          </mc:Fallback>
        </mc:AlternateContent>
      </w:r>
      <w:r w:rsidRPr="00311766">
        <w:rPr>
          <w:rFonts w:ascii="Times New Roman" w:hAnsi="Times New Roman"/>
          <w:noProof/>
          <w:sz w:val="20"/>
          <w:szCs w:val="20"/>
          <w:lang w:val="en-MY" w:eastAsia="en-MY" w:bidi="ar-SA"/>
        </w:rPr>
        <mc:AlternateContent>
          <mc:Choice Requires="wps">
            <w:drawing>
              <wp:anchor distT="0" distB="0" distL="114300" distR="114300" simplePos="0" relativeHeight="251671552" behindDoc="0" locked="0" layoutInCell="1" allowOverlap="1" wp14:anchorId="706D36C0" wp14:editId="28DA4B87">
                <wp:simplePos x="0" y="0"/>
                <wp:positionH relativeFrom="column">
                  <wp:posOffset>-48901</wp:posOffset>
                </wp:positionH>
                <wp:positionV relativeFrom="paragraph">
                  <wp:posOffset>2464805</wp:posOffset>
                </wp:positionV>
                <wp:extent cx="356959" cy="239602"/>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56959" cy="239602"/>
                        </a:xfrm>
                        <a:prstGeom prst="rect">
                          <a:avLst/>
                        </a:prstGeom>
                        <a:noFill/>
                        <a:ln w="6350">
                          <a:noFill/>
                        </a:ln>
                      </wps:spPr>
                      <wps:txbx>
                        <w:txbxContent>
                          <w:p w:rsidR="00311766" w:rsidRPr="00575CA0" w:rsidRDefault="00311766" w:rsidP="00311766">
                            <w:pPr>
                              <w:rPr>
                                <w:rFonts w:ascii="Times New Roman" w:hAnsi="Times New Roman"/>
                                <w:b/>
                                <w:lang w:val="en-GB"/>
                              </w:rPr>
                            </w:pPr>
                            <w:r w:rsidRPr="00575CA0">
                              <w:rPr>
                                <w:rFonts w:ascii="Times New Roman" w:hAnsi="Times New Roman"/>
                                <w:b/>
                                <w:lang w:val="en-GB"/>
                              </w:rPr>
                              <w:t>(</w:t>
                            </w:r>
                            <w:r>
                              <w:rPr>
                                <w:rFonts w:ascii="Times New Roman" w:hAnsi="Times New Roman"/>
                                <w:b/>
                                <w:lang w:val="en-GB"/>
                              </w:rPr>
                              <w:t>c</w:t>
                            </w:r>
                            <w:r w:rsidRPr="00575CA0">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32" type="#_x0000_t202" style="position:absolute;left:0;text-align:left;margin-left:-3.85pt;margin-top:194.1pt;width:28.1pt;height:18.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" filled="f" stroked="f" strokeweight=".5pt">
                <v:textbox>
                  <w:txbxContent>
                    <w:p w:rsidR="00311766" w:rsidRPr="00575CA0" w:rsidRDefault="00311766" w:rsidP="00311766">
                      <w:pPr>
                        <w:rPr>
                          <w:rFonts w:ascii="Times New Roman" w:hAnsi="Times New Roman"/>
                          <w:b/>
                          <w:lang w:val="en-GB"/>
                        </w:rPr>
                      </w:pPr>
                      <w:r w:rsidRPr="00575CA0">
                        <w:rPr>
                          <w:rFonts w:ascii="Times New Roman" w:hAnsi="Times New Roman"/>
                          <w:b/>
                          <w:lang w:val="en-GB"/>
                        </w:rPr>
                        <w:t>(</w:t>
                      </w:r>
                      <w:r>
                        <w:rPr>
                          <w:rFonts w:ascii="Times New Roman" w:hAnsi="Times New Roman"/>
                          <w:b/>
                          <w:lang w:val="en-GB"/>
                        </w:rPr>
                        <w:t>c</w:t>
                      </w:r>
                      <w:r w:rsidRPr="00575CA0">
                        <w:rPr>
                          <w:rFonts w:ascii="Times New Roman" w:hAnsi="Times New Roman"/>
                          <w:b/>
                          <w:lang w:val="en-GB"/>
                        </w:rPr>
                        <w:t>)</w:t>
                      </w:r>
                    </w:p>
                  </w:txbxContent>
                </v:textbox>
              </v:shape>
            </w:pict>
          </mc:Fallback>
        </mc:AlternateContent>
      </w:r>
      <w:r w:rsidR="008239F4">
        <w:rPr>
          <w:rFonts w:ascii="Times New Roman" w:hAnsi="Times New Roman"/>
          <w:sz w:val="20"/>
          <w:szCs w:val="20"/>
        </w:rPr>
        <w:t xml:space="preserve"> </w:t>
      </w:r>
    </w:p>
    <w:p w:rsidR="008239F4" w:rsidRDefault="008239F4" w:rsidP="00311766">
      <w:pPr>
        <w:spacing w:after="0" w:line="240" w:lineRule="auto"/>
        <w:jc w:val="both"/>
        <w:rPr>
          <w:rFonts w:ascii="Times New Roman" w:hAnsi="Times New Roman"/>
          <w:sz w:val="20"/>
          <w:szCs w:val="20"/>
        </w:rPr>
      </w:pPr>
    </w:p>
    <w:p w:rsidR="008239F4" w:rsidRDefault="008239F4" w:rsidP="00311766">
      <w:pPr>
        <w:spacing w:after="0" w:line="240" w:lineRule="auto"/>
        <w:jc w:val="both"/>
        <w:rPr>
          <w:rFonts w:ascii="Times New Roman" w:hAnsi="Times New Roman"/>
          <w:sz w:val="20"/>
          <w:szCs w:val="20"/>
        </w:rPr>
      </w:pPr>
    </w:p>
    <w:p w:rsidR="00B56CB2" w:rsidRDefault="008239F4" w:rsidP="00B56CB2">
      <w:pPr>
        <w:spacing w:after="0" w:line="240" w:lineRule="auto"/>
        <w:jc w:val="both"/>
        <w:rPr>
          <w:rFonts w:ascii="Times New Roman" w:hAnsi="Times New Roman"/>
          <w:sz w:val="20"/>
          <w:szCs w:val="20"/>
        </w:rPr>
      </w:pPr>
      <w:r w:rsidRPr="00311766">
        <w:rPr>
          <w:rFonts w:ascii="Times New Roman" w:hAnsi="Times New Roman"/>
          <w:noProof/>
          <w:sz w:val="20"/>
          <w:szCs w:val="20"/>
          <w:lang w:val="en-MY" w:eastAsia="en-MY" w:bidi="ar-SA"/>
        </w:rPr>
        <w:lastRenderedPageBreak/>
        <mc:AlternateContent>
          <mc:Choice Requires="wps">
            <w:drawing>
              <wp:anchor distT="0" distB="0" distL="114300" distR="114300" simplePos="0" relativeHeight="251682816" behindDoc="0" locked="0" layoutInCell="1" allowOverlap="1" wp14:anchorId="7B4594DD" wp14:editId="376CDB98">
                <wp:simplePos x="0" y="0"/>
                <wp:positionH relativeFrom="column">
                  <wp:posOffset>3828415</wp:posOffset>
                </wp:positionH>
                <wp:positionV relativeFrom="paragraph">
                  <wp:posOffset>311150</wp:posOffset>
                </wp:positionV>
                <wp:extent cx="447675" cy="23939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47675" cy="239395"/>
                        </a:xfrm>
                        <a:prstGeom prst="rect">
                          <a:avLst/>
                        </a:prstGeom>
                        <a:noFill/>
                        <a:ln w="6350">
                          <a:noFill/>
                        </a:ln>
                      </wps:spPr>
                      <wps:txbx>
                        <w:txbxContent>
                          <w:p w:rsidR="008239F4" w:rsidRPr="00575CA0" w:rsidRDefault="008239F4" w:rsidP="008239F4">
                            <w:pPr>
                              <w:rPr>
                                <w:rFonts w:ascii="Times New Roman" w:hAnsi="Times New Roman"/>
                                <w:b/>
                                <w:lang w:val="en-GB"/>
                              </w:rPr>
                            </w:pPr>
                            <w:r w:rsidRPr="00575CA0">
                              <w:rPr>
                                <w:rFonts w:ascii="Times New Roman" w:hAnsi="Times New Roman"/>
                                <w:b/>
                                <w:lang w:val="en-GB"/>
                              </w:rPr>
                              <w:t>(</w:t>
                            </w:r>
                            <w:r>
                              <w:rPr>
                                <w:rFonts w:ascii="Times New Roman" w:hAnsi="Times New Roman"/>
                                <w:b/>
                                <w:lang w:val="en-GB"/>
                              </w:rPr>
                              <w:t>d</w:t>
                            </w:r>
                            <w:r w:rsidRPr="00575CA0">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3" type="#_x0000_t202" style="position:absolute;left:0;text-align:left;margin-left:301.45pt;margin-top:24.5pt;width:35.25pt;height:18.8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" filled="f" stroked="f" strokeweight=".5pt">
                <v:textbox>
                  <w:txbxContent>
                    <w:p w:rsidR="008239F4" w:rsidRPr="00575CA0" w:rsidRDefault="008239F4" w:rsidP="008239F4">
                      <w:pPr>
                        <w:rPr>
                          <w:rFonts w:ascii="Times New Roman" w:hAnsi="Times New Roman"/>
                          <w:b/>
                          <w:lang w:val="en-GB"/>
                        </w:rPr>
                      </w:pPr>
                      <w:r w:rsidRPr="00575CA0">
                        <w:rPr>
                          <w:rFonts w:ascii="Times New Roman" w:hAnsi="Times New Roman"/>
                          <w:b/>
                          <w:lang w:val="en-GB"/>
                        </w:rPr>
                        <w:t>(</w:t>
                      </w:r>
                      <w:r>
                        <w:rPr>
                          <w:rFonts w:ascii="Times New Roman" w:hAnsi="Times New Roman"/>
                          <w:b/>
                          <w:lang w:val="en-GB"/>
                        </w:rPr>
                        <w:t>d</w:t>
                      </w:r>
                      <w:r w:rsidRPr="00575CA0">
                        <w:rPr>
                          <w:rFonts w:ascii="Times New Roman" w:hAnsi="Times New Roman"/>
                          <w:b/>
                          <w:lang w:val="en-GB"/>
                        </w:rPr>
                        <w:t>)</w:t>
                      </w:r>
                    </w:p>
                  </w:txbxContent>
                </v:textbox>
              </v:shape>
            </w:pict>
          </mc:Fallback>
        </mc:AlternateContent>
      </w:r>
      <w:r w:rsidRPr="00311766">
        <w:rPr>
          <w:rFonts w:ascii="Times New Roman" w:hAnsi="Times New Roman"/>
          <w:noProof/>
          <w:sz w:val="20"/>
          <w:szCs w:val="20"/>
          <w:lang w:val="en-MY" w:eastAsia="en-MY" w:bidi="ar-SA"/>
        </w:rPr>
        <mc:AlternateContent>
          <mc:Choice Requires="wps">
            <w:drawing>
              <wp:anchor distT="0" distB="0" distL="114300" distR="114300" simplePos="0" relativeHeight="251680768" behindDoc="0" locked="0" layoutInCell="1" allowOverlap="1" wp14:anchorId="6631330E" wp14:editId="08807BF4">
                <wp:simplePos x="0" y="0"/>
                <wp:positionH relativeFrom="column">
                  <wp:posOffset>487045</wp:posOffset>
                </wp:positionH>
                <wp:positionV relativeFrom="paragraph">
                  <wp:posOffset>259715</wp:posOffset>
                </wp:positionV>
                <wp:extent cx="386080" cy="23939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86080" cy="239395"/>
                        </a:xfrm>
                        <a:prstGeom prst="rect">
                          <a:avLst/>
                        </a:prstGeom>
                        <a:noFill/>
                        <a:ln w="6350">
                          <a:noFill/>
                        </a:ln>
                      </wps:spPr>
                      <wps:txbx>
                        <w:txbxContent>
                          <w:p w:rsidR="008239F4" w:rsidRPr="00575CA0" w:rsidRDefault="008239F4" w:rsidP="008239F4">
                            <w:pPr>
                              <w:rPr>
                                <w:rFonts w:ascii="Times New Roman" w:hAnsi="Times New Roman"/>
                                <w:b/>
                                <w:lang w:val="en-GB"/>
                              </w:rPr>
                            </w:pPr>
                            <w:r>
                              <w:rPr>
                                <w:rFonts w:ascii="Times New Roman" w:hAnsi="Times New Roman"/>
                                <w:b/>
                                <w:lang w:val="en-GB"/>
                              </w:rPr>
                              <w:t>(c</w:t>
                            </w:r>
                            <w:r w:rsidRPr="00575CA0">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4" type="#_x0000_t202" style="position:absolute;left:0;text-align:left;margin-left:38.35pt;margin-top:20.45pt;width:30.4pt;height:18.8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" filled="f" stroked="f" strokeweight=".5pt">
                <v:textbox>
                  <w:txbxContent>
                    <w:p w:rsidR="008239F4" w:rsidRPr="00575CA0" w:rsidRDefault="008239F4" w:rsidP="008239F4">
                      <w:pPr>
                        <w:rPr>
                          <w:rFonts w:ascii="Times New Roman" w:hAnsi="Times New Roman"/>
                          <w:b/>
                          <w:lang w:val="en-GB"/>
                        </w:rPr>
                      </w:pPr>
                      <w:r>
                        <w:rPr>
                          <w:rFonts w:ascii="Times New Roman" w:hAnsi="Times New Roman"/>
                          <w:b/>
                          <w:lang w:val="en-GB"/>
                        </w:rPr>
                        <w:t>(c</w:t>
                      </w:r>
                      <w:r w:rsidRPr="00575CA0">
                        <w:rPr>
                          <w:rFonts w:ascii="Times New Roman" w:hAnsi="Times New Roman"/>
                          <w:b/>
                          <w:lang w:val="en-GB"/>
                        </w:rPr>
                        <w:t>)</w:t>
                      </w:r>
                    </w:p>
                  </w:txbxContent>
                </v:textbox>
              </v:shape>
            </w:pict>
          </mc:Fallback>
        </mc:AlternateContent>
      </w:r>
      <w:r w:rsidRPr="00311766">
        <w:rPr>
          <w:rFonts w:ascii="Times New Roman" w:hAnsi="Times New Roman"/>
          <w:noProof/>
          <w:sz w:val="20"/>
          <w:szCs w:val="20"/>
          <w:lang w:val="en-MY" w:eastAsia="en-MY" w:bidi="ar-SA"/>
        </w:rPr>
        <w:drawing>
          <wp:anchor distT="0" distB="0" distL="114300" distR="114300" simplePos="0" relativeHeight="251666432" behindDoc="0" locked="0" layoutInCell="1" allowOverlap="1" wp14:anchorId="441FE747" wp14:editId="16F86C02">
            <wp:simplePos x="0" y="0"/>
            <wp:positionH relativeFrom="margin">
              <wp:posOffset>3054985</wp:posOffset>
            </wp:positionH>
            <wp:positionV relativeFrom="paragraph">
              <wp:posOffset>158750</wp:posOffset>
            </wp:positionV>
            <wp:extent cx="2854325" cy="2159635"/>
            <wp:effectExtent l="0" t="0" r="22225" b="12065"/>
            <wp:wrapSquare wrapText="bothSides"/>
            <wp:docPr id="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311766">
        <w:rPr>
          <w:rFonts w:ascii="Times New Roman" w:hAnsi="Times New Roman"/>
          <w:noProof/>
          <w:sz w:val="20"/>
          <w:szCs w:val="20"/>
          <w:lang w:val="en-MY" w:eastAsia="en-MY" w:bidi="ar-SA"/>
        </w:rPr>
        <w:drawing>
          <wp:anchor distT="0" distB="0" distL="114300" distR="116586" simplePos="0" relativeHeight="251664384" behindDoc="0" locked="0" layoutInCell="1" allowOverlap="1" wp14:anchorId="53543AB4" wp14:editId="615CEB26">
            <wp:simplePos x="0" y="0"/>
            <wp:positionH relativeFrom="margin">
              <wp:posOffset>0</wp:posOffset>
            </wp:positionH>
            <wp:positionV relativeFrom="paragraph">
              <wp:posOffset>161925</wp:posOffset>
            </wp:positionV>
            <wp:extent cx="2807970" cy="2159635"/>
            <wp:effectExtent l="0" t="0" r="11430" b="12065"/>
            <wp:wrapSquare wrapText="bothSides"/>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B56CB2" w:rsidRDefault="00B56CB2" w:rsidP="00B56CB2">
      <w:pPr>
        <w:spacing w:after="0" w:line="240" w:lineRule="auto"/>
        <w:jc w:val="both"/>
        <w:rPr>
          <w:rFonts w:ascii="Times New Roman" w:hAnsi="Times New Roman"/>
          <w:sz w:val="20"/>
          <w:szCs w:val="20"/>
        </w:rPr>
      </w:pPr>
    </w:p>
    <w:p w:rsidR="00311766" w:rsidRPr="00311766" w:rsidRDefault="00311766" w:rsidP="00B56CB2">
      <w:pPr>
        <w:spacing w:after="0" w:line="240" w:lineRule="auto"/>
        <w:jc w:val="center"/>
        <w:rPr>
          <w:rFonts w:ascii="Times New Roman" w:hAnsi="Times New Roman"/>
          <w:sz w:val="20"/>
          <w:szCs w:val="20"/>
        </w:rPr>
      </w:pPr>
      <w:r w:rsidRPr="00311766">
        <w:rPr>
          <w:rFonts w:ascii="Times New Roman" w:hAnsi="Times New Roman"/>
          <w:sz w:val="20"/>
          <w:szCs w:val="20"/>
        </w:rPr>
        <w:t xml:space="preserve">Figure 3. </w:t>
      </w:r>
      <w:r w:rsidR="00B56CB2">
        <w:rPr>
          <w:rFonts w:ascii="Times New Roman" w:hAnsi="Times New Roman"/>
          <w:sz w:val="20"/>
          <w:szCs w:val="20"/>
        </w:rPr>
        <w:t xml:space="preserve"> </w:t>
      </w:r>
      <w:r w:rsidRPr="00311766">
        <w:rPr>
          <w:rFonts w:ascii="Times New Roman" w:hAnsi="Times New Roman"/>
          <w:sz w:val="20"/>
          <w:szCs w:val="20"/>
        </w:rPr>
        <w:t>Adsorption isotherms fitted to experiment (a) Langmuir (b) Freundlich (c) Temkin and (d) Frumkin</w:t>
      </w:r>
    </w:p>
    <w:p w:rsidR="00311766" w:rsidRPr="00311766" w:rsidRDefault="00311766" w:rsidP="00B56CB2">
      <w:pPr>
        <w:spacing w:after="120" w:line="240" w:lineRule="auto"/>
        <w:jc w:val="both"/>
        <w:rPr>
          <w:rFonts w:ascii="Times New Roman" w:hAnsi="Times New Roman"/>
          <w:sz w:val="20"/>
          <w:szCs w:val="20"/>
        </w:rPr>
      </w:pPr>
    </w:p>
    <w:p w:rsidR="00311766" w:rsidRPr="00311766" w:rsidRDefault="00311766" w:rsidP="00311766">
      <w:pPr>
        <w:spacing w:after="0" w:line="240" w:lineRule="auto"/>
        <w:jc w:val="both"/>
        <w:rPr>
          <w:rFonts w:ascii="Times New Roman" w:hAnsi="Times New Roman"/>
          <w:sz w:val="20"/>
          <w:szCs w:val="20"/>
        </w:rPr>
      </w:pPr>
      <w:r w:rsidRPr="00311766">
        <w:rPr>
          <w:rFonts w:ascii="Times New Roman" w:hAnsi="Times New Roman"/>
          <w:sz w:val="20"/>
          <w:szCs w:val="20"/>
        </w:rPr>
        <w:t>All the adsorption isotherms give almost straight line to the experimental data. Based on the regression value, Freundlich Isotherm gives the best fit with R</w:t>
      </w:r>
      <w:r w:rsidRPr="00311766">
        <w:rPr>
          <w:rFonts w:ascii="Times New Roman" w:hAnsi="Times New Roman"/>
          <w:sz w:val="20"/>
          <w:szCs w:val="20"/>
          <w:vertAlign w:val="superscript"/>
        </w:rPr>
        <w:t xml:space="preserve">2 </w:t>
      </w:r>
      <w:r w:rsidRPr="00311766">
        <w:rPr>
          <w:rFonts w:ascii="Times New Roman" w:hAnsi="Times New Roman"/>
          <w:sz w:val="20"/>
          <w:szCs w:val="20"/>
        </w:rPr>
        <w:t xml:space="preserve">equivalent to 0.97.  The Freundlich isotherm equation (5) is modified to equation (8) as below to have the linear line. </w:t>
      </w:r>
    </w:p>
    <w:p w:rsidR="00311766" w:rsidRPr="00311766" w:rsidRDefault="00311766" w:rsidP="00311766">
      <w:pPr>
        <w:spacing w:after="0" w:line="240" w:lineRule="auto"/>
        <w:jc w:val="both"/>
        <w:rPr>
          <w:rFonts w:ascii="Times New Roman" w:hAnsi="Times New Roman"/>
          <w:sz w:val="20"/>
          <w:szCs w:val="20"/>
        </w:rPr>
      </w:pPr>
    </w:p>
    <w:p w:rsidR="00311766" w:rsidRPr="00311766" w:rsidRDefault="00311766" w:rsidP="00311766">
      <w:pPr>
        <w:spacing w:after="0" w:line="240" w:lineRule="auto"/>
        <w:ind w:firstLine="720"/>
        <w:jc w:val="both"/>
        <w:rPr>
          <w:rFonts w:ascii="Times New Roman" w:hAnsi="Times New Roman"/>
          <w:sz w:val="20"/>
          <w:szCs w:val="20"/>
        </w:rPr>
      </w:pPr>
      <w:r w:rsidRPr="00311766">
        <w:rPr>
          <w:rFonts w:ascii="Times New Roman" w:hAnsi="Times New Roman"/>
          <w:sz w:val="20"/>
          <w:szCs w:val="20"/>
        </w:rPr>
        <w:t xml:space="preserve">log θ = α log C + log K </w:t>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r>
      <w:r w:rsidRPr="00311766">
        <w:rPr>
          <w:rFonts w:ascii="Times New Roman" w:hAnsi="Times New Roman"/>
          <w:sz w:val="20"/>
          <w:szCs w:val="20"/>
        </w:rPr>
        <w:tab/>
        <w:t xml:space="preserve">  </w:t>
      </w:r>
      <w:r w:rsidR="00B56CB2">
        <w:rPr>
          <w:rFonts w:ascii="Times New Roman" w:hAnsi="Times New Roman"/>
          <w:sz w:val="20"/>
          <w:szCs w:val="20"/>
        </w:rPr>
        <w:t xml:space="preserve">      </w:t>
      </w:r>
      <w:r w:rsidRPr="00311766">
        <w:rPr>
          <w:rFonts w:ascii="Times New Roman" w:hAnsi="Times New Roman"/>
          <w:sz w:val="20"/>
          <w:szCs w:val="20"/>
        </w:rPr>
        <w:t xml:space="preserve"> (8)</w:t>
      </w:r>
    </w:p>
    <w:p w:rsidR="00311766" w:rsidRPr="00311766" w:rsidRDefault="00B56CB2" w:rsidP="00311766">
      <w:pPr>
        <w:spacing w:after="0" w:line="240" w:lineRule="auto"/>
        <w:jc w:val="both"/>
        <w:rPr>
          <w:rFonts w:ascii="Times New Roman" w:hAnsi="Times New Roman"/>
          <w:sz w:val="20"/>
          <w:szCs w:val="20"/>
          <w:lang w:val="en-MY" w:eastAsia="en-MY" w:bidi="ta-IN"/>
        </w:rPr>
      </w:pPr>
      <w:r>
        <w:rPr>
          <w:rFonts w:ascii="Times New Roman" w:hAnsi="Times New Roman"/>
          <w:sz w:val="20"/>
          <w:szCs w:val="20"/>
          <w:lang w:val="en-MY" w:eastAsia="en-MY" w:bidi="ta-IN"/>
        </w:rPr>
        <w:t xml:space="preserve"> </w:t>
      </w:r>
    </w:p>
    <w:p w:rsidR="00311766" w:rsidRPr="00311766" w:rsidRDefault="00311766" w:rsidP="00311766">
      <w:pPr>
        <w:spacing w:after="0" w:line="240" w:lineRule="auto"/>
        <w:jc w:val="both"/>
        <w:rPr>
          <w:rFonts w:ascii="Times New Roman" w:hAnsi="Times New Roman"/>
          <w:sz w:val="20"/>
          <w:szCs w:val="20"/>
        </w:rPr>
      </w:pPr>
      <w:r w:rsidRPr="00311766">
        <w:rPr>
          <w:rFonts w:ascii="Times New Roman" w:hAnsi="Times New Roman"/>
          <w:sz w:val="20"/>
          <w:szCs w:val="20"/>
        </w:rPr>
        <w:t>From the graph plotted, it is found that the K and α values are 2.41 and 0.6947 respectively. Value of α is a measure of adsorption intensity or surface heterogeneity. If the value of α approaches zero, then it means that there is more surface heterogeneity. A value of α below unity implies chemisorption whereas α above one is an indication of cooperative adsorption</w:t>
      </w:r>
      <w:r w:rsidRPr="00311766">
        <w:rPr>
          <w:rFonts w:ascii="Times New Roman" w:hAnsi="Times New Roman"/>
          <w:sz w:val="20"/>
          <w:szCs w:val="20"/>
        </w:rPr>
        <w:fldChar w:fldCharType="begin" w:fldLock="1"/>
      </w:r>
      <w:r w:rsidRPr="00311766">
        <w:rPr>
          <w:rFonts w:ascii="Times New Roman" w:hAnsi="Times New Roman"/>
          <w:sz w:val="20"/>
          <w:szCs w:val="20"/>
        </w:rPr>
        <w:instrText>ADDIN CSL_CITATION {"citationItems":[{"id":"ITEM-1","itemData":{"DOI":"10.1016/j.pmatsci.2017.07.006","ISSN":"00796425","abstract":"Surfactants have been commonly used as corrosion inhibitors for the protection of metallic materials against corrosion. The amphiphilic nature of surfactant molecules creates an affinity for adsorption at interfaces such as metal/metal oxide–water interface. The adsorption of surfactant on metals and metal oxides creates a barrier that can inhibit corrosion. The properties of surfactant and the interaction of surfactant with metal or metal oxide and the surrounding solution environments determine the level of adsorption and corrosion inhibition. Understanding and modeling the behavior of surfactants in corrosive environments is critical to optimal utilization of surfactants as corrosion inhibitors. This review of surfactants as corrosion inhibitors is designed to provide systemic evaluation of various physical and chemical properties of surfactants, surfactant behaviors in corrosive environments, and their influence in corrosion inhibition, which can be used to improve the effectiveness with which surfactants are used as corrosion inhibitors in a variety of environments. Progress in the development of various predictive models, including semi-empirical models, mechanistic models, and multiphysics models, are reviewed for the evaluation and prediction of surfactant properties and surfactant corrosion inhibition efficiency. Applications of these models to experimental design and analysis, surfactant design and selection, and lifetime prediction are also discussed.","author":[{"dropping-particle":"","family":"Zhu","given":"Yakun","non-dropping-particle":"","parse-names":false,"suffix":""},{"dropping-particle":"","family":"Free","given":"Michael L.","non-dropping-particle":"","parse-names":false,"suffix":""},{"dropping-particle":"","family":"Woollam","given":"Richard","non-dropping-particle":"","parse-names":false,"suffix":""},{"dropping-particle":"","family":"Durnie","given":"William","non-dropping-particle":"","parse-names":false,"suffix":""}],"container-title":"Progress in Materials Science","id":"ITEM-1","issued":{"date-parts":[["2017","10"]]},"page":"159-223","publisher":"Elsevier Ltd","title":"A review of surfactants as corrosion inhibitors and associated modeling","type":"article-journal","volume":"90"},"uris":["http://www.mendeley.com/documents/?uuid=ca9a28b8-ca9d-4759-83b9-fb270a544826"]}],"mendeley":{"formattedCitation":"[35]","plainTextFormattedCitation":"[35]","previouslyFormattedCitation":"(Zhu, Free, Woollam, &amp; Durnie, 2017)"},"properties":{"noteIndex":0},"schema":"https://github.com/citation-style-language/schema/raw/master/csl-citation.json"}</w:instrText>
      </w:r>
      <w:r w:rsidRPr="00311766">
        <w:rPr>
          <w:rFonts w:ascii="Times New Roman" w:hAnsi="Times New Roman"/>
          <w:sz w:val="20"/>
          <w:szCs w:val="20"/>
        </w:rPr>
        <w:fldChar w:fldCharType="separate"/>
      </w:r>
      <w:r w:rsidRPr="00311766">
        <w:rPr>
          <w:rFonts w:ascii="Times New Roman" w:hAnsi="Times New Roman"/>
          <w:noProof/>
          <w:sz w:val="20"/>
          <w:szCs w:val="20"/>
        </w:rPr>
        <w:t>[35]</w:t>
      </w:r>
      <w:r w:rsidRPr="00311766">
        <w:rPr>
          <w:rFonts w:ascii="Times New Roman" w:hAnsi="Times New Roman"/>
          <w:sz w:val="20"/>
          <w:szCs w:val="20"/>
        </w:rPr>
        <w:fldChar w:fldCharType="end"/>
      </w:r>
      <w:r w:rsidRPr="00311766">
        <w:rPr>
          <w:rFonts w:ascii="Times New Roman" w:hAnsi="Times New Roman"/>
          <w:sz w:val="20"/>
          <w:szCs w:val="20"/>
        </w:rPr>
        <w:t>. The low values of K suggest that interaction between adsorbed molecules and the metal surface is not strong, indicating that the inhibitor molecules can be removed from the metal surface by any solvent molecules. Based on our results, a strong adsorption bond of chemisorptive nature could be implicated.</w:t>
      </w:r>
    </w:p>
    <w:p w:rsidR="006768E9" w:rsidRPr="00F447A7" w:rsidRDefault="006768E9" w:rsidP="0031176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56CB2" w:rsidRPr="00B56CB2" w:rsidRDefault="00B56CB2" w:rsidP="00B56CB2">
      <w:pPr>
        <w:spacing w:after="0" w:line="240" w:lineRule="auto"/>
        <w:jc w:val="both"/>
        <w:outlineLvl w:val="0"/>
        <w:rPr>
          <w:rFonts w:ascii="Times New Roman" w:hAnsi="Times New Roman"/>
          <w:b/>
          <w:sz w:val="20"/>
          <w:szCs w:val="20"/>
        </w:rPr>
      </w:pPr>
      <w:r w:rsidRPr="00B56CB2">
        <w:rPr>
          <w:rFonts w:ascii="Times New Roman" w:hAnsi="Times New Roman"/>
          <w:bCs/>
          <w:sz w:val="20"/>
          <w:szCs w:val="20"/>
        </w:rPr>
        <w:t xml:space="preserve">From this study, it can be concluded that glycerol has the potential to be a dual functioning gas hydrate and corrosion inhibitor. Glycerol is a common thermodynamic gas hydrate inhibitor in the oil and gas industry, and through this study, it has also been proven that glycerol has 66% corrosion inhibition efficiency at 10000 ppm (1wt%). The inhibition efficiency of glycerol shows the trend of proportionally increasing with the concentration. Although the glycerol has slightly acidic nature, the acidic nature enhances the adsorption process instead of promoting corrosion. Further researches with higher concentrations of glycerol should be done to validate the corrosion inhibition efficiency at higher concentrations of glycerol in 3.5 wt.% NaCl solution. Being an eco-friendly and cost-friendly chemical that has no adverse effect on the environment, glycerol holds vast potential towards greener application flow assurance in the oil and gas industry. </w:t>
      </w:r>
      <w:r w:rsidRPr="00B56CB2">
        <w:rPr>
          <w:rStyle w:val="fontstyle01"/>
          <w:rFonts w:ascii="Times New Roman" w:eastAsiaTheme="majorEastAsia" w:hAnsi="Times New Roman"/>
          <w:color w:val="auto"/>
          <w:sz w:val="20"/>
          <w:szCs w:val="20"/>
        </w:rPr>
        <w:t>It is recommended in subsequence study, influential factors of treatment temperature, CO</w:t>
      </w:r>
      <w:r w:rsidRPr="00B56CB2">
        <w:rPr>
          <w:rStyle w:val="fontstyle01"/>
          <w:rFonts w:ascii="Times New Roman" w:eastAsiaTheme="majorEastAsia" w:hAnsi="Times New Roman"/>
          <w:color w:val="auto"/>
          <w:sz w:val="20"/>
          <w:szCs w:val="20"/>
          <w:vertAlign w:val="subscript"/>
        </w:rPr>
        <w:t>2</w:t>
      </w:r>
      <w:r w:rsidRPr="00B56CB2">
        <w:rPr>
          <w:rStyle w:val="fontstyle01"/>
          <w:rFonts w:ascii="Times New Roman" w:eastAsiaTheme="majorEastAsia" w:hAnsi="Times New Roman"/>
          <w:color w:val="auto"/>
          <w:sz w:val="20"/>
          <w:szCs w:val="20"/>
        </w:rPr>
        <w:t xml:space="preserve"> corrosion (in the absence of O</w:t>
      </w:r>
      <w:r w:rsidRPr="00B56CB2">
        <w:rPr>
          <w:rStyle w:val="fontstyle01"/>
          <w:rFonts w:ascii="Times New Roman" w:eastAsiaTheme="majorEastAsia" w:hAnsi="Times New Roman"/>
          <w:color w:val="auto"/>
          <w:sz w:val="20"/>
          <w:szCs w:val="20"/>
          <w:vertAlign w:val="subscript"/>
        </w:rPr>
        <w:t>2</w:t>
      </w:r>
      <w:r w:rsidRPr="00B56CB2">
        <w:rPr>
          <w:rStyle w:val="fontstyle01"/>
          <w:rFonts w:ascii="Times New Roman" w:eastAsiaTheme="majorEastAsia" w:hAnsi="Times New Roman"/>
          <w:color w:val="auto"/>
          <w:sz w:val="20"/>
          <w:szCs w:val="20"/>
        </w:rPr>
        <w:t xml:space="preserve"> environment to better represent gas pipeline flowing conditions) and high-temperature high autoclave corrosion rate should be considered.</w:t>
      </w:r>
    </w:p>
    <w:p w:rsidR="00B56CB2" w:rsidRPr="00B56CB2" w:rsidRDefault="00B56CB2" w:rsidP="00B56CB2">
      <w:pPr>
        <w:spacing w:after="0" w:line="240" w:lineRule="auto"/>
        <w:jc w:val="center"/>
        <w:outlineLvl w:val="0"/>
        <w:rPr>
          <w:rFonts w:ascii="Times New Roman" w:hAnsi="Times New Roman"/>
          <w:sz w:val="20"/>
          <w:szCs w:val="20"/>
        </w:rPr>
      </w:pPr>
    </w:p>
    <w:p w:rsidR="00B56CB2" w:rsidRPr="00B56CB2" w:rsidRDefault="00B56CB2" w:rsidP="00B56CB2">
      <w:pPr>
        <w:spacing w:after="0" w:line="240" w:lineRule="auto"/>
        <w:jc w:val="center"/>
        <w:outlineLvl w:val="0"/>
        <w:rPr>
          <w:rFonts w:ascii="Times New Roman" w:hAnsi="Times New Roman"/>
          <w:b/>
          <w:sz w:val="20"/>
          <w:szCs w:val="20"/>
        </w:rPr>
      </w:pPr>
      <w:r w:rsidRPr="00B56CB2">
        <w:rPr>
          <w:rFonts w:ascii="Times New Roman" w:hAnsi="Times New Roman"/>
          <w:b/>
          <w:sz w:val="20"/>
          <w:szCs w:val="20"/>
        </w:rPr>
        <w:t>Acknowledgement</w:t>
      </w:r>
    </w:p>
    <w:p w:rsidR="006768E9" w:rsidRPr="00B56CB2" w:rsidRDefault="00B56CB2" w:rsidP="00B56CB2">
      <w:pPr>
        <w:spacing w:after="0" w:line="240" w:lineRule="auto"/>
        <w:jc w:val="both"/>
        <w:outlineLvl w:val="0"/>
        <w:rPr>
          <w:rFonts w:ascii="Times New Roman" w:hAnsi="Times New Roman"/>
          <w:b/>
          <w:sz w:val="20"/>
          <w:szCs w:val="20"/>
        </w:rPr>
      </w:pPr>
      <w:r w:rsidRPr="00B56CB2">
        <w:rPr>
          <w:rFonts w:ascii="Times New Roman" w:hAnsi="Times New Roman"/>
          <w:sz w:val="20"/>
          <w:szCs w:val="20"/>
        </w:rPr>
        <w:t>The authors would like to acknowledge YUTP Grant 015LCO-154 for supporting this work.  Besides, the authors would like to thank everyone who contributed to the success of the Internship Project collaboration between IUT Chalon and ENGSTI, France, and Universiti Teknologi Petronas, Malaysia.</w:t>
      </w:r>
    </w:p>
    <w:p w:rsidR="006768E9" w:rsidRDefault="006768E9" w:rsidP="00F447A7">
      <w:pPr>
        <w:spacing w:after="0" w:line="240" w:lineRule="auto"/>
        <w:jc w:val="center"/>
        <w:rPr>
          <w:rFonts w:ascii="Times New Roman" w:hAnsi="Times New Roman"/>
          <w:noProof/>
          <w:sz w:val="20"/>
          <w:szCs w:val="20"/>
          <w:lang w:bidi="ar-SA"/>
        </w:rPr>
      </w:pPr>
    </w:p>
    <w:p w:rsidR="00B56CB2" w:rsidRDefault="00B56CB2" w:rsidP="00F447A7">
      <w:pPr>
        <w:spacing w:after="0" w:line="240" w:lineRule="auto"/>
        <w:jc w:val="center"/>
        <w:rPr>
          <w:rFonts w:ascii="Times New Roman" w:hAnsi="Times New Roman"/>
          <w:noProof/>
          <w:sz w:val="20"/>
          <w:szCs w:val="20"/>
          <w:lang w:bidi="ar-SA"/>
        </w:rPr>
      </w:pPr>
    </w:p>
    <w:p w:rsidR="00B56CB2" w:rsidRDefault="00B56CB2" w:rsidP="00F447A7">
      <w:pPr>
        <w:spacing w:after="0" w:line="240" w:lineRule="auto"/>
        <w:jc w:val="center"/>
        <w:rPr>
          <w:rFonts w:ascii="Times New Roman" w:hAnsi="Times New Roman"/>
          <w:noProof/>
          <w:sz w:val="20"/>
          <w:szCs w:val="20"/>
          <w:lang w:bidi="ar-SA"/>
        </w:rPr>
      </w:pPr>
    </w:p>
    <w:p w:rsidR="00B56CB2" w:rsidRPr="00F447A7" w:rsidRDefault="00B56CB2"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Sloan, Dendy; Koh, Carolyn; K.Sum, Amadeu; L.Ballard, Adam; Creek, Jefferson; Eaton, Michael; Lachance, Jason; </w:t>
      </w:r>
      <w:r w:rsidR="00115A91">
        <w:rPr>
          <w:rFonts w:ascii="Times New Roman" w:hAnsi="Times New Roman"/>
          <w:noProof/>
          <w:sz w:val="20"/>
          <w:szCs w:val="20"/>
        </w:rPr>
        <w:t>M</w:t>
      </w:r>
      <w:r w:rsidRPr="00115A91">
        <w:rPr>
          <w:rFonts w:ascii="Times New Roman" w:hAnsi="Times New Roman"/>
          <w:noProof/>
          <w:sz w:val="20"/>
          <w:szCs w:val="20"/>
        </w:rPr>
        <w:t xml:space="preserve">cMullen, Norm; Palermo, Thierry; Shoup, George; Talley, L., Sloan, D., Koh, C., Sum, A., Windows, M., Corporation, M. and Sakajiri, A. (2011). Natural gas hydrates in flow assurance. In </w:t>
      </w:r>
      <w:r w:rsidRPr="00115A91">
        <w:rPr>
          <w:rFonts w:ascii="Times New Roman" w:hAnsi="Times New Roman"/>
          <w:iCs/>
          <w:noProof/>
          <w:sz w:val="20"/>
          <w:szCs w:val="20"/>
        </w:rPr>
        <w:t>Elsevier Publisher</w:t>
      </w:r>
      <w:r w:rsidRPr="00115A91">
        <w:rPr>
          <w:rFonts w:ascii="Times New Roman" w:hAnsi="Times New Roman"/>
          <w:noProof/>
          <w:sz w:val="20"/>
          <w:szCs w:val="20"/>
        </w:rPr>
        <w:t>.</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Theyab, M. A. (2018). Fluid flow assurance issues: Literature review. </w:t>
      </w:r>
      <w:r w:rsidRPr="00115A91">
        <w:rPr>
          <w:rFonts w:ascii="Times New Roman" w:hAnsi="Times New Roman"/>
          <w:i/>
          <w:iCs/>
          <w:noProof/>
          <w:sz w:val="20"/>
          <w:szCs w:val="20"/>
        </w:rPr>
        <w:t>SciFed Journal of Petroleum</w:t>
      </w:r>
      <w:r w:rsidRPr="00115A91">
        <w:rPr>
          <w:rFonts w:ascii="Times New Roman" w:hAnsi="Times New Roman"/>
          <w:noProof/>
          <w:sz w:val="20"/>
          <w:szCs w:val="20"/>
        </w:rPr>
        <w:t xml:space="preserve">, </w:t>
      </w:r>
      <w:r w:rsidRPr="00115A91">
        <w:rPr>
          <w:rFonts w:ascii="Times New Roman" w:hAnsi="Times New Roman"/>
          <w:i/>
          <w:iCs/>
          <w:noProof/>
          <w:sz w:val="20"/>
          <w:szCs w:val="20"/>
        </w:rPr>
        <w:t>2</w:t>
      </w:r>
      <w:r w:rsidRPr="00115A91">
        <w:rPr>
          <w:rFonts w:ascii="Times New Roman" w:hAnsi="Times New Roman"/>
          <w:noProof/>
          <w:sz w:val="20"/>
          <w:szCs w:val="20"/>
        </w:rPr>
        <w:t>(1), 1-11.</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Khan, M. S., Lal, B., Keong, L. K. and Sabil, K. M. (2018). Experimental evaluation and thermodynamic modelling of AILs alkyl chain elongation on methane riched gas hydrate system. </w:t>
      </w:r>
      <w:r w:rsidRPr="00115A91">
        <w:rPr>
          <w:rFonts w:ascii="Times New Roman" w:hAnsi="Times New Roman"/>
          <w:i/>
          <w:iCs/>
          <w:noProof/>
          <w:sz w:val="20"/>
          <w:szCs w:val="20"/>
        </w:rPr>
        <w:t>Fluid Phase Equilibria</w:t>
      </w:r>
      <w:r w:rsidRPr="00115A91">
        <w:rPr>
          <w:rFonts w:ascii="Times New Roman" w:hAnsi="Times New Roman"/>
          <w:noProof/>
          <w:sz w:val="20"/>
          <w:szCs w:val="20"/>
        </w:rPr>
        <w:t xml:space="preserve">, </w:t>
      </w:r>
      <w:r w:rsidRPr="00115A91">
        <w:rPr>
          <w:rFonts w:ascii="Times New Roman" w:hAnsi="Times New Roman"/>
          <w:iCs/>
          <w:noProof/>
          <w:sz w:val="20"/>
          <w:szCs w:val="20"/>
        </w:rPr>
        <w:t>473</w:t>
      </w:r>
      <w:r w:rsidRPr="00115A91">
        <w:rPr>
          <w:rFonts w:ascii="Times New Roman" w:hAnsi="Times New Roman"/>
          <w:noProof/>
          <w:sz w:val="20"/>
          <w:szCs w:val="20"/>
        </w:rPr>
        <w:t>: 300-309.</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Yaqub, S., Lal, B., Shariff, A. M., and Mellon, N. (2019). Unraveling the effect of sub-cooling temperatures on the kinetic performance of biopolymers for methane hydrate. </w:t>
      </w:r>
      <w:r w:rsidRPr="00115A91">
        <w:rPr>
          <w:rFonts w:ascii="Times New Roman" w:hAnsi="Times New Roman"/>
          <w:i/>
          <w:iCs/>
          <w:noProof/>
          <w:sz w:val="20"/>
          <w:szCs w:val="20"/>
        </w:rPr>
        <w:t>Journal of Natural Gas Science and Engineering</w:t>
      </w:r>
      <w:r w:rsidRPr="00115A91">
        <w:rPr>
          <w:rFonts w:ascii="Times New Roman" w:hAnsi="Times New Roman"/>
          <w:noProof/>
          <w:sz w:val="20"/>
          <w:szCs w:val="20"/>
        </w:rPr>
        <w:t xml:space="preserve">, </w:t>
      </w:r>
      <w:r w:rsidRPr="00115A91">
        <w:rPr>
          <w:rFonts w:ascii="Times New Roman" w:hAnsi="Times New Roman"/>
          <w:iCs/>
          <w:noProof/>
          <w:sz w:val="20"/>
          <w:szCs w:val="20"/>
        </w:rPr>
        <w:t>65</w:t>
      </w:r>
      <w:r w:rsidRPr="00115A91">
        <w:rPr>
          <w:rFonts w:ascii="Times New Roman" w:hAnsi="Times New Roman"/>
          <w:noProof/>
          <w:sz w:val="20"/>
          <w:szCs w:val="20"/>
        </w:rPr>
        <w:t>(1): 68-81.</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Qasim, A., Khan, M. S., Lal, B. and Shariff, A. M. (2019). Phase equilibrium measurement and modeling approach to quaternary ammonium salts with and without monoethylene glycol for carbon dioxide hydrates. </w:t>
      </w:r>
      <w:r w:rsidRPr="00115A91">
        <w:rPr>
          <w:rFonts w:ascii="Times New Roman" w:hAnsi="Times New Roman"/>
          <w:i/>
          <w:iCs/>
          <w:noProof/>
          <w:sz w:val="20"/>
          <w:szCs w:val="20"/>
        </w:rPr>
        <w:t>Journal of Molecular Liquids</w:t>
      </w:r>
      <w:r w:rsidRPr="00115A91">
        <w:rPr>
          <w:rFonts w:ascii="Times New Roman" w:hAnsi="Times New Roman"/>
          <w:noProof/>
          <w:sz w:val="20"/>
          <w:szCs w:val="20"/>
        </w:rPr>
        <w:t xml:space="preserve">, </w:t>
      </w:r>
      <w:r w:rsidRPr="00115A91">
        <w:rPr>
          <w:rFonts w:ascii="Times New Roman" w:hAnsi="Times New Roman"/>
          <w:iCs/>
          <w:noProof/>
          <w:sz w:val="20"/>
          <w:szCs w:val="20"/>
        </w:rPr>
        <w:t>282</w:t>
      </w:r>
      <w:r w:rsidRPr="00115A91">
        <w:rPr>
          <w:rFonts w:ascii="Times New Roman" w:hAnsi="Times New Roman"/>
          <w:noProof/>
          <w:sz w:val="20"/>
          <w:szCs w:val="20"/>
        </w:rPr>
        <w:t xml:space="preserve">: 106-114.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Nashed, O., Dadebayev, D., Khan, M. S., Bavoh, C. B., Lal, B. and Shariff, A. M. (2018). Experimental and modelling studies on thermodynamic methane hydrate inhibition in the presence of ionic liquids. </w:t>
      </w:r>
      <w:r w:rsidRPr="00115A91">
        <w:rPr>
          <w:rFonts w:ascii="Times New Roman" w:hAnsi="Times New Roman"/>
          <w:i/>
          <w:iCs/>
          <w:noProof/>
          <w:sz w:val="20"/>
          <w:szCs w:val="20"/>
        </w:rPr>
        <w:t>Journal of Molecular Liquids</w:t>
      </w:r>
      <w:r w:rsidRPr="00115A91">
        <w:rPr>
          <w:rFonts w:ascii="Times New Roman" w:hAnsi="Times New Roman"/>
          <w:noProof/>
          <w:sz w:val="20"/>
          <w:szCs w:val="20"/>
        </w:rPr>
        <w:t xml:space="preserve">, </w:t>
      </w:r>
      <w:r w:rsidRPr="00115A91">
        <w:rPr>
          <w:rFonts w:ascii="Times New Roman" w:hAnsi="Times New Roman"/>
          <w:iCs/>
          <w:noProof/>
          <w:sz w:val="20"/>
          <w:szCs w:val="20"/>
        </w:rPr>
        <w:t>249</w:t>
      </w:r>
      <w:r w:rsidRPr="00115A91">
        <w:rPr>
          <w:rFonts w:ascii="Times New Roman" w:hAnsi="Times New Roman"/>
          <w:noProof/>
          <w:sz w:val="20"/>
          <w:szCs w:val="20"/>
        </w:rPr>
        <w:t xml:space="preserve">(11): 886-891.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Asrar, N., MacKay, B., Birketveit, Ø., Stopanicev, M., Jackson, J. E., Jenkins, A. ad Vittonato, J. (2016). Corrosion- the longest war. </w:t>
      </w:r>
      <w:r w:rsidRPr="00115A91">
        <w:rPr>
          <w:rFonts w:ascii="Times New Roman" w:hAnsi="Times New Roman"/>
          <w:i/>
          <w:iCs/>
          <w:noProof/>
          <w:sz w:val="20"/>
          <w:szCs w:val="20"/>
        </w:rPr>
        <w:t>Oilfield Review</w:t>
      </w:r>
      <w:r w:rsidRPr="00115A91">
        <w:rPr>
          <w:rFonts w:ascii="Times New Roman" w:hAnsi="Times New Roman"/>
          <w:noProof/>
          <w:sz w:val="20"/>
          <w:szCs w:val="20"/>
        </w:rPr>
        <w:t xml:space="preserve">, </w:t>
      </w:r>
      <w:r w:rsidRPr="00115A91">
        <w:rPr>
          <w:rFonts w:ascii="Times New Roman" w:hAnsi="Times New Roman"/>
          <w:iCs/>
          <w:noProof/>
          <w:sz w:val="20"/>
          <w:szCs w:val="20"/>
        </w:rPr>
        <w:t>28</w:t>
      </w:r>
      <w:r w:rsidRPr="00115A91">
        <w:rPr>
          <w:rFonts w:ascii="Times New Roman" w:hAnsi="Times New Roman"/>
          <w:noProof/>
          <w:sz w:val="20"/>
          <w:szCs w:val="20"/>
        </w:rPr>
        <w:t>(2): 34-49.</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Yahya, S., Othman, N. K. and Ismail, M. C. (2019). Corrosion inhibition of steel in multiple flow loop under 3.5% NaCl in the presence of rice straw extracts, lignin and ethylene glycol. </w:t>
      </w:r>
      <w:r w:rsidRPr="00115A91">
        <w:rPr>
          <w:rFonts w:ascii="Times New Roman" w:hAnsi="Times New Roman"/>
          <w:i/>
          <w:iCs/>
          <w:noProof/>
          <w:sz w:val="20"/>
          <w:szCs w:val="20"/>
        </w:rPr>
        <w:t>Engineering Failure Analysis</w:t>
      </w:r>
      <w:r w:rsidRPr="00115A91">
        <w:rPr>
          <w:rFonts w:ascii="Times New Roman" w:hAnsi="Times New Roman"/>
          <w:noProof/>
          <w:sz w:val="20"/>
          <w:szCs w:val="20"/>
        </w:rPr>
        <w:t>, 100: 365-380.</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Khan, M. S., Mellon, N. B. and Lal, B. (n.d.). </w:t>
      </w:r>
      <w:r w:rsidRPr="00115A91">
        <w:rPr>
          <w:rFonts w:ascii="Times New Roman" w:hAnsi="Times New Roman"/>
          <w:iCs/>
          <w:noProof/>
          <w:sz w:val="20"/>
          <w:szCs w:val="20"/>
        </w:rPr>
        <w:t>Preliminary experimental evaluation for methane (CH</w:t>
      </w:r>
      <w:r w:rsidRPr="00115A91">
        <w:rPr>
          <w:rFonts w:ascii="Times New Roman" w:hAnsi="Times New Roman"/>
          <w:iCs/>
          <w:noProof/>
          <w:sz w:val="20"/>
          <w:szCs w:val="20"/>
          <w:vertAlign w:val="subscript"/>
        </w:rPr>
        <w:t>4</w:t>
      </w:r>
      <w:r w:rsidRPr="00115A91">
        <w:rPr>
          <w:rFonts w:ascii="Times New Roman" w:hAnsi="Times New Roman"/>
          <w:iCs/>
          <w:noProof/>
          <w:sz w:val="20"/>
          <w:szCs w:val="20"/>
        </w:rPr>
        <w:t>) and carbon dioxide (CO</w:t>
      </w:r>
      <w:r w:rsidRPr="00115A91">
        <w:rPr>
          <w:rFonts w:ascii="Times New Roman" w:hAnsi="Times New Roman"/>
          <w:iCs/>
          <w:noProof/>
          <w:sz w:val="20"/>
          <w:szCs w:val="20"/>
          <w:vertAlign w:val="subscript"/>
        </w:rPr>
        <w:t>2</w:t>
      </w:r>
      <w:r w:rsidRPr="00115A91">
        <w:rPr>
          <w:rFonts w:ascii="Times New Roman" w:hAnsi="Times New Roman"/>
          <w:iCs/>
          <w:noProof/>
          <w:sz w:val="20"/>
          <w:szCs w:val="20"/>
        </w:rPr>
        <w:t>) gas hydrate mitigation</w:t>
      </w:r>
      <w:r w:rsidRPr="00115A91">
        <w:rPr>
          <w:rFonts w:ascii="Times New Roman" w:hAnsi="Times New Roman"/>
          <w:noProof/>
          <w:sz w:val="20"/>
          <w:szCs w:val="20"/>
        </w:rPr>
        <w:t xml:space="preserve">.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Nashed, O., Sabil, K. M., Ismail, L., Japper-Jaafar, A. and Lal, B. (2018). Mean induction time and isothermal kinetic analysis of methane hydrate formation in water and imidazolium based ionic liquid solutions. </w:t>
      </w:r>
      <w:r w:rsidRPr="00115A91">
        <w:rPr>
          <w:rFonts w:ascii="Times New Roman" w:hAnsi="Times New Roman"/>
          <w:i/>
          <w:iCs/>
          <w:noProof/>
          <w:sz w:val="20"/>
          <w:szCs w:val="20"/>
        </w:rPr>
        <w:t>The Journal of Chemical Thermodynamics</w:t>
      </w:r>
      <w:r w:rsidRPr="00115A91">
        <w:rPr>
          <w:rFonts w:ascii="Times New Roman" w:hAnsi="Times New Roman"/>
          <w:noProof/>
          <w:sz w:val="20"/>
          <w:szCs w:val="20"/>
        </w:rPr>
        <w:t xml:space="preserve">, </w:t>
      </w:r>
      <w:r w:rsidRPr="00115A91">
        <w:rPr>
          <w:rFonts w:ascii="Times New Roman" w:hAnsi="Times New Roman"/>
          <w:iCs/>
          <w:noProof/>
          <w:sz w:val="20"/>
          <w:szCs w:val="20"/>
        </w:rPr>
        <w:t>117</w:t>
      </w:r>
      <w:r w:rsidRPr="00115A91">
        <w:rPr>
          <w:rFonts w:ascii="Times New Roman" w:hAnsi="Times New Roman"/>
          <w:noProof/>
          <w:sz w:val="20"/>
          <w:szCs w:val="20"/>
        </w:rPr>
        <w:t xml:space="preserve">: 147-154.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Bavoh, C. B., Lal, B., Osei, H., Sabil, K. M. and Mukhtar, H. (2019). A review on the role of amino acids in gas hydrate inhibition, CO</w:t>
      </w:r>
      <w:r w:rsidRPr="00115A91">
        <w:rPr>
          <w:rFonts w:ascii="Times New Roman" w:hAnsi="Times New Roman"/>
          <w:noProof/>
          <w:sz w:val="20"/>
          <w:szCs w:val="20"/>
          <w:vertAlign w:val="subscript"/>
        </w:rPr>
        <w:t xml:space="preserve">2 </w:t>
      </w:r>
      <w:r w:rsidRPr="00115A91">
        <w:rPr>
          <w:rFonts w:ascii="Times New Roman" w:hAnsi="Times New Roman"/>
          <w:noProof/>
          <w:sz w:val="20"/>
          <w:szCs w:val="20"/>
        </w:rPr>
        <w:t xml:space="preserve">capture and sequestration, and natural gas storage. </w:t>
      </w:r>
      <w:r w:rsidRPr="00115A91">
        <w:rPr>
          <w:rFonts w:ascii="Times New Roman" w:hAnsi="Times New Roman"/>
          <w:i/>
          <w:iCs/>
          <w:noProof/>
          <w:sz w:val="20"/>
          <w:szCs w:val="20"/>
        </w:rPr>
        <w:t>Journal of Natural Gas Science and Engineering</w:t>
      </w:r>
      <w:r w:rsidRPr="00115A91">
        <w:rPr>
          <w:rFonts w:ascii="Times New Roman" w:hAnsi="Times New Roman"/>
          <w:noProof/>
          <w:sz w:val="20"/>
          <w:szCs w:val="20"/>
        </w:rPr>
        <w:t xml:space="preserve">, </w:t>
      </w:r>
      <w:r w:rsidRPr="00115A91">
        <w:rPr>
          <w:rFonts w:ascii="Times New Roman" w:hAnsi="Times New Roman"/>
          <w:iCs/>
          <w:noProof/>
          <w:sz w:val="20"/>
          <w:szCs w:val="20"/>
        </w:rPr>
        <w:t>64</w:t>
      </w:r>
      <w:r w:rsidRPr="00115A91">
        <w:rPr>
          <w:rFonts w:ascii="Times New Roman" w:hAnsi="Times New Roman"/>
          <w:noProof/>
          <w:sz w:val="20"/>
          <w:szCs w:val="20"/>
        </w:rPr>
        <w:t xml:space="preserve">(1): 52-71.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Bavoh, C. B., Lal, B., Nashed, O., Khan, M. S., Lau, K. K. and Bustam, M. A. (2016). COSMO-RS: An ionic liquid prescreening tool for gas hydrate mitigation. </w:t>
      </w:r>
      <w:r w:rsidRPr="00115A91">
        <w:rPr>
          <w:rFonts w:ascii="Times New Roman" w:hAnsi="Times New Roman"/>
          <w:i/>
          <w:iCs/>
          <w:noProof/>
          <w:sz w:val="20"/>
          <w:szCs w:val="20"/>
        </w:rPr>
        <w:t>Chinese Journal of Chemical Engineering</w:t>
      </w:r>
      <w:r w:rsidRPr="00115A91">
        <w:rPr>
          <w:rFonts w:ascii="Times New Roman" w:hAnsi="Times New Roman"/>
          <w:noProof/>
          <w:sz w:val="20"/>
          <w:szCs w:val="20"/>
        </w:rPr>
        <w:t xml:space="preserve">, </w:t>
      </w:r>
      <w:r w:rsidRPr="00115A91">
        <w:rPr>
          <w:rFonts w:ascii="Times New Roman" w:hAnsi="Times New Roman"/>
          <w:iCs/>
          <w:noProof/>
          <w:sz w:val="20"/>
          <w:szCs w:val="20"/>
        </w:rPr>
        <w:t>24</w:t>
      </w:r>
      <w:r w:rsidRPr="00115A91">
        <w:rPr>
          <w:rFonts w:ascii="Times New Roman" w:hAnsi="Times New Roman"/>
          <w:noProof/>
          <w:sz w:val="20"/>
          <w:szCs w:val="20"/>
        </w:rPr>
        <w:t xml:space="preserve">(11): 1619-1624.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Khan, M. S., Bavoh, C. B., Partoon, B., Lal, B., Bustam, M. A. and Shariff, A. M. (2017). Thermodynamic effect of ammonium based ionic liquids on CO</w:t>
      </w:r>
      <w:r w:rsidRPr="00115A91">
        <w:rPr>
          <w:rFonts w:ascii="Times New Roman" w:hAnsi="Times New Roman"/>
          <w:noProof/>
          <w:sz w:val="20"/>
          <w:szCs w:val="20"/>
          <w:vertAlign w:val="subscript"/>
        </w:rPr>
        <w:t xml:space="preserve">2 </w:t>
      </w:r>
      <w:r w:rsidRPr="00115A91">
        <w:rPr>
          <w:rFonts w:ascii="Times New Roman" w:hAnsi="Times New Roman"/>
          <w:noProof/>
          <w:sz w:val="20"/>
          <w:szCs w:val="20"/>
        </w:rPr>
        <w:t xml:space="preserve">hydrates phase boundary. </w:t>
      </w:r>
      <w:r w:rsidRPr="00115A91">
        <w:rPr>
          <w:rFonts w:ascii="Times New Roman" w:hAnsi="Times New Roman"/>
          <w:i/>
          <w:iCs/>
          <w:noProof/>
          <w:sz w:val="20"/>
          <w:szCs w:val="20"/>
        </w:rPr>
        <w:t>Journal of Molecular Liquids</w:t>
      </w:r>
      <w:r w:rsidRPr="00115A91">
        <w:rPr>
          <w:rFonts w:ascii="Times New Roman" w:hAnsi="Times New Roman"/>
          <w:noProof/>
          <w:sz w:val="20"/>
          <w:szCs w:val="20"/>
        </w:rPr>
        <w:t xml:space="preserve">, </w:t>
      </w:r>
      <w:r w:rsidRPr="00115A91">
        <w:rPr>
          <w:rFonts w:ascii="Times New Roman" w:hAnsi="Times New Roman"/>
          <w:iCs/>
          <w:noProof/>
          <w:sz w:val="20"/>
          <w:szCs w:val="20"/>
        </w:rPr>
        <w:t>238</w:t>
      </w:r>
      <w:r w:rsidRPr="00115A91">
        <w:rPr>
          <w:rFonts w:ascii="Times New Roman" w:hAnsi="Times New Roman"/>
          <w:noProof/>
          <w:sz w:val="20"/>
          <w:szCs w:val="20"/>
        </w:rPr>
        <w:t xml:space="preserve">(7): 533-539.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Nam, N. D., Hien, P. Van, Hoai, N. T. and Thu, V. T. H. (2018). A study on the mixed corrosion inhibitor with a dominant cathodic inhibitor for mild steel in aqueous chloride solution. </w:t>
      </w:r>
      <w:r w:rsidRPr="00115A91">
        <w:rPr>
          <w:rFonts w:ascii="Times New Roman" w:hAnsi="Times New Roman"/>
          <w:i/>
          <w:iCs/>
          <w:noProof/>
          <w:sz w:val="20"/>
          <w:szCs w:val="20"/>
        </w:rPr>
        <w:t>Journal of the Taiwan Institute of Chemical Engineers</w:t>
      </w:r>
      <w:r w:rsidRPr="00115A91">
        <w:rPr>
          <w:rFonts w:ascii="Times New Roman" w:hAnsi="Times New Roman"/>
          <w:noProof/>
          <w:sz w:val="20"/>
          <w:szCs w:val="20"/>
        </w:rPr>
        <w:t xml:space="preserve">, </w:t>
      </w:r>
      <w:r w:rsidRPr="00115A91">
        <w:rPr>
          <w:rFonts w:ascii="Times New Roman" w:hAnsi="Times New Roman"/>
          <w:iCs/>
          <w:noProof/>
          <w:sz w:val="20"/>
          <w:szCs w:val="20"/>
        </w:rPr>
        <w:t>91</w:t>
      </w:r>
      <w:r w:rsidRPr="00115A91">
        <w:rPr>
          <w:rFonts w:ascii="Times New Roman" w:hAnsi="Times New Roman"/>
          <w:noProof/>
          <w:sz w:val="20"/>
          <w:szCs w:val="20"/>
        </w:rPr>
        <w:t xml:space="preserve">: 556-569.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Vu, N., Hien, P., Man, T., Hanh Thu, V., Tri, M. and Nam, N. (2017). A study on corrosion inhibitor for mild steel in ethanol fuel blend. </w:t>
      </w:r>
      <w:r w:rsidRPr="00115A91">
        <w:rPr>
          <w:rFonts w:ascii="Times New Roman" w:hAnsi="Times New Roman"/>
          <w:i/>
          <w:iCs/>
          <w:noProof/>
          <w:sz w:val="20"/>
          <w:szCs w:val="20"/>
        </w:rPr>
        <w:t>Materials</w:t>
      </w:r>
      <w:r w:rsidRPr="00115A91">
        <w:rPr>
          <w:rFonts w:ascii="Times New Roman" w:hAnsi="Times New Roman"/>
          <w:noProof/>
          <w:sz w:val="20"/>
          <w:szCs w:val="20"/>
        </w:rPr>
        <w:t xml:space="preserve">, </w:t>
      </w:r>
      <w:r w:rsidRPr="00115A91">
        <w:rPr>
          <w:rFonts w:ascii="Times New Roman" w:hAnsi="Times New Roman"/>
          <w:iCs/>
          <w:noProof/>
          <w:sz w:val="20"/>
          <w:szCs w:val="20"/>
        </w:rPr>
        <w:t>11</w:t>
      </w:r>
      <w:r w:rsidRPr="00115A91">
        <w:rPr>
          <w:rFonts w:ascii="Times New Roman" w:hAnsi="Times New Roman"/>
          <w:noProof/>
          <w:sz w:val="20"/>
          <w:szCs w:val="20"/>
        </w:rPr>
        <w:t xml:space="preserve">(1): 59.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Menendez, C. M., Jardine, J., Mok, W. Y., Ramachandran, S., Jovancicevic, V., &amp; Bhattacharya, A. (2014). New sour gas corrosion inhibitor compatible with kinetic hydrate inhibitor. </w:t>
      </w:r>
      <w:r w:rsidRPr="00115A91">
        <w:rPr>
          <w:rFonts w:ascii="Times New Roman" w:hAnsi="Times New Roman"/>
          <w:i/>
          <w:iCs/>
          <w:noProof/>
          <w:sz w:val="20"/>
          <w:szCs w:val="20"/>
        </w:rPr>
        <w:t>International Petroleum Technology Conference</w:t>
      </w:r>
      <w:r w:rsidRPr="00115A91">
        <w:rPr>
          <w:rFonts w:ascii="Times New Roman" w:hAnsi="Times New Roman"/>
          <w:noProof/>
          <w:sz w:val="20"/>
          <w:szCs w:val="20"/>
        </w:rPr>
        <w:t xml:space="preserve">, pp. 1-9.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Obanijesu, E. O., Gubner, R., Barifcani, A., Pareek, V. and Tade, M. O. (2014). The influence of corrosion inhibitors on hydrate formation temperature along the subsea natural gas pipelines. </w:t>
      </w:r>
      <w:r w:rsidRPr="00115A91">
        <w:rPr>
          <w:rFonts w:ascii="Times New Roman" w:hAnsi="Times New Roman"/>
          <w:i/>
          <w:iCs/>
          <w:noProof/>
          <w:sz w:val="20"/>
          <w:szCs w:val="20"/>
        </w:rPr>
        <w:t>Journal of Petroleum Science and Engineering</w:t>
      </w:r>
      <w:r w:rsidRPr="00115A91">
        <w:rPr>
          <w:rFonts w:ascii="Times New Roman" w:hAnsi="Times New Roman"/>
          <w:noProof/>
          <w:sz w:val="20"/>
          <w:szCs w:val="20"/>
        </w:rPr>
        <w:t xml:space="preserve">, </w:t>
      </w:r>
      <w:r w:rsidRPr="00115A91">
        <w:rPr>
          <w:rFonts w:ascii="Times New Roman" w:hAnsi="Times New Roman"/>
          <w:iCs/>
          <w:noProof/>
          <w:sz w:val="20"/>
          <w:szCs w:val="20"/>
        </w:rPr>
        <w:t>120</w:t>
      </w:r>
      <w:r w:rsidRPr="00115A91">
        <w:rPr>
          <w:rFonts w:ascii="Times New Roman" w:hAnsi="Times New Roman"/>
          <w:noProof/>
          <w:sz w:val="20"/>
          <w:szCs w:val="20"/>
        </w:rPr>
        <w:t xml:space="preserve">: 239-252.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Sheng, Q., Silveira, K. C. Da, Tian, W., Fong, C., Maeda, N., Gubner, R. and Wood, C. D. (2017). Simultaneous hydrate and corrosion inhibition with modified poly(vinyl caprolactam) polymers. </w:t>
      </w:r>
      <w:r w:rsidRPr="00115A91">
        <w:rPr>
          <w:rFonts w:ascii="Times New Roman" w:hAnsi="Times New Roman"/>
          <w:i/>
          <w:iCs/>
          <w:noProof/>
          <w:sz w:val="20"/>
          <w:szCs w:val="20"/>
        </w:rPr>
        <w:t>Energy and Fuels</w:t>
      </w:r>
      <w:r w:rsidRPr="00115A91">
        <w:rPr>
          <w:rFonts w:ascii="Times New Roman" w:hAnsi="Times New Roman"/>
          <w:noProof/>
          <w:sz w:val="20"/>
          <w:szCs w:val="20"/>
        </w:rPr>
        <w:t xml:space="preserve">, </w:t>
      </w:r>
      <w:r w:rsidRPr="00115A91">
        <w:rPr>
          <w:rFonts w:ascii="Times New Roman" w:hAnsi="Times New Roman"/>
          <w:iCs/>
          <w:noProof/>
          <w:sz w:val="20"/>
          <w:szCs w:val="20"/>
        </w:rPr>
        <w:t>31</w:t>
      </w:r>
      <w:r w:rsidRPr="00115A91">
        <w:rPr>
          <w:rFonts w:ascii="Times New Roman" w:hAnsi="Times New Roman"/>
          <w:noProof/>
          <w:sz w:val="20"/>
          <w:szCs w:val="20"/>
        </w:rPr>
        <w:t xml:space="preserve">(7): 6724-6731.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Moloney, J. J., Mok, W. Y. and Gamble, C. G. (2009). Compatible corrosion and kinetic hydrate inhibitors for wet sour gas transmission lines. </w:t>
      </w:r>
      <w:r w:rsidRPr="00115A91">
        <w:rPr>
          <w:rFonts w:ascii="Times New Roman" w:hAnsi="Times New Roman"/>
          <w:i/>
          <w:iCs/>
          <w:noProof/>
          <w:sz w:val="20"/>
          <w:szCs w:val="20"/>
        </w:rPr>
        <w:t xml:space="preserve">NACE International: Corrosion </w:t>
      </w:r>
      <w:r w:rsidRPr="00115A91">
        <w:rPr>
          <w:rFonts w:ascii="Times New Roman" w:hAnsi="Times New Roman"/>
          <w:iCs/>
          <w:noProof/>
          <w:sz w:val="20"/>
          <w:szCs w:val="20"/>
        </w:rPr>
        <w:t>2009</w:t>
      </w:r>
      <w:r w:rsidRPr="00115A91">
        <w:rPr>
          <w:rFonts w:ascii="Times New Roman" w:hAnsi="Times New Roman"/>
          <w:noProof/>
          <w:sz w:val="20"/>
          <w:szCs w:val="20"/>
        </w:rPr>
        <w:t xml:space="preserve">: pp. 09350.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lastRenderedPageBreak/>
        <w:t xml:space="preserve">Schütze, M. (2002). Corrosion books: Handbook of corrosion engineering. By Pierre R. Roberge - Materials and Corrosion 4/2002. </w:t>
      </w:r>
      <w:r w:rsidRPr="00115A91">
        <w:rPr>
          <w:rFonts w:ascii="Times New Roman" w:hAnsi="Times New Roman"/>
          <w:i/>
          <w:iCs/>
          <w:noProof/>
          <w:sz w:val="20"/>
          <w:szCs w:val="20"/>
        </w:rPr>
        <w:t>Materials and Corrosion</w:t>
      </w:r>
      <w:r w:rsidRPr="00115A91">
        <w:rPr>
          <w:rFonts w:ascii="Times New Roman" w:hAnsi="Times New Roman"/>
          <w:noProof/>
          <w:sz w:val="20"/>
          <w:szCs w:val="20"/>
        </w:rPr>
        <w:t xml:space="preserve">, </w:t>
      </w:r>
      <w:r w:rsidRPr="00115A91">
        <w:rPr>
          <w:rFonts w:ascii="Times New Roman" w:hAnsi="Times New Roman"/>
          <w:iCs/>
          <w:noProof/>
          <w:sz w:val="20"/>
          <w:szCs w:val="20"/>
        </w:rPr>
        <w:t>53</w:t>
      </w:r>
      <w:r w:rsidRPr="00115A91">
        <w:rPr>
          <w:rFonts w:ascii="Times New Roman" w:hAnsi="Times New Roman"/>
          <w:noProof/>
          <w:sz w:val="20"/>
          <w:szCs w:val="20"/>
        </w:rPr>
        <w:t xml:space="preserve">(4): 284-284.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Dariva, G. C. and Galio, F. A. (2014). Corrosion inhibitors – principles, mechanisms and applications. In </w:t>
      </w:r>
      <w:r w:rsidRPr="00115A91">
        <w:rPr>
          <w:rFonts w:ascii="Times New Roman" w:hAnsi="Times New Roman"/>
          <w:i/>
          <w:iCs/>
          <w:noProof/>
          <w:sz w:val="20"/>
          <w:szCs w:val="20"/>
        </w:rPr>
        <w:t>Developments in Corrosion Protection</w:t>
      </w:r>
      <w:r w:rsidRPr="00115A91">
        <w:rPr>
          <w:rFonts w:ascii="Times New Roman" w:hAnsi="Times New Roman"/>
          <w:noProof/>
          <w:sz w:val="20"/>
          <w:szCs w:val="20"/>
        </w:rPr>
        <w:t xml:space="preserve">, 2014: pp. 365-379.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Macdonald, D. D., Lewis, M., McLafferty, J., Maya-Visuet, E. and Peek, R. (2018). Electromagnetic induction corrosion control technology (EICCT). </w:t>
      </w:r>
      <w:r w:rsidRPr="00115A91">
        <w:rPr>
          <w:rFonts w:ascii="Times New Roman" w:hAnsi="Times New Roman"/>
          <w:i/>
          <w:iCs/>
          <w:noProof/>
          <w:sz w:val="20"/>
          <w:szCs w:val="20"/>
        </w:rPr>
        <w:t>Materials and Corrosion</w:t>
      </w:r>
      <w:r w:rsidRPr="00115A91">
        <w:rPr>
          <w:rFonts w:ascii="Times New Roman" w:hAnsi="Times New Roman"/>
          <w:noProof/>
          <w:sz w:val="20"/>
          <w:szCs w:val="20"/>
        </w:rPr>
        <w:t xml:space="preserve">, </w:t>
      </w:r>
      <w:r w:rsidRPr="00115A91">
        <w:rPr>
          <w:rFonts w:ascii="Times New Roman" w:hAnsi="Times New Roman"/>
          <w:iCs/>
          <w:noProof/>
          <w:sz w:val="20"/>
          <w:szCs w:val="20"/>
        </w:rPr>
        <w:t>69</w:t>
      </w:r>
      <w:r w:rsidRPr="00115A91">
        <w:rPr>
          <w:rFonts w:ascii="Times New Roman" w:hAnsi="Times New Roman"/>
          <w:noProof/>
          <w:sz w:val="20"/>
          <w:szCs w:val="20"/>
        </w:rPr>
        <w:t xml:space="preserve">(4): 436-446.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Burgazli, C. R., Navarrete, R. C. and Mead, S. L. (2005). New dual purpose chemistry for gas hydrate and corrosion inhibition. </w:t>
      </w:r>
      <w:r w:rsidRPr="00115A91">
        <w:rPr>
          <w:rFonts w:ascii="Times New Roman" w:hAnsi="Times New Roman"/>
          <w:i/>
          <w:iCs/>
          <w:noProof/>
          <w:sz w:val="20"/>
          <w:szCs w:val="20"/>
        </w:rPr>
        <w:t>Journal of Canadian Petroleum Technology</w:t>
      </w:r>
      <w:r w:rsidRPr="00115A91">
        <w:rPr>
          <w:rFonts w:ascii="Times New Roman" w:hAnsi="Times New Roman"/>
          <w:noProof/>
          <w:sz w:val="20"/>
          <w:szCs w:val="20"/>
        </w:rPr>
        <w:t xml:space="preserve">, </w:t>
      </w:r>
      <w:r w:rsidRPr="00115A91">
        <w:rPr>
          <w:rFonts w:ascii="Times New Roman" w:hAnsi="Times New Roman"/>
          <w:iCs/>
          <w:noProof/>
          <w:sz w:val="20"/>
          <w:szCs w:val="20"/>
        </w:rPr>
        <w:t>44</w:t>
      </w:r>
      <w:r w:rsidRPr="00115A91">
        <w:rPr>
          <w:rFonts w:ascii="Times New Roman" w:hAnsi="Times New Roman"/>
          <w:noProof/>
          <w:sz w:val="20"/>
          <w:szCs w:val="20"/>
        </w:rPr>
        <w:t xml:space="preserve">(11): 47-50.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Leinweber, D. and Feustel, M. (2009). </w:t>
      </w:r>
      <w:r w:rsidRPr="00115A91">
        <w:rPr>
          <w:rFonts w:ascii="Times New Roman" w:hAnsi="Times New Roman"/>
          <w:iCs/>
          <w:noProof/>
          <w:sz w:val="20"/>
          <w:szCs w:val="20"/>
        </w:rPr>
        <w:t>Patent No. US007615102B2</w:t>
      </w:r>
      <w:r w:rsidRPr="00115A91">
        <w:rPr>
          <w:rFonts w:ascii="Times New Roman" w:hAnsi="Times New Roman"/>
          <w:noProof/>
          <w:sz w:val="20"/>
          <w:szCs w:val="20"/>
        </w:rPr>
        <w:t>. United States.</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Chapoy, A., Burgass, R. and Tohidi, B. (2014). Hydrate inhibition in propylene glycol and glycerol systems. In </w:t>
      </w:r>
      <w:r w:rsidRPr="00115A91">
        <w:rPr>
          <w:rFonts w:ascii="Times New Roman" w:hAnsi="Times New Roman"/>
          <w:iCs/>
          <w:noProof/>
          <w:sz w:val="20"/>
          <w:szCs w:val="20"/>
        </w:rPr>
        <w:t>8</w:t>
      </w:r>
      <w:r w:rsidRPr="00115A91">
        <w:rPr>
          <w:rFonts w:ascii="Times New Roman" w:hAnsi="Times New Roman"/>
          <w:iCs/>
          <w:noProof/>
          <w:sz w:val="20"/>
          <w:szCs w:val="20"/>
          <w:vertAlign w:val="superscript"/>
        </w:rPr>
        <w:t>th</w:t>
      </w:r>
      <w:r w:rsidRPr="00115A91">
        <w:rPr>
          <w:rFonts w:ascii="Times New Roman" w:hAnsi="Times New Roman"/>
          <w:iCs/>
          <w:noProof/>
          <w:sz w:val="20"/>
          <w:szCs w:val="20"/>
        </w:rPr>
        <w:t xml:space="preserve">  International Conference on Gas Hydrates</w:t>
      </w:r>
      <w:r w:rsidRPr="00115A91">
        <w:rPr>
          <w:rFonts w:ascii="Times New Roman" w:hAnsi="Times New Roman"/>
          <w:i/>
          <w:iCs/>
          <w:noProof/>
          <w:sz w:val="20"/>
          <w:szCs w:val="20"/>
        </w:rPr>
        <w:t xml:space="preserve">, </w:t>
      </w:r>
      <w:r w:rsidRPr="00115A91">
        <w:rPr>
          <w:rFonts w:ascii="Times New Roman" w:hAnsi="Times New Roman"/>
          <w:iCs/>
          <w:noProof/>
          <w:sz w:val="20"/>
          <w:szCs w:val="20"/>
        </w:rPr>
        <w:t>pp. 1-8</w:t>
      </w:r>
      <w:r w:rsidRPr="00115A91">
        <w:rPr>
          <w:rFonts w:ascii="Times New Roman" w:hAnsi="Times New Roman"/>
          <w:noProof/>
          <w:sz w:val="20"/>
          <w:szCs w:val="20"/>
        </w:rPr>
        <w:t>.</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Wu, H.-J. and Englezos, P. (2006). Inhibiting effect of triethylene glycol and glycerol on gas hydrate formation conditions. </w:t>
      </w:r>
      <w:r w:rsidRPr="00115A91">
        <w:rPr>
          <w:rFonts w:ascii="Times New Roman" w:hAnsi="Times New Roman"/>
          <w:i/>
          <w:iCs/>
          <w:noProof/>
          <w:sz w:val="20"/>
          <w:szCs w:val="20"/>
        </w:rPr>
        <w:t>Journal of Chemical &amp; Engineering Data</w:t>
      </w:r>
      <w:r w:rsidRPr="00115A91">
        <w:rPr>
          <w:rFonts w:ascii="Times New Roman" w:hAnsi="Times New Roman"/>
          <w:noProof/>
          <w:sz w:val="20"/>
          <w:szCs w:val="20"/>
        </w:rPr>
        <w:t xml:space="preserve">, </w:t>
      </w:r>
      <w:r w:rsidRPr="00115A91">
        <w:rPr>
          <w:rFonts w:ascii="Times New Roman" w:hAnsi="Times New Roman"/>
          <w:iCs/>
          <w:noProof/>
          <w:sz w:val="20"/>
          <w:szCs w:val="20"/>
        </w:rPr>
        <w:t>51</w:t>
      </w:r>
      <w:r w:rsidRPr="00115A91">
        <w:rPr>
          <w:rFonts w:ascii="Times New Roman" w:hAnsi="Times New Roman"/>
          <w:noProof/>
          <w:sz w:val="20"/>
          <w:szCs w:val="20"/>
        </w:rPr>
        <w:t xml:space="preserve">(5): 1811-1813.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Li, X.-S., Wu, H.-J. and Englezos, P. (2006). Prediction of gas hydrate formation conditions in the presence of methanol, glycerol, ethylene glycol, and triethylene glycol with the statistical associating fluid theory equation of state. </w:t>
      </w:r>
      <w:r w:rsidRPr="00115A91">
        <w:rPr>
          <w:rFonts w:ascii="Times New Roman" w:hAnsi="Times New Roman"/>
          <w:i/>
          <w:iCs/>
          <w:noProof/>
          <w:sz w:val="20"/>
          <w:szCs w:val="20"/>
        </w:rPr>
        <w:t>Industrial &amp; Engineering Chemistry Research</w:t>
      </w:r>
      <w:r w:rsidRPr="00115A91">
        <w:rPr>
          <w:rFonts w:ascii="Times New Roman" w:hAnsi="Times New Roman"/>
          <w:noProof/>
          <w:sz w:val="20"/>
          <w:szCs w:val="20"/>
        </w:rPr>
        <w:t xml:space="preserve">, </w:t>
      </w:r>
      <w:r w:rsidRPr="00115A91">
        <w:rPr>
          <w:rFonts w:ascii="Times New Roman" w:hAnsi="Times New Roman"/>
          <w:iCs/>
          <w:noProof/>
          <w:sz w:val="20"/>
          <w:szCs w:val="20"/>
        </w:rPr>
        <w:t>45</w:t>
      </w:r>
      <w:r w:rsidRPr="00115A91">
        <w:rPr>
          <w:rFonts w:ascii="Times New Roman" w:hAnsi="Times New Roman"/>
          <w:noProof/>
          <w:sz w:val="20"/>
          <w:szCs w:val="20"/>
        </w:rPr>
        <w:t xml:space="preserve">(6): 2131-2137.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Bavoh, C. B., Khan, M. S., Ting, V. J., Lal, B., Ofei, T. N., Ben-Awuah, J. and Shariff, A. B. M. (2018). The effect of acidic gases and thermodynamic inhibitors on the hydrates phase boundary of synthetic Malaysia natural gas. </w:t>
      </w:r>
      <w:r w:rsidRPr="00115A91">
        <w:rPr>
          <w:rFonts w:ascii="Times New Roman" w:hAnsi="Times New Roman"/>
          <w:i/>
          <w:iCs/>
          <w:noProof/>
          <w:sz w:val="20"/>
          <w:szCs w:val="20"/>
        </w:rPr>
        <w:t>IOP Conference Series: Materials Science and Engineering</w:t>
      </w:r>
      <w:r w:rsidRPr="00115A91">
        <w:rPr>
          <w:rFonts w:ascii="Times New Roman" w:hAnsi="Times New Roman"/>
          <w:noProof/>
          <w:sz w:val="20"/>
          <w:szCs w:val="20"/>
        </w:rPr>
        <w:t xml:space="preserve">, </w:t>
      </w:r>
      <w:r w:rsidRPr="00115A91">
        <w:rPr>
          <w:rFonts w:ascii="Times New Roman" w:hAnsi="Times New Roman"/>
          <w:iCs/>
          <w:noProof/>
          <w:sz w:val="20"/>
          <w:szCs w:val="20"/>
        </w:rPr>
        <w:t>458</w:t>
      </w:r>
      <w:r w:rsidRPr="00115A91">
        <w:rPr>
          <w:rFonts w:ascii="Times New Roman" w:hAnsi="Times New Roman"/>
          <w:noProof/>
          <w:sz w:val="20"/>
          <w:szCs w:val="20"/>
        </w:rPr>
        <w:t xml:space="preserve">(1): 012016.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Chi-Ucán, S. L., Castillo-Atoche, A., Castro Borges, P., Manzanilla-Cano, J. A., González-García, G., Patiño, R. and Díaz-Ballote, L. (2014). Inhibition effect of glycerol on the corrosion of copper in NaCl solutions at different pH values. </w:t>
      </w:r>
      <w:r w:rsidRPr="00115A91">
        <w:rPr>
          <w:rFonts w:ascii="Times New Roman" w:hAnsi="Times New Roman"/>
          <w:i/>
          <w:iCs/>
          <w:noProof/>
          <w:sz w:val="20"/>
          <w:szCs w:val="20"/>
        </w:rPr>
        <w:t>Journal of Chemistry</w:t>
      </w:r>
      <w:r w:rsidRPr="00115A91">
        <w:rPr>
          <w:rFonts w:ascii="Times New Roman" w:hAnsi="Times New Roman"/>
          <w:noProof/>
          <w:sz w:val="20"/>
          <w:szCs w:val="20"/>
        </w:rPr>
        <w:t xml:space="preserve">, </w:t>
      </w:r>
      <w:r w:rsidRPr="00115A91">
        <w:rPr>
          <w:rFonts w:ascii="Times New Roman" w:hAnsi="Times New Roman"/>
          <w:iCs/>
          <w:noProof/>
          <w:sz w:val="20"/>
          <w:szCs w:val="20"/>
        </w:rPr>
        <w:t>2014</w:t>
      </w:r>
      <w:r w:rsidRPr="00115A91">
        <w:rPr>
          <w:rFonts w:ascii="Times New Roman" w:hAnsi="Times New Roman"/>
          <w:noProof/>
          <w:sz w:val="20"/>
          <w:szCs w:val="20"/>
        </w:rPr>
        <w:t xml:space="preserve">: 1-10.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Zubaidi, I. Al, Ibrahim, H., Jones, R., Alzughaibi, M., Albayyadhi, M. and Darzi, F. (2016). Waste glycerol as new green inhibition for metal corrosion in acid medium. </w:t>
      </w:r>
      <w:r w:rsidRPr="00115A91">
        <w:rPr>
          <w:rFonts w:ascii="Times New Roman" w:hAnsi="Times New Roman"/>
          <w:i/>
          <w:iCs/>
          <w:noProof/>
          <w:sz w:val="20"/>
          <w:szCs w:val="20"/>
        </w:rPr>
        <w:t>Proceedings of the 3</w:t>
      </w:r>
      <w:r w:rsidRPr="00115A91">
        <w:rPr>
          <w:rFonts w:ascii="Times New Roman" w:hAnsi="Times New Roman"/>
          <w:i/>
          <w:iCs/>
          <w:noProof/>
          <w:sz w:val="20"/>
          <w:szCs w:val="20"/>
          <w:vertAlign w:val="superscript"/>
        </w:rPr>
        <w:t>rd</w:t>
      </w:r>
      <w:r w:rsidRPr="00115A91">
        <w:rPr>
          <w:rFonts w:ascii="Times New Roman" w:hAnsi="Times New Roman"/>
          <w:i/>
          <w:iCs/>
          <w:noProof/>
          <w:sz w:val="20"/>
          <w:szCs w:val="20"/>
        </w:rPr>
        <w:t xml:space="preserve"> International Conference of Fluid Flow, Heat and Mass Transfer</w:t>
      </w:r>
      <w:r w:rsidRPr="00115A91">
        <w:rPr>
          <w:rFonts w:ascii="Times New Roman" w:hAnsi="Times New Roman"/>
          <w:noProof/>
          <w:sz w:val="20"/>
          <w:szCs w:val="20"/>
        </w:rPr>
        <w:t xml:space="preserve">, (162): 1-8.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Corrales-Luna, M., Le Manh, T., Romero-Romo, M., Palomar-Pardavé, M. and Arce-Estrada, E. M. (2019). 1-Ethyl 3-methylimidazolium thiocyanate ionic liquid as corrosion inhibitor of API 5L X52 steel in H</w:t>
      </w:r>
      <w:r w:rsidRPr="00115A91">
        <w:rPr>
          <w:rFonts w:ascii="Times New Roman" w:hAnsi="Times New Roman"/>
          <w:noProof/>
          <w:sz w:val="20"/>
          <w:szCs w:val="20"/>
          <w:vertAlign w:val="subscript"/>
        </w:rPr>
        <w:t>2</w:t>
      </w:r>
      <w:r w:rsidRPr="00115A91">
        <w:rPr>
          <w:rFonts w:ascii="Times New Roman" w:hAnsi="Times New Roman"/>
          <w:noProof/>
          <w:sz w:val="20"/>
          <w:szCs w:val="20"/>
        </w:rPr>
        <w:t>SO</w:t>
      </w:r>
      <w:r w:rsidRPr="00115A91">
        <w:rPr>
          <w:rFonts w:ascii="Times New Roman" w:hAnsi="Times New Roman"/>
          <w:noProof/>
          <w:sz w:val="20"/>
          <w:szCs w:val="20"/>
          <w:vertAlign w:val="subscript"/>
        </w:rPr>
        <w:t>4</w:t>
      </w:r>
      <w:r w:rsidRPr="00115A91">
        <w:rPr>
          <w:rFonts w:ascii="Times New Roman" w:hAnsi="Times New Roman"/>
          <w:noProof/>
          <w:sz w:val="20"/>
          <w:szCs w:val="20"/>
        </w:rPr>
        <w:t xml:space="preserve"> and HCl media. </w:t>
      </w:r>
      <w:r w:rsidRPr="00115A91">
        <w:rPr>
          <w:rFonts w:ascii="Times New Roman" w:hAnsi="Times New Roman"/>
          <w:i/>
          <w:iCs/>
          <w:noProof/>
          <w:sz w:val="20"/>
          <w:szCs w:val="20"/>
        </w:rPr>
        <w:t xml:space="preserve">Corrosion Science, </w:t>
      </w:r>
      <w:r w:rsidRPr="00115A91">
        <w:rPr>
          <w:rFonts w:ascii="Times New Roman" w:hAnsi="Times New Roman"/>
          <w:iCs/>
          <w:noProof/>
          <w:sz w:val="20"/>
          <w:szCs w:val="20"/>
        </w:rPr>
        <w:t>2019: 85-99</w:t>
      </w:r>
      <w:r w:rsidRPr="00115A91">
        <w:rPr>
          <w:rFonts w:ascii="Times New Roman" w:hAnsi="Times New Roman"/>
          <w:noProof/>
          <w:sz w:val="20"/>
          <w:szCs w:val="20"/>
        </w:rPr>
        <w:t xml:space="preserve">.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Nashed, O., Koh, J. C. H. and Lal, B. (2016). Physical-chemical properties of aqueous TBAOH solution for gas hydrates promotion. </w:t>
      </w:r>
      <w:r w:rsidRPr="00115A91">
        <w:rPr>
          <w:rFonts w:ascii="Times New Roman" w:hAnsi="Times New Roman"/>
          <w:i/>
          <w:iCs/>
          <w:noProof/>
          <w:sz w:val="20"/>
          <w:szCs w:val="20"/>
        </w:rPr>
        <w:t>Procedia Engineering</w:t>
      </w:r>
      <w:r w:rsidRPr="00115A91">
        <w:rPr>
          <w:rFonts w:ascii="Times New Roman" w:hAnsi="Times New Roman"/>
          <w:noProof/>
          <w:sz w:val="20"/>
          <w:szCs w:val="20"/>
        </w:rPr>
        <w:t xml:space="preserve">, </w:t>
      </w:r>
      <w:r w:rsidRPr="00115A91">
        <w:rPr>
          <w:rFonts w:ascii="Times New Roman" w:hAnsi="Times New Roman"/>
          <w:iCs/>
          <w:noProof/>
          <w:sz w:val="20"/>
          <w:szCs w:val="20"/>
        </w:rPr>
        <w:t>148</w:t>
      </w:r>
      <w:r w:rsidRPr="00115A91">
        <w:rPr>
          <w:rFonts w:ascii="Times New Roman" w:hAnsi="Times New Roman"/>
          <w:noProof/>
          <w:sz w:val="20"/>
          <w:szCs w:val="20"/>
        </w:rPr>
        <w:t xml:space="preserve">: 1351-1356. </w:t>
      </w:r>
    </w:p>
    <w:p w:rsid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Bhattacharyya, L. and Rohrer, J. S. (Eds.). (2012). </w:t>
      </w:r>
      <w:r w:rsidRPr="00115A91">
        <w:rPr>
          <w:rFonts w:ascii="Times New Roman" w:hAnsi="Times New Roman"/>
          <w:iCs/>
          <w:noProof/>
          <w:sz w:val="20"/>
          <w:szCs w:val="20"/>
        </w:rPr>
        <w:t>Applications of ion chromatography for pharmaceutical and biological products</w:t>
      </w:r>
      <w:r w:rsidRPr="00115A91">
        <w:rPr>
          <w:rFonts w:ascii="Times New Roman" w:hAnsi="Times New Roman"/>
          <w:noProof/>
          <w:sz w:val="20"/>
          <w:szCs w:val="20"/>
        </w:rPr>
        <w:t>. John Wiley and Son Publisher.</w:t>
      </w:r>
    </w:p>
    <w:p w:rsidR="00B56CB2" w:rsidRPr="00115A91" w:rsidRDefault="00B56CB2" w:rsidP="00115A91">
      <w:pPr>
        <w:pStyle w:val="ListParagraph"/>
        <w:numPr>
          <w:ilvl w:val="0"/>
          <w:numId w:val="7"/>
        </w:numPr>
        <w:spacing w:after="0" w:line="240" w:lineRule="auto"/>
        <w:ind w:left="360"/>
        <w:jc w:val="both"/>
        <w:rPr>
          <w:rFonts w:ascii="Times New Roman" w:hAnsi="Times New Roman"/>
          <w:noProof/>
          <w:sz w:val="20"/>
          <w:szCs w:val="20"/>
        </w:rPr>
      </w:pPr>
      <w:r w:rsidRPr="00115A91">
        <w:rPr>
          <w:rFonts w:ascii="Times New Roman" w:hAnsi="Times New Roman"/>
          <w:noProof/>
          <w:sz w:val="20"/>
          <w:szCs w:val="20"/>
        </w:rPr>
        <w:t xml:space="preserve">Zhu, Y., Free, M. L., Woollam, R. and Durnie, W. (2017). A review of surfactants as corrosion inhibitors and associated modeling. </w:t>
      </w:r>
      <w:r w:rsidRPr="00115A91">
        <w:rPr>
          <w:rFonts w:ascii="Times New Roman" w:hAnsi="Times New Roman"/>
          <w:i/>
          <w:iCs/>
          <w:noProof/>
          <w:sz w:val="20"/>
          <w:szCs w:val="20"/>
        </w:rPr>
        <w:t>Progress in Materials Science</w:t>
      </w:r>
      <w:r w:rsidRPr="00115A91">
        <w:rPr>
          <w:rFonts w:ascii="Times New Roman" w:hAnsi="Times New Roman"/>
          <w:noProof/>
          <w:sz w:val="20"/>
          <w:szCs w:val="20"/>
        </w:rPr>
        <w:t xml:space="preserve">, </w:t>
      </w:r>
      <w:r w:rsidRPr="00115A91">
        <w:rPr>
          <w:rFonts w:ascii="Times New Roman" w:hAnsi="Times New Roman"/>
          <w:iCs/>
          <w:noProof/>
          <w:sz w:val="20"/>
          <w:szCs w:val="20"/>
        </w:rPr>
        <w:t>90</w:t>
      </w:r>
      <w:r w:rsidRPr="00115A91">
        <w:rPr>
          <w:rFonts w:ascii="Times New Roman" w:hAnsi="Times New Roman"/>
          <w:noProof/>
          <w:sz w:val="20"/>
          <w:szCs w:val="20"/>
        </w:rPr>
        <w:t xml:space="preserve">: 159-223. </w:t>
      </w:r>
    </w:p>
    <w:p w:rsidR="00A74A7E" w:rsidRPr="00115A91" w:rsidRDefault="00A74A7E" w:rsidP="00115A91">
      <w:pPr>
        <w:spacing w:after="0" w:line="240" w:lineRule="auto"/>
        <w:jc w:val="both"/>
        <w:rPr>
          <w:rFonts w:ascii="Times New Roman" w:hAnsi="Times New Roman"/>
          <w:noProof/>
          <w:sz w:val="20"/>
          <w:szCs w:val="20"/>
          <w:lang w:bidi="ar-SA"/>
        </w:rPr>
      </w:pPr>
    </w:p>
    <w:sectPr w:rsidR="00A74A7E" w:rsidRPr="00115A91" w:rsidSect="00427DE4">
      <w:headerReference w:type="even" r:id="rId17"/>
      <w:headerReference w:type="default" r:id="rId18"/>
      <w:footerReference w:type="even" r:id="rId19"/>
      <w:footerReference w:type="default" r:id="rId20"/>
      <w:pgSz w:w="12240" w:h="15840" w:code="1"/>
      <w:pgMar w:top="1800" w:right="1469" w:bottom="1699" w:left="1440" w:header="706" w:footer="706" w:gutter="0"/>
      <w:pgNumType w:start="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D2480" w:rsidRDefault="00C0756D">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C62CE">
          <w:rPr>
            <w:rFonts w:ascii="Times New Roman" w:hAnsi="Times New Roman"/>
            <w:noProof/>
          </w:rPr>
          <w:t>68</w:t>
        </w:r>
        <w:r w:rsidRPr="00C0756D">
          <w:rPr>
            <w:rFonts w:ascii="Times New Roman" w:hAnsi="Times New Roman"/>
            <w:noProof/>
          </w:rPr>
          <w:fldChar w:fldCharType="end"/>
        </w:r>
      </w:p>
      <w:p w:rsidR="00C0756D" w:rsidRPr="00C0756D" w:rsidRDefault="002C62CE">
        <w:pPr>
          <w:pStyle w:val="Footer"/>
          <w:jc w:val="right"/>
          <w:rPr>
            <w:rFonts w:ascii="Times New Roman" w:hAnsi="Times New Roman"/>
          </w:rPr>
        </w:pP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D2480" w:rsidRDefault="00C0756D">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C62CE">
          <w:rPr>
            <w:rFonts w:ascii="Times New Roman" w:hAnsi="Times New Roman"/>
            <w:noProof/>
          </w:rPr>
          <w:t>69</w:t>
        </w:r>
        <w:r w:rsidRPr="00C0756D">
          <w:rPr>
            <w:rFonts w:ascii="Times New Roman" w:hAnsi="Times New Roman"/>
            <w:noProof/>
          </w:rPr>
          <w:fldChar w:fldCharType="end"/>
        </w:r>
      </w:p>
      <w:p w:rsidR="00C0756D" w:rsidRPr="00C0756D" w:rsidRDefault="002C62CE">
        <w:pPr>
          <w:pStyle w:val="Footer"/>
          <w:rPr>
            <w:rFonts w:ascii="Times New Roman" w:hAnsi="Times New Roman"/>
          </w:rPr>
        </w:pP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8F2DC2">
      <w:rPr>
        <w:rFonts w:ascii="Times New Roman" w:hAnsi="Times New Roman"/>
        <w:i/>
        <w:lang w:val="en-US"/>
      </w:rPr>
      <w:t>No 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427DE4">
      <w:rPr>
        <w:rFonts w:ascii="Times New Roman" w:hAnsi="Times New Roman"/>
        <w:i/>
        <w:lang w:val="en-US"/>
      </w:rPr>
      <w:t>62</w:t>
    </w:r>
    <w:r w:rsidR="004B43FF">
      <w:rPr>
        <w:rFonts w:ascii="Times New Roman" w:hAnsi="Times New Roman"/>
        <w:i/>
        <w:lang w:val="en-US"/>
      </w:rPr>
      <w:t xml:space="preserve"> </w:t>
    </w:r>
    <w:r w:rsidR="00583C85">
      <w:rPr>
        <w:rFonts w:ascii="Times New Roman" w:hAnsi="Times New Roman"/>
        <w:i/>
        <w:lang w:val="en-US"/>
      </w:rPr>
      <w:t>-</w:t>
    </w:r>
    <w:r w:rsidR="00167845">
      <w:rPr>
        <w:rFonts w:ascii="Times New Roman" w:hAnsi="Times New Roman"/>
        <w:i/>
        <w:lang w:val="en-US"/>
      </w:rPr>
      <w:t xml:space="preserve"> </w:t>
    </w:r>
    <w:r w:rsidR="00427DE4">
      <w:rPr>
        <w:rFonts w:ascii="Times New Roman" w:hAnsi="Times New Roman"/>
        <w:i/>
        <w:lang w:val="en-US"/>
      </w:rPr>
      <w:t>69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766" w:rsidRPr="00311766" w:rsidRDefault="00311766" w:rsidP="00311766">
    <w:pPr>
      <w:spacing w:after="0" w:line="240" w:lineRule="auto"/>
      <w:ind w:left="1440" w:hanging="1440"/>
      <w:outlineLvl w:val="0"/>
      <w:rPr>
        <w:rFonts w:ascii="Times New Roman" w:hAnsi="Times New Roman"/>
        <w:b/>
        <w:sz w:val="20"/>
        <w:szCs w:val="20"/>
      </w:rPr>
    </w:pPr>
    <w:r>
      <w:rPr>
        <w:rFonts w:ascii="Times New Roman" w:hAnsi="Times New Roman"/>
        <w:sz w:val="20"/>
        <w:szCs w:val="20"/>
      </w:rPr>
      <w:t>Sivabalan et al</w:t>
    </w:r>
    <w:r w:rsidR="008E6968" w:rsidRPr="00311766">
      <w:rPr>
        <w:rFonts w:ascii="Times New Roman" w:hAnsi="Times New Roman"/>
        <w:sz w:val="20"/>
        <w:szCs w:val="20"/>
      </w:rPr>
      <w:t xml:space="preserve">:  </w:t>
    </w:r>
    <w:r w:rsidR="002752F0" w:rsidRPr="00311766">
      <w:rPr>
        <w:rFonts w:ascii="Times New Roman" w:hAnsi="Times New Roman"/>
        <w:sz w:val="20"/>
        <w:szCs w:val="20"/>
      </w:rPr>
      <w:t xml:space="preserve"> </w:t>
    </w:r>
    <w:r w:rsidRPr="00311766">
      <w:rPr>
        <w:rFonts w:ascii="Times New Roman" w:hAnsi="Times New Roman"/>
        <w:sz w:val="20"/>
        <w:szCs w:val="20"/>
      </w:rPr>
      <w:t xml:space="preserve"> </w:t>
    </w:r>
    <w:r>
      <w:rPr>
        <w:rFonts w:ascii="Times New Roman" w:hAnsi="Times New Roman"/>
        <w:sz w:val="20"/>
        <w:szCs w:val="20"/>
      </w:rPr>
      <w:tab/>
    </w:r>
    <w:r w:rsidRPr="00311766">
      <w:rPr>
        <w:rFonts w:ascii="Times New Roman" w:hAnsi="Times New Roman"/>
        <w:sz w:val="20"/>
        <w:szCs w:val="20"/>
      </w:rPr>
      <w:t>CORROSION INHIBITION STUDY ON GLYCEROL AS SIMULTANEOUS GAS HYDRATE AND CORROSION INHIBITOR IN GAS PIPELINES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B3D"/>
    <w:multiLevelType w:val="hybridMultilevel"/>
    <w:tmpl w:val="B2F045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5497496"/>
    <w:multiLevelType w:val="hybridMultilevel"/>
    <w:tmpl w:val="C19ACA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A76286D"/>
    <w:multiLevelType w:val="hybridMultilevel"/>
    <w:tmpl w:val="499A2030"/>
    <w:lvl w:ilvl="0" w:tplc="D53C1F3A">
      <w:start w:val="1"/>
      <w:numFmt w:val="lowerLetter"/>
      <w:lvlText w:val="(%1)"/>
      <w:lvlJc w:val="left"/>
      <w:pPr>
        <w:ind w:left="6315" w:hanging="3855"/>
      </w:pPr>
      <w:rPr>
        <w:rFonts w:hint="default"/>
      </w:rPr>
    </w:lvl>
    <w:lvl w:ilvl="1" w:tplc="44090019" w:tentative="1">
      <w:start w:val="1"/>
      <w:numFmt w:val="lowerLetter"/>
      <w:lvlText w:val="%2."/>
      <w:lvlJc w:val="left"/>
      <w:pPr>
        <w:ind w:left="3540" w:hanging="360"/>
      </w:pPr>
    </w:lvl>
    <w:lvl w:ilvl="2" w:tplc="4409001B" w:tentative="1">
      <w:start w:val="1"/>
      <w:numFmt w:val="lowerRoman"/>
      <w:lvlText w:val="%3."/>
      <w:lvlJc w:val="right"/>
      <w:pPr>
        <w:ind w:left="4260" w:hanging="180"/>
      </w:pPr>
    </w:lvl>
    <w:lvl w:ilvl="3" w:tplc="4409000F" w:tentative="1">
      <w:start w:val="1"/>
      <w:numFmt w:val="decimal"/>
      <w:lvlText w:val="%4."/>
      <w:lvlJc w:val="left"/>
      <w:pPr>
        <w:ind w:left="4980" w:hanging="360"/>
      </w:pPr>
    </w:lvl>
    <w:lvl w:ilvl="4" w:tplc="44090019" w:tentative="1">
      <w:start w:val="1"/>
      <w:numFmt w:val="lowerLetter"/>
      <w:lvlText w:val="%5."/>
      <w:lvlJc w:val="left"/>
      <w:pPr>
        <w:ind w:left="5700" w:hanging="360"/>
      </w:pPr>
    </w:lvl>
    <w:lvl w:ilvl="5" w:tplc="4409001B" w:tentative="1">
      <w:start w:val="1"/>
      <w:numFmt w:val="lowerRoman"/>
      <w:lvlText w:val="%6."/>
      <w:lvlJc w:val="right"/>
      <w:pPr>
        <w:ind w:left="6420" w:hanging="180"/>
      </w:pPr>
    </w:lvl>
    <w:lvl w:ilvl="6" w:tplc="4409000F" w:tentative="1">
      <w:start w:val="1"/>
      <w:numFmt w:val="decimal"/>
      <w:lvlText w:val="%7."/>
      <w:lvlJc w:val="left"/>
      <w:pPr>
        <w:ind w:left="7140" w:hanging="360"/>
      </w:pPr>
    </w:lvl>
    <w:lvl w:ilvl="7" w:tplc="44090019" w:tentative="1">
      <w:start w:val="1"/>
      <w:numFmt w:val="lowerLetter"/>
      <w:lvlText w:val="%8."/>
      <w:lvlJc w:val="left"/>
      <w:pPr>
        <w:ind w:left="7860" w:hanging="360"/>
      </w:pPr>
    </w:lvl>
    <w:lvl w:ilvl="8" w:tplc="4409001B" w:tentative="1">
      <w:start w:val="1"/>
      <w:numFmt w:val="lowerRoman"/>
      <w:lvlText w:val="%9."/>
      <w:lvlJc w:val="right"/>
      <w:pPr>
        <w:ind w:left="8580" w:hanging="180"/>
      </w:pPr>
    </w:lvl>
  </w:abstractNum>
  <w:abstractNum w:abstractNumId="3">
    <w:nsid w:val="2FEB79BD"/>
    <w:multiLevelType w:val="hybridMultilevel"/>
    <w:tmpl w:val="20F852CC"/>
    <w:lvl w:ilvl="0" w:tplc="92D6B214">
      <w:start w:val="1"/>
      <w:numFmt w:val="lowerLetter"/>
      <w:lvlText w:val="(%1)"/>
      <w:lvlJc w:val="left"/>
      <w:pPr>
        <w:ind w:left="3600" w:hanging="1140"/>
      </w:pPr>
      <w:rPr>
        <w:rFonts w:hint="default"/>
      </w:rPr>
    </w:lvl>
    <w:lvl w:ilvl="1" w:tplc="44090019" w:tentative="1">
      <w:start w:val="1"/>
      <w:numFmt w:val="lowerLetter"/>
      <w:lvlText w:val="%2."/>
      <w:lvlJc w:val="left"/>
      <w:pPr>
        <w:ind w:left="3540" w:hanging="360"/>
      </w:pPr>
    </w:lvl>
    <w:lvl w:ilvl="2" w:tplc="4409001B" w:tentative="1">
      <w:start w:val="1"/>
      <w:numFmt w:val="lowerRoman"/>
      <w:lvlText w:val="%3."/>
      <w:lvlJc w:val="right"/>
      <w:pPr>
        <w:ind w:left="4260" w:hanging="180"/>
      </w:pPr>
    </w:lvl>
    <w:lvl w:ilvl="3" w:tplc="4409000F" w:tentative="1">
      <w:start w:val="1"/>
      <w:numFmt w:val="decimal"/>
      <w:lvlText w:val="%4."/>
      <w:lvlJc w:val="left"/>
      <w:pPr>
        <w:ind w:left="4980" w:hanging="360"/>
      </w:pPr>
    </w:lvl>
    <w:lvl w:ilvl="4" w:tplc="44090019" w:tentative="1">
      <w:start w:val="1"/>
      <w:numFmt w:val="lowerLetter"/>
      <w:lvlText w:val="%5."/>
      <w:lvlJc w:val="left"/>
      <w:pPr>
        <w:ind w:left="5700" w:hanging="360"/>
      </w:pPr>
    </w:lvl>
    <w:lvl w:ilvl="5" w:tplc="4409001B" w:tentative="1">
      <w:start w:val="1"/>
      <w:numFmt w:val="lowerRoman"/>
      <w:lvlText w:val="%6."/>
      <w:lvlJc w:val="right"/>
      <w:pPr>
        <w:ind w:left="6420" w:hanging="180"/>
      </w:pPr>
    </w:lvl>
    <w:lvl w:ilvl="6" w:tplc="4409000F" w:tentative="1">
      <w:start w:val="1"/>
      <w:numFmt w:val="decimal"/>
      <w:lvlText w:val="%7."/>
      <w:lvlJc w:val="left"/>
      <w:pPr>
        <w:ind w:left="7140" w:hanging="360"/>
      </w:pPr>
    </w:lvl>
    <w:lvl w:ilvl="7" w:tplc="44090019" w:tentative="1">
      <w:start w:val="1"/>
      <w:numFmt w:val="lowerLetter"/>
      <w:lvlText w:val="%8."/>
      <w:lvlJc w:val="left"/>
      <w:pPr>
        <w:ind w:left="7860" w:hanging="360"/>
      </w:pPr>
    </w:lvl>
    <w:lvl w:ilvl="8" w:tplc="4409001B" w:tentative="1">
      <w:start w:val="1"/>
      <w:numFmt w:val="lowerRoman"/>
      <w:lvlText w:val="%9."/>
      <w:lvlJc w:val="right"/>
      <w:pPr>
        <w:ind w:left="8580" w:hanging="180"/>
      </w:pPr>
    </w:lvl>
  </w:abstractNum>
  <w:abstractNum w:abstractNumId="4">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6ED038A"/>
    <w:multiLevelType w:val="hybridMultilevel"/>
    <w:tmpl w:val="F5FEC0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D04A6"/>
    <w:rsid w:val="000E5AF1"/>
    <w:rsid w:val="000F77DA"/>
    <w:rsid w:val="001068E8"/>
    <w:rsid w:val="00115A91"/>
    <w:rsid w:val="00117BCD"/>
    <w:rsid w:val="00135E14"/>
    <w:rsid w:val="00167845"/>
    <w:rsid w:val="00172D3A"/>
    <w:rsid w:val="00195966"/>
    <w:rsid w:val="001D035A"/>
    <w:rsid w:val="001D3855"/>
    <w:rsid w:val="001D6F2C"/>
    <w:rsid w:val="001F0F2F"/>
    <w:rsid w:val="001F72B9"/>
    <w:rsid w:val="00221D39"/>
    <w:rsid w:val="002752F0"/>
    <w:rsid w:val="002B188F"/>
    <w:rsid w:val="002B3BD8"/>
    <w:rsid w:val="002C62CE"/>
    <w:rsid w:val="002F3F91"/>
    <w:rsid w:val="00304767"/>
    <w:rsid w:val="00304B34"/>
    <w:rsid w:val="00311766"/>
    <w:rsid w:val="00312C0E"/>
    <w:rsid w:val="00361BAF"/>
    <w:rsid w:val="00367D1F"/>
    <w:rsid w:val="00373A9B"/>
    <w:rsid w:val="0038323C"/>
    <w:rsid w:val="00383F26"/>
    <w:rsid w:val="0039005B"/>
    <w:rsid w:val="003B0AC0"/>
    <w:rsid w:val="003D1D1E"/>
    <w:rsid w:val="003D585B"/>
    <w:rsid w:val="003E7DA6"/>
    <w:rsid w:val="003F12FF"/>
    <w:rsid w:val="003F247A"/>
    <w:rsid w:val="00427DE4"/>
    <w:rsid w:val="004760D4"/>
    <w:rsid w:val="00487798"/>
    <w:rsid w:val="00494C46"/>
    <w:rsid w:val="004B43FF"/>
    <w:rsid w:val="00502641"/>
    <w:rsid w:val="00534441"/>
    <w:rsid w:val="00545363"/>
    <w:rsid w:val="00583C85"/>
    <w:rsid w:val="00584156"/>
    <w:rsid w:val="005C6768"/>
    <w:rsid w:val="005C7D9F"/>
    <w:rsid w:val="005F64DE"/>
    <w:rsid w:val="00624C7C"/>
    <w:rsid w:val="00634C25"/>
    <w:rsid w:val="006416AB"/>
    <w:rsid w:val="00672075"/>
    <w:rsid w:val="006768E9"/>
    <w:rsid w:val="00687982"/>
    <w:rsid w:val="00695D0E"/>
    <w:rsid w:val="006A3A0F"/>
    <w:rsid w:val="006B3EC8"/>
    <w:rsid w:val="006D695E"/>
    <w:rsid w:val="00725A6A"/>
    <w:rsid w:val="00730CB3"/>
    <w:rsid w:val="007703FE"/>
    <w:rsid w:val="007859BE"/>
    <w:rsid w:val="007943F3"/>
    <w:rsid w:val="007A738C"/>
    <w:rsid w:val="007B1349"/>
    <w:rsid w:val="007E25BD"/>
    <w:rsid w:val="007F4ECC"/>
    <w:rsid w:val="00801E18"/>
    <w:rsid w:val="00802C35"/>
    <w:rsid w:val="0082181A"/>
    <w:rsid w:val="008239F4"/>
    <w:rsid w:val="008A3BF4"/>
    <w:rsid w:val="008B470E"/>
    <w:rsid w:val="008C14D6"/>
    <w:rsid w:val="008E1211"/>
    <w:rsid w:val="008E1C91"/>
    <w:rsid w:val="008E471C"/>
    <w:rsid w:val="008E5BBF"/>
    <w:rsid w:val="008E6968"/>
    <w:rsid w:val="008F2DC2"/>
    <w:rsid w:val="008F7539"/>
    <w:rsid w:val="00921BC9"/>
    <w:rsid w:val="009C632E"/>
    <w:rsid w:val="00A14DB9"/>
    <w:rsid w:val="00A4762A"/>
    <w:rsid w:val="00A74A7E"/>
    <w:rsid w:val="00A87399"/>
    <w:rsid w:val="00AB4251"/>
    <w:rsid w:val="00AD1B8A"/>
    <w:rsid w:val="00AD76AF"/>
    <w:rsid w:val="00AE713F"/>
    <w:rsid w:val="00B1121C"/>
    <w:rsid w:val="00B25B65"/>
    <w:rsid w:val="00B2770A"/>
    <w:rsid w:val="00B314AD"/>
    <w:rsid w:val="00B36193"/>
    <w:rsid w:val="00B56CB2"/>
    <w:rsid w:val="00B67094"/>
    <w:rsid w:val="00B7255A"/>
    <w:rsid w:val="00B75BF6"/>
    <w:rsid w:val="00BA1F7B"/>
    <w:rsid w:val="00BB58AF"/>
    <w:rsid w:val="00BD2480"/>
    <w:rsid w:val="00BE2D36"/>
    <w:rsid w:val="00BE7C30"/>
    <w:rsid w:val="00C055BF"/>
    <w:rsid w:val="00C0756D"/>
    <w:rsid w:val="00C2226A"/>
    <w:rsid w:val="00C80273"/>
    <w:rsid w:val="00C943DD"/>
    <w:rsid w:val="00C94D92"/>
    <w:rsid w:val="00C97340"/>
    <w:rsid w:val="00CA513F"/>
    <w:rsid w:val="00CD41CA"/>
    <w:rsid w:val="00CF05FF"/>
    <w:rsid w:val="00CF4D77"/>
    <w:rsid w:val="00D27530"/>
    <w:rsid w:val="00D340BB"/>
    <w:rsid w:val="00D505D5"/>
    <w:rsid w:val="00D63C28"/>
    <w:rsid w:val="00D75B35"/>
    <w:rsid w:val="00D76E09"/>
    <w:rsid w:val="00D9736F"/>
    <w:rsid w:val="00D9792A"/>
    <w:rsid w:val="00DD377F"/>
    <w:rsid w:val="00E229C4"/>
    <w:rsid w:val="00E25547"/>
    <w:rsid w:val="00E2773B"/>
    <w:rsid w:val="00E3287E"/>
    <w:rsid w:val="00E511FD"/>
    <w:rsid w:val="00E56577"/>
    <w:rsid w:val="00E66197"/>
    <w:rsid w:val="00EB5BA5"/>
    <w:rsid w:val="00EC1934"/>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195966"/>
    <w:rPr>
      <w:rFonts w:ascii="Calibri" w:eastAsia="SimSun" w:hAnsi="Calibri" w:cs="Arial"/>
      <w:color w:val="000000"/>
      <w:kern w:val="2"/>
      <w:lang w:val="en-MY" w:eastAsia="ko-KR" w:bidi="ta-I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195966"/>
    <w:rPr>
      <w:color w:val="0000FF"/>
      <w:u w:val="single"/>
    </w:rPr>
  </w:style>
  <w:style w:type="paragraph" w:styleId="HTMLPreformatted">
    <w:name w:val="HTML Preformatted"/>
    <w:basedOn w:val="Normal"/>
    <w:link w:val="HTMLPreformattedChar"/>
    <w:uiPriority w:val="99"/>
    <w:semiHidden/>
    <w:unhideWhenUsed/>
    <w:rsid w:val="0019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ta-IN"/>
    </w:rPr>
  </w:style>
  <w:style w:type="character" w:customStyle="1" w:styleId="HTMLPreformattedChar">
    <w:name w:val="HTML Preformatted Char"/>
    <w:basedOn w:val="DefaultParagraphFont"/>
    <w:link w:val="HTMLPreformatted"/>
    <w:uiPriority w:val="99"/>
    <w:semiHidden/>
    <w:rsid w:val="00195966"/>
    <w:rPr>
      <w:rFonts w:ascii="Courier New" w:eastAsia="Times New Roman" w:hAnsi="Courier New" w:cs="Courier New"/>
      <w:lang w:val="en-MY" w:eastAsia="en-MY" w:bidi="ta-IN"/>
    </w:rPr>
  </w:style>
  <w:style w:type="character" w:customStyle="1" w:styleId="fontstyle01">
    <w:name w:val="fontstyle01"/>
    <w:rsid w:val="00195966"/>
    <w:rPr>
      <w:rFonts w:ascii="TimesNewRomanPSMT" w:hAnsi="TimesNewRomanPSMT" w:hint="default"/>
      <w:b w:val="0"/>
      <w:bCs w:val="0"/>
      <w:i w:val="0"/>
      <w:iCs w:val="0"/>
      <w:color w:val="000000"/>
      <w:sz w:val="24"/>
      <w:szCs w:val="24"/>
    </w:rPr>
  </w:style>
  <w:style w:type="paragraph" w:styleId="BodyText">
    <w:name w:val="Body Text"/>
    <w:basedOn w:val="Normal"/>
    <w:link w:val="BodyTextChar"/>
    <w:rsid w:val="00195966"/>
    <w:pPr>
      <w:tabs>
        <w:tab w:val="left" w:pos="540"/>
        <w:tab w:val="left" w:pos="1260"/>
        <w:tab w:val="left" w:pos="1440"/>
      </w:tabs>
      <w:spacing w:after="0" w:line="240" w:lineRule="auto"/>
    </w:pPr>
    <w:rPr>
      <w:rFonts w:ascii="Times New Roman" w:hAnsi="Times New Roman"/>
      <w:sz w:val="24"/>
      <w:szCs w:val="20"/>
      <w:lang w:val="en-GB" w:eastAsia="x-none" w:bidi="ar-SA"/>
    </w:rPr>
  </w:style>
  <w:style w:type="character" w:customStyle="1" w:styleId="BodyTextChar">
    <w:name w:val="Body Text Char"/>
    <w:basedOn w:val="DefaultParagraphFont"/>
    <w:link w:val="BodyText"/>
    <w:rsid w:val="00195966"/>
    <w:rPr>
      <w:rFonts w:ascii="Times New Roman" w:eastAsia="Times New Roman" w:hAnsi="Times New Roman"/>
      <w:sz w:val="24"/>
      <w:lang w:val="en-GB" w:eastAsia="x-none"/>
    </w:rPr>
  </w:style>
  <w:style w:type="table" w:styleId="TableGrid">
    <w:name w:val="Table Grid"/>
    <w:basedOn w:val="TableNormal"/>
    <w:uiPriority w:val="39"/>
    <w:rsid w:val="00195966"/>
    <w:rPr>
      <w:rFonts w:ascii="Calibri" w:hAnsi="Calibri" w:cs="Arial"/>
      <w:lang w:val="en-MY" w:eastAsia="en-MY" w:bidi="ta-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eNormal"/>
    <w:uiPriority w:val="45"/>
    <w:rsid w:val="00195966"/>
    <w:rPr>
      <w:rFonts w:ascii="Calibri" w:hAnsi="Calibri" w:cs="Arial"/>
      <w:lang w:val="en-MY" w:eastAsia="en-MY" w:bidi="ta-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195966"/>
    <w:rPr>
      <w:rFonts w:ascii="Calibri" w:hAnsi="Calibri" w:cs="Arial"/>
      <w:lang w:val="en-MY" w:eastAsia="en-MY" w:bidi="ta-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1959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195966"/>
    <w:rPr>
      <w:rFonts w:ascii="Calibri" w:eastAsia="SimSun" w:hAnsi="Calibri" w:cs="Arial"/>
      <w:color w:val="000000"/>
      <w:kern w:val="2"/>
      <w:lang w:val="en-MY" w:eastAsia="ko-KR" w:bidi="ta-I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195966"/>
    <w:rPr>
      <w:color w:val="0000FF"/>
      <w:u w:val="single"/>
    </w:rPr>
  </w:style>
  <w:style w:type="paragraph" w:styleId="HTMLPreformatted">
    <w:name w:val="HTML Preformatted"/>
    <w:basedOn w:val="Normal"/>
    <w:link w:val="HTMLPreformattedChar"/>
    <w:uiPriority w:val="99"/>
    <w:semiHidden/>
    <w:unhideWhenUsed/>
    <w:rsid w:val="0019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ta-IN"/>
    </w:rPr>
  </w:style>
  <w:style w:type="character" w:customStyle="1" w:styleId="HTMLPreformattedChar">
    <w:name w:val="HTML Preformatted Char"/>
    <w:basedOn w:val="DefaultParagraphFont"/>
    <w:link w:val="HTMLPreformatted"/>
    <w:uiPriority w:val="99"/>
    <w:semiHidden/>
    <w:rsid w:val="00195966"/>
    <w:rPr>
      <w:rFonts w:ascii="Courier New" w:eastAsia="Times New Roman" w:hAnsi="Courier New" w:cs="Courier New"/>
      <w:lang w:val="en-MY" w:eastAsia="en-MY" w:bidi="ta-IN"/>
    </w:rPr>
  </w:style>
  <w:style w:type="character" w:customStyle="1" w:styleId="fontstyle01">
    <w:name w:val="fontstyle01"/>
    <w:rsid w:val="00195966"/>
    <w:rPr>
      <w:rFonts w:ascii="TimesNewRomanPSMT" w:hAnsi="TimesNewRomanPSMT" w:hint="default"/>
      <w:b w:val="0"/>
      <w:bCs w:val="0"/>
      <w:i w:val="0"/>
      <w:iCs w:val="0"/>
      <w:color w:val="000000"/>
      <w:sz w:val="24"/>
      <w:szCs w:val="24"/>
    </w:rPr>
  </w:style>
  <w:style w:type="paragraph" w:styleId="BodyText">
    <w:name w:val="Body Text"/>
    <w:basedOn w:val="Normal"/>
    <w:link w:val="BodyTextChar"/>
    <w:rsid w:val="00195966"/>
    <w:pPr>
      <w:tabs>
        <w:tab w:val="left" w:pos="540"/>
        <w:tab w:val="left" w:pos="1260"/>
        <w:tab w:val="left" w:pos="1440"/>
      </w:tabs>
      <w:spacing w:after="0" w:line="240" w:lineRule="auto"/>
    </w:pPr>
    <w:rPr>
      <w:rFonts w:ascii="Times New Roman" w:hAnsi="Times New Roman"/>
      <w:sz w:val="24"/>
      <w:szCs w:val="20"/>
      <w:lang w:val="en-GB" w:eastAsia="x-none" w:bidi="ar-SA"/>
    </w:rPr>
  </w:style>
  <w:style w:type="character" w:customStyle="1" w:styleId="BodyTextChar">
    <w:name w:val="Body Text Char"/>
    <w:basedOn w:val="DefaultParagraphFont"/>
    <w:link w:val="BodyText"/>
    <w:rsid w:val="00195966"/>
    <w:rPr>
      <w:rFonts w:ascii="Times New Roman" w:eastAsia="Times New Roman" w:hAnsi="Times New Roman"/>
      <w:sz w:val="24"/>
      <w:lang w:val="en-GB" w:eastAsia="x-none"/>
    </w:rPr>
  </w:style>
  <w:style w:type="table" w:styleId="TableGrid">
    <w:name w:val="Table Grid"/>
    <w:basedOn w:val="TableNormal"/>
    <w:uiPriority w:val="39"/>
    <w:rsid w:val="00195966"/>
    <w:rPr>
      <w:rFonts w:ascii="Calibri" w:hAnsi="Calibri" w:cs="Arial"/>
      <w:lang w:val="en-MY" w:eastAsia="en-MY" w:bidi="ta-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eNormal"/>
    <w:uiPriority w:val="45"/>
    <w:rsid w:val="00195966"/>
    <w:rPr>
      <w:rFonts w:ascii="Calibri" w:hAnsi="Calibri" w:cs="Arial"/>
      <w:lang w:val="en-MY" w:eastAsia="en-MY" w:bidi="ta-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195966"/>
    <w:rPr>
      <w:rFonts w:ascii="Calibri" w:hAnsi="Calibri" w:cs="Arial"/>
      <w:lang w:val="en-MY" w:eastAsia="en-MY" w:bidi="ta-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19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Documents%20de%20stage\Walid-Experiment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cer\Downloads\Experiment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CO2RES\Downloads\Walid%20Experiment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CO2RES\Downloads\Walid%20Experiment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CO2RES\Downloads\Walid%20Experiment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CO2RES\Downloads\Walid%20Experiment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CO2RES\Downloads\Walid%20Experiments.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201974753155855"/>
          <c:y val="4.5053988504601489E-2"/>
          <c:w val="0.75702072955166322"/>
          <c:h val="0.73787744886319584"/>
        </c:manualLayout>
      </c:layout>
      <c:lineChart>
        <c:grouping val="standard"/>
        <c:varyColors val="0"/>
        <c:ser>
          <c:idx val="0"/>
          <c:order val="0"/>
          <c:tx>
            <c:v>Glycerol</c:v>
          </c:tx>
          <c:spPr>
            <a:ln w="28575" cap="rnd">
              <a:noFill/>
              <a:round/>
            </a:ln>
            <a:effectLst/>
          </c:spPr>
          <c:marker>
            <c:symbol val="triangle"/>
            <c:size val="5"/>
            <c:spPr>
              <a:solidFill>
                <a:schemeClr val="accent1"/>
              </a:solidFill>
              <a:ln w="9525">
                <a:solidFill>
                  <a:schemeClr val="accent1"/>
                </a:solidFill>
              </a:ln>
              <a:effectLst/>
            </c:spPr>
          </c:marker>
          <c:cat>
            <c:numRef>
              <c:f>Sheet1!$B$5:$B$10</c:f>
              <c:numCache>
                <c:formatCode>General</c:formatCode>
                <c:ptCount val="6"/>
                <c:pt idx="0">
                  <c:v>400</c:v>
                </c:pt>
                <c:pt idx="1">
                  <c:v>600</c:v>
                </c:pt>
                <c:pt idx="2">
                  <c:v>800</c:v>
                </c:pt>
                <c:pt idx="3">
                  <c:v>1000</c:v>
                </c:pt>
                <c:pt idx="4">
                  <c:v>5000</c:v>
                </c:pt>
                <c:pt idx="5">
                  <c:v>10000</c:v>
                </c:pt>
              </c:numCache>
            </c:numRef>
          </c:cat>
          <c:val>
            <c:numRef>
              <c:f>Sheet1!$E$5:$E$10</c:f>
              <c:numCache>
                <c:formatCode>General</c:formatCode>
                <c:ptCount val="6"/>
                <c:pt idx="0">
                  <c:v>794.43299999999999</c:v>
                </c:pt>
                <c:pt idx="1">
                  <c:v>875.26700000000005</c:v>
                </c:pt>
                <c:pt idx="2">
                  <c:v>939.3</c:v>
                </c:pt>
                <c:pt idx="3">
                  <c:v>980.2</c:v>
                </c:pt>
                <c:pt idx="4">
                  <c:v>1034</c:v>
                </c:pt>
                <c:pt idx="5">
                  <c:v>1235</c:v>
                </c:pt>
              </c:numCache>
            </c:numRef>
          </c:val>
          <c:smooth val="0"/>
          <c:extLst xmlns:c16r2="http://schemas.microsoft.com/office/drawing/2015/06/chart">
            <c:ext xmlns:c16="http://schemas.microsoft.com/office/drawing/2014/chart" uri="{C3380CC4-5D6E-409C-BE32-E72D297353CC}">
              <c16:uniqueId val="{00000000-AEEA-40CB-B6AD-08AB725F50CE}"/>
            </c:ext>
          </c:extLst>
        </c:ser>
        <c:dLbls>
          <c:showLegendKey val="0"/>
          <c:showVal val="0"/>
          <c:showCatName val="0"/>
          <c:showSerName val="0"/>
          <c:showPercent val="0"/>
          <c:showBubbleSize val="0"/>
        </c:dLbls>
        <c:marker val="1"/>
        <c:smooth val="0"/>
        <c:axId val="160980992"/>
        <c:axId val="160983296"/>
      </c:lineChart>
      <c:catAx>
        <c:axId val="16098099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Concentration</a:t>
                </a:r>
                <a:r>
                  <a:rPr lang="en-US" sz="900" b="1" baseline="0">
                    <a:solidFill>
                      <a:sysClr val="windowText" lastClr="000000"/>
                    </a:solidFill>
                    <a:latin typeface="Times New Roman" panose="02020603050405020304" pitchFamily="18" charset="0"/>
                    <a:cs typeface="Times New Roman" panose="02020603050405020304" pitchFamily="18" charset="0"/>
                  </a:rPr>
                  <a:t> (ppm)</a:t>
                </a: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5503375638965534"/>
              <c:y val="0.90697436910321971"/>
            </c:manualLayout>
          </c:layout>
          <c:overlay val="0"/>
          <c:spPr>
            <a:noFill/>
            <a:ln>
              <a:noFill/>
            </a:ln>
            <a:effectLst/>
          </c:spPr>
        </c:title>
        <c:numFmt formatCode="General" sourceLinked="1"/>
        <c:majorTickMark val="none"/>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0983296"/>
        <c:crosses val="autoZero"/>
        <c:auto val="1"/>
        <c:lblAlgn val="ctr"/>
        <c:lblOffset val="100"/>
        <c:noMultiLvlLbl val="0"/>
      </c:catAx>
      <c:valAx>
        <c:axId val="160983296"/>
        <c:scaling>
          <c:orientation val="minMax"/>
          <c:max val="1350"/>
          <c:min val="65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Conductivity</a:t>
                </a:r>
                <a:r>
                  <a:rPr lang="en-US" sz="900" b="1" baseline="0">
                    <a:solidFill>
                      <a:sysClr val="windowText" lastClr="000000"/>
                    </a:solidFill>
                    <a:latin typeface="Times New Roman" panose="02020603050405020304" pitchFamily="18" charset="0"/>
                    <a:cs typeface="Times New Roman" panose="02020603050405020304" pitchFamily="18" charset="0"/>
                  </a:rPr>
                  <a:t> (µS/cm)</a:t>
                </a: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in"/>
        <c:tickLblPos val="nextTo"/>
        <c:spPr>
          <a:noFill/>
          <a:ln w="6350">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0980992"/>
        <c:crosses val="autoZero"/>
        <c:crossBetween val="between"/>
      </c:valAx>
      <c:spPr>
        <a:solidFill>
          <a:sysClr val="window" lastClr="FFFFFF"/>
        </a:solidFill>
        <a:ln w="6350" cap="flat" cmpd="sng" algn="ctr">
          <a:solidFill>
            <a:sysClr val="windowText" lastClr="000000"/>
          </a:solidFill>
          <a:prstDash val="solid"/>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6350"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78928391526817"/>
          <c:y val="5.0925925925925923E-2"/>
          <c:w val="0.8248126761932536"/>
          <c:h val="0.74350320793234181"/>
        </c:manualLayout>
      </c:layout>
      <c:lineChart>
        <c:grouping val="standard"/>
        <c:varyColors val="0"/>
        <c:ser>
          <c:idx val="0"/>
          <c:order val="0"/>
          <c:tx>
            <c:v>Glycerol</c:v>
          </c:tx>
          <c:spPr>
            <a:ln w="28575" cap="rnd">
              <a:noFill/>
              <a:round/>
            </a:ln>
            <a:effectLst/>
          </c:spPr>
          <c:marker>
            <c:symbol val="triangle"/>
            <c:size val="5"/>
            <c:spPr>
              <a:solidFill>
                <a:schemeClr val="accent1"/>
              </a:solidFill>
              <a:ln w="9525">
                <a:solidFill>
                  <a:schemeClr val="accent1"/>
                </a:solidFill>
              </a:ln>
              <a:effectLst/>
            </c:spPr>
          </c:marker>
          <c:cat>
            <c:numRef>
              <c:f>Sheet1!$B$5:$B$10</c:f>
              <c:numCache>
                <c:formatCode>General</c:formatCode>
                <c:ptCount val="6"/>
                <c:pt idx="0">
                  <c:v>400</c:v>
                </c:pt>
                <c:pt idx="1">
                  <c:v>600</c:v>
                </c:pt>
                <c:pt idx="2">
                  <c:v>800</c:v>
                </c:pt>
                <c:pt idx="3">
                  <c:v>1000</c:v>
                </c:pt>
                <c:pt idx="4">
                  <c:v>5000</c:v>
                </c:pt>
                <c:pt idx="5">
                  <c:v>10000</c:v>
                </c:pt>
              </c:numCache>
            </c:numRef>
          </c:cat>
          <c:val>
            <c:numRef>
              <c:f>Sheet1!$C$5:$C$10</c:f>
              <c:numCache>
                <c:formatCode>General</c:formatCode>
                <c:ptCount val="6"/>
                <c:pt idx="0">
                  <c:v>6.82</c:v>
                </c:pt>
                <c:pt idx="1">
                  <c:v>6.84</c:v>
                </c:pt>
                <c:pt idx="2">
                  <c:v>6.76</c:v>
                </c:pt>
                <c:pt idx="3">
                  <c:v>6.66</c:v>
                </c:pt>
                <c:pt idx="4">
                  <c:v>6.53</c:v>
                </c:pt>
                <c:pt idx="5">
                  <c:v>6.35</c:v>
                </c:pt>
              </c:numCache>
            </c:numRef>
          </c:val>
          <c:smooth val="0"/>
          <c:extLst xmlns:c16r2="http://schemas.microsoft.com/office/drawing/2015/06/chart">
            <c:ext xmlns:c16="http://schemas.microsoft.com/office/drawing/2014/chart" uri="{C3380CC4-5D6E-409C-BE32-E72D297353CC}">
              <c16:uniqueId val="{00000000-D3C5-4B8B-9FF4-C833E45C3EA1}"/>
            </c:ext>
          </c:extLst>
        </c:ser>
        <c:dLbls>
          <c:showLegendKey val="0"/>
          <c:showVal val="0"/>
          <c:showCatName val="0"/>
          <c:showSerName val="0"/>
          <c:showPercent val="0"/>
          <c:showBubbleSize val="0"/>
        </c:dLbls>
        <c:marker val="1"/>
        <c:smooth val="0"/>
        <c:axId val="136857856"/>
        <c:axId val="136868608"/>
      </c:lineChart>
      <c:catAx>
        <c:axId val="13685785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Concentration (ppm)</a:t>
                </a:r>
              </a:p>
            </c:rich>
          </c:tx>
          <c:layout/>
          <c:overlay val="0"/>
          <c:spPr>
            <a:noFill/>
            <a:ln>
              <a:noFill/>
            </a:ln>
            <a:effectLst/>
          </c:spPr>
        </c:title>
        <c:numFmt formatCode="General" sourceLinked="1"/>
        <c:majorTickMark val="none"/>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868608"/>
        <c:crosses val="autoZero"/>
        <c:auto val="1"/>
        <c:lblAlgn val="ctr"/>
        <c:lblOffset val="100"/>
        <c:noMultiLvlLbl val="0"/>
      </c:catAx>
      <c:valAx>
        <c:axId val="136868608"/>
        <c:scaling>
          <c:orientation val="minMax"/>
          <c:max val="10"/>
          <c:min val="4"/>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pH values</a:t>
                </a:r>
              </a:p>
            </c:rich>
          </c:tx>
          <c:layout/>
          <c:overlay val="0"/>
          <c:spPr>
            <a:noFill/>
            <a:ln>
              <a:noFill/>
            </a:ln>
            <a:effectLst/>
          </c:spPr>
        </c:title>
        <c:numFmt formatCode="General" sourceLinked="1"/>
        <c:majorTickMark val="none"/>
        <c:minorTickMark val="in"/>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857856"/>
        <c:crosses val="autoZero"/>
        <c:crossBetween val="between"/>
      </c:valAx>
      <c:spPr>
        <a:noFill/>
        <a:ln w="6350">
          <a:solidFill>
            <a:sysClr val="windowText" lastClr="000000"/>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ysClr val="window" lastClr="FFFFFF"/>
    </a:solidFill>
    <a:ln w="6350" cap="flat" cmpd="sng" algn="ctr">
      <a:solidFill>
        <a:sysClr val="windowText" lastClr="000000"/>
      </a:solidFill>
      <a:prstDash val="solid"/>
      <a:round/>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130610543647521"/>
          <c:y val="3.2820553839494296E-2"/>
          <c:w val="0.65905990750005505"/>
          <c:h val="0.74900194860709235"/>
        </c:manualLayout>
      </c:layout>
      <c:lineChart>
        <c:grouping val="standard"/>
        <c:varyColors val="0"/>
        <c:ser>
          <c:idx val="1"/>
          <c:order val="0"/>
          <c:tx>
            <c:v>Corrosion rate</c:v>
          </c:tx>
          <c:spPr>
            <a:ln w="28575" cap="rnd">
              <a:noFill/>
              <a:round/>
            </a:ln>
            <a:effectLst/>
          </c:spPr>
          <c:marker>
            <c:symbol val="triangle"/>
            <c:size val="5"/>
            <c:spPr>
              <a:solidFill>
                <a:schemeClr val="accent2"/>
              </a:solidFill>
              <a:ln w="9525">
                <a:solidFill>
                  <a:schemeClr val="accent2"/>
                </a:solidFill>
              </a:ln>
              <a:effectLst/>
            </c:spPr>
          </c:marker>
          <c:cat>
            <c:numRef>
              <c:f>'Weight Loss Method'!$B$5:$B$11</c:f>
              <c:numCache>
                <c:formatCode>General</c:formatCode>
                <c:ptCount val="7"/>
                <c:pt idx="0">
                  <c:v>0</c:v>
                </c:pt>
                <c:pt idx="1">
                  <c:v>400</c:v>
                </c:pt>
                <c:pt idx="2">
                  <c:v>600</c:v>
                </c:pt>
                <c:pt idx="3">
                  <c:v>800</c:v>
                </c:pt>
                <c:pt idx="4">
                  <c:v>1000</c:v>
                </c:pt>
                <c:pt idx="5">
                  <c:v>5000</c:v>
                </c:pt>
                <c:pt idx="6">
                  <c:v>10000</c:v>
                </c:pt>
              </c:numCache>
            </c:numRef>
          </c:cat>
          <c:val>
            <c:numRef>
              <c:f>'Weight Loss Method'!$F$5:$F$11</c:f>
              <c:numCache>
                <c:formatCode>0.0000</c:formatCode>
                <c:ptCount val="7"/>
                <c:pt idx="0">
                  <c:v>6.6114149008886874E-2</c:v>
                </c:pt>
                <c:pt idx="1">
                  <c:v>6.0373821469924156E-2</c:v>
                </c:pt>
                <c:pt idx="2">
                  <c:v>5.9823164990275714E-2</c:v>
                </c:pt>
                <c:pt idx="3">
                  <c:v>5.8813397341867628E-2</c:v>
                </c:pt>
                <c:pt idx="4">
                  <c:v>5.5909852013994593E-2</c:v>
                </c:pt>
                <c:pt idx="5">
                  <c:v>3.1469536339250627E-2</c:v>
                </c:pt>
                <c:pt idx="6">
                  <c:v>2.2239134673331454E-2</c:v>
                </c:pt>
              </c:numCache>
            </c:numRef>
          </c:val>
          <c:smooth val="0"/>
          <c:extLst xmlns:c16r2="http://schemas.microsoft.com/office/drawing/2015/06/chart">
            <c:ext xmlns:c16="http://schemas.microsoft.com/office/drawing/2014/chart" uri="{C3380CC4-5D6E-409C-BE32-E72D297353CC}">
              <c16:uniqueId val="{00000000-FD3D-4844-B218-369078B213BA}"/>
            </c:ext>
          </c:extLst>
        </c:ser>
        <c:dLbls>
          <c:showLegendKey val="0"/>
          <c:showVal val="0"/>
          <c:showCatName val="0"/>
          <c:showSerName val="0"/>
          <c:showPercent val="0"/>
          <c:showBubbleSize val="0"/>
        </c:dLbls>
        <c:marker val="1"/>
        <c:smooth val="0"/>
        <c:axId val="135996544"/>
        <c:axId val="135998848"/>
      </c:lineChart>
      <c:lineChart>
        <c:grouping val="standard"/>
        <c:varyColors val="0"/>
        <c:ser>
          <c:idx val="2"/>
          <c:order val="1"/>
          <c:tx>
            <c:v>Inhibition efficiency</c:v>
          </c:tx>
          <c:spPr>
            <a:ln w="28575" cap="rnd">
              <a:noFill/>
              <a:round/>
            </a:ln>
            <a:effectLst/>
          </c:spPr>
          <c:marker>
            <c:symbol val="triangle"/>
            <c:size val="5"/>
            <c:spPr>
              <a:solidFill>
                <a:schemeClr val="accent3"/>
              </a:solidFill>
              <a:ln w="9525">
                <a:solidFill>
                  <a:schemeClr val="accent3"/>
                </a:solidFill>
              </a:ln>
              <a:effectLst/>
            </c:spPr>
          </c:marker>
          <c:cat>
            <c:numRef>
              <c:f>'Weight Loss Method'!$B$5:$B$11</c:f>
              <c:numCache>
                <c:formatCode>General</c:formatCode>
                <c:ptCount val="7"/>
                <c:pt idx="0">
                  <c:v>0</c:v>
                </c:pt>
                <c:pt idx="1">
                  <c:v>400</c:v>
                </c:pt>
                <c:pt idx="2">
                  <c:v>600</c:v>
                </c:pt>
                <c:pt idx="3">
                  <c:v>800</c:v>
                </c:pt>
                <c:pt idx="4">
                  <c:v>1000</c:v>
                </c:pt>
                <c:pt idx="5">
                  <c:v>5000</c:v>
                </c:pt>
                <c:pt idx="6">
                  <c:v>10000</c:v>
                </c:pt>
              </c:numCache>
            </c:numRef>
          </c:cat>
          <c:val>
            <c:numRef>
              <c:f>'Weight Loss Method'!$G$5:$G$11</c:f>
              <c:numCache>
                <c:formatCode>0.00</c:formatCode>
                <c:ptCount val="7"/>
                <c:pt idx="0">
                  <c:v>0</c:v>
                </c:pt>
                <c:pt idx="1">
                  <c:v>8.6824494076012684</c:v>
                </c:pt>
                <c:pt idx="2">
                  <c:v>9.5153369027945054</c:v>
                </c:pt>
                <c:pt idx="3">
                  <c:v>11.042646357042122</c:v>
                </c:pt>
                <c:pt idx="4">
                  <c:v>15.434361854253995</c:v>
                </c:pt>
                <c:pt idx="5">
                  <c:v>52.401207894212511</c:v>
                </c:pt>
                <c:pt idx="6">
                  <c:v>66.362518452227022</c:v>
                </c:pt>
              </c:numCache>
            </c:numRef>
          </c:val>
          <c:smooth val="0"/>
          <c:extLst xmlns:c16r2="http://schemas.microsoft.com/office/drawing/2015/06/chart">
            <c:ext xmlns:c16="http://schemas.microsoft.com/office/drawing/2014/chart" uri="{C3380CC4-5D6E-409C-BE32-E72D297353CC}">
              <c16:uniqueId val="{00000001-FD3D-4844-B218-369078B213BA}"/>
            </c:ext>
          </c:extLst>
        </c:ser>
        <c:dLbls>
          <c:showLegendKey val="0"/>
          <c:showVal val="0"/>
          <c:showCatName val="0"/>
          <c:showSerName val="0"/>
          <c:showPercent val="0"/>
          <c:showBubbleSize val="0"/>
        </c:dLbls>
        <c:marker val="1"/>
        <c:smooth val="0"/>
        <c:axId val="136002944"/>
        <c:axId val="136001024"/>
      </c:lineChart>
      <c:catAx>
        <c:axId val="13599654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Concentration</a:t>
                </a:r>
                <a:r>
                  <a:rPr lang="en-MY" sz="900" b="1" baseline="0">
                    <a:solidFill>
                      <a:sysClr val="windowText" lastClr="000000"/>
                    </a:solidFill>
                    <a:latin typeface="Times New Roman" panose="02020603050405020304" pitchFamily="18" charset="0"/>
                    <a:cs typeface="Times New Roman" panose="02020603050405020304" pitchFamily="18" charset="0"/>
                  </a:rPr>
                  <a:t> (ppm)</a:t>
                </a:r>
                <a:endParaRPr lang="en-MY" sz="9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998848"/>
        <c:crosses val="autoZero"/>
        <c:auto val="1"/>
        <c:lblAlgn val="ctr"/>
        <c:lblOffset val="100"/>
        <c:noMultiLvlLbl val="0"/>
      </c:catAx>
      <c:valAx>
        <c:axId val="13599884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b="1">
                    <a:solidFill>
                      <a:sysClr val="windowText" lastClr="000000"/>
                    </a:solidFill>
                    <a:latin typeface="Times New Roman" panose="02020603050405020304" pitchFamily="18" charset="0"/>
                    <a:cs typeface="Times New Roman" panose="02020603050405020304" pitchFamily="18" charset="0"/>
                  </a:rPr>
                  <a:t>Corrosion</a:t>
                </a:r>
                <a:r>
                  <a:rPr lang="en-MY" b="1" baseline="0">
                    <a:solidFill>
                      <a:sysClr val="windowText" lastClr="000000"/>
                    </a:solidFill>
                    <a:latin typeface="Times New Roman" panose="02020603050405020304" pitchFamily="18" charset="0"/>
                    <a:cs typeface="Times New Roman" panose="02020603050405020304" pitchFamily="18" charset="0"/>
                  </a:rPr>
                  <a:t> Rate (mm/year)</a:t>
                </a:r>
                <a:endParaRPr lang="en-MY"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812767059432863E-2"/>
              <c:y val="9.1679482300914855E-2"/>
            </c:manualLayout>
          </c:layout>
          <c:overlay val="0"/>
          <c:spPr>
            <a:noFill/>
            <a:ln>
              <a:noFill/>
            </a:ln>
            <a:effectLst/>
          </c:spPr>
        </c:title>
        <c:numFmt formatCode="0.0000" sourceLinked="1"/>
        <c:majorTickMark val="none"/>
        <c:minorTickMark val="in"/>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996544"/>
        <c:crosses val="autoZero"/>
        <c:crossBetween val="between"/>
      </c:valAx>
      <c:valAx>
        <c:axId val="136001024"/>
        <c:scaling>
          <c:orientation val="minMax"/>
          <c:min val="0"/>
        </c:scaling>
        <c:delete val="0"/>
        <c:axPos val="r"/>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Inhibition Efficiency (%)</a:t>
                </a:r>
              </a:p>
            </c:rich>
          </c:tx>
          <c:layout/>
          <c:overlay val="0"/>
          <c:spPr>
            <a:noFill/>
            <a:ln>
              <a:noFill/>
            </a:ln>
            <a:effectLst/>
          </c:spPr>
        </c:title>
        <c:numFmt formatCode="0.00" sourceLinked="1"/>
        <c:majorTickMark val="out"/>
        <c:minorTickMark val="in"/>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002944"/>
        <c:crosses val="max"/>
        <c:crossBetween val="between"/>
      </c:valAx>
      <c:catAx>
        <c:axId val="136002944"/>
        <c:scaling>
          <c:orientation val="minMax"/>
        </c:scaling>
        <c:delete val="1"/>
        <c:axPos val="b"/>
        <c:numFmt formatCode="General" sourceLinked="1"/>
        <c:majorTickMark val="out"/>
        <c:minorTickMark val="none"/>
        <c:tickLblPos val="nextTo"/>
        <c:crossAx val="136001024"/>
        <c:crosses val="autoZero"/>
        <c:auto val="1"/>
        <c:lblAlgn val="ctr"/>
        <c:lblOffset val="100"/>
        <c:noMultiLvlLbl val="0"/>
      </c:catAx>
      <c:spPr>
        <a:noFill/>
        <a:ln>
          <a:solidFill>
            <a:schemeClr val="tx1"/>
          </a:solidFill>
        </a:ln>
        <a:effectLst/>
      </c:spPr>
    </c:plotArea>
    <c:legend>
      <c:legendPos val="b"/>
      <c:layout>
        <c:manualLayout>
          <c:xMode val="edge"/>
          <c:yMode val="edge"/>
          <c:x val="0.17006948174739392"/>
          <c:y val="0.3348474773986585"/>
          <c:w val="0.22456308602023747"/>
          <c:h val="0.156759598861217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6350"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11916437853682"/>
          <c:y val="0.1018352638293045"/>
          <c:w val="0.77504923485649779"/>
          <c:h val="0.68130280973857471"/>
        </c:manualLayout>
      </c:layout>
      <c:scatterChart>
        <c:scatterStyle val="smoothMarker"/>
        <c:varyColors val="0"/>
        <c:ser>
          <c:idx val="0"/>
          <c:order val="0"/>
          <c:tx>
            <c:v>Freundlich Glycérol </c:v>
          </c:tx>
          <c:spPr>
            <a:ln w="19050" cap="rnd">
              <a:noFill/>
              <a:round/>
            </a:ln>
            <a:effectLst/>
          </c:spPr>
          <c:marker>
            <c:symbol val="triang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0390139495792334"/>
                  <c:y val="9.8965797461145061E-3"/>
                </c:manualLayout>
              </c:layout>
              <c:numFmt formatCode="General" sourceLinked="0"/>
              <c:spPr>
                <a:noFill/>
                <a:ln w="6350">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'Adsorption Isotherm'!$N$6:$N$11</c:f>
              <c:numCache>
                <c:formatCode>General</c:formatCode>
                <c:ptCount val="6"/>
                <c:pt idx="0">
                  <c:v>-4.943426544402806</c:v>
                </c:pt>
                <c:pt idx="1">
                  <c:v>-4.5379614362946414</c:v>
                </c:pt>
                <c:pt idx="2">
                  <c:v>-4.2502793638428606</c:v>
                </c:pt>
                <c:pt idx="3">
                  <c:v>-4.0271358125286509</c:v>
                </c:pt>
                <c:pt idx="4">
                  <c:v>-2.4176979000945504</c:v>
                </c:pt>
                <c:pt idx="5">
                  <c:v>-1.724550719534605</c:v>
                </c:pt>
              </c:numCache>
            </c:numRef>
          </c:xVal>
          <c:yVal>
            <c:numRef>
              <c:f>'Adsorption Isotherm'!$O$6:$O$11</c:f>
              <c:numCache>
                <c:formatCode>General</c:formatCode>
                <c:ptCount val="6"/>
                <c:pt idx="0">
                  <c:v>-2.4438665073080754</c:v>
                </c:pt>
                <c:pt idx="1">
                  <c:v>-2.3522652783214082</c:v>
                </c:pt>
                <c:pt idx="2">
                  <c:v>-2.2034054676102808</c:v>
                </c:pt>
                <c:pt idx="3">
                  <c:v>-1.8685738729603141</c:v>
                </c:pt>
                <c:pt idx="4">
                  <c:v>-0.64624054351050542</c:v>
                </c:pt>
                <c:pt idx="5">
                  <c:v>-0.41003777002632241</c:v>
                </c:pt>
              </c:numCache>
            </c:numRef>
          </c:yVal>
          <c:smooth val="1"/>
          <c:extLst xmlns:c16r2="http://schemas.microsoft.com/office/drawing/2015/06/chart">
            <c:ext xmlns:c16="http://schemas.microsoft.com/office/drawing/2014/chart" uri="{C3380CC4-5D6E-409C-BE32-E72D297353CC}">
              <c16:uniqueId val="{00000001-8324-4074-BE64-AAA3E8A0D263}"/>
            </c:ext>
          </c:extLst>
        </c:ser>
        <c:dLbls>
          <c:showLegendKey val="0"/>
          <c:showVal val="0"/>
          <c:showCatName val="0"/>
          <c:showSerName val="0"/>
          <c:showPercent val="0"/>
          <c:showBubbleSize val="0"/>
        </c:dLbls>
        <c:axId val="136044928"/>
        <c:axId val="136046848"/>
      </c:scatterChart>
      <c:valAx>
        <c:axId val="136044928"/>
        <c:scaling>
          <c:orientation val="minMax"/>
          <c:max val="-1.5"/>
          <c:min val="-5.5"/>
        </c:scaling>
        <c:delete val="0"/>
        <c:axPos val="b"/>
        <c:title>
          <c:tx>
            <c:rich>
              <a:bodyPr rot="0" spcFirstLastPara="1" vertOverflow="ellipsis" vert="horz" wrap="square" anchor="ctr" anchorCtr="1"/>
              <a:lstStyle/>
              <a:p>
                <a:pPr algn="ctr" rtl="0">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b="1">
                    <a:solidFill>
                      <a:sysClr val="windowText" lastClr="000000"/>
                    </a:solidFill>
                    <a:latin typeface="Times New Roman" panose="02020603050405020304" pitchFamily="18" charset="0"/>
                    <a:cs typeface="Times New Roman" panose="02020603050405020304" pitchFamily="18" charset="0"/>
                  </a:rPr>
                  <a:t>Log(C)</a:t>
                </a:r>
              </a:p>
            </c:rich>
          </c:tx>
          <c:layout>
            <c:manualLayout>
              <c:xMode val="edge"/>
              <c:yMode val="edge"/>
              <c:x val="0.40225821500941961"/>
              <c:y val="0.88782965640027123"/>
            </c:manualLayout>
          </c:layout>
          <c:overlay val="0"/>
          <c:spPr>
            <a:noFill/>
            <a:ln>
              <a:noFill/>
            </a:ln>
            <a:effectLst/>
          </c:spPr>
        </c:title>
        <c:numFmt formatCode="General" sourceLinked="1"/>
        <c:majorTickMark val="none"/>
        <c:minorTickMark val="out"/>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046848"/>
        <c:crosses val="autoZero"/>
        <c:crossBetween val="midCat"/>
        <c:majorUnit val="1"/>
      </c:valAx>
      <c:valAx>
        <c:axId val="13604684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b="1">
                    <a:latin typeface="Times New Roman" panose="02020603050405020304" pitchFamily="18" charset="0"/>
                    <a:cs typeface="Times New Roman" panose="02020603050405020304" pitchFamily="18" charset="0"/>
                  </a:rPr>
                  <a:t>Log(</a:t>
                </a:r>
                <a:r>
                  <a:rPr lang="el-GR" sz="900" b="1">
                    <a:latin typeface="Times New Roman" panose="02020603050405020304" pitchFamily="18" charset="0"/>
                    <a:cs typeface="Times New Roman" panose="02020603050405020304" pitchFamily="18" charset="0"/>
                  </a:rPr>
                  <a:t>θ</a:t>
                </a:r>
                <a:r>
                  <a:rPr lang="fr-FR" sz="900" b="1">
                    <a:latin typeface="Times New Roman" panose="02020603050405020304" pitchFamily="18" charset="0"/>
                    <a:cs typeface="Times New Roman" panose="02020603050405020304" pitchFamily="18" charset="0"/>
                  </a:rPr>
                  <a:t>)</a:t>
                </a:r>
              </a:p>
            </c:rich>
          </c:tx>
          <c:layout>
            <c:manualLayout>
              <c:xMode val="edge"/>
              <c:yMode val="edge"/>
              <c:x val="2.3956808655363126E-3"/>
              <c:y val="0.34493097213186485"/>
            </c:manualLayout>
          </c:layout>
          <c:overlay val="0"/>
          <c:spPr>
            <a:noFill/>
            <a:ln>
              <a:noFill/>
            </a:ln>
            <a:effectLst/>
          </c:spPr>
        </c:title>
        <c:numFmt formatCode="General" sourceLinked="1"/>
        <c:majorTickMark val="none"/>
        <c:minorTickMark val="out"/>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6044928"/>
        <c:crosses val="autoZero"/>
        <c:crossBetween val="midCat"/>
      </c:valAx>
      <c:spPr>
        <a:noFill/>
        <a:ln w="6350">
          <a:solidFill>
            <a:sysClr val="windowText" lastClr="000000"/>
          </a:solidFill>
        </a:ln>
        <a:effectLst/>
      </c:spPr>
    </c:plotArea>
    <c:plotVisOnly val="1"/>
    <c:dispBlanksAs val="gap"/>
    <c:showDLblsOverMax val="0"/>
  </c:chart>
  <c:spPr>
    <a:solidFill>
      <a:schemeClr val="bg1"/>
    </a:solidFill>
    <a:ln w="6350" cap="flat" cmpd="sng" algn="ctr">
      <a:solidFill>
        <a:sysClr val="windowText" lastClr="000000"/>
      </a:solidFill>
      <a:round/>
    </a:ln>
    <a:effectLst/>
  </c:spPr>
  <c:txPr>
    <a:bodyPr/>
    <a:lstStyle/>
    <a:p>
      <a:pPr>
        <a:defRPr>
          <a:solidFill>
            <a:sysClr val="windowText" lastClr="000000"/>
          </a:solidFil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048235174765691"/>
          <c:y val="0.10769718086791258"/>
          <c:w val="0.77662332574778226"/>
          <c:h val="0.66631735755647903"/>
        </c:manualLayout>
      </c:layout>
      <c:scatterChart>
        <c:scatterStyle val="smoothMarker"/>
        <c:varyColors val="0"/>
        <c:ser>
          <c:idx val="0"/>
          <c:order val="0"/>
          <c:spPr>
            <a:ln w="28575" cap="rnd">
              <a:noFill/>
              <a:round/>
            </a:ln>
            <a:effectLst/>
          </c:spPr>
          <c:marker>
            <c:symbol val="triang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9491047058319164"/>
                  <c:y val="1.579572474052328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'Adsorption Isotherm'!$A$5:$A$11</c:f>
              <c:numCache>
                <c:formatCode>General</c:formatCode>
                <c:ptCount val="7"/>
                <c:pt idx="0">
                  <c:v>0</c:v>
                </c:pt>
                <c:pt idx="1">
                  <c:v>7.1301247771836003E-3</c:v>
                </c:pt>
                <c:pt idx="2">
                  <c:v>1.06951871657754E-2</c:v>
                </c:pt>
                <c:pt idx="3">
                  <c:v>1.4260249554367201E-2</c:v>
                </c:pt>
                <c:pt idx="4">
                  <c:v>1.7825311942959002E-2</c:v>
                </c:pt>
                <c:pt idx="5">
                  <c:v>8.9126559714795009E-2</c:v>
                </c:pt>
                <c:pt idx="6">
                  <c:v>0.17825311942959002</c:v>
                </c:pt>
              </c:numCache>
            </c:numRef>
          </c:xVal>
          <c:yVal>
            <c:numRef>
              <c:f>'Adsorption Isotherm'!$M$5:$M$11</c:f>
              <c:numCache>
                <c:formatCode>General</c:formatCode>
                <c:ptCount val="7"/>
                <c:pt idx="0">
                  <c:v>0</c:v>
                </c:pt>
                <c:pt idx="1">
                  <c:v>8.2121120924025806E-2</c:v>
                </c:pt>
                <c:pt idx="2">
                  <c:v>0.11239945863224655</c:v>
                </c:pt>
                <c:pt idx="3">
                  <c:v>0.12913797194341145</c:v>
                </c:pt>
                <c:pt idx="4">
                  <c:v>0.11549108483578813</c:v>
                </c:pt>
                <c:pt idx="5">
                  <c:v>0.17008493371893943</c:v>
                </c:pt>
                <c:pt idx="6">
                  <c:v>0.2686051156390496</c:v>
                </c:pt>
              </c:numCache>
            </c:numRef>
          </c:yVal>
          <c:smooth val="1"/>
          <c:extLst xmlns:c16r2="http://schemas.microsoft.com/office/drawing/2015/06/chart">
            <c:ext xmlns:c16="http://schemas.microsoft.com/office/drawing/2014/chart" uri="{C3380CC4-5D6E-409C-BE32-E72D297353CC}">
              <c16:uniqueId val="{00000003-AAC4-4595-A8EB-84082A44B25E}"/>
            </c:ext>
          </c:extLst>
        </c:ser>
        <c:dLbls>
          <c:showLegendKey val="0"/>
          <c:showVal val="0"/>
          <c:showCatName val="0"/>
          <c:showSerName val="0"/>
          <c:showPercent val="0"/>
          <c:showBubbleSize val="0"/>
        </c:dLbls>
        <c:axId val="138467200"/>
        <c:axId val="138473472"/>
      </c:scatterChart>
      <c:valAx>
        <c:axId val="13846720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C (mol/L)</a:t>
                </a:r>
              </a:p>
            </c:rich>
          </c:tx>
          <c:layout/>
          <c:overlay val="0"/>
          <c:spPr>
            <a:noFill/>
            <a:ln>
              <a:noFill/>
            </a:ln>
            <a:effectLst/>
          </c:spPr>
        </c:title>
        <c:numFmt formatCode="General" sourceLinked="1"/>
        <c:majorTickMark val="none"/>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473472"/>
        <c:crosses val="autoZero"/>
        <c:crossBetween val="midCat"/>
      </c:valAx>
      <c:valAx>
        <c:axId val="13847347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C/</a:t>
                </a:r>
                <a:r>
                  <a:rPr lang="el-GR" sz="900" b="1">
                    <a:solidFill>
                      <a:sysClr val="windowText" lastClr="000000"/>
                    </a:solidFill>
                    <a:latin typeface="Times New Roman" panose="02020603050405020304" pitchFamily="18" charset="0"/>
                    <a:cs typeface="Times New Roman" panose="02020603050405020304" pitchFamily="18" charset="0"/>
                  </a:rPr>
                  <a:t>θ</a:t>
                </a:r>
                <a:endParaRPr lang="en-MY" sz="9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in"/>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467200"/>
        <c:crosses val="autoZero"/>
        <c:crossBetween val="midCat"/>
      </c:valAx>
      <c:spPr>
        <a:noFill/>
        <a:ln w="6350">
          <a:solidFill>
            <a:sysClr val="windowText" lastClr="000000"/>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6350"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73911520236831"/>
          <c:y val="5.6294234905435413E-2"/>
          <c:w val="0.77422893328545273"/>
          <c:h val="0.73709597876620092"/>
        </c:manualLayout>
      </c:layout>
      <c:scatterChart>
        <c:scatterStyle val="smoothMarker"/>
        <c:varyColors val="0"/>
        <c:ser>
          <c:idx val="0"/>
          <c:order val="0"/>
          <c:spPr>
            <a:ln w="28575" cap="rnd">
              <a:noFill/>
              <a:round/>
            </a:ln>
            <a:effectLst/>
          </c:spPr>
          <c:marker>
            <c:symbol val="triang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5.2312543245776146E-2"/>
                  <c:y val="-0.4538442838720431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Frumkin!$L$6:$L$11</c:f>
              <c:numCache>
                <c:formatCode>0.00</c:formatCode>
                <c:ptCount val="6"/>
                <c:pt idx="0">
                  <c:v>8.6824494076012684E-2</c:v>
                </c:pt>
                <c:pt idx="1">
                  <c:v>9.5153369027945162E-2</c:v>
                </c:pt>
                <c:pt idx="2">
                  <c:v>0.11042646357042112</c:v>
                </c:pt>
                <c:pt idx="3">
                  <c:v>0.15434361854253983</c:v>
                </c:pt>
                <c:pt idx="4">
                  <c:v>0.52401207894212509</c:v>
                </c:pt>
                <c:pt idx="5">
                  <c:v>0.66362518452227026</c:v>
                </c:pt>
              </c:numCache>
            </c:numRef>
          </c:xVal>
          <c:yVal>
            <c:numRef>
              <c:f>Frumkin!$N$6:$N$11</c:f>
              <c:numCache>
                <c:formatCode>General</c:formatCode>
                <c:ptCount val="6"/>
                <c:pt idx="0">
                  <c:v>2.9044719808940642</c:v>
                </c:pt>
                <c:pt idx="1">
                  <c:v>2.5814454705230525</c:v>
                </c:pt>
                <c:pt idx="2">
                  <c:v>2.4255999233183494</c:v>
                </c:pt>
                <c:pt idx="3">
                  <c:v>2.4866588999262693</c:v>
                </c:pt>
                <c:pt idx="4">
                  <c:v>1.5248336863151297</c:v>
                </c:pt>
                <c:pt idx="5">
                  <c:v>0.72072286174448552</c:v>
                </c:pt>
              </c:numCache>
            </c:numRef>
          </c:yVal>
          <c:smooth val="1"/>
          <c:extLst xmlns:c16r2="http://schemas.microsoft.com/office/drawing/2015/06/chart">
            <c:ext xmlns:c16="http://schemas.microsoft.com/office/drawing/2014/chart" uri="{C3380CC4-5D6E-409C-BE32-E72D297353CC}">
              <c16:uniqueId val="{00000002-8F73-48A1-92B3-DC9A3E88198E}"/>
            </c:ext>
          </c:extLst>
        </c:ser>
        <c:dLbls>
          <c:showLegendKey val="0"/>
          <c:showVal val="0"/>
          <c:showCatName val="0"/>
          <c:showSerName val="0"/>
          <c:showPercent val="0"/>
          <c:showBubbleSize val="0"/>
        </c:dLbls>
        <c:axId val="138521984"/>
        <c:axId val="138831360"/>
      </c:scatterChart>
      <c:valAx>
        <c:axId val="138521984"/>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l-GR" sz="800" b="1" i="0" u="none" strike="noStrike" baseline="0">
                    <a:solidFill>
                      <a:sysClr val="windowText" lastClr="000000"/>
                    </a:solidFill>
                    <a:effectLst/>
                    <a:latin typeface="Times New Roman" panose="02020603050405020304" pitchFamily="18" charset="0"/>
                    <a:cs typeface="Times New Roman" panose="02020603050405020304" pitchFamily="18" charset="0"/>
                  </a:rPr>
                  <a:t>θ</a:t>
                </a:r>
                <a:r>
                  <a:rPr lang="el-GR" sz="800" b="1" i="0" u="none" strike="noStrike" baseline="0">
                    <a:solidFill>
                      <a:sysClr val="windowText" lastClr="000000"/>
                    </a:solidFill>
                    <a:latin typeface="Times New Roman" panose="02020603050405020304" pitchFamily="18" charset="0"/>
                    <a:cs typeface="Times New Roman" panose="02020603050405020304" pitchFamily="18" charset="0"/>
                  </a:rPr>
                  <a:t> </a:t>
                </a:r>
                <a:endParaRPr lang="fr-FR" sz="8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0.00" sourceLinked="1"/>
        <c:majorTickMark val="none"/>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831360"/>
        <c:crosses val="autoZero"/>
        <c:crossBetween val="midCat"/>
        <c:majorUnit val="0.1"/>
      </c:valAx>
      <c:valAx>
        <c:axId val="13883136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b="1" i="0" u="none" strike="noStrike" baseline="0">
                    <a:solidFill>
                      <a:sysClr val="windowText" lastClr="000000"/>
                    </a:solidFill>
                    <a:effectLst/>
                    <a:latin typeface="Times New Roman" panose="02020603050405020304" pitchFamily="18" charset="0"/>
                    <a:cs typeface="Times New Roman" panose="02020603050405020304" pitchFamily="18" charset="0"/>
                  </a:rPr>
                  <a:t>log (</a:t>
                </a:r>
                <a:r>
                  <a:rPr lang="el-GR" sz="900" b="1" i="0" u="none" strike="noStrike" baseline="0">
                    <a:solidFill>
                      <a:sysClr val="windowText" lastClr="000000"/>
                    </a:solidFill>
                    <a:effectLst/>
                    <a:latin typeface="Times New Roman" panose="02020603050405020304" pitchFamily="18" charset="0"/>
                    <a:cs typeface="Times New Roman" panose="02020603050405020304" pitchFamily="18" charset="0"/>
                  </a:rPr>
                  <a:t>θ/</a:t>
                </a:r>
                <a:r>
                  <a:rPr lang="fr-FR" sz="900" b="1" i="0" u="none" strike="noStrike" baseline="0">
                    <a:solidFill>
                      <a:sysClr val="windowText" lastClr="000000"/>
                    </a:solidFill>
                    <a:effectLst/>
                    <a:latin typeface="Times New Roman" panose="02020603050405020304" pitchFamily="18" charset="0"/>
                    <a:cs typeface="Times New Roman" panose="02020603050405020304" pitchFamily="18" charset="0"/>
                  </a:rPr>
                  <a:t>C(1-</a:t>
                </a:r>
                <a:r>
                  <a:rPr lang="el-GR" sz="900" b="1" i="0" u="none" strike="noStrike" baseline="0">
                    <a:solidFill>
                      <a:sysClr val="windowText" lastClr="000000"/>
                    </a:solidFill>
                    <a:effectLst/>
                    <a:latin typeface="Times New Roman" panose="02020603050405020304" pitchFamily="18" charset="0"/>
                    <a:cs typeface="Times New Roman" panose="02020603050405020304" pitchFamily="18" charset="0"/>
                  </a:rPr>
                  <a:t>θ))</a:t>
                </a:r>
                <a:endParaRPr lang="fr-FR" sz="9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in"/>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521984"/>
        <c:crosses val="autoZero"/>
        <c:crossBetween val="midCat"/>
      </c:valAx>
      <c:spPr>
        <a:noFill/>
        <a:ln w="6350">
          <a:solidFill>
            <a:sysClr val="windowText" lastClr="000000"/>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6350"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79529339700922"/>
          <c:y val="5.0409577819785757E-2"/>
          <c:w val="0.77618706752565025"/>
          <c:h val="0.74794283719461174"/>
        </c:manualLayout>
      </c:layout>
      <c:scatterChart>
        <c:scatterStyle val="smoothMarker"/>
        <c:varyColors val="0"/>
        <c:ser>
          <c:idx val="0"/>
          <c:order val="0"/>
          <c:spPr>
            <a:ln w="19050" cap="rnd">
              <a:noFill/>
              <a:round/>
            </a:ln>
            <a:effectLst/>
          </c:spPr>
          <c:marker>
            <c:symbol val="triang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1324219988105286"/>
                  <c:y val="2.5161659261866008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'Adsorption Isotherm'!$N$6:$N$11</c:f>
              <c:numCache>
                <c:formatCode>General</c:formatCode>
                <c:ptCount val="6"/>
                <c:pt idx="0">
                  <c:v>-4.943426544402806</c:v>
                </c:pt>
                <c:pt idx="1">
                  <c:v>-4.5379614362946414</c:v>
                </c:pt>
                <c:pt idx="2">
                  <c:v>-4.2502793638428606</c:v>
                </c:pt>
                <c:pt idx="3">
                  <c:v>-4.0271358125286509</c:v>
                </c:pt>
                <c:pt idx="4">
                  <c:v>-2.4176979000945504</c:v>
                </c:pt>
                <c:pt idx="5">
                  <c:v>-1.724550719534605</c:v>
                </c:pt>
              </c:numCache>
            </c:numRef>
          </c:xVal>
          <c:yVal>
            <c:numRef>
              <c:f>'Adsorption Isotherm'!$L$6:$L$11</c:f>
              <c:numCache>
                <c:formatCode>0.00</c:formatCode>
                <c:ptCount val="6"/>
                <c:pt idx="0">
                  <c:v>8.6824494076012684E-2</c:v>
                </c:pt>
                <c:pt idx="1">
                  <c:v>9.5153369027945051E-2</c:v>
                </c:pt>
                <c:pt idx="2">
                  <c:v>0.11042646357042121</c:v>
                </c:pt>
                <c:pt idx="3">
                  <c:v>0.15434361854253995</c:v>
                </c:pt>
                <c:pt idx="4">
                  <c:v>0.52401207894212509</c:v>
                </c:pt>
                <c:pt idx="5">
                  <c:v>0.66362518452227026</c:v>
                </c:pt>
              </c:numCache>
            </c:numRef>
          </c:yVal>
          <c:smooth val="1"/>
          <c:extLst xmlns:c16r2="http://schemas.microsoft.com/office/drawing/2015/06/chart">
            <c:ext xmlns:c16="http://schemas.microsoft.com/office/drawing/2014/chart" uri="{C3380CC4-5D6E-409C-BE32-E72D297353CC}">
              <c16:uniqueId val="{00000002-07C7-4338-92C4-7F51E65AA048}"/>
            </c:ext>
          </c:extLst>
        </c:ser>
        <c:dLbls>
          <c:showLegendKey val="0"/>
          <c:showVal val="0"/>
          <c:showCatName val="0"/>
          <c:showSerName val="0"/>
          <c:showPercent val="0"/>
          <c:showBubbleSize val="0"/>
        </c:dLbls>
        <c:axId val="138865664"/>
        <c:axId val="138953856"/>
      </c:scatterChart>
      <c:valAx>
        <c:axId val="138865664"/>
        <c:scaling>
          <c:orientation val="minMax"/>
          <c:max val="-1"/>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l-GR" sz="900" b="1">
                    <a:solidFill>
                      <a:sysClr val="windowText" lastClr="000000"/>
                    </a:solidFill>
                    <a:latin typeface="Times New Roman" panose="02020603050405020304" pitchFamily="18" charset="0"/>
                    <a:cs typeface="Times New Roman" panose="02020603050405020304" pitchFamily="18" charset="0"/>
                  </a:rPr>
                  <a:t>θ</a:t>
                </a:r>
                <a:endParaRPr lang="fr-FR"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51720922944333458"/>
              <c:y val="0.86932735624795665"/>
            </c:manualLayout>
          </c:layout>
          <c:overlay val="0"/>
          <c:spPr>
            <a:noFill/>
            <a:ln>
              <a:noFill/>
            </a:ln>
            <a:effectLst/>
          </c:spPr>
        </c:title>
        <c:numFmt formatCode="General" sourceLinked="1"/>
        <c:majorTickMark val="none"/>
        <c:minorTickMark val="in"/>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953856"/>
        <c:crosses val="autoZero"/>
        <c:crossBetween val="midCat"/>
        <c:majorUnit val="1"/>
      </c:valAx>
      <c:valAx>
        <c:axId val="138953856"/>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b="1">
                    <a:solidFill>
                      <a:sysClr val="windowText" lastClr="000000"/>
                    </a:solidFill>
                    <a:latin typeface="Times New Roman" panose="02020603050405020304" pitchFamily="18" charset="0"/>
                    <a:cs typeface="Times New Roman" panose="02020603050405020304" pitchFamily="18" charset="0"/>
                  </a:rPr>
                  <a:t>Log</a:t>
                </a:r>
                <a:r>
                  <a:rPr lang="fr-FR" sz="900" b="1" baseline="0">
                    <a:solidFill>
                      <a:sysClr val="windowText" lastClr="000000"/>
                    </a:solidFill>
                    <a:latin typeface="Times New Roman" panose="02020603050405020304" pitchFamily="18" charset="0"/>
                    <a:cs typeface="Times New Roman" panose="02020603050405020304" pitchFamily="18" charset="0"/>
                  </a:rPr>
                  <a:t> C </a:t>
                </a:r>
                <a:endParaRPr lang="fr-FR"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8.0873371154250202E-3"/>
              <c:y val="0.35358011886267821"/>
            </c:manualLayout>
          </c:layout>
          <c:overlay val="0"/>
          <c:spPr>
            <a:noFill/>
            <a:ln>
              <a:noFill/>
            </a:ln>
            <a:effectLst/>
          </c:spPr>
        </c:title>
        <c:numFmt formatCode="0.00" sourceLinked="1"/>
        <c:majorTickMark val="none"/>
        <c:minorTickMark val="out"/>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865664"/>
        <c:crosses val="autoZero"/>
        <c:crossBetween val="midCat"/>
      </c:valAx>
      <c:spPr>
        <a:noFill/>
        <a:ln w="6350">
          <a:solidFill>
            <a:sysClr val="windowText" lastClr="000000"/>
          </a:solidFill>
        </a:ln>
        <a:effectLst/>
      </c:spPr>
    </c:plotArea>
    <c:plotVisOnly val="1"/>
    <c:dispBlanksAs val="gap"/>
    <c:showDLblsOverMax val="0"/>
  </c:chart>
  <c:spPr>
    <a:solidFill>
      <a:schemeClr val="bg1"/>
    </a:solidFill>
    <a:ln w="6350" cap="flat" cmpd="sng" algn="ctr">
      <a:solidFill>
        <a:sysClr val="windowText" lastClr="000000"/>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FEA7C-C8B4-4DD6-8A96-BBD58BC8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14757</Words>
  <Characters>82198</Characters>
  <Application>Microsoft Office Word</Application>
  <DocSecurity>0</DocSecurity>
  <Lines>1643</Lines>
  <Paragraphs>821</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96134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22</cp:revision>
  <cp:lastPrinted>2020-02-06T15:30:00Z</cp:lastPrinted>
  <dcterms:created xsi:type="dcterms:W3CDTF">2020-01-29T02:34:00Z</dcterms:created>
  <dcterms:modified xsi:type="dcterms:W3CDTF">2020-02-06T15:30:00Z</dcterms:modified>
</cp:coreProperties>
</file>