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E96FAC" w:rsidRPr="0040377C" w:rsidRDefault="00E96FAC" w:rsidP="00E96FAC">
      <w:pPr>
        <w:pStyle w:val="BodyText3"/>
        <w:spacing w:after="0"/>
        <w:jc w:val="center"/>
        <w:rPr>
          <w:bCs/>
          <w:sz w:val="28"/>
          <w:szCs w:val="28"/>
          <w:lang w:val="ms-MY"/>
        </w:rPr>
      </w:pPr>
      <w:r w:rsidRPr="0040377C">
        <w:rPr>
          <w:bCs/>
          <w:sz w:val="28"/>
          <w:szCs w:val="28"/>
          <w:lang w:val="ms-MY"/>
        </w:rPr>
        <w:t>PENENTUAN KEPEKATAN LOGAM BERAT DALAM SEDIMEN DI MUARA SUNGAI KEMAMAN, TERENGGANU</w:t>
      </w:r>
    </w:p>
    <w:p w:rsidR="00E96FAC" w:rsidRPr="0040377C" w:rsidRDefault="00E96FAC" w:rsidP="00E96FAC">
      <w:pPr>
        <w:pStyle w:val="BodyText3"/>
        <w:spacing w:after="0"/>
        <w:jc w:val="center"/>
        <w:rPr>
          <w:b/>
          <w:sz w:val="24"/>
          <w:szCs w:val="24"/>
          <w:lang w:val="ms-MY"/>
        </w:rPr>
      </w:pPr>
    </w:p>
    <w:p w:rsidR="00E96FAC" w:rsidRPr="0040377C" w:rsidRDefault="00E96FAC" w:rsidP="00E96FAC">
      <w:pPr>
        <w:pStyle w:val="BodyText3"/>
        <w:spacing w:after="0"/>
        <w:jc w:val="center"/>
        <w:rPr>
          <w:sz w:val="24"/>
          <w:szCs w:val="24"/>
          <w:lang w:val="ms-MY"/>
        </w:rPr>
      </w:pPr>
      <w:r w:rsidRPr="0040377C">
        <w:rPr>
          <w:sz w:val="24"/>
          <w:szCs w:val="24"/>
          <w:lang w:val="ms-MY"/>
        </w:rPr>
        <w:t>(Determination of Heavy Metal Concentrations in Sediment of</w:t>
      </w:r>
      <w:r>
        <w:rPr>
          <w:sz w:val="24"/>
          <w:szCs w:val="24"/>
          <w:lang w:val="ms-MY"/>
        </w:rPr>
        <w:t xml:space="preserve"> </w:t>
      </w:r>
      <w:r w:rsidRPr="0040377C">
        <w:rPr>
          <w:sz w:val="24"/>
          <w:szCs w:val="24"/>
          <w:lang w:val="ms-MY"/>
        </w:rPr>
        <w:t>Kemaman River Estuary, Terengganu)</w:t>
      </w:r>
    </w:p>
    <w:p w:rsidR="00E96FAC" w:rsidRPr="0040377C" w:rsidRDefault="00E96FAC" w:rsidP="00E96FAC">
      <w:pPr>
        <w:spacing w:after="0" w:line="240" w:lineRule="auto"/>
        <w:jc w:val="center"/>
        <w:rPr>
          <w:rFonts w:ascii="Times New Roman" w:hAnsi="Times New Roman"/>
          <w:lang w:val="ms-MY"/>
        </w:rPr>
      </w:pPr>
    </w:p>
    <w:p w:rsidR="00E96FAC" w:rsidRPr="0040377C" w:rsidRDefault="00E96FAC" w:rsidP="00E96FAC">
      <w:pPr>
        <w:spacing w:after="0" w:line="240" w:lineRule="auto"/>
        <w:jc w:val="center"/>
        <w:rPr>
          <w:rFonts w:ascii="Times New Roman" w:hAnsi="Times New Roman"/>
          <w:bCs/>
          <w:sz w:val="20"/>
          <w:szCs w:val="20"/>
          <w:lang w:val="ms-MY"/>
        </w:rPr>
      </w:pPr>
      <w:r w:rsidRPr="0040377C">
        <w:rPr>
          <w:rFonts w:ascii="Times New Roman" w:hAnsi="Times New Roman"/>
          <w:bCs/>
          <w:sz w:val="20"/>
          <w:szCs w:val="20"/>
          <w:lang w:val="ms-MY"/>
        </w:rPr>
        <w:t>Ahmad Shamsuddin Ahmad</w:t>
      </w:r>
      <w:r w:rsidRPr="0040377C">
        <w:rPr>
          <w:rFonts w:ascii="Times New Roman" w:hAnsi="Times New Roman"/>
          <w:bCs/>
          <w:sz w:val="20"/>
          <w:szCs w:val="20"/>
          <w:vertAlign w:val="superscript"/>
          <w:lang w:val="ms-MY"/>
        </w:rPr>
        <w:t>1</w:t>
      </w:r>
      <w:r w:rsidRPr="00E96FAC">
        <w:rPr>
          <w:rFonts w:ascii="Times New Roman" w:hAnsi="Times New Roman"/>
          <w:bCs/>
          <w:sz w:val="20"/>
          <w:szCs w:val="20"/>
          <w:lang w:val="ms-MY"/>
        </w:rPr>
        <w:t>*</w:t>
      </w:r>
      <w:r w:rsidRPr="0040377C">
        <w:rPr>
          <w:rFonts w:ascii="Times New Roman" w:hAnsi="Times New Roman"/>
          <w:bCs/>
          <w:sz w:val="20"/>
          <w:szCs w:val="20"/>
          <w:lang w:val="ms-MY"/>
        </w:rPr>
        <w:t>, Suhaimi Suratman</w:t>
      </w:r>
      <w:r w:rsidRPr="0040377C">
        <w:rPr>
          <w:rFonts w:ascii="Times New Roman" w:hAnsi="Times New Roman"/>
          <w:bCs/>
          <w:sz w:val="20"/>
          <w:szCs w:val="20"/>
          <w:vertAlign w:val="superscript"/>
          <w:lang w:val="ms-MY"/>
        </w:rPr>
        <w:t>2</w:t>
      </w:r>
      <w:r w:rsidRPr="0040377C">
        <w:rPr>
          <w:rFonts w:ascii="Times New Roman" w:hAnsi="Times New Roman"/>
          <w:bCs/>
          <w:sz w:val="20"/>
          <w:szCs w:val="20"/>
          <w:lang w:val="ms-MY"/>
        </w:rPr>
        <w:t>, Noor Azhar Mohamed Shazili</w:t>
      </w:r>
      <w:r w:rsidRPr="0040377C">
        <w:rPr>
          <w:rFonts w:ascii="Times New Roman" w:hAnsi="Times New Roman"/>
          <w:bCs/>
          <w:sz w:val="20"/>
          <w:szCs w:val="20"/>
          <w:vertAlign w:val="superscript"/>
          <w:lang w:val="ms-MY"/>
        </w:rPr>
        <w:t>2</w:t>
      </w:r>
      <w:r w:rsidRPr="0040377C">
        <w:rPr>
          <w:rFonts w:ascii="Times New Roman" w:hAnsi="Times New Roman"/>
          <w:bCs/>
          <w:sz w:val="20"/>
          <w:szCs w:val="20"/>
          <w:lang w:val="ms-MY"/>
        </w:rPr>
        <w:t>,</w:t>
      </w:r>
      <w:r>
        <w:rPr>
          <w:rFonts w:ascii="Times New Roman" w:hAnsi="Times New Roman"/>
          <w:bCs/>
          <w:sz w:val="20"/>
          <w:szCs w:val="20"/>
          <w:lang w:val="ms-MY"/>
        </w:rPr>
        <w:t xml:space="preserve"> </w:t>
      </w:r>
      <w:r w:rsidRPr="0040377C">
        <w:rPr>
          <w:rFonts w:ascii="Times New Roman" w:hAnsi="Times New Roman"/>
          <w:bCs/>
          <w:sz w:val="20"/>
          <w:szCs w:val="20"/>
          <w:lang w:val="ms-MY"/>
        </w:rPr>
        <w:t>Ong Meng Chuan</w:t>
      </w:r>
      <w:r w:rsidRPr="0040377C">
        <w:rPr>
          <w:rFonts w:ascii="Times New Roman" w:hAnsi="Times New Roman"/>
          <w:bCs/>
          <w:sz w:val="20"/>
          <w:szCs w:val="20"/>
          <w:vertAlign w:val="superscript"/>
          <w:lang w:val="ms-MY"/>
        </w:rPr>
        <w:t>1,2</w:t>
      </w:r>
      <w:r w:rsidRPr="0040377C">
        <w:rPr>
          <w:rFonts w:ascii="Times New Roman" w:hAnsi="Times New Roman"/>
          <w:bCs/>
          <w:sz w:val="20"/>
          <w:szCs w:val="20"/>
          <w:lang w:val="ms-MY"/>
        </w:rPr>
        <w:t>, Mohammed Faizal</w:t>
      </w:r>
      <w:r w:rsidRPr="0040377C">
        <w:rPr>
          <w:rFonts w:ascii="Times New Roman" w:hAnsi="Times New Roman"/>
          <w:sz w:val="20"/>
          <w:szCs w:val="20"/>
          <w:lang w:val="ms-MY"/>
        </w:rPr>
        <w:t xml:space="preserve"> Abdul Rahim</w:t>
      </w:r>
      <w:r w:rsidRPr="0040377C">
        <w:rPr>
          <w:rFonts w:ascii="Times New Roman" w:hAnsi="Times New Roman"/>
          <w:bCs/>
          <w:sz w:val="20"/>
          <w:szCs w:val="20"/>
          <w:vertAlign w:val="superscript"/>
          <w:lang w:val="ms-MY"/>
        </w:rPr>
        <w:t>1</w:t>
      </w:r>
    </w:p>
    <w:p w:rsidR="00E96FAC" w:rsidRPr="00E96FAC" w:rsidRDefault="00E96FAC" w:rsidP="00E96FAC">
      <w:pPr>
        <w:spacing w:after="0" w:line="240" w:lineRule="auto"/>
        <w:jc w:val="center"/>
        <w:rPr>
          <w:rFonts w:ascii="Times New Roman" w:hAnsi="Times New Roman"/>
          <w:sz w:val="18"/>
          <w:szCs w:val="18"/>
          <w:lang w:val="ms-MY"/>
        </w:rPr>
      </w:pPr>
    </w:p>
    <w:p w:rsidR="00E96FAC" w:rsidRPr="00E96FAC" w:rsidRDefault="00E96FAC" w:rsidP="00E96FAC">
      <w:pPr>
        <w:spacing w:after="0" w:line="240" w:lineRule="auto"/>
        <w:jc w:val="center"/>
        <w:rPr>
          <w:rFonts w:ascii="Times New Roman" w:hAnsi="Times New Roman"/>
          <w:i/>
          <w:sz w:val="18"/>
          <w:szCs w:val="18"/>
          <w:lang w:val="ms-MY"/>
        </w:rPr>
      </w:pPr>
      <w:r w:rsidRPr="00E96FAC">
        <w:rPr>
          <w:rFonts w:ascii="Times New Roman" w:hAnsi="Times New Roman"/>
          <w:i/>
          <w:sz w:val="18"/>
          <w:szCs w:val="18"/>
          <w:vertAlign w:val="superscript"/>
          <w:lang w:val="ms-MY"/>
        </w:rPr>
        <w:t>1</w:t>
      </w:r>
      <w:r w:rsidRPr="00E96FAC">
        <w:rPr>
          <w:rFonts w:ascii="Times New Roman" w:hAnsi="Times New Roman"/>
          <w:i/>
          <w:sz w:val="18"/>
          <w:szCs w:val="18"/>
          <w:lang w:val="ms-MY"/>
        </w:rPr>
        <w:t>Fa</w:t>
      </w:r>
      <w:r>
        <w:rPr>
          <w:rFonts w:ascii="Times New Roman" w:hAnsi="Times New Roman"/>
          <w:i/>
          <w:sz w:val="18"/>
          <w:szCs w:val="18"/>
          <w:lang w:val="ms-MY"/>
        </w:rPr>
        <w:t>kulti Sains dan Sekitaran Marin</w:t>
      </w:r>
    </w:p>
    <w:p w:rsidR="00E96FAC" w:rsidRPr="00E96FAC" w:rsidRDefault="00E96FAC" w:rsidP="00E96FAC">
      <w:pPr>
        <w:pStyle w:val="Heading2"/>
        <w:spacing w:before="0" w:line="240" w:lineRule="auto"/>
        <w:jc w:val="center"/>
        <w:rPr>
          <w:rFonts w:ascii="Times New Roman" w:hAnsi="Times New Roman"/>
          <w:i/>
          <w:smallCaps w:val="0"/>
          <w:sz w:val="18"/>
          <w:szCs w:val="18"/>
          <w:lang w:val="ms-MY"/>
        </w:rPr>
      </w:pPr>
      <w:r w:rsidRPr="00E96FAC">
        <w:rPr>
          <w:rFonts w:ascii="Times New Roman" w:hAnsi="Times New Roman"/>
          <w:i/>
          <w:smallCaps w:val="0"/>
          <w:sz w:val="18"/>
          <w:szCs w:val="18"/>
          <w:vertAlign w:val="superscript"/>
          <w:lang w:val="ms-MY"/>
        </w:rPr>
        <w:t>2</w:t>
      </w:r>
      <w:r w:rsidRPr="00E96FAC">
        <w:rPr>
          <w:rFonts w:ascii="Times New Roman" w:hAnsi="Times New Roman"/>
          <w:i/>
          <w:smallCaps w:val="0"/>
          <w:sz w:val="18"/>
          <w:szCs w:val="18"/>
          <w:lang w:val="ms-MY"/>
        </w:rPr>
        <w:t>Ins</w:t>
      </w:r>
      <w:r w:rsidRPr="00E96FAC">
        <w:rPr>
          <w:rFonts w:ascii="Times New Roman" w:hAnsi="Times New Roman"/>
          <w:i/>
          <w:smallCaps w:val="0"/>
          <w:sz w:val="18"/>
          <w:szCs w:val="18"/>
          <w:lang w:val="ms-MY"/>
        </w:rPr>
        <w:t>titut Oseanografi dan Sekitaran</w:t>
      </w:r>
    </w:p>
    <w:p w:rsidR="00E96FAC" w:rsidRPr="00E96FAC" w:rsidRDefault="00E96FAC" w:rsidP="00E96FAC">
      <w:pPr>
        <w:pStyle w:val="Heading2"/>
        <w:spacing w:before="0" w:line="240" w:lineRule="auto"/>
        <w:jc w:val="center"/>
        <w:rPr>
          <w:rFonts w:ascii="Times New Roman" w:hAnsi="Times New Roman"/>
          <w:i/>
          <w:smallCaps w:val="0"/>
          <w:sz w:val="18"/>
          <w:szCs w:val="18"/>
          <w:lang w:val="ms-MY"/>
        </w:rPr>
      </w:pPr>
      <w:r w:rsidRPr="00E96FAC">
        <w:rPr>
          <w:rFonts w:ascii="Times New Roman" w:hAnsi="Times New Roman"/>
          <w:i/>
          <w:smallCaps w:val="0"/>
          <w:sz w:val="18"/>
          <w:szCs w:val="18"/>
          <w:lang w:val="ms-MY"/>
        </w:rPr>
        <w:t>Universiti Malaysia Terengganu, 21030 Kuala Nerus, Terengganu, Malaysia</w:t>
      </w:r>
    </w:p>
    <w:p w:rsidR="00E96FAC" w:rsidRPr="00E96FAC" w:rsidRDefault="00E96FAC" w:rsidP="00E96FAC">
      <w:pPr>
        <w:spacing w:after="0" w:line="240" w:lineRule="auto"/>
        <w:jc w:val="center"/>
        <w:rPr>
          <w:rFonts w:ascii="Times New Roman" w:hAnsi="Times New Roman"/>
          <w:sz w:val="18"/>
          <w:szCs w:val="18"/>
          <w:lang w:val="ms-MY"/>
        </w:rPr>
      </w:pPr>
    </w:p>
    <w:p w:rsidR="00E96FAC" w:rsidRPr="00E96FAC" w:rsidRDefault="00E96FAC" w:rsidP="00E96FAC">
      <w:pPr>
        <w:spacing w:after="0" w:line="240" w:lineRule="auto"/>
        <w:jc w:val="center"/>
        <w:rPr>
          <w:rFonts w:ascii="Times New Roman" w:hAnsi="Times New Roman"/>
          <w:i/>
          <w:sz w:val="18"/>
          <w:szCs w:val="18"/>
          <w:lang w:val="ms-MY"/>
        </w:rPr>
      </w:pPr>
      <w:r w:rsidRPr="00E96FAC">
        <w:rPr>
          <w:rFonts w:ascii="Times New Roman" w:hAnsi="Times New Roman"/>
          <w:i/>
          <w:iCs/>
          <w:sz w:val="18"/>
          <w:szCs w:val="18"/>
          <w:lang w:val="sv-SE"/>
        </w:rPr>
        <w:t>*Email pengarang utama:</w:t>
      </w:r>
      <w:r>
        <w:rPr>
          <w:rFonts w:ascii="Times New Roman" w:hAnsi="Times New Roman"/>
          <w:i/>
          <w:iCs/>
          <w:sz w:val="18"/>
          <w:szCs w:val="18"/>
          <w:lang w:val="sv-SE"/>
        </w:rPr>
        <w:t xml:space="preserve"> </w:t>
      </w:r>
      <w:r w:rsidRPr="00E96FAC">
        <w:rPr>
          <w:rFonts w:ascii="Times New Roman" w:hAnsi="Times New Roman"/>
          <w:i/>
          <w:iCs/>
          <w:sz w:val="18"/>
          <w:szCs w:val="18"/>
          <w:lang w:val="sv-SE"/>
        </w:rPr>
        <w:t xml:space="preserve"> sham@umt.edu.my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86393">
        <w:rPr>
          <w:rFonts w:ascii="Times New Roman" w:hAnsi="Times New Roman"/>
          <w:noProof/>
          <w:sz w:val="18"/>
          <w:szCs w:val="18"/>
          <w:lang w:bidi="ar-SA"/>
        </w:rPr>
        <w:t>29 July 2019</w:t>
      </w:r>
      <w:r>
        <w:rPr>
          <w:rFonts w:ascii="Times New Roman" w:hAnsi="Times New Roman"/>
          <w:noProof/>
          <w:sz w:val="18"/>
          <w:szCs w:val="18"/>
          <w:lang w:bidi="ar-SA"/>
        </w:rPr>
        <w:t xml:space="preserve">; Accepted: </w:t>
      </w:r>
      <w:r w:rsidR="00D86393">
        <w:rPr>
          <w:rFonts w:ascii="Times New Roman" w:hAnsi="Times New Roman"/>
          <w:noProof/>
          <w:sz w:val="18"/>
          <w:szCs w:val="18"/>
          <w:lang w:bidi="ar-SA"/>
        </w:rPr>
        <w:t>28 December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E96FAC" w:rsidP="00F447A7">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E96FAC" w:rsidRPr="0040377C" w:rsidRDefault="00E96FAC" w:rsidP="00E96FAC">
      <w:pPr>
        <w:spacing w:after="0" w:line="240" w:lineRule="auto"/>
        <w:jc w:val="both"/>
        <w:rPr>
          <w:rFonts w:ascii="Times New Roman" w:hAnsi="Times New Roman"/>
          <w:sz w:val="18"/>
          <w:szCs w:val="18"/>
          <w:lang w:val="ms-MY"/>
        </w:rPr>
      </w:pPr>
      <w:r w:rsidRPr="0040377C">
        <w:rPr>
          <w:rFonts w:ascii="Times New Roman" w:hAnsi="Times New Roman"/>
          <w:sz w:val="18"/>
          <w:szCs w:val="18"/>
          <w:lang w:val="ms-MY"/>
        </w:rPr>
        <w:t>Penentuan kepekatan dan taburan beberapa logam berat terpilih seperti Al, Fe, Cr, Cu, Mn, Ni, Pb dan Zn di dalam sedimen dasar di muara Sungai Kemaman, Terengganu telah dijalankan menggunakan kaedah pencernaan basah. Selepas pencernaan, logam berat di dalam larutan ekstrak dianalisa menggunakan spektrofotometer serapan atom (AAS) dan spektrofotometer serapan atom relau grafit (GFAAS). Umumnya, keputusan menunjukkan bahawa kepekatan kebanyakan logam berat di kawasan kajian adalah lebih rendah atau setara jika dibandingkan dengan kawasan lain. Bagi pensampelan pertama, purata kepekatan logam adalah 4.44 ± 2.55% (Al), 2.36 ± 1.01% (Fe), 44.29 ± 23.82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(Cr), 12.13 ± 6.03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(Cu), 135 ± 83.08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(Mn), 27.08 ± 13.47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(Ni), 25.11 ± 10.34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(Pb) dan 69.85 ± 29.13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(Zn). Bagi pensampelan kedua pula purata kepekatan adalah  10.18 ± 6.64 % (Al), 1.78 ± 0.75 % (Fe), 27.00 ± 18.27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(Cr), 10.15 ± 6.75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(Cu), 120.71± 72.69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(Mn), 11.88 ± 5.18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(Ni), 20.49 ± 9.20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(Pb) dan 34.17 ± 29.97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(Zn). Analisis statistik ANOVA menunjukkan terdapatnya perbezaan bererti (p&lt;0.05) di antara pensampelan pertama dan kedua. Penentuan faktor pengkayaan menunjukkan kepekatan Pb di kawasan kajian dipengaruhi oleh sumber-sumber antropogenik. Beberapa aktiviti di sekitar Sungai Kemaman telah dikenalpasti sebagai penyumbang sumber antropogenik iaitu aktiviti-aktiviti perikanan, perindustrian, aktiviti-aktiviti di dermaga dan dari kawasan perbandaran.</w:t>
      </w:r>
    </w:p>
    <w:p w:rsidR="00E96FAC" w:rsidRPr="0040377C" w:rsidRDefault="00E96FAC" w:rsidP="00E96FAC">
      <w:pPr>
        <w:spacing w:after="0" w:line="240" w:lineRule="auto"/>
        <w:jc w:val="both"/>
        <w:rPr>
          <w:rFonts w:ascii="Times New Roman" w:hAnsi="Times New Roman"/>
          <w:b/>
          <w:bCs/>
          <w:sz w:val="18"/>
          <w:szCs w:val="18"/>
          <w:lang w:val="ms-MY"/>
        </w:rPr>
      </w:pPr>
    </w:p>
    <w:p w:rsidR="00E96FAC" w:rsidRPr="0040377C" w:rsidRDefault="00E96FAC" w:rsidP="00E96FAC">
      <w:pPr>
        <w:spacing w:after="0" w:line="240" w:lineRule="auto"/>
        <w:ind w:right="360"/>
        <w:jc w:val="both"/>
        <w:rPr>
          <w:rFonts w:ascii="Times New Roman" w:hAnsi="Times New Roman"/>
          <w:b/>
          <w:bCs/>
          <w:sz w:val="18"/>
          <w:szCs w:val="18"/>
          <w:lang w:val="ms-MY"/>
        </w:rPr>
      </w:pPr>
      <w:r w:rsidRPr="0040377C">
        <w:rPr>
          <w:rFonts w:ascii="Times New Roman" w:hAnsi="Times New Roman"/>
          <w:b/>
          <w:sz w:val="18"/>
          <w:szCs w:val="18"/>
          <w:lang w:val="ms-MY"/>
        </w:rPr>
        <w:t>Kata kunci</w:t>
      </w:r>
      <w:r w:rsidRPr="0040377C">
        <w:rPr>
          <w:rFonts w:ascii="Times New Roman" w:hAnsi="Times New Roman"/>
          <w:b/>
          <w:bCs/>
          <w:sz w:val="18"/>
          <w:szCs w:val="18"/>
          <w:lang w:val="ms-MY"/>
        </w:rPr>
        <w:t xml:space="preserve">:  </w:t>
      </w:r>
      <w:r w:rsidRPr="0040377C">
        <w:rPr>
          <w:rFonts w:ascii="Times New Roman" w:hAnsi="Times New Roman"/>
          <w:iCs/>
          <w:sz w:val="18"/>
          <w:szCs w:val="18"/>
          <w:lang w:val="ms-MY"/>
        </w:rPr>
        <w:t>logam berat, faktor pengkayaan, sedimen, Sungai Kemaman, Laut China Selatan</w:t>
      </w:r>
    </w:p>
    <w:p w:rsidR="00E96FAC" w:rsidRPr="0040377C" w:rsidRDefault="00E96FAC" w:rsidP="00E96FAC">
      <w:pPr>
        <w:spacing w:after="0" w:line="240" w:lineRule="auto"/>
        <w:jc w:val="center"/>
        <w:rPr>
          <w:rFonts w:ascii="Times New Roman" w:hAnsi="Times New Roman"/>
          <w:b/>
          <w:bCs/>
          <w:sz w:val="18"/>
          <w:szCs w:val="18"/>
          <w:lang w:val="ms-MY"/>
        </w:rPr>
      </w:pPr>
    </w:p>
    <w:p w:rsidR="00E96FAC" w:rsidRPr="0040377C" w:rsidRDefault="00E96FAC" w:rsidP="00E96FAC">
      <w:pPr>
        <w:spacing w:after="0" w:line="240" w:lineRule="auto"/>
        <w:jc w:val="center"/>
        <w:rPr>
          <w:rFonts w:ascii="Times New Roman" w:hAnsi="Times New Roman"/>
          <w:b/>
          <w:sz w:val="18"/>
          <w:szCs w:val="18"/>
          <w:lang w:val="ms-MY"/>
        </w:rPr>
      </w:pPr>
      <w:r w:rsidRPr="0040377C">
        <w:rPr>
          <w:rFonts w:ascii="Times New Roman" w:hAnsi="Times New Roman"/>
          <w:b/>
          <w:bCs/>
          <w:sz w:val="18"/>
          <w:szCs w:val="18"/>
          <w:lang w:val="ms-MY"/>
        </w:rPr>
        <w:t>Abstract</w:t>
      </w:r>
    </w:p>
    <w:p w:rsidR="00E96FAC" w:rsidRPr="0040377C" w:rsidRDefault="00E96FAC" w:rsidP="00E96FAC">
      <w:pPr>
        <w:spacing w:after="0" w:line="240" w:lineRule="auto"/>
        <w:jc w:val="both"/>
        <w:rPr>
          <w:rFonts w:ascii="Times New Roman" w:hAnsi="Times New Roman"/>
          <w:sz w:val="18"/>
          <w:szCs w:val="18"/>
          <w:lang w:val="ms-MY"/>
        </w:rPr>
      </w:pPr>
      <w:r w:rsidRPr="0040377C">
        <w:rPr>
          <w:rFonts w:ascii="Times New Roman" w:hAnsi="Times New Roman"/>
          <w:sz w:val="18"/>
          <w:szCs w:val="18"/>
          <w:lang w:val="ms-MY"/>
        </w:rPr>
        <w:t>The determination of the concentrations and distributions of selected heavy metals such as Al, Fe, Cr, Cu, Mn, Ni, Pb, and Zn in sediment of Kemaman River estuary, Terengganu has been carried out using the wet digestion method. After digestion, heavy metals in solution extracts were analysed by atomic absorption spectrophotometer (AAS) and graphite furnace atomic absorption spectrophotometer (GFAAS). In general, the results showed that most of heavy metals concentration in the study area are similar or lower compared to other areas. For the first sampling, mean concentration was 4.44 ± 2.55% (Al), 2.36 ± 1.01% (Fe), 44.29 ± 23.82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(Cr), 12.13 ± 6.03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(Cu), 135 ± 83.08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(Mn), 27.08 ± 13.47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(Ni), 25.11 ± 10.34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(Pb) and 69.85 ± 29.13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(Zn). In the second sampling, the mean concentration of Al was 10.18 ± 6.64 %, 1.78 ± 0.75 % (Fe), 27.00 ± 18.27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(Cr), 10.15 ± 6.75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(Cu), 120.71± 72.69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(Mn), 11.88 ± 5.18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(Ni), 20.49 ± 9.20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(Pb) and 34.17 ± 29.97 μg.g</w:t>
      </w:r>
      <w:r w:rsidRPr="0040377C">
        <w:rPr>
          <w:rFonts w:ascii="Times New Roman" w:hAnsi="Times New Roman"/>
          <w:sz w:val="18"/>
          <w:szCs w:val="18"/>
          <w:vertAlign w:val="superscript"/>
          <w:lang w:val="ms-MY"/>
        </w:rPr>
        <w:t>-1</w:t>
      </w:r>
      <w:r w:rsidRPr="0040377C">
        <w:rPr>
          <w:rFonts w:ascii="Times New Roman" w:hAnsi="Times New Roman"/>
          <w:sz w:val="18"/>
          <w:szCs w:val="18"/>
          <w:lang w:val="ms-MY"/>
        </w:rPr>
        <w:t xml:space="preserve"> (Zn). The ANOVA statistical analysis showed that there was significant difference (p&lt;0.05) between the first and second sampling. Enrichment factor determination showed that Pb concentration was influenced by anthropogenic sources. Several activities around the Sungai Kemaman have been identified as the contributors for anthropogenic sources such as fishing activities, industrial, shipyard activities and from urbanized area. </w:t>
      </w:r>
    </w:p>
    <w:p w:rsidR="00E96FAC" w:rsidRPr="0040377C" w:rsidRDefault="00E96FAC" w:rsidP="00E96FAC">
      <w:pPr>
        <w:spacing w:after="0" w:line="240" w:lineRule="auto"/>
        <w:jc w:val="both"/>
        <w:rPr>
          <w:rFonts w:ascii="Times New Roman" w:hAnsi="Times New Roman"/>
          <w:sz w:val="18"/>
          <w:szCs w:val="18"/>
          <w:lang w:val="ms-MY"/>
        </w:rPr>
      </w:pPr>
    </w:p>
    <w:p w:rsidR="00494C46" w:rsidRPr="005739DE" w:rsidRDefault="00E96FAC" w:rsidP="005739DE">
      <w:pPr>
        <w:spacing w:after="0" w:line="240" w:lineRule="auto"/>
        <w:jc w:val="both"/>
        <w:rPr>
          <w:rFonts w:ascii="Times New Roman" w:hAnsi="Times New Roman"/>
          <w:sz w:val="18"/>
          <w:szCs w:val="18"/>
          <w:lang w:val="ms-MY"/>
        </w:rPr>
      </w:pPr>
      <w:r w:rsidRPr="0040377C">
        <w:rPr>
          <w:rFonts w:ascii="Times New Roman" w:hAnsi="Times New Roman"/>
          <w:b/>
          <w:sz w:val="18"/>
          <w:szCs w:val="18"/>
          <w:lang w:val="ms-MY"/>
        </w:rPr>
        <w:t>Keywords</w:t>
      </w:r>
      <w:r w:rsidRPr="0040377C">
        <w:rPr>
          <w:rFonts w:ascii="Times New Roman" w:hAnsi="Times New Roman"/>
          <w:b/>
          <w:bCs/>
          <w:sz w:val="18"/>
          <w:szCs w:val="18"/>
          <w:lang w:val="ms-MY"/>
        </w:rPr>
        <w:t xml:space="preserve">: </w:t>
      </w:r>
      <w:r>
        <w:rPr>
          <w:rFonts w:ascii="Times New Roman" w:hAnsi="Times New Roman"/>
          <w:sz w:val="18"/>
          <w:szCs w:val="18"/>
          <w:lang w:val="ms-MY"/>
        </w:rPr>
        <w:t xml:space="preserve"> </w:t>
      </w:r>
      <w:r w:rsidRPr="0040377C">
        <w:rPr>
          <w:rFonts w:ascii="Times New Roman" w:hAnsi="Times New Roman"/>
          <w:sz w:val="18"/>
          <w:szCs w:val="18"/>
          <w:lang w:val="ms-MY"/>
        </w:rPr>
        <w:t>heavy metals, enrichment factor, sediment, Kemaman River , South China Sea</w:t>
      </w:r>
    </w:p>
    <w:p w:rsidR="005739DE" w:rsidRPr="00E96FAC" w:rsidRDefault="005739DE" w:rsidP="005739DE">
      <w:pPr>
        <w:spacing w:after="0" w:line="240" w:lineRule="auto"/>
        <w:jc w:val="center"/>
        <w:rPr>
          <w:rFonts w:ascii="Times New Roman" w:hAnsi="Times New Roman"/>
          <w:b/>
          <w:bCs/>
          <w:sz w:val="20"/>
          <w:szCs w:val="20"/>
          <w:lang w:val="ms-MY"/>
        </w:rPr>
      </w:pPr>
      <w:r w:rsidRPr="00E96FAC">
        <w:rPr>
          <w:rFonts w:ascii="Times New Roman" w:hAnsi="Times New Roman"/>
          <w:b/>
          <w:bCs/>
          <w:sz w:val="20"/>
          <w:szCs w:val="20"/>
          <w:lang w:val="ms-MY"/>
        </w:rPr>
        <w:lastRenderedPageBreak/>
        <w:t>Pendahuluan</w:t>
      </w:r>
    </w:p>
    <w:p w:rsidR="005739DE" w:rsidRPr="00E96FAC" w:rsidRDefault="005739DE" w:rsidP="005739DE">
      <w:pPr>
        <w:spacing w:after="0" w:line="240" w:lineRule="auto"/>
        <w:jc w:val="both"/>
        <w:rPr>
          <w:rFonts w:ascii="Times New Roman" w:hAnsi="Times New Roman"/>
          <w:sz w:val="20"/>
          <w:szCs w:val="20"/>
          <w:lang w:val="ms-MY"/>
        </w:rPr>
      </w:pPr>
      <w:r w:rsidRPr="00E96FAC">
        <w:rPr>
          <w:rFonts w:ascii="Times New Roman" w:hAnsi="Times New Roman"/>
          <w:sz w:val="20"/>
          <w:szCs w:val="20"/>
          <w:lang w:val="ms-MY"/>
        </w:rPr>
        <w:t>Pencemaran laut dan sungai adalah satu isu yang amat sensitif untuk diperkatakan sama ada di Malaysia mahupun di serata dunia. Pada hari ini manusia mulai sedar akan kesan yang akan terjadi atau dihadapi apabila berlakunya sesuatu pencemaran. Bernt [1] dan Shamsuddin [2] telah mendapati terdapatnya bukti-bukti yang menunjukkan beberapa kawasan laut dan sungai di serata dunia ini dalam keadaan terancam. Sehubungan dengan itu, para saintis hari ini telah bersependapat bahawa pencemaran laut dan sungai memerlukan kajian yang segera kerana pada masa sekarang ini maklumat mengenai kesan negatif akibat daripada pencemaran masih lagi terbatas.</w:t>
      </w:r>
    </w:p>
    <w:p w:rsidR="005739DE" w:rsidRPr="00E96FAC" w:rsidRDefault="005739DE" w:rsidP="005739DE">
      <w:pPr>
        <w:spacing w:after="0" w:line="240" w:lineRule="auto"/>
        <w:jc w:val="both"/>
        <w:rPr>
          <w:rFonts w:ascii="Times New Roman" w:hAnsi="Times New Roman"/>
          <w:sz w:val="20"/>
          <w:szCs w:val="20"/>
          <w:lang w:val="ms-MY"/>
        </w:rPr>
      </w:pPr>
    </w:p>
    <w:p w:rsidR="005739DE" w:rsidRPr="00E96FAC" w:rsidRDefault="005739DE" w:rsidP="005739DE">
      <w:pPr>
        <w:spacing w:after="0" w:line="240" w:lineRule="auto"/>
        <w:jc w:val="both"/>
        <w:rPr>
          <w:rFonts w:ascii="Times New Roman" w:hAnsi="Times New Roman"/>
          <w:sz w:val="20"/>
          <w:szCs w:val="20"/>
          <w:lang w:val="ms-MY"/>
        </w:rPr>
      </w:pPr>
      <w:r w:rsidRPr="00E96FAC">
        <w:rPr>
          <w:rFonts w:ascii="Times New Roman" w:hAnsi="Times New Roman"/>
          <w:sz w:val="20"/>
          <w:szCs w:val="20"/>
          <w:lang w:val="ms-MY"/>
        </w:rPr>
        <w:t>Sejak beberapa dekad yang lalu, penebusgunaan tanah di sepanjang sungai untuk pembinaan kawasan perindustrian telah dilakukan bagi meningkatkan ekonomi masyarakat setempat. Ini telah menyebabkan pertambahan penduduk, aktiviti yang semakin meluas dan yang paling penting sekali adalah pembuangan sisa-sisa perindustrian ke dalam sungai yang telah menyebabkan pengumpulan logam berat yang toksik sehingga pada tahap yang membimbangkan. Logam berat yang memasuki sungai ini akan tertinggal yang kemudiannya diserap oleh bahan terampai dan diangkut ke seluruh kawasan sungai mengikut pergerakan arah arus [3]. Semasa pengangkutan berlaku, ia akan bercampur dengan bahan-bahan enapan dan partikulat lain yang terdapat dalam sungai tersebut. Ini akan menyebabkan perubahan secara kimia dan pemendakan berlaku bersama dengan logam berat tersebut. Pada masa dahulu, sedimen sungai dikatakan dapat membantu membersihkan air dengan menyerap pencemaran. Tetapi sekarang, simpanan logam berat yang banyak di dalam sedimen telah digambarkan sebagai berbahaya dan bertoksik kerana boleh memberi kesan jangkamasa panjang kepada ekosistem sungai dan biota hidupan yang terdedah dengan bahan bertoksik ini [3].</w:t>
      </w:r>
    </w:p>
    <w:p w:rsidR="005739DE" w:rsidRPr="00E96FAC" w:rsidRDefault="005739DE" w:rsidP="005739DE">
      <w:pPr>
        <w:spacing w:after="0" w:line="240" w:lineRule="auto"/>
        <w:jc w:val="both"/>
        <w:rPr>
          <w:rFonts w:ascii="Times New Roman" w:hAnsi="Times New Roman"/>
          <w:sz w:val="20"/>
          <w:szCs w:val="20"/>
          <w:lang w:val="ms-MY"/>
        </w:rPr>
      </w:pPr>
    </w:p>
    <w:p w:rsidR="005739DE" w:rsidRPr="00E96FAC" w:rsidRDefault="005739DE" w:rsidP="005739DE">
      <w:pPr>
        <w:pStyle w:val="BodyTextIndent"/>
        <w:spacing w:after="0"/>
        <w:ind w:left="0"/>
        <w:jc w:val="both"/>
        <w:rPr>
          <w:sz w:val="20"/>
          <w:szCs w:val="20"/>
          <w:lang w:val="ms-MY"/>
        </w:rPr>
      </w:pPr>
      <w:r w:rsidRPr="00E96FAC">
        <w:rPr>
          <w:sz w:val="20"/>
          <w:szCs w:val="20"/>
          <w:lang w:val="ms-MY"/>
        </w:rPr>
        <w:t>Secara amnya, pencemaran sungai pada masa kini adalah pada tahap yang membimbangkan. Pembuangan sisa-sisa perindustrian daripada kilang-kilang yang dibina berhampiran telah menyebabkan sungai tercemar teruk. Begitu juga dengan pembuangan sisa-sisa domestik yang dilakukan oleh pihak yang tidak bertanggungjawab sehingga menyebabkan pencemaran berlaku. Berasaskan kepada keadaan ini maka satu kajian telah dijalankan di Sungai Kemaman untuk mengkaji faktor-faktor penyumbang kepada kepekatan logam berat dalam sedimen. Sungai Kemaman terletak di kawasan perindustrian Teluk Kalong, Kemaman, Terengganu.</w:t>
      </w:r>
    </w:p>
    <w:p w:rsidR="005739DE" w:rsidRPr="00E96FAC" w:rsidRDefault="005739DE" w:rsidP="005739DE">
      <w:pPr>
        <w:pStyle w:val="BodyTextIndent"/>
        <w:spacing w:after="0"/>
        <w:ind w:left="0"/>
        <w:jc w:val="both"/>
        <w:rPr>
          <w:sz w:val="20"/>
          <w:szCs w:val="20"/>
          <w:lang w:val="ms-MY"/>
        </w:rPr>
      </w:pPr>
    </w:p>
    <w:p w:rsidR="005739DE" w:rsidRPr="005739DE" w:rsidRDefault="005739DE" w:rsidP="005739DE">
      <w:pPr>
        <w:pStyle w:val="Heading3"/>
        <w:spacing w:before="0" w:line="240" w:lineRule="auto"/>
        <w:jc w:val="center"/>
        <w:rPr>
          <w:rFonts w:ascii="Times New Roman" w:hAnsi="Times New Roman"/>
          <w:b/>
          <w:i w:val="0"/>
          <w:smallCaps w:val="0"/>
          <w:sz w:val="20"/>
          <w:szCs w:val="20"/>
          <w:lang w:val="ms-MY"/>
        </w:rPr>
      </w:pPr>
      <w:r>
        <w:rPr>
          <w:rFonts w:ascii="Times New Roman" w:hAnsi="Times New Roman"/>
          <w:b/>
          <w:i w:val="0"/>
          <w:smallCaps w:val="0"/>
          <w:sz w:val="20"/>
          <w:szCs w:val="20"/>
          <w:lang w:val="ms-MY"/>
        </w:rPr>
        <w:t>Bahan dan K</w:t>
      </w:r>
      <w:r w:rsidRPr="005739DE">
        <w:rPr>
          <w:rFonts w:ascii="Times New Roman" w:hAnsi="Times New Roman"/>
          <w:b/>
          <w:i w:val="0"/>
          <w:smallCaps w:val="0"/>
          <w:sz w:val="20"/>
          <w:szCs w:val="20"/>
          <w:lang w:val="ms-MY"/>
        </w:rPr>
        <w:t>aedah</w:t>
      </w:r>
    </w:p>
    <w:p w:rsidR="005739DE" w:rsidRPr="00E96FAC" w:rsidRDefault="005739DE" w:rsidP="005739DE">
      <w:pPr>
        <w:pStyle w:val="Heading4"/>
        <w:spacing w:line="240" w:lineRule="auto"/>
        <w:rPr>
          <w:rFonts w:ascii="Times New Roman" w:hAnsi="Times New Roman"/>
          <w:sz w:val="20"/>
          <w:szCs w:val="20"/>
          <w:lang w:val="ms-MY"/>
        </w:rPr>
      </w:pPr>
      <w:r w:rsidRPr="00E96FAC">
        <w:rPr>
          <w:rFonts w:ascii="Times New Roman" w:hAnsi="Times New Roman"/>
          <w:sz w:val="20"/>
          <w:szCs w:val="20"/>
          <w:lang w:val="ms-MY"/>
        </w:rPr>
        <w:t>Kawasan kajian dan persampelan</w:t>
      </w:r>
    </w:p>
    <w:p w:rsidR="005739DE" w:rsidRPr="00E96FAC" w:rsidRDefault="005739DE" w:rsidP="005739DE">
      <w:pPr>
        <w:spacing w:after="0" w:line="240" w:lineRule="auto"/>
        <w:jc w:val="both"/>
        <w:rPr>
          <w:rFonts w:ascii="Times New Roman" w:hAnsi="Times New Roman"/>
          <w:sz w:val="20"/>
          <w:szCs w:val="20"/>
          <w:lang w:val="ms-MY"/>
        </w:rPr>
      </w:pPr>
      <w:r w:rsidRPr="00E96FAC">
        <w:rPr>
          <w:rFonts w:ascii="Times New Roman" w:hAnsi="Times New Roman"/>
          <w:sz w:val="20"/>
          <w:szCs w:val="20"/>
          <w:lang w:val="ms-MY"/>
        </w:rPr>
        <w:t xml:space="preserve">Kawasan kajian ditunjukkan dalam Rajah 1. Pensampelan enapan dasar daripada 23 stesen terpilih telah dijalankan sebanyak dua kali iaitu pada bulan Jun 2002 dan Oktober 2002 dengan menggunakan bot UNIPERTAMA III.  Pensampelan sedimen dilakukan dengan menggunakan pencengkau Smith McIntyre. Sampel disimpan dalam bekas polietilena yang telah direndam di dalam larutan asid nitrik 20% selama satu minggu dan dibilas dengan air Milli-Q (18.2 MΩ) dan kemudiannya dibawa ke makmal. </w:t>
      </w:r>
    </w:p>
    <w:p w:rsidR="005739DE" w:rsidRPr="005739DE" w:rsidRDefault="005739DE" w:rsidP="005739DE">
      <w:pPr>
        <w:spacing w:after="0" w:line="240" w:lineRule="auto"/>
        <w:jc w:val="both"/>
        <w:rPr>
          <w:rFonts w:ascii="Times New Roman" w:hAnsi="Times New Roman"/>
          <w:sz w:val="20"/>
          <w:szCs w:val="20"/>
          <w:lang w:val="ms-MY"/>
        </w:rPr>
      </w:pPr>
    </w:p>
    <w:p w:rsidR="005739DE" w:rsidRPr="00E96FAC" w:rsidRDefault="005739DE" w:rsidP="005739DE">
      <w:pPr>
        <w:spacing w:after="120" w:line="240" w:lineRule="auto"/>
        <w:jc w:val="center"/>
        <w:rPr>
          <w:rFonts w:ascii="Times New Roman" w:hAnsi="Times New Roman"/>
          <w:sz w:val="20"/>
          <w:szCs w:val="20"/>
          <w:lang w:val="ms-MY"/>
        </w:rPr>
      </w:pPr>
      <w:r w:rsidRPr="00E96FAC">
        <w:rPr>
          <w:rFonts w:ascii="Times New Roman" w:hAnsi="Times New Roman"/>
          <w:noProof/>
          <w:sz w:val="20"/>
          <w:szCs w:val="20"/>
          <w:lang w:val="en-MY" w:eastAsia="en-MY" w:bidi="ar-SA"/>
        </w:rPr>
        <mc:AlternateContent>
          <mc:Choice Requires="wps">
            <w:drawing>
              <wp:anchor distT="0" distB="0" distL="114300" distR="114300" simplePos="0" relativeHeight="251659264" behindDoc="0" locked="0" layoutInCell="1" allowOverlap="1" wp14:anchorId="2ADB7BC2" wp14:editId="41279DDD">
                <wp:simplePos x="0" y="0"/>
                <wp:positionH relativeFrom="column">
                  <wp:posOffset>1562100</wp:posOffset>
                </wp:positionH>
                <wp:positionV relativeFrom="paragraph">
                  <wp:posOffset>233680</wp:posOffset>
                </wp:positionV>
                <wp:extent cx="114300" cy="228600"/>
                <wp:effectExtent l="9525" t="11430" r="952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3pt;margin-top:18.4pt;width: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" filled="f" strokeweight="1.5pt"/>
            </w:pict>
          </mc:Fallback>
        </mc:AlternateContent>
      </w:r>
      <w:r w:rsidRPr="00E96FAC">
        <w:rPr>
          <w:rFonts w:ascii="Times New Roman" w:hAnsi="Times New Roman"/>
          <w:noProof/>
          <w:sz w:val="20"/>
          <w:szCs w:val="20"/>
          <w:lang w:val="en-MY" w:eastAsia="en-MY" w:bidi="ar-SA"/>
        </w:rPr>
        <w:drawing>
          <wp:inline distT="0" distB="0" distL="0" distR="0" wp14:anchorId="27DFFFB4" wp14:editId="57615CC1">
            <wp:extent cx="3885296" cy="22860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5296" cy="2286000"/>
                    </a:xfrm>
                    <a:prstGeom prst="rect">
                      <a:avLst/>
                    </a:prstGeom>
                    <a:noFill/>
                    <a:ln>
                      <a:noFill/>
                    </a:ln>
                  </pic:spPr>
                </pic:pic>
              </a:graphicData>
            </a:graphic>
          </wp:inline>
        </w:drawing>
      </w:r>
    </w:p>
    <w:p w:rsidR="005739DE" w:rsidRPr="00E96FAC" w:rsidRDefault="005739DE" w:rsidP="005739DE">
      <w:pPr>
        <w:spacing w:after="0" w:line="240" w:lineRule="auto"/>
        <w:jc w:val="center"/>
        <w:rPr>
          <w:rFonts w:ascii="Times New Roman" w:hAnsi="Times New Roman"/>
          <w:sz w:val="20"/>
          <w:szCs w:val="20"/>
          <w:lang w:val="ms-MY"/>
        </w:rPr>
      </w:pPr>
      <w:r w:rsidRPr="00E96FAC">
        <w:rPr>
          <w:rFonts w:ascii="Times New Roman" w:hAnsi="Times New Roman"/>
          <w:sz w:val="20"/>
          <w:szCs w:val="20"/>
          <w:lang w:val="ms-MY"/>
        </w:rPr>
        <w:t>Rajah 1.  Kawasan kajian di muara Sungai Kemaman, Terengganu</w:t>
      </w:r>
    </w:p>
    <w:p w:rsidR="005739DE" w:rsidRPr="00E96FAC" w:rsidRDefault="005739DE" w:rsidP="005739DE">
      <w:pPr>
        <w:spacing w:after="0" w:line="240" w:lineRule="auto"/>
        <w:jc w:val="both"/>
        <w:rPr>
          <w:rFonts w:ascii="Times New Roman" w:hAnsi="Times New Roman"/>
          <w:b/>
          <w:sz w:val="20"/>
          <w:szCs w:val="20"/>
          <w:lang w:val="ms-MY"/>
        </w:rPr>
      </w:pPr>
      <w:r w:rsidRPr="00E96FAC">
        <w:rPr>
          <w:rFonts w:ascii="Times New Roman" w:hAnsi="Times New Roman"/>
          <w:b/>
          <w:sz w:val="20"/>
          <w:szCs w:val="20"/>
          <w:lang w:val="ms-MY"/>
        </w:rPr>
        <w:lastRenderedPageBreak/>
        <w:t>Penyediaan sampel</w:t>
      </w:r>
    </w:p>
    <w:p w:rsidR="005739DE" w:rsidRPr="00E96FAC" w:rsidRDefault="005739DE" w:rsidP="005739DE">
      <w:pPr>
        <w:spacing w:after="0" w:line="240" w:lineRule="auto"/>
        <w:jc w:val="both"/>
        <w:rPr>
          <w:rFonts w:ascii="Times New Roman" w:hAnsi="Times New Roman"/>
          <w:i/>
          <w:sz w:val="20"/>
          <w:szCs w:val="20"/>
          <w:lang w:val="ms-MY"/>
        </w:rPr>
      </w:pPr>
      <w:r w:rsidRPr="00E96FAC">
        <w:rPr>
          <w:rFonts w:ascii="Times New Roman" w:hAnsi="Times New Roman"/>
          <w:sz w:val="20"/>
          <w:szCs w:val="20"/>
          <w:lang w:val="ms-MY"/>
        </w:rPr>
        <w:t>Di dalam makmal, sampel dikeringkan sehingga mencapai berat yang tetap. Kemudian sampel diayak menggunakan penggoncang automatik Endecolls EFL2 mk3. Hanya sampel yang bersaiz di bawah 63 µm digunakan untuk analisis seterusnya.</w:t>
      </w:r>
      <w:r w:rsidRPr="00E96FAC">
        <w:rPr>
          <w:rFonts w:ascii="Times New Roman" w:hAnsi="Times New Roman"/>
          <w:i/>
          <w:sz w:val="20"/>
          <w:szCs w:val="20"/>
          <w:lang w:val="ms-MY"/>
        </w:rPr>
        <w:t xml:space="preserve"> </w:t>
      </w:r>
    </w:p>
    <w:p w:rsidR="005739DE" w:rsidRPr="00E96FAC" w:rsidRDefault="005739DE" w:rsidP="005739DE">
      <w:pPr>
        <w:spacing w:after="0" w:line="240" w:lineRule="auto"/>
        <w:jc w:val="both"/>
        <w:rPr>
          <w:rFonts w:ascii="Times New Roman" w:hAnsi="Times New Roman"/>
          <w:i/>
          <w:sz w:val="20"/>
          <w:szCs w:val="20"/>
          <w:lang w:val="ms-MY"/>
        </w:rPr>
      </w:pPr>
    </w:p>
    <w:p w:rsidR="005739DE" w:rsidRPr="00E96FAC" w:rsidRDefault="005739DE" w:rsidP="005739DE">
      <w:pPr>
        <w:spacing w:after="0" w:line="240" w:lineRule="auto"/>
        <w:jc w:val="both"/>
        <w:rPr>
          <w:rFonts w:ascii="Times New Roman" w:hAnsi="Times New Roman"/>
          <w:b/>
          <w:sz w:val="20"/>
          <w:szCs w:val="20"/>
          <w:lang w:val="ms-MY"/>
        </w:rPr>
      </w:pPr>
      <w:r w:rsidRPr="00E96FAC">
        <w:rPr>
          <w:rFonts w:ascii="Times New Roman" w:hAnsi="Times New Roman"/>
          <w:b/>
          <w:sz w:val="20"/>
          <w:szCs w:val="20"/>
          <w:lang w:val="ms-MY"/>
        </w:rPr>
        <w:t>Analisis logam berat</w:t>
      </w:r>
    </w:p>
    <w:p w:rsidR="005739DE" w:rsidRPr="00E96FAC" w:rsidRDefault="005739DE" w:rsidP="005739DE">
      <w:pPr>
        <w:spacing w:after="0" w:line="240" w:lineRule="auto"/>
        <w:jc w:val="both"/>
        <w:rPr>
          <w:rFonts w:ascii="Times New Roman" w:hAnsi="Times New Roman"/>
          <w:sz w:val="20"/>
          <w:szCs w:val="20"/>
          <w:lang w:val="ms-MY"/>
        </w:rPr>
      </w:pPr>
      <w:r w:rsidRPr="00E96FAC">
        <w:rPr>
          <w:rFonts w:ascii="Times New Roman" w:hAnsi="Times New Roman"/>
          <w:sz w:val="20"/>
          <w:szCs w:val="20"/>
          <w:lang w:val="ms-MY"/>
        </w:rPr>
        <w:t>Kesemua peralatan kaca yang digunakan dalam analisis terlebih dahulu direndam di dalam larutan asid nitrik 10% untuk selama 24 jam dan dibilas dengan air Milli-Q (18.2 MΩ) untuk memastikan ia bebas daripada bahan-bahan pencemar. Kaedah pencernaan basah ke atas sampel telah dijalankan dengan menggunakan campuran asid nitrik (65%, GR, Merck), asid perklorik (70-72%, GR, Merck), asid hidroflorik (40%, GR, Merck) dan asid hidroklorik (37%, GR, Merck) [4]. Selepas pencernaan, analisis logam berat telah dijalankan dengan menggunakan spektrofotometer serapan atom (AAS) model Perkin Elmer 3100 dan spektrofotometer serapan atom relau grafit (GFAAS) model Hitachi Z–8270. Sampel rujukan NBS 1646a telah digunakan untuk memastikan ketepatan analisis yang dijalankan. Ketepatan analisis adalah di antara julat 92-104%  (Jadual 1).</w:t>
      </w:r>
    </w:p>
    <w:p w:rsidR="005739DE" w:rsidRPr="005739DE" w:rsidRDefault="005739DE" w:rsidP="005739DE">
      <w:pPr>
        <w:spacing w:after="120" w:line="240" w:lineRule="auto"/>
        <w:jc w:val="both"/>
        <w:rPr>
          <w:rFonts w:ascii="Times New Roman" w:hAnsi="Times New Roman"/>
          <w:sz w:val="20"/>
          <w:szCs w:val="20"/>
          <w:lang w:val="ms-MY"/>
        </w:rPr>
      </w:pPr>
    </w:p>
    <w:p w:rsidR="005739DE" w:rsidRPr="00E96FAC" w:rsidRDefault="005739DE" w:rsidP="005739DE">
      <w:pPr>
        <w:spacing w:after="0" w:line="240" w:lineRule="auto"/>
        <w:ind w:firstLine="180"/>
        <w:jc w:val="center"/>
        <w:rPr>
          <w:rFonts w:ascii="Times New Roman" w:hAnsi="Times New Roman"/>
          <w:sz w:val="20"/>
          <w:szCs w:val="20"/>
          <w:lang w:val="ms-MY"/>
        </w:rPr>
      </w:pPr>
      <w:r w:rsidRPr="00E96FAC">
        <w:rPr>
          <w:rFonts w:ascii="Times New Roman" w:hAnsi="Times New Roman"/>
          <w:sz w:val="20"/>
          <w:szCs w:val="20"/>
          <w:lang w:val="ms-MY"/>
        </w:rPr>
        <w:t>Jadual 1.  Nilai  ujian ketepatan analisis sampel dengan nilai rujukan NBS 1646a</w:t>
      </w:r>
    </w:p>
    <w:p w:rsidR="005739DE" w:rsidRPr="00E96FAC" w:rsidRDefault="005739DE" w:rsidP="005739DE">
      <w:pPr>
        <w:spacing w:after="0" w:line="240" w:lineRule="auto"/>
        <w:jc w:val="both"/>
        <w:rPr>
          <w:rFonts w:ascii="Times New Roman" w:hAnsi="Times New Roman"/>
          <w:sz w:val="20"/>
          <w:szCs w:val="20"/>
          <w:lang w:val="ms-MY"/>
        </w:rPr>
      </w:pPr>
    </w:p>
    <w:tbl>
      <w:tblPr>
        <w:tblpPr w:leftFromText="180" w:rightFromText="180" w:vertAnchor="text" w:horzAnchor="page" w:tblpXSpec="center" w:tblpY="61"/>
        <w:tblOverlap w:val="never"/>
        <w:tblW w:w="0" w:type="auto"/>
        <w:tblLook w:val="01E0" w:firstRow="1" w:lastRow="1" w:firstColumn="1" w:lastColumn="1" w:noHBand="0" w:noVBand="0"/>
      </w:tblPr>
      <w:tblGrid>
        <w:gridCol w:w="816"/>
        <w:gridCol w:w="1932"/>
        <w:gridCol w:w="1932"/>
        <w:gridCol w:w="1105"/>
      </w:tblGrid>
      <w:tr w:rsidR="005739DE" w:rsidRPr="00E96FAC" w:rsidTr="005739DE">
        <w:tc>
          <w:tcPr>
            <w:tcW w:w="0" w:type="auto"/>
            <w:tcBorders>
              <w:top w:val="single" w:sz="4" w:space="0" w:color="auto"/>
              <w:bottom w:val="single" w:sz="4" w:space="0" w:color="auto"/>
            </w:tcBorders>
          </w:tcPr>
          <w:p w:rsidR="005739DE" w:rsidRPr="00E96FAC" w:rsidRDefault="005739DE" w:rsidP="005739DE">
            <w:pPr>
              <w:spacing w:before="60" w:after="0" w:line="240" w:lineRule="auto"/>
              <w:rPr>
                <w:rFonts w:ascii="Times New Roman" w:hAnsi="Times New Roman"/>
                <w:b/>
                <w:sz w:val="20"/>
                <w:szCs w:val="20"/>
                <w:lang w:val="ms-MY"/>
              </w:rPr>
            </w:pPr>
            <w:r w:rsidRPr="00E96FAC">
              <w:rPr>
                <w:rFonts w:ascii="Times New Roman" w:hAnsi="Times New Roman"/>
                <w:b/>
                <w:sz w:val="20"/>
                <w:szCs w:val="20"/>
                <w:lang w:val="ms-MY"/>
              </w:rPr>
              <w:t>Logam</w:t>
            </w:r>
          </w:p>
        </w:tc>
        <w:tc>
          <w:tcPr>
            <w:tcW w:w="0" w:type="auto"/>
            <w:tcBorders>
              <w:top w:val="single" w:sz="4" w:space="0" w:color="auto"/>
              <w:bottom w:val="single" w:sz="4" w:space="0" w:color="auto"/>
            </w:tcBorders>
          </w:tcPr>
          <w:p w:rsidR="005739DE" w:rsidRPr="00E96FAC" w:rsidRDefault="005739DE" w:rsidP="005739DE">
            <w:pPr>
              <w:spacing w:before="60" w:after="0" w:line="240" w:lineRule="auto"/>
              <w:jc w:val="center"/>
              <w:rPr>
                <w:rFonts w:ascii="Times New Roman" w:hAnsi="Times New Roman"/>
                <w:b/>
                <w:sz w:val="20"/>
                <w:szCs w:val="20"/>
                <w:lang w:val="ms-MY"/>
              </w:rPr>
            </w:pPr>
            <w:r w:rsidRPr="00E96FAC">
              <w:rPr>
                <w:rFonts w:ascii="Times New Roman" w:hAnsi="Times New Roman"/>
                <w:b/>
                <w:sz w:val="20"/>
                <w:szCs w:val="20"/>
                <w:lang w:val="ms-MY"/>
              </w:rPr>
              <w:t>Nilai Piawai</w:t>
            </w:r>
          </w:p>
          <w:p w:rsidR="005739DE" w:rsidRPr="00E96FAC" w:rsidRDefault="005739DE" w:rsidP="005739DE">
            <w:pPr>
              <w:spacing w:after="60" w:line="240" w:lineRule="auto"/>
              <w:jc w:val="center"/>
              <w:rPr>
                <w:rFonts w:ascii="Times New Roman" w:hAnsi="Times New Roman"/>
                <w:b/>
                <w:sz w:val="20"/>
                <w:szCs w:val="20"/>
                <w:lang w:val="ms-MY"/>
              </w:rPr>
            </w:pPr>
            <w:r w:rsidRPr="00E96FAC">
              <w:rPr>
                <w:rFonts w:ascii="Times New Roman" w:hAnsi="Times New Roman"/>
                <w:b/>
                <w:sz w:val="20"/>
                <w:szCs w:val="20"/>
                <w:lang w:val="ms-MY"/>
              </w:rPr>
              <w:t>(μg.g</w:t>
            </w:r>
            <w:r w:rsidRPr="00E96FAC">
              <w:rPr>
                <w:rFonts w:ascii="Times New Roman" w:hAnsi="Times New Roman"/>
                <w:b/>
                <w:sz w:val="20"/>
                <w:szCs w:val="20"/>
                <w:vertAlign w:val="superscript"/>
                <w:lang w:val="ms-MY"/>
              </w:rPr>
              <w:t>-1</w:t>
            </w:r>
            <w:r w:rsidRPr="00E96FAC">
              <w:rPr>
                <w:rFonts w:ascii="Times New Roman" w:hAnsi="Times New Roman"/>
                <w:b/>
                <w:sz w:val="20"/>
                <w:szCs w:val="20"/>
                <w:lang w:val="ms-MY"/>
              </w:rPr>
              <w:t xml:space="preserve"> berat kering)</w:t>
            </w:r>
          </w:p>
        </w:tc>
        <w:tc>
          <w:tcPr>
            <w:tcW w:w="0" w:type="auto"/>
            <w:tcBorders>
              <w:top w:val="single" w:sz="4" w:space="0" w:color="auto"/>
              <w:bottom w:val="single" w:sz="4" w:space="0" w:color="auto"/>
            </w:tcBorders>
          </w:tcPr>
          <w:p w:rsidR="005739DE" w:rsidRPr="00E96FAC" w:rsidRDefault="005739DE" w:rsidP="005739DE">
            <w:pPr>
              <w:spacing w:before="60" w:after="0" w:line="240" w:lineRule="auto"/>
              <w:jc w:val="center"/>
              <w:rPr>
                <w:rFonts w:ascii="Times New Roman" w:hAnsi="Times New Roman"/>
                <w:b/>
                <w:sz w:val="20"/>
                <w:szCs w:val="20"/>
                <w:lang w:val="ms-MY"/>
              </w:rPr>
            </w:pPr>
            <w:r w:rsidRPr="00E96FAC">
              <w:rPr>
                <w:rFonts w:ascii="Times New Roman" w:hAnsi="Times New Roman"/>
                <w:b/>
                <w:sz w:val="20"/>
                <w:szCs w:val="20"/>
                <w:lang w:val="ms-MY"/>
              </w:rPr>
              <w:t>Nilai Diperolehi</w:t>
            </w:r>
          </w:p>
          <w:p w:rsidR="005739DE" w:rsidRPr="00E96FAC" w:rsidRDefault="005739DE" w:rsidP="005739DE">
            <w:pPr>
              <w:spacing w:after="60" w:line="240" w:lineRule="auto"/>
              <w:jc w:val="center"/>
              <w:rPr>
                <w:rFonts w:ascii="Times New Roman" w:hAnsi="Times New Roman"/>
                <w:b/>
                <w:sz w:val="20"/>
                <w:szCs w:val="20"/>
                <w:lang w:val="ms-MY"/>
              </w:rPr>
            </w:pPr>
            <w:r w:rsidRPr="00E96FAC">
              <w:rPr>
                <w:rFonts w:ascii="Times New Roman" w:hAnsi="Times New Roman"/>
                <w:b/>
                <w:sz w:val="20"/>
                <w:szCs w:val="20"/>
                <w:lang w:val="ms-MY"/>
              </w:rPr>
              <w:t>(μg.g</w:t>
            </w:r>
            <w:r w:rsidRPr="00E96FAC">
              <w:rPr>
                <w:rFonts w:ascii="Times New Roman" w:hAnsi="Times New Roman"/>
                <w:b/>
                <w:sz w:val="20"/>
                <w:szCs w:val="20"/>
                <w:vertAlign w:val="superscript"/>
                <w:lang w:val="ms-MY"/>
              </w:rPr>
              <w:t>-1</w:t>
            </w:r>
            <w:r w:rsidRPr="00E96FAC">
              <w:rPr>
                <w:rFonts w:ascii="Times New Roman" w:hAnsi="Times New Roman"/>
                <w:b/>
                <w:sz w:val="20"/>
                <w:szCs w:val="20"/>
                <w:lang w:val="ms-MY"/>
              </w:rPr>
              <w:t xml:space="preserve"> berat kering)</w:t>
            </w:r>
          </w:p>
        </w:tc>
        <w:tc>
          <w:tcPr>
            <w:tcW w:w="0" w:type="auto"/>
            <w:tcBorders>
              <w:top w:val="single" w:sz="4" w:space="0" w:color="auto"/>
              <w:bottom w:val="single" w:sz="4" w:space="0" w:color="auto"/>
            </w:tcBorders>
          </w:tcPr>
          <w:p w:rsidR="005739DE" w:rsidRPr="00E96FAC" w:rsidRDefault="005739DE" w:rsidP="005739DE">
            <w:pPr>
              <w:spacing w:before="60" w:after="0" w:line="240" w:lineRule="auto"/>
              <w:jc w:val="center"/>
              <w:rPr>
                <w:rFonts w:ascii="Times New Roman" w:hAnsi="Times New Roman"/>
                <w:b/>
                <w:sz w:val="20"/>
                <w:szCs w:val="20"/>
                <w:lang w:val="ms-MY"/>
              </w:rPr>
            </w:pPr>
            <w:r w:rsidRPr="00E96FAC">
              <w:rPr>
                <w:rFonts w:ascii="Times New Roman" w:hAnsi="Times New Roman"/>
                <w:b/>
                <w:sz w:val="20"/>
                <w:szCs w:val="20"/>
                <w:lang w:val="ms-MY"/>
              </w:rPr>
              <w:t xml:space="preserve">Ketepatan </w:t>
            </w:r>
          </w:p>
          <w:p w:rsidR="005739DE" w:rsidRPr="00E96FAC" w:rsidRDefault="005739DE" w:rsidP="005739DE">
            <w:pPr>
              <w:spacing w:after="60" w:line="240" w:lineRule="auto"/>
              <w:jc w:val="center"/>
              <w:rPr>
                <w:rFonts w:ascii="Times New Roman" w:hAnsi="Times New Roman"/>
                <w:b/>
                <w:sz w:val="20"/>
                <w:szCs w:val="20"/>
                <w:lang w:val="ms-MY"/>
              </w:rPr>
            </w:pPr>
            <w:r w:rsidRPr="00E96FAC">
              <w:rPr>
                <w:rFonts w:ascii="Times New Roman" w:hAnsi="Times New Roman"/>
                <w:b/>
                <w:sz w:val="20"/>
                <w:szCs w:val="20"/>
                <w:lang w:val="ms-MY"/>
              </w:rPr>
              <w:t>(%)</w:t>
            </w:r>
          </w:p>
        </w:tc>
      </w:tr>
      <w:tr w:rsidR="005739DE" w:rsidRPr="00E96FAC" w:rsidTr="005739DE">
        <w:tc>
          <w:tcPr>
            <w:tcW w:w="0" w:type="auto"/>
            <w:tcBorders>
              <w:top w:val="single" w:sz="4" w:space="0" w:color="auto"/>
            </w:tcBorders>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Al %</w:t>
            </w:r>
          </w:p>
        </w:tc>
        <w:tc>
          <w:tcPr>
            <w:tcW w:w="0" w:type="auto"/>
            <w:tcBorders>
              <w:top w:val="single" w:sz="4" w:space="0" w:color="auto"/>
            </w:tcBorders>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2.29</w:t>
            </w:r>
          </w:p>
        </w:tc>
        <w:tc>
          <w:tcPr>
            <w:tcW w:w="0" w:type="auto"/>
            <w:tcBorders>
              <w:top w:val="single" w:sz="4" w:space="0" w:color="auto"/>
            </w:tcBorders>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2.35</w:t>
            </w:r>
          </w:p>
        </w:tc>
        <w:tc>
          <w:tcPr>
            <w:tcW w:w="0" w:type="auto"/>
            <w:tcBorders>
              <w:top w:val="single" w:sz="4" w:space="0" w:color="auto"/>
            </w:tcBorders>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103</w:t>
            </w:r>
          </w:p>
        </w:tc>
      </w:tr>
      <w:tr w:rsidR="005739DE" w:rsidRPr="00E96FAC" w:rsidTr="005739DE">
        <w:tc>
          <w:tcPr>
            <w:tcW w:w="0" w:type="auto"/>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Fe %</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2.01</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1.85</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92</w:t>
            </w:r>
          </w:p>
        </w:tc>
      </w:tr>
      <w:tr w:rsidR="005739DE" w:rsidRPr="00E96FAC" w:rsidTr="005739DE">
        <w:tc>
          <w:tcPr>
            <w:tcW w:w="0" w:type="auto"/>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Cr</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40.90</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39.08</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96</w:t>
            </w:r>
          </w:p>
        </w:tc>
      </w:tr>
      <w:tr w:rsidR="005739DE" w:rsidRPr="00E96FAC" w:rsidTr="005739DE">
        <w:tc>
          <w:tcPr>
            <w:tcW w:w="0" w:type="auto"/>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Cu</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10.01</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10.42</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104</w:t>
            </w:r>
          </w:p>
        </w:tc>
      </w:tr>
      <w:tr w:rsidR="005739DE" w:rsidRPr="00E96FAC" w:rsidTr="005739DE">
        <w:tc>
          <w:tcPr>
            <w:tcW w:w="0" w:type="auto"/>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Mn</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234.50</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257.71</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101</w:t>
            </w:r>
          </w:p>
        </w:tc>
      </w:tr>
      <w:tr w:rsidR="005739DE" w:rsidRPr="00E96FAC" w:rsidTr="005739DE">
        <w:tc>
          <w:tcPr>
            <w:tcW w:w="0" w:type="auto"/>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Ni</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23.00</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23.97</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104</w:t>
            </w:r>
          </w:p>
        </w:tc>
      </w:tr>
      <w:tr w:rsidR="005739DE" w:rsidRPr="00E96FAC" w:rsidTr="005739DE">
        <w:tc>
          <w:tcPr>
            <w:tcW w:w="0" w:type="auto"/>
          </w:tcPr>
          <w:p w:rsidR="005739DE" w:rsidRPr="00E96FAC" w:rsidRDefault="005739DE" w:rsidP="005739DE">
            <w:pPr>
              <w:spacing w:before="60" w:after="0" w:line="240" w:lineRule="auto"/>
              <w:rPr>
                <w:rFonts w:ascii="Times New Roman" w:hAnsi="Times New Roman"/>
                <w:sz w:val="20"/>
                <w:szCs w:val="20"/>
                <w:lang w:val="ms-MY"/>
              </w:rPr>
            </w:pPr>
            <w:r w:rsidRPr="00E96FAC">
              <w:rPr>
                <w:rFonts w:ascii="Times New Roman" w:hAnsi="Times New Roman"/>
                <w:sz w:val="20"/>
                <w:szCs w:val="20"/>
                <w:lang w:val="ms-MY"/>
              </w:rPr>
              <w:t>Pb</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11.70</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10.99</w:t>
            </w:r>
          </w:p>
        </w:tc>
        <w:tc>
          <w:tcPr>
            <w:tcW w:w="0" w:type="auto"/>
          </w:tcPr>
          <w:p w:rsidR="005739DE" w:rsidRPr="00E96FAC" w:rsidRDefault="005739DE" w:rsidP="005739DE">
            <w:pPr>
              <w:spacing w:before="60" w:after="0" w:line="240" w:lineRule="auto"/>
              <w:jc w:val="center"/>
              <w:rPr>
                <w:rFonts w:ascii="Times New Roman" w:hAnsi="Times New Roman"/>
                <w:sz w:val="20"/>
                <w:szCs w:val="20"/>
                <w:lang w:val="ms-MY"/>
              </w:rPr>
            </w:pPr>
            <w:r w:rsidRPr="00E96FAC">
              <w:rPr>
                <w:rFonts w:ascii="Times New Roman" w:hAnsi="Times New Roman"/>
                <w:sz w:val="20"/>
                <w:szCs w:val="20"/>
                <w:lang w:val="ms-MY"/>
              </w:rPr>
              <w:t>94</w:t>
            </w:r>
          </w:p>
        </w:tc>
      </w:tr>
      <w:tr w:rsidR="005739DE" w:rsidRPr="00E96FAC" w:rsidTr="005739DE">
        <w:tc>
          <w:tcPr>
            <w:tcW w:w="0" w:type="auto"/>
            <w:tcBorders>
              <w:bottom w:val="single" w:sz="4" w:space="0" w:color="auto"/>
            </w:tcBorders>
          </w:tcPr>
          <w:p w:rsidR="005739DE" w:rsidRPr="00E96FAC" w:rsidRDefault="005739DE" w:rsidP="005739DE">
            <w:pPr>
              <w:spacing w:before="60" w:after="60" w:line="240" w:lineRule="auto"/>
              <w:rPr>
                <w:rFonts w:ascii="Times New Roman" w:hAnsi="Times New Roman"/>
                <w:sz w:val="20"/>
                <w:szCs w:val="20"/>
                <w:lang w:val="ms-MY"/>
              </w:rPr>
            </w:pPr>
            <w:r w:rsidRPr="00E96FAC">
              <w:rPr>
                <w:rFonts w:ascii="Times New Roman" w:hAnsi="Times New Roman"/>
                <w:sz w:val="20"/>
                <w:szCs w:val="20"/>
                <w:lang w:val="ms-MY"/>
              </w:rPr>
              <w:t>Zn</w:t>
            </w:r>
          </w:p>
        </w:tc>
        <w:tc>
          <w:tcPr>
            <w:tcW w:w="0" w:type="auto"/>
            <w:tcBorders>
              <w:bottom w:val="single" w:sz="4" w:space="0" w:color="auto"/>
            </w:tcBorders>
          </w:tcPr>
          <w:p w:rsidR="005739DE" w:rsidRPr="00E96FAC" w:rsidRDefault="005739DE" w:rsidP="005739DE">
            <w:pPr>
              <w:spacing w:before="60" w:after="60" w:line="240" w:lineRule="auto"/>
              <w:jc w:val="center"/>
              <w:rPr>
                <w:rFonts w:ascii="Times New Roman" w:hAnsi="Times New Roman"/>
                <w:sz w:val="20"/>
                <w:szCs w:val="20"/>
                <w:lang w:val="ms-MY"/>
              </w:rPr>
            </w:pPr>
            <w:r w:rsidRPr="00E96FAC">
              <w:rPr>
                <w:rFonts w:ascii="Times New Roman" w:hAnsi="Times New Roman"/>
                <w:sz w:val="20"/>
                <w:szCs w:val="20"/>
                <w:lang w:val="ms-MY"/>
              </w:rPr>
              <w:t>48.90</w:t>
            </w:r>
          </w:p>
        </w:tc>
        <w:tc>
          <w:tcPr>
            <w:tcW w:w="0" w:type="auto"/>
            <w:tcBorders>
              <w:bottom w:val="single" w:sz="4" w:space="0" w:color="auto"/>
            </w:tcBorders>
          </w:tcPr>
          <w:p w:rsidR="005739DE" w:rsidRPr="00E96FAC" w:rsidRDefault="005739DE" w:rsidP="005739DE">
            <w:pPr>
              <w:spacing w:before="60" w:after="60" w:line="240" w:lineRule="auto"/>
              <w:jc w:val="center"/>
              <w:rPr>
                <w:rFonts w:ascii="Times New Roman" w:hAnsi="Times New Roman"/>
                <w:sz w:val="20"/>
                <w:szCs w:val="20"/>
                <w:lang w:val="ms-MY"/>
              </w:rPr>
            </w:pPr>
            <w:r w:rsidRPr="00E96FAC">
              <w:rPr>
                <w:rFonts w:ascii="Times New Roman" w:hAnsi="Times New Roman"/>
                <w:sz w:val="20"/>
                <w:szCs w:val="20"/>
                <w:lang w:val="ms-MY"/>
              </w:rPr>
              <w:t>49.99</w:t>
            </w:r>
          </w:p>
        </w:tc>
        <w:tc>
          <w:tcPr>
            <w:tcW w:w="0" w:type="auto"/>
            <w:tcBorders>
              <w:bottom w:val="single" w:sz="4" w:space="0" w:color="auto"/>
            </w:tcBorders>
          </w:tcPr>
          <w:p w:rsidR="005739DE" w:rsidRPr="00E96FAC" w:rsidRDefault="005739DE" w:rsidP="005739DE">
            <w:pPr>
              <w:spacing w:before="60" w:after="60" w:line="240" w:lineRule="auto"/>
              <w:jc w:val="center"/>
              <w:rPr>
                <w:rFonts w:ascii="Times New Roman" w:hAnsi="Times New Roman"/>
                <w:sz w:val="20"/>
                <w:szCs w:val="20"/>
                <w:lang w:val="ms-MY"/>
              </w:rPr>
            </w:pPr>
            <w:r w:rsidRPr="00E96FAC">
              <w:rPr>
                <w:rFonts w:ascii="Times New Roman" w:hAnsi="Times New Roman"/>
                <w:sz w:val="20"/>
                <w:szCs w:val="20"/>
                <w:lang w:val="ms-MY"/>
              </w:rPr>
              <w:t>102</w:t>
            </w:r>
          </w:p>
        </w:tc>
      </w:tr>
    </w:tbl>
    <w:p w:rsidR="005739DE" w:rsidRPr="005739DE" w:rsidRDefault="005739DE" w:rsidP="005739DE">
      <w:pPr>
        <w:spacing w:after="120" w:line="240" w:lineRule="auto"/>
        <w:jc w:val="both"/>
        <w:rPr>
          <w:rFonts w:ascii="Times New Roman" w:hAnsi="Times New Roman"/>
          <w:sz w:val="20"/>
          <w:szCs w:val="20"/>
          <w:lang w:val="ms-MY"/>
        </w:rPr>
      </w:pPr>
      <w:r>
        <w:rPr>
          <w:rFonts w:ascii="Times New Roman" w:hAnsi="Times New Roman"/>
          <w:i/>
          <w:sz w:val="20"/>
          <w:szCs w:val="20"/>
          <w:lang w:val="ms-MY"/>
        </w:rPr>
        <w:br w:type="textWrapping" w:clear="all"/>
      </w:r>
    </w:p>
    <w:p w:rsidR="005739DE" w:rsidRPr="00E96FAC" w:rsidRDefault="005739DE" w:rsidP="005739DE">
      <w:pPr>
        <w:spacing w:after="0" w:line="240" w:lineRule="auto"/>
        <w:jc w:val="both"/>
        <w:rPr>
          <w:rFonts w:ascii="Times New Roman" w:hAnsi="Times New Roman"/>
          <w:b/>
          <w:sz w:val="20"/>
          <w:szCs w:val="20"/>
          <w:lang w:val="ms-MY"/>
        </w:rPr>
      </w:pPr>
      <w:r w:rsidRPr="00E96FAC">
        <w:rPr>
          <w:rFonts w:ascii="Times New Roman" w:hAnsi="Times New Roman"/>
          <w:b/>
          <w:sz w:val="20"/>
          <w:szCs w:val="20"/>
          <w:lang w:val="ms-MY"/>
        </w:rPr>
        <w:t>Penentuan Faktor Pengkayaan</w:t>
      </w:r>
    </w:p>
    <w:p w:rsidR="00967833" w:rsidRPr="00967833" w:rsidRDefault="005739DE" w:rsidP="00967833">
      <w:pPr>
        <w:pStyle w:val="BodyText2"/>
        <w:rPr>
          <w:szCs w:val="20"/>
          <w:lang w:val="ms-MY"/>
        </w:rPr>
      </w:pPr>
      <w:r w:rsidRPr="00E96FAC">
        <w:rPr>
          <w:szCs w:val="20"/>
          <w:lang w:val="ms-MY"/>
        </w:rPr>
        <w:t>Faktor pengkayaan merupakan salah satu kaedah yang boleh digunakan untuk menentukan samada sesuatu kawasan kajian tercemar dengan sumber antropogenik atau tidak. Nilai faktor pengkayaan diperolehi apabila nisbah kepekatan logam daripada data yang diperolehi dibahagikan dengan nisbah kepekatan logam daripada kerak bumi [5-8]. Dalam kajian ini, nilai kepekatan logam Al telah digunakan mengikut nilai yang dinyatakan oleh Mason dan Moore [9] sebagai nilai rujukan. Nilai faktor pengkayaan yang melebihi 1 menunjukkan terdapat kemasukan sumber-sumber antropogenik dalam sedimen kawasan yang dikaji [10, 11], manakala nilai faktor pengkayaan kurang daripada 1 menunjukkan logam tersebut berasal dari sumber semulajadi. Pengiraan faktor pengkayaan adal</w:t>
      </w:r>
      <w:r w:rsidR="00967833">
        <w:rPr>
          <w:szCs w:val="20"/>
          <w:lang w:val="ms-MY"/>
        </w:rPr>
        <w:t>ah berdasarkan formula berikut:</w:t>
      </w:r>
    </w:p>
    <w:p w:rsidR="00967833" w:rsidRDefault="00967833" w:rsidP="00F447A7">
      <w:pPr>
        <w:spacing w:after="0" w:line="240" w:lineRule="auto"/>
        <w:jc w:val="center"/>
        <w:rPr>
          <w:rFonts w:ascii="Times New Roman" w:hAnsi="Times New Roman"/>
          <w:b/>
          <w:noProof/>
          <w:sz w:val="20"/>
          <w:szCs w:val="20"/>
          <w:lang w:bidi="ar-SA"/>
        </w:rPr>
      </w:pPr>
    </w:p>
    <w:p w:rsidR="00967833" w:rsidRDefault="00967833" w:rsidP="00967833">
      <w:pPr>
        <w:spacing w:after="0" w:line="240" w:lineRule="auto"/>
        <w:rPr>
          <w:rFonts w:ascii="Times New Roman" w:hAnsi="Times New Roman"/>
          <w:b/>
          <w:noProof/>
          <w:sz w:val="20"/>
          <w:szCs w:val="20"/>
          <w:lang w:bidi="ar-SA"/>
        </w:rPr>
      </w:pPr>
      <w:r>
        <w:rPr>
          <w:rFonts w:ascii="Times New Roman" w:hAnsi="Times New Roman"/>
          <w:sz w:val="20"/>
          <w:szCs w:val="20"/>
          <w:lang w:val="ms-MY"/>
        </w:rPr>
        <w:t xml:space="preserve">                                                                        </w:t>
      </w:r>
      <w:r w:rsidRPr="00E96FAC">
        <w:rPr>
          <w:rFonts w:ascii="Times New Roman" w:hAnsi="Times New Roman"/>
          <w:sz w:val="20"/>
          <w:szCs w:val="20"/>
          <w:lang w:val="ms-MY"/>
        </w:rPr>
        <w:t>(kepekatan logam / Al) sampel</w:t>
      </w:r>
    </w:p>
    <w:p w:rsidR="00967833" w:rsidRPr="00967833" w:rsidRDefault="00967833" w:rsidP="00967833">
      <w:pPr>
        <w:spacing w:after="0" w:line="240" w:lineRule="auto"/>
        <w:rPr>
          <w:rFonts w:ascii="Times New Roman" w:hAnsi="Times New Roman"/>
          <w:noProof/>
          <w:sz w:val="20"/>
          <w:szCs w:val="20"/>
          <w:lang w:bidi="ar-SA"/>
        </w:rPr>
      </w:pPr>
      <w:r>
        <w:rPr>
          <w:rFonts w:ascii="Times New Roman" w:hAnsi="Times New Roman"/>
          <w:b/>
          <w:noProof/>
          <w:sz w:val="20"/>
          <w:szCs w:val="20"/>
          <w:lang w:val="en-MY" w:eastAsia="en-MY" w:bidi="ar-SA"/>
        </w:rPr>
        <mc:AlternateContent>
          <mc:Choice Requires="wps">
            <w:drawing>
              <wp:anchor distT="0" distB="0" distL="114300" distR="114300" simplePos="0" relativeHeight="251663360" behindDoc="0" locked="0" layoutInCell="1" allowOverlap="1">
                <wp:simplePos x="0" y="0"/>
                <wp:positionH relativeFrom="column">
                  <wp:posOffset>2000250</wp:posOffset>
                </wp:positionH>
                <wp:positionV relativeFrom="paragraph">
                  <wp:posOffset>82550</wp:posOffset>
                </wp:positionV>
                <wp:extent cx="2152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6.5pt" to="3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" strokecolor="black [3040]"/>
            </w:pict>
          </mc:Fallback>
        </mc:AlternateContent>
      </w:r>
      <w:r>
        <w:rPr>
          <w:rFonts w:ascii="Times New Roman" w:hAnsi="Times New Roman"/>
          <w:b/>
          <w:noProof/>
          <w:sz w:val="20"/>
          <w:szCs w:val="20"/>
          <w:lang w:bidi="ar-SA"/>
        </w:rPr>
        <w:tab/>
      </w:r>
      <w:r w:rsidRPr="00967833">
        <w:rPr>
          <w:rFonts w:ascii="Times New Roman" w:hAnsi="Times New Roman"/>
          <w:noProof/>
          <w:sz w:val="20"/>
          <w:szCs w:val="20"/>
          <w:lang w:bidi="ar-SA"/>
        </w:rPr>
        <w:t>Faktor pengkayaan (EF)</w:t>
      </w:r>
      <w:r>
        <w:rPr>
          <w:rFonts w:ascii="Times New Roman" w:hAnsi="Times New Roman"/>
          <w:b/>
          <w:noProof/>
          <w:sz w:val="20"/>
          <w:szCs w:val="20"/>
          <w:lang w:bidi="ar-SA"/>
        </w:rPr>
        <w:t xml:space="preserve">   =                                                                                                                           </w:t>
      </w:r>
      <w:r w:rsidRPr="00967833">
        <w:rPr>
          <w:rFonts w:ascii="Times New Roman" w:hAnsi="Times New Roman"/>
          <w:noProof/>
          <w:sz w:val="20"/>
          <w:szCs w:val="20"/>
          <w:lang w:bidi="ar-SA"/>
        </w:rPr>
        <w:t>(1)</w:t>
      </w:r>
    </w:p>
    <w:p w:rsidR="00967833" w:rsidRDefault="00967833" w:rsidP="004D6757">
      <w:pPr>
        <w:spacing w:after="0" w:line="240" w:lineRule="auto"/>
        <w:rPr>
          <w:rFonts w:ascii="Times New Roman" w:hAnsi="Times New Roman"/>
          <w:b/>
          <w:noProof/>
          <w:sz w:val="20"/>
          <w:szCs w:val="20"/>
          <w:lang w:bidi="ar-SA"/>
        </w:rPr>
      </w:pPr>
      <w:r>
        <w:rPr>
          <w:rFonts w:ascii="Times New Roman" w:hAnsi="Times New Roman"/>
          <w:sz w:val="20"/>
          <w:szCs w:val="20"/>
          <w:lang w:val="ms-MY"/>
        </w:rPr>
        <w:t xml:space="preserve">                                                                    </w:t>
      </w:r>
      <w:r w:rsidRPr="00E96FAC">
        <w:rPr>
          <w:rFonts w:ascii="Times New Roman" w:hAnsi="Times New Roman"/>
          <w:sz w:val="20"/>
          <w:szCs w:val="20"/>
          <w:lang w:val="ms-MY"/>
        </w:rPr>
        <w:t>(kepekatan logam / Al) kerak bumi</w:t>
      </w:r>
    </w:p>
    <w:p w:rsidR="003B2B5C" w:rsidRDefault="003B2B5C" w:rsidP="00F447A7">
      <w:pPr>
        <w:spacing w:after="0" w:line="240" w:lineRule="auto"/>
        <w:jc w:val="center"/>
        <w:rPr>
          <w:rFonts w:ascii="Times New Roman" w:hAnsi="Times New Roman"/>
          <w:b/>
          <w:noProof/>
          <w:sz w:val="20"/>
          <w:szCs w:val="20"/>
          <w:lang w:bidi="ar-SA"/>
        </w:rPr>
      </w:pPr>
    </w:p>
    <w:p w:rsidR="005739DE" w:rsidRDefault="003B2B5C"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 xml:space="preserve"> </w:t>
      </w:r>
    </w:p>
    <w:p w:rsidR="0083786D" w:rsidRPr="003B2B5C" w:rsidRDefault="0083786D" w:rsidP="0083786D">
      <w:pPr>
        <w:pStyle w:val="Heading3"/>
        <w:spacing w:before="0" w:line="240" w:lineRule="auto"/>
        <w:jc w:val="center"/>
        <w:rPr>
          <w:rFonts w:ascii="Times New Roman" w:hAnsi="Times New Roman"/>
          <w:b/>
          <w:i w:val="0"/>
          <w:smallCaps w:val="0"/>
          <w:sz w:val="20"/>
          <w:szCs w:val="20"/>
          <w:lang w:val="ms-MY"/>
        </w:rPr>
      </w:pPr>
      <w:r w:rsidRPr="003B2B5C">
        <w:rPr>
          <w:rFonts w:ascii="Times New Roman" w:hAnsi="Times New Roman"/>
          <w:b/>
          <w:i w:val="0"/>
          <w:smallCaps w:val="0"/>
          <w:sz w:val="20"/>
          <w:szCs w:val="20"/>
          <w:lang w:val="ms-MY"/>
        </w:rPr>
        <w:t>Keputusan dan Perbincangan</w:t>
      </w:r>
    </w:p>
    <w:p w:rsidR="0083786D" w:rsidRPr="0040377C" w:rsidRDefault="0083786D" w:rsidP="0083786D">
      <w:pPr>
        <w:spacing w:after="0" w:line="240" w:lineRule="auto"/>
        <w:jc w:val="both"/>
        <w:rPr>
          <w:rFonts w:ascii="Times New Roman" w:hAnsi="Times New Roman"/>
          <w:b/>
          <w:sz w:val="20"/>
          <w:szCs w:val="20"/>
          <w:lang w:val="ms-MY"/>
        </w:rPr>
      </w:pPr>
      <w:r w:rsidRPr="0040377C">
        <w:rPr>
          <w:rFonts w:ascii="Times New Roman" w:hAnsi="Times New Roman"/>
          <w:b/>
          <w:sz w:val="20"/>
          <w:szCs w:val="20"/>
          <w:lang w:val="ms-MY"/>
        </w:rPr>
        <w:t>Kepekatan logam mengikut masa pensampelan</w:t>
      </w:r>
    </w:p>
    <w:p w:rsidR="0083786D" w:rsidRPr="0040377C" w:rsidRDefault="0083786D" w:rsidP="0083786D">
      <w:pPr>
        <w:spacing w:after="0" w:line="240" w:lineRule="auto"/>
        <w:jc w:val="both"/>
        <w:rPr>
          <w:rFonts w:ascii="Times New Roman" w:hAnsi="Times New Roman"/>
          <w:sz w:val="20"/>
          <w:szCs w:val="20"/>
          <w:lang w:val="ms-MY"/>
        </w:rPr>
      </w:pPr>
      <w:r w:rsidRPr="0040377C">
        <w:rPr>
          <w:rFonts w:ascii="Times New Roman" w:hAnsi="Times New Roman"/>
          <w:sz w:val="20"/>
          <w:szCs w:val="20"/>
          <w:lang w:val="ms-MY"/>
        </w:rPr>
        <w:t xml:space="preserve">Kepekatan purata logam berat di kawasan kajian ditunjukkan dalam Jadual 2 dan perbandingan antara kajian dalam Jadual 3. Berdasarkan kepada analisis statistik ANOVA yang dijalankan didapati kepekatan logam menunjukkan perbezaan yang bererti (n=23, </w:t>
      </w:r>
      <w:r w:rsidRPr="0040377C">
        <w:rPr>
          <w:rFonts w:ascii="Times New Roman" w:hAnsi="Times New Roman"/>
          <w:i/>
          <w:iCs/>
          <w:sz w:val="20"/>
          <w:szCs w:val="20"/>
          <w:lang w:val="ms-MY"/>
        </w:rPr>
        <w:t>p</w:t>
      </w:r>
      <w:r w:rsidRPr="0040377C">
        <w:rPr>
          <w:rFonts w:ascii="Times New Roman" w:hAnsi="Times New Roman"/>
          <w:sz w:val="20"/>
          <w:szCs w:val="20"/>
          <w:lang w:val="ms-MY"/>
        </w:rPr>
        <w:t xml:space="preserve"> &lt;0.05) di antara pensampelan pertama dan kedua. Secara umumnya, didapati kepekatan logam pada pensampelan pertama adalah lebih tinggi berbanding dengan pensampelan kedua kecuali </w:t>
      </w:r>
      <w:r w:rsidRPr="0040377C">
        <w:rPr>
          <w:rFonts w:ascii="Times New Roman" w:hAnsi="Times New Roman"/>
          <w:sz w:val="20"/>
          <w:szCs w:val="20"/>
          <w:lang w:val="ms-MY"/>
        </w:rPr>
        <w:lastRenderedPageBreak/>
        <w:t>logam Al. Keadaan ini adalah bersangkutan dengan perubahan musim [2, 11, 12]. Pensampelan pertama dilakukan sebelum musim tengkujuh manakala pensampelan kedua dijalankan ketika musim tengkujuh baru bermula. Akibat daripada itu, dicadangkan tekstur sedimen dasar kawasan kajian telah berubah yang mana min saiz enapan menjadi semakin kasar semasa permulaan musim tengkujuh (min saiz = 2.34</w:t>
      </w:r>
      <w:r w:rsidRPr="0040377C">
        <w:rPr>
          <w:rFonts w:ascii="Times New Roman" w:hAnsi="Times New Roman"/>
          <w:sz w:val="20"/>
          <w:szCs w:val="20"/>
          <w:lang w:val="ms-MY"/>
        </w:rPr>
        <w:sym w:font="Symbol" w:char="F0C6"/>
      </w:r>
      <w:r w:rsidRPr="0040377C">
        <w:rPr>
          <w:rFonts w:ascii="Times New Roman" w:hAnsi="Times New Roman"/>
          <w:sz w:val="20"/>
          <w:szCs w:val="20"/>
          <w:lang w:val="ms-MY"/>
        </w:rPr>
        <w:t>±0.93) berbanding dengan sebelum tengkujuh (min saiz = 4.02</w:t>
      </w:r>
      <w:r w:rsidRPr="0040377C">
        <w:rPr>
          <w:rFonts w:ascii="Times New Roman" w:hAnsi="Times New Roman"/>
          <w:sz w:val="20"/>
          <w:szCs w:val="20"/>
          <w:lang w:val="ms-MY"/>
        </w:rPr>
        <w:sym w:font="Symbol" w:char="F0C6"/>
      </w:r>
      <w:r w:rsidRPr="0040377C">
        <w:rPr>
          <w:rFonts w:ascii="Times New Roman" w:hAnsi="Times New Roman"/>
          <w:sz w:val="20"/>
          <w:szCs w:val="20"/>
          <w:lang w:val="ms-MY"/>
        </w:rPr>
        <w:t>±1.31). Menurut Kamaruzzaman [12], Donazzolo et al. [13], Nriagu et al. [14], Ong et al. [15] dan Ong et al. [16], saiz butiran yang halus mempunyai luas permukaan spesifik yang sangat tinggi untuk bersentuhan dengan logam dan seterusnya menjerap lebih banyak ion-ion logam berbanding dengan dengan partikel yang lebih besar. Ujian korelasi menunjukkan min saiz sedimen berkorelasi secara positif dan kuat dengan kepekatan ion-ion logam di dalam sedimen (R</w:t>
      </w:r>
      <w:r w:rsidRPr="0040377C">
        <w:rPr>
          <w:rFonts w:ascii="Times New Roman" w:hAnsi="Times New Roman"/>
          <w:sz w:val="20"/>
          <w:szCs w:val="20"/>
          <w:vertAlign w:val="superscript"/>
          <w:lang w:val="ms-MY"/>
        </w:rPr>
        <w:t>2</w:t>
      </w:r>
      <w:r w:rsidRPr="0040377C">
        <w:rPr>
          <w:rFonts w:ascii="Times New Roman" w:hAnsi="Times New Roman"/>
          <w:sz w:val="20"/>
          <w:szCs w:val="20"/>
          <w:lang w:val="ms-MY"/>
        </w:rPr>
        <w:t xml:space="preserve"> = 0.65). </w:t>
      </w:r>
    </w:p>
    <w:p w:rsidR="0083786D" w:rsidRPr="0040377C" w:rsidRDefault="0083786D" w:rsidP="003B2B5C">
      <w:pPr>
        <w:spacing w:after="120" w:line="240" w:lineRule="auto"/>
        <w:rPr>
          <w:rFonts w:ascii="Times New Roman" w:hAnsi="Times New Roman"/>
          <w:sz w:val="20"/>
          <w:szCs w:val="20"/>
          <w:lang w:val="ms-MY"/>
        </w:rPr>
      </w:pPr>
    </w:p>
    <w:p w:rsidR="0083786D" w:rsidRPr="0040377C" w:rsidRDefault="0083786D" w:rsidP="003B2B5C">
      <w:pPr>
        <w:spacing w:after="120" w:line="240" w:lineRule="auto"/>
        <w:jc w:val="center"/>
        <w:rPr>
          <w:rFonts w:ascii="Times New Roman" w:hAnsi="Times New Roman"/>
          <w:sz w:val="20"/>
          <w:szCs w:val="20"/>
          <w:lang w:val="ms-MY"/>
        </w:rPr>
      </w:pPr>
      <w:r w:rsidRPr="0040377C">
        <w:rPr>
          <w:rFonts w:ascii="Times New Roman" w:hAnsi="Times New Roman"/>
          <w:sz w:val="20"/>
          <w:szCs w:val="20"/>
          <w:lang w:val="ms-MY"/>
        </w:rPr>
        <w:t>Jadual 2.  Kepekatan purata untuk setiap logam dalam sedimen di kawasan kajian</w:t>
      </w:r>
    </w:p>
    <w:tbl>
      <w:tblPr>
        <w:tblW w:w="9854" w:type="dxa"/>
        <w:jc w:val="center"/>
        <w:tblInd w:w="-226" w:type="dxa"/>
        <w:tblBorders>
          <w:top w:val="single" w:sz="4" w:space="0" w:color="auto"/>
          <w:bottom w:val="single" w:sz="4" w:space="0" w:color="auto"/>
        </w:tblBorders>
        <w:tblLook w:val="01E0" w:firstRow="1" w:lastRow="1" w:firstColumn="1" w:lastColumn="1" w:noHBand="0" w:noVBand="0"/>
      </w:tblPr>
      <w:tblGrid>
        <w:gridCol w:w="1237"/>
        <w:gridCol w:w="1035"/>
        <w:gridCol w:w="945"/>
        <w:gridCol w:w="1125"/>
        <w:gridCol w:w="1035"/>
        <w:gridCol w:w="1215"/>
        <w:gridCol w:w="1125"/>
        <w:gridCol w:w="1125"/>
        <w:gridCol w:w="1125"/>
      </w:tblGrid>
      <w:tr w:rsidR="003B2B5C" w:rsidRPr="003B2B5C" w:rsidTr="00FC0A2D">
        <w:trPr>
          <w:jc w:val="center"/>
        </w:trPr>
        <w:tc>
          <w:tcPr>
            <w:tcW w:w="1213" w:type="dxa"/>
            <w:tcBorders>
              <w:top w:val="single" w:sz="4" w:space="0" w:color="auto"/>
              <w:bottom w:val="single" w:sz="4" w:space="0" w:color="auto"/>
            </w:tcBorders>
          </w:tcPr>
          <w:p w:rsidR="0083786D" w:rsidRPr="003B2B5C" w:rsidRDefault="003B2B5C" w:rsidP="00FC0A2D">
            <w:pPr>
              <w:spacing w:before="60" w:after="0" w:line="240" w:lineRule="auto"/>
              <w:rPr>
                <w:rFonts w:ascii="Times New Roman" w:hAnsi="Times New Roman"/>
                <w:b/>
                <w:sz w:val="18"/>
                <w:szCs w:val="18"/>
                <w:lang w:val="ms-MY"/>
              </w:rPr>
            </w:pPr>
            <w:r>
              <w:rPr>
                <w:rFonts w:ascii="Times New Roman" w:hAnsi="Times New Roman"/>
                <w:b/>
                <w:sz w:val="18"/>
                <w:szCs w:val="18"/>
                <w:lang w:val="ms-MY"/>
              </w:rPr>
              <w:t>Pensampela</w:t>
            </w:r>
            <w:r w:rsidR="0083786D" w:rsidRPr="003B2B5C">
              <w:rPr>
                <w:rFonts w:ascii="Times New Roman" w:hAnsi="Times New Roman"/>
                <w:b/>
                <w:sz w:val="18"/>
                <w:szCs w:val="18"/>
                <w:lang w:val="ms-MY"/>
              </w:rPr>
              <w:t>n</w:t>
            </w:r>
          </w:p>
        </w:tc>
        <w:tc>
          <w:tcPr>
            <w:tcW w:w="1015" w:type="dxa"/>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Al</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w:t>
            </w:r>
          </w:p>
        </w:tc>
        <w:tc>
          <w:tcPr>
            <w:tcW w:w="1008" w:type="dxa"/>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Fe</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Cr</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(μg.g</w:t>
            </w:r>
            <w:r w:rsidRPr="003B2B5C">
              <w:rPr>
                <w:rFonts w:ascii="Times New Roman" w:hAnsi="Times New Roman"/>
                <w:b/>
                <w:sz w:val="18"/>
                <w:szCs w:val="18"/>
                <w:vertAlign w:val="superscript"/>
                <w:lang w:val="ms-MY"/>
              </w:rPr>
              <w:t>-1</w:t>
            </w:r>
            <w:r w:rsidRPr="003B2B5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Cu</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(μg.g</w:t>
            </w:r>
            <w:r w:rsidRPr="003B2B5C">
              <w:rPr>
                <w:rFonts w:ascii="Times New Roman" w:hAnsi="Times New Roman"/>
                <w:b/>
                <w:sz w:val="18"/>
                <w:szCs w:val="18"/>
                <w:vertAlign w:val="superscript"/>
                <w:lang w:val="ms-MY"/>
              </w:rPr>
              <w:t>-1</w:t>
            </w:r>
            <w:r w:rsidRPr="003B2B5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Mn</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(μg.g</w:t>
            </w:r>
            <w:r w:rsidRPr="003B2B5C">
              <w:rPr>
                <w:rFonts w:ascii="Times New Roman" w:hAnsi="Times New Roman"/>
                <w:b/>
                <w:sz w:val="18"/>
                <w:szCs w:val="18"/>
                <w:vertAlign w:val="superscript"/>
                <w:lang w:val="ms-MY"/>
              </w:rPr>
              <w:t>-1</w:t>
            </w:r>
            <w:r w:rsidRPr="003B2B5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Ni</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(μg.g</w:t>
            </w:r>
            <w:r w:rsidRPr="003B2B5C">
              <w:rPr>
                <w:rFonts w:ascii="Times New Roman" w:hAnsi="Times New Roman"/>
                <w:b/>
                <w:sz w:val="18"/>
                <w:szCs w:val="18"/>
                <w:vertAlign w:val="superscript"/>
                <w:lang w:val="ms-MY"/>
              </w:rPr>
              <w:t>-1</w:t>
            </w:r>
            <w:r w:rsidRPr="003B2B5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Pb</w:t>
            </w:r>
          </w:p>
          <w:p w:rsidR="0083786D" w:rsidRPr="003B2B5C" w:rsidRDefault="0083786D" w:rsidP="00815FED">
            <w:pPr>
              <w:spacing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(μg.g</w:t>
            </w:r>
            <w:r w:rsidRPr="003B2B5C">
              <w:rPr>
                <w:rFonts w:ascii="Times New Roman" w:hAnsi="Times New Roman"/>
                <w:b/>
                <w:sz w:val="18"/>
                <w:szCs w:val="18"/>
                <w:vertAlign w:val="superscript"/>
                <w:lang w:val="ms-MY"/>
              </w:rPr>
              <w:t>-1</w:t>
            </w:r>
            <w:r w:rsidRPr="003B2B5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3B2B5C" w:rsidRDefault="0083786D" w:rsidP="00FC0A2D">
            <w:pPr>
              <w:spacing w:before="60" w:after="0" w:line="240" w:lineRule="auto"/>
              <w:jc w:val="center"/>
              <w:rPr>
                <w:rFonts w:ascii="Times New Roman" w:hAnsi="Times New Roman"/>
                <w:b/>
                <w:sz w:val="18"/>
                <w:szCs w:val="18"/>
                <w:lang w:val="ms-MY"/>
              </w:rPr>
            </w:pPr>
            <w:r w:rsidRPr="003B2B5C">
              <w:rPr>
                <w:rFonts w:ascii="Times New Roman" w:hAnsi="Times New Roman"/>
                <w:b/>
                <w:sz w:val="18"/>
                <w:szCs w:val="18"/>
                <w:lang w:val="ms-MY"/>
              </w:rPr>
              <w:t>Zn</w:t>
            </w:r>
          </w:p>
          <w:p w:rsidR="0083786D" w:rsidRPr="003B2B5C" w:rsidRDefault="0083786D" w:rsidP="00FC0A2D">
            <w:pPr>
              <w:spacing w:after="60" w:line="240" w:lineRule="auto"/>
              <w:jc w:val="center"/>
              <w:rPr>
                <w:rFonts w:ascii="Times New Roman" w:hAnsi="Times New Roman"/>
                <w:b/>
                <w:sz w:val="18"/>
                <w:szCs w:val="18"/>
                <w:lang w:val="ms-MY"/>
              </w:rPr>
            </w:pPr>
            <w:r w:rsidRPr="003B2B5C">
              <w:rPr>
                <w:rFonts w:ascii="Times New Roman" w:hAnsi="Times New Roman"/>
                <w:b/>
                <w:sz w:val="18"/>
                <w:szCs w:val="18"/>
                <w:lang w:val="ms-MY"/>
              </w:rPr>
              <w:t>(μg.g</w:t>
            </w:r>
            <w:r w:rsidRPr="003B2B5C">
              <w:rPr>
                <w:rFonts w:ascii="Times New Roman" w:hAnsi="Times New Roman"/>
                <w:b/>
                <w:sz w:val="18"/>
                <w:szCs w:val="18"/>
                <w:vertAlign w:val="superscript"/>
                <w:lang w:val="ms-MY"/>
              </w:rPr>
              <w:t>-1</w:t>
            </w:r>
            <w:r w:rsidRPr="003B2B5C">
              <w:rPr>
                <w:rFonts w:ascii="Times New Roman" w:hAnsi="Times New Roman"/>
                <w:b/>
                <w:sz w:val="18"/>
                <w:szCs w:val="18"/>
                <w:lang w:val="ms-MY"/>
              </w:rPr>
              <w:t>)</w:t>
            </w:r>
          </w:p>
        </w:tc>
      </w:tr>
      <w:tr w:rsidR="003B2B5C" w:rsidRPr="003B2B5C" w:rsidTr="00FC0A2D">
        <w:trPr>
          <w:jc w:val="center"/>
        </w:trPr>
        <w:tc>
          <w:tcPr>
            <w:tcW w:w="1213" w:type="dxa"/>
            <w:tcBorders>
              <w:top w:val="single" w:sz="4" w:space="0" w:color="auto"/>
              <w:bottom w:val="nil"/>
            </w:tcBorders>
          </w:tcPr>
          <w:p w:rsidR="0083786D" w:rsidRPr="003B2B5C" w:rsidRDefault="0083786D" w:rsidP="003B2B5C">
            <w:pPr>
              <w:spacing w:after="0" w:line="240" w:lineRule="auto"/>
              <w:rPr>
                <w:rFonts w:ascii="Times New Roman" w:hAnsi="Times New Roman"/>
                <w:bCs/>
                <w:sz w:val="18"/>
                <w:szCs w:val="18"/>
                <w:lang w:val="ms-MY"/>
              </w:rPr>
            </w:pPr>
          </w:p>
          <w:p w:rsidR="0083786D" w:rsidRPr="003B2B5C" w:rsidRDefault="0083786D" w:rsidP="003B2B5C">
            <w:pPr>
              <w:spacing w:after="0" w:line="240" w:lineRule="auto"/>
              <w:rPr>
                <w:rFonts w:ascii="Times New Roman" w:hAnsi="Times New Roman"/>
                <w:bCs/>
                <w:sz w:val="18"/>
                <w:szCs w:val="18"/>
                <w:lang w:val="ms-MY"/>
              </w:rPr>
            </w:pPr>
            <w:r w:rsidRPr="003B2B5C">
              <w:rPr>
                <w:rFonts w:ascii="Times New Roman" w:hAnsi="Times New Roman"/>
                <w:bCs/>
                <w:sz w:val="18"/>
                <w:szCs w:val="18"/>
                <w:lang w:val="ms-MY"/>
              </w:rPr>
              <w:t>Pertama</w:t>
            </w:r>
          </w:p>
          <w:p w:rsidR="0083786D" w:rsidRPr="003B2B5C" w:rsidRDefault="0083786D" w:rsidP="003B2B5C">
            <w:pPr>
              <w:spacing w:after="0" w:line="240" w:lineRule="auto"/>
              <w:rPr>
                <w:rFonts w:ascii="Times New Roman" w:hAnsi="Times New Roman"/>
                <w:bCs/>
                <w:sz w:val="18"/>
                <w:szCs w:val="18"/>
                <w:lang w:val="ms-MY"/>
              </w:rPr>
            </w:pPr>
          </w:p>
          <w:p w:rsidR="0083786D" w:rsidRPr="003B2B5C" w:rsidRDefault="0083786D" w:rsidP="003B2B5C">
            <w:pPr>
              <w:spacing w:after="0" w:line="240" w:lineRule="auto"/>
              <w:rPr>
                <w:rFonts w:ascii="Times New Roman" w:hAnsi="Times New Roman"/>
                <w:bCs/>
                <w:sz w:val="18"/>
                <w:szCs w:val="18"/>
                <w:lang w:val="ms-MY"/>
              </w:rPr>
            </w:pPr>
          </w:p>
        </w:tc>
        <w:tc>
          <w:tcPr>
            <w:tcW w:w="1015" w:type="dxa"/>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4.44±2.55</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(1.36 – 10.50)</w:t>
            </w:r>
          </w:p>
          <w:p w:rsidR="0083786D" w:rsidRPr="003B2B5C" w:rsidRDefault="0083786D" w:rsidP="00815FED">
            <w:pPr>
              <w:spacing w:after="0" w:line="240" w:lineRule="auto"/>
              <w:jc w:val="center"/>
              <w:rPr>
                <w:rFonts w:ascii="Times New Roman" w:hAnsi="Times New Roman"/>
                <w:sz w:val="18"/>
                <w:szCs w:val="18"/>
                <w:lang w:val="ms-MY"/>
              </w:rPr>
            </w:pPr>
          </w:p>
        </w:tc>
        <w:tc>
          <w:tcPr>
            <w:tcW w:w="1008" w:type="dxa"/>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2.36±1.01</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(0.97 – 3.90)</w:t>
            </w:r>
          </w:p>
          <w:p w:rsidR="0083786D" w:rsidRPr="003B2B5C" w:rsidRDefault="0083786D" w:rsidP="00815FED">
            <w:pPr>
              <w:spacing w:after="0" w:line="240" w:lineRule="auto"/>
              <w:jc w:val="center"/>
              <w:rPr>
                <w:rFonts w:ascii="Times New Roman" w:hAnsi="Times New Roman"/>
                <w:sz w:val="18"/>
                <w:szCs w:val="18"/>
                <w:lang w:val="ms-MY"/>
              </w:rPr>
            </w:pPr>
          </w:p>
        </w:tc>
        <w:tc>
          <w:tcPr>
            <w:tcW w:w="0" w:type="auto"/>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44.29±23.82</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(6.00 – 78.17)</w:t>
            </w:r>
          </w:p>
          <w:p w:rsidR="0083786D" w:rsidRPr="003B2B5C" w:rsidRDefault="0083786D" w:rsidP="00815FED">
            <w:pPr>
              <w:spacing w:after="0" w:line="240" w:lineRule="auto"/>
              <w:jc w:val="center"/>
              <w:rPr>
                <w:rFonts w:ascii="Times New Roman" w:hAnsi="Times New Roman"/>
                <w:sz w:val="18"/>
                <w:szCs w:val="18"/>
                <w:lang w:val="ms-MY"/>
              </w:rPr>
            </w:pPr>
          </w:p>
        </w:tc>
        <w:tc>
          <w:tcPr>
            <w:tcW w:w="0" w:type="auto"/>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12.13±6.03</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(2.88 – 20.27)</w:t>
            </w:r>
          </w:p>
          <w:p w:rsidR="0083786D" w:rsidRPr="003B2B5C" w:rsidRDefault="0083786D" w:rsidP="00815FED">
            <w:pPr>
              <w:spacing w:after="0" w:line="240" w:lineRule="auto"/>
              <w:jc w:val="center"/>
              <w:rPr>
                <w:rFonts w:ascii="Times New Roman" w:hAnsi="Times New Roman"/>
                <w:sz w:val="18"/>
                <w:szCs w:val="18"/>
                <w:lang w:val="ms-MY"/>
              </w:rPr>
            </w:pPr>
          </w:p>
        </w:tc>
        <w:tc>
          <w:tcPr>
            <w:tcW w:w="0" w:type="auto"/>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135.54±83.08</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(31.47 – 444.7)</w:t>
            </w:r>
          </w:p>
        </w:tc>
        <w:tc>
          <w:tcPr>
            <w:tcW w:w="0" w:type="auto"/>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27.08±13.47</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(10.98 – 70.42)</w:t>
            </w:r>
          </w:p>
        </w:tc>
        <w:tc>
          <w:tcPr>
            <w:tcW w:w="0" w:type="auto"/>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25.11±10.34</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(9.47 – 40.29)</w:t>
            </w:r>
          </w:p>
        </w:tc>
        <w:tc>
          <w:tcPr>
            <w:tcW w:w="0" w:type="auto"/>
            <w:tcBorders>
              <w:top w:val="single" w:sz="4" w:space="0" w:color="auto"/>
              <w:bottom w:val="nil"/>
            </w:tcBorders>
          </w:tcPr>
          <w:p w:rsidR="0083786D" w:rsidRPr="003B2B5C" w:rsidRDefault="0083786D" w:rsidP="00815FED">
            <w:pPr>
              <w:spacing w:after="0" w:line="240" w:lineRule="auto"/>
              <w:jc w:val="center"/>
              <w:rPr>
                <w:rFonts w:ascii="Times New Roman" w:hAnsi="Times New Roman"/>
                <w:sz w:val="18"/>
                <w:szCs w:val="18"/>
                <w:lang w:val="ms-MY"/>
              </w:rPr>
            </w:pP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69.85±29.13</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(12.0 – 164.01)</w:t>
            </w:r>
          </w:p>
        </w:tc>
      </w:tr>
      <w:tr w:rsidR="003B2B5C" w:rsidRPr="003B2B5C" w:rsidTr="00FC0A2D">
        <w:trPr>
          <w:jc w:val="center"/>
        </w:trPr>
        <w:tc>
          <w:tcPr>
            <w:tcW w:w="1213" w:type="dxa"/>
            <w:tcBorders>
              <w:top w:val="nil"/>
              <w:bottom w:val="single" w:sz="4" w:space="0" w:color="auto"/>
            </w:tcBorders>
          </w:tcPr>
          <w:p w:rsidR="0083786D" w:rsidRPr="003B2B5C" w:rsidRDefault="0083786D" w:rsidP="003B2B5C">
            <w:pPr>
              <w:spacing w:after="0" w:line="240" w:lineRule="auto"/>
              <w:rPr>
                <w:rFonts w:ascii="Times New Roman" w:hAnsi="Times New Roman"/>
                <w:bCs/>
                <w:sz w:val="18"/>
                <w:szCs w:val="18"/>
                <w:lang w:val="ms-MY"/>
              </w:rPr>
            </w:pPr>
            <w:r w:rsidRPr="003B2B5C">
              <w:rPr>
                <w:rFonts w:ascii="Times New Roman" w:hAnsi="Times New Roman"/>
                <w:bCs/>
                <w:sz w:val="18"/>
                <w:szCs w:val="18"/>
                <w:lang w:val="ms-MY"/>
              </w:rPr>
              <w:t>Kedua</w:t>
            </w:r>
          </w:p>
        </w:tc>
        <w:tc>
          <w:tcPr>
            <w:tcW w:w="1015" w:type="dxa"/>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10.18±6.64</w:t>
            </w:r>
          </w:p>
          <w:p w:rsidR="0083786D" w:rsidRPr="003B2B5C" w:rsidRDefault="0083786D" w:rsidP="00FC0A2D">
            <w:pPr>
              <w:spacing w:after="60" w:line="240" w:lineRule="auto"/>
              <w:jc w:val="center"/>
              <w:rPr>
                <w:rFonts w:ascii="Times New Roman" w:hAnsi="Times New Roman"/>
                <w:sz w:val="18"/>
                <w:szCs w:val="18"/>
                <w:lang w:val="ms-MY"/>
              </w:rPr>
            </w:pPr>
            <w:r w:rsidRPr="003B2B5C">
              <w:rPr>
                <w:rFonts w:ascii="Times New Roman" w:hAnsi="Times New Roman"/>
                <w:sz w:val="18"/>
                <w:szCs w:val="18"/>
                <w:lang w:val="ms-MY"/>
              </w:rPr>
              <w:t>(1.89 – 13.33)</w:t>
            </w:r>
          </w:p>
        </w:tc>
        <w:tc>
          <w:tcPr>
            <w:tcW w:w="1008" w:type="dxa"/>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1.78±0.75</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(0.44 – 3.98)</w:t>
            </w:r>
          </w:p>
        </w:tc>
        <w:tc>
          <w:tcPr>
            <w:tcW w:w="0" w:type="auto"/>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27.00±18.27</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(0.88 – 63.90)</w:t>
            </w:r>
          </w:p>
        </w:tc>
        <w:tc>
          <w:tcPr>
            <w:tcW w:w="0" w:type="auto"/>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10.15±6.75</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(2.18 – 33.25)</w:t>
            </w:r>
          </w:p>
        </w:tc>
        <w:tc>
          <w:tcPr>
            <w:tcW w:w="0" w:type="auto"/>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120.71±72.69</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(17.92 – 364.90)</w:t>
            </w:r>
          </w:p>
        </w:tc>
        <w:tc>
          <w:tcPr>
            <w:tcW w:w="0" w:type="auto"/>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11.88±5.18</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(2.07 – 65.89)</w:t>
            </w:r>
          </w:p>
        </w:tc>
        <w:tc>
          <w:tcPr>
            <w:tcW w:w="0" w:type="auto"/>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20.49±9.20</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(7.13 – 51.06)</w:t>
            </w:r>
          </w:p>
        </w:tc>
        <w:tc>
          <w:tcPr>
            <w:tcW w:w="0" w:type="auto"/>
            <w:tcBorders>
              <w:top w:val="nil"/>
              <w:bottom w:val="single" w:sz="4" w:space="0" w:color="auto"/>
            </w:tcBorders>
          </w:tcPr>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34.17±29.97</w:t>
            </w:r>
          </w:p>
          <w:p w:rsidR="0083786D" w:rsidRPr="003B2B5C" w:rsidRDefault="0083786D" w:rsidP="00815FED">
            <w:pPr>
              <w:spacing w:after="0" w:line="240" w:lineRule="auto"/>
              <w:jc w:val="center"/>
              <w:rPr>
                <w:rFonts w:ascii="Times New Roman" w:hAnsi="Times New Roman"/>
                <w:sz w:val="18"/>
                <w:szCs w:val="18"/>
                <w:lang w:val="ms-MY"/>
              </w:rPr>
            </w:pPr>
            <w:r w:rsidRPr="003B2B5C">
              <w:rPr>
                <w:rFonts w:ascii="Times New Roman" w:hAnsi="Times New Roman"/>
                <w:sz w:val="18"/>
                <w:szCs w:val="18"/>
                <w:lang w:val="ms-MY"/>
              </w:rPr>
              <w:t>(5.98 – 145.58)</w:t>
            </w:r>
          </w:p>
        </w:tc>
      </w:tr>
    </w:tbl>
    <w:p w:rsidR="0083786D" w:rsidRPr="0040377C" w:rsidRDefault="0083786D" w:rsidP="00FC0A2D">
      <w:pPr>
        <w:spacing w:before="60" w:after="0" w:line="240" w:lineRule="auto"/>
        <w:rPr>
          <w:rFonts w:ascii="Times New Roman" w:hAnsi="Times New Roman"/>
          <w:sz w:val="16"/>
          <w:szCs w:val="16"/>
          <w:lang w:val="ms-MY"/>
        </w:rPr>
      </w:pPr>
      <w:r w:rsidRPr="0040377C">
        <w:rPr>
          <w:rFonts w:ascii="Times New Roman" w:hAnsi="Times New Roman"/>
          <w:sz w:val="16"/>
          <w:szCs w:val="16"/>
          <w:lang w:val="ms-MY"/>
        </w:rPr>
        <w:t>(    ) = julat nilai</w:t>
      </w:r>
    </w:p>
    <w:p w:rsidR="00FC0A2D" w:rsidRDefault="00FC0A2D" w:rsidP="004D6757">
      <w:pPr>
        <w:spacing w:after="0" w:line="240" w:lineRule="auto"/>
        <w:rPr>
          <w:rFonts w:ascii="Times New Roman" w:hAnsi="Times New Roman"/>
          <w:sz w:val="20"/>
          <w:szCs w:val="20"/>
          <w:lang w:val="ms-MY"/>
        </w:rPr>
      </w:pPr>
    </w:p>
    <w:p w:rsidR="004D6757" w:rsidRPr="0040377C" w:rsidRDefault="004D6757" w:rsidP="004D6757">
      <w:pPr>
        <w:spacing w:after="0" w:line="240" w:lineRule="auto"/>
        <w:rPr>
          <w:rFonts w:ascii="Times New Roman" w:hAnsi="Times New Roman"/>
          <w:sz w:val="20"/>
          <w:szCs w:val="20"/>
          <w:lang w:val="ms-MY"/>
        </w:rPr>
      </w:pPr>
    </w:p>
    <w:p w:rsidR="0083786D" w:rsidRPr="0040377C" w:rsidRDefault="0083786D" w:rsidP="008773F6">
      <w:pPr>
        <w:spacing w:after="120" w:line="240" w:lineRule="auto"/>
        <w:ind w:left="1080" w:hanging="1080"/>
        <w:jc w:val="center"/>
        <w:rPr>
          <w:rFonts w:ascii="Times New Roman" w:hAnsi="Times New Roman"/>
          <w:sz w:val="20"/>
          <w:szCs w:val="20"/>
          <w:lang w:val="ms-MY"/>
        </w:rPr>
      </w:pPr>
      <w:r w:rsidRPr="0040377C">
        <w:rPr>
          <w:rFonts w:ascii="Times New Roman" w:hAnsi="Times New Roman"/>
          <w:sz w:val="20"/>
          <w:szCs w:val="20"/>
          <w:lang w:val="ms-MY"/>
        </w:rPr>
        <w:t xml:space="preserve">Jadual 3.  Kepekatan logam dalam sedimen </w:t>
      </w:r>
      <w:r w:rsidR="00FC0A2D">
        <w:rPr>
          <w:rFonts w:ascii="Times New Roman" w:hAnsi="Times New Roman"/>
          <w:sz w:val="20"/>
          <w:szCs w:val="20"/>
          <w:lang w:val="ms-MY"/>
        </w:rPr>
        <w:t>di beberapa kawasan di Malaysia</w:t>
      </w:r>
    </w:p>
    <w:tbl>
      <w:tblPr>
        <w:tblW w:w="0" w:type="auto"/>
        <w:jc w:val="center"/>
        <w:tblInd w:w="-1585" w:type="dxa"/>
        <w:tblLook w:val="01E0" w:firstRow="1" w:lastRow="1" w:firstColumn="1" w:lastColumn="1" w:noHBand="0" w:noVBand="0"/>
      </w:tblPr>
      <w:tblGrid>
        <w:gridCol w:w="1849"/>
        <w:gridCol w:w="936"/>
        <w:gridCol w:w="846"/>
        <w:gridCol w:w="1026"/>
        <w:gridCol w:w="1038"/>
        <w:gridCol w:w="1116"/>
        <w:gridCol w:w="988"/>
        <w:gridCol w:w="1018"/>
        <w:gridCol w:w="1206"/>
      </w:tblGrid>
      <w:tr w:rsidR="0083786D" w:rsidRPr="0040377C" w:rsidTr="00FC0A2D">
        <w:trPr>
          <w:jc w:val="center"/>
        </w:trPr>
        <w:tc>
          <w:tcPr>
            <w:tcW w:w="0" w:type="auto"/>
            <w:tcBorders>
              <w:top w:val="single" w:sz="4" w:space="0" w:color="auto"/>
              <w:bottom w:val="single" w:sz="4" w:space="0" w:color="auto"/>
            </w:tcBorders>
          </w:tcPr>
          <w:p w:rsidR="0083786D" w:rsidRPr="0040377C" w:rsidRDefault="0083786D" w:rsidP="00FC0A2D">
            <w:pPr>
              <w:spacing w:before="60" w:after="60" w:line="240" w:lineRule="auto"/>
              <w:jc w:val="both"/>
              <w:rPr>
                <w:rFonts w:ascii="Times New Roman" w:hAnsi="Times New Roman"/>
                <w:b/>
                <w:sz w:val="18"/>
                <w:szCs w:val="18"/>
                <w:lang w:val="ms-MY"/>
              </w:rPr>
            </w:pPr>
            <w:r w:rsidRPr="0040377C">
              <w:rPr>
                <w:rFonts w:ascii="Times New Roman" w:hAnsi="Times New Roman"/>
                <w:b/>
                <w:sz w:val="18"/>
                <w:szCs w:val="18"/>
                <w:lang w:val="ms-MY"/>
              </w:rPr>
              <w:t>Lokasi</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Al (%)</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Fe (%)</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Cr (μg.g</w:t>
            </w:r>
            <w:r w:rsidRPr="0040377C">
              <w:rPr>
                <w:rFonts w:ascii="Times New Roman" w:hAnsi="Times New Roman"/>
                <w:b/>
                <w:sz w:val="18"/>
                <w:szCs w:val="18"/>
                <w:vertAlign w:val="superscript"/>
                <w:lang w:val="ms-MY"/>
              </w:rPr>
              <w:t>-1</w:t>
            </w:r>
            <w:r w:rsidRPr="0040377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Cu (μg.g</w:t>
            </w:r>
            <w:r w:rsidRPr="0040377C">
              <w:rPr>
                <w:rFonts w:ascii="Times New Roman" w:hAnsi="Times New Roman"/>
                <w:b/>
                <w:sz w:val="18"/>
                <w:szCs w:val="18"/>
                <w:vertAlign w:val="superscript"/>
                <w:lang w:val="ms-MY"/>
              </w:rPr>
              <w:t>-1</w:t>
            </w:r>
            <w:r w:rsidRPr="0040377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Mn (μg.g</w:t>
            </w:r>
            <w:r w:rsidRPr="0040377C">
              <w:rPr>
                <w:rFonts w:ascii="Times New Roman" w:hAnsi="Times New Roman"/>
                <w:b/>
                <w:sz w:val="18"/>
                <w:szCs w:val="18"/>
                <w:vertAlign w:val="superscript"/>
                <w:lang w:val="ms-MY"/>
              </w:rPr>
              <w:t>-1</w:t>
            </w:r>
            <w:r w:rsidRPr="0040377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Ni (μg.g</w:t>
            </w:r>
            <w:r w:rsidRPr="0040377C">
              <w:rPr>
                <w:rFonts w:ascii="Times New Roman" w:hAnsi="Times New Roman"/>
                <w:b/>
                <w:sz w:val="18"/>
                <w:szCs w:val="18"/>
                <w:vertAlign w:val="superscript"/>
                <w:lang w:val="ms-MY"/>
              </w:rPr>
              <w:t>-1</w:t>
            </w:r>
            <w:r w:rsidRPr="0040377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Pb (μg.g</w:t>
            </w:r>
            <w:r w:rsidRPr="0040377C">
              <w:rPr>
                <w:rFonts w:ascii="Times New Roman" w:hAnsi="Times New Roman"/>
                <w:b/>
                <w:sz w:val="18"/>
                <w:szCs w:val="18"/>
                <w:vertAlign w:val="superscript"/>
                <w:lang w:val="ms-MY"/>
              </w:rPr>
              <w:t>-1</w:t>
            </w:r>
            <w:r w:rsidRPr="0040377C">
              <w:rPr>
                <w:rFonts w:ascii="Times New Roman" w:hAnsi="Times New Roman"/>
                <w:b/>
                <w:sz w:val="18"/>
                <w:szCs w:val="18"/>
                <w:lang w:val="ms-MY"/>
              </w:rPr>
              <w:t>)</w:t>
            </w:r>
          </w:p>
        </w:tc>
        <w:tc>
          <w:tcPr>
            <w:tcW w:w="0" w:type="auto"/>
            <w:tcBorders>
              <w:top w:val="single" w:sz="4" w:space="0" w:color="auto"/>
              <w:bottom w:val="single" w:sz="4" w:space="0" w:color="auto"/>
            </w:tcBorders>
          </w:tcPr>
          <w:p w:rsidR="0083786D" w:rsidRPr="0040377C" w:rsidRDefault="0083786D" w:rsidP="00FC0A2D">
            <w:pPr>
              <w:spacing w:before="60" w:after="60" w:line="240" w:lineRule="auto"/>
              <w:jc w:val="center"/>
              <w:rPr>
                <w:rFonts w:ascii="Times New Roman" w:hAnsi="Times New Roman"/>
                <w:b/>
                <w:sz w:val="18"/>
                <w:szCs w:val="18"/>
                <w:lang w:val="ms-MY"/>
              </w:rPr>
            </w:pPr>
            <w:r w:rsidRPr="0040377C">
              <w:rPr>
                <w:rFonts w:ascii="Times New Roman" w:hAnsi="Times New Roman"/>
                <w:b/>
                <w:sz w:val="18"/>
                <w:szCs w:val="18"/>
                <w:lang w:val="ms-MY"/>
              </w:rPr>
              <w:t>Zn (μg.g</w:t>
            </w:r>
            <w:r w:rsidRPr="0040377C">
              <w:rPr>
                <w:rFonts w:ascii="Times New Roman" w:hAnsi="Times New Roman"/>
                <w:b/>
                <w:sz w:val="18"/>
                <w:szCs w:val="18"/>
                <w:vertAlign w:val="superscript"/>
                <w:lang w:val="ms-MY"/>
              </w:rPr>
              <w:t>-1</w:t>
            </w:r>
            <w:r w:rsidRPr="0040377C">
              <w:rPr>
                <w:rFonts w:ascii="Times New Roman" w:hAnsi="Times New Roman"/>
                <w:b/>
                <w:sz w:val="18"/>
                <w:szCs w:val="18"/>
                <w:lang w:val="ms-MY"/>
              </w:rPr>
              <w:t>)</w:t>
            </w:r>
          </w:p>
        </w:tc>
      </w:tr>
      <w:tr w:rsidR="0083786D" w:rsidRPr="0040377C" w:rsidTr="00FC0A2D">
        <w:trPr>
          <w:trHeight w:val="156"/>
          <w:jc w:val="center"/>
        </w:trPr>
        <w:tc>
          <w:tcPr>
            <w:tcW w:w="0" w:type="auto"/>
            <w:tcBorders>
              <w:top w:val="single" w:sz="4" w:space="0" w:color="auto"/>
            </w:tcBorders>
          </w:tcPr>
          <w:p w:rsidR="0083786D" w:rsidRPr="0040377C" w:rsidRDefault="0083786D" w:rsidP="00FC0A2D">
            <w:pPr>
              <w:spacing w:before="60" w:after="0" w:line="240" w:lineRule="auto"/>
              <w:rPr>
                <w:rFonts w:ascii="Times New Roman" w:hAnsi="Times New Roman"/>
                <w:bCs/>
                <w:sz w:val="18"/>
                <w:szCs w:val="18"/>
                <w:lang w:val="ms-MY"/>
              </w:rPr>
            </w:pPr>
            <w:r w:rsidRPr="0040377C">
              <w:rPr>
                <w:rFonts w:ascii="Times New Roman" w:hAnsi="Times New Roman"/>
                <w:bCs/>
                <w:sz w:val="18"/>
                <w:szCs w:val="18"/>
                <w:lang w:val="ms-MY"/>
              </w:rPr>
              <w:t>Muara K.Terengganu</w:t>
            </w:r>
            <w:r w:rsidRPr="0040377C">
              <w:rPr>
                <w:rFonts w:ascii="Times New Roman" w:hAnsi="Times New Roman"/>
                <w:bCs/>
                <w:sz w:val="18"/>
                <w:szCs w:val="18"/>
                <w:vertAlign w:val="superscript"/>
                <w:lang w:val="ms-MY"/>
              </w:rPr>
              <w:t xml:space="preserve"> a</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384 – 1744</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25 – 53</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30.6 – 638</w:t>
            </w:r>
          </w:p>
        </w:tc>
        <w:tc>
          <w:tcPr>
            <w:tcW w:w="0" w:type="auto"/>
            <w:tcBorders>
              <w:top w:val="single" w:sz="4" w:space="0" w:color="auto"/>
            </w:tcBorders>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47 – 159</w:t>
            </w:r>
          </w:p>
        </w:tc>
      </w:tr>
      <w:tr w:rsidR="0083786D" w:rsidRPr="0040377C" w:rsidTr="00815FED">
        <w:trPr>
          <w:trHeight w:val="99"/>
          <w:jc w:val="center"/>
        </w:trPr>
        <w:tc>
          <w:tcPr>
            <w:tcW w:w="0" w:type="auto"/>
          </w:tcPr>
          <w:p w:rsidR="0083786D" w:rsidRPr="0040377C" w:rsidRDefault="0083786D" w:rsidP="00FC0A2D">
            <w:pPr>
              <w:spacing w:before="60" w:after="0" w:line="240" w:lineRule="auto"/>
              <w:rPr>
                <w:rFonts w:ascii="Times New Roman" w:hAnsi="Times New Roman"/>
                <w:bCs/>
                <w:sz w:val="18"/>
                <w:szCs w:val="18"/>
                <w:lang w:val="ms-MY"/>
              </w:rPr>
            </w:pPr>
            <w:r w:rsidRPr="0040377C">
              <w:rPr>
                <w:rFonts w:ascii="Times New Roman" w:hAnsi="Times New Roman"/>
                <w:bCs/>
                <w:sz w:val="18"/>
                <w:szCs w:val="18"/>
                <w:lang w:val="ms-MY"/>
              </w:rPr>
              <w:t>Juru Penang</w:t>
            </w:r>
            <w:r w:rsidRPr="0040377C">
              <w:rPr>
                <w:rFonts w:ascii="Times New Roman" w:hAnsi="Times New Roman"/>
                <w:bCs/>
                <w:sz w:val="18"/>
                <w:szCs w:val="18"/>
                <w:vertAlign w:val="superscript"/>
                <w:lang w:val="ms-MY"/>
              </w:rPr>
              <w:t xml:space="preserve"> b</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2.6 –8.1</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0.9 – 2.9</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11.5 – 59.6</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9.3 – 43</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118 – 442</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36.7 – 65</w:t>
            </w:r>
          </w:p>
        </w:tc>
      </w:tr>
      <w:tr w:rsidR="0083786D" w:rsidRPr="0040377C" w:rsidTr="00815FED">
        <w:trPr>
          <w:trHeight w:val="66"/>
          <w:jc w:val="center"/>
        </w:trPr>
        <w:tc>
          <w:tcPr>
            <w:tcW w:w="0" w:type="auto"/>
          </w:tcPr>
          <w:p w:rsidR="0083786D" w:rsidRPr="0040377C" w:rsidRDefault="0083786D" w:rsidP="00FC0A2D">
            <w:pPr>
              <w:spacing w:before="60" w:after="0" w:line="240" w:lineRule="auto"/>
              <w:rPr>
                <w:rFonts w:ascii="Times New Roman" w:hAnsi="Times New Roman"/>
                <w:bCs/>
                <w:sz w:val="18"/>
                <w:szCs w:val="18"/>
                <w:lang w:val="ms-MY"/>
              </w:rPr>
            </w:pPr>
            <w:r w:rsidRPr="0040377C">
              <w:rPr>
                <w:rFonts w:ascii="Times New Roman" w:hAnsi="Times New Roman"/>
                <w:bCs/>
                <w:sz w:val="18"/>
                <w:szCs w:val="18"/>
                <w:lang w:val="ms-MY"/>
              </w:rPr>
              <w:t>Luar Pantai Sabah</w:t>
            </w:r>
            <w:r w:rsidRPr="0040377C">
              <w:rPr>
                <w:rFonts w:ascii="Times New Roman" w:hAnsi="Times New Roman"/>
                <w:bCs/>
                <w:sz w:val="18"/>
                <w:szCs w:val="18"/>
                <w:vertAlign w:val="superscript"/>
                <w:lang w:val="ms-MY"/>
              </w:rPr>
              <w:t>c</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2.4 –3.8</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1.3 – 2.3</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 xml:space="preserve">38 – 59 </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20 – 50</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211 – 320</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24 – 47</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BDL – 41</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34 – 55</w:t>
            </w:r>
          </w:p>
        </w:tc>
      </w:tr>
      <w:tr w:rsidR="0083786D" w:rsidRPr="0040377C" w:rsidTr="00815FED">
        <w:trPr>
          <w:trHeight w:val="66"/>
          <w:jc w:val="center"/>
        </w:trPr>
        <w:tc>
          <w:tcPr>
            <w:tcW w:w="0" w:type="auto"/>
          </w:tcPr>
          <w:p w:rsidR="0083786D" w:rsidRPr="0040377C" w:rsidRDefault="0083786D" w:rsidP="00FC0A2D">
            <w:pPr>
              <w:spacing w:before="60" w:after="0" w:line="240" w:lineRule="auto"/>
              <w:rPr>
                <w:rFonts w:ascii="Times New Roman" w:hAnsi="Times New Roman"/>
                <w:bCs/>
                <w:sz w:val="18"/>
                <w:szCs w:val="18"/>
                <w:lang w:val="ms-MY"/>
              </w:rPr>
            </w:pPr>
            <w:r w:rsidRPr="0040377C">
              <w:rPr>
                <w:rFonts w:ascii="Times New Roman" w:hAnsi="Times New Roman"/>
                <w:bCs/>
                <w:sz w:val="18"/>
                <w:szCs w:val="18"/>
                <w:lang w:val="ms-MY"/>
              </w:rPr>
              <w:t>Sungai Chukai</w:t>
            </w:r>
            <w:r w:rsidRPr="0040377C">
              <w:rPr>
                <w:rFonts w:ascii="Times New Roman" w:hAnsi="Times New Roman"/>
                <w:bCs/>
                <w:sz w:val="18"/>
                <w:szCs w:val="18"/>
                <w:vertAlign w:val="superscript"/>
                <w:lang w:val="ms-MY"/>
              </w:rPr>
              <w:t>d</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6.0 – 15.2</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1.3 – 3.4</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33.4 –77.9</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8.6 – 20.7</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99.9 – 645.5</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9.4 – 19.6</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25.74 – 69.81</w:t>
            </w:r>
          </w:p>
        </w:tc>
      </w:tr>
      <w:tr w:rsidR="0083786D" w:rsidRPr="0040377C" w:rsidTr="00FC0A2D">
        <w:trPr>
          <w:trHeight w:val="66"/>
          <w:jc w:val="center"/>
        </w:trPr>
        <w:tc>
          <w:tcPr>
            <w:tcW w:w="0" w:type="auto"/>
          </w:tcPr>
          <w:p w:rsidR="0083786D" w:rsidRPr="0040377C" w:rsidRDefault="0083786D" w:rsidP="00FC0A2D">
            <w:pPr>
              <w:spacing w:before="60" w:after="0" w:line="240" w:lineRule="auto"/>
              <w:rPr>
                <w:rFonts w:ascii="Times New Roman" w:hAnsi="Times New Roman"/>
                <w:bCs/>
                <w:sz w:val="18"/>
                <w:szCs w:val="18"/>
                <w:lang w:val="ms-MY"/>
              </w:rPr>
            </w:pPr>
            <w:r w:rsidRPr="0040377C">
              <w:rPr>
                <w:rFonts w:ascii="Times New Roman" w:hAnsi="Times New Roman"/>
                <w:bCs/>
                <w:sz w:val="18"/>
                <w:szCs w:val="18"/>
                <w:lang w:val="ms-MY"/>
              </w:rPr>
              <w:t>Laut China Selatan</w:t>
            </w:r>
            <w:r w:rsidRPr="0040377C">
              <w:rPr>
                <w:rFonts w:ascii="Times New Roman" w:hAnsi="Times New Roman"/>
                <w:bCs/>
                <w:sz w:val="18"/>
                <w:szCs w:val="18"/>
                <w:vertAlign w:val="superscript"/>
                <w:lang w:val="ms-MY"/>
              </w:rPr>
              <w:t>c</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1.9 – 9.2</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6.1 – 22.3</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1.9 – 12.8</w:t>
            </w:r>
          </w:p>
        </w:tc>
        <w:tc>
          <w:tcPr>
            <w:tcW w:w="0" w:type="auto"/>
          </w:tcPr>
          <w:p w:rsidR="0083786D" w:rsidRPr="0040377C" w:rsidRDefault="0083786D" w:rsidP="00FC0A2D">
            <w:pPr>
              <w:spacing w:before="60" w:after="0" w:line="240" w:lineRule="auto"/>
              <w:jc w:val="center"/>
              <w:rPr>
                <w:rFonts w:ascii="Times New Roman" w:hAnsi="Times New Roman"/>
                <w:sz w:val="18"/>
                <w:szCs w:val="18"/>
                <w:lang w:val="ms-MY"/>
              </w:rPr>
            </w:pPr>
            <w:r w:rsidRPr="0040377C">
              <w:rPr>
                <w:rFonts w:ascii="Times New Roman" w:hAnsi="Times New Roman"/>
                <w:sz w:val="18"/>
                <w:szCs w:val="18"/>
                <w:lang w:val="ms-MY"/>
              </w:rPr>
              <w:t>12.45 – 49.88</w:t>
            </w:r>
          </w:p>
        </w:tc>
      </w:tr>
      <w:tr w:rsidR="0083786D" w:rsidRPr="0040377C" w:rsidTr="00FC0A2D">
        <w:trPr>
          <w:trHeight w:val="109"/>
          <w:jc w:val="center"/>
        </w:trPr>
        <w:tc>
          <w:tcPr>
            <w:tcW w:w="0" w:type="auto"/>
            <w:tcBorders>
              <w:bottom w:val="single" w:sz="4" w:space="0" w:color="auto"/>
            </w:tcBorders>
          </w:tcPr>
          <w:p w:rsidR="0083786D" w:rsidRPr="0040377C" w:rsidRDefault="0083786D" w:rsidP="00FC0A2D">
            <w:pPr>
              <w:spacing w:before="60" w:after="60" w:line="240" w:lineRule="auto"/>
              <w:rPr>
                <w:rFonts w:ascii="Times New Roman" w:hAnsi="Times New Roman"/>
                <w:bCs/>
                <w:sz w:val="18"/>
                <w:szCs w:val="18"/>
                <w:lang w:val="ms-MY"/>
              </w:rPr>
            </w:pPr>
            <w:r w:rsidRPr="0040377C">
              <w:rPr>
                <w:rFonts w:ascii="Times New Roman" w:hAnsi="Times New Roman"/>
                <w:bCs/>
                <w:sz w:val="18"/>
                <w:szCs w:val="18"/>
                <w:lang w:val="ms-MY"/>
              </w:rPr>
              <w:t>Sungai Rambai</w:t>
            </w:r>
            <w:r w:rsidRPr="0040377C">
              <w:rPr>
                <w:rFonts w:ascii="Times New Roman" w:hAnsi="Times New Roman"/>
                <w:bCs/>
                <w:sz w:val="18"/>
                <w:szCs w:val="18"/>
                <w:vertAlign w:val="superscript"/>
                <w:lang w:val="ms-MY"/>
              </w:rPr>
              <w:t>e</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1.5 – 2.7</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20 – 84</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56 – 803</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w:t>
            </w:r>
          </w:p>
        </w:tc>
        <w:tc>
          <w:tcPr>
            <w:tcW w:w="0" w:type="auto"/>
            <w:tcBorders>
              <w:bottom w:val="single" w:sz="4" w:space="0" w:color="auto"/>
            </w:tcBorders>
          </w:tcPr>
          <w:p w:rsidR="0083786D" w:rsidRPr="0040377C" w:rsidRDefault="0083786D" w:rsidP="00FC0A2D">
            <w:pPr>
              <w:spacing w:before="60" w:after="60" w:line="240" w:lineRule="auto"/>
              <w:jc w:val="center"/>
              <w:rPr>
                <w:rFonts w:ascii="Times New Roman" w:hAnsi="Times New Roman"/>
                <w:sz w:val="18"/>
                <w:szCs w:val="18"/>
                <w:lang w:val="ms-MY"/>
              </w:rPr>
            </w:pPr>
            <w:r w:rsidRPr="0040377C">
              <w:rPr>
                <w:rFonts w:ascii="Times New Roman" w:hAnsi="Times New Roman"/>
                <w:sz w:val="18"/>
                <w:szCs w:val="18"/>
                <w:lang w:val="ms-MY"/>
              </w:rPr>
              <w:t>38 – 117</w:t>
            </w:r>
          </w:p>
        </w:tc>
        <w:tc>
          <w:tcPr>
            <w:tcW w:w="0" w:type="auto"/>
            <w:tcBorders>
              <w:bottom w:val="single" w:sz="4" w:space="0" w:color="auto"/>
            </w:tcBorders>
          </w:tcPr>
          <w:p w:rsidR="0083786D" w:rsidRPr="00FC0A2D" w:rsidRDefault="00FC0A2D" w:rsidP="00FC0A2D">
            <w:pPr>
              <w:spacing w:before="60" w:after="60" w:line="240" w:lineRule="auto"/>
              <w:jc w:val="center"/>
              <w:rPr>
                <w:rFonts w:ascii="Times New Roman" w:hAnsi="Times New Roman"/>
                <w:sz w:val="18"/>
                <w:szCs w:val="18"/>
                <w:lang w:val="ms-MY"/>
              </w:rPr>
            </w:pPr>
            <w:r>
              <w:rPr>
                <w:rFonts w:ascii="Times New Roman" w:hAnsi="Times New Roman"/>
                <w:sz w:val="18"/>
                <w:szCs w:val="18"/>
                <w:lang w:val="ms-MY"/>
              </w:rPr>
              <w:t>51 - 483</w:t>
            </w:r>
          </w:p>
        </w:tc>
      </w:tr>
    </w:tbl>
    <w:p w:rsidR="0083786D" w:rsidRPr="00FC0A2D" w:rsidRDefault="00FC0A2D" w:rsidP="00FC0A2D">
      <w:pPr>
        <w:pStyle w:val="ListParagraph"/>
        <w:spacing w:after="0" w:line="240" w:lineRule="auto"/>
        <w:ind w:left="1440" w:hanging="1440"/>
        <w:rPr>
          <w:rFonts w:ascii="Times New Roman" w:hAnsi="Times New Roman"/>
          <w:sz w:val="20"/>
          <w:szCs w:val="20"/>
          <w:lang w:val="ms-MY"/>
        </w:rPr>
      </w:pPr>
      <w:r>
        <w:rPr>
          <w:rFonts w:ascii="Times New Roman" w:hAnsi="Times New Roman"/>
          <w:sz w:val="16"/>
          <w:szCs w:val="16"/>
          <w:lang w:val="ms-MY"/>
        </w:rPr>
        <w:t>a</w:t>
      </w:r>
      <w:r w:rsidRPr="00FC0A2D">
        <w:rPr>
          <w:rFonts w:ascii="Times New Roman" w:hAnsi="Times New Roman"/>
          <w:sz w:val="16"/>
          <w:szCs w:val="16"/>
          <w:lang w:val="ms-MY"/>
        </w:rPr>
        <w:t xml:space="preserve">)  </w:t>
      </w:r>
      <w:r w:rsidR="0083786D" w:rsidRPr="00FC0A2D">
        <w:rPr>
          <w:rFonts w:ascii="Times New Roman" w:hAnsi="Times New Roman"/>
          <w:sz w:val="16"/>
          <w:szCs w:val="16"/>
          <w:lang w:val="ms-MY"/>
        </w:rPr>
        <w:t>Nor [17], b)  Khalik et al. [18], c)  Shazili et al. [19], d)  Shamsuddin et al. [20],  e)  Poh &amp; Mun [21]</w:t>
      </w:r>
      <w:r w:rsidR="0083786D" w:rsidRPr="00FC0A2D">
        <w:rPr>
          <w:rFonts w:ascii="Times New Roman" w:hAnsi="Times New Roman"/>
          <w:sz w:val="20"/>
          <w:szCs w:val="20"/>
          <w:lang w:val="ms-MY"/>
        </w:rPr>
        <w:tab/>
      </w:r>
    </w:p>
    <w:p w:rsidR="0083786D" w:rsidRPr="0040377C" w:rsidRDefault="0083786D" w:rsidP="008773F6">
      <w:pPr>
        <w:spacing w:after="120" w:line="240" w:lineRule="auto"/>
        <w:jc w:val="both"/>
        <w:rPr>
          <w:rFonts w:ascii="Times New Roman" w:hAnsi="Times New Roman"/>
          <w:sz w:val="20"/>
          <w:szCs w:val="20"/>
          <w:lang w:val="ms-MY"/>
        </w:rPr>
      </w:pPr>
    </w:p>
    <w:p w:rsidR="0083786D" w:rsidRPr="0040377C" w:rsidRDefault="0083786D" w:rsidP="0083786D">
      <w:pPr>
        <w:spacing w:after="0" w:line="240" w:lineRule="auto"/>
        <w:jc w:val="both"/>
        <w:rPr>
          <w:rFonts w:ascii="Times New Roman" w:hAnsi="Times New Roman"/>
          <w:b/>
          <w:sz w:val="20"/>
          <w:szCs w:val="20"/>
          <w:lang w:val="ms-MY"/>
        </w:rPr>
      </w:pPr>
      <w:r w:rsidRPr="0040377C">
        <w:rPr>
          <w:rFonts w:ascii="Times New Roman" w:hAnsi="Times New Roman"/>
          <w:b/>
          <w:sz w:val="20"/>
          <w:szCs w:val="20"/>
          <w:lang w:val="ms-MY"/>
        </w:rPr>
        <w:t>Perbandingan kepekatan logam kawasan kajian dengan beberapa kawasan di persisiran pantai di Malaysia</w:t>
      </w:r>
    </w:p>
    <w:p w:rsidR="0083786D" w:rsidRPr="0040377C" w:rsidRDefault="0083786D" w:rsidP="0083786D">
      <w:pPr>
        <w:spacing w:after="0" w:line="240" w:lineRule="auto"/>
        <w:jc w:val="both"/>
        <w:rPr>
          <w:rFonts w:ascii="Times New Roman" w:hAnsi="Times New Roman"/>
          <w:sz w:val="20"/>
          <w:szCs w:val="20"/>
          <w:lang w:val="ms-MY"/>
        </w:rPr>
      </w:pPr>
      <w:r w:rsidRPr="0040377C">
        <w:rPr>
          <w:rFonts w:ascii="Times New Roman" w:hAnsi="Times New Roman"/>
          <w:sz w:val="20"/>
          <w:szCs w:val="20"/>
          <w:lang w:val="ms-MY"/>
        </w:rPr>
        <w:t>Jadual 3 menunjukkan perbandingan kepekatan logam di antara Sungai Kemaman dan sungai-sungai serta kawasan pesisiran pantai di Malaysia. Secara umumnya, melalui perbandingan didapati kepekatan logam Fe, Cr, Cu dan Mn di kawasan kajian berada dalam julat yang hampir sama dengan kepekatan logam dari Sungai Juru (Pulau Pinang), Luar Pantai Sabah, Sungai Chukai (Kemaman, Terengganu) dan Sungai Rambai (Melaka). Manakala julat kepekatan logam Ni, Pb dan Zn di kawasan kajian adalah berbeza dengan kepekatan logam di muara Kuala Terengganu, Sungai Chukai, Laut China Selatan dan Sungai Rambai. Perbezaan ini mungkin disebabkan oleh pengaruh aktiviti-aktiviti yang terdapat di persekitaran kawasan-kawasan kajian. Perbezaan kepekatan logam di sesuatu kawasan adalah disebabkan oleh pengaruh atau kemasukan logam dari berbagai-bagai sumber. Menurut Dryssen et al. [22] dan Bernhard [23], kepekatan logam boleh berubah secara terus melalui berbagai-bagai proses dan sumber pencemaran. Badri [24] telah menyatakan bahawa pencemaran logam berat mungkin masuk ke dalam persekitaran dalam bentuk pepejal atau bukan pepejal, di mana ianya boleh dirujuk kepada perlimpahan di dalam abiotik (seperti endapan, debu, tanah dan air) dan juga perlimpahan biotik (seperti tumbuhan, hidupan akuatik dan sebagainya).</w:t>
      </w:r>
    </w:p>
    <w:p w:rsidR="0083786D" w:rsidRPr="0040377C" w:rsidRDefault="0083786D" w:rsidP="0083786D">
      <w:pPr>
        <w:spacing w:after="0" w:line="240" w:lineRule="auto"/>
        <w:jc w:val="center"/>
        <w:rPr>
          <w:rFonts w:ascii="Times New Roman" w:hAnsi="Times New Roman"/>
          <w:sz w:val="20"/>
          <w:szCs w:val="20"/>
          <w:lang w:val="ms-MY"/>
        </w:rPr>
      </w:pPr>
    </w:p>
    <w:p w:rsidR="0083786D" w:rsidRPr="0040377C" w:rsidRDefault="0083786D" w:rsidP="0083786D">
      <w:pPr>
        <w:spacing w:after="0" w:line="240" w:lineRule="auto"/>
        <w:jc w:val="both"/>
        <w:rPr>
          <w:rFonts w:ascii="Times New Roman" w:hAnsi="Times New Roman"/>
          <w:b/>
          <w:sz w:val="20"/>
          <w:szCs w:val="20"/>
          <w:lang w:val="ms-MY"/>
        </w:rPr>
      </w:pPr>
      <w:r w:rsidRPr="0040377C">
        <w:rPr>
          <w:rFonts w:ascii="Times New Roman" w:hAnsi="Times New Roman"/>
          <w:b/>
          <w:sz w:val="20"/>
          <w:szCs w:val="20"/>
          <w:lang w:val="ms-MY"/>
        </w:rPr>
        <w:lastRenderedPageBreak/>
        <w:t>Kepekatan logam mengikut stesen kajian</w:t>
      </w:r>
    </w:p>
    <w:p w:rsidR="0083786D" w:rsidRPr="0040377C" w:rsidRDefault="0083786D" w:rsidP="0083786D">
      <w:pPr>
        <w:spacing w:after="0" w:line="240" w:lineRule="auto"/>
        <w:jc w:val="both"/>
        <w:rPr>
          <w:rFonts w:ascii="Times New Roman" w:hAnsi="Times New Roman"/>
          <w:sz w:val="20"/>
          <w:szCs w:val="20"/>
          <w:lang w:val="ms-MY"/>
        </w:rPr>
      </w:pPr>
      <w:r w:rsidRPr="0040377C">
        <w:rPr>
          <w:rFonts w:ascii="Times New Roman" w:hAnsi="Times New Roman"/>
          <w:sz w:val="20"/>
          <w:szCs w:val="20"/>
          <w:lang w:val="ms-MY"/>
        </w:rPr>
        <w:t xml:space="preserve">Rajah 2 menunjukkan kepekatan logam mengikut stesen kajian dan masa pensampelan. Berdasarkan kepada keputusan yang diperolehi, didapati beberapa stesen kajian mempunyai kepekatan logam yang lebih tinggi berbanding dengan stesen-stesen pensampelan yang lain. Ini mungkin disebabkan kedudukan geografi stesen pensampelan tersebut serta pengaruh daripada aktiviti-aktiviti manusia seperti perumahan, perindustrian dan perkapalan di sekitar kawasan sungai tersebut. Di samping itu, jenis tekstur sedimen dasar juga mempengaruhi kepekatan logam berat tersebut [2, 11, 25]. Umumnya, kepekatan beberapa logam di stesen K1, K2, K6 dan K7 adalah tinggi berbanding dengan kepekatan logam di stesen-stesen yang lain. Di stesen K1 dan K2 didapati kepekatan logam Fe, Cr, Cu dan Pb adalah tinggi disebabkan oleh kemasukan sumber logam dari aktiviti di limbungan kapal dan pusat perindustrian kecil yang menyalurkan bahan buangan ke dalam sungai tersebut.  Manakala, kepekatan logam Fe, Cr, Cu, Ni, Pb dan Zn di stesen K6 dan K7 adalah tinggi akibat daripada bahan-bahan buangan dari aktiviti di pelabuhan perikanan, stesen minyak dan kawasan perbandaran. Hasil kajian saintis mendapati bahawa kandungan logam Cu dan Fe yang tinggi mungkin disebabkan oleh aktiviti perindustrian yang melepaskan sisa industri ke persekitaran akuatik berdekatan [2, 12, 26]. Shamsuddin [2], Kamaruzzaman [12] dan Donazzolo et al. [13] juga merumuskan bahawa kandungan logam Zn dan Pb yang tinggi di persekitaran akuatik seperti kawasan pelabuhan atau kawasan yang aktif dengan aktiviti perkapalan. Hasil dapatan sesetengah saintis juga menunjukkan bahan buangan manusia seperti dari perumahan, perbandaran dan automobil menyumbang kepada pencemaran Pb di persekitaran akuatik [2, 12, 20, 27, 28]. </w:t>
      </w:r>
    </w:p>
    <w:p w:rsidR="0083786D" w:rsidRPr="0040377C" w:rsidRDefault="0083786D" w:rsidP="000415DF">
      <w:pPr>
        <w:spacing w:after="120" w:line="240" w:lineRule="auto"/>
        <w:jc w:val="both"/>
        <w:rPr>
          <w:rFonts w:ascii="Times New Roman" w:hAnsi="Times New Roman"/>
          <w:sz w:val="20"/>
          <w:szCs w:val="20"/>
          <w:lang w:val="ms-MY"/>
        </w:rPr>
      </w:pPr>
    </w:p>
    <w:p w:rsidR="0083786D" w:rsidRPr="0040377C" w:rsidRDefault="0083786D" w:rsidP="0083786D">
      <w:pPr>
        <w:spacing w:after="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extent cx="4751705" cy="1877060"/>
            <wp:effectExtent l="0" t="0" r="10795" b="2794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786D" w:rsidRPr="008773F6" w:rsidRDefault="0083786D" w:rsidP="0083786D">
      <w:pPr>
        <w:spacing w:after="0" w:line="240" w:lineRule="auto"/>
        <w:jc w:val="center"/>
        <w:rPr>
          <w:rFonts w:ascii="Times New Roman" w:hAnsi="Times New Roman"/>
          <w:noProof/>
          <w:sz w:val="8"/>
          <w:szCs w:val="8"/>
          <w:lang w:eastAsia="en-MY"/>
        </w:rPr>
      </w:pPr>
    </w:p>
    <w:p w:rsidR="0083786D" w:rsidRPr="0040377C" w:rsidRDefault="0083786D" w:rsidP="0083786D">
      <w:pPr>
        <w:spacing w:after="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extent cx="4752975" cy="1723390"/>
            <wp:effectExtent l="0" t="0" r="9525" b="1016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786D" w:rsidRDefault="0083786D"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Default="000415DF" w:rsidP="0083786D">
      <w:pPr>
        <w:spacing w:after="0" w:line="240" w:lineRule="auto"/>
        <w:jc w:val="center"/>
        <w:rPr>
          <w:rFonts w:ascii="Times New Roman" w:hAnsi="Times New Roman"/>
          <w:noProof/>
          <w:sz w:val="20"/>
          <w:szCs w:val="20"/>
          <w:lang w:eastAsia="en-MY"/>
        </w:rPr>
      </w:pPr>
    </w:p>
    <w:p w:rsidR="000415DF" w:rsidRPr="000415DF" w:rsidRDefault="000415DF" w:rsidP="0083786D">
      <w:pPr>
        <w:spacing w:after="0" w:line="240" w:lineRule="auto"/>
        <w:jc w:val="center"/>
        <w:rPr>
          <w:rFonts w:ascii="Times New Roman" w:hAnsi="Times New Roman"/>
          <w:noProof/>
          <w:sz w:val="20"/>
          <w:szCs w:val="20"/>
          <w:lang w:eastAsia="en-MY"/>
        </w:rPr>
      </w:pPr>
    </w:p>
    <w:p w:rsidR="0083786D" w:rsidRPr="0040377C" w:rsidRDefault="0083786D" w:rsidP="0083786D">
      <w:pPr>
        <w:spacing w:after="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extent cx="4752975" cy="1752600"/>
            <wp:effectExtent l="0" t="0" r="9525" b="1905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0" w:name="_GoBack"/>
      <w:bookmarkEnd w:id="0"/>
    </w:p>
    <w:p w:rsidR="0083786D" w:rsidRPr="008773F6" w:rsidRDefault="0083786D" w:rsidP="0083786D">
      <w:pPr>
        <w:spacing w:after="0" w:line="240" w:lineRule="auto"/>
        <w:jc w:val="center"/>
        <w:rPr>
          <w:rFonts w:ascii="Times New Roman" w:hAnsi="Times New Roman"/>
          <w:noProof/>
          <w:sz w:val="8"/>
          <w:szCs w:val="8"/>
          <w:lang w:eastAsia="en-MY"/>
        </w:rPr>
      </w:pPr>
    </w:p>
    <w:p w:rsidR="0083786D" w:rsidRPr="008773F6" w:rsidRDefault="0083786D" w:rsidP="001230E6">
      <w:pPr>
        <w:spacing w:after="8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14:anchorId="3395914A" wp14:editId="0BF39256">
            <wp:extent cx="4733925" cy="1695450"/>
            <wp:effectExtent l="0" t="0" r="9525" b="1905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786D" w:rsidRPr="0040377C" w:rsidRDefault="0083786D" w:rsidP="0083786D">
      <w:pPr>
        <w:spacing w:after="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extent cx="4714875" cy="17621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786D" w:rsidRPr="008773F6" w:rsidRDefault="0083786D" w:rsidP="008773F6">
      <w:pPr>
        <w:spacing w:after="0" w:line="240" w:lineRule="auto"/>
        <w:jc w:val="center"/>
        <w:rPr>
          <w:rFonts w:ascii="Times New Roman" w:hAnsi="Times New Roman"/>
          <w:noProof/>
          <w:sz w:val="8"/>
          <w:szCs w:val="8"/>
          <w:lang w:eastAsia="en-MY"/>
        </w:rPr>
      </w:pPr>
    </w:p>
    <w:p w:rsidR="0083786D" w:rsidRPr="0040377C" w:rsidRDefault="0083786D" w:rsidP="0083786D">
      <w:pPr>
        <w:spacing w:after="0" w:line="240" w:lineRule="auto"/>
        <w:jc w:val="center"/>
        <w:rPr>
          <w:rFonts w:ascii="Times New Roman" w:hAnsi="Times New Roman"/>
          <w:noProof/>
          <w:lang w:val="en-MY" w:eastAsia="en-MY"/>
        </w:rPr>
      </w:pPr>
      <w:r>
        <w:rPr>
          <w:rFonts w:ascii="Times New Roman" w:hAnsi="Times New Roman"/>
          <w:noProof/>
          <w:lang w:val="en-MY" w:eastAsia="en-MY" w:bidi="ar-SA"/>
        </w:rPr>
        <w:drawing>
          <wp:inline distT="0" distB="0" distL="0" distR="0">
            <wp:extent cx="4733925" cy="2047875"/>
            <wp:effectExtent l="0" t="0" r="9525"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3786D" w:rsidRDefault="0083786D" w:rsidP="008773F6">
      <w:pPr>
        <w:spacing w:after="0" w:line="240" w:lineRule="auto"/>
        <w:jc w:val="center"/>
        <w:rPr>
          <w:rFonts w:ascii="Times New Roman" w:hAnsi="Times New Roman"/>
          <w:noProof/>
          <w:sz w:val="20"/>
          <w:szCs w:val="20"/>
          <w:lang w:eastAsia="en-MY"/>
        </w:rPr>
      </w:pPr>
    </w:p>
    <w:p w:rsidR="000415DF" w:rsidRPr="000415DF" w:rsidRDefault="000415DF" w:rsidP="008773F6">
      <w:pPr>
        <w:spacing w:after="0" w:line="240" w:lineRule="auto"/>
        <w:jc w:val="center"/>
        <w:rPr>
          <w:rFonts w:ascii="Times New Roman" w:hAnsi="Times New Roman"/>
          <w:noProof/>
          <w:sz w:val="20"/>
          <w:szCs w:val="20"/>
          <w:lang w:eastAsia="en-MY"/>
        </w:rPr>
      </w:pPr>
    </w:p>
    <w:p w:rsidR="0083786D" w:rsidRDefault="0083786D" w:rsidP="008773F6">
      <w:pPr>
        <w:spacing w:after="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14:anchorId="62CDA1A5" wp14:editId="05BF1B80">
            <wp:extent cx="4752975" cy="1676400"/>
            <wp:effectExtent l="0" t="0" r="9525"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773F6" w:rsidRPr="008773F6" w:rsidRDefault="008773F6" w:rsidP="008773F6">
      <w:pPr>
        <w:spacing w:after="0" w:line="240" w:lineRule="auto"/>
        <w:jc w:val="center"/>
        <w:rPr>
          <w:rFonts w:ascii="Times New Roman" w:hAnsi="Times New Roman"/>
          <w:noProof/>
          <w:sz w:val="8"/>
          <w:szCs w:val="8"/>
          <w:lang w:eastAsia="en-MY"/>
        </w:rPr>
      </w:pPr>
    </w:p>
    <w:p w:rsidR="008773F6" w:rsidRDefault="0083786D" w:rsidP="008773F6">
      <w:pPr>
        <w:spacing w:after="120" w:line="240" w:lineRule="auto"/>
        <w:jc w:val="center"/>
        <w:rPr>
          <w:rFonts w:ascii="Times New Roman" w:hAnsi="Times New Roman"/>
          <w:noProof/>
          <w:lang w:eastAsia="en-MY"/>
        </w:rPr>
      </w:pPr>
      <w:r>
        <w:rPr>
          <w:rFonts w:ascii="Times New Roman" w:hAnsi="Times New Roman"/>
          <w:noProof/>
          <w:lang w:val="en-MY" w:eastAsia="en-MY" w:bidi="ar-SA"/>
        </w:rPr>
        <w:drawing>
          <wp:inline distT="0" distB="0" distL="0" distR="0" wp14:anchorId="2FC9F68C" wp14:editId="720416E6">
            <wp:extent cx="4752975" cy="1733550"/>
            <wp:effectExtent l="0" t="0" r="9525" b="190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3786D" w:rsidRPr="008773F6" w:rsidRDefault="008773F6" w:rsidP="008773F6">
      <w:pPr>
        <w:spacing w:after="120" w:line="240" w:lineRule="auto"/>
        <w:jc w:val="center"/>
        <w:rPr>
          <w:rFonts w:ascii="Times New Roman" w:hAnsi="Times New Roman"/>
          <w:noProof/>
          <w:lang w:eastAsia="en-MY"/>
        </w:rPr>
      </w:pPr>
      <w:r>
        <w:rPr>
          <w:rFonts w:ascii="Times New Roman" w:hAnsi="Times New Roman"/>
          <w:noProof/>
          <w:sz w:val="20"/>
          <w:szCs w:val="20"/>
          <w:lang w:eastAsia="en-MY"/>
        </w:rPr>
        <w:t xml:space="preserve">Rajah 2.  </w:t>
      </w:r>
      <w:r w:rsidR="0083786D" w:rsidRPr="0040377C">
        <w:rPr>
          <w:rFonts w:ascii="Times New Roman" w:hAnsi="Times New Roman"/>
          <w:noProof/>
          <w:sz w:val="20"/>
          <w:szCs w:val="20"/>
          <w:lang w:eastAsia="en-MY"/>
        </w:rPr>
        <w:t>Kepekatan logam berat bagi setiap stesen kajian Muara Sungai Kemaman</w:t>
      </w:r>
    </w:p>
    <w:p w:rsidR="0083786D" w:rsidRPr="0040377C" w:rsidRDefault="0083786D" w:rsidP="0083786D">
      <w:pPr>
        <w:spacing w:after="0" w:line="240" w:lineRule="auto"/>
        <w:jc w:val="both"/>
        <w:rPr>
          <w:rFonts w:ascii="Times New Roman" w:hAnsi="Times New Roman"/>
          <w:sz w:val="20"/>
          <w:szCs w:val="20"/>
          <w:lang w:val="ms-MY"/>
        </w:rPr>
      </w:pPr>
    </w:p>
    <w:p w:rsidR="0083786D" w:rsidRPr="0040377C" w:rsidRDefault="0083786D" w:rsidP="0083786D">
      <w:pPr>
        <w:spacing w:after="0" w:line="240" w:lineRule="auto"/>
        <w:jc w:val="both"/>
        <w:rPr>
          <w:rFonts w:ascii="Times New Roman" w:hAnsi="Times New Roman"/>
          <w:b/>
          <w:sz w:val="20"/>
          <w:szCs w:val="20"/>
          <w:lang w:val="ms-MY"/>
        </w:rPr>
      </w:pPr>
      <w:r w:rsidRPr="0040377C">
        <w:rPr>
          <w:rFonts w:ascii="Times New Roman" w:hAnsi="Times New Roman"/>
          <w:b/>
          <w:sz w:val="20"/>
          <w:szCs w:val="20"/>
          <w:lang w:val="ms-MY"/>
        </w:rPr>
        <w:t>Faktor pengkayaan</w:t>
      </w:r>
    </w:p>
    <w:p w:rsidR="0083786D" w:rsidRPr="0040377C" w:rsidRDefault="0083786D" w:rsidP="0083786D">
      <w:pPr>
        <w:spacing w:after="0" w:line="240" w:lineRule="auto"/>
        <w:jc w:val="both"/>
        <w:rPr>
          <w:rFonts w:ascii="Times New Roman" w:hAnsi="Times New Roman"/>
          <w:sz w:val="20"/>
          <w:szCs w:val="20"/>
          <w:lang w:val="ms-MY"/>
        </w:rPr>
      </w:pPr>
      <w:r w:rsidRPr="0040377C">
        <w:rPr>
          <w:rFonts w:ascii="Times New Roman" w:hAnsi="Times New Roman"/>
          <w:sz w:val="20"/>
          <w:szCs w:val="20"/>
          <w:lang w:val="ms-MY"/>
        </w:rPr>
        <w:t>Nilai EF logam-logam yang dikaji ditunjukkan dalam Jadual 4. Kesemua logam yang dikaji menunjukkan nilai EF yang kurang daripada 1 bagi kedua-dua pensampelan kecuali logam Pb. Ini menggambarkan bahawa logam berat di kawasan kajian adalah berasal daripada proses semulajadi sama ada sebelum musim tengkujuh mahupun ketika musim tengkujuh [2, 10, 11]. Berdasarkan kepada nilai EF bagi Pb iaitu melebih 1, didapati kepekatan logam ini dipengaruhi oleh kemasukan logam daripada sumber antropogenik. Keputusan ini adalah selari dengan keputusan kajian yang diperolehi oleh Shamsuddin [2] dengan menggunakan kaedah penguraian berterusan ke atas enapan dasar muara Kuala Kemaman dan pesisiran pantai Kemaman. Daripada kajian Shamsuddin [2], didapati jumlah kepekatan logam Pb dalam pecahan bukan litogenik (fasa penguraian logam mudah bertukar, fasa penguraian ikatan karbonat, ikatan Fe-Mn oksida dan fasa ikatan bahan organik) adalah lebih tinggi jika dibandingkan dengan kepekatan logam Pb dalam pecahan litogenik (fasa hasil logam) dan ini menunjukkan kepekatan Pb di kawasan kajian adalah dipengaruhi oleh kemasukan sumber antropogenik. Kepekatan logam dalam sedimen sebenarnya boleh dibahagikan kepada pecahan yang tidak kekal (pecahan bukan litogenik) dan pecahan yang kekal (pecahan litogenik) [29-31]. Pecahan bukan litogenik adalah berpunca daripada bahan-bahan antropogenik iaitu bahan-bahan yang terhasil daripada aktiviti-aktiviti manusia manakala pecahan litogenik adalah logam yang terikat pada kekisi hablur atau sumber semulajadi [31]. Jika kepekatan logam dalam pecahan bukan litogenik tinggi bermakna terdapatnya kemasukan logam daripada sumber antropogenik dan begitu juga sebaliknya.</w:t>
      </w:r>
    </w:p>
    <w:p w:rsidR="0083786D" w:rsidRDefault="0083786D" w:rsidP="008773F6">
      <w:pPr>
        <w:spacing w:after="120" w:line="240" w:lineRule="auto"/>
        <w:jc w:val="both"/>
        <w:rPr>
          <w:rFonts w:ascii="Times New Roman" w:hAnsi="Times New Roman"/>
          <w:sz w:val="20"/>
          <w:szCs w:val="20"/>
          <w:lang w:val="ms-MY"/>
        </w:rPr>
      </w:pPr>
    </w:p>
    <w:p w:rsidR="004D6757" w:rsidRDefault="004D6757" w:rsidP="008773F6">
      <w:pPr>
        <w:spacing w:after="120" w:line="240" w:lineRule="auto"/>
        <w:jc w:val="both"/>
        <w:rPr>
          <w:rFonts w:ascii="Times New Roman" w:hAnsi="Times New Roman"/>
          <w:sz w:val="20"/>
          <w:szCs w:val="20"/>
          <w:lang w:val="ms-MY"/>
        </w:rPr>
      </w:pPr>
    </w:p>
    <w:p w:rsidR="004D6757" w:rsidRDefault="004D6757" w:rsidP="008773F6">
      <w:pPr>
        <w:spacing w:after="120" w:line="240" w:lineRule="auto"/>
        <w:jc w:val="both"/>
        <w:rPr>
          <w:rFonts w:ascii="Times New Roman" w:hAnsi="Times New Roman"/>
          <w:sz w:val="20"/>
          <w:szCs w:val="20"/>
          <w:lang w:val="ms-MY"/>
        </w:rPr>
      </w:pPr>
    </w:p>
    <w:p w:rsidR="004D6757" w:rsidRDefault="004D6757" w:rsidP="008773F6">
      <w:pPr>
        <w:spacing w:after="120" w:line="240" w:lineRule="auto"/>
        <w:jc w:val="both"/>
        <w:rPr>
          <w:rFonts w:ascii="Times New Roman" w:hAnsi="Times New Roman"/>
          <w:sz w:val="20"/>
          <w:szCs w:val="20"/>
          <w:lang w:val="ms-MY"/>
        </w:rPr>
      </w:pPr>
    </w:p>
    <w:p w:rsidR="004D6757" w:rsidRDefault="004D6757" w:rsidP="008773F6">
      <w:pPr>
        <w:spacing w:after="120" w:line="240" w:lineRule="auto"/>
        <w:jc w:val="both"/>
        <w:rPr>
          <w:rFonts w:ascii="Times New Roman" w:hAnsi="Times New Roman"/>
          <w:sz w:val="20"/>
          <w:szCs w:val="20"/>
          <w:lang w:val="ms-MY"/>
        </w:rPr>
      </w:pPr>
    </w:p>
    <w:p w:rsidR="004D6757" w:rsidRPr="0040377C" w:rsidRDefault="004D6757" w:rsidP="008773F6">
      <w:pPr>
        <w:spacing w:after="120" w:line="240" w:lineRule="auto"/>
        <w:jc w:val="both"/>
        <w:rPr>
          <w:rFonts w:ascii="Times New Roman" w:hAnsi="Times New Roman"/>
          <w:sz w:val="20"/>
          <w:szCs w:val="20"/>
          <w:lang w:val="ms-MY"/>
        </w:rPr>
      </w:pPr>
    </w:p>
    <w:p w:rsidR="0083786D" w:rsidRPr="0040377C" w:rsidRDefault="0083786D" w:rsidP="008773F6">
      <w:pPr>
        <w:spacing w:after="120" w:line="240" w:lineRule="auto"/>
        <w:jc w:val="center"/>
        <w:rPr>
          <w:rFonts w:ascii="Times New Roman" w:hAnsi="Times New Roman"/>
          <w:sz w:val="20"/>
          <w:szCs w:val="20"/>
          <w:lang w:val="ms-MY"/>
        </w:rPr>
      </w:pPr>
      <w:r w:rsidRPr="0040377C">
        <w:rPr>
          <w:rFonts w:ascii="Times New Roman" w:hAnsi="Times New Roman"/>
          <w:sz w:val="20"/>
          <w:szCs w:val="20"/>
          <w:lang w:val="ms-MY"/>
        </w:rPr>
        <w:t>Jadual 4.  Nilai faktor pengkayaan (EF) logam di kawasan kajian</w:t>
      </w:r>
    </w:p>
    <w:tbl>
      <w:tblPr>
        <w:tblW w:w="0" w:type="auto"/>
        <w:jc w:val="center"/>
        <w:tblInd w:w="1008" w:type="dxa"/>
        <w:tblLook w:val="01E0" w:firstRow="1" w:lastRow="1" w:firstColumn="1" w:lastColumn="1" w:noHBand="0" w:noVBand="0"/>
      </w:tblPr>
      <w:tblGrid>
        <w:gridCol w:w="816"/>
        <w:gridCol w:w="2316"/>
        <w:gridCol w:w="2100"/>
      </w:tblGrid>
      <w:tr w:rsidR="0083786D" w:rsidRPr="0040377C" w:rsidTr="008773F6">
        <w:trPr>
          <w:jc w:val="center"/>
        </w:trPr>
        <w:tc>
          <w:tcPr>
            <w:tcW w:w="0" w:type="auto"/>
            <w:tcBorders>
              <w:top w:val="single" w:sz="4" w:space="0" w:color="auto"/>
              <w:bottom w:val="single" w:sz="4" w:space="0" w:color="auto"/>
            </w:tcBorders>
            <w:shd w:val="clear" w:color="auto" w:fill="auto"/>
          </w:tcPr>
          <w:p w:rsidR="0083786D" w:rsidRPr="0040377C" w:rsidRDefault="0083786D" w:rsidP="008773F6">
            <w:pPr>
              <w:spacing w:before="60" w:after="0" w:line="240" w:lineRule="auto"/>
              <w:rPr>
                <w:rFonts w:ascii="Times New Roman" w:hAnsi="Times New Roman"/>
                <w:b/>
                <w:bCs/>
                <w:sz w:val="20"/>
                <w:szCs w:val="20"/>
                <w:lang w:val="ms-MY"/>
              </w:rPr>
            </w:pPr>
            <w:r w:rsidRPr="0040377C">
              <w:rPr>
                <w:rFonts w:ascii="Times New Roman" w:hAnsi="Times New Roman"/>
                <w:b/>
                <w:bCs/>
                <w:sz w:val="20"/>
                <w:szCs w:val="20"/>
                <w:lang w:val="ms-MY"/>
              </w:rPr>
              <w:t>Logam</w:t>
            </w:r>
          </w:p>
        </w:tc>
        <w:tc>
          <w:tcPr>
            <w:tcW w:w="0" w:type="auto"/>
            <w:tcBorders>
              <w:top w:val="single" w:sz="4" w:space="0" w:color="auto"/>
              <w:bottom w:val="single" w:sz="4" w:space="0" w:color="auto"/>
            </w:tcBorders>
            <w:shd w:val="clear" w:color="auto" w:fill="auto"/>
          </w:tcPr>
          <w:p w:rsidR="0083786D" w:rsidRPr="0040377C" w:rsidRDefault="0083786D" w:rsidP="008773F6">
            <w:pPr>
              <w:spacing w:before="60" w:after="0" w:line="240" w:lineRule="auto"/>
              <w:jc w:val="center"/>
              <w:rPr>
                <w:rFonts w:ascii="Times New Roman" w:hAnsi="Times New Roman"/>
                <w:b/>
                <w:bCs/>
                <w:sz w:val="20"/>
                <w:szCs w:val="20"/>
                <w:lang w:val="ms-MY"/>
              </w:rPr>
            </w:pPr>
            <w:r w:rsidRPr="0040377C">
              <w:rPr>
                <w:rFonts w:ascii="Times New Roman" w:hAnsi="Times New Roman"/>
                <w:b/>
                <w:bCs/>
                <w:sz w:val="20"/>
                <w:szCs w:val="20"/>
                <w:lang w:val="ms-MY"/>
              </w:rPr>
              <w:t>Nilai EF</w:t>
            </w:r>
          </w:p>
          <w:p w:rsidR="0083786D" w:rsidRPr="0040377C" w:rsidRDefault="0083786D" w:rsidP="00815FED">
            <w:pPr>
              <w:spacing w:after="0" w:line="240" w:lineRule="auto"/>
              <w:jc w:val="center"/>
              <w:rPr>
                <w:rFonts w:ascii="Times New Roman" w:hAnsi="Times New Roman"/>
                <w:b/>
                <w:bCs/>
                <w:sz w:val="20"/>
                <w:szCs w:val="20"/>
                <w:lang w:val="ms-MY"/>
              </w:rPr>
            </w:pPr>
            <w:r w:rsidRPr="0040377C">
              <w:rPr>
                <w:rFonts w:ascii="Times New Roman" w:hAnsi="Times New Roman"/>
                <w:b/>
                <w:bCs/>
                <w:sz w:val="20"/>
                <w:szCs w:val="20"/>
                <w:lang w:val="ms-MY"/>
              </w:rPr>
              <w:t xml:space="preserve"> (Pensampelan Pertama)</w:t>
            </w:r>
          </w:p>
        </w:tc>
        <w:tc>
          <w:tcPr>
            <w:tcW w:w="0" w:type="auto"/>
            <w:tcBorders>
              <w:top w:val="single" w:sz="4" w:space="0" w:color="auto"/>
              <w:bottom w:val="single" w:sz="4" w:space="0" w:color="auto"/>
            </w:tcBorders>
            <w:shd w:val="clear" w:color="auto" w:fill="auto"/>
          </w:tcPr>
          <w:p w:rsidR="0083786D" w:rsidRPr="0040377C" w:rsidRDefault="0083786D" w:rsidP="008773F6">
            <w:pPr>
              <w:spacing w:before="80" w:after="0" w:line="240" w:lineRule="auto"/>
              <w:jc w:val="center"/>
              <w:rPr>
                <w:rFonts w:ascii="Times New Roman" w:hAnsi="Times New Roman"/>
                <w:b/>
                <w:bCs/>
                <w:sz w:val="20"/>
                <w:szCs w:val="20"/>
                <w:lang w:val="ms-MY"/>
              </w:rPr>
            </w:pPr>
            <w:r w:rsidRPr="0040377C">
              <w:rPr>
                <w:rFonts w:ascii="Times New Roman" w:hAnsi="Times New Roman"/>
                <w:b/>
                <w:bCs/>
                <w:sz w:val="20"/>
                <w:szCs w:val="20"/>
                <w:lang w:val="ms-MY"/>
              </w:rPr>
              <w:t>Nilai EF</w:t>
            </w:r>
          </w:p>
          <w:p w:rsidR="0083786D" w:rsidRPr="0040377C" w:rsidRDefault="0083786D" w:rsidP="008773F6">
            <w:pPr>
              <w:spacing w:after="60" w:line="240" w:lineRule="auto"/>
              <w:jc w:val="center"/>
              <w:rPr>
                <w:rFonts w:ascii="Times New Roman" w:hAnsi="Times New Roman"/>
                <w:b/>
                <w:bCs/>
                <w:sz w:val="20"/>
                <w:szCs w:val="20"/>
                <w:lang w:val="ms-MY"/>
              </w:rPr>
            </w:pPr>
            <w:r w:rsidRPr="0040377C">
              <w:rPr>
                <w:rFonts w:ascii="Times New Roman" w:hAnsi="Times New Roman"/>
                <w:b/>
                <w:bCs/>
                <w:sz w:val="20"/>
                <w:szCs w:val="20"/>
                <w:lang w:val="ms-MY"/>
              </w:rPr>
              <w:t>(Pensampelan Kedua)</w:t>
            </w:r>
          </w:p>
        </w:tc>
      </w:tr>
      <w:tr w:rsidR="0083786D" w:rsidRPr="0040377C" w:rsidTr="008773F6">
        <w:trPr>
          <w:jc w:val="center"/>
        </w:trPr>
        <w:tc>
          <w:tcPr>
            <w:tcW w:w="0" w:type="auto"/>
            <w:tcBorders>
              <w:top w:val="single" w:sz="4" w:space="0" w:color="auto"/>
            </w:tcBorders>
            <w:shd w:val="clear" w:color="auto" w:fill="auto"/>
          </w:tcPr>
          <w:p w:rsidR="0083786D" w:rsidRPr="0040377C" w:rsidRDefault="0083786D" w:rsidP="008773F6">
            <w:pPr>
              <w:spacing w:before="60" w:after="0" w:line="240" w:lineRule="auto"/>
              <w:rPr>
                <w:rFonts w:ascii="Times New Roman" w:hAnsi="Times New Roman"/>
                <w:sz w:val="20"/>
                <w:szCs w:val="20"/>
                <w:lang w:val="ms-MY"/>
              </w:rPr>
            </w:pPr>
            <w:r w:rsidRPr="0040377C">
              <w:rPr>
                <w:rFonts w:ascii="Times New Roman" w:hAnsi="Times New Roman"/>
                <w:sz w:val="20"/>
                <w:szCs w:val="20"/>
                <w:lang w:val="ms-MY"/>
              </w:rPr>
              <w:t>Fe</w:t>
            </w:r>
          </w:p>
        </w:tc>
        <w:tc>
          <w:tcPr>
            <w:tcW w:w="0" w:type="auto"/>
            <w:tcBorders>
              <w:top w:val="single" w:sz="4" w:space="0" w:color="auto"/>
            </w:tcBorders>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0.80</w:t>
            </w:r>
          </w:p>
        </w:tc>
        <w:tc>
          <w:tcPr>
            <w:tcW w:w="0" w:type="auto"/>
            <w:tcBorders>
              <w:top w:val="single" w:sz="4" w:space="0" w:color="auto"/>
            </w:tcBorders>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0.46</w:t>
            </w:r>
          </w:p>
        </w:tc>
      </w:tr>
      <w:tr w:rsidR="0083786D" w:rsidRPr="0040377C" w:rsidTr="00815FED">
        <w:trPr>
          <w:jc w:val="center"/>
        </w:trPr>
        <w:tc>
          <w:tcPr>
            <w:tcW w:w="0" w:type="auto"/>
            <w:shd w:val="clear" w:color="auto" w:fill="auto"/>
          </w:tcPr>
          <w:p w:rsidR="0083786D" w:rsidRPr="0040377C" w:rsidRDefault="0083786D" w:rsidP="008773F6">
            <w:pPr>
              <w:spacing w:before="60" w:after="0" w:line="240" w:lineRule="auto"/>
              <w:rPr>
                <w:rFonts w:ascii="Times New Roman" w:hAnsi="Times New Roman"/>
                <w:sz w:val="20"/>
                <w:szCs w:val="20"/>
                <w:lang w:val="ms-MY"/>
              </w:rPr>
            </w:pPr>
            <w:r w:rsidRPr="0040377C">
              <w:rPr>
                <w:rFonts w:ascii="Times New Roman" w:hAnsi="Times New Roman"/>
                <w:sz w:val="20"/>
                <w:szCs w:val="20"/>
                <w:lang w:val="ms-MY"/>
              </w:rPr>
              <w:t>Cr</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0.31</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0.13</w:t>
            </w:r>
          </w:p>
        </w:tc>
      </w:tr>
      <w:tr w:rsidR="0083786D" w:rsidRPr="0040377C" w:rsidTr="00815FED">
        <w:trPr>
          <w:jc w:val="center"/>
        </w:trPr>
        <w:tc>
          <w:tcPr>
            <w:tcW w:w="0" w:type="auto"/>
            <w:shd w:val="clear" w:color="auto" w:fill="auto"/>
          </w:tcPr>
          <w:p w:rsidR="0083786D" w:rsidRPr="0040377C" w:rsidRDefault="0083786D" w:rsidP="008773F6">
            <w:pPr>
              <w:spacing w:before="60" w:after="0" w:line="240" w:lineRule="auto"/>
              <w:rPr>
                <w:rFonts w:ascii="Times New Roman" w:hAnsi="Times New Roman"/>
                <w:sz w:val="20"/>
                <w:szCs w:val="20"/>
                <w:lang w:val="ms-MY"/>
              </w:rPr>
            </w:pPr>
            <w:r w:rsidRPr="0040377C">
              <w:rPr>
                <w:rFonts w:ascii="Times New Roman" w:hAnsi="Times New Roman"/>
                <w:sz w:val="20"/>
                <w:szCs w:val="20"/>
                <w:lang w:val="ms-MY"/>
              </w:rPr>
              <w:t>Cu</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0.55</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0.27</w:t>
            </w:r>
          </w:p>
        </w:tc>
      </w:tr>
      <w:tr w:rsidR="0083786D" w:rsidRPr="0040377C" w:rsidTr="00815FED">
        <w:trPr>
          <w:jc w:val="center"/>
        </w:trPr>
        <w:tc>
          <w:tcPr>
            <w:tcW w:w="0" w:type="auto"/>
            <w:shd w:val="clear" w:color="auto" w:fill="auto"/>
          </w:tcPr>
          <w:p w:rsidR="0083786D" w:rsidRPr="0040377C" w:rsidRDefault="0083786D" w:rsidP="008773F6">
            <w:pPr>
              <w:spacing w:before="60" w:after="0" w:line="240" w:lineRule="auto"/>
              <w:rPr>
                <w:rFonts w:ascii="Times New Roman" w:hAnsi="Times New Roman"/>
                <w:sz w:val="20"/>
                <w:szCs w:val="20"/>
                <w:lang w:val="ms-MY"/>
              </w:rPr>
            </w:pPr>
            <w:r w:rsidRPr="0040377C">
              <w:rPr>
                <w:rFonts w:ascii="Times New Roman" w:hAnsi="Times New Roman"/>
                <w:sz w:val="20"/>
                <w:szCs w:val="20"/>
                <w:lang w:val="ms-MY"/>
              </w:rPr>
              <w:t>Mn</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0.26</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0.10</w:t>
            </w:r>
          </w:p>
        </w:tc>
      </w:tr>
      <w:tr w:rsidR="0083786D" w:rsidRPr="0040377C" w:rsidTr="008773F6">
        <w:trPr>
          <w:jc w:val="center"/>
        </w:trPr>
        <w:tc>
          <w:tcPr>
            <w:tcW w:w="0" w:type="auto"/>
            <w:shd w:val="clear" w:color="auto" w:fill="auto"/>
          </w:tcPr>
          <w:p w:rsidR="0083786D" w:rsidRPr="0040377C" w:rsidRDefault="0083786D" w:rsidP="008773F6">
            <w:pPr>
              <w:spacing w:before="60" w:after="0" w:line="240" w:lineRule="auto"/>
              <w:rPr>
                <w:rFonts w:ascii="Times New Roman" w:hAnsi="Times New Roman"/>
                <w:sz w:val="20"/>
                <w:szCs w:val="20"/>
                <w:lang w:val="ms-MY"/>
              </w:rPr>
            </w:pPr>
            <w:r w:rsidRPr="0040377C">
              <w:rPr>
                <w:rFonts w:ascii="Times New Roman" w:hAnsi="Times New Roman"/>
                <w:sz w:val="20"/>
                <w:szCs w:val="20"/>
                <w:lang w:val="ms-MY"/>
              </w:rPr>
              <w:t>Ni</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0.46</w:t>
            </w:r>
          </w:p>
        </w:tc>
        <w:tc>
          <w:tcPr>
            <w:tcW w:w="0" w:type="auto"/>
            <w:shd w:val="clear" w:color="auto" w:fill="auto"/>
          </w:tcPr>
          <w:p w:rsidR="0083786D" w:rsidRPr="0040377C" w:rsidRDefault="0083786D" w:rsidP="008773F6">
            <w:pPr>
              <w:spacing w:before="60" w:after="0" w:line="240" w:lineRule="auto"/>
              <w:jc w:val="center"/>
              <w:rPr>
                <w:rFonts w:ascii="Times New Roman" w:hAnsi="Times New Roman"/>
                <w:sz w:val="20"/>
                <w:szCs w:val="20"/>
                <w:lang w:val="ms-MY"/>
              </w:rPr>
            </w:pPr>
            <w:r w:rsidRPr="0040377C">
              <w:rPr>
                <w:rFonts w:ascii="Times New Roman" w:hAnsi="Times New Roman"/>
                <w:sz w:val="20"/>
                <w:szCs w:val="20"/>
                <w:lang w:val="ms-MY"/>
              </w:rPr>
              <w:t>0.29</w:t>
            </w:r>
          </w:p>
        </w:tc>
      </w:tr>
      <w:tr w:rsidR="0083786D" w:rsidRPr="0040377C" w:rsidTr="008773F6">
        <w:trPr>
          <w:jc w:val="center"/>
        </w:trPr>
        <w:tc>
          <w:tcPr>
            <w:tcW w:w="0" w:type="auto"/>
            <w:tcBorders>
              <w:bottom w:val="single" w:sz="4" w:space="0" w:color="auto"/>
            </w:tcBorders>
            <w:shd w:val="clear" w:color="auto" w:fill="auto"/>
          </w:tcPr>
          <w:p w:rsidR="0083786D" w:rsidRPr="0040377C" w:rsidRDefault="0083786D" w:rsidP="008773F6">
            <w:pPr>
              <w:spacing w:before="60" w:after="60" w:line="240" w:lineRule="auto"/>
              <w:rPr>
                <w:rFonts w:ascii="Times New Roman" w:hAnsi="Times New Roman"/>
                <w:sz w:val="20"/>
                <w:szCs w:val="20"/>
                <w:lang w:val="ms-MY"/>
              </w:rPr>
            </w:pPr>
            <w:r w:rsidRPr="0040377C">
              <w:rPr>
                <w:rFonts w:ascii="Times New Roman" w:hAnsi="Times New Roman"/>
                <w:sz w:val="20"/>
                <w:szCs w:val="20"/>
                <w:lang w:val="ms-MY"/>
              </w:rPr>
              <w:t>Pb</w:t>
            </w:r>
          </w:p>
        </w:tc>
        <w:tc>
          <w:tcPr>
            <w:tcW w:w="0" w:type="auto"/>
            <w:tcBorders>
              <w:bottom w:val="single" w:sz="4" w:space="0" w:color="auto"/>
            </w:tcBorders>
            <w:shd w:val="clear" w:color="auto" w:fill="auto"/>
          </w:tcPr>
          <w:p w:rsidR="0083786D" w:rsidRPr="0040377C" w:rsidRDefault="0083786D" w:rsidP="008773F6">
            <w:pPr>
              <w:spacing w:before="60" w:after="60" w:line="240" w:lineRule="auto"/>
              <w:jc w:val="center"/>
              <w:rPr>
                <w:rFonts w:ascii="Times New Roman" w:hAnsi="Times New Roman"/>
                <w:sz w:val="20"/>
                <w:szCs w:val="20"/>
                <w:lang w:val="ms-MY"/>
              </w:rPr>
            </w:pPr>
            <w:r w:rsidRPr="0040377C">
              <w:rPr>
                <w:rFonts w:ascii="Times New Roman" w:hAnsi="Times New Roman"/>
                <w:sz w:val="20"/>
                <w:szCs w:val="20"/>
                <w:lang w:val="ms-MY"/>
              </w:rPr>
              <w:t>2.25</w:t>
            </w:r>
          </w:p>
        </w:tc>
        <w:tc>
          <w:tcPr>
            <w:tcW w:w="0" w:type="auto"/>
            <w:tcBorders>
              <w:bottom w:val="single" w:sz="4" w:space="0" w:color="auto"/>
            </w:tcBorders>
            <w:shd w:val="clear" w:color="auto" w:fill="auto"/>
          </w:tcPr>
          <w:p w:rsidR="0083786D" w:rsidRPr="0040377C" w:rsidRDefault="0083786D" w:rsidP="008773F6">
            <w:pPr>
              <w:spacing w:before="60" w:after="60" w:line="240" w:lineRule="auto"/>
              <w:jc w:val="center"/>
              <w:rPr>
                <w:rFonts w:ascii="Times New Roman" w:hAnsi="Times New Roman"/>
                <w:sz w:val="20"/>
                <w:szCs w:val="20"/>
                <w:lang w:val="ms-MY"/>
              </w:rPr>
            </w:pPr>
            <w:r w:rsidRPr="0040377C">
              <w:rPr>
                <w:rFonts w:ascii="Times New Roman" w:hAnsi="Times New Roman"/>
                <w:sz w:val="20"/>
                <w:szCs w:val="20"/>
                <w:lang w:val="ms-MY"/>
              </w:rPr>
              <w:t>1.56</w:t>
            </w:r>
          </w:p>
        </w:tc>
      </w:tr>
    </w:tbl>
    <w:p w:rsidR="0083786D" w:rsidRDefault="0083786D" w:rsidP="008773F6">
      <w:pPr>
        <w:spacing w:after="0" w:line="240" w:lineRule="auto"/>
        <w:jc w:val="center"/>
        <w:rPr>
          <w:rFonts w:ascii="Times New Roman" w:hAnsi="Times New Roman"/>
          <w:sz w:val="20"/>
          <w:szCs w:val="20"/>
          <w:lang w:val="ms-MY"/>
        </w:rPr>
      </w:pPr>
    </w:p>
    <w:p w:rsidR="008773F6" w:rsidRDefault="008773F6" w:rsidP="008773F6">
      <w:pPr>
        <w:spacing w:after="0" w:line="240" w:lineRule="auto"/>
        <w:jc w:val="center"/>
        <w:rPr>
          <w:rFonts w:ascii="Times New Roman" w:hAnsi="Times New Roman"/>
          <w:sz w:val="20"/>
          <w:szCs w:val="20"/>
          <w:lang w:val="ms-MY"/>
        </w:rPr>
      </w:pPr>
    </w:p>
    <w:p w:rsidR="00967833" w:rsidRPr="008773F6" w:rsidRDefault="00967833" w:rsidP="00967833">
      <w:pPr>
        <w:pStyle w:val="Heading3"/>
        <w:spacing w:before="0" w:line="240" w:lineRule="auto"/>
        <w:jc w:val="center"/>
        <w:rPr>
          <w:rFonts w:ascii="Times New Roman" w:hAnsi="Times New Roman"/>
          <w:b/>
          <w:i w:val="0"/>
          <w:smallCaps w:val="0"/>
          <w:sz w:val="20"/>
          <w:szCs w:val="20"/>
          <w:lang w:val="ms-MY"/>
        </w:rPr>
      </w:pPr>
      <w:r w:rsidRPr="008773F6">
        <w:rPr>
          <w:rFonts w:ascii="Times New Roman" w:hAnsi="Times New Roman"/>
          <w:b/>
          <w:i w:val="0"/>
          <w:smallCaps w:val="0"/>
          <w:sz w:val="20"/>
          <w:szCs w:val="20"/>
          <w:lang w:val="ms-MY"/>
        </w:rPr>
        <w:t>Kesimpulan</w:t>
      </w:r>
    </w:p>
    <w:p w:rsidR="00967833" w:rsidRPr="0040377C" w:rsidRDefault="00967833" w:rsidP="00967833">
      <w:pPr>
        <w:spacing w:after="0" w:line="240" w:lineRule="auto"/>
        <w:jc w:val="both"/>
        <w:rPr>
          <w:rFonts w:ascii="Times New Roman" w:hAnsi="Times New Roman"/>
          <w:sz w:val="20"/>
          <w:szCs w:val="20"/>
          <w:lang w:val="ms-MY"/>
        </w:rPr>
      </w:pPr>
      <w:r w:rsidRPr="0040377C">
        <w:rPr>
          <w:rFonts w:ascii="Times New Roman" w:hAnsi="Times New Roman"/>
          <w:sz w:val="20"/>
          <w:szCs w:val="20"/>
          <w:lang w:val="ms-MY"/>
        </w:rPr>
        <w:t>Secara kesimpulannya, keputusan daripada kajian yang telah dijalankan di Sungai Kemaman menunjukkan kepekatan logam dalam sedimen dasar kawasan masih lagi berada dalam keadaan terkawal kecuali bagi logam Pb. Ini boleh dibuktikan dengan nilai faktor pengkayaan yang dikira dengan mengunakan logam Al sebagai rujukan. Hubungan kolerasi yang positif di antara kepekatan logam berat dan tekstur sedimen menunjukkan bahawa tekstur sedimen memainkan peranan dalam menentukan kepekatan logam berat di mana sedimen yang halus lebih mengikat ion-ion logam berat yang dikaji. Oleh yang demikian, berdasarkan data-data yang diperolehi, rumusan yang boleh dibuat adalah aktiviti-aktiviti persekitaran didapati memainkan peranan yang besar dalam memperkayakan kepekatan logam-logam di kawasan kajian.</w:t>
      </w:r>
    </w:p>
    <w:p w:rsidR="00967833" w:rsidRPr="0040377C" w:rsidRDefault="00967833" w:rsidP="004D6757">
      <w:pPr>
        <w:spacing w:after="0" w:line="240" w:lineRule="auto"/>
        <w:jc w:val="center"/>
        <w:rPr>
          <w:rFonts w:ascii="Times New Roman" w:hAnsi="Times New Roman"/>
          <w:sz w:val="20"/>
          <w:szCs w:val="20"/>
          <w:lang w:val="ms-MY"/>
        </w:rPr>
      </w:pPr>
    </w:p>
    <w:p w:rsidR="00967833" w:rsidRPr="0040377C" w:rsidRDefault="00967833" w:rsidP="00967833">
      <w:pPr>
        <w:spacing w:after="0" w:line="240" w:lineRule="auto"/>
        <w:jc w:val="center"/>
        <w:rPr>
          <w:rFonts w:ascii="Times New Roman" w:hAnsi="Times New Roman"/>
          <w:b/>
          <w:sz w:val="20"/>
          <w:szCs w:val="20"/>
          <w:lang w:val="ms-MY"/>
        </w:rPr>
      </w:pPr>
      <w:r w:rsidRPr="0040377C">
        <w:rPr>
          <w:rFonts w:ascii="Times New Roman" w:hAnsi="Times New Roman"/>
          <w:b/>
          <w:sz w:val="20"/>
          <w:szCs w:val="20"/>
          <w:lang w:val="ms-MY"/>
        </w:rPr>
        <w:t>Penghargaan</w:t>
      </w:r>
    </w:p>
    <w:p w:rsidR="00967833" w:rsidRPr="0040377C" w:rsidRDefault="00967833" w:rsidP="004D6757">
      <w:pPr>
        <w:spacing w:after="0" w:line="240" w:lineRule="auto"/>
        <w:jc w:val="both"/>
        <w:rPr>
          <w:rFonts w:ascii="Times New Roman" w:hAnsi="Times New Roman"/>
          <w:sz w:val="20"/>
          <w:szCs w:val="20"/>
          <w:lang w:val="ms-MY"/>
        </w:rPr>
      </w:pPr>
      <w:r w:rsidRPr="0040377C">
        <w:rPr>
          <w:rFonts w:ascii="Times New Roman" w:hAnsi="Times New Roman"/>
          <w:sz w:val="20"/>
          <w:szCs w:val="20"/>
          <w:lang w:val="ms-MY"/>
        </w:rPr>
        <w:t xml:space="preserve">Penulis ingin merakamkan ucapan terima kasih kepada Universiti Malaysia Terengganu (UMT) di atas bantuan kewangan jangka pendek (no. vot 54064) yang telah diberikan.  </w:t>
      </w:r>
    </w:p>
    <w:p w:rsidR="0083786D" w:rsidRPr="0040377C" w:rsidRDefault="0083786D" w:rsidP="0083786D">
      <w:pPr>
        <w:spacing w:after="0" w:line="240" w:lineRule="auto"/>
        <w:jc w:val="both"/>
        <w:rPr>
          <w:rFonts w:ascii="Times New Roman" w:hAnsi="Times New Roman"/>
          <w:sz w:val="20"/>
          <w:szCs w:val="20"/>
          <w:lang w:val="ms-MY"/>
        </w:rPr>
      </w:pPr>
    </w:p>
    <w:p w:rsidR="0083786D" w:rsidRPr="0040377C" w:rsidRDefault="0083786D" w:rsidP="004D6757">
      <w:pPr>
        <w:spacing w:after="0" w:line="240" w:lineRule="auto"/>
        <w:jc w:val="center"/>
        <w:rPr>
          <w:rFonts w:ascii="Times New Roman" w:hAnsi="Times New Roman"/>
          <w:b/>
          <w:bCs/>
          <w:sz w:val="20"/>
          <w:szCs w:val="20"/>
          <w:lang w:val="ms-MY"/>
        </w:rPr>
      </w:pPr>
      <w:r w:rsidRPr="0040377C">
        <w:rPr>
          <w:rFonts w:ascii="Times New Roman" w:hAnsi="Times New Roman"/>
          <w:b/>
          <w:bCs/>
          <w:sz w:val="20"/>
          <w:szCs w:val="20"/>
          <w:lang w:val="ms-MY"/>
        </w:rPr>
        <w:t>Rujukan</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Bernt, Z. (1978). Controlled environment experiments in pollution studies. </w:t>
      </w:r>
      <w:r w:rsidRPr="0040377C">
        <w:rPr>
          <w:rFonts w:ascii="Times New Roman" w:hAnsi="Times New Roman"/>
          <w:i/>
          <w:iCs/>
          <w:sz w:val="20"/>
          <w:szCs w:val="20"/>
          <w:lang w:val="ms-MY"/>
        </w:rPr>
        <w:t>Ocean Management</w:t>
      </w:r>
      <w:r w:rsidRPr="0040377C">
        <w:rPr>
          <w:rFonts w:ascii="Times New Roman" w:hAnsi="Times New Roman"/>
          <w:sz w:val="20"/>
          <w:szCs w:val="20"/>
          <w:lang w:val="ms-MY"/>
        </w:rPr>
        <w:t>, 4: 319-344.</w:t>
      </w:r>
    </w:p>
    <w:p w:rsidR="0083786D" w:rsidRPr="0040377C" w:rsidRDefault="0083786D" w:rsidP="004D6757">
      <w:pPr>
        <w:numPr>
          <w:ilvl w:val="0"/>
          <w:numId w:val="6"/>
        </w:numPr>
        <w:spacing w:after="0" w:line="240" w:lineRule="auto"/>
        <w:ind w:left="360" w:hanging="360"/>
        <w:jc w:val="both"/>
        <w:rPr>
          <w:rFonts w:ascii="Times New Roman" w:hAnsi="Times New Roman"/>
          <w:i/>
          <w:iCs/>
          <w:sz w:val="20"/>
          <w:szCs w:val="20"/>
          <w:lang w:val="ms-MY"/>
        </w:rPr>
      </w:pPr>
      <w:r w:rsidRPr="0040377C">
        <w:rPr>
          <w:rFonts w:ascii="Times New Roman" w:hAnsi="Times New Roman"/>
          <w:sz w:val="20"/>
          <w:szCs w:val="20"/>
          <w:lang w:val="ms-MY"/>
        </w:rPr>
        <w:t xml:space="preserve">Shamsuddin, A. A. (1996). Agihan beberapa logam berat di persisiran Pantai Kemaman, Terengganu. </w:t>
      </w:r>
      <w:r w:rsidRPr="0040377C">
        <w:rPr>
          <w:rFonts w:ascii="Times New Roman" w:hAnsi="Times New Roman"/>
          <w:i/>
          <w:sz w:val="20"/>
          <w:szCs w:val="20"/>
          <w:lang w:val="ms-MY"/>
        </w:rPr>
        <w:t>Thesis of Master Degree</w:t>
      </w:r>
      <w:r w:rsidRPr="0040377C">
        <w:rPr>
          <w:rFonts w:ascii="Times New Roman" w:hAnsi="Times New Roman"/>
          <w:sz w:val="20"/>
          <w:szCs w:val="20"/>
          <w:lang w:val="ms-MY"/>
        </w:rPr>
        <w:t>,</w:t>
      </w:r>
      <w:r w:rsidRPr="0040377C">
        <w:rPr>
          <w:rFonts w:ascii="Times New Roman" w:hAnsi="Times New Roman"/>
          <w:i/>
          <w:iCs/>
          <w:sz w:val="20"/>
          <w:szCs w:val="20"/>
          <w:lang w:val="ms-MY"/>
        </w:rPr>
        <w:t xml:space="preserve"> </w:t>
      </w:r>
      <w:r w:rsidRPr="0040377C">
        <w:rPr>
          <w:rFonts w:ascii="Times New Roman" w:hAnsi="Times New Roman"/>
          <w:iCs/>
          <w:sz w:val="20"/>
          <w:szCs w:val="20"/>
          <w:lang w:val="ms-MY"/>
        </w:rPr>
        <w:t>Universiti Pertanian Malaysia</w:t>
      </w:r>
      <w:r w:rsidRPr="0040377C">
        <w:rPr>
          <w:rFonts w:ascii="Times New Roman" w:hAnsi="Times New Roman"/>
          <w:i/>
          <w:iCs/>
          <w:sz w:val="20"/>
          <w:szCs w:val="20"/>
          <w:lang w:val="ms-MY"/>
        </w:rPr>
        <w:t>.</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Ouyang, Y., Higman, J., Thompson, J., O’Toole, T. and Campbell, D. (2002). Characterization and spatial distribution of heavy metals in sediment from Cedar and Ortega River subbasin. </w:t>
      </w:r>
      <w:r w:rsidRPr="0040377C">
        <w:rPr>
          <w:rFonts w:ascii="Times New Roman" w:hAnsi="Times New Roman"/>
          <w:i/>
          <w:iCs/>
          <w:sz w:val="20"/>
          <w:szCs w:val="20"/>
          <w:lang w:val="ms-MY"/>
        </w:rPr>
        <w:t xml:space="preserve">Journal of Contaminant Hydrology, </w:t>
      </w:r>
      <w:r w:rsidRPr="0040377C">
        <w:rPr>
          <w:rFonts w:ascii="Times New Roman" w:hAnsi="Times New Roman"/>
          <w:sz w:val="20"/>
          <w:szCs w:val="20"/>
          <w:lang w:val="ms-MY"/>
        </w:rPr>
        <w:t xml:space="preserve">54: 19-35. </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Windom, H. L., Schropp, S. J., Calder, F. D., Ryan, J. D., Smith, R. G. Jr., Burney, L. C., Lewis, F. G. and Rawlinson, C. H. (1989). Natural trace metal concentration in estuarine and coastal marine sediments of the southeastern United States. </w:t>
      </w:r>
      <w:r w:rsidRPr="0040377C">
        <w:rPr>
          <w:rFonts w:ascii="Times New Roman" w:hAnsi="Times New Roman"/>
          <w:i/>
          <w:sz w:val="20"/>
          <w:szCs w:val="20"/>
          <w:lang w:val="ms-MY"/>
        </w:rPr>
        <w:t>Environmental Science &amp; Technology</w:t>
      </w:r>
      <w:r w:rsidRPr="0040377C">
        <w:rPr>
          <w:rFonts w:ascii="Times New Roman" w:hAnsi="Times New Roman"/>
          <w:sz w:val="20"/>
          <w:szCs w:val="20"/>
          <w:lang w:val="ms-MY"/>
        </w:rPr>
        <w:t>, 23: 314-320.</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Fatima, M. D. A., Bernard, P. C. and Grieken, R. E. V. (1988). Heavy metal contamination in sediments from the Belgian Coast and Scheldt Estuary. </w:t>
      </w:r>
      <w:r w:rsidRPr="0040377C">
        <w:rPr>
          <w:rFonts w:ascii="Times New Roman" w:hAnsi="Times New Roman"/>
          <w:i/>
          <w:iCs/>
          <w:sz w:val="20"/>
          <w:szCs w:val="20"/>
          <w:lang w:val="ms-MY"/>
        </w:rPr>
        <w:t>Marine Pollution Bulletin</w:t>
      </w:r>
      <w:r w:rsidRPr="0040377C">
        <w:rPr>
          <w:rFonts w:ascii="Times New Roman" w:hAnsi="Times New Roman"/>
          <w:sz w:val="20"/>
          <w:szCs w:val="20"/>
          <w:lang w:val="ms-MY"/>
        </w:rPr>
        <w:t>, 19: 269-273.</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Sinex, S. A. and Wright, D. A. (1988).  Distribution of trace metals in the sediments and biota of Chesapeake Bay. </w:t>
      </w:r>
      <w:r w:rsidRPr="0040377C">
        <w:rPr>
          <w:rFonts w:ascii="Times New Roman" w:hAnsi="Times New Roman"/>
          <w:i/>
          <w:iCs/>
          <w:sz w:val="20"/>
          <w:szCs w:val="20"/>
          <w:lang w:val="ms-MY"/>
        </w:rPr>
        <w:t>Marine Pollution Bulletin</w:t>
      </w:r>
      <w:r w:rsidRPr="0040377C">
        <w:rPr>
          <w:rFonts w:ascii="Times New Roman" w:hAnsi="Times New Roman"/>
          <w:sz w:val="20"/>
          <w:szCs w:val="20"/>
          <w:lang w:val="ms-MY"/>
        </w:rPr>
        <w:t>, 19: 425-431.</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Kamaruzzaman B. Y., Siti Waznah, A., Mohd Zahir, M. S., Ong, M. C., Shahbudin, S., Jalal, K. C. A., Rina Sharlinda, Z., Shuhada, A. T., Akbar, B. and Joseph, B. (2010). Spatial distribution of lead and copper in the bottom sediments of Pahang river estuary, Pahang, Malaysia. </w:t>
      </w:r>
      <w:r w:rsidRPr="0040377C">
        <w:rPr>
          <w:rFonts w:ascii="Times New Roman" w:hAnsi="Times New Roman"/>
          <w:i/>
          <w:sz w:val="20"/>
          <w:szCs w:val="20"/>
          <w:lang w:val="ms-MY"/>
        </w:rPr>
        <w:t xml:space="preserve">Sains Malaysiana, </w:t>
      </w:r>
      <w:r w:rsidRPr="0040377C">
        <w:rPr>
          <w:rFonts w:ascii="Times New Roman" w:hAnsi="Times New Roman"/>
          <w:sz w:val="20"/>
          <w:szCs w:val="20"/>
          <w:lang w:val="ms-MY"/>
        </w:rPr>
        <w:t>39(4): 543–547</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Kamaruzzaman, B. Y., Nurulnadia, M. Y., Noor Azhar, M. S., Ong, M. C. and Joseph, B. (2011). Heavy metal concentration in the surface sediment of Tanjung Lumpur mangrove forest, Kuantan, Pahang, Malaysia. </w:t>
      </w:r>
      <w:r w:rsidRPr="0040377C">
        <w:rPr>
          <w:rFonts w:ascii="Times New Roman" w:hAnsi="Times New Roman"/>
          <w:i/>
          <w:sz w:val="20"/>
          <w:szCs w:val="20"/>
          <w:lang w:val="ms-MY"/>
        </w:rPr>
        <w:t>Sains Malaysiana</w:t>
      </w:r>
      <w:r w:rsidRPr="0040377C">
        <w:rPr>
          <w:rFonts w:ascii="Times New Roman" w:hAnsi="Times New Roman"/>
          <w:sz w:val="20"/>
          <w:szCs w:val="20"/>
          <w:lang w:val="ms-MY"/>
        </w:rPr>
        <w:t xml:space="preserve"> 40(2): 89–92</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Mason, B. and Moore, C. B. (1982).  Principles of geochemistry, 4th ed., John Wiley and Sons, New York. </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Szefer, P., Glasby, G. P., Szefer, K., Pempkowiak, J. and Kaliszan, R. (1996). Heavy metal pollution in superficial sediments from the Southern Baltic Sea off Poland. </w:t>
      </w:r>
      <w:r w:rsidRPr="0040377C">
        <w:rPr>
          <w:rFonts w:ascii="Times New Roman" w:hAnsi="Times New Roman"/>
          <w:i/>
          <w:iCs/>
          <w:sz w:val="20"/>
          <w:szCs w:val="20"/>
          <w:lang w:val="ms-MY"/>
        </w:rPr>
        <w:t xml:space="preserve">Journal of Environmental Science and Health, </w:t>
      </w:r>
      <w:r w:rsidRPr="0040377C">
        <w:rPr>
          <w:rFonts w:ascii="Times New Roman" w:hAnsi="Times New Roman"/>
          <w:sz w:val="20"/>
          <w:szCs w:val="20"/>
          <w:lang w:val="ms-MY"/>
        </w:rPr>
        <w:t>31: 2723-2754.</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lastRenderedPageBreak/>
        <w:t xml:space="preserve">Soto-Jimenez, M. F. and Paez-Osuna, F. (2001). Distribution and normalization of heavy metal concentrations in mangrove and lagoonal sediments from Mazatlan Harbor (SE Gulf of California). </w:t>
      </w:r>
      <w:r w:rsidRPr="0040377C">
        <w:rPr>
          <w:rFonts w:ascii="Times New Roman" w:hAnsi="Times New Roman"/>
          <w:i/>
          <w:iCs/>
          <w:sz w:val="20"/>
          <w:szCs w:val="20"/>
          <w:lang w:val="ms-MY"/>
        </w:rPr>
        <w:t xml:space="preserve">Estuarine, Coastal and Shelf Science, </w:t>
      </w:r>
      <w:r w:rsidRPr="0040377C">
        <w:rPr>
          <w:rFonts w:ascii="Times New Roman" w:hAnsi="Times New Roman"/>
          <w:sz w:val="20"/>
          <w:szCs w:val="20"/>
          <w:lang w:val="ms-MY"/>
        </w:rPr>
        <w:t>53: 259-274.</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Kamaruzzaman, Y. (1994). Kajian beberapa aspek parameter fiziko-kimia di dalam sistem muara Sungai Chukai-Kemaman, Terengganu, Malaysia. </w:t>
      </w:r>
      <w:r w:rsidRPr="0040377C">
        <w:rPr>
          <w:rFonts w:ascii="Times New Roman" w:hAnsi="Times New Roman"/>
          <w:i/>
          <w:sz w:val="20"/>
          <w:szCs w:val="20"/>
          <w:lang w:val="ms-MY"/>
        </w:rPr>
        <w:t>Thesis of Master Degree</w:t>
      </w:r>
      <w:r w:rsidRPr="0040377C">
        <w:rPr>
          <w:rFonts w:ascii="Times New Roman" w:hAnsi="Times New Roman"/>
          <w:sz w:val="20"/>
          <w:szCs w:val="20"/>
          <w:lang w:val="ms-MY"/>
        </w:rPr>
        <w:t>,</w:t>
      </w:r>
      <w:r w:rsidRPr="0040377C">
        <w:rPr>
          <w:rFonts w:ascii="Times New Roman" w:hAnsi="Times New Roman"/>
          <w:i/>
          <w:iCs/>
          <w:sz w:val="20"/>
          <w:szCs w:val="20"/>
          <w:lang w:val="ms-MY"/>
        </w:rPr>
        <w:t xml:space="preserve"> </w:t>
      </w:r>
      <w:r w:rsidRPr="0040377C">
        <w:rPr>
          <w:rFonts w:ascii="Times New Roman" w:hAnsi="Times New Roman"/>
          <w:iCs/>
          <w:sz w:val="20"/>
          <w:szCs w:val="20"/>
          <w:lang w:val="ms-MY"/>
        </w:rPr>
        <w:t>Universiti Pertanian Malaysia</w:t>
      </w:r>
      <w:r w:rsidRPr="0040377C">
        <w:rPr>
          <w:rFonts w:ascii="Times New Roman" w:hAnsi="Times New Roman"/>
          <w:i/>
          <w:iCs/>
          <w:sz w:val="20"/>
          <w:szCs w:val="20"/>
          <w:lang w:val="ms-MY"/>
        </w:rPr>
        <w:t>.</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Donazzolo, R., Merlin, O. H., Vitturi, L. M., Orio, A. A., Pavoni, B., Perin, G. and Rabitti, S. (1981). Heavy metal contamination in surface sediments from the Gulf of Venice, Italy. </w:t>
      </w:r>
      <w:r w:rsidRPr="0040377C">
        <w:rPr>
          <w:rFonts w:ascii="Times New Roman" w:hAnsi="Times New Roman"/>
          <w:i/>
          <w:iCs/>
          <w:sz w:val="20"/>
          <w:szCs w:val="20"/>
          <w:lang w:val="ms-MY"/>
        </w:rPr>
        <w:t>Marine Pollution Bulletin</w:t>
      </w:r>
      <w:r w:rsidRPr="0040377C">
        <w:rPr>
          <w:rFonts w:ascii="Times New Roman" w:hAnsi="Times New Roman"/>
          <w:sz w:val="20"/>
          <w:szCs w:val="20"/>
          <w:lang w:val="ms-MY"/>
        </w:rPr>
        <w:t>, 12: 417-425.</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Nriagu, J. O., Kemp, A. L. W., Wong, H. K. T. and Harper, N. (1979). Sedimentary record of heavy metal pollution in Lake Eric. </w:t>
      </w:r>
      <w:r w:rsidRPr="0040377C">
        <w:rPr>
          <w:rFonts w:ascii="Times New Roman" w:hAnsi="Times New Roman"/>
          <w:i/>
          <w:iCs/>
          <w:sz w:val="20"/>
          <w:szCs w:val="20"/>
          <w:lang w:val="ms-MY"/>
        </w:rPr>
        <w:t>Geochimica et Cosmochimica Acta</w:t>
      </w:r>
      <w:r w:rsidRPr="0040377C">
        <w:rPr>
          <w:rFonts w:ascii="Times New Roman" w:hAnsi="Times New Roman"/>
          <w:sz w:val="20"/>
          <w:szCs w:val="20"/>
          <w:lang w:val="ms-MY"/>
        </w:rPr>
        <w:t>, 43: 247-258.</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Ong, M. C., Fok, F. M., Sultan, K. and Joseph, B. (2016). Distribution of heavy metals and rare earth elements in the surface sediments of Penang River estuary, Malaysia. </w:t>
      </w:r>
      <w:r w:rsidRPr="0040377C">
        <w:rPr>
          <w:rFonts w:ascii="Times New Roman" w:hAnsi="Times New Roman"/>
          <w:i/>
          <w:sz w:val="20"/>
          <w:szCs w:val="20"/>
          <w:lang w:val="ms-MY"/>
        </w:rPr>
        <w:t>Open Journal of Marine Science</w:t>
      </w:r>
      <w:r w:rsidRPr="0040377C">
        <w:rPr>
          <w:rFonts w:ascii="Times New Roman" w:hAnsi="Times New Roman"/>
          <w:sz w:val="20"/>
          <w:szCs w:val="20"/>
          <w:lang w:val="ms-MY"/>
        </w:rPr>
        <w:t>, 6: 79-92.</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Ong, M. C., Joseph, B., Shazili, N. A. M., Ghazali, A. and Mohamad, M. N. (2015). Heavy metals concentration in surficial sediments of Bidong Island, South China Sea off the east coast of Peninsular Malaysia. </w:t>
      </w:r>
      <w:r w:rsidRPr="0040377C">
        <w:rPr>
          <w:rFonts w:ascii="Times New Roman" w:hAnsi="Times New Roman"/>
          <w:i/>
          <w:sz w:val="20"/>
          <w:szCs w:val="20"/>
          <w:lang w:val="ms-MY"/>
        </w:rPr>
        <w:t>Asian Journal of Earth Sciences,</w:t>
      </w:r>
      <w:r w:rsidRPr="0040377C">
        <w:rPr>
          <w:rFonts w:ascii="Times New Roman" w:hAnsi="Times New Roman"/>
          <w:sz w:val="20"/>
          <w:szCs w:val="20"/>
          <w:lang w:val="ms-MY"/>
        </w:rPr>
        <w:t xml:space="preserve"> 8(3): 74-82.</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Nor, M. A. (1993). Kajian ke atas penspesisan logam berat dalam enapan di muara Sungai Terengganu dan perairan pantai Kuala Terengganu. </w:t>
      </w:r>
      <w:r w:rsidRPr="0040377C">
        <w:rPr>
          <w:rFonts w:ascii="Times New Roman" w:hAnsi="Times New Roman"/>
          <w:i/>
          <w:iCs/>
          <w:sz w:val="20"/>
          <w:szCs w:val="20"/>
          <w:lang w:val="ms-MY"/>
        </w:rPr>
        <w:t xml:space="preserve">Thesis of Bachelor Degree, </w:t>
      </w:r>
      <w:r w:rsidRPr="0040377C">
        <w:rPr>
          <w:rFonts w:ascii="Times New Roman" w:hAnsi="Times New Roman"/>
          <w:iCs/>
          <w:sz w:val="20"/>
          <w:szCs w:val="20"/>
          <w:lang w:val="ms-MY"/>
        </w:rPr>
        <w:t>Universiti Pertanian Malaysia.</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Khalik, W., Norzairuddin, M., Che Seman, M. and Zaharuddin, A. (1993). Persampelan ‘corer’ dan penggunaan teknik analisis pengaktifan neutron (APN) dalam penilaian rekod pencemaran unsur di Perairan Juru, Pulau Pinang. </w:t>
      </w:r>
      <w:r w:rsidRPr="0040377C">
        <w:rPr>
          <w:rFonts w:ascii="Times New Roman" w:hAnsi="Times New Roman"/>
          <w:i/>
          <w:iCs/>
          <w:sz w:val="20"/>
          <w:szCs w:val="20"/>
          <w:lang w:val="ms-MY"/>
        </w:rPr>
        <w:t>Kertas Teknikal</w:t>
      </w:r>
      <w:r w:rsidRPr="0040377C">
        <w:rPr>
          <w:rFonts w:ascii="Times New Roman" w:hAnsi="Times New Roman"/>
          <w:sz w:val="20"/>
          <w:szCs w:val="20"/>
          <w:lang w:val="ms-MY"/>
        </w:rPr>
        <w:t xml:space="preserve"> 106: 124.</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Shazili, N. A. M., Che, A. R. M. and Rosnan, Y. (1990). Trace element distribution in bottom sediments in the South China Sea off Sabah. </w:t>
      </w:r>
      <w:r w:rsidRPr="0040377C">
        <w:rPr>
          <w:rFonts w:ascii="Times New Roman" w:hAnsi="Times New Roman"/>
          <w:i/>
          <w:iCs/>
          <w:sz w:val="20"/>
          <w:szCs w:val="20"/>
          <w:lang w:val="ms-MY"/>
        </w:rPr>
        <w:t>Ekspedisi Matahari `89</w:t>
      </w:r>
      <w:r w:rsidRPr="0040377C">
        <w:rPr>
          <w:rFonts w:ascii="Times New Roman" w:hAnsi="Times New Roman"/>
          <w:sz w:val="20"/>
          <w:szCs w:val="20"/>
          <w:lang w:val="ms-MY"/>
        </w:rPr>
        <w:t>. Faculty of Fisheries and Marine Science, Occasional Publication No. 9: 75-80.</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rPr>
      </w:pPr>
      <w:r w:rsidRPr="0040377C">
        <w:rPr>
          <w:rFonts w:ascii="Times New Roman" w:hAnsi="Times New Roman"/>
          <w:sz w:val="20"/>
          <w:szCs w:val="20"/>
          <w:lang w:val="ms-MY"/>
        </w:rPr>
        <w:t xml:space="preserve">Shamsuddin, A. A., Nor Antonina, A., Shazili, N. A. M., Kamaruzzaman, Y., Suhaimi, S., Ridzuan, M. A. and Effendy, M. A. W. (2003). Distribution of some heavy metals in sediments of the Sungai Chukai, Kemaman, Terengganu. </w:t>
      </w:r>
      <w:r w:rsidRPr="0040377C">
        <w:rPr>
          <w:rFonts w:ascii="Times New Roman" w:hAnsi="Times New Roman"/>
          <w:i/>
          <w:iCs/>
          <w:sz w:val="20"/>
          <w:szCs w:val="20"/>
          <w:lang w:val="ms-MY"/>
        </w:rPr>
        <w:t>Prosiding ke-2 KUSTEM</w:t>
      </w:r>
      <w:r w:rsidRPr="0040377C">
        <w:rPr>
          <w:rFonts w:ascii="Times New Roman" w:hAnsi="Times New Roman"/>
          <w:sz w:val="20"/>
          <w:szCs w:val="20"/>
          <w:lang w:val="ms-MY"/>
        </w:rPr>
        <w:t>: 443-452.</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rPr>
      </w:pPr>
      <w:r w:rsidRPr="0040377C">
        <w:rPr>
          <w:rFonts w:ascii="Times New Roman" w:hAnsi="Times New Roman"/>
          <w:sz w:val="20"/>
          <w:szCs w:val="20"/>
          <w:lang w:val="ms-MY"/>
        </w:rPr>
        <w:t xml:space="preserve">Poh, E. L. and Mun, Y. K. (1995). Determination and speciation of heavy metals in sediments of the Juru River, Penang, Malaysia. </w:t>
      </w:r>
      <w:r w:rsidRPr="0040377C">
        <w:rPr>
          <w:rFonts w:ascii="Times New Roman" w:hAnsi="Times New Roman"/>
          <w:i/>
          <w:iCs/>
          <w:sz w:val="20"/>
          <w:szCs w:val="20"/>
          <w:lang w:val="ms-MY"/>
        </w:rPr>
        <w:t>Environmental Monitoring and Assessment</w:t>
      </w:r>
      <w:r w:rsidRPr="0040377C">
        <w:rPr>
          <w:rFonts w:ascii="Times New Roman" w:hAnsi="Times New Roman"/>
          <w:sz w:val="20"/>
          <w:szCs w:val="20"/>
          <w:lang w:val="ms-MY"/>
        </w:rPr>
        <w:t>, 35: 233-266.</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Dryssen, D., Patterson, C., Ui, J. and Weichadt, G. F. (1972).  Inorganic Chemicals. In: </w:t>
      </w:r>
      <w:r w:rsidRPr="0040377C">
        <w:rPr>
          <w:rFonts w:ascii="Times New Roman" w:hAnsi="Times New Roman"/>
          <w:i/>
          <w:sz w:val="20"/>
          <w:szCs w:val="20"/>
          <w:lang w:val="ms-MY"/>
        </w:rPr>
        <w:t>A Guide to Marine Pollution Compiled</w:t>
      </w:r>
      <w:r w:rsidRPr="0040377C">
        <w:rPr>
          <w:rFonts w:ascii="Times New Roman" w:hAnsi="Times New Roman"/>
          <w:sz w:val="20"/>
          <w:szCs w:val="20"/>
          <w:lang w:val="ms-MY"/>
        </w:rPr>
        <w:t>. By: Goldberg, E. D., Gordon and Breach, New York, London, Paris: 41-58.</w:t>
      </w:r>
    </w:p>
    <w:p w:rsidR="0083786D" w:rsidRPr="0040377C" w:rsidRDefault="0083786D" w:rsidP="004D6757">
      <w:pPr>
        <w:numPr>
          <w:ilvl w:val="0"/>
          <w:numId w:val="6"/>
        </w:numPr>
        <w:spacing w:after="0" w:line="240" w:lineRule="auto"/>
        <w:ind w:left="360" w:hanging="360"/>
        <w:jc w:val="both"/>
        <w:rPr>
          <w:rFonts w:ascii="Times New Roman" w:hAnsi="Times New Roman"/>
          <w:bCs/>
          <w:sz w:val="20"/>
          <w:szCs w:val="20"/>
          <w:lang w:val="ms-MY"/>
        </w:rPr>
      </w:pPr>
      <w:r w:rsidRPr="0040377C">
        <w:rPr>
          <w:rFonts w:ascii="Times New Roman" w:hAnsi="Times New Roman"/>
          <w:bCs/>
          <w:sz w:val="20"/>
          <w:szCs w:val="20"/>
          <w:lang w:val="ms-MY"/>
        </w:rPr>
        <w:t xml:space="preserve">Bernhard, M. (1981). Heavy metal and chlorinated hydro-carbons in the Mediterranean in marine environmental pollution 2.  In:  </w:t>
      </w:r>
      <w:r w:rsidRPr="0040377C">
        <w:rPr>
          <w:rFonts w:ascii="Times New Roman" w:hAnsi="Times New Roman"/>
          <w:bCs/>
          <w:i/>
          <w:sz w:val="20"/>
          <w:szCs w:val="20"/>
          <w:lang w:val="ms-MY"/>
        </w:rPr>
        <w:t>Dumping and Mining</w:t>
      </w:r>
      <w:r w:rsidRPr="0040377C">
        <w:rPr>
          <w:rFonts w:ascii="Times New Roman" w:hAnsi="Times New Roman"/>
          <w:bCs/>
          <w:sz w:val="20"/>
          <w:szCs w:val="20"/>
          <w:lang w:val="ms-MY"/>
        </w:rPr>
        <w:t>. Edited by Richard A. Geyer. 143-192.</w:t>
      </w:r>
    </w:p>
    <w:p w:rsidR="0083786D" w:rsidRPr="0040377C" w:rsidRDefault="0083786D" w:rsidP="004D6757">
      <w:pPr>
        <w:numPr>
          <w:ilvl w:val="0"/>
          <w:numId w:val="6"/>
        </w:numPr>
        <w:spacing w:after="0" w:line="240" w:lineRule="auto"/>
        <w:ind w:left="360" w:hanging="360"/>
        <w:jc w:val="both"/>
        <w:rPr>
          <w:rFonts w:ascii="Times New Roman" w:hAnsi="Times New Roman"/>
          <w:bCs/>
          <w:sz w:val="20"/>
          <w:szCs w:val="20"/>
          <w:lang w:val="ms-MY"/>
        </w:rPr>
      </w:pPr>
      <w:r w:rsidRPr="0040377C">
        <w:rPr>
          <w:rFonts w:ascii="Times New Roman" w:hAnsi="Times New Roman"/>
          <w:bCs/>
          <w:sz w:val="20"/>
          <w:szCs w:val="20"/>
          <w:lang w:val="ms-MY"/>
        </w:rPr>
        <w:t xml:space="preserve">Badri, M. A. (1988). Heavy metal pollution in the urban environment.: In. Sham Sani and M. Ahmad Badri (Eds.), </w:t>
      </w:r>
      <w:r w:rsidRPr="0040377C">
        <w:rPr>
          <w:rFonts w:ascii="Times New Roman" w:hAnsi="Times New Roman"/>
          <w:bCs/>
          <w:i/>
          <w:sz w:val="20"/>
          <w:szCs w:val="20"/>
          <w:lang w:val="ms-MY"/>
        </w:rPr>
        <w:t>Environmental Monitoring and assessment Tropical Urban Application</w:t>
      </w:r>
      <w:r w:rsidRPr="0040377C">
        <w:rPr>
          <w:rFonts w:ascii="Times New Roman" w:hAnsi="Times New Roman"/>
          <w:bCs/>
          <w:sz w:val="20"/>
          <w:szCs w:val="20"/>
          <w:lang w:val="ms-MY"/>
        </w:rPr>
        <w:t>.</w:t>
      </w:r>
    </w:p>
    <w:p w:rsidR="0083786D" w:rsidRPr="0040377C" w:rsidRDefault="0083786D" w:rsidP="004D6757">
      <w:pPr>
        <w:numPr>
          <w:ilvl w:val="0"/>
          <w:numId w:val="6"/>
        </w:numPr>
        <w:spacing w:after="0" w:line="240" w:lineRule="auto"/>
        <w:ind w:left="360" w:hanging="360"/>
        <w:jc w:val="both"/>
        <w:rPr>
          <w:rFonts w:ascii="Times New Roman" w:hAnsi="Times New Roman"/>
          <w:bCs/>
          <w:sz w:val="20"/>
          <w:szCs w:val="20"/>
          <w:lang w:val="ms-MY"/>
        </w:rPr>
      </w:pPr>
      <w:r w:rsidRPr="0040377C">
        <w:rPr>
          <w:rFonts w:ascii="Times New Roman" w:hAnsi="Times New Roman"/>
          <w:sz w:val="20"/>
          <w:szCs w:val="20"/>
          <w:lang w:val="ms-MY"/>
        </w:rPr>
        <w:t xml:space="preserve">Nor Antonina, A. (2001). Sedimentological and heavy metal studies of the Gulf of Thailand, East Coast Penisular Malaysia, Sabah and Sarawak continental shelf sediments. </w:t>
      </w:r>
      <w:r w:rsidRPr="0040377C">
        <w:rPr>
          <w:rFonts w:ascii="Times New Roman" w:hAnsi="Times New Roman"/>
          <w:i/>
          <w:sz w:val="20"/>
          <w:szCs w:val="20"/>
          <w:lang w:val="ms-MY"/>
        </w:rPr>
        <w:t>Thesis of PhD</w:t>
      </w:r>
      <w:r w:rsidRPr="0040377C">
        <w:rPr>
          <w:rFonts w:ascii="Times New Roman" w:hAnsi="Times New Roman"/>
          <w:sz w:val="20"/>
          <w:szCs w:val="20"/>
          <w:lang w:val="ms-MY"/>
        </w:rPr>
        <w:t>,</w:t>
      </w:r>
      <w:r w:rsidRPr="0040377C">
        <w:rPr>
          <w:rFonts w:ascii="Times New Roman" w:hAnsi="Times New Roman"/>
          <w:i/>
          <w:iCs/>
          <w:sz w:val="20"/>
          <w:szCs w:val="20"/>
          <w:lang w:val="ms-MY"/>
        </w:rPr>
        <w:t xml:space="preserve"> </w:t>
      </w:r>
      <w:r w:rsidRPr="0040377C">
        <w:rPr>
          <w:rFonts w:ascii="Times New Roman" w:hAnsi="Times New Roman"/>
          <w:iCs/>
          <w:sz w:val="20"/>
          <w:szCs w:val="20"/>
          <w:lang w:val="ms-MY"/>
        </w:rPr>
        <w:t>Universiti Pertanian Malaysia</w:t>
      </w:r>
      <w:r w:rsidRPr="0040377C">
        <w:rPr>
          <w:rFonts w:ascii="Times New Roman" w:hAnsi="Times New Roman"/>
          <w:i/>
          <w:iCs/>
          <w:sz w:val="20"/>
          <w:szCs w:val="20"/>
          <w:lang w:val="ms-MY"/>
        </w:rPr>
        <w:t>.</w:t>
      </w:r>
    </w:p>
    <w:p w:rsidR="0083786D" w:rsidRPr="0040377C" w:rsidRDefault="0083786D" w:rsidP="004D6757">
      <w:pPr>
        <w:numPr>
          <w:ilvl w:val="0"/>
          <w:numId w:val="6"/>
        </w:numPr>
        <w:spacing w:after="0" w:line="240" w:lineRule="auto"/>
        <w:ind w:left="360" w:hanging="360"/>
        <w:jc w:val="both"/>
        <w:rPr>
          <w:rFonts w:ascii="Times New Roman" w:hAnsi="Times New Roman"/>
          <w:bCs/>
          <w:sz w:val="20"/>
          <w:szCs w:val="20"/>
          <w:lang w:val="ms-MY"/>
        </w:rPr>
      </w:pPr>
      <w:r w:rsidRPr="0040377C">
        <w:rPr>
          <w:rFonts w:ascii="Times New Roman" w:hAnsi="Times New Roman"/>
          <w:bCs/>
          <w:sz w:val="20"/>
          <w:szCs w:val="20"/>
          <w:lang w:val="ms-MY"/>
        </w:rPr>
        <w:t xml:space="preserve">Baffi, F., Dadone, A. and Frache, R. (1983). Heavy metals in inshore water near Genoa. </w:t>
      </w:r>
      <w:r w:rsidRPr="0040377C">
        <w:rPr>
          <w:rFonts w:ascii="Times New Roman" w:hAnsi="Times New Roman"/>
          <w:i/>
          <w:iCs/>
          <w:sz w:val="20"/>
          <w:szCs w:val="20"/>
          <w:lang w:val="ms-MY"/>
        </w:rPr>
        <w:t>Marine Pollution Bulletin</w:t>
      </w:r>
      <w:r w:rsidRPr="0040377C">
        <w:rPr>
          <w:rFonts w:ascii="Times New Roman" w:hAnsi="Times New Roman"/>
          <w:bCs/>
          <w:sz w:val="20"/>
          <w:szCs w:val="20"/>
          <w:lang w:val="ms-MY"/>
        </w:rPr>
        <w:t>, 14: 469-471.</w:t>
      </w:r>
    </w:p>
    <w:p w:rsidR="0083786D" w:rsidRPr="0040377C" w:rsidRDefault="0083786D" w:rsidP="004D6757">
      <w:pPr>
        <w:numPr>
          <w:ilvl w:val="0"/>
          <w:numId w:val="6"/>
        </w:numPr>
        <w:spacing w:after="0" w:line="240" w:lineRule="auto"/>
        <w:ind w:left="360" w:hanging="360"/>
        <w:jc w:val="both"/>
        <w:rPr>
          <w:rFonts w:ascii="Times New Roman" w:hAnsi="Times New Roman"/>
          <w:bCs/>
          <w:sz w:val="20"/>
          <w:szCs w:val="20"/>
          <w:lang w:val="ms-MY"/>
        </w:rPr>
      </w:pPr>
      <w:r w:rsidRPr="0040377C">
        <w:rPr>
          <w:rFonts w:ascii="Times New Roman" w:hAnsi="Times New Roman"/>
          <w:sz w:val="20"/>
          <w:szCs w:val="20"/>
          <w:lang w:val="ms-MY"/>
        </w:rPr>
        <w:t xml:space="preserve">Flegal, A. R. and Patterson, C. C. (1983). Vertical concentration profiles of lead in the Central Pacific at 15 </w:t>
      </w:r>
      <w:r w:rsidRPr="0040377C">
        <w:rPr>
          <w:rFonts w:ascii="Times New Roman" w:hAnsi="Times New Roman"/>
          <w:sz w:val="20"/>
          <w:szCs w:val="20"/>
          <w:vertAlign w:val="superscript"/>
          <w:lang w:val="ms-MY"/>
        </w:rPr>
        <w:t>o</w:t>
      </w:r>
      <w:r w:rsidRPr="0040377C">
        <w:rPr>
          <w:rFonts w:ascii="Times New Roman" w:hAnsi="Times New Roman"/>
          <w:sz w:val="20"/>
          <w:szCs w:val="20"/>
          <w:lang w:val="ms-MY"/>
        </w:rPr>
        <w:t xml:space="preserve">N and 20 </w:t>
      </w:r>
      <w:r w:rsidRPr="0040377C">
        <w:rPr>
          <w:rFonts w:ascii="Times New Roman" w:hAnsi="Times New Roman"/>
          <w:sz w:val="20"/>
          <w:szCs w:val="20"/>
          <w:vertAlign w:val="superscript"/>
          <w:lang w:val="ms-MY"/>
        </w:rPr>
        <w:t>o</w:t>
      </w:r>
      <w:r w:rsidRPr="0040377C">
        <w:rPr>
          <w:rFonts w:ascii="Times New Roman" w:hAnsi="Times New Roman"/>
          <w:sz w:val="20"/>
          <w:szCs w:val="20"/>
          <w:lang w:val="ms-MY"/>
        </w:rPr>
        <w:t xml:space="preserve">S. </w:t>
      </w:r>
      <w:r w:rsidRPr="0040377C">
        <w:rPr>
          <w:rFonts w:ascii="Times New Roman" w:hAnsi="Times New Roman"/>
          <w:i/>
          <w:sz w:val="20"/>
          <w:szCs w:val="20"/>
          <w:lang w:val="ms-MY"/>
        </w:rPr>
        <w:t>Earth Planet Science Letter</w:t>
      </w:r>
      <w:r w:rsidRPr="0040377C">
        <w:rPr>
          <w:rFonts w:ascii="Times New Roman" w:hAnsi="Times New Roman"/>
          <w:sz w:val="20"/>
          <w:szCs w:val="20"/>
          <w:lang w:val="ms-MY"/>
        </w:rPr>
        <w:t>, 64: 19-32.</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Boyle, E. A., Chapnick, S. D. and Shen, G. T. (1986). Temporal variability of lead in the Western North Atlantic Ocean. </w:t>
      </w:r>
      <w:r w:rsidRPr="0040377C">
        <w:rPr>
          <w:rFonts w:ascii="Times New Roman" w:hAnsi="Times New Roman"/>
          <w:i/>
          <w:sz w:val="20"/>
          <w:szCs w:val="20"/>
          <w:lang w:val="ms-MY"/>
        </w:rPr>
        <w:t>Journal of Geophysical Research</w:t>
      </w:r>
      <w:r w:rsidRPr="0040377C">
        <w:rPr>
          <w:rFonts w:ascii="Times New Roman" w:hAnsi="Times New Roman"/>
          <w:sz w:val="20"/>
          <w:szCs w:val="20"/>
          <w:lang w:val="ms-MY"/>
        </w:rPr>
        <w:t>, 91: 8573-8593.</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Pickering, W. F. (1986). Metal ion-speciation-soil and sediments (a review). </w:t>
      </w:r>
      <w:r w:rsidRPr="0040377C">
        <w:rPr>
          <w:rFonts w:ascii="Times New Roman" w:hAnsi="Times New Roman"/>
          <w:i/>
          <w:sz w:val="20"/>
          <w:szCs w:val="20"/>
          <w:lang w:val="ms-MY"/>
        </w:rPr>
        <w:t>Ore Geology Reviews,</w:t>
      </w:r>
      <w:r w:rsidRPr="0040377C">
        <w:rPr>
          <w:rFonts w:ascii="Times New Roman" w:hAnsi="Times New Roman"/>
          <w:sz w:val="20"/>
          <w:szCs w:val="20"/>
          <w:lang w:val="ms-MY"/>
        </w:rPr>
        <w:t xml:space="preserve"> 1:83-146.</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Kersten, M. and Forstner, U. (1987). Effect of sample pretreatment on the realiability of solid speciation data of heavy metals. Implications for the study of early diagenetic processes. </w:t>
      </w:r>
      <w:r w:rsidRPr="0040377C">
        <w:rPr>
          <w:rFonts w:ascii="Times New Roman" w:hAnsi="Times New Roman"/>
          <w:i/>
          <w:sz w:val="20"/>
          <w:szCs w:val="20"/>
          <w:lang w:val="ms-MY"/>
        </w:rPr>
        <w:t>Marine Chemistry</w:t>
      </w:r>
      <w:r w:rsidRPr="0040377C">
        <w:rPr>
          <w:rFonts w:ascii="Times New Roman" w:hAnsi="Times New Roman"/>
          <w:sz w:val="20"/>
          <w:szCs w:val="20"/>
          <w:lang w:val="ms-MY"/>
        </w:rPr>
        <w:t xml:space="preserve">, 22: 299-312. </w:t>
      </w:r>
    </w:p>
    <w:p w:rsidR="0083786D" w:rsidRPr="0040377C" w:rsidRDefault="0083786D" w:rsidP="004D6757">
      <w:pPr>
        <w:numPr>
          <w:ilvl w:val="0"/>
          <w:numId w:val="6"/>
        </w:numPr>
        <w:spacing w:after="0" w:line="240" w:lineRule="auto"/>
        <w:ind w:left="360" w:hanging="360"/>
        <w:jc w:val="both"/>
        <w:rPr>
          <w:rFonts w:ascii="Times New Roman" w:hAnsi="Times New Roman"/>
          <w:sz w:val="20"/>
          <w:szCs w:val="20"/>
          <w:lang w:val="ms-MY"/>
        </w:rPr>
      </w:pPr>
      <w:r w:rsidRPr="0040377C">
        <w:rPr>
          <w:rFonts w:ascii="Times New Roman" w:hAnsi="Times New Roman"/>
          <w:sz w:val="20"/>
          <w:szCs w:val="20"/>
          <w:lang w:val="ms-MY"/>
        </w:rPr>
        <w:t xml:space="preserve">Tuin, B. J. W and Tels, M. (1990). Distribution of six heavy metals in contaminated clay soils before and after extractive cleaning. </w:t>
      </w:r>
      <w:r w:rsidRPr="0040377C">
        <w:rPr>
          <w:rFonts w:ascii="Times New Roman" w:hAnsi="Times New Roman"/>
          <w:i/>
          <w:sz w:val="20"/>
          <w:szCs w:val="20"/>
          <w:lang w:val="ms-MY"/>
        </w:rPr>
        <w:t>Journal Technology,</w:t>
      </w:r>
      <w:r w:rsidRPr="0040377C">
        <w:rPr>
          <w:rFonts w:ascii="Times New Roman" w:hAnsi="Times New Roman"/>
          <w:sz w:val="20"/>
          <w:szCs w:val="20"/>
          <w:lang w:val="ms-MY"/>
        </w:rPr>
        <w:t xml:space="preserve"> II: 935-948.</w:t>
      </w:r>
    </w:p>
    <w:p w:rsidR="00A74A7E" w:rsidRDefault="00A74A7E" w:rsidP="004D6757">
      <w:pPr>
        <w:spacing w:after="0" w:line="240" w:lineRule="auto"/>
        <w:ind w:left="360" w:hanging="360"/>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263018">
      <w:headerReference w:type="even" r:id="rId19"/>
      <w:headerReference w:type="default" r:id="rId20"/>
      <w:footerReference w:type="even" r:id="rId21"/>
      <w:footerReference w:type="default" r:id="rId22"/>
      <w:pgSz w:w="12240" w:h="15840" w:code="1"/>
      <w:pgMar w:top="1800" w:right="1469" w:bottom="1699" w:left="1440" w:header="706" w:footer="706" w:gutter="0"/>
      <w:pgNumType w:start="1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63018">
      <w:rPr>
        <w:rFonts w:ascii="Times New Roman" w:hAnsi="Times New Roman"/>
        <w:noProof/>
      </w:rPr>
      <w:t>128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63018">
      <w:rPr>
        <w:rFonts w:ascii="Times New Roman" w:hAnsi="Times New Roman"/>
        <w:noProof/>
      </w:rPr>
      <w:t>129</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E96FAC" w:rsidRDefault="00E96FAC" w:rsidP="00E96FAC">
    <w:pPr>
      <w:pStyle w:val="Header"/>
      <w:ind w:left="2250" w:hanging="2250"/>
      <w:rPr>
        <w:rFonts w:ascii="Times New Roman" w:hAnsi="Times New Roman"/>
        <w:caps/>
        <w:lang w:val="en-US"/>
      </w:rPr>
    </w:pPr>
    <w:r>
      <w:rPr>
        <w:rFonts w:ascii="Times New Roman" w:hAnsi="Times New Roman"/>
        <w:lang w:val="en-US"/>
      </w:rPr>
      <w:t>Ahmad Shamsuddin et al</w:t>
    </w:r>
    <w:r w:rsidR="006B72B0" w:rsidRPr="006B72B0">
      <w:rPr>
        <w:rFonts w:ascii="Times New Roman" w:hAnsi="Times New Roman"/>
        <w:lang w:val="en-US"/>
      </w:rPr>
      <w:t xml:space="preserve">: </w:t>
    </w:r>
    <w:r w:rsidR="009B0F4A">
      <w:rPr>
        <w:rFonts w:ascii="Times New Roman" w:hAnsi="Times New Roman"/>
        <w:lang w:val="en-US"/>
      </w:rPr>
      <w:t xml:space="preserve"> </w:t>
    </w:r>
    <w:r>
      <w:rPr>
        <w:rFonts w:ascii="Times New Roman" w:hAnsi="Times New Roman"/>
        <w:lang w:val="en-US"/>
      </w:rPr>
      <w:t xml:space="preserve"> </w:t>
    </w:r>
    <w:r>
      <w:rPr>
        <w:rFonts w:ascii="Times New Roman" w:hAnsi="Times New Roman"/>
        <w:lang w:val="en-US"/>
      </w:rPr>
      <w:tab/>
    </w:r>
    <w:r w:rsidRPr="00E96FAC">
      <w:rPr>
        <w:rFonts w:ascii="Times New Roman" w:hAnsi="Times New Roman"/>
        <w:caps/>
        <w:lang w:val="ms-MY"/>
      </w:rPr>
      <w:t>Determination of Heavy Metal Concentrations in Sediment of Kemaman River Estuary, Terengganu</w:t>
    </w:r>
  </w:p>
  <w:p w:rsidR="00A14DB9" w:rsidRPr="00E96FAC" w:rsidRDefault="00A14DB9">
    <w:pPr>
      <w:pStyle w:val="Header"/>
      <w:rPr>
        <w:lang w:val="en-MY"/>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9B0F4A">
      <w:rPr>
        <w:rFonts w:ascii="Times New Roman" w:hAnsi="Times New Roman"/>
        <w:i/>
        <w:lang w:val="en-US"/>
      </w:rPr>
      <w:t>No 1</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263018">
      <w:rPr>
        <w:rFonts w:ascii="Times New Roman" w:hAnsi="Times New Roman"/>
        <w:i/>
        <w:lang w:val="en-US"/>
      </w:rPr>
      <w:t>125</w:t>
    </w:r>
    <w:r>
      <w:rPr>
        <w:rFonts w:ascii="Times New Roman" w:hAnsi="Times New Roman"/>
        <w:i/>
        <w:lang w:val="en-US"/>
      </w:rPr>
      <w:t xml:space="preserve"> </w:t>
    </w:r>
    <w:r w:rsidR="007A0583">
      <w:rPr>
        <w:rFonts w:ascii="Times New Roman" w:hAnsi="Times New Roman"/>
        <w:i/>
        <w:lang w:val="en-US"/>
      </w:rPr>
      <w:t>-</w:t>
    </w:r>
    <w:r w:rsidR="00263018">
      <w:rPr>
        <w:rFonts w:ascii="Times New Roman" w:hAnsi="Times New Roman"/>
        <w:i/>
        <w:lang w:val="en-US"/>
      </w:rPr>
      <w:t xml:space="preserve"> 133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3B84"/>
    <w:multiLevelType w:val="hybridMultilevel"/>
    <w:tmpl w:val="AEAEBF0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AC7D17"/>
    <w:multiLevelType w:val="hybridMultilevel"/>
    <w:tmpl w:val="83469934"/>
    <w:lvl w:ilvl="0" w:tplc="65E474EC">
      <w:start w:val="1"/>
      <w:numFmt w:val="decimal"/>
      <w:lvlText w:val="%1."/>
      <w:lvlJc w:val="left"/>
      <w:pPr>
        <w:tabs>
          <w:tab w:val="num" w:pos="1080"/>
        </w:tabs>
        <w:ind w:left="1080" w:hanging="720"/>
      </w:pPr>
      <w:rPr>
        <w:rFonts w:hint="default"/>
      </w:rPr>
    </w:lvl>
    <w:lvl w:ilvl="1" w:tplc="D0B66D92">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4D743E"/>
    <w:multiLevelType w:val="hybridMultilevel"/>
    <w:tmpl w:val="F12CBD90"/>
    <w:lvl w:ilvl="0" w:tplc="301038EA">
      <w:start w:val="5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07F53AF"/>
    <w:multiLevelType w:val="hybridMultilevel"/>
    <w:tmpl w:val="B2284EE2"/>
    <w:lvl w:ilvl="0" w:tplc="9824085A">
      <w:start w:val="1"/>
      <w:numFmt w:val="low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F464E"/>
    <w:multiLevelType w:val="hybridMultilevel"/>
    <w:tmpl w:val="93D0F7C4"/>
    <w:lvl w:ilvl="0" w:tplc="812C1122">
      <w:start w:val="1"/>
      <w:numFmt w:val="lowerLetter"/>
      <w:lvlText w:val="%1)"/>
      <w:lvlJc w:val="left"/>
      <w:pPr>
        <w:ind w:left="1440" w:hanging="360"/>
      </w:pPr>
      <w:rPr>
        <w:rFonts w:hint="default"/>
        <w:sz w:val="16"/>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nsid w:val="34956924"/>
    <w:multiLevelType w:val="hybridMultilevel"/>
    <w:tmpl w:val="82FA2686"/>
    <w:lvl w:ilvl="0" w:tplc="5AF6E1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8B2E43"/>
    <w:multiLevelType w:val="hybridMultilevel"/>
    <w:tmpl w:val="DEB200AC"/>
    <w:lvl w:ilvl="0" w:tplc="21A2AC34">
      <w:start w:val="1"/>
      <w:numFmt w:val="lowerLetter"/>
      <w:lvlText w:val="%1)"/>
      <w:lvlJc w:val="left"/>
      <w:pPr>
        <w:ind w:left="1080" w:hanging="360"/>
      </w:pPr>
      <w:rPr>
        <w:rFonts w:hint="default"/>
        <w:sz w:val="16"/>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nsid w:val="4A224ECC"/>
    <w:multiLevelType w:val="hybridMultilevel"/>
    <w:tmpl w:val="B75EFFB8"/>
    <w:lvl w:ilvl="0" w:tplc="FEA6BC70">
      <w:start w:val="1"/>
      <w:numFmt w:val="decimal"/>
      <w:lvlText w:val="%1."/>
      <w:lvlJc w:val="left"/>
      <w:pPr>
        <w:ind w:left="900" w:hanging="54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E5F0448"/>
    <w:multiLevelType w:val="hybridMultilevel"/>
    <w:tmpl w:val="BCC2EB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71790A5A"/>
    <w:multiLevelType w:val="hybridMultilevel"/>
    <w:tmpl w:val="0C0EBB5A"/>
    <w:lvl w:ilvl="0" w:tplc="5F2EE468">
      <w:start w:val="1"/>
      <w:numFmt w:val="lowerLetter"/>
      <w:lvlText w:val="%1)"/>
      <w:lvlJc w:val="left"/>
      <w:pPr>
        <w:ind w:left="1080" w:hanging="360"/>
      </w:pPr>
      <w:rPr>
        <w:rFonts w:hint="default"/>
        <w:sz w:val="16"/>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nsid w:val="75480FEE"/>
    <w:multiLevelType w:val="hybridMultilevel"/>
    <w:tmpl w:val="960A93AE"/>
    <w:lvl w:ilvl="0" w:tplc="11BEF5D6">
      <w:start w:val="1"/>
      <w:numFmt w:val="lowerLetter"/>
      <w:lvlText w:val="%1)"/>
      <w:lvlJc w:val="left"/>
      <w:pPr>
        <w:ind w:left="1440" w:hanging="360"/>
      </w:pPr>
      <w:rPr>
        <w:rFonts w:hint="default"/>
        <w:sz w:val="16"/>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9"/>
  </w:num>
  <w:num w:numId="6">
    <w:abstractNumId w:val="8"/>
  </w:num>
  <w:num w:numId="7">
    <w:abstractNumId w:val="3"/>
  </w:num>
  <w:num w:numId="8">
    <w:abstractNumId w:val="2"/>
  </w:num>
  <w:num w:numId="9">
    <w:abstractNumId w:val="7"/>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415DF"/>
    <w:rsid w:val="00084936"/>
    <w:rsid w:val="000C49FF"/>
    <w:rsid w:val="000D16A1"/>
    <w:rsid w:val="000D2B0C"/>
    <w:rsid w:val="000F77DA"/>
    <w:rsid w:val="001068E8"/>
    <w:rsid w:val="001106D8"/>
    <w:rsid w:val="00117BCD"/>
    <w:rsid w:val="001230E6"/>
    <w:rsid w:val="001A3275"/>
    <w:rsid w:val="001D035A"/>
    <w:rsid w:val="001D3855"/>
    <w:rsid w:val="001D6F2C"/>
    <w:rsid w:val="00233177"/>
    <w:rsid w:val="0024221F"/>
    <w:rsid w:val="002627A2"/>
    <w:rsid w:val="00263018"/>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76DD4"/>
    <w:rsid w:val="003B2B5C"/>
    <w:rsid w:val="003B4FC1"/>
    <w:rsid w:val="003B6019"/>
    <w:rsid w:val="003D585B"/>
    <w:rsid w:val="003E7DA6"/>
    <w:rsid w:val="003F12FF"/>
    <w:rsid w:val="004760D4"/>
    <w:rsid w:val="00482180"/>
    <w:rsid w:val="00494C46"/>
    <w:rsid w:val="004B43FF"/>
    <w:rsid w:val="004C7089"/>
    <w:rsid w:val="004D6757"/>
    <w:rsid w:val="004D7E25"/>
    <w:rsid w:val="004F265B"/>
    <w:rsid w:val="00502641"/>
    <w:rsid w:val="0054578F"/>
    <w:rsid w:val="005739DE"/>
    <w:rsid w:val="005C6768"/>
    <w:rsid w:val="005E4871"/>
    <w:rsid w:val="00601C8A"/>
    <w:rsid w:val="00617AA2"/>
    <w:rsid w:val="006257E5"/>
    <w:rsid w:val="00634C25"/>
    <w:rsid w:val="0063542E"/>
    <w:rsid w:val="00637469"/>
    <w:rsid w:val="006416AB"/>
    <w:rsid w:val="0065373D"/>
    <w:rsid w:val="00660445"/>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17753"/>
    <w:rsid w:val="0082181A"/>
    <w:rsid w:val="0082457A"/>
    <w:rsid w:val="00825624"/>
    <w:rsid w:val="0083587A"/>
    <w:rsid w:val="0083786D"/>
    <w:rsid w:val="008773F6"/>
    <w:rsid w:val="00883CC3"/>
    <w:rsid w:val="008B470E"/>
    <w:rsid w:val="008B5904"/>
    <w:rsid w:val="008D1880"/>
    <w:rsid w:val="008D29BF"/>
    <w:rsid w:val="008E1211"/>
    <w:rsid w:val="008E5BBF"/>
    <w:rsid w:val="008E6968"/>
    <w:rsid w:val="008F45FE"/>
    <w:rsid w:val="009211AF"/>
    <w:rsid w:val="00921742"/>
    <w:rsid w:val="009357B8"/>
    <w:rsid w:val="00967833"/>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8566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86393"/>
    <w:rsid w:val="00D9736F"/>
    <w:rsid w:val="00D9792A"/>
    <w:rsid w:val="00DD0CD5"/>
    <w:rsid w:val="00DD377F"/>
    <w:rsid w:val="00DD7C38"/>
    <w:rsid w:val="00E25547"/>
    <w:rsid w:val="00E3287E"/>
    <w:rsid w:val="00E54D12"/>
    <w:rsid w:val="00E66197"/>
    <w:rsid w:val="00E96FAC"/>
    <w:rsid w:val="00F121A0"/>
    <w:rsid w:val="00F31093"/>
    <w:rsid w:val="00F33AB1"/>
    <w:rsid w:val="00F412AF"/>
    <w:rsid w:val="00F43667"/>
    <w:rsid w:val="00F447A7"/>
    <w:rsid w:val="00F4760B"/>
    <w:rsid w:val="00FB4C59"/>
    <w:rsid w:val="00FB6521"/>
    <w:rsid w:val="00FC0A2D"/>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annotation reference" w:uiPriority="0"/>
    <w:lsdException w:name="line number"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rsid w:val="008378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786D"/>
    <w:rPr>
      <w:color w:val="0000FF"/>
      <w:u w:val="single"/>
    </w:rPr>
  </w:style>
  <w:style w:type="character" w:styleId="LineNumber">
    <w:name w:val="line number"/>
    <w:basedOn w:val="DefaultParagraphFont"/>
    <w:rsid w:val="0083786D"/>
  </w:style>
  <w:style w:type="paragraph" w:styleId="BodyText2">
    <w:name w:val="Body Text 2"/>
    <w:basedOn w:val="Normal"/>
    <w:link w:val="BodyText2Char"/>
    <w:rsid w:val="0083786D"/>
    <w:pPr>
      <w:spacing w:after="0" w:line="240" w:lineRule="auto"/>
      <w:jc w:val="both"/>
    </w:pPr>
    <w:rPr>
      <w:rFonts w:ascii="Times New Roman" w:hAnsi="Times New Roman"/>
      <w:sz w:val="20"/>
      <w:szCs w:val="24"/>
      <w:lang w:bidi="ar-SA"/>
    </w:rPr>
  </w:style>
  <w:style w:type="character" w:customStyle="1" w:styleId="BodyText2Char">
    <w:name w:val="Body Text 2 Char"/>
    <w:basedOn w:val="DefaultParagraphFont"/>
    <w:link w:val="BodyText2"/>
    <w:rsid w:val="0083786D"/>
    <w:rPr>
      <w:rFonts w:ascii="Times New Roman" w:eastAsia="Times New Roman" w:hAnsi="Times New Roman"/>
      <w:szCs w:val="24"/>
      <w:lang w:val="en-US" w:eastAsia="en-US"/>
    </w:rPr>
  </w:style>
  <w:style w:type="paragraph" w:styleId="BodyText">
    <w:name w:val="Body Text"/>
    <w:basedOn w:val="Normal"/>
    <w:link w:val="BodyTextChar"/>
    <w:rsid w:val="0083786D"/>
    <w:pPr>
      <w:spacing w:after="120" w:line="240" w:lineRule="auto"/>
    </w:pPr>
    <w:rPr>
      <w:rFonts w:ascii="Times New Roman" w:eastAsia="SimSun" w:hAnsi="Times New Roman"/>
      <w:sz w:val="24"/>
      <w:szCs w:val="24"/>
      <w:lang w:eastAsia="zh-CN" w:bidi="ar-SA"/>
    </w:rPr>
  </w:style>
  <w:style w:type="character" w:customStyle="1" w:styleId="BodyTextChar">
    <w:name w:val="Body Text Char"/>
    <w:basedOn w:val="DefaultParagraphFont"/>
    <w:link w:val="BodyText"/>
    <w:rsid w:val="0083786D"/>
    <w:rPr>
      <w:rFonts w:ascii="Times New Roman" w:eastAsia="SimSun" w:hAnsi="Times New Roman"/>
      <w:sz w:val="24"/>
      <w:szCs w:val="24"/>
      <w:lang w:val="en-US" w:eastAsia="zh-CN"/>
    </w:rPr>
  </w:style>
  <w:style w:type="character" w:styleId="PageNumber">
    <w:name w:val="page number"/>
    <w:basedOn w:val="DefaultParagraphFont"/>
    <w:rsid w:val="0083786D"/>
  </w:style>
  <w:style w:type="paragraph" w:styleId="BodyText3">
    <w:name w:val="Body Text 3"/>
    <w:basedOn w:val="Normal"/>
    <w:link w:val="BodyText3Char"/>
    <w:rsid w:val="0083786D"/>
    <w:pPr>
      <w:spacing w:after="120" w:line="240" w:lineRule="auto"/>
    </w:pPr>
    <w:rPr>
      <w:rFonts w:ascii="Times New Roman" w:eastAsia="SimSun" w:hAnsi="Times New Roman"/>
      <w:sz w:val="16"/>
      <w:szCs w:val="16"/>
      <w:lang w:eastAsia="zh-CN" w:bidi="ar-SA"/>
    </w:rPr>
  </w:style>
  <w:style w:type="character" w:customStyle="1" w:styleId="BodyText3Char">
    <w:name w:val="Body Text 3 Char"/>
    <w:basedOn w:val="DefaultParagraphFont"/>
    <w:link w:val="BodyText3"/>
    <w:rsid w:val="0083786D"/>
    <w:rPr>
      <w:rFonts w:ascii="Times New Roman" w:eastAsia="SimSun" w:hAnsi="Times New Roman"/>
      <w:sz w:val="16"/>
      <w:szCs w:val="16"/>
      <w:lang w:val="en-US" w:eastAsia="zh-CN"/>
    </w:rPr>
  </w:style>
  <w:style w:type="paragraph" w:styleId="BodyTextIndent">
    <w:name w:val="Body Text Indent"/>
    <w:basedOn w:val="Normal"/>
    <w:link w:val="BodyTextIndentChar"/>
    <w:rsid w:val="0083786D"/>
    <w:pPr>
      <w:spacing w:after="120" w:line="240" w:lineRule="auto"/>
      <w:ind w:left="360"/>
    </w:pPr>
    <w:rPr>
      <w:rFonts w:ascii="Times New Roman" w:eastAsia="SimSun" w:hAnsi="Times New Roman"/>
      <w:sz w:val="24"/>
      <w:szCs w:val="24"/>
      <w:lang w:eastAsia="zh-CN" w:bidi="ar-SA"/>
    </w:rPr>
  </w:style>
  <w:style w:type="character" w:customStyle="1" w:styleId="BodyTextIndentChar">
    <w:name w:val="Body Text Indent Char"/>
    <w:basedOn w:val="DefaultParagraphFont"/>
    <w:link w:val="BodyTextIndent"/>
    <w:rsid w:val="0083786D"/>
    <w:rPr>
      <w:rFonts w:ascii="Times New Roman" w:eastAsia="SimSun" w:hAnsi="Times New Roman"/>
      <w:sz w:val="24"/>
      <w:szCs w:val="24"/>
      <w:lang w:val="en-US" w:eastAsia="zh-CN"/>
    </w:rPr>
  </w:style>
  <w:style w:type="character" w:styleId="CommentReference">
    <w:name w:val="annotation reference"/>
    <w:rsid w:val="0083786D"/>
    <w:rPr>
      <w:sz w:val="16"/>
      <w:szCs w:val="16"/>
    </w:rPr>
  </w:style>
  <w:style w:type="paragraph" w:styleId="CommentText">
    <w:name w:val="annotation text"/>
    <w:basedOn w:val="Normal"/>
    <w:link w:val="CommentTextChar"/>
    <w:rsid w:val="0083786D"/>
    <w:pPr>
      <w:spacing w:after="0" w:line="240" w:lineRule="auto"/>
    </w:pPr>
    <w:rPr>
      <w:rFonts w:ascii="Times New Roman" w:eastAsia="SimSun" w:hAnsi="Times New Roman"/>
      <w:sz w:val="20"/>
      <w:szCs w:val="20"/>
      <w:lang w:eastAsia="zh-CN" w:bidi="ar-SA"/>
    </w:rPr>
  </w:style>
  <w:style w:type="character" w:customStyle="1" w:styleId="CommentTextChar">
    <w:name w:val="Comment Text Char"/>
    <w:basedOn w:val="DefaultParagraphFont"/>
    <w:link w:val="CommentText"/>
    <w:rsid w:val="0083786D"/>
    <w:rPr>
      <w:rFonts w:ascii="Times New Roman" w:eastAsia="SimSun" w:hAnsi="Times New Roman"/>
      <w:lang w:val="en-US" w:eastAsia="zh-CN"/>
    </w:rPr>
  </w:style>
  <w:style w:type="paragraph" w:styleId="CommentSubject">
    <w:name w:val="annotation subject"/>
    <w:basedOn w:val="CommentText"/>
    <w:next w:val="CommentText"/>
    <w:link w:val="CommentSubjectChar"/>
    <w:rsid w:val="0083786D"/>
    <w:rPr>
      <w:b/>
      <w:bCs/>
    </w:rPr>
  </w:style>
  <w:style w:type="character" w:customStyle="1" w:styleId="CommentSubjectChar">
    <w:name w:val="Comment Subject Char"/>
    <w:basedOn w:val="CommentTextChar"/>
    <w:link w:val="CommentSubject"/>
    <w:rsid w:val="0083786D"/>
    <w:rPr>
      <w:rFonts w:ascii="Times New Roman" w:eastAsia="SimSun" w:hAnsi="Times New Roman"/>
      <w:b/>
      <w:bCs/>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annotation reference" w:uiPriority="0"/>
    <w:lsdException w:name="line number"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rsid w:val="008378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786D"/>
    <w:rPr>
      <w:color w:val="0000FF"/>
      <w:u w:val="single"/>
    </w:rPr>
  </w:style>
  <w:style w:type="character" w:styleId="LineNumber">
    <w:name w:val="line number"/>
    <w:basedOn w:val="DefaultParagraphFont"/>
    <w:rsid w:val="0083786D"/>
  </w:style>
  <w:style w:type="paragraph" w:styleId="BodyText2">
    <w:name w:val="Body Text 2"/>
    <w:basedOn w:val="Normal"/>
    <w:link w:val="BodyText2Char"/>
    <w:rsid w:val="0083786D"/>
    <w:pPr>
      <w:spacing w:after="0" w:line="240" w:lineRule="auto"/>
      <w:jc w:val="both"/>
    </w:pPr>
    <w:rPr>
      <w:rFonts w:ascii="Times New Roman" w:hAnsi="Times New Roman"/>
      <w:sz w:val="20"/>
      <w:szCs w:val="24"/>
      <w:lang w:bidi="ar-SA"/>
    </w:rPr>
  </w:style>
  <w:style w:type="character" w:customStyle="1" w:styleId="BodyText2Char">
    <w:name w:val="Body Text 2 Char"/>
    <w:basedOn w:val="DefaultParagraphFont"/>
    <w:link w:val="BodyText2"/>
    <w:rsid w:val="0083786D"/>
    <w:rPr>
      <w:rFonts w:ascii="Times New Roman" w:eastAsia="Times New Roman" w:hAnsi="Times New Roman"/>
      <w:szCs w:val="24"/>
      <w:lang w:val="en-US" w:eastAsia="en-US"/>
    </w:rPr>
  </w:style>
  <w:style w:type="paragraph" w:styleId="BodyText">
    <w:name w:val="Body Text"/>
    <w:basedOn w:val="Normal"/>
    <w:link w:val="BodyTextChar"/>
    <w:rsid w:val="0083786D"/>
    <w:pPr>
      <w:spacing w:after="120" w:line="240" w:lineRule="auto"/>
    </w:pPr>
    <w:rPr>
      <w:rFonts w:ascii="Times New Roman" w:eastAsia="SimSun" w:hAnsi="Times New Roman"/>
      <w:sz w:val="24"/>
      <w:szCs w:val="24"/>
      <w:lang w:eastAsia="zh-CN" w:bidi="ar-SA"/>
    </w:rPr>
  </w:style>
  <w:style w:type="character" w:customStyle="1" w:styleId="BodyTextChar">
    <w:name w:val="Body Text Char"/>
    <w:basedOn w:val="DefaultParagraphFont"/>
    <w:link w:val="BodyText"/>
    <w:rsid w:val="0083786D"/>
    <w:rPr>
      <w:rFonts w:ascii="Times New Roman" w:eastAsia="SimSun" w:hAnsi="Times New Roman"/>
      <w:sz w:val="24"/>
      <w:szCs w:val="24"/>
      <w:lang w:val="en-US" w:eastAsia="zh-CN"/>
    </w:rPr>
  </w:style>
  <w:style w:type="character" w:styleId="PageNumber">
    <w:name w:val="page number"/>
    <w:basedOn w:val="DefaultParagraphFont"/>
    <w:rsid w:val="0083786D"/>
  </w:style>
  <w:style w:type="paragraph" w:styleId="BodyText3">
    <w:name w:val="Body Text 3"/>
    <w:basedOn w:val="Normal"/>
    <w:link w:val="BodyText3Char"/>
    <w:rsid w:val="0083786D"/>
    <w:pPr>
      <w:spacing w:after="120" w:line="240" w:lineRule="auto"/>
    </w:pPr>
    <w:rPr>
      <w:rFonts w:ascii="Times New Roman" w:eastAsia="SimSun" w:hAnsi="Times New Roman"/>
      <w:sz w:val="16"/>
      <w:szCs w:val="16"/>
      <w:lang w:eastAsia="zh-CN" w:bidi="ar-SA"/>
    </w:rPr>
  </w:style>
  <w:style w:type="character" w:customStyle="1" w:styleId="BodyText3Char">
    <w:name w:val="Body Text 3 Char"/>
    <w:basedOn w:val="DefaultParagraphFont"/>
    <w:link w:val="BodyText3"/>
    <w:rsid w:val="0083786D"/>
    <w:rPr>
      <w:rFonts w:ascii="Times New Roman" w:eastAsia="SimSun" w:hAnsi="Times New Roman"/>
      <w:sz w:val="16"/>
      <w:szCs w:val="16"/>
      <w:lang w:val="en-US" w:eastAsia="zh-CN"/>
    </w:rPr>
  </w:style>
  <w:style w:type="paragraph" w:styleId="BodyTextIndent">
    <w:name w:val="Body Text Indent"/>
    <w:basedOn w:val="Normal"/>
    <w:link w:val="BodyTextIndentChar"/>
    <w:rsid w:val="0083786D"/>
    <w:pPr>
      <w:spacing w:after="120" w:line="240" w:lineRule="auto"/>
      <w:ind w:left="360"/>
    </w:pPr>
    <w:rPr>
      <w:rFonts w:ascii="Times New Roman" w:eastAsia="SimSun" w:hAnsi="Times New Roman"/>
      <w:sz w:val="24"/>
      <w:szCs w:val="24"/>
      <w:lang w:eastAsia="zh-CN" w:bidi="ar-SA"/>
    </w:rPr>
  </w:style>
  <w:style w:type="character" w:customStyle="1" w:styleId="BodyTextIndentChar">
    <w:name w:val="Body Text Indent Char"/>
    <w:basedOn w:val="DefaultParagraphFont"/>
    <w:link w:val="BodyTextIndent"/>
    <w:rsid w:val="0083786D"/>
    <w:rPr>
      <w:rFonts w:ascii="Times New Roman" w:eastAsia="SimSun" w:hAnsi="Times New Roman"/>
      <w:sz w:val="24"/>
      <w:szCs w:val="24"/>
      <w:lang w:val="en-US" w:eastAsia="zh-CN"/>
    </w:rPr>
  </w:style>
  <w:style w:type="character" w:styleId="CommentReference">
    <w:name w:val="annotation reference"/>
    <w:rsid w:val="0083786D"/>
    <w:rPr>
      <w:sz w:val="16"/>
      <w:szCs w:val="16"/>
    </w:rPr>
  </w:style>
  <w:style w:type="paragraph" w:styleId="CommentText">
    <w:name w:val="annotation text"/>
    <w:basedOn w:val="Normal"/>
    <w:link w:val="CommentTextChar"/>
    <w:rsid w:val="0083786D"/>
    <w:pPr>
      <w:spacing w:after="0" w:line="240" w:lineRule="auto"/>
    </w:pPr>
    <w:rPr>
      <w:rFonts w:ascii="Times New Roman" w:eastAsia="SimSun" w:hAnsi="Times New Roman"/>
      <w:sz w:val="20"/>
      <w:szCs w:val="20"/>
      <w:lang w:eastAsia="zh-CN" w:bidi="ar-SA"/>
    </w:rPr>
  </w:style>
  <w:style w:type="character" w:customStyle="1" w:styleId="CommentTextChar">
    <w:name w:val="Comment Text Char"/>
    <w:basedOn w:val="DefaultParagraphFont"/>
    <w:link w:val="CommentText"/>
    <w:rsid w:val="0083786D"/>
    <w:rPr>
      <w:rFonts w:ascii="Times New Roman" w:eastAsia="SimSun" w:hAnsi="Times New Roman"/>
      <w:lang w:val="en-US" w:eastAsia="zh-CN"/>
    </w:rPr>
  </w:style>
  <w:style w:type="paragraph" w:styleId="CommentSubject">
    <w:name w:val="annotation subject"/>
    <w:basedOn w:val="CommentText"/>
    <w:next w:val="CommentText"/>
    <w:link w:val="CommentSubjectChar"/>
    <w:rsid w:val="0083786D"/>
    <w:rPr>
      <w:b/>
      <w:bCs/>
    </w:rPr>
  </w:style>
  <w:style w:type="character" w:customStyle="1" w:styleId="CommentSubjectChar">
    <w:name w:val="Comment Subject Char"/>
    <w:basedOn w:val="CommentTextChar"/>
    <w:link w:val="CommentSubject"/>
    <w:rsid w:val="0083786D"/>
    <w:rPr>
      <w:rFonts w:ascii="Times New Roman" w:eastAsia="SimSun" w:hAnsi="Times New Roman"/>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HP\Desktop\paper%20logam%20kemaman%201\data%20sg%20kemaman.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Dr%20Ahmad%20Shamsudin\Desktop\data%20sg%20kemaman.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147066294132585E-2"/>
          <c:y val="2.9631073974456763E-2"/>
          <c:w val="0.89763064020667138"/>
          <c:h val="0.70656511931882282"/>
        </c:manualLayout>
      </c:layout>
      <c:barChart>
        <c:barDir val="col"/>
        <c:grouping val="clustered"/>
        <c:varyColors val="0"/>
        <c:ser>
          <c:idx val="0"/>
          <c:order val="0"/>
          <c:tx>
            <c:strRef>
              <c:f>Sheet1!$B$2</c:f>
              <c:strCache>
                <c:ptCount val="1"/>
                <c:pt idx="0">
                  <c:v>Pensampelan 1</c:v>
                </c:pt>
              </c:strCache>
            </c:strRef>
          </c:tx>
          <c:spPr>
            <a:pattFill prst="pct25">
              <a:fgClr>
                <a:schemeClr val="tx1"/>
              </a:fgClr>
              <a:bgClr>
                <a:schemeClr val="bg1"/>
              </a:bgClr>
            </a:pattFill>
          </c:spPr>
          <c:invertIfNegative val="0"/>
          <c:cat>
            <c:strRef>
              <c:f>Sheet1!$A$3:$A$25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Sheet1!$B$3:$B$25</c:f>
              <c:numCache>
                <c:formatCode>0.00</c:formatCode>
                <c:ptCount val="23"/>
                <c:pt idx="0">
                  <c:v>6.82</c:v>
                </c:pt>
                <c:pt idx="1">
                  <c:v>3.35</c:v>
                </c:pt>
                <c:pt idx="2">
                  <c:v>6.09</c:v>
                </c:pt>
                <c:pt idx="3">
                  <c:v>5.88</c:v>
                </c:pt>
                <c:pt idx="4">
                  <c:v>5.0999999999999996</c:v>
                </c:pt>
                <c:pt idx="5">
                  <c:v>10.5</c:v>
                </c:pt>
                <c:pt idx="6">
                  <c:v>8.5500000000000007</c:v>
                </c:pt>
                <c:pt idx="7">
                  <c:v>2.44</c:v>
                </c:pt>
                <c:pt idx="8">
                  <c:v>4.08</c:v>
                </c:pt>
                <c:pt idx="9">
                  <c:v>5.16</c:v>
                </c:pt>
                <c:pt idx="10">
                  <c:v>2.52</c:v>
                </c:pt>
                <c:pt idx="11">
                  <c:v>3.41</c:v>
                </c:pt>
                <c:pt idx="12">
                  <c:v>2.1</c:v>
                </c:pt>
                <c:pt idx="13">
                  <c:v>4.8</c:v>
                </c:pt>
                <c:pt idx="14">
                  <c:v>1.82</c:v>
                </c:pt>
                <c:pt idx="15">
                  <c:v>4.57</c:v>
                </c:pt>
                <c:pt idx="16">
                  <c:v>1.76</c:v>
                </c:pt>
                <c:pt idx="17">
                  <c:v>5.45</c:v>
                </c:pt>
                <c:pt idx="18">
                  <c:v>4.1500000000000004</c:v>
                </c:pt>
                <c:pt idx="19">
                  <c:v>1.41</c:v>
                </c:pt>
                <c:pt idx="20">
                  <c:v>1.36</c:v>
                </c:pt>
                <c:pt idx="21">
                  <c:v>1.78</c:v>
                </c:pt>
                <c:pt idx="22">
                  <c:v>9.02</c:v>
                </c:pt>
              </c:numCache>
            </c:numRef>
          </c:val>
        </c:ser>
        <c:ser>
          <c:idx val="1"/>
          <c:order val="1"/>
          <c:tx>
            <c:strRef>
              <c:f>Sheet1!$C$2</c:f>
              <c:strCache>
                <c:ptCount val="1"/>
                <c:pt idx="0">
                  <c:v>Pensampelan 2</c:v>
                </c:pt>
              </c:strCache>
            </c:strRef>
          </c:tx>
          <c:spPr>
            <a:pattFill prst="wdUpDiag">
              <a:fgClr>
                <a:schemeClr val="tx1"/>
              </a:fgClr>
              <a:bgClr>
                <a:schemeClr val="bg1"/>
              </a:bgClr>
            </a:pattFill>
          </c:spPr>
          <c:invertIfNegative val="0"/>
          <c:cat>
            <c:strRef>
              <c:f>Sheet1!$A$3:$A$25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Sheet1!$C$3:$C$25</c:f>
              <c:numCache>
                <c:formatCode>0.00</c:formatCode>
                <c:ptCount val="23"/>
                <c:pt idx="0">
                  <c:v>5.98</c:v>
                </c:pt>
                <c:pt idx="1">
                  <c:v>3.02</c:v>
                </c:pt>
                <c:pt idx="2">
                  <c:v>4.57</c:v>
                </c:pt>
                <c:pt idx="3">
                  <c:v>7.06</c:v>
                </c:pt>
                <c:pt idx="4">
                  <c:v>3.46</c:v>
                </c:pt>
                <c:pt idx="5">
                  <c:v>10.93</c:v>
                </c:pt>
                <c:pt idx="6">
                  <c:v>12.41</c:v>
                </c:pt>
                <c:pt idx="7">
                  <c:v>10.3</c:v>
                </c:pt>
                <c:pt idx="8">
                  <c:v>7.56</c:v>
                </c:pt>
                <c:pt idx="9">
                  <c:v>8.2100000000000009</c:v>
                </c:pt>
                <c:pt idx="10">
                  <c:v>10.36</c:v>
                </c:pt>
                <c:pt idx="11">
                  <c:v>3.82</c:v>
                </c:pt>
                <c:pt idx="12">
                  <c:v>3.88</c:v>
                </c:pt>
                <c:pt idx="13">
                  <c:v>5.29</c:v>
                </c:pt>
                <c:pt idx="14">
                  <c:v>3.35</c:v>
                </c:pt>
                <c:pt idx="15">
                  <c:v>5.54</c:v>
                </c:pt>
                <c:pt idx="16">
                  <c:v>5.34</c:v>
                </c:pt>
                <c:pt idx="17">
                  <c:v>10.43</c:v>
                </c:pt>
                <c:pt idx="18">
                  <c:v>5.21</c:v>
                </c:pt>
                <c:pt idx="19">
                  <c:v>9.2799999999999994</c:v>
                </c:pt>
                <c:pt idx="20">
                  <c:v>1.89</c:v>
                </c:pt>
                <c:pt idx="21">
                  <c:v>13.33</c:v>
                </c:pt>
                <c:pt idx="22">
                  <c:v>13.04</c:v>
                </c:pt>
              </c:numCache>
            </c:numRef>
          </c:val>
        </c:ser>
        <c:dLbls>
          <c:showLegendKey val="0"/>
          <c:showVal val="0"/>
          <c:showCatName val="0"/>
          <c:showSerName val="0"/>
          <c:showPercent val="0"/>
          <c:showBubbleSize val="0"/>
        </c:dLbls>
        <c:gapWidth val="150"/>
        <c:axId val="153782912"/>
        <c:axId val="160534528"/>
      </c:barChart>
      <c:catAx>
        <c:axId val="153782912"/>
        <c:scaling>
          <c:orientation val="minMax"/>
        </c:scaling>
        <c:delete val="0"/>
        <c:axPos val="b"/>
        <c:title>
          <c:tx>
            <c:rich>
              <a:bodyPr/>
              <a:lstStyle/>
              <a:p>
                <a:pPr>
                  <a:defRPr/>
                </a:pPr>
                <a:r>
                  <a:rPr lang="en-MY"/>
                  <a:t>Stesen</a:t>
                </a:r>
              </a:p>
            </c:rich>
          </c:tx>
          <c:layout/>
          <c:overlay val="0"/>
        </c:title>
        <c:majorTickMark val="out"/>
        <c:minorTickMark val="none"/>
        <c:tickLblPos val="nextTo"/>
        <c:crossAx val="160534528"/>
        <c:crosses val="autoZero"/>
        <c:auto val="1"/>
        <c:lblAlgn val="ctr"/>
        <c:lblOffset val="100"/>
        <c:noMultiLvlLbl val="0"/>
      </c:catAx>
      <c:valAx>
        <c:axId val="160534528"/>
        <c:scaling>
          <c:orientation val="minMax"/>
        </c:scaling>
        <c:delete val="0"/>
        <c:axPos val="l"/>
        <c:majorGridlines>
          <c:spPr>
            <a:ln>
              <a:noFill/>
            </a:ln>
          </c:spPr>
        </c:majorGridlines>
        <c:title>
          <c:tx>
            <c:rich>
              <a:bodyPr rot="-5400000" vert="horz"/>
              <a:lstStyle/>
              <a:p>
                <a:pPr>
                  <a:defRPr/>
                </a:pPr>
                <a:r>
                  <a:rPr lang="en-US"/>
                  <a:t>Kepekatan Al (%)</a:t>
                </a:r>
              </a:p>
            </c:rich>
          </c:tx>
          <c:layout>
            <c:manualLayout>
              <c:xMode val="edge"/>
              <c:yMode val="edge"/>
              <c:x val="8.9515776253774725E-3"/>
              <c:y val="0.20808200140313851"/>
            </c:manualLayout>
          </c:layout>
          <c:overlay val="0"/>
        </c:title>
        <c:numFmt formatCode="0" sourceLinked="0"/>
        <c:majorTickMark val="out"/>
        <c:minorTickMark val="none"/>
        <c:tickLblPos val="nextTo"/>
        <c:crossAx val="15378291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0064714306397"/>
          <c:y val="0.10004564930752155"/>
          <c:w val="0.86561953132769553"/>
          <c:h val="0.59471447631623797"/>
        </c:manualLayout>
      </c:layout>
      <c:barChart>
        <c:barDir val="col"/>
        <c:grouping val="clustered"/>
        <c:varyColors val="0"/>
        <c:ser>
          <c:idx val="0"/>
          <c:order val="0"/>
          <c:tx>
            <c:strRef>
              <c:f>fe!$B$2</c:f>
              <c:strCache>
                <c:ptCount val="1"/>
                <c:pt idx="0">
                  <c:v>Pensampelan 1</c:v>
                </c:pt>
              </c:strCache>
            </c:strRef>
          </c:tx>
          <c:spPr>
            <a:pattFill prst="pct25">
              <a:fgClr>
                <a:schemeClr val="tx1"/>
              </a:fgClr>
              <a:bgClr>
                <a:schemeClr val="bg1"/>
              </a:bgClr>
            </a:pattFill>
          </c:spPr>
          <c:invertIfNegative val="0"/>
          <c:cat>
            <c:strRef>
              <c:f>fe!$A$3:$A$25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fe!$B$3:$B$25</c:f>
              <c:numCache>
                <c:formatCode>0.00</c:formatCode>
                <c:ptCount val="23"/>
                <c:pt idx="0">
                  <c:v>3.76</c:v>
                </c:pt>
                <c:pt idx="1">
                  <c:v>3.76</c:v>
                </c:pt>
                <c:pt idx="2">
                  <c:v>1.94</c:v>
                </c:pt>
                <c:pt idx="3">
                  <c:v>1.98</c:v>
                </c:pt>
                <c:pt idx="4">
                  <c:v>1.95</c:v>
                </c:pt>
                <c:pt idx="5">
                  <c:v>3.87</c:v>
                </c:pt>
                <c:pt idx="6">
                  <c:v>3.79</c:v>
                </c:pt>
                <c:pt idx="7">
                  <c:v>1.44</c:v>
                </c:pt>
                <c:pt idx="8">
                  <c:v>1.89</c:v>
                </c:pt>
                <c:pt idx="9">
                  <c:v>3.7</c:v>
                </c:pt>
                <c:pt idx="10">
                  <c:v>1.86</c:v>
                </c:pt>
                <c:pt idx="11">
                  <c:v>1.9</c:v>
                </c:pt>
                <c:pt idx="12">
                  <c:v>1.9</c:v>
                </c:pt>
                <c:pt idx="13">
                  <c:v>1.98</c:v>
                </c:pt>
                <c:pt idx="14">
                  <c:v>1.84</c:v>
                </c:pt>
                <c:pt idx="15">
                  <c:v>3.8</c:v>
                </c:pt>
                <c:pt idx="16">
                  <c:v>1.55</c:v>
                </c:pt>
                <c:pt idx="17">
                  <c:v>3.9</c:v>
                </c:pt>
                <c:pt idx="18">
                  <c:v>1.93</c:v>
                </c:pt>
                <c:pt idx="19">
                  <c:v>1.28</c:v>
                </c:pt>
                <c:pt idx="20">
                  <c:v>1.26</c:v>
                </c:pt>
                <c:pt idx="21">
                  <c:v>1.99</c:v>
                </c:pt>
                <c:pt idx="22">
                  <c:v>0.97</c:v>
                </c:pt>
              </c:numCache>
            </c:numRef>
          </c:val>
        </c:ser>
        <c:ser>
          <c:idx val="1"/>
          <c:order val="1"/>
          <c:tx>
            <c:strRef>
              <c:f>fe!$C$2</c:f>
              <c:strCache>
                <c:ptCount val="1"/>
                <c:pt idx="0">
                  <c:v>Pensampelan 2</c:v>
                </c:pt>
              </c:strCache>
            </c:strRef>
          </c:tx>
          <c:spPr>
            <a:pattFill prst="wdUpDiag">
              <a:fgClr>
                <a:schemeClr val="tx1"/>
              </a:fgClr>
              <a:bgClr>
                <a:schemeClr val="bg1"/>
              </a:bgClr>
            </a:pattFill>
          </c:spPr>
          <c:invertIfNegative val="0"/>
          <c:cat>
            <c:strRef>
              <c:f>fe!$A$3:$A$25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fe!$C$3:$C$25</c:f>
              <c:numCache>
                <c:formatCode>0.00</c:formatCode>
                <c:ptCount val="23"/>
                <c:pt idx="0">
                  <c:v>2.34</c:v>
                </c:pt>
                <c:pt idx="1">
                  <c:v>2.2200000000000002</c:v>
                </c:pt>
                <c:pt idx="2">
                  <c:v>2.11</c:v>
                </c:pt>
                <c:pt idx="3">
                  <c:v>1.93</c:v>
                </c:pt>
                <c:pt idx="4">
                  <c:v>2.21</c:v>
                </c:pt>
                <c:pt idx="5">
                  <c:v>2.1800000000000002</c:v>
                </c:pt>
                <c:pt idx="6">
                  <c:v>1.1100000000000001</c:v>
                </c:pt>
                <c:pt idx="7">
                  <c:v>1.28</c:v>
                </c:pt>
                <c:pt idx="8">
                  <c:v>1.69</c:v>
                </c:pt>
                <c:pt idx="9">
                  <c:v>1.2</c:v>
                </c:pt>
                <c:pt idx="10">
                  <c:v>1.58</c:v>
                </c:pt>
                <c:pt idx="11">
                  <c:v>2.35</c:v>
                </c:pt>
                <c:pt idx="12">
                  <c:v>2.4500000000000002</c:v>
                </c:pt>
                <c:pt idx="13">
                  <c:v>2.5099999999999998</c:v>
                </c:pt>
                <c:pt idx="14">
                  <c:v>2.38</c:v>
                </c:pt>
                <c:pt idx="15">
                  <c:v>2.4700000000000002</c:v>
                </c:pt>
                <c:pt idx="16">
                  <c:v>1.03</c:v>
                </c:pt>
                <c:pt idx="17">
                  <c:v>0.51</c:v>
                </c:pt>
                <c:pt idx="18">
                  <c:v>2.15</c:v>
                </c:pt>
                <c:pt idx="19">
                  <c:v>0.73</c:v>
                </c:pt>
                <c:pt idx="20">
                  <c:v>0.44</c:v>
                </c:pt>
                <c:pt idx="21">
                  <c:v>1.2</c:v>
                </c:pt>
                <c:pt idx="22">
                  <c:v>1.68</c:v>
                </c:pt>
              </c:numCache>
            </c:numRef>
          </c:val>
        </c:ser>
        <c:dLbls>
          <c:showLegendKey val="0"/>
          <c:showVal val="0"/>
          <c:showCatName val="0"/>
          <c:showSerName val="0"/>
          <c:showPercent val="0"/>
          <c:showBubbleSize val="0"/>
        </c:dLbls>
        <c:gapWidth val="150"/>
        <c:axId val="192493440"/>
        <c:axId val="192510592"/>
      </c:barChart>
      <c:catAx>
        <c:axId val="192493440"/>
        <c:scaling>
          <c:orientation val="minMax"/>
        </c:scaling>
        <c:delete val="0"/>
        <c:axPos val="b"/>
        <c:title>
          <c:tx>
            <c:rich>
              <a:bodyPr/>
              <a:lstStyle/>
              <a:p>
                <a:pPr>
                  <a:defRPr/>
                </a:pPr>
                <a:r>
                  <a:rPr lang="en-US"/>
                  <a:t>Stesen</a:t>
                </a:r>
              </a:p>
            </c:rich>
          </c:tx>
          <c:layout/>
          <c:overlay val="0"/>
        </c:title>
        <c:majorTickMark val="out"/>
        <c:minorTickMark val="none"/>
        <c:tickLblPos val="nextTo"/>
        <c:crossAx val="192510592"/>
        <c:crosses val="autoZero"/>
        <c:auto val="1"/>
        <c:lblAlgn val="ctr"/>
        <c:lblOffset val="100"/>
        <c:noMultiLvlLbl val="0"/>
      </c:catAx>
      <c:valAx>
        <c:axId val="192510592"/>
        <c:scaling>
          <c:orientation val="minMax"/>
        </c:scaling>
        <c:delete val="0"/>
        <c:axPos val="l"/>
        <c:majorGridlines>
          <c:spPr>
            <a:ln>
              <a:noFill/>
            </a:ln>
          </c:spPr>
        </c:majorGridlines>
        <c:title>
          <c:tx>
            <c:rich>
              <a:bodyPr rot="-5400000" vert="horz"/>
              <a:lstStyle/>
              <a:p>
                <a:pPr>
                  <a:defRPr/>
                </a:pPr>
                <a:r>
                  <a:rPr lang="en-MY"/>
                  <a:t>Kepekatan Fe (%)</a:t>
                </a:r>
              </a:p>
            </c:rich>
          </c:tx>
          <c:layout/>
          <c:overlay val="0"/>
        </c:title>
        <c:numFmt formatCode="0.0" sourceLinked="0"/>
        <c:majorTickMark val="out"/>
        <c:minorTickMark val="none"/>
        <c:tickLblPos val="nextTo"/>
        <c:spPr>
          <a:noFill/>
        </c:spPr>
        <c:crossAx val="192493440"/>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cr!$B$2</c:f>
              <c:strCache>
                <c:ptCount val="1"/>
                <c:pt idx="0">
                  <c:v>Pensampelan 1</c:v>
                </c:pt>
              </c:strCache>
            </c:strRef>
          </c:tx>
          <c:spPr>
            <a:pattFill prst="pct25">
              <a:fgClr>
                <a:schemeClr val="tx1"/>
              </a:fgClr>
              <a:bgClr>
                <a:schemeClr val="bg1"/>
              </a:bgClr>
            </a:pattFill>
          </c:spPr>
          <c:invertIfNegative val="0"/>
          <c:cat>
            <c:strRef>
              <c:f>cr!$A$3:$A$25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cr!$B$3:$B$25</c:f>
              <c:numCache>
                <c:formatCode>0.00</c:formatCode>
                <c:ptCount val="23"/>
                <c:pt idx="0">
                  <c:v>52.55</c:v>
                </c:pt>
                <c:pt idx="1">
                  <c:v>72.180000000000007</c:v>
                </c:pt>
                <c:pt idx="2">
                  <c:v>45.99</c:v>
                </c:pt>
                <c:pt idx="3">
                  <c:v>67.069999999999993</c:v>
                </c:pt>
                <c:pt idx="4">
                  <c:v>34.79</c:v>
                </c:pt>
                <c:pt idx="5">
                  <c:v>66.569999999999993</c:v>
                </c:pt>
                <c:pt idx="6">
                  <c:v>63.96</c:v>
                </c:pt>
                <c:pt idx="7">
                  <c:v>13.67</c:v>
                </c:pt>
                <c:pt idx="8">
                  <c:v>40.659999999999997</c:v>
                </c:pt>
                <c:pt idx="9">
                  <c:v>64.040000000000006</c:v>
                </c:pt>
                <c:pt idx="10">
                  <c:v>23.76</c:v>
                </c:pt>
                <c:pt idx="11">
                  <c:v>34.92</c:v>
                </c:pt>
                <c:pt idx="12">
                  <c:v>44.77</c:v>
                </c:pt>
                <c:pt idx="13">
                  <c:v>58.86</c:v>
                </c:pt>
                <c:pt idx="14">
                  <c:v>29.56</c:v>
                </c:pt>
                <c:pt idx="15">
                  <c:v>69.55</c:v>
                </c:pt>
                <c:pt idx="16">
                  <c:v>9.9</c:v>
                </c:pt>
                <c:pt idx="17">
                  <c:v>75.680000000000007</c:v>
                </c:pt>
                <c:pt idx="18">
                  <c:v>46.95</c:v>
                </c:pt>
                <c:pt idx="19">
                  <c:v>6</c:v>
                </c:pt>
                <c:pt idx="20">
                  <c:v>7.03</c:v>
                </c:pt>
                <c:pt idx="21">
                  <c:v>78.17</c:v>
                </c:pt>
                <c:pt idx="22">
                  <c:v>12.01</c:v>
                </c:pt>
              </c:numCache>
            </c:numRef>
          </c:val>
        </c:ser>
        <c:ser>
          <c:idx val="1"/>
          <c:order val="1"/>
          <c:tx>
            <c:strRef>
              <c:f>cr!$C$2</c:f>
              <c:strCache>
                <c:ptCount val="1"/>
                <c:pt idx="0">
                  <c:v>Pensampelan 2</c:v>
                </c:pt>
              </c:strCache>
            </c:strRef>
          </c:tx>
          <c:spPr>
            <a:pattFill prst="wdUpDiag">
              <a:fgClr>
                <a:schemeClr val="tx1"/>
              </a:fgClr>
              <a:bgClr>
                <a:schemeClr val="bg1"/>
              </a:bgClr>
            </a:pattFill>
          </c:spPr>
          <c:invertIfNegative val="0"/>
          <c:cat>
            <c:strRef>
              <c:f>cr!$A$3:$A$25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cr!$C$3:$C$25</c:f>
              <c:numCache>
                <c:formatCode>0.00</c:formatCode>
                <c:ptCount val="23"/>
                <c:pt idx="0">
                  <c:v>27.92</c:v>
                </c:pt>
                <c:pt idx="1">
                  <c:v>27.31</c:v>
                </c:pt>
                <c:pt idx="2">
                  <c:v>26.33</c:v>
                </c:pt>
                <c:pt idx="3">
                  <c:v>20.260000000000002</c:v>
                </c:pt>
                <c:pt idx="4">
                  <c:v>28.16</c:v>
                </c:pt>
                <c:pt idx="5">
                  <c:v>76.72</c:v>
                </c:pt>
                <c:pt idx="6">
                  <c:v>18.829999999999998</c:v>
                </c:pt>
                <c:pt idx="7">
                  <c:v>27.36</c:v>
                </c:pt>
                <c:pt idx="8">
                  <c:v>21.18</c:v>
                </c:pt>
                <c:pt idx="9">
                  <c:v>16.57</c:v>
                </c:pt>
                <c:pt idx="10">
                  <c:v>24.72</c:v>
                </c:pt>
                <c:pt idx="11">
                  <c:v>29.6</c:v>
                </c:pt>
                <c:pt idx="12">
                  <c:v>31.95</c:v>
                </c:pt>
                <c:pt idx="13">
                  <c:v>30.23</c:v>
                </c:pt>
                <c:pt idx="14">
                  <c:v>29.19</c:v>
                </c:pt>
                <c:pt idx="15">
                  <c:v>29.25</c:v>
                </c:pt>
                <c:pt idx="16">
                  <c:v>27.37</c:v>
                </c:pt>
                <c:pt idx="17">
                  <c:v>0.88</c:v>
                </c:pt>
                <c:pt idx="18">
                  <c:v>26.89</c:v>
                </c:pt>
                <c:pt idx="19">
                  <c:v>3.51</c:v>
                </c:pt>
                <c:pt idx="20">
                  <c:v>10.039999999999999</c:v>
                </c:pt>
                <c:pt idx="21">
                  <c:v>18.77</c:v>
                </c:pt>
                <c:pt idx="22">
                  <c:v>23.27</c:v>
                </c:pt>
              </c:numCache>
            </c:numRef>
          </c:val>
        </c:ser>
        <c:dLbls>
          <c:showLegendKey val="0"/>
          <c:showVal val="0"/>
          <c:showCatName val="0"/>
          <c:showSerName val="0"/>
          <c:showPercent val="0"/>
          <c:showBubbleSize val="0"/>
        </c:dLbls>
        <c:gapWidth val="150"/>
        <c:axId val="195858432"/>
        <c:axId val="195860736"/>
      </c:barChart>
      <c:catAx>
        <c:axId val="195858432"/>
        <c:scaling>
          <c:orientation val="minMax"/>
        </c:scaling>
        <c:delete val="0"/>
        <c:axPos val="b"/>
        <c:title>
          <c:tx>
            <c:rich>
              <a:bodyPr/>
              <a:lstStyle/>
              <a:p>
                <a:pPr>
                  <a:defRPr/>
                </a:pPr>
                <a:r>
                  <a:rPr lang="en-MY"/>
                  <a:t>Stesen</a:t>
                </a:r>
              </a:p>
            </c:rich>
          </c:tx>
          <c:layout/>
          <c:overlay val="0"/>
        </c:title>
        <c:majorTickMark val="out"/>
        <c:minorTickMark val="none"/>
        <c:tickLblPos val="nextTo"/>
        <c:crossAx val="195860736"/>
        <c:crosses val="autoZero"/>
        <c:auto val="1"/>
        <c:lblAlgn val="ctr"/>
        <c:lblOffset val="100"/>
        <c:noMultiLvlLbl val="0"/>
      </c:catAx>
      <c:valAx>
        <c:axId val="195860736"/>
        <c:scaling>
          <c:orientation val="minMax"/>
        </c:scaling>
        <c:delete val="0"/>
        <c:axPos val="l"/>
        <c:majorGridlines>
          <c:spPr>
            <a:ln>
              <a:noFill/>
            </a:ln>
          </c:spPr>
        </c:majorGridlines>
        <c:title>
          <c:tx>
            <c:rich>
              <a:bodyPr rot="-5400000" vert="horz"/>
              <a:lstStyle/>
              <a:p>
                <a:pPr>
                  <a:defRPr/>
                </a:pPr>
                <a:r>
                  <a:rPr lang="en-MY"/>
                  <a:t>Kepekatan Cr (ug.g</a:t>
                </a:r>
                <a:r>
                  <a:rPr lang="en-MY" baseline="30000"/>
                  <a:t>-1</a:t>
                </a:r>
                <a:r>
                  <a:rPr lang="en-MY"/>
                  <a:t>)</a:t>
                </a:r>
              </a:p>
            </c:rich>
          </c:tx>
          <c:layout/>
          <c:overlay val="0"/>
        </c:title>
        <c:numFmt formatCode="0" sourceLinked="0"/>
        <c:majorTickMark val="out"/>
        <c:minorTickMark val="none"/>
        <c:tickLblPos val="nextTo"/>
        <c:crossAx val="19585843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cu!$B$2</c:f>
              <c:strCache>
                <c:ptCount val="1"/>
                <c:pt idx="0">
                  <c:v>Pensampelan 1</c:v>
                </c:pt>
              </c:strCache>
            </c:strRef>
          </c:tx>
          <c:spPr>
            <a:pattFill prst="pct25">
              <a:fgClr>
                <a:schemeClr val="tx1"/>
              </a:fgClr>
              <a:bgClr>
                <a:schemeClr val="bg1"/>
              </a:bgClr>
            </a:pattFill>
          </c:spPr>
          <c:invertIfNegative val="0"/>
          <c:cat>
            <c:strRef>
              <c:f>cu!$A$3:$A$25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cu!$B$3:$B$25</c:f>
              <c:numCache>
                <c:formatCode>0.00</c:formatCode>
                <c:ptCount val="23"/>
                <c:pt idx="0">
                  <c:v>18.34</c:v>
                </c:pt>
                <c:pt idx="1">
                  <c:v>19.5</c:v>
                </c:pt>
                <c:pt idx="2">
                  <c:v>11.65</c:v>
                </c:pt>
                <c:pt idx="3">
                  <c:v>16.82</c:v>
                </c:pt>
                <c:pt idx="4">
                  <c:v>9.85</c:v>
                </c:pt>
                <c:pt idx="5">
                  <c:v>20.27</c:v>
                </c:pt>
                <c:pt idx="6">
                  <c:v>17.87</c:v>
                </c:pt>
                <c:pt idx="7">
                  <c:v>3.59</c:v>
                </c:pt>
                <c:pt idx="8">
                  <c:v>11.27</c:v>
                </c:pt>
                <c:pt idx="9">
                  <c:v>16.940000000000001</c:v>
                </c:pt>
                <c:pt idx="10">
                  <c:v>10.91</c:v>
                </c:pt>
                <c:pt idx="11">
                  <c:v>7.78</c:v>
                </c:pt>
                <c:pt idx="12">
                  <c:v>10.51</c:v>
                </c:pt>
                <c:pt idx="13">
                  <c:v>13.8</c:v>
                </c:pt>
                <c:pt idx="14">
                  <c:v>6.55</c:v>
                </c:pt>
                <c:pt idx="15">
                  <c:v>16.45</c:v>
                </c:pt>
                <c:pt idx="16">
                  <c:v>4.4400000000000004</c:v>
                </c:pt>
                <c:pt idx="17">
                  <c:v>19.73</c:v>
                </c:pt>
                <c:pt idx="18">
                  <c:v>12.64</c:v>
                </c:pt>
                <c:pt idx="19">
                  <c:v>3.14</c:v>
                </c:pt>
                <c:pt idx="20">
                  <c:v>2.88</c:v>
                </c:pt>
                <c:pt idx="21">
                  <c:v>19.89</c:v>
                </c:pt>
                <c:pt idx="22">
                  <c:v>4.09</c:v>
                </c:pt>
              </c:numCache>
            </c:numRef>
          </c:val>
        </c:ser>
        <c:ser>
          <c:idx val="1"/>
          <c:order val="1"/>
          <c:tx>
            <c:strRef>
              <c:f>cu!$C$2</c:f>
              <c:strCache>
                <c:ptCount val="1"/>
                <c:pt idx="0">
                  <c:v>Pensampelan 2</c:v>
                </c:pt>
              </c:strCache>
            </c:strRef>
          </c:tx>
          <c:spPr>
            <a:pattFill prst="wdUpDiag">
              <a:fgClr>
                <a:schemeClr val="tx1"/>
              </a:fgClr>
              <a:bgClr>
                <a:schemeClr val="bg1"/>
              </a:bgClr>
            </a:pattFill>
          </c:spPr>
          <c:invertIfNegative val="0"/>
          <c:cat>
            <c:strRef>
              <c:f>cu!$A$3:$A$25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cu!$C$3:$C$25</c:f>
              <c:numCache>
                <c:formatCode>0.00</c:formatCode>
                <c:ptCount val="23"/>
                <c:pt idx="0">
                  <c:v>12.85</c:v>
                </c:pt>
                <c:pt idx="1">
                  <c:v>10.44</c:v>
                </c:pt>
                <c:pt idx="2">
                  <c:v>9.74</c:v>
                </c:pt>
                <c:pt idx="3">
                  <c:v>10.63</c:v>
                </c:pt>
                <c:pt idx="4">
                  <c:v>11.13</c:v>
                </c:pt>
                <c:pt idx="5">
                  <c:v>33.25</c:v>
                </c:pt>
                <c:pt idx="6">
                  <c:v>2.1800000000000002</c:v>
                </c:pt>
                <c:pt idx="7">
                  <c:v>2.73</c:v>
                </c:pt>
                <c:pt idx="8">
                  <c:v>8.67</c:v>
                </c:pt>
                <c:pt idx="9">
                  <c:v>5.64</c:v>
                </c:pt>
                <c:pt idx="10">
                  <c:v>10.31</c:v>
                </c:pt>
                <c:pt idx="11">
                  <c:v>12.46</c:v>
                </c:pt>
                <c:pt idx="12">
                  <c:v>12.26</c:v>
                </c:pt>
                <c:pt idx="13">
                  <c:v>12.39</c:v>
                </c:pt>
                <c:pt idx="14">
                  <c:v>11.45</c:v>
                </c:pt>
                <c:pt idx="15">
                  <c:v>12.28</c:v>
                </c:pt>
                <c:pt idx="16">
                  <c:v>12.17</c:v>
                </c:pt>
                <c:pt idx="17">
                  <c:v>2.95</c:v>
                </c:pt>
                <c:pt idx="18">
                  <c:v>12.16</c:v>
                </c:pt>
                <c:pt idx="19">
                  <c:v>3.51</c:v>
                </c:pt>
                <c:pt idx="20">
                  <c:v>4.3</c:v>
                </c:pt>
                <c:pt idx="21">
                  <c:v>4.04</c:v>
                </c:pt>
                <c:pt idx="22">
                  <c:v>8.39</c:v>
                </c:pt>
              </c:numCache>
            </c:numRef>
          </c:val>
        </c:ser>
        <c:dLbls>
          <c:showLegendKey val="0"/>
          <c:showVal val="0"/>
          <c:showCatName val="0"/>
          <c:showSerName val="0"/>
          <c:showPercent val="0"/>
          <c:showBubbleSize val="0"/>
        </c:dLbls>
        <c:gapWidth val="150"/>
        <c:axId val="124883328"/>
        <c:axId val="124885248"/>
      </c:barChart>
      <c:catAx>
        <c:axId val="124883328"/>
        <c:scaling>
          <c:orientation val="minMax"/>
        </c:scaling>
        <c:delete val="0"/>
        <c:axPos val="b"/>
        <c:title>
          <c:tx>
            <c:rich>
              <a:bodyPr/>
              <a:lstStyle/>
              <a:p>
                <a:pPr>
                  <a:defRPr/>
                </a:pPr>
                <a:r>
                  <a:rPr lang="en-MY"/>
                  <a:t>Stesen</a:t>
                </a:r>
              </a:p>
            </c:rich>
          </c:tx>
          <c:layout/>
          <c:overlay val="0"/>
        </c:title>
        <c:majorTickMark val="out"/>
        <c:minorTickMark val="none"/>
        <c:tickLblPos val="nextTo"/>
        <c:crossAx val="124885248"/>
        <c:crosses val="autoZero"/>
        <c:auto val="1"/>
        <c:lblAlgn val="ctr"/>
        <c:lblOffset val="100"/>
        <c:noMultiLvlLbl val="0"/>
      </c:catAx>
      <c:valAx>
        <c:axId val="124885248"/>
        <c:scaling>
          <c:orientation val="minMax"/>
        </c:scaling>
        <c:delete val="0"/>
        <c:axPos val="l"/>
        <c:majorGridlines>
          <c:spPr>
            <a:ln>
              <a:noFill/>
            </a:ln>
          </c:spPr>
        </c:majorGridlines>
        <c:title>
          <c:tx>
            <c:rich>
              <a:bodyPr rot="-5400000" vert="horz"/>
              <a:lstStyle/>
              <a:p>
                <a:pPr>
                  <a:defRPr/>
                </a:pPr>
                <a:r>
                  <a:rPr lang="en-MY"/>
                  <a:t>Kepekatan</a:t>
                </a:r>
                <a:r>
                  <a:rPr lang="en-MY" baseline="0"/>
                  <a:t> Cu ug.g</a:t>
                </a:r>
                <a:r>
                  <a:rPr lang="en-MY" baseline="30000"/>
                  <a:t>-1</a:t>
                </a:r>
              </a:p>
            </c:rich>
          </c:tx>
          <c:layout/>
          <c:overlay val="0"/>
        </c:title>
        <c:numFmt formatCode="0" sourceLinked="0"/>
        <c:majorTickMark val="out"/>
        <c:minorTickMark val="none"/>
        <c:tickLblPos val="nextTo"/>
        <c:crossAx val="124883328"/>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mn!$B$2</c:f>
              <c:strCache>
                <c:ptCount val="1"/>
                <c:pt idx="0">
                  <c:v>Pensampelan 1</c:v>
                </c:pt>
              </c:strCache>
            </c:strRef>
          </c:tx>
          <c:spPr>
            <a:pattFill prst="pct25">
              <a:fgClr>
                <a:schemeClr val="tx1"/>
              </a:fgClr>
              <a:bgClr>
                <a:schemeClr val="bg1"/>
              </a:bgClr>
            </a:pattFill>
          </c:spPr>
          <c:invertIfNegative val="0"/>
          <c:cat>
            <c:strRef>
              <c:f>mn!$A$3:$A$25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mn!$B$3:$B$25</c:f>
              <c:numCache>
                <c:formatCode>0.00</c:formatCode>
                <c:ptCount val="23"/>
                <c:pt idx="0">
                  <c:v>117.13</c:v>
                </c:pt>
                <c:pt idx="1">
                  <c:v>137.06</c:v>
                </c:pt>
                <c:pt idx="2">
                  <c:v>94.6</c:v>
                </c:pt>
                <c:pt idx="3">
                  <c:v>93.15</c:v>
                </c:pt>
                <c:pt idx="4">
                  <c:v>111.2</c:v>
                </c:pt>
                <c:pt idx="5">
                  <c:v>159.6</c:v>
                </c:pt>
                <c:pt idx="6">
                  <c:v>123.68</c:v>
                </c:pt>
                <c:pt idx="7">
                  <c:v>76.72</c:v>
                </c:pt>
                <c:pt idx="8">
                  <c:v>130.30000000000001</c:v>
                </c:pt>
                <c:pt idx="9">
                  <c:v>149.74</c:v>
                </c:pt>
                <c:pt idx="10">
                  <c:v>107.81</c:v>
                </c:pt>
                <c:pt idx="11">
                  <c:v>198.23</c:v>
                </c:pt>
                <c:pt idx="12">
                  <c:v>195.12</c:v>
                </c:pt>
                <c:pt idx="13">
                  <c:v>164.7</c:v>
                </c:pt>
                <c:pt idx="14">
                  <c:v>233.72</c:v>
                </c:pt>
                <c:pt idx="15">
                  <c:v>444.76</c:v>
                </c:pt>
                <c:pt idx="16">
                  <c:v>35.71</c:v>
                </c:pt>
                <c:pt idx="17">
                  <c:v>99.41</c:v>
                </c:pt>
                <c:pt idx="18">
                  <c:v>116.4</c:v>
                </c:pt>
                <c:pt idx="19">
                  <c:v>91.59</c:v>
                </c:pt>
                <c:pt idx="20">
                  <c:v>7.24</c:v>
                </c:pt>
                <c:pt idx="21">
                  <c:v>135.07</c:v>
                </c:pt>
                <c:pt idx="22">
                  <c:v>31.47</c:v>
                </c:pt>
              </c:numCache>
            </c:numRef>
          </c:val>
        </c:ser>
        <c:ser>
          <c:idx val="1"/>
          <c:order val="1"/>
          <c:tx>
            <c:strRef>
              <c:f>mn!$C$2</c:f>
              <c:strCache>
                <c:ptCount val="1"/>
                <c:pt idx="0">
                  <c:v>Pensampelan 2</c:v>
                </c:pt>
              </c:strCache>
            </c:strRef>
          </c:tx>
          <c:spPr>
            <a:pattFill prst="wdUpDiag">
              <a:fgClr>
                <a:schemeClr val="tx1"/>
              </a:fgClr>
              <a:bgClr>
                <a:schemeClr val="bg1"/>
              </a:bgClr>
            </a:pattFill>
          </c:spPr>
          <c:invertIfNegative val="0"/>
          <c:cat>
            <c:strRef>
              <c:f>mn!$A$3:$A$25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mn!$C$3:$C$25</c:f>
              <c:numCache>
                <c:formatCode>0.00</c:formatCode>
                <c:ptCount val="23"/>
                <c:pt idx="0">
                  <c:v>80.56</c:v>
                </c:pt>
                <c:pt idx="1">
                  <c:v>83.62</c:v>
                </c:pt>
                <c:pt idx="2">
                  <c:v>85.77</c:v>
                </c:pt>
                <c:pt idx="3">
                  <c:v>54.8</c:v>
                </c:pt>
                <c:pt idx="4">
                  <c:v>98.35</c:v>
                </c:pt>
                <c:pt idx="5">
                  <c:v>106.3</c:v>
                </c:pt>
                <c:pt idx="6">
                  <c:v>233</c:v>
                </c:pt>
                <c:pt idx="7">
                  <c:v>364.92</c:v>
                </c:pt>
                <c:pt idx="8">
                  <c:v>140.63</c:v>
                </c:pt>
                <c:pt idx="9">
                  <c:v>165.19</c:v>
                </c:pt>
                <c:pt idx="10">
                  <c:v>170.73</c:v>
                </c:pt>
                <c:pt idx="11">
                  <c:v>79.319999999999993</c:v>
                </c:pt>
                <c:pt idx="12">
                  <c:v>97.22</c:v>
                </c:pt>
                <c:pt idx="13">
                  <c:v>110.58</c:v>
                </c:pt>
                <c:pt idx="14">
                  <c:v>54.46</c:v>
                </c:pt>
                <c:pt idx="15">
                  <c:v>79.959999999999994</c:v>
                </c:pt>
                <c:pt idx="16">
                  <c:v>44.47</c:v>
                </c:pt>
                <c:pt idx="17">
                  <c:v>39.54</c:v>
                </c:pt>
                <c:pt idx="18">
                  <c:v>159.77000000000001</c:v>
                </c:pt>
                <c:pt idx="19">
                  <c:v>27.32</c:v>
                </c:pt>
                <c:pt idx="20">
                  <c:v>17.920000000000002</c:v>
                </c:pt>
                <c:pt idx="21">
                  <c:v>225.69</c:v>
                </c:pt>
                <c:pt idx="22">
                  <c:v>146.19</c:v>
                </c:pt>
              </c:numCache>
            </c:numRef>
          </c:val>
        </c:ser>
        <c:dLbls>
          <c:showLegendKey val="0"/>
          <c:showVal val="0"/>
          <c:showCatName val="0"/>
          <c:showSerName val="0"/>
          <c:showPercent val="0"/>
          <c:showBubbleSize val="0"/>
        </c:dLbls>
        <c:gapWidth val="150"/>
        <c:axId val="124898688"/>
        <c:axId val="124904960"/>
      </c:barChart>
      <c:catAx>
        <c:axId val="124898688"/>
        <c:scaling>
          <c:orientation val="minMax"/>
        </c:scaling>
        <c:delete val="0"/>
        <c:axPos val="b"/>
        <c:title>
          <c:tx>
            <c:rich>
              <a:bodyPr/>
              <a:lstStyle/>
              <a:p>
                <a:pPr>
                  <a:defRPr/>
                </a:pPr>
                <a:r>
                  <a:rPr lang="en-MY"/>
                  <a:t>Stesen</a:t>
                </a:r>
              </a:p>
            </c:rich>
          </c:tx>
          <c:layout/>
          <c:overlay val="0"/>
        </c:title>
        <c:majorTickMark val="out"/>
        <c:minorTickMark val="none"/>
        <c:tickLblPos val="nextTo"/>
        <c:crossAx val="124904960"/>
        <c:crosses val="autoZero"/>
        <c:auto val="1"/>
        <c:lblAlgn val="ctr"/>
        <c:lblOffset val="100"/>
        <c:noMultiLvlLbl val="0"/>
      </c:catAx>
      <c:valAx>
        <c:axId val="124904960"/>
        <c:scaling>
          <c:orientation val="minMax"/>
        </c:scaling>
        <c:delete val="0"/>
        <c:axPos val="l"/>
        <c:majorGridlines>
          <c:spPr>
            <a:ln>
              <a:noFill/>
            </a:ln>
          </c:spPr>
        </c:majorGridlines>
        <c:title>
          <c:tx>
            <c:rich>
              <a:bodyPr rot="-5400000" vert="horz"/>
              <a:lstStyle/>
              <a:p>
                <a:pPr>
                  <a:defRPr/>
                </a:pPr>
                <a:r>
                  <a:rPr lang="en-MY"/>
                  <a:t>Kepekatan</a:t>
                </a:r>
                <a:r>
                  <a:rPr lang="en-MY" baseline="0"/>
                  <a:t> Mn (ug.g</a:t>
                </a:r>
                <a:r>
                  <a:rPr lang="en-MY" baseline="30000"/>
                  <a:t>-1</a:t>
                </a:r>
                <a:r>
                  <a:rPr lang="en-MY" baseline="0"/>
                  <a:t>)</a:t>
                </a:r>
              </a:p>
            </c:rich>
          </c:tx>
          <c:layout/>
          <c:overlay val="0"/>
        </c:title>
        <c:numFmt formatCode="0" sourceLinked="0"/>
        <c:majorTickMark val="out"/>
        <c:minorTickMark val="none"/>
        <c:tickLblPos val="nextTo"/>
        <c:crossAx val="124898688"/>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ni!$B$2</c:f>
              <c:strCache>
                <c:ptCount val="1"/>
                <c:pt idx="0">
                  <c:v>Pensampelan 1</c:v>
                </c:pt>
              </c:strCache>
            </c:strRef>
          </c:tx>
          <c:spPr>
            <a:pattFill prst="pct25">
              <a:fgClr>
                <a:schemeClr val="tx1"/>
              </a:fgClr>
              <a:bgClr>
                <a:schemeClr val="bg1"/>
              </a:bgClr>
            </a:pattFill>
          </c:spPr>
          <c:invertIfNegative val="0"/>
          <c:cat>
            <c:strRef>
              <c:f>ni!$A$3:$A$25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ni!$B$3:$B$25</c:f>
              <c:numCache>
                <c:formatCode>0.00</c:formatCode>
                <c:ptCount val="23"/>
                <c:pt idx="0">
                  <c:v>28.58</c:v>
                </c:pt>
                <c:pt idx="1">
                  <c:v>27.38</c:v>
                </c:pt>
                <c:pt idx="2">
                  <c:v>15.23</c:v>
                </c:pt>
                <c:pt idx="3">
                  <c:v>28.36</c:v>
                </c:pt>
                <c:pt idx="4">
                  <c:v>34.08</c:v>
                </c:pt>
                <c:pt idx="5">
                  <c:v>35.19</c:v>
                </c:pt>
                <c:pt idx="6">
                  <c:v>24.84</c:v>
                </c:pt>
                <c:pt idx="7">
                  <c:v>43.22</c:v>
                </c:pt>
                <c:pt idx="8">
                  <c:v>19.36</c:v>
                </c:pt>
                <c:pt idx="9">
                  <c:v>18.899999999999999</c:v>
                </c:pt>
                <c:pt idx="10">
                  <c:v>20.9</c:v>
                </c:pt>
                <c:pt idx="11">
                  <c:v>11.65</c:v>
                </c:pt>
                <c:pt idx="12">
                  <c:v>21.97</c:v>
                </c:pt>
                <c:pt idx="13">
                  <c:v>70.42</c:v>
                </c:pt>
                <c:pt idx="14">
                  <c:v>50.69</c:v>
                </c:pt>
                <c:pt idx="15">
                  <c:v>28</c:v>
                </c:pt>
                <c:pt idx="16">
                  <c:v>13.12</c:v>
                </c:pt>
                <c:pt idx="17">
                  <c:v>24</c:v>
                </c:pt>
                <c:pt idx="18">
                  <c:v>15.95</c:v>
                </c:pt>
                <c:pt idx="19">
                  <c:v>29.18</c:v>
                </c:pt>
                <c:pt idx="20">
                  <c:v>23.62</c:v>
                </c:pt>
                <c:pt idx="21">
                  <c:v>10.98</c:v>
                </c:pt>
                <c:pt idx="22">
                  <c:v>27.12</c:v>
                </c:pt>
              </c:numCache>
            </c:numRef>
          </c:val>
        </c:ser>
        <c:ser>
          <c:idx val="1"/>
          <c:order val="1"/>
          <c:tx>
            <c:strRef>
              <c:f>ni!$C$2</c:f>
              <c:strCache>
                <c:ptCount val="1"/>
                <c:pt idx="0">
                  <c:v>Pensampelan 2</c:v>
                </c:pt>
              </c:strCache>
            </c:strRef>
          </c:tx>
          <c:spPr>
            <a:pattFill prst="wdUpDiag">
              <a:fgClr>
                <a:schemeClr val="tx1"/>
              </a:fgClr>
              <a:bgClr>
                <a:schemeClr val="bg1"/>
              </a:bgClr>
            </a:pattFill>
          </c:spPr>
          <c:invertIfNegative val="0"/>
          <c:cat>
            <c:strRef>
              <c:f>ni!$A$3:$A$25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ni!$C$3:$C$25</c:f>
              <c:numCache>
                <c:formatCode>0.00</c:formatCode>
                <c:ptCount val="23"/>
                <c:pt idx="0">
                  <c:v>10.92</c:v>
                </c:pt>
                <c:pt idx="1">
                  <c:v>10.75</c:v>
                </c:pt>
                <c:pt idx="2">
                  <c:v>9.3699999999999992</c:v>
                </c:pt>
                <c:pt idx="3">
                  <c:v>8.5</c:v>
                </c:pt>
                <c:pt idx="4">
                  <c:v>8.89</c:v>
                </c:pt>
                <c:pt idx="5">
                  <c:v>65.89</c:v>
                </c:pt>
                <c:pt idx="6">
                  <c:v>4.8</c:v>
                </c:pt>
                <c:pt idx="7">
                  <c:v>8.2899999999999991</c:v>
                </c:pt>
                <c:pt idx="8">
                  <c:v>5.68</c:v>
                </c:pt>
                <c:pt idx="9">
                  <c:v>7.83</c:v>
                </c:pt>
                <c:pt idx="10">
                  <c:v>8.6999999999999993</c:v>
                </c:pt>
                <c:pt idx="11">
                  <c:v>11.73</c:v>
                </c:pt>
                <c:pt idx="12">
                  <c:v>12.19</c:v>
                </c:pt>
                <c:pt idx="13">
                  <c:v>11.42</c:v>
                </c:pt>
                <c:pt idx="14">
                  <c:v>12.48</c:v>
                </c:pt>
                <c:pt idx="15">
                  <c:v>8.82</c:v>
                </c:pt>
                <c:pt idx="16">
                  <c:v>29.54</c:v>
                </c:pt>
                <c:pt idx="17">
                  <c:v>4.1900000000000004</c:v>
                </c:pt>
                <c:pt idx="18">
                  <c:v>9.39</c:v>
                </c:pt>
                <c:pt idx="19">
                  <c:v>2.0699999999999998</c:v>
                </c:pt>
                <c:pt idx="20">
                  <c:v>10.8</c:v>
                </c:pt>
                <c:pt idx="21">
                  <c:v>4.32</c:v>
                </c:pt>
                <c:pt idx="22">
                  <c:v>7.11</c:v>
                </c:pt>
              </c:numCache>
            </c:numRef>
          </c:val>
        </c:ser>
        <c:dLbls>
          <c:showLegendKey val="0"/>
          <c:showVal val="0"/>
          <c:showCatName val="0"/>
          <c:showSerName val="0"/>
          <c:showPercent val="0"/>
          <c:showBubbleSize val="0"/>
        </c:dLbls>
        <c:gapWidth val="150"/>
        <c:shape val="box"/>
        <c:axId val="130550400"/>
        <c:axId val="130552576"/>
        <c:axId val="0"/>
      </c:bar3DChart>
      <c:catAx>
        <c:axId val="130550400"/>
        <c:scaling>
          <c:orientation val="minMax"/>
        </c:scaling>
        <c:delete val="0"/>
        <c:axPos val="b"/>
        <c:title>
          <c:tx>
            <c:rich>
              <a:bodyPr/>
              <a:lstStyle/>
              <a:p>
                <a:pPr>
                  <a:defRPr/>
                </a:pPr>
                <a:r>
                  <a:rPr lang="en-MY"/>
                  <a:t>Stesen</a:t>
                </a:r>
              </a:p>
            </c:rich>
          </c:tx>
          <c:layout/>
          <c:overlay val="0"/>
        </c:title>
        <c:numFmt formatCode="General" sourceLinked="0"/>
        <c:majorTickMark val="out"/>
        <c:minorTickMark val="none"/>
        <c:tickLblPos val="nextTo"/>
        <c:crossAx val="130552576"/>
        <c:crosses val="autoZero"/>
        <c:auto val="1"/>
        <c:lblAlgn val="ctr"/>
        <c:lblOffset val="100"/>
        <c:noMultiLvlLbl val="0"/>
      </c:catAx>
      <c:valAx>
        <c:axId val="130552576"/>
        <c:scaling>
          <c:orientation val="minMax"/>
        </c:scaling>
        <c:delete val="0"/>
        <c:axPos val="l"/>
        <c:majorGridlines>
          <c:spPr>
            <a:ln>
              <a:noFill/>
            </a:ln>
          </c:spPr>
        </c:majorGridlines>
        <c:title>
          <c:tx>
            <c:rich>
              <a:bodyPr rot="-5400000" vert="horz"/>
              <a:lstStyle/>
              <a:p>
                <a:pPr>
                  <a:defRPr/>
                </a:pPr>
                <a:r>
                  <a:rPr lang="en-MY"/>
                  <a:t>Kepekatan</a:t>
                </a:r>
                <a:r>
                  <a:rPr lang="en-MY" baseline="0"/>
                  <a:t> Ni (ug.g</a:t>
                </a:r>
                <a:r>
                  <a:rPr lang="en-MY" baseline="30000"/>
                  <a:t>-1</a:t>
                </a:r>
                <a:r>
                  <a:rPr lang="en-MY" baseline="0"/>
                  <a:t>)</a:t>
                </a:r>
                <a:endParaRPr lang="en-MY"/>
              </a:p>
            </c:rich>
          </c:tx>
          <c:layout/>
          <c:overlay val="0"/>
        </c:title>
        <c:numFmt formatCode="General" sourceLinked="0"/>
        <c:majorTickMark val="out"/>
        <c:minorTickMark val="none"/>
        <c:tickLblPos val="nextTo"/>
        <c:crossAx val="130550400"/>
        <c:crosses val="autoZero"/>
        <c:crossBetween val="between"/>
      </c:valAx>
    </c:plotArea>
    <c:legend>
      <c:legendPos val="b"/>
      <c:layout>
        <c:manualLayout>
          <c:xMode val="edge"/>
          <c:yMode val="edge"/>
          <c:x val="0.32383610225665493"/>
          <c:y val="0.85931666026220521"/>
          <c:w val="0.33445469450366955"/>
          <c:h val="6.8502900005462469E-2"/>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pb!$B$2</c:f>
              <c:strCache>
                <c:ptCount val="1"/>
                <c:pt idx="0">
                  <c:v>Pensampelan 1</c:v>
                </c:pt>
              </c:strCache>
            </c:strRef>
          </c:tx>
          <c:spPr>
            <a:pattFill prst="pct25">
              <a:fgClr>
                <a:schemeClr val="tx1"/>
              </a:fgClr>
              <a:bgClr>
                <a:schemeClr val="bg1"/>
              </a:bgClr>
            </a:pattFill>
          </c:spPr>
          <c:invertIfNegative val="0"/>
          <c:cat>
            <c:strRef>
              <c:f>pb!$A$3:$A$25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pb!$B$3:$B$25</c:f>
              <c:numCache>
                <c:formatCode>0.00</c:formatCode>
                <c:ptCount val="23"/>
                <c:pt idx="0">
                  <c:v>37.83</c:v>
                </c:pt>
                <c:pt idx="1">
                  <c:v>36.79</c:v>
                </c:pt>
                <c:pt idx="2">
                  <c:v>21.88</c:v>
                </c:pt>
                <c:pt idx="3">
                  <c:v>33.86</c:v>
                </c:pt>
                <c:pt idx="4">
                  <c:v>22.79</c:v>
                </c:pt>
                <c:pt idx="5">
                  <c:v>38.04</c:v>
                </c:pt>
                <c:pt idx="6">
                  <c:v>33.76</c:v>
                </c:pt>
                <c:pt idx="7">
                  <c:v>17.14</c:v>
                </c:pt>
                <c:pt idx="8">
                  <c:v>26.19</c:v>
                </c:pt>
                <c:pt idx="9">
                  <c:v>32.6</c:v>
                </c:pt>
                <c:pt idx="10">
                  <c:v>21.21</c:v>
                </c:pt>
                <c:pt idx="11">
                  <c:v>20.239999999999998</c:v>
                </c:pt>
                <c:pt idx="12">
                  <c:v>24.01</c:v>
                </c:pt>
                <c:pt idx="13">
                  <c:v>26.38</c:v>
                </c:pt>
                <c:pt idx="14">
                  <c:v>10.53</c:v>
                </c:pt>
                <c:pt idx="15">
                  <c:v>27.43</c:v>
                </c:pt>
                <c:pt idx="16">
                  <c:v>9.61</c:v>
                </c:pt>
                <c:pt idx="17">
                  <c:v>37.74</c:v>
                </c:pt>
                <c:pt idx="18">
                  <c:v>29.47</c:v>
                </c:pt>
                <c:pt idx="19">
                  <c:v>9.4700000000000006</c:v>
                </c:pt>
                <c:pt idx="20">
                  <c:v>10.15</c:v>
                </c:pt>
                <c:pt idx="21">
                  <c:v>40.29</c:v>
                </c:pt>
                <c:pt idx="22">
                  <c:v>10.18</c:v>
                </c:pt>
              </c:numCache>
            </c:numRef>
          </c:val>
        </c:ser>
        <c:ser>
          <c:idx val="1"/>
          <c:order val="1"/>
          <c:tx>
            <c:strRef>
              <c:f>pb!$C$2</c:f>
              <c:strCache>
                <c:ptCount val="1"/>
                <c:pt idx="0">
                  <c:v>Pensampelan 2</c:v>
                </c:pt>
              </c:strCache>
            </c:strRef>
          </c:tx>
          <c:spPr>
            <a:pattFill prst="wdUpDiag">
              <a:fgClr>
                <a:schemeClr val="tx1"/>
              </a:fgClr>
              <a:bgClr>
                <a:schemeClr val="bg1"/>
              </a:bgClr>
            </a:pattFill>
          </c:spPr>
          <c:invertIfNegative val="0"/>
          <c:cat>
            <c:strRef>
              <c:f>pb!$A$3:$A$25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pb!$C$3:$C$25</c:f>
              <c:numCache>
                <c:formatCode>0.00</c:formatCode>
                <c:ptCount val="23"/>
                <c:pt idx="0">
                  <c:v>23.81</c:v>
                </c:pt>
                <c:pt idx="1">
                  <c:v>23.06</c:v>
                </c:pt>
                <c:pt idx="2">
                  <c:v>21.36</c:v>
                </c:pt>
                <c:pt idx="3">
                  <c:v>20</c:v>
                </c:pt>
                <c:pt idx="4">
                  <c:v>24.94</c:v>
                </c:pt>
                <c:pt idx="5">
                  <c:v>39.369999999999997</c:v>
                </c:pt>
                <c:pt idx="6">
                  <c:v>12.76</c:v>
                </c:pt>
                <c:pt idx="7">
                  <c:v>16.39</c:v>
                </c:pt>
                <c:pt idx="8">
                  <c:v>18.920000000000002</c:v>
                </c:pt>
                <c:pt idx="9">
                  <c:v>12.69</c:v>
                </c:pt>
                <c:pt idx="10">
                  <c:v>16.34</c:v>
                </c:pt>
                <c:pt idx="11">
                  <c:v>24.82</c:v>
                </c:pt>
                <c:pt idx="12">
                  <c:v>25.97</c:v>
                </c:pt>
                <c:pt idx="13">
                  <c:v>28.5</c:v>
                </c:pt>
                <c:pt idx="14">
                  <c:v>26.79</c:v>
                </c:pt>
                <c:pt idx="15">
                  <c:v>26.24</c:v>
                </c:pt>
                <c:pt idx="16">
                  <c:v>17.989999999999998</c:v>
                </c:pt>
                <c:pt idx="17">
                  <c:v>8.7200000000000006</c:v>
                </c:pt>
                <c:pt idx="18">
                  <c:v>24.78</c:v>
                </c:pt>
                <c:pt idx="19">
                  <c:v>11.03</c:v>
                </c:pt>
                <c:pt idx="20">
                  <c:v>7.13</c:v>
                </c:pt>
                <c:pt idx="21">
                  <c:v>15.05</c:v>
                </c:pt>
                <c:pt idx="22" formatCode="General">
                  <c:v>16.87</c:v>
                </c:pt>
              </c:numCache>
            </c:numRef>
          </c:val>
        </c:ser>
        <c:dLbls>
          <c:showLegendKey val="0"/>
          <c:showVal val="0"/>
          <c:showCatName val="0"/>
          <c:showSerName val="0"/>
          <c:showPercent val="0"/>
          <c:showBubbleSize val="0"/>
        </c:dLbls>
        <c:gapWidth val="150"/>
        <c:axId val="130565632"/>
        <c:axId val="130567552"/>
      </c:barChart>
      <c:catAx>
        <c:axId val="130565632"/>
        <c:scaling>
          <c:orientation val="minMax"/>
        </c:scaling>
        <c:delete val="0"/>
        <c:axPos val="b"/>
        <c:title>
          <c:tx>
            <c:rich>
              <a:bodyPr/>
              <a:lstStyle/>
              <a:p>
                <a:pPr>
                  <a:defRPr/>
                </a:pPr>
                <a:r>
                  <a:rPr lang="en-MY"/>
                  <a:t>Stesen</a:t>
                </a:r>
              </a:p>
            </c:rich>
          </c:tx>
          <c:layout/>
          <c:overlay val="0"/>
        </c:title>
        <c:majorTickMark val="out"/>
        <c:minorTickMark val="none"/>
        <c:tickLblPos val="nextTo"/>
        <c:crossAx val="130567552"/>
        <c:crosses val="autoZero"/>
        <c:auto val="1"/>
        <c:lblAlgn val="ctr"/>
        <c:lblOffset val="100"/>
        <c:noMultiLvlLbl val="0"/>
      </c:catAx>
      <c:valAx>
        <c:axId val="130567552"/>
        <c:scaling>
          <c:orientation val="minMax"/>
        </c:scaling>
        <c:delete val="0"/>
        <c:axPos val="l"/>
        <c:majorGridlines>
          <c:spPr>
            <a:ln>
              <a:noFill/>
            </a:ln>
          </c:spPr>
        </c:majorGridlines>
        <c:title>
          <c:tx>
            <c:rich>
              <a:bodyPr rot="-5400000" vert="horz"/>
              <a:lstStyle/>
              <a:p>
                <a:pPr>
                  <a:defRPr/>
                </a:pPr>
                <a:r>
                  <a:rPr lang="en-MY"/>
                  <a:t>Kepekatan</a:t>
                </a:r>
                <a:r>
                  <a:rPr lang="en-MY" baseline="0"/>
                  <a:t> Pb (ug.g</a:t>
                </a:r>
                <a:r>
                  <a:rPr lang="en-MY" baseline="30000"/>
                  <a:t>-1</a:t>
                </a:r>
                <a:r>
                  <a:rPr lang="en-MY" baseline="0"/>
                  <a:t>)</a:t>
                </a:r>
                <a:endParaRPr lang="en-MY"/>
              </a:p>
            </c:rich>
          </c:tx>
          <c:layout/>
          <c:overlay val="0"/>
        </c:title>
        <c:numFmt formatCode="#,##0" sourceLinked="0"/>
        <c:majorTickMark val="out"/>
        <c:minorTickMark val="none"/>
        <c:tickLblPos val="nextTo"/>
        <c:crossAx val="13056563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zn!$B$2</c:f>
              <c:strCache>
                <c:ptCount val="1"/>
                <c:pt idx="0">
                  <c:v>Pensampelan 1</c:v>
                </c:pt>
              </c:strCache>
            </c:strRef>
          </c:tx>
          <c:spPr>
            <a:pattFill prst="pct25">
              <a:fgClr>
                <a:schemeClr val="tx1"/>
              </a:fgClr>
              <a:bgClr>
                <a:schemeClr val="bg1"/>
              </a:bgClr>
            </a:pattFill>
          </c:spPr>
          <c:invertIfNegative val="0"/>
          <c:cat>
            <c:strRef>
              <c:f>zn!$A$3:$A$25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zn!$B$3:$B$25</c:f>
              <c:numCache>
                <c:formatCode>0.00</c:formatCode>
                <c:ptCount val="23"/>
                <c:pt idx="0">
                  <c:v>83.09</c:v>
                </c:pt>
                <c:pt idx="1">
                  <c:v>84.76</c:v>
                </c:pt>
                <c:pt idx="2">
                  <c:v>67.290000000000006</c:v>
                </c:pt>
                <c:pt idx="3">
                  <c:v>78.61</c:v>
                </c:pt>
                <c:pt idx="4">
                  <c:v>90.8</c:v>
                </c:pt>
                <c:pt idx="5">
                  <c:v>87.03</c:v>
                </c:pt>
                <c:pt idx="6">
                  <c:v>92.41</c:v>
                </c:pt>
                <c:pt idx="7">
                  <c:v>164.01</c:v>
                </c:pt>
                <c:pt idx="8">
                  <c:v>33.94</c:v>
                </c:pt>
                <c:pt idx="9">
                  <c:v>78.260000000000005</c:v>
                </c:pt>
                <c:pt idx="10">
                  <c:v>55.55</c:v>
                </c:pt>
                <c:pt idx="11">
                  <c:v>62.91</c:v>
                </c:pt>
                <c:pt idx="12">
                  <c:v>66.540000000000006</c:v>
                </c:pt>
                <c:pt idx="13">
                  <c:v>70.77</c:v>
                </c:pt>
                <c:pt idx="14">
                  <c:v>45.21</c:v>
                </c:pt>
                <c:pt idx="15">
                  <c:v>84.05</c:v>
                </c:pt>
                <c:pt idx="16">
                  <c:v>45.49</c:v>
                </c:pt>
                <c:pt idx="17">
                  <c:v>75.89</c:v>
                </c:pt>
                <c:pt idx="18">
                  <c:v>71.569999999999993</c:v>
                </c:pt>
                <c:pt idx="19">
                  <c:v>43.75</c:v>
                </c:pt>
                <c:pt idx="20">
                  <c:v>38.69</c:v>
                </c:pt>
                <c:pt idx="21">
                  <c:v>73.98</c:v>
                </c:pt>
                <c:pt idx="22">
                  <c:v>12</c:v>
                </c:pt>
              </c:numCache>
            </c:numRef>
          </c:val>
        </c:ser>
        <c:ser>
          <c:idx val="1"/>
          <c:order val="1"/>
          <c:tx>
            <c:strRef>
              <c:f>zn!$C$2</c:f>
              <c:strCache>
                <c:ptCount val="1"/>
                <c:pt idx="0">
                  <c:v>Pensampelan 2</c:v>
                </c:pt>
              </c:strCache>
            </c:strRef>
          </c:tx>
          <c:spPr>
            <a:pattFill prst="wdUpDiag">
              <a:fgClr>
                <a:schemeClr val="tx1"/>
              </a:fgClr>
              <a:bgClr>
                <a:schemeClr val="bg1"/>
              </a:bgClr>
            </a:pattFill>
          </c:spPr>
          <c:invertIfNegative val="0"/>
          <c:cat>
            <c:strRef>
              <c:f>zn!$A$3:$A$25</c:f>
              <c:strCache>
                <c:ptCount val="23"/>
                <c:pt idx="0">
                  <c:v>K1</c:v>
                </c:pt>
                <c:pt idx="1">
                  <c:v>K2</c:v>
                </c:pt>
                <c:pt idx="2">
                  <c:v>K3</c:v>
                </c:pt>
                <c:pt idx="3">
                  <c:v>K4</c:v>
                </c:pt>
                <c:pt idx="4">
                  <c:v>K5</c:v>
                </c:pt>
                <c:pt idx="5">
                  <c:v>K6</c:v>
                </c:pt>
                <c:pt idx="6">
                  <c:v>K7</c:v>
                </c:pt>
                <c:pt idx="7">
                  <c:v>K8</c:v>
                </c:pt>
                <c:pt idx="8">
                  <c:v>K9</c:v>
                </c:pt>
                <c:pt idx="9">
                  <c:v>K10</c:v>
                </c:pt>
                <c:pt idx="10">
                  <c:v>K11</c:v>
                </c:pt>
                <c:pt idx="11">
                  <c:v>K12</c:v>
                </c:pt>
                <c:pt idx="12">
                  <c:v>K13</c:v>
                </c:pt>
                <c:pt idx="13">
                  <c:v>K14</c:v>
                </c:pt>
                <c:pt idx="14">
                  <c:v>K15</c:v>
                </c:pt>
                <c:pt idx="15">
                  <c:v>K16</c:v>
                </c:pt>
                <c:pt idx="16">
                  <c:v>SK1</c:v>
                </c:pt>
                <c:pt idx="17">
                  <c:v>SK2</c:v>
                </c:pt>
                <c:pt idx="18">
                  <c:v>SK3</c:v>
                </c:pt>
                <c:pt idx="19">
                  <c:v>SK4</c:v>
                </c:pt>
                <c:pt idx="20">
                  <c:v>SK5</c:v>
                </c:pt>
                <c:pt idx="21">
                  <c:v>SK6</c:v>
                </c:pt>
                <c:pt idx="22">
                  <c:v>SK7</c:v>
                </c:pt>
              </c:strCache>
            </c:strRef>
          </c:cat>
          <c:val>
            <c:numRef>
              <c:f>zn!$C$3:$C$25</c:f>
              <c:numCache>
                <c:formatCode>0.00</c:formatCode>
                <c:ptCount val="23"/>
                <c:pt idx="0">
                  <c:v>34.5</c:v>
                </c:pt>
                <c:pt idx="1">
                  <c:v>35.67</c:v>
                </c:pt>
                <c:pt idx="2">
                  <c:v>32.15</c:v>
                </c:pt>
                <c:pt idx="3">
                  <c:v>28.5</c:v>
                </c:pt>
                <c:pt idx="4">
                  <c:v>28.97</c:v>
                </c:pt>
                <c:pt idx="5">
                  <c:v>122.03</c:v>
                </c:pt>
                <c:pt idx="6">
                  <c:v>35.32</c:v>
                </c:pt>
                <c:pt idx="7">
                  <c:v>23.51</c:v>
                </c:pt>
                <c:pt idx="8">
                  <c:v>24.78</c:v>
                </c:pt>
                <c:pt idx="9">
                  <c:v>5.98</c:v>
                </c:pt>
                <c:pt idx="10">
                  <c:v>22.71</c:v>
                </c:pt>
                <c:pt idx="11">
                  <c:v>31.75</c:v>
                </c:pt>
                <c:pt idx="12">
                  <c:v>31.91</c:v>
                </c:pt>
                <c:pt idx="13">
                  <c:v>33.049999999999997</c:v>
                </c:pt>
                <c:pt idx="14">
                  <c:v>32.6</c:v>
                </c:pt>
                <c:pt idx="15">
                  <c:v>37.81</c:v>
                </c:pt>
                <c:pt idx="16">
                  <c:v>55.01</c:v>
                </c:pt>
                <c:pt idx="17">
                  <c:v>9.8000000000000007</c:v>
                </c:pt>
                <c:pt idx="18">
                  <c:v>26.81</c:v>
                </c:pt>
                <c:pt idx="19">
                  <c:v>15.04</c:v>
                </c:pt>
                <c:pt idx="20">
                  <c:v>22.2</c:v>
                </c:pt>
                <c:pt idx="21">
                  <c:v>18.649999999999999</c:v>
                </c:pt>
                <c:pt idx="22">
                  <c:v>24.48</c:v>
                </c:pt>
              </c:numCache>
            </c:numRef>
          </c:val>
        </c:ser>
        <c:dLbls>
          <c:showLegendKey val="0"/>
          <c:showVal val="0"/>
          <c:showCatName val="0"/>
          <c:showSerName val="0"/>
          <c:showPercent val="0"/>
          <c:showBubbleSize val="0"/>
        </c:dLbls>
        <c:gapWidth val="150"/>
        <c:axId val="130576768"/>
        <c:axId val="130578688"/>
      </c:barChart>
      <c:catAx>
        <c:axId val="130576768"/>
        <c:scaling>
          <c:orientation val="minMax"/>
        </c:scaling>
        <c:delete val="0"/>
        <c:axPos val="b"/>
        <c:title>
          <c:tx>
            <c:rich>
              <a:bodyPr/>
              <a:lstStyle/>
              <a:p>
                <a:pPr>
                  <a:defRPr/>
                </a:pPr>
                <a:r>
                  <a:rPr lang="en-MY"/>
                  <a:t>Stesen</a:t>
                </a:r>
              </a:p>
            </c:rich>
          </c:tx>
          <c:layout/>
          <c:overlay val="0"/>
        </c:title>
        <c:majorTickMark val="out"/>
        <c:minorTickMark val="none"/>
        <c:tickLblPos val="nextTo"/>
        <c:crossAx val="130578688"/>
        <c:crosses val="autoZero"/>
        <c:auto val="1"/>
        <c:lblAlgn val="ctr"/>
        <c:lblOffset val="100"/>
        <c:noMultiLvlLbl val="0"/>
      </c:catAx>
      <c:valAx>
        <c:axId val="130578688"/>
        <c:scaling>
          <c:orientation val="minMax"/>
        </c:scaling>
        <c:delete val="0"/>
        <c:axPos val="l"/>
        <c:majorGridlines>
          <c:spPr>
            <a:ln>
              <a:noFill/>
            </a:ln>
          </c:spPr>
        </c:majorGridlines>
        <c:title>
          <c:tx>
            <c:rich>
              <a:bodyPr rot="-5400000" vert="horz"/>
              <a:lstStyle/>
              <a:p>
                <a:pPr>
                  <a:defRPr/>
                </a:pPr>
                <a:r>
                  <a:rPr lang="en-MY"/>
                  <a:t>Kepekatan</a:t>
                </a:r>
                <a:r>
                  <a:rPr lang="en-MY" baseline="0"/>
                  <a:t> Zn (ug.g</a:t>
                </a:r>
                <a:r>
                  <a:rPr lang="en-MY" baseline="30000"/>
                  <a:t>-1</a:t>
                </a:r>
                <a:r>
                  <a:rPr lang="en-MY" baseline="0"/>
                  <a:t>)</a:t>
                </a:r>
                <a:endParaRPr lang="en-MY"/>
              </a:p>
            </c:rich>
          </c:tx>
          <c:layout/>
          <c:overlay val="0"/>
        </c:title>
        <c:numFmt formatCode="0" sourceLinked="0"/>
        <c:majorTickMark val="out"/>
        <c:minorTickMark val="none"/>
        <c:tickLblPos val="nextTo"/>
        <c:crossAx val="130576768"/>
        <c:crosses val="autoZero"/>
        <c:crossBetween val="between"/>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F7A71-4AD0-4902-A1F8-D202D5D4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3599</Words>
  <Characters>20987</Characters>
  <Application>Microsoft Office Word</Application>
  <DocSecurity>0</DocSecurity>
  <Lines>538</Lines>
  <Paragraphs>303</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13</cp:revision>
  <cp:lastPrinted>2020-02-04T15:43:00Z</cp:lastPrinted>
  <dcterms:created xsi:type="dcterms:W3CDTF">2020-02-04T14:32:00Z</dcterms:created>
  <dcterms:modified xsi:type="dcterms:W3CDTF">2020-02-04T15:45:00Z</dcterms:modified>
</cp:coreProperties>
</file>