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bookmarkStart w:id="0" w:name="_GoBack"/>
      <w:bookmarkEnd w:id="0"/>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D91EFE" w:rsidRPr="00686D4E" w:rsidRDefault="00D91EFE" w:rsidP="00D91EFE">
      <w:pPr>
        <w:spacing w:after="0" w:line="240" w:lineRule="auto"/>
        <w:jc w:val="center"/>
        <w:outlineLvl w:val="0"/>
        <w:rPr>
          <w:rFonts w:ascii="Times New Roman" w:hAnsi="Times New Roman"/>
          <w:sz w:val="28"/>
        </w:rPr>
      </w:pPr>
      <w:r w:rsidRPr="00686D4E">
        <w:rPr>
          <w:rFonts w:ascii="Times New Roman" w:hAnsi="Times New Roman"/>
          <w:sz w:val="28"/>
        </w:rPr>
        <w:t>APPLICATION OF MICROWAVE-ASSISTED EXTRACTION COUPLED</w:t>
      </w:r>
    </w:p>
    <w:p w:rsidR="00D91EFE" w:rsidRPr="00686D4E" w:rsidRDefault="00D91EFE" w:rsidP="00D91EFE">
      <w:pPr>
        <w:spacing w:after="0" w:line="240" w:lineRule="auto"/>
        <w:jc w:val="center"/>
        <w:outlineLvl w:val="0"/>
        <w:rPr>
          <w:rFonts w:ascii="Times New Roman" w:hAnsi="Times New Roman"/>
          <w:sz w:val="28"/>
        </w:rPr>
      </w:pPr>
      <w:r w:rsidRPr="00686D4E">
        <w:rPr>
          <w:rFonts w:ascii="Times New Roman" w:hAnsi="Times New Roman"/>
          <w:sz w:val="28"/>
        </w:rPr>
        <w:t>WITH DISPERSIVE LIQUID-LIQUID MICROEXTRACTION FOR THE</w:t>
      </w:r>
    </w:p>
    <w:p w:rsidR="00D91EFE" w:rsidRPr="00686D4E" w:rsidRDefault="00D91EFE" w:rsidP="00D91EFE">
      <w:pPr>
        <w:spacing w:after="0" w:line="240" w:lineRule="auto"/>
        <w:jc w:val="center"/>
        <w:outlineLvl w:val="0"/>
        <w:rPr>
          <w:rFonts w:ascii="Times New Roman" w:hAnsi="Times New Roman"/>
          <w:sz w:val="28"/>
        </w:rPr>
      </w:pPr>
      <w:r w:rsidRPr="00686D4E">
        <w:rPr>
          <w:rFonts w:ascii="Times New Roman" w:hAnsi="Times New Roman"/>
          <w:sz w:val="28"/>
        </w:rPr>
        <w:t xml:space="preserve">DETERMINATION OF POLYCYCLIC AROMATIC HYDROCARBONS </w:t>
      </w:r>
    </w:p>
    <w:p w:rsidR="00D91EFE" w:rsidRPr="00686D4E" w:rsidRDefault="00D91EFE" w:rsidP="00D91EFE">
      <w:pPr>
        <w:spacing w:after="0" w:line="240" w:lineRule="auto"/>
        <w:jc w:val="center"/>
        <w:outlineLvl w:val="0"/>
        <w:rPr>
          <w:rFonts w:ascii="Times New Roman" w:hAnsi="Times New Roman"/>
          <w:sz w:val="28"/>
        </w:rPr>
      </w:pPr>
      <w:r w:rsidRPr="00686D4E">
        <w:rPr>
          <w:rFonts w:ascii="Times New Roman" w:hAnsi="Times New Roman"/>
          <w:sz w:val="28"/>
        </w:rPr>
        <w:t>IN VEGETABLES</w:t>
      </w:r>
      <w:r w:rsidRPr="00686D4E">
        <w:rPr>
          <w:rFonts w:ascii="Times New Roman" w:hAnsi="Times New Roman"/>
          <w:b/>
          <w:sz w:val="28"/>
          <w:szCs w:val="20"/>
        </w:rPr>
        <w:t xml:space="preserve"> </w:t>
      </w:r>
    </w:p>
    <w:p w:rsidR="00D91EFE" w:rsidRPr="00686D4E" w:rsidRDefault="00D91EFE" w:rsidP="00D91EFE">
      <w:pPr>
        <w:spacing w:after="0" w:line="240" w:lineRule="auto"/>
        <w:jc w:val="center"/>
        <w:outlineLvl w:val="0"/>
        <w:rPr>
          <w:rFonts w:ascii="Times New Roman" w:hAnsi="Times New Roman"/>
          <w:b/>
          <w:sz w:val="24"/>
        </w:rPr>
      </w:pPr>
    </w:p>
    <w:p w:rsidR="00D91EFE" w:rsidRDefault="00D91EFE" w:rsidP="00D91EFE">
      <w:pPr>
        <w:spacing w:after="0" w:line="240" w:lineRule="auto"/>
        <w:jc w:val="center"/>
        <w:outlineLvl w:val="0"/>
        <w:rPr>
          <w:rFonts w:ascii="Times New Roman" w:hAnsi="Times New Roman"/>
          <w:sz w:val="24"/>
          <w:lang w:val="ms-MY"/>
        </w:rPr>
      </w:pPr>
      <w:r w:rsidRPr="00686D4E">
        <w:rPr>
          <w:rFonts w:ascii="Times New Roman" w:hAnsi="Times New Roman"/>
          <w:sz w:val="24"/>
        </w:rPr>
        <w:t>(</w:t>
      </w:r>
      <w:r w:rsidRPr="00686D4E">
        <w:rPr>
          <w:rFonts w:ascii="Times New Roman" w:hAnsi="Times New Roman"/>
          <w:sz w:val="24"/>
          <w:lang w:val="ms-MY"/>
        </w:rPr>
        <w:t>Applikasi Pengekstrakan Berbantukan Mikrogelombang Gandingan dengan Pengekstrakan</w:t>
      </w:r>
      <w:r>
        <w:rPr>
          <w:rFonts w:ascii="Times New Roman" w:hAnsi="Times New Roman"/>
          <w:sz w:val="24"/>
          <w:lang w:val="ms-MY"/>
        </w:rPr>
        <w:t xml:space="preserve"> </w:t>
      </w:r>
      <w:r w:rsidRPr="00686D4E">
        <w:rPr>
          <w:rFonts w:ascii="Times New Roman" w:hAnsi="Times New Roman"/>
          <w:sz w:val="24"/>
          <w:lang w:val="ms-MY"/>
        </w:rPr>
        <w:t xml:space="preserve">Mikro Cecair-Cecair Serakan bagi Penentukan Hidrokarbon Aromatik Polisiklik dalam </w:t>
      </w:r>
    </w:p>
    <w:p w:rsidR="00D91EFE" w:rsidRPr="00D91EFE" w:rsidRDefault="00D91EFE" w:rsidP="00D91EFE">
      <w:pPr>
        <w:spacing w:after="0" w:line="240" w:lineRule="auto"/>
        <w:jc w:val="center"/>
        <w:outlineLvl w:val="0"/>
        <w:rPr>
          <w:rFonts w:ascii="Times New Roman" w:hAnsi="Times New Roman"/>
          <w:sz w:val="24"/>
          <w:lang w:val="ms-MY"/>
        </w:rPr>
      </w:pPr>
      <w:r w:rsidRPr="00686D4E">
        <w:rPr>
          <w:rFonts w:ascii="Times New Roman" w:hAnsi="Times New Roman"/>
          <w:sz w:val="24"/>
          <w:lang w:val="ms-MY"/>
        </w:rPr>
        <w:t>Sayur-Sayuran</w:t>
      </w:r>
      <w:r w:rsidRPr="00686D4E">
        <w:rPr>
          <w:rFonts w:ascii="Times New Roman" w:hAnsi="Times New Roman"/>
          <w:sz w:val="24"/>
        </w:rPr>
        <w:t>)</w:t>
      </w:r>
      <w:r w:rsidRPr="00686D4E">
        <w:rPr>
          <w:rFonts w:ascii="Times New Roman" w:hAnsi="Times New Roman"/>
          <w:b/>
          <w:sz w:val="24"/>
          <w:szCs w:val="20"/>
        </w:rPr>
        <w:t xml:space="preserve"> </w:t>
      </w:r>
    </w:p>
    <w:p w:rsidR="00D91EFE" w:rsidRPr="00D91EFE" w:rsidRDefault="00D91EFE" w:rsidP="00D91EFE">
      <w:pPr>
        <w:spacing w:after="0" w:line="240" w:lineRule="auto"/>
        <w:jc w:val="center"/>
        <w:outlineLvl w:val="0"/>
        <w:rPr>
          <w:rFonts w:ascii="Times New Roman" w:hAnsi="Times New Roman"/>
          <w:b/>
          <w:sz w:val="20"/>
          <w:szCs w:val="20"/>
        </w:rPr>
      </w:pPr>
    </w:p>
    <w:p w:rsidR="00D91EFE" w:rsidRPr="00D91EFE" w:rsidRDefault="00D91EFE" w:rsidP="00D91EFE">
      <w:pPr>
        <w:spacing w:after="0" w:line="240" w:lineRule="auto"/>
        <w:jc w:val="center"/>
        <w:outlineLvl w:val="0"/>
        <w:rPr>
          <w:rFonts w:ascii="Times New Roman" w:hAnsi="Times New Roman"/>
          <w:sz w:val="20"/>
          <w:szCs w:val="20"/>
        </w:rPr>
      </w:pPr>
      <w:r w:rsidRPr="00D91EFE">
        <w:rPr>
          <w:rFonts w:ascii="Times New Roman" w:hAnsi="Times New Roman"/>
          <w:sz w:val="20"/>
          <w:szCs w:val="20"/>
        </w:rPr>
        <w:t>Chai Mee Kin</w:t>
      </w:r>
      <w:r w:rsidRPr="00D91EFE">
        <w:rPr>
          <w:rFonts w:ascii="Times New Roman" w:hAnsi="Times New Roman"/>
          <w:sz w:val="20"/>
          <w:szCs w:val="20"/>
          <w:vertAlign w:val="superscript"/>
        </w:rPr>
        <w:t>1</w:t>
      </w:r>
      <w:r w:rsidRPr="00D91EFE">
        <w:rPr>
          <w:rFonts w:ascii="Times New Roman" w:hAnsi="Times New Roman"/>
          <w:sz w:val="20"/>
          <w:szCs w:val="20"/>
        </w:rPr>
        <w:t>*, Tan Yeong Hwang</w:t>
      </w:r>
      <w:r w:rsidRPr="00D91EFE">
        <w:rPr>
          <w:rFonts w:ascii="Times New Roman" w:hAnsi="Times New Roman"/>
          <w:sz w:val="20"/>
          <w:szCs w:val="20"/>
          <w:vertAlign w:val="superscript"/>
        </w:rPr>
        <w:t>1</w:t>
      </w:r>
      <w:r w:rsidRPr="00D91EFE">
        <w:rPr>
          <w:rFonts w:ascii="Times New Roman" w:hAnsi="Times New Roman"/>
          <w:sz w:val="20"/>
          <w:szCs w:val="20"/>
        </w:rPr>
        <w:t>, Wong Ling Shing</w:t>
      </w:r>
      <w:r w:rsidRPr="00D91EFE">
        <w:rPr>
          <w:rFonts w:ascii="Times New Roman" w:hAnsi="Times New Roman"/>
          <w:sz w:val="20"/>
          <w:szCs w:val="20"/>
          <w:vertAlign w:val="superscript"/>
        </w:rPr>
        <w:t>2</w:t>
      </w:r>
      <w:r w:rsidRPr="00D91EFE">
        <w:rPr>
          <w:rFonts w:ascii="Times New Roman" w:hAnsi="Times New Roman"/>
          <w:sz w:val="20"/>
          <w:szCs w:val="20"/>
        </w:rPr>
        <w:t xml:space="preserve"> </w:t>
      </w:r>
    </w:p>
    <w:p w:rsidR="00D91EFE" w:rsidRPr="00686D4E" w:rsidRDefault="00D91EFE" w:rsidP="00D91EFE">
      <w:pPr>
        <w:spacing w:after="0" w:line="240" w:lineRule="auto"/>
        <w:jc w:val="center"/>
        <w:outlineLvl w:val="0"/>
        <w:rPr>
          <w:rFonts w:ascii="Times New Roman" w:hAnsi="Times New Roman"/>
          <w:b/>
          <w:sz w:val="18"/>
          <w:szCs w:val="18"/>
        </w:rPr>
      </w:pPr>
    </w:p>
    <w:p w:rsidR="00D91EFE" w:rsidRPr="00686D4E" w:rsidRDefault="00D91EFE" w:rsidP="00D91EFE">
      <w:pPr>
        <w:spacing w:after="0" w:line="240" w:lineRule="auto"/>
        <w:jc w:val="center"/>
        <w:outlineLvl w:val="0"/>
        <w:rPr>
          <w:rFonts w:ascii="Times New Roman" w:hAnsi="Times New Roman"/>
          <w:i/>
          <w:sz w:val="18"/>
          <w:szCs w:val="18"/>
        </w:rPr>
      </w:pPr>
      <w:r w:rsidRPr="00686D4E">
        <w:rPr>
          <w:rFonts w:ascii="Times New Roman" w:hAnsi="Times New Roman"/>
          <w:i/>
          <w:sz w:val="18"/>
          <w:szCs w:val="18"/>
          <w:vertAlign w:val="superscript"/>
        </w:rPr>
        <w:t>1</w:t>
      </w:r>
      <w:r w:rsidRPr="00686D4E">
        <w:rPr>
          <w:rFonts w:ascii="Times New Roman" w:hAnsi="Times New Roman"/>
          <w:i/>
          <w:sz w:val="18"/>
          <w:szCs w:val="18"/>
        </w:rPr>
        <w:t xml:space="preserve">College of Engineering, </w:t>
      </w:r>
    </w:p>
    <w:p w:rsidR="00D91EFE" w:rsidRPr="00686D4E" w:rsidRDefault="00D91EFE" w:rsidP="00D91EFE">
      <w:pPr>
        <w:spacing w:after="0" w:line="240" w:lineRule="auto"/>
        <w:jc w:val="center"/>
        <w:outlineLvl w:val="0"/>
        <w:rPr>
          <w:rFonts w:ascii="Times New Roman" w:hAnsi="Times New Roman"/>
          <w:i/>
          <w:sz w:val="18"/>
          <w:szCs w:val="18"/>
        </w:rPr>
      </w:pPr>
      <w:r w:rsidRPr="00686D4E">
        <w:rPr>
          <w:rFonts w:ascii="Times New Roman" w:hAnsi="Times New Roman"/>
          <w:i/>
          <w:sz w:val="18"/>
          <w:szCs w:val="18"/>
        </w:rPr>
        <w:t>Universiti Tenaga Nasional, Jalan Ikram-Uniten, 43000 Kajang, Selangor, Malaysia</w:t>
      </w:r>
    </w:p>
    <w:p w:rsidR="00D91EFE" w:rsidRPr="00686D4E" w:rsidRDefault="00D91EFE" w:rsidP="00D91EFE">
      <w:pPr>
        <w:spacing w:after="0" w:line="240" w:lineRule="auto"/>
        <w:jc w:val="center"/>
        <w:outlineLvl w:val="0"/>
        <w:rPr>
          <w:rFonts w:ascii="Times New Roman" w:hAnsi="Times New Roman"/>
          <w:i/>
          <w:sz w:val="18"/>
          <w:szCs w:val="18"/>
        </w:rPr>
      </w:pPr>
      <w:r w:rsidRPr="00686D4E">
        <w:rPr>
          <w:rFonts w:ascii="Times New Roman" w:hAnsi="Times New Roman"/>
          <w:i/>
          <w:sz w:val="18"/>
          <w:szCs w:val="18"/>
          <w:vertAlign w:val="superscript"/>
        </w:rPr>
        <w:t>2</w:t>
      </w:r>
      <w:r w:rsidRPr="00686D4E">
        <w:rPr>
          <w:rFonts w:ascii="Times New Roman" w:hAnsi="Times New Roman"/>
          <w:i/>
          <w:sz w:val="18"/>
          <w:szCs w:val="18"/>
        </w:rPr>
        <w:t xml:space="preserve">Faculty of Health and Life Science, </w:t>
      </w:r>
    </w:p>
    <w:p w:rsidR="00D91EFE" w:rsidRPr="00686D4E" w:rsidRDefault="00D91EFE" w:rsidP="00D91EFE">
      <w:pPr>
        <w:spacing w:after="0" w:line="240" w:lineRule="auto"/>
        <w:jc w:val="center"/>
        <w:outlineLvl w:val="0"/>
        <w:rPr>
          <w:rFonts w:ascii="Times New Roman" w:hAnsi="Times New Roman"/>
          <w:i/>
          <w:sz w:val="18"/>
          <w:szCs w:val="18"/>
        </w:rPr>
      </w:pPr>
      <w:r w:rsidRPr="00686D4E">
        <w:rPr>
          <w:rFonts w:ascii="Times New Roman" w:hAnsi="Times New Roman"/>
          <w:i/>
          <w:sz w:val="18"/>
          <w:szCs w:val="18"/>
        </w:rPr>
        <w:t>INTI International University, Persiaran Perdana BBN, Putra Nilai, 71800 Nilai, Negeri Sembilan, Malaysia</w:t>
      </w:r>
    </w:p>
    <w:p w:rsidR="00D91EFE" w:rsidRPr="00686D4E" w:rsidRDefault="00D91EFE" w:rsidP="00D91EFE">
      <w:pPr>
        <w:spacing w:after="0" w:line="240" w:lineRule="auto"/>
        <w:jc w:val="center"/>
        <w:outlineLvl w:val="0"/>
        <w:rPr>
          <w:rFonts w:ascii="Times New Roman" w:hAnsi="Times New Roman"/>
          <w:b/>
          <w:sz w:val="18"/>
          <w:szCs w:val="18"/>
        </w:rPr>
      </w:pPr>
    </w:p>
    <w:p w:rsidR="00D91EFE" w:rsidRPr="00686D4E" w:rsidRDefault="00D91EFE" w:rsidP="00D91EFE">
      <w:pPr>
        <w:spacing w:after="0" w:line="240" w:lineRule="auto"/>
        <w:jc w:val="center"/>
        <w:outlineLvl w:val="0"/>
        <w:rPr>
          <w:rFonts w:ascii="Times New Roman" w:hAnsi="Times New Roman"/>
          <w:i/>
          <w:sz w:val="18"/>
        </w:rPr>
      </w:pPr>
      <w:r w:rsidRPr="00D91EFE">
        <w:rPr>
          <w:rFonts w:ascii="Times New Roman" w:hAnsi="Times New Roman"/>
          <w:i/>
          <w:sz w:val="18"/>
        </w:rPr>
        <w:t>*</w:t>
      </w:r>
      <w:r w:rsidRPr="00686D4E">
        <w:rPr>
          <w:rFonts w:ascii="Times New Roman" w:hAnsi="Times New Roman"/>
          <w:i/>
          <w:sz w:val="18"/>
        </w:rPr>
        <w:t xml:space="preserve">Corresponding author: </w:t>
      </w:r>
      <w:r>
        <w:rPr>
          <w:rFonts w:ascii="Times New Roman" w:hAnsi="Times New Roman"/>
          <w:i/>
          <w:sz w:val="18"/>
        </w:rPr>
        <w:t xml:space="preserve"> </w:t>
      </w:r>
      <w:r w:rsidRPr="00686D4E">
        <w:rPr>
          <w:rFonts w:ascii="Times New Roman" w:hAnsi="Times New Roman"/>
          <w:i/>
          <w:sz w:val="18"/>
        </w:rPr>
        <w:t>mkchai@uniten.edu.my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D7CCD">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2D7CCD">
        <w:rPr>
          <w:rFonts w:ascii="Times New Roman" w:hAnsi="Times New Roman"/>
          <w:noProof/>
          <w:sz w:val="18"/>
          <w:szCs w:val="18"/>
          <w:lang w:bidi="ar-SA"/>
        </w:rPr>
        <w:t>21 January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91EFE" w:rsidRPr="00686D4E" w:rsidRDefault="00D91EFE" w:rsidP="00D91EFE">
      <w:pPr>
        <w:spacing w:after="0" w:line="240" w:lineRule="auto"/>
        <w:jc w:val="both"/>
        <w:outlineLvl w:val="0"/>
        <w:rPr>
          <w:rFonts w:ascii="Times New Roman" w:hAnsi="Times New Roman"/>
          <w:sz w:val="18"/>
          <w:szCs w:val="18"/>
        </w:rPr>
      </w:pPr>
      <w:r w:rsidRPr="00686D4E">
        <w:rPr>
          <w:rFonts w:ascii="Times New Roman" w:hAnsi="Times New Roman"/>
          <w:sz w:val="18"/>
          <w:szCs w:val="18"/>
        </w:rPr>
        <w:t>Microwave-assisted extraction (MAE) coupled with dispersive liquid-liquid microextraction (DLLME) followed by gas- chromatography flame ionization detector (GC-FID) for the determination of 13 PAHs in vegetable samples was developed in this study. The analytical performances of the optimized DLLME and MAE-DLLME including limit of detection (LOD), limit of quantification (LOQ), precision, accuracy, relative extraction recovery and relative extraction factor were validated and compared. The LOD of DLLME and MAE-DLLME were in the range of 0.040-0.400 and 0.0200-0.080 µg/L, respectively. For DLLME, precision and accuracy were 1.22-7.50% (RSD) and 71.77% to 90.93%, respectively; while for MAE-DLLME, were 0.77%-3.07% (RSD) and 83.65-98.42%, respectively. The relative extraction recovery was improved from 70.81% – 85.41% in DLLME to 85.79% - 99.61% in MAE-DLLME. The relative enrichment factors were ranged from 126-156 and 165 to 202 for DLLME and MAE-DLLME, respectively. The volume of extraction solvent was reduced from 50 µ</w:t>
      </w:r>
      <w:r>
        <w:rPr>
          <w:rFonts w:ascii="Times New Roman" w:hAnsi="Times New Roman"/>
          <w:sz w:val="18"/>
          <w:szCs w:val="18"/>
        </w:rPr>
        <w:t>L</w:t>
      </w:r>
      <w:r w:rsidRPr="00686D4E">
        <w:rPr>
          <w:rFonts w:ascii="Times New Roman" w:hAnsi="Times New Roman"/>
          <w:sz w:val="18"/>
          <w:szCs w:val="18"/>
        </w:rPr>
        <w:t xml:space="preserve"> to 30 µ</w:t>
      </w:r>
      <w:r>
        <w:rPr>
          <w:rFonts w:ascii="Times New Roman" w:hAnsi="Times New Roman"/>
          <w:sz w:val="18"/>
          <w:szCs w:val="18"/>
        </w:rPr>
        <w:t>L</w:t>
      </w:r>
      <w:r w:rsidRPr="00686D4E">
        <w:rPr>
          <w:rFonts w:ascii="Times New Roman" w:hAnsi="Times New Roman"/>
          <w:sz w:val="18"/>
          <w:szCs w:val="18"/>
        </w:rPr>
        <w:t xml:space="preserve"> in MAE- DLLME. The overall analytical performances of MAE-DLLME is better than DLLME. The application of proposed MAE- DLLME in real samples was also investigated and discussed.</w:t>
      </w:r>
    </w:p>
    <w:p w:rsidR="00D91EFE" w:rsidRPr="00686D4E" w:rsidRDefault="00D91EFE" w:rsidP="00D91EFE">
      <w:pPr>
        <w:spacing w:after="0" w:line="240" w:lineRule="auto"/>
        <w:jc w:val="both"/>
        <w:outlineLvl w:val="0"/>
        <w:rPr>
          <w:rFonts w:ascii="Times New Roman" w:hAnsi="Times New Roman"/>
          <w:sz w:val="18"/>
          <w:szCs w:val="18"/>
        </w:rPr>
      </w:pPr>
    </w:p>
    <w:p w:rsidR="00D91EFE" w:rsidRPr="00686D4E" w:rsidRDefault="00D91EFE" w:rsidP="00D91EFE">
      <w:pPr>
        <w:spacing w:after="0" w:line="240" w:lineRule="auto"/>
        <w:ind w:left="993" w:hanging="993"/>
        <w:jc w:val="both"/>
        <w:outlineLvl w:val="0"/>
        <w:rPr>
          <w:rFonts w:ascii="Times New Roman" w:hAnsi="Times New Roman"/>
          <w:sz w:val="18"/>
          <w:szCs w:val="18"/>
        </w:rPr>
      </w:pPr>
      <w:r w:rsidRPr="00686D4E">
        <w:rPr>
          <w:rFonts w:ascii="Times New Roman" w:hAnsi="Times New Roman"/>
          <w:b/>
          <w:sz w:val="18"/>
          <w:szCs w:val="18"/>
        </w:rPr>
        <w:t>Keywords</w:t>
      </w:r>
      <w:r w:rsidRPr="00686D4E">
        <w:rPr>
          <w:rFonts w:ascii="Times New Roman" w:hAnsi="Times New Roman"/>
          <w:b/>
          <w:bCs/>
          <w:sz w:val="18"/>
          <w:szCs w:val="18"/>
        </w:rPr>
        <w:t>:</w:t>
      </w:r>
      <w:r w:rsidRPr="00686D4E">
        <w:rPr>
          <w:rFonts w:ascii="Times New Roman" w:hAnsi="Times New Roman"/>
          <w:sz w:val="18"/>
          <w:szCs w:val="18"/>
        </w:rPr>
        <w:t xml:space="preserve"> dispersive liquid-liquid microextraction</w:t>
      </w:r>
      <w:r>
        <w:rPr>
          <w:rFonts w:ascii="Times New Roman" w:hAnsi="Times New Roman"/>
          <w:sz w:val="18"/>
          <w:szCs w:val="18"/>
        </w:rPr>
        <w:t>,</w:t>
      </w:r>
      <w:r w:rsidRPr="00686D4E">
        <w:rPr>
          <w:rFonts w:ascii="Times New Roman" w:hAnsi="Times New Roman"/>
          <w:sz w:val="18"/>
          <w:szCs w:val="18"/>
        </w:rPr>
        <w:t xml:space="preserve"> microwave-assisted extraction</w:t>
      </w:r>
      <w:r>
        <w:rPr>
          <w:rFonts w:ascii="Times New Roman" w:hAnsi="Times New Roman"/>
          <w:sz w:val="18"/>
          <w:szCs w:val="18"/>
        </w:rPr>
        <w:t>,</w:t>
      </w:r>
      <w:r w:rsidRPr="00686D4E">
        <w:rPr>
          <w:rFonts w:ascii="Times New Roman" w:hAnsi="Times New Roman"/>
          <w:sz w:val="18"/>
          <w:szCs w:val="18"/>
        </w:rPr>
        <w:t xml:space="preserve"> polycyclic aromatic hydrocarbons</w:t>
      </w:r>
      <w:r>
        <w:rPr>
          <w:rFonts w:ascii="Times New Roman" w:hAnsi="Times New Roman"/>
          <w:sz w:val="18"/>
          <w:szCs w:val="18"/>
        </w:rPr>
        <w:t>,</w:t>
      </w:r>
      <w:r w:rsidRPr="00686D4E">
        <w:rPr>
          <w:rFonts w:ascii="Times New Roman" w:hAnsi="Times New Roman"/>
          <w:sz w:val="18"/>
          <w:szCs w:val="18"/>
        </w:rPr>
        <w:t xml:space="preserve"> extraction solvent</w:t>
      </w:r>
    </w:p>
    <w:p w:rsidR="00D91EFE" w:rsidRPr="00686D4E" w:rsidRDefault="00D91EFE" w:rsidP="00D91EFE">
      <w:pPr>
        <w:spacing w:after="0" w:line="240" w:lineRule="auto"/>
        <w:jc w:val="center"/>
        <w:outlineLvl w:val="0"/>
        <w:rPr>
          <w:rFonts w:ascii="Times New Roman" w:hAnsi="Times New Roman"/>
          <w:b/>
          <w:sz w:val="18"/>
          <w:szCs w:val="18"/>
        </w:rPr>
      </w:pPr>
    </w:p>
    <w:p w:rsidR="00D91EFE" w:rsidRPr="00686D4E" w:rsidRDefault="00D91EFE" w:rsidP="00D91EFE">
      <w:pPr>
        <w:spacing w:after="0" w:line="240" w:lineRule="auto"/>
        <w:jc w:val="center"/>
        <w:outlineLvl w:val="0"/>
        <w:rPr>
          <w:rFonts w:ascii="Times New Roman" w:hAnsi="Times New Roman"/>
          <w:b/>
          <w:sz w:val="18"/>
          <w:szCs w:val="18"/>
          <w:lang w:val="ms-MY"/>
        </w:rPr>
      </w:pPr>
      <w:r w:rsidRPr="00686D4E">
        <w:rPr>
          <w:rFonts w:ascii="Times New Roman" w:hAnsi="Times New Roman"/>
          <w:b/>
          <w:sz w:val="18"/>
          <w:szCs w:val="18"/>
          <w:lang w:val="ms-MY"/>
        </w:rPr>
        <w:t>Abstrak</w:t>
      </w:r>
    </w:p>
    <w:p w:rsidR="00D91EFE" w:rsidRPr="00686D4E" w:rsidRDefault="00D91EFE" w:rsidP="00D91EFE">
      <w:pPr>
        <w:adjustRightInd w:val="0"/>
        <w:spacing w:after="0" w:line="240" w:lineRule="auto"/>
        <w:jc w:val="both"/>
        <w:rPr>
          <w:rFonts w:ascii="Times New Roman" w:hAnsi="Times New Roman"/>
          <w:sz w:val="18"/>
          <w:szCs w:val="18"/>
          <w:lang w:val="ms-MY"/>
        </w:rPr>
      </w:pPr>
      <w:r w:rsidRPr="00686D4E">
        <w:rPr>
          <w:rFonts w:ascii="Times New Roman" w:hAnsi="Times New Roman"/>
          <w:sz w:val="18"/>
          <w:szCs w:val="18"/>
          <w:lang w:val="ms-MY"/>
        </w:rPr>
        <w:t xml:space="preserve">Pengekstrakan berbantukan mikrogelombang (MAE) gandingan dengan pengekstrakan mikro cecair-cecair serakan (DLLME) yang diikuti dengan gas kromatografi-pengesan nyalaan ion (GC-FID) bagi penentukan 13 jenis hidrokarbon aromatik polisiklik (PAHs) dalam sampel sayur-sayuran telah dibangunkan dalam kajian ini. Analisis prestasi optimum DLLME dan MAE-DLLME seperti had pengesanan (LODs), kepersisan, kejituan, perolehan semula pengekstrakan secara relatif dan faktor-faktor pengayaan secara relatif telah disahkan dan dibandingkan. Had pengesanan (LODs) bagi DLLME dan MAE-DLLME adalah dalam lingkungan 0.040-0.400 dan 0.0200-0.080 μg/L, masing-masing. Bagi DLLME, kepersisan dan kejituan adalah dalam lingkungan 1.22-7.50% dan 71.77-90.93%, masing-masing; manakala bagi MAE-DLLME, adalah dalam lingkungan 0.77-3.07% dan 83.65-98.42%, masing-masing. Perolehan semula pengekstrakan secara relatif telah ditingkatkan daripada 70.81-85.41% pada DLLME hingga 85.79 - 99.61% pada MAE-DLLME. Faktor-faktor pengayaan secara relatif adalah 126-156 dan 165-202 bagi DLLME dan MAE-DLLME, masing-masing. </w:t>
      </w:r>
      <w:r>
        <w:rPr>
          <w:rFonts w:ascii="Times New Roman" w:hAnsi="Times New Roman"/>
          <w:sz w:val="18"/>
          <w:szCs w:val="18"/>
          <w:lang w:val="ms-MY"/>
        </w:rPr>
        <w:t xml:space="preserve"> </w:t>
      </w:r>
      <w:r w:rsidRPr="00686D4E">
        <w:rPr>
          <w:rFonts w:ascii="Times New Roman" w:hAnsi="Times New Roman"/>
          <w:sz w:val="18"/>
          <w:szCs w:val="18"/>
          <w:lang w:val="ms-MY"/>
        </w:rPr>
        <w:t xml:space="preserve">Jumlah </w:t>
      </w:r>
      <w:r>
        <w:rPr>
          <w:rFonts w:ascii="Times New Roman" w:hAnsi="Times New Roman"/>
          <w:sz w:val="18"/>
          <w:szCs w:val="18"/>
          <w:lang w:val="ms-MY"/>
        </w:rPr>
        <w:t xml:space="preserve"> </w:t>
      </w:r>
      <w:r w:rsidRPr="00686D4E">
        <w:rPr>
          <w:rFonts w:ascii="Times New Roman" w:hAnsi="Times New Roman"/>
          <w:sz w:val="18"/>
          <w:szCs w:val="18"/>
          <w:lang w:val="ms-MY"/>
        </w:rPr>
        <w:t xml:space="preserve">pengekstrakan pelarut yang digunakan telah dikurangkan daripada </w:t>
      </w:r>
      <w:r w:rsidRPr="00686D4E">
        <w:rPr>
          <w:rFonts w:ascii="Times New Roman" w:hAnsi="Times New Roman"/>
          <w:sz w:val="18"/>
          <w:szCs w:val="18"/>
          <w:lang w:val="ms-MY"/>
        </w:rPr>
        <w:lastRenderedPageBreak/>
        <w:t>50 μ</w:t>
      </w:r>
      <w:r>
        <w:rPr>
          <w:rFonts w:ascii="Times New Roman" w:hAnsi="Times New Roman"/>
          <w:sz w:val="18"/>
          <w:szCs w:val="18"/>
          <w:lang w:val="ms-MY"/>
        </w:rPr>
        <w:t>L</w:t>
      </w:r>
      <w:r w:rsidRPr="00686D4E">
        <w:rPr>
          <w:rFonts w:ascii="Times New Roman" w:hAnsi="Times New Roman"/>
          <w:sz w:val="18"/>
          <w:szCs w:val="18"/>
          <w:lang w:val="ms-MY"/>
        </w:rPr>
        <w:t xml:space="preserve"> di DLLME kepada 30 μ</w:t>
      </w:r>
      <w:r>
        <w:rPr>
          <w:rFonts w:ascii="Times New Roman" w:hAnsi="Times New Roman"/>
          <w:sz w:val="18"/>
          <w:szCs w:val="18"/>
          <w:lang w:val="ms-MY"/>
        </w:rPr>
        <w:t>L</w:t>
      </w:r>
      <w:r w:rsidRPr="00686D4E">
        <w:rPr>
          <w:rFonts w:ascii="Times New Roman" w:hAnsi="Times New Roman"/>
          <w:sz w:val="18"/>
          <w:szCs w:val="18"/>
          <w:lang w:val="ms-MY"/>
        </w:rPr>
        <w:t xml:space="preserve"> di MAE-DLLME. Prestasi keseluruhan analisis MAE-DLLME adalah lebih baik daripada DLLME. Penggunaan MAE-DLLME dalam analisis sampel sebenar juga disiasat dan dibincangkan.</w:t>
      </w:r>
    </w:p>
    <w:p w:rsidR="00D91EFE" w:rsidRPr="00686D4E" w:rsidRDefault="00D91EFE" w:rsidP="00D91EFE">
      <w:pPr>
        <w:adjustRightInd w:val="0"/>
        <w:spacing w:after="0" w:line="240" w:lineRule="auto"/>
        <w:jc w:val="both"/>
        <w:rPr>
          <w:rFonts w:ascii="Times New Roman" w:hAnsi="Times New Roman"/>
          <w:sz w:val="18"/>
          <w:szCs w:val="18"/>
          <w:lang w:val="ms-MY"/>
        </w:rPr>
      </w:pPr>
    </w:p>
    <w:p w:rsidR="00D91EFE" w:rsidRPr="00686D4E" w:rsidRDefault="00D91EFE" w:rsidP="00D91EFE">
      <w:pPr>
        <w:spacing w:after="0" w:line="240" w:lineRule="auto"/>
        <w:ind w:left="1080" w:hanging="1080"/>
        <w:jc w:val="both"/>
        <w:outlineLvl w:val="0"/>
        <w:rPr>
          <w:rFonts w:ascii="Times New Roman" w:hAnsi="Times New Roman"/>
          <w:sz w:val="18"/>
          <w:szCs w:val="18"/>
          <w:lang w:val="ms-MY"/>
        </w:rPr>
      </w:pPr>
      <w:r w:rsidRPr="00686D4E">
        <w:rPr>
          <w:rFonts w:ascii="Times New Roman" w:hAnsi="Times New Roman"/>
          <w:b/>
          <w:sz w:val="18"/>
          <w:szCs w:val="18"/>
          <w:lang w:val="ms-MY"/>
        </w:rPr>
        <w:t xml:space="preserve">Kata kunci: </w:t>
      </w:r>
      <w:r>
        <w:rPr>
          <w:rFonts w:ascii="Times New Roman" w:hAnsi="Times New Roman"/>
          <w:b/>
          <w:sz w:val="18"/>
          <w:szCs w:val="18"/>
          <w:lang w:val="ms-MY"/>
        </w:rPr>
        <w:tab/>
      </w:r>
      <w:r w:rsidRPr="00686D4E">
        <w:rPr>
          <w:rFonts w:ascii="Times New Roman" w:hAnsi="Times New Roman"/>
          <w:sz w:val="18"/>
          <w:szCs w:val="18"/>
          <w:lang w:val="ms-MY"/>
        </w:rPr>
        <w:t>pengekstrakan mikro cecair-cecair serakan</w:t>
      </w:r>
      <w:r>
        <w:rPr>
          <w:rFonts w:ascii="Times New Roman" w:hAnsi="Times New Roman"/>
          <w:sz w:val="18"/>
          <w:szCs w:val="18"/>
          <w:lang w:val="ms-MY"/>
        </w:rPr>
        <w:t>,</w:t>
      </w:r>
      <w:r w:rsidRPr="00686D4E">
        <w:rPr>
          <w:rFonts w:ascii="Times New Roman" w:hAnsi="Times New Roman"/>
          <w:sz w:val="18"/>
          <w:szCs w:val="18"/>
          <w:lang w:val="ms-MY"/>
        </w:rPr>
        <w:t xml:space="preserve"> pengekstrakan berbantukan mikrogelombang</w:t>
      </w:r>
      <w:r>
        <w:rPr>
          <w:rFonts w:ascii="Times New Roman" w:hAnsi="Times New Roman"/>
          <w:sz w:val="18"/>
          <w:szCs w:val="18"/>
          <w:lang w:val="ms-MY"/>
        </w:rPr>
        <w:t>,</w:t>
      </w:r>
      <w:r w:rsidRPr="00686D4E">
        <w:rPr>
          <w:rFonts w:ascii="Times New Roman" w:hAnsi="Times New Roman"/>
          <w:sz w:val="18"/>
          <w:szCs w:val="18"/>
          <w:lang w:val="ms-MY"/>
        </w:rPr>
        <w:t xml:space="preserve"> hidrokarbon aromatik polisiklik</w:t>
      </w:r>
      <w:r>
        <w:rPr>
          <w:rFonts w:ascii="Times New Roman" w:hAnsi="Times New Roman"/>
          <w:sz w:val="18"/>
          <w:szCs w:val="18"/>
          <w:lang w:val="ms-MY"/>
        </w:rPr>
        <w:t>,</w:t>
      </w:r>
      <w:r w:rsidRPr="00686D4E">
        <w:rPr>
          <w:rFonts w:ascii="Times New Roman" w:hAnsi="Times New Roman"/>
          <w:sz w:val="18"/>
          <w:szCs w:val="18"/>
          <w:lang w:val="ms-MY"/>
        </w:rPr>
        <w:t xml:space="preserve"> pelarut pengekstrakan.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Vegetables and fruits are essential elements of a healthy daily diet. They provide a large amount of vitamins, fibres and minerals. However, the occurrence of polycyclic aromatic hydrocarbons (PAHs) exposure on vegetables has been reported [1-3]. The contamination of PAHs on vegetables are primarily from human activities. Previous studies reported that the vegetables that grew in vicinity of contaminated sources were contaminated with high levels of PAHs sufficient to threaten human health [1, 2]. PAHs are a group of hydrocarbons with fused aromatic rings that form during the incomplete combustion of organic compounds. Numerous studies have confirmed their carcinogenicity. Therefore, PAHs have been declared as carcinogens and genotoxins by Scientific Committee on Food (SCF) [4] and the Joint FAO/WHO Expert Committee on Food Additives (JECFA) [5]. Since vegetables are an important part of human daily diets, it is necessary to ensure that vegetables are not exposed to high levels of PAHs.</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Most analytical instruments are unable to handle analytes directly in food sample with complex matrices and usually trace levels of PAHs are found in food samples [6]. Therefore, before chromatographic analysis, well- designed sample preparation is necessary for the extraction and preconcentration of analytes from the food sample. There are several sample preparation methods available for extraction of PAHs from vegetable samples. Dispersive liquid-liquid microextraction (DLLME) is one of the successful sample preparation techniques developed by Rezaee et al. [7]. The DLLME technique showed several advantages such as miniaturized solvent consumption, simplicity, rapidity and high extraction efficiency [8]. However, DLLME has several drawbacks. Chlorinated solvents which are highly toxic usually chosen as extraction solvents due to their high efficiency [9]. Previous studies have employed DLLME for extraction of PAHs from vegetables and the presence of matrix interference was reported [9]. Even though dilution was used to reduce the effect of matrix interference, matrix components were still present and mixed with extraction solvent. This caused difficulty in transferring the clean extraction phase for chromatographic analysis and a high volume of extraction solvent was required to reduce this problem. In order to overcome the matrix interference of DLLME, it is imperative to introduce a clean-up step before chromatographic analysis of PAHs.</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Recently, microwave-assisted extraction (MAE) has been developed for food samples preparation. MAE helps to isolate the organic analytes from food matrices. MAE gained noticeable attraction due to its extraction time minimization, low volumes of organic solvents consumption and increased extraction recovery [10]. MAE has been successfully used in previous studies to clean up food samples [11-13]. In the previous study [14], two extraction methods, which are DLLME and MAE coupled with DLLME (MAE-DLLME), have been used for the determination of 13 PAHs in vegetables followed by gas-chromatography-flame ionization detector (GC-FID). Various parameters such as extraction solvent, dispersion solvent, extraction time, microwave power and the irradiation time of MAE-DLLME have been studied and optimized. To overcome the limitations of using toxic chlorinated solvents as extraction solvents in conventional DLLME, the study selected low toxic brominated and alcohol solvents for extraction. The main objective of this study was to validate and compare analytical performances of DLLME and MAE-DLLME. The efficiency of both methods for extraction of 13 PAHs in different vegetable samples was also investigated.</w:t>
      </w:r>
    </w:p>
    <w:p w:rsidR="00385610" w:rsidRPr="00D91EFE" w:rsidRDefault="00385610" w:rsidP="00385610">
      <w:pPr>
        <w:spacing w:after="0" w:line="240" w:lineRule="auto"/>
        <w:jc w:val="center"/>
        <w:outlineLvl w:val="0"/>
        <w:rPr>
          <w:rFonts w:ascii="Times New Roman" w:hAnsi="Times New Roman"/>
          <w:sz w:val="20"/>
          <w:szCs w:val="20"/>
        </w:rPr>
      </w:pPr>
    </w:p>
    <w:p w:rsidR="00385610" w:rsidRPr="00D91EFE" w:rsidRDefault="00385610" w:rsidP="00385610">
      <w:pPr>
        <w:spacing w:after="0" w:line="240" w:lineRule="auto"/>
        <w:jc w:val="center"/>
        <w:outlineLvl w:val="0"/>
        <w:rPr>
          <w:rFonts w:ascii="Times New Roman" w:hAnsi="Times New Roman"/>
          <w:b/>
          <w:sz w:val="20"/>
          <w:szCs w:val="20"/>
        </w:rPr>
      </w:pPr>
      <w:r w:rsidRPr="00D91EFE">
        <w:rPr>
          <w:rFonts w:ascii="Times New Roman" w:hAnsi="Times New Roman"/>
          <w:b/>
          <w:sz w:val="20"/>
          <w:szCs w:val="20"/>
        </w:rPr>
        <w:t>Materials and Methods</w:t>
      </w:r>
    </w:p>
    <w:p w:rsidR="00385610" w:rsidRPr="00D91EFE" w:rsidRDefault="00385610" w:rsidP="00385610">
      <w:pPr>
        <w:spacing w:after="0" w:line="240" w:lineRule="auto"/>
        <w:jc w:val="both"/>
        <w:outlineLvl w:val="0"/>
        <w:rPr>
          <w:rFonts w:ascii="Times New Roman" w:hAnsi="Times New Roman"/>
          <w:b/>
          <w:sz w:val="20"/>
          <w:szCs w:val="20"/>
        </w:rPr>
      </w:pPr>
      <w:r w:rsidRPr="00D91EFE">
        <w:rPr>
          <w:rFonts w:ascii="Times New Roman" w:hAnsi="Times New Roman"/>
          <w:b/>
          <w:sz w:val="20"/>
          <w:szCs w:val="20"/>
        </w:rPr>
        <w:t>Reagents and materials</w:t>
      </w: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 xml:space="preserve">Standard formulations of 13 PAHs (EPA 525 PAH Mix B, 500 µg/ml in acetone), containing acenaphthylene (ACY), phenanthrene (PHE), fluorine (FLU), anthracene (ANT), benzo[a]anthracene (BaA), pyrene (PYR), benzo[a]pyrene (BaP), chrysene (CHR), benzo[b]fluoranthene (BbF), benzo[k]fluoranthene (BkF), benzo[ghi]perylene (BghiP), dibenz[a,h]anthracene (DahA), indeno[1,2,3-cd]pyrene (IcP) and biphenyl solution (2000 µg/ml in methanol) were purchased from Sigma-Aldrich (USA). Acetone, hexane and acetonitrile were </w:t>
      </w:r>
      <w:r w:rsidRPr="00D91EFE">
        <w:rPr>
          <w:rFonts w:ascii="Times New Roman" w:hAnsi="Times New Roman"/>
          <w:sz w:val="20"/>
          <w:szCs w:val="20"/>
        </w:rPr>
        <w:lastRenderedPageBreak/>
        <w:t>purchased from Fisher Scientific (Loughborough, UK). Highest purity bromobenzene, 1-bromo-3-methylbutane, 1-bromobutane, 2-ethyl-1-hexanol, 2-heptanol, 2-bromo-2-methylbutane and 2-octanol were purchased from Merck (Darmstadt, Germany). All the reagents used were HPLC grade or analytical reagent grade.</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Mixed working solutions (10 mg/L) of 13 PAHs and biphenyl as internal standard were prepared in acetone and methanol, respectively. Stock solutions were stored at 4°C in a refrigerator prior to use. Diluted solution was prepared daily for further studies.</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outlineLvl w:val="0"/>
        <w:rPr>
          <w:rFonts w:ascii="Times New Roman" w:hAnsi="Times New Roman"/>
          <w:b/>
          <w:sz w:val="20"/>
          <w:szCs w:val="20"/>
        </w:rPr>
      </w:pPr>
      <w:r w:rsidRPr="00D91EFE">
        <w:rPr>
          <w:rFonts w:ascii="Times New Roman" w:hAnsi="Times New Roman"/>
          <w:b/>
          <w:sz w:val="20"/>
          <w:szCs w:val="20"/>
        </w:rPr>
        <w:t>Instrumentations</w:t>
      </w: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The mixture of PAHs was separated and identified using a gas chromatograph (GC, Agilent 7890A) with a split/splitless injector system, Agilent 7683B automatic liquid sampler and a flame ionization detector (FID). The SLB-5ms capillary column (30 m×0.25 mm ID, 0.25 µm film thickness) was used for PAHs separation. The carrier gas was high purity helium gas (99.9995%, Air products, UK), with a flow rate of 1.67 mL/min. It was passed through an Agilent Big Universal Trap-Helium purge (model RMSN-2) to remove water, oxygen and hydrocarbons. The injection port was kept at 290 °C and splitless mode was used. The PAHs separation was conducted with the following programmed temperatures: initial 70 °C held for 1 minute, 20 °C/min to 120 °C held for 1 minute; 120 to 258 at 10 °C/min held for 1 minute; 258 °C to 262 °C at 1 °C/min held for 2 minutes; and 262 °C to 280 °C at 5 °C/min and held for 5.1 minutes. The total time for one GC run was 36 minutes. The FID temperature was maintained at 300 °C, hydrogen gas (Air products, UK) and nitrogen gas (makeup flow) (Air products, UK) were regulated at a flow of 35 mL/min. The air flow (Air products, UK) for FID was at 350 mL/min. Agilent Chemstation (B.04.02 version) was used as an instrumental controller and for data analysis.</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outlineLvl w:val="0"/>
        <w:rPr>
          <w:rFonts w:ascii="Times New Roman" w:hAnsi="Times New Roman"/>
          <w:b/>
          <w:sz w:val="20"/>
          <w:szCs w:val="20"/>
        </w:rPr>
      </w:pPr>
      <w:r w:rsidRPr="00D91EFE">
        <w:rPr>
          <w:rFonts w:ascii="Times New Roman" w:hAnsi="Times New Roman"/>
          <w:b/>
          <w:sz w:val="20"/>
          <w:szCs w:val="20"/>
        </w:rPr>
        <w:t>Sample preparation</w:t>
      </w: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The vegetable samples (cabbage) were purchased from a local hypermarket and washed with running tap water. The mass of 25 g vegetable was weighted, added with 300 mL distilled water, and homogenized using food processor (Philips, HR2001/70). Then, the homogenized sample was sieved using sift followed by filtration using Whatman filter paper (Grade 1, 110 mm). The filtered sample were then centrifuged using Spinplus Centrifuge (Topscien) at 4000 rpm for 5 minutes. After that, the supernatant was filtered using 0.22 µm pore size nylon membrane filters (Jinlong) and appropriate volume of filtered sample was transferred into glass bottle. The sample was spiked with appropriate concentrations of PAHs and biphenyl (internal standard) before extraction with DLLME or MAE-DLLME.</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outlineLvl w:val="0"/>
        <w:rPr>
          <w:rFonts w:ascii="Times New Roman" w:hAnsi="Times New Roman"/>
          <w:b/>
          <w:sz w:val="20"/>
          <w:szCs w:val="20"/>
        </w:rPr>
      </w:pPr>
      <w:r w:rsidRPr="00D91EFE">
        <w:rPr>
          <w:rFonts w:ascii="Times New Roman" w:hAnsi="Times New Roman"/>
          <w:b/>
          <w:sz w:val="20"/>
          <w:szCs w:val="20"/>
        </w:rPr>
        <w:t>DLLME extraction</w:t>
      </w:r>
    </w:p>
    <w:p w:rsidR="00385610" w:rsidRPr="00D91EFE" w:rsidRDefault="00385610" w:rsidP="00385610">
      <w:pPr>
        <w:spacing w:after="0" w:line="240" w:lineRule="auto"/>
        <w:jc w:val="both"/>
        <w:outlineLvl w:val="0"/>
        <w:rPr>
          <w:rFonts w:ascii="Times New Roman" w:hAnsi="Times New Roman"/>
          <w:sz w:val="20"/>
          <w:szCs w:val="20"/>
        </w:rPr>
      </w:pPr>
      <w:r w:rsidRPr="00D91EFE">
        <w:rPr>
          <w:rFonts w:ascii="Times New Roman" w:hAnsi="Times New Roman"/>
          <w:sz w:val="20"/>
          <w:szCs w:val="20"/>
        </w:rPr>
        <w:t xml:space="preserve">The parameters effecting the DLLME extraction such as extraction solvent, dispersion solvent, extraction time have been studied and optimized [14]. The mixture of extraction solvent (1-bromo-3-methylbutane), dispersive solvent (acetone) and internal standard (biphenyl) was rapidly injected into centrifuge tube containing spiked sample using a microvolume syringe in one minute extraction time. The mixture was gently shaken and centrifuged at 4000 rpm for 3 minutes. After centrifugation, organic phase was collected with syringe and sent for GC-FID analysis. The extraction was conducted in triplicate (n = 3). </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outlineLvl w:val="0"/>
        <w:rPr>
          <w:rFonts w:ascii="Times New Roman" w:hAnsi="Times New Roman"/>
          <w:b/>
          <w:sz w:val="20"/>
          <w:szCs w:val="20"/>
        </w:rPr>
      </w:pPr>
      <w:r w:rsidRPr="00D91EFE">
        <w:rPr>
          <w:rFonts w:ascii="Times New Roman" w:hAnsi="Times New Roman"/>
          <w:b/>
          <w:sz w:val="20"/>
          <w:szCs w:val="20"/>
        </w:rPr>
        <w:t>MAE-DLLME extraction</w:t>
      </w: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 xml:space="preserve">Parameters such as microwave power, extraction solvent and irradiation time were optimized in the previous study [14]. The volume of 4 mL extraction solvent (acetone) was added into glass bottle containing 10 mL spiked sample. Then, it was closed with cap and microwaved at 200 W for 1.5 minutes. After it was cooling down to room temperature, the spiked sample was shifted into centrifuge tube and centrifuged at 4000 rpm for 5 minutes. Then, 5 mL aqueous phase was transferred into another centrifuge tube and immediately used for DLLME extraction process as described above. </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rPr>
          <w:rFonts w:ascii="Times New Roman" w:hAnsi="Times New Roman"/>
          <w:b/>
          <w:sz w:val="20"/>
          <w:szCs w:val="20"/>
        </w:rPr>
      </w:pPr>
      <w:r w:rsidRPr="00D91EFE">
        <w:rPr>
          <w:rFonts w:ascii="Times New Roman" w:hAnsi="Times New Roman"/>
          <w:b/>
          <w:sz w:val="20"/>
          <w:szCs w:val="20"/>
        </w:rPr>
        <w:t>Analytical Performances of DLLME and MAE-DLLME</w:t>
      </w: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 xml:space="preserve">Analytical parameters including sensitivity, limits of detection (LOD) and limits of quantification (LOQ), precision, accuracy, relative enrichment factor (EF) and relative extraction recovery (ER) were investigated and compared. The validation methods used were followed guideline set by International Conference on Harmonization (ICH) [15]. The validation was conducted in triplicate (n = 3). In this study, the calculation of LOD was performed by analyzing </w:t>
      </w:r>
      <w:r w:rsidRPr="00D91EFE">
        <w:rPr>
          <w:rFonts w:ascii="Times New Roman" w:hAnsi="Times New Roman"/>
          <w:sz w:val="20"/>
          <w:szCs w:val="20"/>
        </w:rPr>
        <w:lastRenderedPageBreak/>
        <w:t>blank samples which spiked with decreased concentration of PAHs until a peak height of three time higher than the noise level was achieved (S/N=3). For the calculation of LOQ, the blank samples which spiked with decreased concentration of PAHs were analyzed until a peak height of ten time higher than the noise level was achieved (S/N=10).</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Accuracy was evaluated by spiking the vegetable sample with the standard solutions of PAHs at three different concentrations in triplicate. The results of spiked samples and spiked distilled water were compared. The precision was studied in terms of intra- and inter-day variability and evaluated at three concentration levels of PAHs. The precision was studied in triplicate (n = 3) during the same day (repeatability) and three different days (intermediate precision) in a week. The precision was expressed as the percentage of relative standard deviation (RSD%).</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sz w:val="20"/>
          <w:szCs w:val="20"/>
        </w:rPr>
        <w:t>The extraction recovery (ER) was defined as the ratio of the amount of analyte in sedimented phase (n</w:t>
      </w:r>
      <w:r w:rsidRPr="00D91EFE">
        <w:rPr>
          <w:rFonts w:ascii="Times New Roman" w:hAnsi="Times New Roman"/>
          <w:sz w:val="20"/>
          <w:szCs w:val="20"/>
          <w:vertAlign w:val="subscript"/>
        </w:rPr>
        <w:t>sed</w:t>
      </w:r>
      <w:r w:rsidRPr="00D91EFE">
        <w:rPr>
          <w:rFonts w:ascii="Times New Roman" w:hAnsi="Times New Roman"/>
          <w:sz w:val="20"/>
          <w:szCs w:val="20"/>
        </w:rPr>
        <w:t>) with the initial amount of analyte in the sample (n</w:t>
      </w:r>
      <w:r w:rsidRPr="00D91EFE">
        <w:rPr>
          <w:rFonts w:ascii="Times New Roman" w:hAnsi="Times New Roman"/>
          <w:sz w:val="20"/>
          <w:szCs w:val="20"/>
          <w:vertAlign w:val="subscript"/>
        </w:rPr>
        <w:t>0</w:t>
      </w:r>
      <w:r w:rsidRPr="00D91EFE">
        <w:rPr>
          <w:rFonts w:ascii="Times New Roman" w:hAnsi="Times New Roman"/>
          <w:sz w:val="20"/>
          <w:szCs w:val="20"/>
        </w:rPr>
        <w:t>). The enrichment factor (EF) was defined as the ratio between the concentration of analytes in the sedimented phase (C</w:t>
      </w:r>
      <w:r w:rsidRPr="00D91EFE">
        <w:rPr>
          <w:rFonts w:ascii="Times New Roman" w:hAnsi="Times New Roman"/>
          <w:sz w:val="20"/>
          <w:szCs w:val="20"/>
          <w:vertAlign w:val="subscript"/>
        </w:rPr>
        <w:t>sed</w:t>
      </w:r>
      <w:r w:rsidRPr="00D91EFE">
        <w:rPr>
          <w:rFonts w:ascii="Times New Roman" w:hAnsi="Times New Roman"/>
          <w:sz w:val="20"/>
          <w:szCs w:val="20"/>
        </w:rPr>
        <w:t>) with the initial concentration of analyte (C</w:t>
      </w:r>
      <w:r w:rsidRPr="00D91EFE">
        <w:rPr>
          <w:rFonts w:ascii="Times New Roman" w:hAnsi="Times New Roman"/>
          <w:sz w:val="20"/>
          <w:szCs w:val="20"/>
          <w:vertAlign w:val="subscript"/>
        </w:rPr>
        <w:t>0</w:t>
      </w:r>
      <w:r w:rsidRPr="00D91EFE">
        <w:rPr>
          <w:rFonts w:ascii="Times New Roman" w:hAnsi="Times New Roman"/>
          <w:sz w:val="20"/>
          <w:szCs w:val="20"/>
        </w:rPr>
        <w:t>) within the sample [16]. The relative ERs (or EFs) were defined as ratio of ERs (or EFs) attained by spiking vegetable sample and spiked distilled water. Relative enrichment factor (EF) was defined as ratio of EF obtained by spiked vegetable sample and spiked distilled water within the working range [16].</w:t>
      </w:r>
    </w:p>
    <w:p w:rsidR="00385610" w:rsidRPr="00D91EFE" w:rsidRDefault="00385610" w:rsidP="00385610">
      <w:pPr>
        <w:spacing w:after="0" w:line="240" w:lineRule="auto"/>
        <w:jc w:val="both"/>
        <w:rPr>
          <w:rFonts w:ascii="Times New Roman" w:hAnsi="Times New Roman"/>
          <w:sz w:val="20"/>
          <w:szCs w:val="20"/>
        </w:rPr>
      </w:pPr>
    </w:p>
    <w:p w:rsidR="00385610" w:rsidRPr="00D91EFE" w:rsidRDefault="00385610" w:rsidP="00385610">
      <w:pPr>
        <w:spacing w:after="0" w:line="240" w:lineRule="auto"/>
        <w:jc w:val="both"/>
        <w:rPr>
          <w:rFonts w:ascii="Times New Roman" w:hAnsi="Times New Roman"/>
          <w:sz w:val="20"/>
          <w:szCs w:val="20"/>
        </w:rPr>
      </w:pPr>
      <w:r w:rsidRPr="00D91EFE">
        <w:rPr>
          <w:rFonts w:ascii="Times New Roman" w:hAnsi="Times New Roman"/>
          <w:b/>
          <w:sz w:val="20"/>
          <w:szCs w:val="20"/>
        </w:rPr>
        <w:t>Real sample analysis</w:t>
      </w:r>
    </w:p>
    <w:p w:rsidR="006768E9" w:rsidRPr="00F447A7" w:rsidRDefault="00385610" w:rsidP="00385610">
      <w:pPr>
        <w:spacing w:after="0" w:line="240" w:lineRule="auto"/>
        <w:jc w:val="both"/>
        <w:rPr>
          <w:rFonts w:ascii="Times New Roman" w:hAnsi="Times New Roman"/>
          <w:noProof/>
          <w:sz w:val="20"/>
          <w:szCs w:val="20"/>
          <w:lang w:bidi="ar-SA"/>
        </w:rPr>
      </w:pPr>
      <w:r w:rsidRPr="00D91EFE">
        <w:rPr>
          <w:rFonts w:ascii="Times New Roman" w:hAnsi="Times New Roman"/>
          <w:sz w:val="20"/>
          <w:szCs w:val="20"/>
        </w:rPr>
        <w:t>To evaluate the feasibility of the proposed MAE-DLLME in real sample analysis, three types of popular salad organic vegetables, namely cabbage, tomato and carrot, purchased from a local market, were analyzed. The samples were prepared, extracted and analyzed using optimized MAE-DLLME-GC-FID. Relative ER was used to express the efficiency of proposed MAE-DLLME.</w:t>
      </w:r>
    </w:p>
    <w:p w:rsidR="00385610" w:rsidRDefault="0038561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85610" w:rsidRPr="00385610" w:rsidRDefault="00385610" w:rsidP="00385610">
      <w:pPr>
        <w:spacing w:after="0" w:line="240" w:lineRule="auto"/>
        <w:jc w:val="both"/>
        <w:rPr>
          <w:rFonts w:ascii="Times New Roman" w:hAnsi="Times New Roman"/>
          <w:sz w:val="20"/>
          <w:szCs w:val="20"/>
        </w:rPr>
      </w:pPr>
      <w:r w:rsidRPr="00385610">
        <w:rPr>
          <w:rFonts w:ascii="Times New Roman" w:hAnsi="Times New Roman"/>
          <w:sz w:val="20"/>
          <w:szCs w:val="20"/>
        </w:rPr>
        <w:t>In this study, the one-at-a-time design has been employed to study the effects of parameters affecting the efficiency of MAE-DLLME. Relative extraction recovery (ER) and relative enrichment factor (EF) were used to express the extraction efficiency.</w:t>
      </w:r>
    </w:p>
    <w:p w:rsidR="00385610" w:rsidRPr="00385610" w:rsidRDefault="00385610" w:rsidP="00385610">
      <w:pPr>
        <w:spacing w:after="0" w:line="240" w:lineRule="auto"/>
        <w:jc w:val="both"/>
        <w:rPr>
          <w:rFonts w:ascii="Times New Roman" w:hAnsi="Times New Roman"/>
          <w:sz w:val="20"/>
          <w:szCs w:val="20"/>
        </w:rPr>
      </w:pPr>
    </w:p>
    <w:p w:rsidR="00385610" w:rsidRPr="00385610" w:rsidRDefault="00385610" w:rsidP="00385610">
      <w:pPr>
        <w:spacing w:after="0" w:line="240" w:lineRule="auto"/>
        <w:jc w:val="both"/>
        <w:rPr>
          <w:rFonts w:ascii="Times New Roman" w:hAnsi="Times New Roman"/>
          <w:b/>
          <w:sz w:val="20"/>
          <w:szCs w:val="20"/>
        </w:rPr>
      </w:pPr>
      <w:r w:rsidRPr="00385610">
        <w:rPr>
          <w:rFonts w:ascii="Times New Roman" w:hAnsi="Times New Roman"/>
          <w:b/>
          <w:sz w:val="20"/>
          <w:szCs w:val="20"/>
        </w:rPr>
        <w:t>Optimization of DLLME and MAE-DLLME</w:t>
      </w:r>
    </w:p>
    <w:p w:rsidR="00385610" w:rsidRPr="00385610" w:rsidRDefault="00385610" w:rsidP="00385610">
      <w:pPr>
        <w:spacing w:after="0" w:line="240" w:lineRule="auto"/>
        <w:jc w:val="both"/>
        <w:rPr>
          <w:rFonts w:ascii="Times New Roman" w:hAnsi="Times New Roman"/>
          <w:sz w:val="20"/>
          <w:szCs w:val="20"/>
        </w:rPr>
      </w:pPr>
      <w:r w:rsidRPr="00385610">
        <w:rPr>
          <w:rFonts w:ascii="Times New Roman" w:hAnsi="Times New Roman"/>
          <w:sz w:val="20"/>
          <w:szCs w:val="20"/>
        </w:rPr>
        <w:t xml:space="preserve">The optimization of DLLME and MAE-DLLME extractions followed by a gas chromatography-flame ionization detector (GC-FID) for the determination of 13 PAHs in vegetables was discussed in a previous paper [14]. The extraction solvent of 1-bromo-3-methylbutane was found to be the most efficient in extracting the 13 investigated PAHs because of its nonpolar and water-insoluble nature which able to form nonpolar interaction with PAHs. Besides that, the solvent of 1-bromo-3-methylbutane is low toxic and less viscous than other extraction solvents. Low viscosity is more favorable for the extraction of PAHs because high viscosity would slow down the mass transfer thus reduce extraction efficiency [8, 17]. </w:t>
      </w:r>
    </w:p>
    <w:p w:rsidR="00385610" w:rsidRPr="00385610" w:rsidRDefault="00385610" w:rsidP="00385610">
      <w:pPr>
        <w:spacing w:after="0" w:line="240" w:lineRule="auto"/>
        <w:jc w:val="both"/>
        <w:rPr>
          <w:rFonts w:ascii="Times New Roman" w:hAnsi="Times New Roman"/>
          <w:sz w:val="20"/>
          <w:szCs w:val="20"/>
        </w:rPr>
      </w:pPr>
    </w:p>
    <w:p w:rsidR="00385610" w:rsidRPr="00385610" w:rsidRDefault="00385610" w:rsidP="00385610">
      <w:pPr>
        <w:spacing w:after="0" w:line="240" w:lineRule="auto"/>
        <w:jc w:val="both"/>
        <w:rPr>
          <w:rFonts w:ascii="Times New Roman" w:hAnsi="Times New Roman"/>
          <w:sz w:val="20"/>
          <w:szCs w:val="20"/>
        </w:rPr>
      </w:pPr>
      <w:r w:rsidRPr="00385610">
        <w:rPr>
          <w:rFonts w:ascii="Times New Roman" w:hAnsi="Times New Roman"/>
          <w:sz w:val="20"/>
          <w:szCs w:val="20"/>
        </w:rPr>
        <w:t>The optimum DLLME conditions were 5.0 mL of sample solution, 30 μL of 1-bromo-3-methylbutane (extraction solvent) and 800 μL of acetone (dispersive solvent) in one minute extraction time. In the MAE-DLLME, the sample was extracted by microwave power of 200 W in acetone for 1.5 minutes of irradiation time at room temperature followed by optimized DLLME [14].</w:t>
      </w:r>
    </w:p>
    <w:p w:rsidR="00385610" w:rsidRPr="00385610" w:rsidRDefault="00385610" w:rsidP="00385610">
      <w:pPr>
        <w:spacing w:after="0" w:line="240" w:lineRule="auto"/>
        <w:jc w:val="both"/>
        <w:rPr>
          <w:rFonts w:ascii="Times New Roman" w:hAnsi="Times New Roman"/>
          <w:sz w:val="20"/>
          <w:szCs w:val="20"/>
        </w:rPr>
      </w:pPr>
    </w:p>
    <w:p w:rsidR="00385610" w:rsidRPr="00385610" w:rsidRDefault="00385610" w:rsidP="00385610">
      <w:pPr>
        <w:spacing w:after="0" w:line="240" w:lineRule="auto"/>
        <w:jc w:val="both"/>
        <w:rPr>
          <w:rFonts w:ascii="Times New Roman" w:hAnsi="Times New Roman"/>
          <w:b/>
          <w:sz w:val="20"/>
          <w:szCs w:val="20"/>
        </w:rPr>
      </w:pPr>
      <w:r w:rsidRPr="00385610">
        <w:rPr>
          <w:rFonts w:ascii="Times New Roman" w:hAnsi="Times New Roman"/>
          <w:b/>
          <w:sz w:val="20"/>
          <w:szCs w:val="20"/>
        </w:rPr>
        <w:t>Analytical performances of DLLME and MAE-DLLME</w:t>
      </w:r>
    </w:p>
    <w:p w:rsidR="00385610" w:rsidRPr="00385610" w:rsidRDefault="00385610" w:rsidP="00385610">
      <w:pPr>
        <w:spacing w:after="0" w:line="240" w:lineRule="auto"/>
        <w:jc w:val="both"/>
        <w:rPr>
          <w:rFonts w:ascii="Times New Roman" w:hAnsi="Times New Roman"/>
          <w:sz w:val="20"/>
          <w:szCs w:val="20"/>
        </w:rPr>
      </w:pPr>
      <w:r w:rsidRPr="00385610">
        <w:rPr>
          <w:rFonts w:ascii="Times New Roman" w:hAnsi="Times New Roman"/>
          <w:sz w:val="20"/>
          <w:szCs w:val="20"/>
        </w:rPr>
        <w:t>The sensitivity of DLLME and MAE-DLLME were evaluated by comparing chromatograms of blank sample obtained using optimized DLLME, optimized MAE-DLLME and chromatogram of spiked cabbage sample obtained using optimized MAE-DLLME. The results were illustrated in Figure 1. Based on Figure 1(a) and (b), some interferences were not fully abated in MAE-DLLME because there were some peaks still appear on the chromatogram (Figure 1b). However, their peak’s number and height were lesser and lower than the interference peaks in DLLME (Figure 1a). Furthermore, no interference in MAE-DLLME was overlapped with the peak of PAHs. Therefore MAE-DLLME has better sensitivity than DLLME.</w:t>
      </w:r>
    </w:p>
    <w:p w:rsidR="00385610" w:rsidRPr="00385610" w:rsidRDefault="00385610" w:rsidP="00385610">
      <w:pPr>
        <w:spacing w:after="0" w:line="240" w:lineRule="auto"/>
        <w:jc w:val="both"/>
        <w:rPr>
          <w:rFonts w:ascii="Times New Roman" w:hAnsi="Times New Roman"/>
          <w:sz w:val="20"/>
          <w:szCs w:val="20"/>
        </w:rPr>
      </w:pPr>
    </w:p>
    <w:p w:rsidR="00385610" w:rsidRPr="00385610" w:rsidRDefault="00385610" w:rsidP="00385610">
      <w:pPr>
        <w:spacing w:after="0" w:line="240" w:lineRule="auto"/>
        <w:jc w:val="both"/>
        <w:rPr>
          <w:rFonts w:ascii="Times New Roman" w:hAnsi="Times New Roman"/>
          <w:sz w:val="20"/>
          <w:szCs w:val="20"/>
        </w:rPr>
      </w:pPr>
    </w:p>
    <w:p w:rsidR="00874392" w:rsidRDefault="00385610" w:rsidP="00874392">
      <w:pPr>
        <w:spacing w:before="60" w:after="0" w:line="240" w:lineRule="auto"/>
        <w:ind w:firstLine="907"/>
        <w:jc w:val="both"/>
        <w:rPr>
          <w:rFonts w:ascii="Times New Roman" w:hAnsi="Times New Roman"/>
          <w:sz w:val="18"/>
          <w:szCs w:val="18"/>
        </w:rPr>
      </w:pPr>
      <w:r w:rsidRPr="00874392">
        <w:rPr>
          <w:rFonts w:ascii="Times New Roman" w:hAnsi="Times New Roman"/>
          <w:noProof/>
          <w:sz w:val="18"/>
          <w:szCs w:val="18"/>
          <w:lang w:val="en-MY" w:eastAsia="en-MY" w:bidi="ar-SA"/>
        </w:rPr>
        <w:lastRenderedPageBreak/>
        <w:drawing>
          <wp:anchor distT="0" distB="0" distL="114300" distR="114300" simplePos="0" relativeHeight="251659264" behindDoc="0" locked="0" layoutInCell="1" allowOverlap="1" wp14:anchorId="2D3BD2DC" wp14:editId="6B14FF5C">
            <wp:simplePos x="0" y="0"/>
            <wp:positionH relativeFrom="margin">
              <wp:posOffset>-163195</wp:posOffset>
            </wp:positionH>
            <wp:positionV relativeFrom="paragraph">
              <wp:posOffset>22860</wp:posOffset>
            </wp:positionV>
            <wp:extent cx="6257925" cy="345948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7925" cy="3459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392">
        <w:rPr>
          <w:rFonts w:ascii="Times New Roman" w:hAnsi="Times New Roman"/>
          <w:sz w:val="18"/>
          <w:szCs w:val="18"/>
        </w:rPr>
        <w:t>*Peak No. 1-Biphenyl (Internal Standard), 2-Acenaphthylene, 3-Fluorene, 4</w:t>
      </w:r>
      <w:r w:rsidR="00874392">
        <w:rPr>
          <w:rFonts w:ascii="Times New Roman" w:hAnsi="Times New Roman"/>
          <w:sz w:val="18"/>
          <w:szCs w:val="18"/>
        </w:rPr>
        <w:t>-Phenanthrene, 5-Anthracene, 6-</w:t>
      </w:r>
      <w:r w:rsidRPr="00874392">
        <w:rPr>
          <w:rFonts w:ascii="Times New Roman" w:hAnsi="Times New Roman"/>
          <w:sz w:val="18"/>
          <w:szCs w:val="18"/>
        </w:rPr>
        <w:t xml:space="preserve">Pyrene, </w:t>
      </w:r>
    </w:p>
    <w:p w:rsidR="002F26A4" w:rsidRDefault="00385610" w:rsidP="002F26A4">
      <w:pPr>
        <w:spacing w:after="0" w:line="240" w:lineRule="auto"/>
        <w:ind w:firstLine="900"/>
        <w:jc w:val="both"/>
        <w:rPr>
          <w:rFonts w:ascii="Times New Roman" w:hAnsi="Times New Roman"/>
          <w:sz w:val="18"/>
          <w:szCs w:val="18"/>
        </w:rPr>
      </w:pPr>
      <w:r w:rsidRPr="00874392">
        <w:rPr>
          <w:rFonts w:ascii="Times New Roman" w:hAnsi="Times New Roman"/>
          <w:sz w:val="18"/>
          <w:szCs w:val="18"/>
        </w:rPr>
        <w:t xml:space="preserve">7-benzo[a]anthracene, 8-Chrysene, 9-benzo[b]fluoranthene, 10-benzo[k]fluoranthene, 11-benzo[a]pyrene, </w:t>
      </w:r>
    </w:p>
    <w:p w:rsidR="00385610" w:rsidRPr="00874392" w:rsidRDefault="00385610" w:rsidP="002F26A4">
      <w:pPr>
        <w:spacing w:after="0" w:line="240" w:lineRule="auto"/>
        <w:ind w:firstLine="900"/>
        <w:jc w:val="both"/>
        <w:rPr>
          <w:rFonts w:ascii="Times New Roman" w:hAnsi="Times New Roman"/>
          <w:sz w:val="18"/>
          <w:szCs w:val="18"/>
        </w:rPr>
      </w:pPr>
      <w:r w:rsidRPr="00874392">
        <w:rPr>
          <w:rFonts w:ascii="Times New Roman" w:hAnsi="Times New Roman"/>
          <w:sz w:val="18"/>
          <w:szCs w:val="18"/>
        </w:rPr>
        <w:t>12-Dibenz[a,h]anthracene, 13-Benzo[ghi]perylene, 14-Indeno[1,2,3-cd]pyrene.</w:t>
      </w:r>
    </w:p>
    <w:p w:rsidR="00385610" w:rsidRPr="00385610" w:rsidRDefault="00385610" w:rsidP="00385610">
      <w:pPr>
        <w:spacing w:after="0" w:line="240" w:lineRule="auto"/>
        <w:jc w:val="both"/>
        <w:rPr>
          <w:rFonts w:ascii="Times New Roman" w:hAnsi="Times New Roman"/>
          <w:sz w:val="20"/>
          <w:szCs w:val="20"/>
        </w:rPr>
      </w:pPr>
    </w:p>
    <w:p w:rsidR="00385610" w:rsidRDefault="00385610" w:rsidP="00874392">
      <w:pPr>
        <w:spacing w:after="0" w:line="240" w:lineRule="auto"/>
        <w:ind w:left="900" w:hanging="900"/>
        <w:jc w:val="both"/>
        <w:rPr>
          <w:rFonts w:ascii="Times New Roman" w:hAnsi="Times New Roman"/>
          <w:bCs/>
          <w:sz w:val="20"/>
          <w:szCs w:val="20"/>
        </w:rPr>
      </w:pPr>
      <w:r w:rsidRPr="00385610">
        <w:rPr>
          <w:rFonts w:ascii="Times New Roman" w:hAnsi="Times New Roman"/>
          <w:bCs/>
          <w:sz w:val="20"/>
          <w:szCs w:val="20"/>
        </w:rPr>
        <w:t xml:space="preserve">Figure 1. </w:t>
      </w:r>
      <w:r>
        <w:rPr>
          <w:rFonts w:ascii="Times New Roman" w:hAnsi="Times New Roman"/>
          <w:bCs/>
          <w:sz w:val="20"/>
          <w:szCs w:val="20"/>
        </w:rPr>
        <w:t xml:space="preserve">  </w:t>
      </w:r>
      <w:r>
        <w:rPr>
          <w:rFonts w:ascii="Times New Roman" w:hAnsi="Times New Roman"/>
          <w:bCs/>
          <w:sz w:val="20"/>
          <w:szCs w:val="20"/>
        </w:rPr>
        <w:tab/>
      </w:r>
      <w:r w:rsidRPr="00385610">
        <w:rPr>
          <w:rFonts w:ascii="Times New Roman" w:hAnsi="Times New Roman"/>
          <w:bCs/>
          <w:sz w:val="20"/>
          <w:szCs w:val="20"/>
        </w:rPr>
        <w:t>Chromatograms of (a) blank cabbage sample using optimized</w:t>
      </w:r>
      <w:r w:rsidR="00874392">
        <w:rPr>
          <w:rFonts w:ascii="Times New Roman" w:hAnsi="Times New Roman"/>
          <w:bCs/>
          <w:sz w:val="20"/>
          <w:szCs w:val="20"/>
        </w:rPr>
        <w:t xml:space="preserve"> DLLME (b) blank cabbage sample </w:t>
      </w:r>
      <w:r w:rsidRPr="00385610">
        <w:rPr>
          <w:rFonts w:ascii="Times New Roman" w:hAnsi="Times New Roman"/>
          <w:bCs/>
          <w:sz w:val="20"/>
          <w:szCs w:val="20"/>
        </w:rPr>
        <w:t xml:space="preserve">using optimized MAE-DLLME and (c) spiked cabbage sample using optimized MAE-DLLME.      </w:t>
      </w:r>
    </w:p>
    <w:p w:rsidR="00385610" w:rsidRPr="00385610" w:rsidRDefault="00385610" w:rsidP="00385610">
      <w:pPr>
        <w:spacing w:after="0" w:line="240" w:lineRule="auto"/>
        <w:ind w:left="900"/>
        <w:jc w:val="both"/>
        <w:rPr>
          <w:rFonts w:ascii="Times New Roman" w:hAnsi="Times New Roman"/>
          <w:bCs/>
          <w:sz w:val="20"/>
          <w:szCs w:val="20"/>
        </w:rPr>
      </w:pPr>
      <w:r w:rsidRPr="00385610">
        <w:rPr>
          <w:rFonts w:ascii="Times New Roman" w:hAnsi="Times New Roman"/>
          <w:sz w:val="20"/>
          <w:szCs w:val="20"/>
        </w:rPr>
        <w:t>No. 1-Biphenyl (Internal Standard), 2-Acenaphthylene, 3-Fluorene, 4-Phenanthrene, 5-Anthracene, 6-</w:t>
      </w:r>
    </w:p>
    <w:p w:rsidR="00385610" w:rsidRPr="00385610" w:rsidRDefault="00385610" w:rsidP="00385610">
      <w:pPr>
        <w:spacing w:after="0" w:line="240" w:lineRule="auto"/>
        <w:ind w:left="900"/>
        <w:jc w:val="both"/>
        <w:rPr>
          <w:rFonts w:ascii="Times New Roman" w:hAnsi="Times New Roman"/>
          <w:sz w:val="20"/>
          <w:szCs w:val="20"/>
        </w:rPr>
      </w:pPr>
      <w:r w:rsidRPr="00385610">
        <w:rPr>
          <w:rFonts w:ascii="Times New Roman" w:hAnsi="Times New Roman"/>
          <w:sz w:val="20"/>
          <w:szCs w:val="20"/>
        </w:rPr>
        <w:t>Pyrene, 7-benzo[a]anthracene, 8-Chrysene, 9-benzo[b]fluoranthene, 10-benzo[k]fluoranthene, 11-</w:t>
      </w:r>
    </w:p>
    <w:p w:rsidR="00385610" w:rsidRPr="00385610" w:rsidRDefault="00385610" w:rsidP="00385610">
      <w:pPr>
        <w:spacing w:after="0" w:line="240" w:lineRule="auto"/>
        <w:ind w:left="900"/>
        <w:jc w:val="both"/>
        <w:rPr>
          <w:rFonts w:ascii="Times New Roman" w:hAnsi="Times New Roman"/>
          <w:sz w:val="20"/>
          <w:szCs w:val="20"/>
        </w:rPr>
      </w:pPr>
      <w:r w:rsidRPr="00385610">
        <w:rPr>
          <w:rFonts w:ascii="Times New Roman" w:hAnsi="Times New Roman"/>
          <w:sz w:val="20"/>
          <w:szCs w:val="20"/>
        </w:rPr>
        <w:t>benzo[a]pyrene, 12-Dibenz[a,h]anthracene, 13-Benzo[ghi]perylene, 14-Indeno[1,2,3-cd]pyrene</w:t>
      </w:r>
    </w:p>
    <w:p w:rsidR="00385610" w:rsidRDefault="00385610" w:rsidP="00874392">
      <w:pPr>
        <w:spacing w:after="120" w:line="240" w:lineRule="auto"/>
        <w:jc w:val="both"/>
        <w:rPr>
          <w:rFonts w:ascii="Times New Roman" w:hAnsi="Times New Roman"/>
          <w:sz w:val="20"/>
          <w:szCs w:val="20"/>
        </w:rPr>
      </w:pPr>
    </w:p>
    <w:p w:rsidR="00385610" w:rsidRPr="00385610" w:rsidRDefault="00385610" w:rsidP="00385610">
      <w:pPr>
        <w:spacing w:after="0" w:line="240" w:lineRule="auto"/>
        <w:jc w:val="both"/>
        <w:rPr>
          <w:rFonts w:ascii="Times New Roman" w:hAnsi="Times New Roman"/>
          <w:sz w:val="20"/>
          <w:szCs w:val="20"/>
        </w:rPr>
      </w:pPr>
      <w:r w:rsidRPr="00385610">
        <w:rPr>
          <w:rFonts w:ascii="Times New Roman" w:hAnsi="Times New Roman"/>
          <w:sz w:val="20"/>
          <w:szCs w:val="20"/>
        </w:rPr>
        <w:t xml:space="preserve">The results of the analytical performance of DLLME and MAE-DLLME were summarized in Table 1 and 2. The LOD range was between 0.040 μg/L and 0.400 μg/L in DLLME and 0.020 μg/L and 0.080 μg/L in MAE-DLLME. For LOQ, the range was varied from 0.100 μg/L to 1.200 μg/L in DLLME and 0.080 μg/L to 0.250 μg/L in MAE-DLLME. </w:t>
      </w:r>
    </w:p>
    <w:p w:rsidR="00385610" w:rsidRPr="00385610" w:rsidRDefault="00385610" w:rsidP="00874392">
      <w:pPr>
        <w:spacing w:after="120" w:line="240" w:lineRule="auto"/>
        <w:jc w:val="both"/>
        <w:rPr>
          <w:rFonts w:ascii="Times New Roman" w:hAnsi="Times New Roman"/>
          <w:sz w:val="20"/>
          <w:szCs w:val="20"/>
        </w:rPr>
      </w:pPr>
    </w:p>
    <w:p w:rsidR="00385610" w:rsidRPr="00874392" w:rsidRDefault="00385610" w:rsidP="00874392">
      <w:pPr>
        <w:spacing w:after="120" w:line="240" w:lineRule="auto"/>
        <w:jc w:val="center"/>
        <w:rPr>
          <w:rFonts w:ascii="Times New Roman" w:hAnsi="Times New Roman"/>
          <w:sz w:val="20"/>
          <w:szCs w:val="20"/>
        </w:rPr>
      </w:pPr>
      <w:r w:rsidRPr="00874392">
        <w:rPr>
          <w:rFonts w:ascii="Times New Roman" w:hAnsi="Times New Roman"/>
          <w:sz w:val="20"/>
          <w:szCs w:val="20"/>
        </w:rPr>
        <w:t xml:space="preserve">Table 1. </w:t>
      </w:r>
      <w:r w:rsidR="00874392" w:rsidRPr="00874392">
        <w:rPr>
          <w:rFonts w:ascii="Times New Roman" w:hAnsi="Times New Roman"/>
          <w:sz w:val="20"/>
          <w:szCs w:val="20"/>
        </w:rPr>
        <w:t xml:space="preserve"> </w:t>
      </w:r>
      <w:r w:rsidRPr="00874392">
        <w:rPr>
          <w:rFonts w:ascii="Times New Roman" w:hAnsi="Times New Roman"/>
          <w:sz w:val="20"/>
          <w:szCs w:val="20"/>
        </w:rPr>
        <w:t>Analytical performance of DLLME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715"/>
        <w:gridCol w:w="1582"/>
        <w:gridCol w:w="1085"/>
        <w:gridCol w:w="689"/>
        <w:gridCol w:w="1302"/>
        <w:gridCol w:w="1279"/>
      </w:tblGrid>
      <w:tr w:rsidR="00385610" w:rsidRPr="00874392" w:rsidTr="00F849D5">
        <w:trPr>
          <w:jc w:val="center"/>
        </w:trPr>
        <w:tc>
          <w:tcPr>
            <w:tcW w:w="0" w:type="auto"/>
            <w:tcBorders>
              <w:top w:val="single" w:sz="4" w:space="0" w:color="auto"/>
              <w:bottom w:val="single" w:sz="4" w:space="0" w:color="auto"/>
            </w:tcBorders>
          </w:tcPr>
          <w:p w:rsidR="00385610" w:rsidRPr="00874392" w:rsidRDefault="00385610" w:rsidP="00874392">
            <w:pPr>
              <w:spacing w:before="60" w:after="60" w:line="240" w:lineRule="auto"/>
              <w:outlineLvl w:val="0"/>
              <w:rPr>
                <w:rFonts w:ascii="Times New Roman" w:hAnsi="Times New Roman" w:cs="Times New Roman"/>
                <w:b/>
                <w:sz w:val="20"/>
                <w:szCs w:val="20"/>
              </w:rPr>
            </w:pPr>
            <w:r w:rsidRPr="00874392">
              <w:rPr>
                <w:rFonts w:ascii="Times New Roman" w:hAnsi="Times New Roman" w:cs="Times New Roman"/>
                <w:b/>
                <w:sz w:val="20"/>
                <w:szCs w:val="20"/>
              </w:rPr>
              <w:t>Analytes</w:t>
            </w:r>
          </w:p>
        </w:tc>
        <w:tc>
          <w:tcPr>
            <w:tcW w:w="0" w:type="auto"/>
            <w:tcBorders>
              <w:top w:val="single" w:sz="4" w:space="0" w:color="auto"/>
              <w:bottom w:val="single" w:sz="4" w:space="0" w:color="auto"/>
            </w:tcBorders>
          </w:tcPr>
          <w:p w:rsidR="00385610" w:rsidRPr="00874392" w:rsidRDefault="00385610" w:rsidP="00874392">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LOD</w:t>
            </w:r>
            <w:r w:rsidRPr="00874392">
              <w:rPr>
                <w:rFonts w:ascii="Times New Roman" w:hAnsi="Times New Roman" w:cs="Times New Roman"/>
                <w:b/>
                <w:sz w:val="20"/>
                <w:szCs w:val="20"/>
                <w:vertAlign w:val="superscript"/>
              </w:rPr>
              <w:t>a</w:t>
            </w:r>
          </w:p>
        </w:tc>
        <w:tc>
          <w:tcPr>
            <w:tcW w:w="1582" w:type="dxa"/>
            <w:tcBorders>
              <w:top w:val="single" w:sz="4" w:space="0" w:color="auto"/>
              <w:bottom w:val="single" w:sz="4" w:space="0" w:color="auto"/>
            </w:tcBorders>
          </w:tcPr>
          <w:p w:rsidR="00385610" w:rsidRPr="00874392" w:rsidRDefault="00385610" w:rsidP="00874392">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LOQ</w:t>
            </w:r>
            <w:r w:rsidRPr="00874392">
              <w:rPr>
                <w:rFonts w:ascii="Times New Roman" w:hAnsi="Times New Roman" w:cs="Times New Roman"/>
                <w:b/>
                <w:sz w:val="20"/>
                <w:szCs w:val="20"/>
                <w:vertAlign w:val="superscript"/>
              </w:rPr>
              <w:t>b</w:t>
            </w:r>
          </w:p>
        </w:tc>
        <w:tc>
          <w:tcPr>
            <w:tcW w:w="1085" w:type="dxa"/>
            <w:tcBorders>
              <w:top w:val="single" w:sz="4" w:space="0" w:color="auto"/>
              <w:bottom w:val="single" w:sz="4" w:space="0" w:color="auto"/>
            </w:tcBorders>
          </w:tcPr>
          <w:p w:rsidR="00385610" w:rsidRPr="00874392" w:rsidRDefault="00385610" w:rsidP="00874392">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Accuracy</w:t>
            </w:r>
            <w:r w:rsidRPr="00874392">
              <w:rPr>
                <w:rFonts w:ascii="Times New Roman" w:hAnsi="Times New Roman" w:cs="Times New Roman"/>
                <w:b/>
                <w:sz w:val="20"/>
                <w:szCs w:val="20"/>
                <w:vertAlign w:val="superscript"/>
              </w:rPr>
              <w:t>c</w:t>
            </w:r>
          </w:p>
        </w:tc>
        <w:tc>
          <w:tcPr>
            <w:tcW w:w="0" w:type="auto"/>
            <w:tcBorders>
              <w:top w:val="single" w:sz="4" w:space="0" w:color="auto"/>
              <w:bottom w:val="single" w:sz="4" w:space="0" w:color="auto"/>
            </w:tcBorders>
          </w:tcPr>
          <w:p w:rsidR="00385610" w:rsidRPr="00874392" w:rsidRDefault="00385610" w:rsidP="00874392">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RSD</w:t>
            </w:r>
            <w:r w:rsidRPr="00874392">
              <w:rPr>
                <w:rFonts w:ascii="Times New Roman" w:hAnsi="Times New Roman" w:cs="Times New Roman"/>
                <w:b/>
                <w:sz w:val="20"/>
                <w:szCs w:val="20"/>
                <w:vertAlign w:val="superscript"/>
              </w:rPr>
              <w:t>d</w:t>
            </w:r>
          </w:p>
        </w:tc>
        <w:tc>
          <w:tcPr>
            <w:tcW w:w="0" w:type="auto"/>
            <w:tcBorders>
              <w:top w:val="single" w:sz="4" w:space="0" w:color="auto"/>
              <w:bottom w:val="single" w:sz="4" w:space="0" w:color="auto"/>
            </w:tcBorders>
          </w:tcPr>
          <w:p w:rsidR="00385610" w:rsidRPr="00874392" w:rsidRDefault="00385610" w:rsidP="00874392">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Relative ER</w:t>
            </w:r>
            <w:r w:rsidRPr="00874392">
              <w:rPr>
                <w:rFonts w:ascii="Times New Roman" w:hAnsi="Times New Roman" w:cs="Times New Roman"/>
                <w:b/>
                <w:sz w:val="20"/>
                <w:szCs w:val="20"/>
                <w:vertAlign w:val="superscript"/>
              </w:rPr>
              <w:t>e</w:t>
            </w:r>
          </w:p>
        </w:tc>
        <w:tc>
          <w:tcPr>
            <w:tcW w:w="0" w:type="auto"/>
            <w:tcBorders>
              <w:top w:val="single" w:sz="4" w:space="0" w:color="auto"/>
              <w:bottom w:val="single" w:sz="4" w:space="0" w:color="auto"/>
            </w:tcBorders>
          </w:tcPr>
          <w:p w:rsidR="00385610" w:rsidRPr="00874392" w:rsidRDefault="00385610" w:rsidP="00874392">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Relative EF</w:t>
            </w:r>
            <w:r w:rsidRPr="00874392">
              <w:rPr>
                <w:rFonts w:ascii="Times New Roman" w:hAnsi="Times New Roman" w:cs="Times New Roman"/>
                <w:b/>
                <w:sz w:val="20"/>
                <w:szCs w:val="20"/>
                <w:vertAlign w:val="superscript"/>
              </w:rPr>
              <w:t>e</w:t>
            </w:r>
          </w:p>
        </w:tc>
      </w:tr>
      <w:tr w:rsidR="00385610" w:rsidRPr="00874392" w:rsidTr="00F849D5">
        <w:trPr>
          <w:jc w:val="center"/>
        </w:trPr>
        <w:tc>
          <w:tcPr>
            <w:tcW w:w="0" w:type="auto"/>
            <w:tcBorders>
              <w:top w:val="single" w:sz="4" w:space="0" w:color="auto"/>
            </w:tcBorders>
            <w:vAlign w:val="center"/>
          </w:tcPr>
          <w:p w:rsidR="00385610" w:rsidRPr="00874392" w:rsidRDefault="00385610" w:rsidP="00874392">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ACY</w:t>
            </w:r>
          </w:p>
        </w:tc>
        <w:tc>
          <w:tcPr>
            <w:tcW w:w="0" w:type="auto"/>
            <w:tcBorders>
              <w:top w:val="single" w:sz="4" w:space="0" w:color="auto"/>
            </w:tcBorders>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w:t>
            </w:r>
          </w:p>
        </w:tc>
        <w:tc>
          <w:tcPr>
            <w:tcW w:w="1582" w:type="dxa"/>
            <w:tcBorders>
              <w:top w:val="single" w:sz="4" w:space="0" w:color="auto"/>
            </w:tcBorders>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20</w:t>
            </w:r>
          </w:p>
        </w:tc>
        <w:tc>
          <w:tcPr>
            <w:tcW w:w="1085" w:type="dxa"/>
            <w:tcBorders>
              <w:top w:val="single" w:sz="4" w:space="0" w:color="auto"/>
            </w:tcBorders>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88.16</w:t>
            </w:r>
          </w:p>
        </w:tc>
        <w:tc>
          <w:tcPr>
            <w:tcW w:w="0" w:type="auto"/>
            <w:tcBorders>
              <w:top w:val="single" w:sz="4" w:space="0" w:color="auto"/>
            </w:tcBorders>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2.94</w:t>
            </w:r>
          </w:p>
        </w:tc>
        <w:tc>
          <w:tcPr>
            <w:tcW w:w="0" w:type="auto"/>
            <w:tcBorders>
              <w:top w:val="single" w:sz="4" w:space="0" w:color="auto"/>
            </w:tcBorders>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88.16</w:t>
            </w:r>
          </w:p>
        </w:tc>
        <w:tc>
          <w:tcPr>
            <w:tcW w:w="0" w:type="auto"/>
            <w:tcBorders>
              <w:top w:val="single" w:sz="4" w:space="0" w:color="auto"/>
            </w:tcBorders>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192</w:t>
            </w:r>
          </w:p>
        </w:tc>
      </w:tr>
      <w:tr w:rsidR="00385610" w:rsidRPr="00874392" w:rsidTr="00F849D5">
        <w:trPr>
          <w:jc w:val="center"/>
        </w:trPr>
        <w:tc>
          <w:tcPr>
            <w:tcW w:w="0" w:type="auto"/>
            <w:vAlign w:val="center"/>
          </w:tcPr>
          <w:p w:rsidR="00385610" w:rsidRPr="00874392" w:rsidRDefault="00385610" w:rsidP="00874392">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FLU</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w:t>
            </w:r>
          </w:p>
        </w:tc>
        <w:tc>
          <w:tcPr>
            <w:tcW w:w="1582"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20</w:t>
            </w:r>
          </w:p>
        </w:tc>
        <w:tc>
          <w:tcPr>
            <w:tcW w:w="1085"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90.93</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4.59</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90.93</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202</w:t>
            </w:r>
          </w:p>
        </w:tc>
      </w:tr>
      <w:tr w:rsidR="00385610" w:rsidRPr="00874392" w:rsidTr="00F849D5">
        <w:trPr>
          <w:jc w:val="center"/>
        </w:trPr>
        <w:tc>
          <w:tcPr>
            <w:tcW w:w="0" w:type="auto"/>
            <w:vAlign w:val="center"/>
          </w:tcPr>
          <w:p w:rsidR="00385610" w:rsidRPr="00874392" w:rsidRDefault="00385610" w:rsidP="00874392">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PHE</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10</w:t>
            </w:r>
          </w:p>
        </w:tc>
        <w:tc>
          <w:tcPr>
            <w:tcW w:w="1582"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80</w:t>
            </w:r>
          </w:p>
        </w:tc>
        <w:tc>
          <w:tcPr>
            <w:tcW w:w="1085"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82.99</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2.79</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82.99</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195</w:t>
            </w:r>
          </w:p>
        </w:tc>
      </w:tr>
      <w:tr w:rsidR="00385610" w:rsidRPr="00874392" w:rsidTr="00F849D5">
        <w:trPr>
          <w:jc w:val="center"/>
        </w:trPr>
        <w:tc>
          <w:tcPr>
            <w:tcW w:w="0" w:type="auto"/>
            <w:vAlign w:val="center"/>
          </w:tcPr>
          <w:p w:rsidR="00385610" w:rsidRPr="00874392" w:rsidRDefault="00385610" w:rsidP="00874392">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ANT</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10</w:t>
            </w:r>
          </w:p>
        </w:tc>
        <w:tc>
          <w:tcPr>
            <w:tcW w:w="1582"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30</w:t>
            </w:r>
          </w:p>
        </w:tc>
        <w:tc>
          <w:tcPr>
            <w:tcW w:w="1085"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89.40</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7.19</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89.40</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182</w:t>
            </w:r>
          </w:p>
        </w:tc>
      </w:tr>
      <w:tr w:rsidR="00385610" w:rsidRPr="00874392" w:rsidTr="00F849D5">
        <w:trPr>
          <w:jc w:val="center"/>
        </w:trPr>
        <w:tc>
          <w:tcPr>
            <w:tcW w:w="0" w:type="auto"/>
            <w:vAlign w:val="center"/>
          </w:tcPr>
          <w:p w:rsidR="00385610" w:rsidRPr="00874392" w:rsidRDefault="00385610" w:rsidP="00874392">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PYR</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15</w:t>
            </w:r>
          </w:p>
        </w:tc>
        <w:tc>
          <w:tcPr>
            <w:tcW w:w="1582"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100</w:t>
            </w:r>
          </w:p>
        </w:tc>
        <w:tc>
          <w:tcPr>
            <w:tcW w:w="1085"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79.28</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4.93</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79.28</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168</w:t>
            </w:r>
          </w:p>
        </w:tc>
      </w:tr>
      <w:tr w:rsidR="00385610" w:rsidRPr="00874392" w:rsidTr="00F849D5">
        <w:trPr>
          <w:jc w:val="center"/>
        </w:trPr>
        <w:tc>
          <w:tcPr>
            <w:tcW w:w="0" w:type="auto"/>
            <w:vAlign w:val="center"/>
          </w:tcPr>
          <w:p w:rsidR="00385610" w:rsidRPr="00874392" w:rsidRDefault="00385610" w:rsidP="00874392">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BaA</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4</w:t>
            </w:r>
          </w:p>
        </w:tc>
        <w:tc>
          <w:tcPr>
            <w:tcW w:w="1582"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10</w:t>
            </w:r>
          </w:p>
        </w:tc>
        <w:tc>
          <w:tcPr>
            <w:tcW w:w="1085" w:type="dxa"/>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77.08</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4.89</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77.08</w:t>
            </w:r>
          </w:p>
        </w:tc>
        <w:tc>
          <w:tcPr>
            <w:tcW w:w="0" w:type="auto"/>
            <w:vAlign w:val="bottom"/>
          </w:tcPr>
          <w:p w:rsidR="00385610" w:rsidRPr="00874392" w:rsidRDefault="00385610" w:rsidP="00874392">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179</w:t>
            </w:r>
          </w:p>
        </w:tc>
      </w:tr>
      <w:tr w:rsidR="00385610" w:rsidRPr="00874392" w:rsidTr="00F849D5">
        <w:trPr>
          <w:jc w:val="center"/>
        </w:trPr>
        <w:tc>
          <w:tcPr>
            <w:tcW w:w="0" w:type="auto"/>
            <w:tcBorders>
              <w:bottom w:val="single" w:sz="4" w:space="0" w:color="auto"/>
            </w:tcBorders>
            <w:vAlign w:val="center"/>
          </w:tcPr>
          <w:p w:rsidR="00385610" w:rsidRPr="00874392" w:rsidRDefault="00385610" w:rsidP="00F849D5">
            <w:pPr>
              <w:spacing w:before="60" w:after="60" w:line="240" w:lineRule="auto"/>
              <w:rPr>
                <w:rFonts w:ascii="Times New Roman" w:hAnsi="Times New Roman" w:cs="Times New Roman"/>
                <w:sz w:val="20"/>
                <w:szCs w:val="20"/>
              </w:rPr>
            </w:pPr>
            <w:r w:rsidRPr="00874392">
              <w:rPr>
                <w:rFonts w:ascii="Times New Roman" w:hAnsi="Times New Roman" w:cs="Times New Roman"/>
                <w:sz w:val="20"/>
                <w:szCs w:val="20"/>
              </w:rPr>
              <w:t>CHR</w:t>
            </w:r>
          </w:p>
        </w:tc>
        <w:tc>
          <w:tcPr>
            <w:tcW w:w="0" w:type="auto"/>
            <w:tcBorders>
              <w:bottom w:val="single" w:sz="4" w:space="0" w:color="auto"/>
            </w:tcBorders>
            <w:vAlign w:val="bottom"/>
          </w:tcPr>
          <w:p w:rsidR="00385610" w:rsidRPr="00874392" w:rsidRDefault="00385610"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4</w:t>
            </w:r>
          </w:p>
        </w:tc>
        <w:tc>
          <w:tcPr>
            <w:tcW w:w="1582" w:type="dxa"/>
            <w:tcBorders>
              <w:bottom w:val="single" w:sz="4" w:space="0" w:color="auto"/>
            </w:tcBorders>
            <w:vAlign w:val="bottom"/>
          </w:tcPr>
          <w:p w:rsidR="00385610" w:rsidRPr="00874392" w:rsidRDefault="00385610"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10</w:t>
            </w:r>
          </w:p>
        </w:tc>
        <w:tc>
          <w:tcPr>
            <w:tcW w:w="1085" w:type="dxa"/>
            <w:tcBorders>
              <w:bottom w:val="single" w:sz="4" w:space="0" w:color="auto"/>
            </w:tcBorders>
            <w:vAlign w:val="bottom"/>
          </w:tcPr>
          <w:p w:rsidR="00385610" w:rsidRPr="00874392" w:rsidRDefault="00385610"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78.52</w:t>
            </w:r>
          </w:p>
        </w:tc>
        <w:tc>
          <w:tcPr>
            <w:tcW w:w="0" w:type="auto"/>
            <w:tcBorders>
              <w:bottom w:val="single" w:sz="4" w:space="0" w:color="auto"/>
            </w:tcBorders>
            <w:vAlign w:val="bottom"/>
          </w:tcPr>
          <w:p w:rsidR="00385610" w:rsidRPr="00874392" w:rsidRDefault="00385610"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4.66</w:t>
            </w:r>
          </w:p>
        </w:tc>
        <w:tc>
          <w:tcPr>
            <w:tcW w:w="0" w:type="auto"/>
            <w:tcBorders>
              <w:bottom w:val="single" w:sz="4" w:space="0" w:color="auto"/>
            </w:tcBorders>
            <w:vAlign w:val="bottom"/>
          </w:tcPr>
          <w:p w:rsidR="00385610" w:rsidRPr="00874392" w:rsidRDefault="00385610"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78.52</w:t>
            </w:r>
          </w:p>
        </w:tc>
        <w:tc>
          <w:tcPr>
            <w:tcW w:w="0" w:type="auto"/>
            <w:tcBorders>
              <w:bottom w:val="single" w:sz="4" w:space="0" w:color="auto"/>
            </w:tcBorders>
            <w:vAlign w:val="bottom"/>
          </w:tcPr>
          <w:p w:rsidR="00385610" w:rsidRPr="00874392" w:rsidRDefault="00385610"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174</w:t>
            </w:r>
          </w:p>
        </w:tc>
      </w:tr>
    </w:tbl>
    <w:p w:rsidR="00F849D5" w:rsidRPr="00F849D5" w:rsidRDefault="00F849D5" w:rsidP="00F849D5">
      <w:pPr>
        <w:spacing w:after="0" w:line="240" w:lineRule="auto"/>
        <w:jc w:val="both"/>
        <w:rPr>
          <w:rFonts w:ascii="Times New Roman" w:hAnsi="Times New Roman"/>
          <w:sz w:val="20"/>
          <w:szCs w:val="20"/>
        </w:rPr>
      </w:pPr>
    </w:p>
    <w:p w:rsidR="00F849D5" w:rsidRPr="00874392" w:rsidRDefault="00F849D5" w:rsidP="00F849D5">
      <w:pPr>
        <w:spacing w:after="120" w:line="240" w:lineRule="auto"/>
        <w:jc w:val="center"/>
        <w:rPr>
          <w:rFonts w:ascii="Times New Roman" w:hAnsi="Times New Roman"/>
          <w:sz w:val="20"/>
          <w:szCs w:val="20"/>
        </w:rPr>
      </w:pPr>
      <w:r w:rsidRPr="00874392">
        <w:rPr>
          <w:rFonts w:ascii="Times New Roman" w:hAnsi="Times New Roman"/>
          <w:sz w:val="20"/>
          <w:szCs w:val="20"/>
        </w:rPr>
        <w:lastRenderedPageBreak/>
        <w:t>Table 1</w:t>
      </w:r>
      <w:r>
        <w:rPr>
          <w:rFonts w:ascii="Times New Roman" w:hAnsi="Times New Roman"/>
          <w:sz w:val="20"/>
          <w:szCs w:val="20"/>
        </w:rPr>
        <w:t xml:space="preserve"> (cont’d)</w:t>
      </w:r>
      <w:r w:rsidRPr="00874392">
        <w:rPr>
          <w:rFonts w:ascii="Times New Roman" w:hAnsi="Times New Roman"/>
          <w:sz w:val="20"/>
          <w:szCs w:val="20"/>
        </w:rPr>
        <w:t>.  Analytical performance of DLLME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715"/>
        <w:gridCol w:w="1582"/>
        <w:gridCol w:w="1085"/>
        <w:gridCol w:w="689"/>
        <w:gridCol w:w="1302"/>
        <w:gridCol w:w="1279"/>
      </w:tblGrid>
      <w:tr w:rsidR="00F849D5" w:rsidRPr="00874392" w:rsidTr="00F849D5">
        <w:trPr>
          <w:jc w:val="center"/>
        </w:trPr>
        <w:tc>
          <w:tcPr>
            <w:tcW w:w="0" w:type="auto"/>
            <w:tcBorders>
              <w:top w:val="single" w:sz="4" w:space="0" w:color="auto"/>
              <w:bottom w:val="single" w:sz="4" w:space="0" w:color="auto"/>
            </w:tcBorders>
          </w:tcPr>
          <w:p w:rsidR="00F849D5" w:rsidRPr="00874392" w:rsidRDefault="00F849D5" w:rsidP="006E35B4">
            <w:pPr>
              <w:spacing w:before="60" w:after="60" w:line="240" w:lineRule="auto"/>
              <w:outlineLvl w:val="0"/>
              <w:rPr>
                <w:rFonts w:ascii="Times New Roman" w:hAnsi="Times New Roman" w:cs="Times New Roman"/>
                <w:b/>
                <w:sz w:val="20"/>
                <w:szCs w:val="20"/>
              </w:rPr>
            </w:pPr>
            <w:r w:rsidRPr="00874392">
              <w:rPr>
                <w:rFonts w:ascii="Times New Roman" w:hAnsi="Times New Roman" w:cs="Times New Roman"/>
                <w:b/>
                <w:sz w:val="20"/>
                <w:szCs w:val="20"/>
              </w:rPr>
              <w:t>Analytes</w:t>
            </w:r>
          </w:p>
        </w:tc>
        <w:tc>
          <w:tcPr>
            <w:tcW w:w="0" w:type="auto"/>
            <w:tcBorders>
              <w:top w:val="single" w:sz="4" w:space="0" w:color="auto"/>
              <w:bottom w:val="single" w:sz="4" w:space="0" w:color="auto"/>
            </w:tcBorders>
          </w:tcPr>
          <w:p w:rsidR="00F849D5" w:rsidRPr="00874392" w:rsidRDefault="00F849D5" w:rsidP="006E35B4">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LOD</w:t>
            </w:r>
            <w:r w:rsidRPr="00874392">
              <w:rPr>
                <w:rFonts w:ascii="Times New Roman" w:hAnsi="Times New Roman" w:cs="Times New Roman"/>
                <w:b/>
                <w:sz w:val="20"/>
                <w:szCs w:val="20"/>
                <w:vertAlign w:val="superscript"/>
              </w:rPr>
              <w:t>a</w:t>
            </w:r>
          </w:p>
        </w:tc>
        <w:tc>
          <w:tcPr>
            <w:tcW w:w="1582" w:type="dxa"/>
            <w:tcBorders>
              <w:top w:val="single" w:sz="4" w:space="0" w:color="auto"/>
              <w:bottom w:val="single" w:sz="4" w:space="0" w:color="auto"/>
            </w:tcBorders>
          </w:tcPr>
          <w:p w:rsidR="00F849D5" w:rsidRPr="00874392" w:rsidRDefault="00F849D5" w:rsidP="006E35B4">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LOQ</w:t>
            </w:r>
            <w:r w:rsidRPr="00874392">
              <w:rPr>
                <w:rFonts w:ascii="Times New Roman" w:hAnsi="Times New Roman" w:cs="Times New Roman"/>
                <w:b/>
                <w:sz w:val="20"/>
                <w:szCs w:val="20"/>
                <w:vertAlign w:val="superscript"/>
              </w:rPr>
              <w:t>b</w:t>
            </w:r>
          </w:p>
        </w:tc>
        <w:tc>
          <w:tcPr>
            <w:tcW w:w="1085" w:type="dxa"/>
            <w:tcBorders>
              <w:top w:val="single" w:sz="4" w:space="0" w:color="auto"/>
              <w:bottom w:val="single" w:sz="4" w:space="0" w:color="auto"/>
            </w:tcBorders>
          </w:tcPr>
          <w:p w:rsidR="00F849D5" w:rsidRPr="00874392" w:rsidRDefault="00F849D5" w:rsidP="006E35B4">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Accuracy</w:t>
            </w:r>
            <w:r w:rsidRPr="00874392">
              <w:rPr>
                <w:rFonts w:ascii="Times New Roman" w:hAnsi="Times New Roman" w:cs="Times New Roman"/>
                <w:b/>
                <w:sz w:val="20"/>
                <w:szCs w:val="20"/>
                <w:vertAlign w:val="superscript"/>
              </w:rPr>
              <w:t>c</w:t>
            </w:r>
          </w:p>
        </w:tc>
        <w:tc>
          <w:tcPr>
            <w:tcW w:w="0" w:type="auto"/>
            <w:tcBorders>
              <w:top w:val="single" w:sz="4" w:space="0" w:color="auto"/>
              <w:bottom w:val="single" w:sz="4" w:space="0" w:color="auto"/>
            </w:tcBorders>
          </w:tcPr>
          <w:p w:rsidR="00F849D5" w:rsidRPr="00874392" w:rsidRDefault="00F849D5" w:rsidP="006E35B4">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RSD</w:t>
            </w:r>
            <w:r w:rsidRPr="00874392">
              <w:rPr>
                <w:rFonts w:ascii="Times New Roman" w:hAnsi="Times New Roman" w:cs="Times New Roman"/>
                <w:b/>
                <w:sz w:val="20"/>
                <w:szCs w:val="20"/>
                <w:vertAlign w:val="superscript"/>
              </w:rPr>
              <w:t>d</w:t>
            </w:r>
          </w:p>
        </w:tc>
        <w:tc>
          <w:tcPr>
            <w:tcW w:w="0" w:type="auto"/>
            <w:tcBorders>
              <w:top w:val="single" w:sz="4" w:space="0" w:color="auto"/>
              <w:bottom w:val="single" w:sz="4" w:space="0" w:color="auto"/>
            </w:tcBorders>
          </w:tcPr>
          <w:p w:rsidR="00F849D5" w:rsidRPr="00874392" w:rsidRDefault="00F849D5" w:rsidP="006E35B4">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Relative ER</w:t>
            </w:r>
            <w:r w:rsidRPr="00874392">
              <w:rPr>
                <w:rFonts w:ascii="Times New Roman" w:hAnsi="Times New Roman" w:cs="Times New Roman"/>
                <w:b/>
                <w:sz w:val="20"/>
                <w:szCs w:val="20"/>
                <w:vertAlign w:val="superscript"/>
              </w:rPr>
              <w:t>e</w:t>
            </w:r>
          </w:p>
        </w:tc>
        <w:tc>
          <w:tcPr>
            <w:tcW w:w="0" w:type="auto"/>
            <w:tcBorders>
              <w:top w:val="single" w:sz="4" w:space="0" w:color="auto"/>
              <w:bottom w:val="single" w:sz="4" w:space="0" w:color="auto"/>
            </w:tcBorders>
          </w:tcPr>
          <w:p w:rsidR="00F849D5" w:rsidRPr="00874392" w:rsidRDefault="00F849D5" w:rsidP="006E35B4">
            <w:pPr>
              <w:spacing w:before="60" w:after="60" w:line="240" w:lineRule="auto"/>
              <w:jc w:val="center"/>
              <w:outlineLvl w:val="0"/>
              <w:rPr>
                <w:rFonts w:ascii="Times New Roman" w:hAnsi="Times New Roman" w:cs="Times New Roman"/>
                <w:b/>
                <w:sz w:val="20"/>
                <w:szCs w:val="20"/>
              </w:rPr>
            </w:pPr>
            <w:r w:rsidRPr="00874392">
              <w:rPr>
                <w:rFonts w:ascii="Times New Roman" w:hAnsi="Times New Roman" w:cs="Times New Roman"/>
                <w:b/>
                <w:sz w:val="20"/>
                <w:szCs w:val="20"/>
              </w:rPr>
              <w:t>Relative EF</w:t>
            </w:r>
            <w:r w:rsidRPr="00874392">
              <w:rPr>
                <w:rFonts w:ascii="Times New Roman" w:hAnsi="Times New Roman" w:cs="Times New Roman"/>
                <w:b/>
                <w:sz w:val="20"/>
                <w:szCs w:val="20"/>
                <w:vertAlign w:val="superscript"/>
              </w:rPr>
              <w:t>e</w:t>
            </w:r>
          </w:p>
        </w:tc>
      </w:tr>
      <w:tr w:rsidR="00F849D5" w:rsidRPr="00874392" w:rsidTr="00F849D5">
        <w:trPr>
          <w:jc w:val="center"/>
        </w:trPr>
        <w:tc>
          <w:tcPr>
            <w:tcW w:w="0" w:type="auto"/>
            <w:vAlign w:val="center"/>
          </w:tcPr>
          <w:p w:rsidR="00F849D5" w:rsidRPr="00874392" w:rsidRDefault="00F849D5" w:rsidP="006E35B4">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BbF</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40</w:t>
            </w:r>
          </w:p>
        </w:tc>
        <w:tc>
          <w:tcPr>
            <w:tcW w:w="1582"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120</w:t>
            </w:r>
          </w:p>
        </w:tc>
        <w:tc>
          <w:tcPr>
            <w:tcW w:w="1085"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71.77</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2.06</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71.77</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180</w:t>
            </w:r>
          </w:p>
        </w:tc>
      </w:tr>
      <w:tr w:rsidR="00F849D5" w:rsidRPr="00874392" w:rsidTr="00F849D5">
        <w:trPr>
          <w:jc w:val="center"/>
        </w:trPr>
        <w:tc>
          <w:tcPr>
            <w:tcW w:w="0" w:type="auto"/>
            <w:vAlign w:val="center"/>
          </w:tcPr>
          <w:p w:rsidR="00F849D5" w:rsidRPr="00874392" w:rsidRDefault="00F849D5" w:rsidP="006E35B4">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BkF</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10</w:t>
            </w:r>
          </w:p>
        </w:tc>
        <w:tc>
          <w:tcPr>
            <w:tcW w:w="1582"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20</w:t>
            </w:r>
          </w:p>
        </w:tc>
        <w:tc>
          <w:tcPr>
            <w:tcW w:w="1085"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76.46</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1.22</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76.46</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174</w:t>
            </w:r>
          </w:p>
        </w:tc>
      </w:tr>
      <w:tr w:rsidR="00F849D5" w:rsidRPr="00874392" w:rsidTr="00F849D5">
        <w:trPr>
          <w:jc w:val="center"/>
        </w:trPr>
        <w:tc>
          <w:tcPr>
            <w:tcW w:w="0" w:type="auto"/>
            <w:vAlign w:val="center"/>
          </w:tcPr>
          <w:p w:rsidR="00F849D5" w:rsidRPr="00874392" w:rsidRDefault="00F849D5" w:rsidP="006E35B4">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BaP</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40</w:t>
            </w:r>
          </w:p>
        </w:tc>
        <w:tc>
          <w:tcPr>
            <w:tcW w:w="1582"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100</w:t>
            </w:r>
          </w:p>
        </w:tc>
        <w:tc>
          <w:tcPr>
            <w:tcW w:w="1085"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77.28</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7.50</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77.28</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166</w:t>
            </w:r>
          </w:p>
        </w:tc>
      </w:tr>
      <w:tr w:rsidR="00F849D5" w:rsidRPr="00874392" w:rsidTr="00F849D5">
        <w:trPr>
          <w:jc w:val="center"/>
        </w:trPr>
        <w:tc>
          <w:tcPr>
            <w:tcW w:w="0" w:type="auto"/>
            <w:vAlign w:val="center"/>
          </w:tcPr>
          <w:p w:rsidR="00F849D5" w:rsidRPr="00874392" w:rsidRDefault="00F849D5" w:rsidP="006E35B4">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DahA</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10</w:t>
            </w:r>
          </w:p>
        </w:tc>
        <w:tc>
          <w:tcPr>
            <w:tcW w:w="1582"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40</w:t>
            </w:r>
          </w:p>
        </w:tc>
        <w:tc>
          <w:tcPr>
            <w:tcW w:w="1085"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76.50</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3.18</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76.50</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165</w:t>
            </w:r>
          </w:p>
        </w:tc>
      </w:tr>
      <w:tr w:rsidR="00F849D5" w:rsidRPr="00874392" w:rsidTr="00F849D5">
        <w:trPr>
          <w:jc w:val="center"/>
        </w:trPr>
        <w:tc>
          <w:tcPr>
            <w:tcW w:w="0" w:type="auto"/>
            <w:vAlign w:val="center"/>
          </w:tcPr>
          <w:p w:rsidR="00F849D5" w:rsidRPr="00874392" w:rsidRDefault="00F849D5" w:rsidP="006E35B4">
            <w:pPr>
              <w:spacing w:before="60" w:after="0" w:line="240" w:lineRule="auto"/>
              <w:rPr>
                <w:rFonts w:ascii="Times New Roman" w:hAnsi="Times New Roman" w:cs="Times New Roman"/>
                <w:sz w:val="20"/>
                <w:szCs w:val="20"/>
              </w:rPr>
            </w:pPr>
            <w:r w:rsidRPr="00874392">
              <w:rPr>
                <w:rFonts w:ascii="Times New Roman" w:hAnsi="Times New Roman" w:cs="Times New Roman"/>
                <w:sz w:val="20"/>
                <w:szCs w:val="20"/>
              </w:rPr>
              <w:t>BghiP</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10</w:t>
            </w:r>
          </w:p>
        </w:tc>
        <w:tc>
          <w:tcPr>
            <w:tcW w:w="1582"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30</w:t>
            </w:r>
          </w:p>
        </w:tc>
        <w:tc>
          <w:tcPr>
            <w:tcW w:w="1085" w:type="dxa"/>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80.22</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2.84</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80.22</w:t>
            </w:r>
          </w:p>
        </w:tc>
        <w:tc>
          <w:tcPr>
            <w:tcW w:w="0" w:type="auto"/>
            <w:vAlign w:val="bottom"/>
          </w:tcPr>
          <w:p w:rsidR="00F849D5" w:rsidRPr="00874392" w:rsidRDefault="00F849D5" w:rsidP="006E35B4">
            <w:pPr>
              <w:spacing w:before="60" w:after="0" w:line="240" w:lineRule="auto"/>
              <w:jc w:val="center"/>
              <w:rPr>
                <w:rFonts w:ascii="Times New Roman" w:hAnsi="Times New Roman" w:cs="Times New Roman"/>
                <w:sz w:val="20"/>
                <w:szCs w:val="20"/>
              </w:rPr>
            </w:pPr>
            <w:r w:rsidRPr="00874392">
              <w:rPr>
                <w:rFonts w:ascii="Times New Roman" w:hAnsi="Times New Roman" w:cs="Times New Roman"/>
                <w:sz w:val="20"/>
                <w:szCs w:val="20"/>
              </w:rPr>
              <w:t>166</w:t>
            </w:r>
          </w:p>
        </w:tc>
      </w:tr>
      <w:tr w:rsidR="00F849D5" w:rsidRPr="00874392" w:rsidTr="00F849D5">
        <w:trPr>
          <w:jc w:val="center"/>
        </w:trPr>
        <w:tc>
          <w:tcPr>
            <w:tcW w:w="0" w:type="auto"/>
            <w:tcBorders>
              <w:bottom w:val="single" w:sz="4" w:space="0" w:color="auto"/>
            </w:tcBorders>
            <w:vAlign w:val="center"/>
          </w:tcPr>
          <w:p w:rsidR="00F849D5" w:rsidRPr="00874392" w:rsidRDefault="00F849D5" w:rsidP="00F849D5">
            <w:pPr>
              <w:spacing w:before="60" w:after="60" w:line="240" w:lineRule="auto"/>
              <w:rPr>
                <w:rFonts w:ascii="Times New Roman" w:hAnsi="Times New Roman" w:cs="Times New Roman"/>
                <w:sz w:val="20"/>
                <w:szCs w:val="20"/>
              </w:rPr>
            </w:pPr>
            <w:r w:rsidRPr="00874392">
              <w:rPr>
                <w:rFonts w:ascii="Times New Roman" w:hAnsi="Times New Roman" w:cs="Times New Roman"/>
                <w:sz w:val="20"/>
                <w:szCs w:val="20"/>
              </w:rPr>
              <w:t>IcP</w:t>
            </w:r>
          </w:p>
        </w:tc>
        <w:tc>
          <w:tcPr>
            <w:tcW w:w="0" w:type="auto"/>
            <w:tcBorders>
              <w:bottom w:val="single" w:sz="4" w:space="0" w:color="auto"/>
            </w:tcBorders>
            <w:vAlign w:val="bottom"/>
          </w:tcPr>
          <w:p w:rsidR="00F849D5" w:rsidRPr="00874392" w:rsidRDefault="00F849D5"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10</w:t>
            </w:r>
          </w:p>
        </w:tc>
        <w:tc>
          <w:tcPr>
            <w:tcW w:w="1582" w:type="dxa"/>
            <w:tcBorders>
              <w:bottom w:val="single" w:sz="4" w:space="0" w:color="auto"/>
            </w:tcBorders>
            <w:vAlign w:val="bottom"/>
          </w:tcPr>
          <w:p w:rsidR="00F849D5" w:rsidRPr="00874392" w:rsidRDefault="00F849D5"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40</w:t>
            </w:r>
          </w:p>
        </w:tc>
        <w:tc>
          <w:tcPr>
            <w:tcW w:w="1085" w:type="dxa"/>
            <w:tcBorders>
              <w:bottom w:val="single" w:sz="4" w:space="0" w:color="auto"/>
            </w:tcBorders>
            <w:vAlign w:val="bottom"/>
          </w:tcPr>
          <w:p w:rsidR="00F849D5" w:rsidRPr="00874392" w:rsidRDefault="00F849D5"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78.56</w:t>
            </w:r>
          </w:p>
        </w:tc>
        <w:tc>
          <w:tcPr>
            <w:tcW w:w="0" w:type="auto"/>
            <w:tcBorders>
              <w:bottom w:val="single" w:sz="4" w:space="0" w:color="auto"/>
            </w:tcBorders>
            <w:vAlign w:val="bottom"/>
          </w:tcPr>
          <w:p w:rsidR="00F849D5" w:rsidRPr="00874392" w:rsidRDefault="00F849D5"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2.40</w:t>
            </w:r>
          </w:p>
        </w:tc>
        <w:tc>
          <w:tcPr>
            <w:tcW w:w="0" w:type="auto"/>
            <w:tcBorders>
              <w:bottom w:val="single" w:sz="4" w:space="0" w:color="auto"/>
            </w:tcBorders>
            <w:vAlign w:val="bottom"/>
          </w:tcPr>
          <w:p w:rsidR="00F849D5" w:rsidRPr="00874392" w:rsidRDefault="00F849D5"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78.56</w:t>
            </w:r>
          </w:p>
        </w:tc>
        <w:tc>
          <w:tcPr>
            <w:tcW w:w="0" w:type="auto"/>
            <w:tcBorders>
              <w:bottom w:val="single" w:sz="4" w:space="0" w:color="auto"/>
            </w:tcBorders>
            <w:vAlign w:val="bottom"/>
          </w:tcPr>
          <w:p w:rsidR="00F849D5" w:rsidRPr="00874392" w:rsidRDefault="00F849D5" w:rsidP="00F849D5">
            <w:pPr>
              <w:spacing w:before="60" w:after="60" w:line="240" w:lineRule="auto"/>
              <w:jc w:val="center"/>
              <w:rPr>
                <w:rFonts w:ascii="Times New Roman" w:hAnsi="Times New Roman" w:cs="Times New Roman"/>
                <w:sz w:val="20"/>
                <w:szCs w:val="20"/>
              </w:rPr>
            </w:pPr>
            <w:r w:rsidRPr="00874392">
              <w:rPr>
                <w:rFonts w:ascii="Times New Roman" w:hAnsi="Times New Roman" w:cs="Times New Roman"/>
                <w:sz w:val="20"/>
                <w:szCs w:val="20"/>
              </w:rPr>
              <w:t>167</w:t>
            </w:r>
          </w:p>
        </w:tc>
      </w:tr>
    </w:tbl>
    <w:p w:rsidR="00385610" w:rsidRPr="00F849D5" w:rsidRDefault="00385610" w:rsidP="00F849D5">
      <w:pPr>
        <w:spacing w:before="60" w:after="0" w:line="240" w:lineRule="auto"/>
        <w:ind w:left="900" w:right="871"/>
        <w:jc w:val="both"/>
        <w:rPr>
          <w:rFonts w:ascii="Times New Roman" w:hAnsi="Times New Roman"/>
          <w:sz w:val="18"/>
          <w:szCs w:val="18"/>
        </w:rPr>
      </w:pPr>
      <w:r w:rsidRPr="00F849D5">
        <w:rPr>
          <w:rFonts w:ascii="Times New Roman" w:hAnsi="Times New Roman"/>
          <w:sz w:val="18"/>
          <w:szCs w:val="18"/>
          <w:vertAlign w:val="superscript"/>
        </w:rPr>
        <w:t>a</w:t>
      </w:r>
      <w:r w:rsidRPr="00F849D5">
        <w:rPr>
          <w:rFonts w:ascii="Times New Roman" w:hAnsi="Times New Roman"/>
          <w:sz w:val="18"/>
          <w:szCs w:val="18"/>
        </w:rPr>
        <w:t>: LOD, limit of detection (S/N = 3), 10</w:t>
      </w:r>
      <w:r w:rsidRPr="00F849D5">
        <w:rPr>
          <w:rFonts w:ascii="Times New Roman" w:hAnsi="Times New Roman"/>
          <w:sz w:val="18"/>
          <w:szCs w:val="18"/>
          <w:vertAlign w:val="superscript"/>
        </w:rPr>
        <w:t>-2</w:t>
      </w:r>
      <w:r w:rsidRPr="00F849D5">
        <w:rPr>
          <w:rFonts w:ascii="Times New Roman" w:hAnsi="Times New Roman"/>
          <w:sz w:val="18"/>
          <w:szCs w:val="18"/>
        </w:rPr>
        <w:t xml:space="preserve"> μg/L</w:t>
      </w:r>
    </w:p>
    <w:p w:rsidR="00385610" w:rsidRPr="00F849D5" w:rsidRDefault="00385610" w:rsidP="00F849D5">
      <w:pPr>
        <w:spacing w:after="0" w:line="240" w:lineRule="auto"/>
        <w:ind w:left="900" w:right="871"/>
        <w:jc w:val="both"/>
        <w:rPr>
          <w:rFonts w:ascii="Times New Roman" w:hAnsi="Times New Roman"/>
          <w:sz w:val="18"/>
          <w:szCs w:val="18"/>
        </w:rPr>
      </w:pPr>
      <w:r w:rsidRPr="00F849D5">
        <w:rPr>
          <w:rFonts w:ascii="Times New Roman" w:hAnsi="Times New Roman"/>
          <w:sz w:val="18"/>
          <w:szCs w:val="18"/>
          <w:vertAlign w:val="superscript"/>
        </w:rPr>
        <w:t>b</w:t>
      </w:r>
      <w:r w:rsidRPr="00F849D5">
        <w:rPr>
          <w:rFonts w:ascii="Times New Roman" w:hAnsi="Times New Roman"/>
          <w:sz w:val="18"/>
          <w:szCs w:val="18"/>
        </w:rPr>
        <w:t>: LOQ, limit of quantification (S/N = 10), 10</w:t>
      </w:r>
      <w:r w:rsidRPr="00F849D5">
        <w:rPr>
          <w:rFonts w:ascii="Times New Roman" w:hAnsi="Times New Roman"/>
          <w:sz w:val="18"/>
          <w:szCs w:val="18"/>
          <w:vertAlign w:val="superscript"/>
        </w:rPr>
        <w:t>-2</w:t>
      </w:r>
      <w:r w:rsidRPr="00F849D5">
        <w:rPr>
          <w:rFonts w:ascii="Times New Roman" w:hAnsi="Times New Roman"/>
          <w:sz w:val="18"/>
          <w:szCs w:val="18"/>
        </w:rPr>
        <w:t xml:space="preserve"> μg/L</w:t>
      </w:r>
    </w:p>
    <w:p w:rsidR="00385610" w:rsidRPr="00F849D5" w:rsidRDefault="00385610" w:rsidP="00F849D5">
      <w:pPr>
        <w:spacing w:after="0" w:line="240" w:lineRule="auto"/>
        <w:ind w:left="1080" w:right="871" w:hanging="180"/>
        <w:jc w:val="both"/>
        <w:rPr>
          <w:rFonts w:ascii="Times New Roman" w:hAnsi="Times New Roman"/>
          <w:sz w:val="18"/>
          <w:szCs w:val="18"/>
        </w:rPr>
      </w:pPr>
      <w:r w:rsidRPr="00F849D5">
        <w:rPr>
          <w:rFonts w:ascii="Times New Roman" w:hAnsi="Times New Roman"/>
          <w:sz w:val="18"/>
          <w:szCs w:val="18"/>
          <w:vertAlign w:val="superscript"/>
        </w:rPr>
        <w:t>c</w:t>
      </w:r>
      <w:r w:rsidRPr="00F849D5">
        <w:rPr>
          <w:rFonts w:ascii="Times New Roman" w:hAnsi="Times New Roman"/>
          <w:sz w:val="18"/>
          <w:szCs w:val="18"/>
        </w:rPr>
        <w:t>: Accuracy was obtained by calculating ratio of relative ER of cabbage sample and distilled water sample spiked with 120 μg/L in DLLME and 80 μg/L in MAE-DLLME</w:t>
      </w:r>
      <w:r w:rsidR="00F849D5">
        <w:rPr>
          <w:rFonts w:ascii="Times New Roman" w:hAnsi="Times New Roman"/>
          <w:sz w:val="18"/>
          <w:szCs w:val="18"/>
        </w:rPr>
        <w:t xml:space="preserve"> </w:t>
      </w:r>
      <w:r w:rsidRPr="00F849D5">
        <w:rPr>
          <w:rFonts w:ascii="Times New Roman" w:hAnsi="Times New Roman"/>
          <w:sz w:val="18"/>
          <w:szCs w:val="18"/>
        </w:rPr>
        <w:t>respectively</w:t>
      </w:r>
    </w:p>
    <w:p w:rsidR="00385610" w:rsidRPr="00F849D5" w:rsidRDefault="00385610" w:rsidP="00F849D5">
      <w:pPr>
        <w:spacing w:after="0" w:line="240" w:lineRule="auto"/>
        <w:ind w:left="1080" w:right="871" w:hanging="180"/>
        <w:jc w:val="both"/>
        <w:rPr>
          <w:rFonts w:ascii="Times New Roman" w:hAnsi="Times New Roman"/>
          <w:sz w:val="18"/>
          <w:szCs w:val="18"/>
        </w:rPr>
      </w:pPr>
      <w:r w:rsidRPr="00F849D5">
        <w:rPr>
          <w:rFonts w:ascii="Times New Roman" w:hAnsi="Times New Roman"/>
          <w:sz w:val="18"/>
          <w:szCs w:val="18"/>
          <w:vertAlign w:val="superscript"/>
        </w:rPr>
        <w:t>d</w:t>
      </w:r>
      <w:r w:rsidRPr="00F849D5">
        <w:rPr>
          <w:rFonts w:ascii="Times New Roman" w:hAnsi="Times New Roman"/>
          <w:sz w:val="18"/>
          <w:szCs w:val="18"/>
        </w:rPr>
        <w:t>: Precision was obtained by calculating ratio of RSD of cabbage sample and distilled water sample spiked with 120 μg/L in DLLME and 80 μg/L in MAE-DLLME respectively</w:t>
      </w:r>
    </w:p>
    <w:p w:rsidR="00385610" w:rsidRPr="00F849D5" w:rsidRDefault="00385610" w:rsidP="00F849D5">
      <w:pPr>
        <w:spacing w:after="0" w:line="240" w:lineRule="auto"/>
        <w:ind w:left="1080" w:right="871" w:hanging="180"/>
        <w:jc w:val="both"/>
        <w:rPr>
          <w:rFonts w:ascii="Times New Roman" w:hAnsi="Times New Roman"/>
          <w:sz w:val="18"/>
          <w:szCs w:val="18"/>
        </w:rPr>
      </w:pPr>
      <w:r w:rsidRPr="00F849D5">
        <w:rPr>
          <w:rFonts w:ascii="Times New Roman" w:hAnsi="Times New Roman"/>
          <w:sz w:val="18"/>
          <w:szCs w:val="18"/>
          <w:vertAlign w:val="superscript"/>
        </w:rPr>
        <w:t>e</w:t>
      </w:r>
      <w:r w:rsidRPr="00F849D5">
        <w:rPr>
          <w:rFonts w:ascii="Times New Roman" w:hAnsi="Times New Roman"/>
          <w:sz w:val="18"/>
          <w:szCs w:val="18"/>
        </w:rPr>
        <w:t>: Relative ER and EF were obtained by calculating the ratio of EF obtained by spiked cabbage sample and spiked distilled water</w:t>
      </w:r>
    </w:p>
    <w:p w:rsidR="00385610" w:rsidRPr="00385610" w:rsidRDefault="00385610" w:rsidP="00F849D5">
      <w:pPr>
        <w:spacing w:after="120" w:line="240" w:lineRule="auto"/>
        <w:jc w:val="both"/>
        <w:rPr>
          <w:rFonts w:ascii="Times New Roman" w:hAnsi="Times New Roman"/>
          <w:sz w:val="20"/>
          <w:szCs w:val="20"/>
        </w:rPr>
      </w:pPr>
    </w:p>
    <w:p w:rsidR="00385610" w:rsidRPr="00385610" w:rsidRDefault="00385610" w:rsidP="00F849D5">
      <w:pPr>
        <w:spacing w:after="120" w:line="240" w:lineRule="auto"/>
        <w:jc w:val="center"/>
        <w:rPr>
          <w:rFonts w:ascii="Times New Roman" w:hAnsi="Times New Roman"/>
          <w:sz w:val="20"/>
          <w:szCs w:val="20"/>
        </w:rPr>
      </w:pPr>
      <w:r w:rsidRPr="00385610">
        <w:rPr>
          <w:rFonts w:ascii="Times New Roman" w:hAnsi="Times New Roman"/>
          <w:sz w:val="20"/>
          <w:szCs w:val="20"/>
        </w:rPr>
        <w:t xml:space="preserve">Table 2. </w:t>
      </w:r>
      <w:r w:rsidR="00F849D5">
        <w:rPr>
          <w:rFonts w:ascii="Times New Roman" w:hAnsi="Times New Roman"/>
          <w:sz w:val="20"/>
          <w:szCs w:val="20"/>
        </w:rPr>
        <w:t xml:space="preserve"> </w:t>
      </w:r>
      <w:r w:rsidRPr="00385610">
        <w:rPr>
          <w:rFonts w:ascii="Times New Roman" w:hAnsi="Times New Roman"/>
          <w:sz w:val="20"/>
          <w:szCs w:val="20"/>
        </w:rPr>
        <w:t>Analytical performance of MAE-DLLME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715"/>
        <w:gridCol w:w="733"/>
        <w:gridCol w:w="1085"/>
        <w:gridCol w:w="689"/>
        <w:gridCol w:w="1302"/>
        <w:gridCol w:w="1279"/>
      </w:tblGrid>
      <w:tr w:rsidR="00385610" w:rsidRPr="00385610" w:rsidTr="00F849D5">
        <w:trPr>
          <w:jc w:val="center"/>
        </w:trPr>
        <w:tc>
          <w:tcPr>
            <w:tcW w:w="0" w:type="auto"/>
            <w:tcBorders>
              <w:top w:val="single" w:sz="4" w:space="0" w:color="auto"/>
              <w:bottom w:val="single" w:sz="4" w:space="0" w:color="auto"/>
            </w:tcBorders>
          </w:tcPr>
          <w:p w:rsidR="00385610" w:rsidRPr="00385610" w:rsidRDefault="00385610" w:rsidP="00F849D5">
            <w:pPr>
              <w:spacing w:before="60" w:after="60" w:line="240" w:lineRule="auto"/>
              <w:outlineLvl w:val="0"/>
              <w:rPr>
                <w:rFonts w:ascii="Times New Roman" w:hAnsi="Times New Roman" w:cs="Times New Roman"/>
                <w:b/>
                <w:sz w:val="20"/>
                <w:szCs w:val="20"/>
              </w:rPr>
            </w:pPr>
            <w:r w:rsidRPr="00385610">
              <w:rPr>
                <w:rFonts w:ascii="Times New Roman" w:hAnsi="Times New Roman" w:cs="Times New Roman"/>
                <w:b/>
                <w:sz w:val="20"/>
                <w:szCs w:val="20"/>
              </w:rPr>
              <w:t>Analytes</w:t>
            </w:r>
          </w:p>
        </w:tc>
        <w:tc>
          <w:tcPr>
            <w:tcW w:w="0" w:type="auto"/>
            <w:tcBorders>
              <w:top w:val="single" w:sz="4" w:space="0" w:color="auto"/>
              <w:bottom w:val="single" w:sz="4" w:space="0" w:color="auto"/>
            </w:tcBorders>
          </w:tcPr>
          <w:p w:rsidR="00385610" w:rsidRPr="00385610" w:rsidRDefault="00385610" w:rsidP="00F849D5">
            <w:pPr>
              <w:spacing w:before="60" w:after="60" w:line="240" w:lineRule="auto"/>
              <w:jc w:val="center"/>
              <w:outlineLvl w:val="0"/>
              <w:rPr>
                <w:rFonts w:ascii="Times New Roman" w:hAnsi="Times New Roman" w:cs="Times New Roman"/>
                <w:b/>
                <w:sz w:val="20"/>
                <w:szCs w:val="20"/>
              </w:rPr>
            </w:pPr>
            <w:r w:rsidRPr="00385610">
              <w:rPr>
                <w:rFonts w:ascii="Times New Roman" w:hAnsi="Times New Roman" w:cs="Times New Roman"/>
                <w:b/>
                <w:sz w:val="20"/>
                <w:szCs w:val="20"/>
              </w:rPr>
              <w:t>LOD</w:t>
            </w:r>
            <w:r w:rsidRPr="00385610">
              <w:rPr>
                <w:rFonts w:ascii="Times New Roman" w:hAnsi="Times New Roman" w:cs="Times New Roman"/>
                <w:b/>
                <w:sz w:val="20"/>
                <w:szCs w:val="20"/>
                <w:vertAlign w:val="superscript"/>
              </w:rPr>
              <w:t>a</w:t>
            </w:r>
          </w:p>
        </w:tc>
        <w:tc>
          <w:tcPr>
            <w:tcW w:w="0" w:type="auto"/>
            <w:tcBorders>
              <w:top w:val="single" w:sz="4" w:space="0" w:color="auto"/>
              <w:bottom w:val="single" w:sz="4" w:space="0" w:color="auto"/>
            </w:tcBorders>
          </w:tcPr>
          <w:p w:rsidR="00385610" w:rsidRPr="00385610" w:rsidRDefault="00385610" w:rsidP="00F849D5">
            <w:pPr>
              <w:spacing w:before="60" w:after="60" w:line="240" w:lineRule="auto"/>
              <w:jc w:val="center"/>
              <w:outlineLvl w:val="0"/>
              <w:rPr>
                <w:rFonts w:ascii="Times New Roman" w:hAnsi="Times New Roman" w:cs="Times New Roman"/>
                <w:b/>
                <w:sz w:val="20"/>
                <w:szCs w:val="20"/>
              </w:rPr>
            </w:pPr>
            <w:r w:rsidRPr="00385610">
              <w:rPr>
                <w:rFonts w:ascii="Times New Roman" w:hAnsi="Times New Roman" w:cs="Times New Roman"/>
                <w:b/>
                <w:sz w:val="20"/>
                <w:szCs w:val="20"/>
              </w:rPr>
              <w:t>LOQ</w:t>
            </w:r>
            <w:r w:rsidRPr="00385610">
              <w:rPr>
                <w:rFonts w:ascii="Times New Roman" w:hAnsi="Times New Roman" w:cs="Times New Roman"/>
                <w:b/>
                <w:sz w:val="20"/>
                <w:szCs w:val="20"/>
                <w:vertAlign w:val="superscript"/>
              </w:rPr>
              <w:t>b</w:t>
            </w:r>
          </w:p>
        </w:tc>
        <w:tc>
          <w:tcPr>
            <w:tcW w:w="0" w:type="auto"/>
            <w:tcBorders>
              <w:top w:val="single" w:sz="4" w:space="0" w:color="auto"/>
              <w:bottom w:val="single" w:sz="4" w:space="0" w:color="auto"/>
            </w:tcBorders>
          </w:tcPr>
          <w:p w:rsidR="00385610" w:rsidRPr="00385610" w:rsidRDefault="00385610" w:rsidP="00F849D5">
            <w:pPr>
              <w:spacing w:before="60" w:after="60" w:line="240" w:lineRule="auto"/>
              <w:jc w:val="center"/>
              <w:outlineLvl w:val="0"/>
              <w:rPr>
                <w:rFonts w:ascii="Times New Roman" w:hAnsi="Times New Roman" w:cs="Times New Roman"/>
                <w:b/>
                <w:sz w:val="20"/>
                <w:szCs w:val="20"/>
              </w:rPr>
            </w:pPr>
            <w:r w:rsidRPr="00385610">
              <w:rPr>
                <w:rFonts w:ascii="Times New Roman" w:hAnsi="Times New Roman" w:cs="Times New Roman"/>
                <w:b/>
                <w:sz w:val="20"/>
                <w:szCs w:val="20"/>
              </w:rPr>
              <w:t>Accuracy</w:t>
            </w:r>
            <w:r w:rsidRPr="00385610">
              <w:rPr>
                <w:rFonts w:ascii="Times New Roman" w:hAnsi="Times New Roman" w:cs="Times New Roman"/>
                <w:b/>
                <w:sz w:val="20"/>
                <w:szCs w:val="20"/>
                <w:vertAlign w:val="superscript"/>
              </w:rPr>
              <w:t>c</w:t>
            </w:r>
          </w:p>
        </w:tc>
        <w:tc>
          <w:tcPr>
            <w:tcW w:w="0" w:type="auto"/>
            <w:tcBorders>
              <w:top w:val="single" w:sz="4" w:space="0" w:color="auto"/>
              <w:bottom w:val="single" w:sz="4" w:space="0" w:color="auto"/>
            </w:tcBorders>
          </w:tcPr>
          <w:p w:rsidR="00385610" w:rsidRPr="00385610" w:rsidRDefault="00385610" w:rsidP="00F849D5">
            <w:pPr>
              <w:spacing w:before="60" w:after="60" w:line="240" w:lineRule="auto"/>
              <w:jc w:val="center"/>
              <w:outlineLvl w:val="0"/>
              <w:rPr>
                <w:rFonts w:ascii="Times New Roman" w:hAnsi="Times New Roman" w:cs="Times New Roman"/>
                <w:b/>
                <w:sz w:val="20"/>
                <w:szCs w:val="20"/>
              </w:rPr>
            </w:pPr>
            <w:r w:rsidRPr="00385610">
              <w:rPr>
                <w:rFonts w:ascii="Times New Roman" w:hAnsi="Times New Roman" w:cs="Times New Roman"/>
                <w:b/>
                <w:sz w:val="20"/>
                <w:szCs w:val="20"/>
              </w:rPr>
              <w:t>RSD</w:t>
            </w:r>
            <w:r w:rsidRPr="00385610">
              <w:rPr>
                <w:rFonts w:ascii="Times New Roman" w:hAnsi="Times New Roman" w:cs="Times New Roman"/>
                <w:b/>
                <w:sz w:val="20"/>
                <w:szCs w:val="20"/>
                <w:vertAlign w:val="superscript"/>
              </w:rPr>
              <w:t>d</w:t>
            </w:r>
          </w:p>
        </w:tc>
        <w:tc>
          <w:tcPr>
            <w:tcW w:w="0" w:type="auto"/>
            <w:tcBorders>
              <w:top w:val="single" w:sz="4" w:space="0" w:color="auto"/>
              <w:bottom w:val="single" w:sz="4" w:space="0" w:color="auto"/>
            </w:tcBorders>
          </w:tcPr>
          <w:p w:rsidR="00385610" w:rsidRPr="00385610" w:rsidRDefault="00385610" w:rsidP="00F849D5">
            <w:pPr>
              <w:spacing w:before="60" w:after="60" w:line="240" w:lineRule="auto"/>
              <w:jc w:val="center"/>
              <w:outlineLvl w:val="0"/>
              <w:rPr>
                <w:rFonts w:ascii="Times New Roman" w:hAnsi="Times New Roman" w:cs="Times New Roman"/>
                <w:b/>
                <w:sz w:val="20"/>
                <w:szCs w:val="20"/>
              </w:rPr>
            </w:pPr>
            <w:r w:rsidRPr="00385610">
              <w:rPr>
                <w:rFonts w:ascii="Times New Roman" w:hAnsi="Times New Roman" w:cs="Times New Roman"/>
                <w:b/>
                <w:sz w:val="20"/>
                <w:szCs w:val="20"/>
              </w:rPr>
              <w:t>Relative ER</w:t>
            </w:r>
            <w:r w:rsidRPr="00385610">
              <w:rPr>
                <w:rFonts w:ascii="Times New Roman" w:hAnsi="Times New Roman" w:cs="Times New Roman"/>
                <w:b/>
                <w:sz w:val="20"/>
                <w:szCs w:val="20"/>
                <w:vertAlign w:val="superscript"/>
              </w:rPr>
              <w:t>e</w:t>
            </w:r>
          </w:p>
        </w:tc>
        <w:tc>
          <w:tcPr>
            <w:tcW w:w="0" w:type="auto"/>
            <w:tcBorders>
              <w:top w:val="single" w:sz="4" w:space="0" w:color="auto"/>
              <w:bottom w:val="single" w:sz="4" w:space="0" w:color="auto"/>
            </w:tcBorders>
          </w:tcPr>
          <w:p w:rsidR="00385610" w:rsidRPr="00385610" w:rsidRDefault="00385610" w:rsidP="00F849D5">
            <w:pPr>
              <w:spacing w:before="60" w:after="60" w:line="240" w:lineRule="auto"/>
              <w:jc w:val="center"/>
              <w:outlineLvl w:val="0"/>
              <w:rPr>
                <w:rFonts w:ascii="Times New Roman" w:hAnsi="Times New Roman" w:cs="Times New Roman"/>
                <w:b/>
                <w:sz w:val="20"/>
                <w:szCs w:val="20"/>
              </w:rPr>
            </w:pPr>
            <w:r w:rsidRPr="00385610">
              <w:rPr>
                <w:rFonts w:ascii="Times New Roman" w:hAnsi="Times New Roman" w:cs="Times New Roman"/>
                <w:b/>
                <w:sz w:val="20"/>
                <w:szCs w:val="20"/>
              </w:rPr>
              <w:t>Relative EF</w:t>
            </w:r>
            <w:r w:rsidRPr="00385610">
              <w:rPr>
                <w:rFonts w:ascii="Times New Roman" w:hAnsi="Times New Roman" w:cs="Times New Roman"/>
                <w:b/>
                <w:sz w:val="20"/>
                <w:szCs w:val="20"/>
                <w:vertAlign w:val="superscript"/>
              </w:rPr>
              <w:t>e</w:t>
            </w:r>
          </w:p>
        </w:tc>
      </w:tr>
      <w:tr w:rsidR="00385610" w:rsidRPr="00385610" w:rsidTr="00F849D5">
        <w:trPr>
          <w:jc w:val="center"/>
        </w:trPr>
        <w:tc>
          <w:tcPr>
            <w:tcW w:w="0" w:type="auto"/>
            <w:tcBorders>
              <w:top w:val="single" w:sz="4" w:space="0" w:color="auto"/>
            </w:tcBorders>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ACY</w:t>
            </w:r>
          </w:p>
        </w:tc>
        <w:tc>
          <w:tcPr>
            <w:tcW w:w="0" w:type="auto"/>
            <w:tcBorders>
              <w:top w:val="single" w:sz="4" w:space="0" w:color="auto"/>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w:t>
            </w:r>
          </w:p>
        </w:tc>
        <w:tc>
          <w:tcPr>
            <w:tcW w:w="0" w:type="auto"/>
            <w:tcBorders>
              <w:top w:val="single" w:sz="4" w:space="0" w:color="auto"/>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10</w:t>
            </w:r>
          </w:p>
        </w:tc>
        <w:tc>
          <w:tcPr>
            <w:tcW w:w="0" w:type="auto"/>
            <w:tcBorders>
              <w:top w:val="single" w:sz="4" w:space="0" w:color="auto"/>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94.74</w:t>
            </w:r>
          </w:p>
        </w:tc>
        <w:tc>
          <w:tcPr>
            <w:tcW w:w="0" w:type="auto"/>
            <w:tcBorders>
              <w:top w:val="single" w:sz="4" w:space="0" w:color="auto"/>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1.25</w:t>
            </w:r>
          </w:p>
        </w:tc>
        <w:tc>
          <w:tcPr>
            <w:tcW w:w="0" w:type="auto"/>
            <w:tcBorders>
              <w:top w:val="single" w:sz="4" w:space="0" w:color="auto"/>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94.74</w:t>
            </w:r>
          </w:p>
        </w:tc>
        <w:tc>
          <w:tcPr>
            <w:tcW w:w="0" w:type="auto"/>
            <w:tcBorders>
              <w:top w:val="single" w:sz="4" w:space="0" w:color="auto"/>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131</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FLU</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88.45</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2.77</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88.45</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134</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PHE</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10</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92.60</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3.07</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92.60</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126</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ANT</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94.09</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1.83</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94.09</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141</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PYR</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98.42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2.61</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98.42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143</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BaA</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10</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94.06</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1.79</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94.06</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136</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CHR</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84.12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2.49</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84.12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138</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BbF</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5</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20</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86.78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2.16</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86.78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144</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BkF</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25</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93.49</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0.77</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93.49</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145</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BaP</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5</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25</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86.46</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1.30</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86.46</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136</w:t>
            </w:r>
          </w:p>
        </w:tc>
      </w:tr>
      <w:tr w:rsidR="00385610" w:rsidRPr="00385610" w:rsidTr="00385610">
        <w:trPr>
          <w:jc w:val="center"/>
        </w:trPr>
        <w:tc>
          <w:tcPr>
            <w:tcW w:w="0" w:type="auto"/>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DahA</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2</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92.38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1.48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92.38</w:t>
            </w:r>
          </w:p>
        </w:tc>
        <w:tc>
          <w:tcPr>
            <w:tcW w:w="0" w:type="auto"/>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135</w:t>
            </w:r>
          </w:p>
        </w:tc>
      </w:tr>
      <w:tr w:rsidR="00385610" w:rsidRPr="00385610" w:rsidTr="00F849D5">
        <w:trPr>
          <w:jc w:val="center"/>
        </w:trPr>
        <w:tc>
          <w:tcPr>
            <w:tcW w:w="0" w:type="auto"/>
            <w:tcBorders>
              <w:bottom w:val="nil"/>
            </w:tcBorders>
            <w:vAlign w:val="center"/>
          </w:tcPr>
          <w:p w:rsidR="00385610" w:rsidRPr="00385610" w:rsidRDefault="00385610" w:rsidP="00F849D5">
            <w:pPr>
              <w:spacing w:before="60" w:after="0" w:line="240" w:lineRule="auto"/>
              <w:rPr>
                <w:rFonts w:ascii="Times New Roman" w:hAnsi="Times New Roman" w:cs="Times New Roman"/>
                <w:sz w:val="20"/>
                <w:szCs w:val="20"/>
              </w:rPr>
            </w:pPr>
            <w:r w:rsidRPr="00385610">
              <w:rPr>
                <w:rFonts w:ascii="Times New Roman" w:hAnsi="Times New Roman" w:cs="Times New Roman"/>
                <w:sz w:val="20"/>
                <w:szCs w:val="20"/>
              </w:rPr>
              <w:t>BghiP</w:t>
            </w:r>
          </w:p>
        </w:tc>
        <w:tc>
          <w:tcPr>
            <w:tcW w:w="0" w:type="auto"/>
            <w:tcBorders>
              <w:bottom w:val="nil"/>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4</w:t>
            </w:r>
          </w:p>
        </w:tc>
        <w:tc>
          <w:tcPr>
            <w:tcW w:w="0" w:type="auto"/>
            <w:tcBorders>
              <w:bottom w:val="nil"/>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10</w:t>
            </w:r>
          </w:p>
        </w:tc>
        <w:tc>
          <w:tcPr>
            <w:tcW w:w="0" w:type="auto"/>
            <w:tcBorders>
              <w:bottom w:val="nil"/>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87.46</w:t>
            </w:r>
          </w:p>
        </w:tc>
        <w:tc>
          <w:tcPr>
            <w:tcW w:w="0" w:type="auto"/>
            <w:tcBorders>
              <w:bottom w:val="nil"/>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1.43</w:t>
            </w:r>
          </w:p>
        </w:tc>
        <w:tc>
          <w:tcPr>
            <w:tcW w:w="0" w:type="auto"/>
            <w:tcBorders>
              <w:bottom w:val="nil"/>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87.46</w:t>
            </w:r>
          </w:p>
        </w:tc>
        <w:tc>
          <w:tcPr>
            <w:tcW w:w="0" w:type="auto"/>
            <w:tcBorders>
              <w:bottom w:val="nil"/>
            </w:tcBorders>
            <w:vAlign w:val="bottom"/>
          </w:tcPr>
          <w:p w:rsidR="00385610" w:rsidRPr="00385610" w:rsidRDefault="00385610" w:rsidP="00F849D5">
            <w:pPr>
              <w:spacing w:before="60" w:after="0" w:line="240" w:lineRule="auto"/>
              <w:jc w:val="center"/>
              <w:rPr>
                <w:rFonts w:ascii="Times New Roman" w:hAnsi="Times New Roman" w:cs="Times New Roman"/>
                <w:sz w:val="20"/>
                <w:szCs w:val="20"/>
              </w:rPr>
            </w:pPr>
            <w:r w:rsidRPr="00385610">
              <w:rPr>
                <w:rFonts w:ascii="Times New Roman" w:hAnsi="Times New Roman" w:cs="Times New Roman"/>
                <w:sz w:val="20"/>
                <w:szCs w:val="20"/>
              </w:rPr>
              <w:t>142</w:t>
            </w:r>
          </w:p>
        </w:tc>
      </w:tr>
      <w:tr w:rsidR="00385610" w:rsidRPr="00385610" w:rsidTr="00F849D5">
        <w:trPr>
          <w:jc w:val="center"/>
        </w:trPr>
        <w:tc>
          <w:tcPr>
            <w:tcW w:w="0" w:type="auto"/>
            <w:tcBorders>
              <w:top w:val="nil"/>
              <w:bottom w:val="single" w:sz="4" w:space="0" w:color="auto"/>
            </w:tcBorders>
            <w:vAlign w:val="center"/>
          </w:tcPr>
          <w:p w:rsidR="00385610" w:rsidRPr="00385610" w:rsidRDefault="00385610" w:rsidP="00F849D5">
            <w:pPr>
              <w:spacing w:before="60" w:after="60" w:line="240" w:lineRule="auto"/>
              <w:rPr>
                <w:rFonts w:ascii="Times New Roman" w:hAnsi="Times New Roman" w:cs="Times New Roman"/>
                <w:sz w:val="20"/>
                <w:szCs w:val="20"/>
              </w:rPr>
            </w:pPr>
            <w:r w:rsidRPr="00385610">
              <w:rPr>
                <w:rFonts w:ascii="Times New Roman" w:hAnsi="Times New Roman" w:cs="Times New Roman"/>
                <w:sz w:val="20"/>
                <w:szCs w:val="20"/>
              </w:rPr>
              <w:t>IcP</w:t>
            </w:r>
          </w:p>
        </w:tc>
        <w:tc>
          <w:tcPr>
            <w:tcW w:w="0" w:type="auto"/>
            <w:tcBorders>
              <w:top w:val="nil"/>
              <w:bottom w:val="single" w:sz="4" w:space="0" w:color="auto"/>
            </w:tcBorders>
            <w:vAlign w:val="bottom"/>
          </w:tcPr>
          <w:p w:rsidR="00385610" w:rsidRPr="00385610" w:rsidRDefault="00385610" w:rsidP="00F849D5">
            <w:pPr>
              <w:spacing w:before="60" w:after="60" w:line="240" w:lineRule="auto"/>
              <w:jc w:val="center"/>
              <w:rPr>
                <w:rFonts w:ascii="Times New Roman" w:hAnsi="Times New Roman" w:cs="Times New Roman"/>
                <w:sz w:val="20"/>
                <w:szCs w:val="20"/>
              </w:rPr>
            </w:pPr>
            <w:r w:rsidRPr="00385610">
              <w:rPr>
                <w:rFonts w:ascii="Times New Roman" w:hAnsi="Times New Roman" w:cs="Times New Roman"/>
                <w:sz w:val="20"/>
                <w:szCs w:val="20"/>
              </w:rPr>
              <w:t>2</w:t>
            </w:r>
          </w:p>
        </w:tc>
        <w:tc>
          <w:tcPr>
            <w:tcW w:w="0" w:type="auto"/>
            <w:tcBorders>
              <w:top w:val="nil"/>
              <w:bottom w:val="single" w:sz="4" w:space="0" w:color="auto"/>
            </w:tcBorders>
            <w:vAlign w:val="bottom"/>
          </w:tcPr>
          <w:p w:rsidR="00385610" w:rsidRPr="00385610" w:rsidRDefault="00385610" w:rsidP="00F849D5">
            <w:pPr>
              <w:spacing w:before="60" w:after="60" w:line="240" w:lineRule="auto"/>
              <w:jc w:val="center"/>
              <w:rPr>
                <w:rFonts w:ascii="Times New Roman" w:hAnsi="Times New Roman" w:cs="Times New Roman"/>
                <w:sz w:val="20"/>
                <w:szCs w:val="20"/>
              </w:rPr>
            </w:pPr>
            <w:r w:rsidRPr="00385610">
              <w:rPr>
                <w:rFonts w:ascii="Times New Roman" w:hAnsi="Times New Roman" w:cs="Times New Roman"/>
                <w:sz w:val="20"/>
                <w:szCs w:val="20"/>
              </w:rPr>
              <w:t>8</w:t>
            </w:r>
          </w:p>
        </w:tc>
        <w:tc>
          <w:tcPr>
            <w:tcW w:w="0" w:type="auto"/>
            <w:tcBorders>
              <w:top w:val="nil"/>
              <w:bottom w:val="single" w:sz="4" w:space="0" w:color="auto"/>
            </w:tcBorders>
            <w:vAlign w:val="bottom"/>
          </w:tcPr>
          <w:p w:rsidR="00385610" w:rsidRPr="00385610" w:rsidRDefault="00385610" w:rsidP="00F849D5">
            <w:pPr>
              <w:spacing w:before="60" w:after="60" w:line="240" w:lineRule="auto"/>
              <w:jc w:val="center"/>
              <w:rPr>
                <w:rFonts w:ascii="Times New Roman" w:hAnsi="Times New Roman" w:cs="Times New Roman"/>
                <w:sz w:val="20"/>
                <w:szCs w:val="20"/>
              </w:rPr>
            </w:pPr>
            <w:r w:rsidRPr="00385610">
              <w:rPr>
                <w:rFonts w:ascii="Times New Roman" w:hAnsi="Times New Roman" w:cs="Times New Roman"/>
                <w:sz w:val="20"/>
                <w:szCs w:val="20"/>
              </w:rPr>
              <w:t>83.65</w:t>
            </w:r>
          </w:p>
        </w:tc>
        <w:tc>
          <w:tcPr>
            <w:tcW w:w="0" w:type="auto"/>
            <w:tcBorders>
              <w:top w:val="nil"/>
              <w:bottom w:val="single" w:sz="4" w:space="0" w:color="auto"/>
            </w:tcBorders>
            <w:vAlign w:val="bottom"/>
          </w:tcPr>
          <w:p w:rsidR="00385610" w:rsidRPr="00385610" w:rsidRDefault="00385610" w:rsidP="00F849D5">
            <w:pPr>
              <w:spacing w:before="60" w:after="60" w:line="240" w:lineRule="auto"/>
              <w:jc w:val="center"/>
              <w:rPr>
                <w:rFonts w:ascii="Times New Roman" w:hAnsi="Times New Roman" w:cs="Times New Roman"/>
                <w:sz w:val="20"/>
                <w:szCs w:val="20"/>
              </w:rPr>
            </w:pPr>
            <w:r w:rsidRPr="00385610">
              <w:rPr>
                <w:rFonts w:ascii="Times New Roman" w:hAnsi="Times New Roman" w:cs="Times New Roman"/>
                <w:sz w:val="20"/>
                <w:szCs w:val="20"/>
              </w:rPr>
              <w:t>1.86</w:t>
            </w:r>
          </w:p>
        </w:tc>
        <w:tc>
          <w:tcPr>
            <w:tcW w:w="0" w:type="auto"/>
            <w:tcBorders>
              <w:top w:val="nil"/>
              <w:bottom w:val="single" w:sz="4" w:space="0" w:color="auto"/>
            </w:tcBorders>
            <w:vAlign w:val="bottom"/>
          </w:tcPr>
          <w:p w:rsidR="00385610" w:rsidRPr="00385610" w:rsidRDefault="00385610" w:rsidP="00F849D5">
            <w:pPr>
              <w:spacing w:before="60" w:after="60" w:line="240" w:lineRule="auto"/>
              <w:jc w:val="center"/>
              <w:rPr>
                <w:rFonts w:ascii="Times New Roman" w:hAnsi="Times New Roman" w:cs="Times New Roman"/>
                <w:sz w:val="20"/>
                <w:szCs w:val="20"/>
              </w:rPr>
            </w:pPr>
            <w:r w:rsidRPr="00385610">
              <w:rPr>
                <w:rFonts w:ascii="Times New Roman" w:hAnsi="Times New Roman" w:cs="Times New Roman"/>
                <w:sz w:val="20"/>
                <w:szCs w:val="20"/>
              </w:rPr>
              <w:t>83.65</w:t>
            </w:r>
          </w:p>
        </w:tc>
        <w:tc>
          <w:tcPr>
            <w:tcW w:w="0" w:type="auto"/>
            <w:tcBorders>
              <w:top w:val="nil"/>
              <w:bottom w:val="single" w:sz="4" w:space="0" w:color="auto"/>
            </w:tcBorders>
            <w:vAlign w:val="bottom"/>
          </w:tcPr>
          <w:p w:rsidR="00385610" w:rsidRPr="00385610" w:rsidRDefault="00385610" w:rsidP="00F849D5">
            <w:pPr>
              <w:spacing w:before="60" w:after="60" w:line="240" w:lineRule="auto"/>
              <w:jc w:val="center"/>
              <w:rPr>
                <w:rFonts w:ascii="Times New Roman" w:hAnsi="Times New Roman" w:cs="Times New Roman"/>
                <w:sz w:val="20"/>
                <w:szCs w:val="20"/>
              </w:rPr>
            </w:pPr>
            <w:r w:rsidRPr="00385610">
              <w:rPr>
                <w:rFonts w:ascii="Times New Roman" w:hAnsi="Times New Roman" w:cs="Times New Roman"/>
                <w:sz w:val="20"/>
                <w:szCs w:val="20"/>
              </w:rPr>
              <w:t>156</w:t>
            </w:r>
          </w:p>
        </w:tc>
      </w:tr>
    </w:tbl>
    <w:p w:rsidR="00385610" w:rsidRPr="008077DD" w:rsidRDefault="00385610" w:rsidP="008077DD">
      <w:pPr>
        <w:spacing w:before="60" w:after="0" w:line="240" w:lineRule="auto"/>
        <w:ind w:left="720"/>
        <w:jc w:val="both"/>
        <w:rPr>
          <w:rFonts w:ascii="Times New Roman" w:hAnsi="Times New Roman"/>
          <w:sz w:val="18"/>
          <w:szCs w:val="18"/>
        </w:rPr>
      </w:pPr>
      <w:r w:rsidRPr="00385610">
        <w:rPr>
          <w:rFonts w:ascii="Times New Roman" w:hAnsi="Times New Roman"/>
          <w:sz w:val="20"/>
          <w:szCs w:val="20"/>
        </w:rPr>
        <w:t xml:space="preserve">          </w:t>
      </w:r>
      <w:r w:rsidR="008077DD">
        <w:rPr>
          <w:rFonts w:ascii="Times New Roman" w:hAnsi="Times New Roman"/>
          <w:sz w:val="20"/>
          <w:szCs w:val="20"/>
        </w:rPr>
        <w:t xml:space="preserve"> </w:t>
      </w:r>
      <w:r w:rsidRPr="008077DD">
        <w:rPr>
          <w:rFonts w:ascii="Times New Roman" w:hAnsi="Times New Roman"/>
          <w:sz w:val="18"/>
          <w:szCs w:val="18"/>
        </w:rPr>
        <w:t>The abbreviations a</w:t>
      </w:r>
      <w:r w:rsidR="008077DD">
        <w:rPr>
          <w:rFonts w:ascii="Times New Roman" w:hAnsi="Times New Roman"/>
          <w:sz w:val="18"/>
          <w:szCs w:val="18"/>
        </w:rPr>
        <w:t>re same as described in Table 1</w:t>
      </w:r>
    </w:p>
    <w:p w:rsidR="00F849D5" w:rsidRDefault="00F849D5" w:rsidP="00F849D5">
      <w:pPr>
        <w:spacing w:after="120" w:line="240" w:lineRule="auto"/>
        <w:jc w:val="both"/>
        <w:rPr>
          <w:rFonts w:ascii="Times New Roman" w:hAnsi="Times New Roman"/>
          <w:sz w:val="20"/>
          <w:szCs w:val="20"/>
        </w:rPr>
      </w:pPr>
    </w:p>
    <w:p w:rsidR="00F849D5" w:rsidRPr="00385610" w:rsidRDefault="00F849D5" w:rsidP="00F849D5">
      <w:pPr>
        <w:spacing w:after="0" w:line="240" w:lineRule="auto"/>
        <w:jc w:val="both"/>
        <w:rPr>
          <w:rFonts w:ascii="Times New Roman" w:hAnsi="Times New Roman"/>
          <w:sz w:val="20"/>
          <w:szCs w:val="20"/>
        </w:rPr>
      </w:pPr>
      <w:r w:rsidRPr="00385610">
        <w:rPr>
          <w:rFonts w:ascii="Times New Roman" w:hAnsi="Times New Roman"/>
          <w:sz w:val="20"/>
          <w:szCs w:val="20"/>
        </w:rPr>
        <w:t>The precision and the accuracy performances were attained by spiking cabbage sample at 80 μg/L of 13 PAHs in MAE-DLLME and 120 μg/L in DLLME. The precision and accuracy were ranged from 1.22% to 7.50% and 71.77% to 90.93% respectively in DLLME. For MAE-DLLME, the precision was ranged from 0.77% to 3.07% and accuracy was between 83.65% and 98.42%. These results demonstrated that MAE-DLLME is more accurate and repeatable than DLLME. Besides, the relative ERs and EFs of MAE-DLLME were higher than the relative ERs and EFs of DLLME. It may due to the low volume usage of extraction solvent and reduction of matrix interference in MAE-DLLME.</w:t>
      </w:r>
    </w:p>
    <w:p w:rsidR="00F849D5" w:rsidRPr="00385610" w:rsidRDefault="00F849D5" w:rsidP="00F849D5">
      <w:pPr>
        <w:spacing w:after="0" w:line="240" w:lineRule="auto"/>
        <w:jc w:val="both"/>
        <w:rPr>
          <w:rFonts w:ascii="Times New Roman" w:hAnsi="Times New Roman"/>
          <w:sz w:val="20"/>
          <w:szCs w:val="20"/>
        </w:rPr>
      </w:pPr>
    </w:p>
    <w:p w:rsidR="00F849D5" w:rsidRPr="00385610" w:rsidRDefault="00F849D5" w:rsidP="00F849D5">
      <w:pPr>
        <w:spacing w:after="0" w:line="240" w:lineRule="auto"/>
        <w:jc w:val="both"/>
        <w:rPr>
          <w:rFonts w:ascii="Times New Roman" w:hAnsi="Times New Roman"/>
          <w:sz w:val="20"/>
          <w:szCs w:val="20"/>
        </w:rPr>
      </w:pPr>
      <w:r w:rsidRPr="00385610">
        <w:rPr>
          <w:rFonts w:ascii="Times New Roman" w:hAnsi="Times New Roman"/>
          <w:sz w:val="20"/>
          <w:szCs w:val="20"/>
        </w:rPr>
        <w:t xml:space="preserve">Based on the results in Table 1 and 2, the proposed MAE-DLLME showed better analytical performance than DLLME. This might due to the good sample preparation that eliminated the large matrix impurities from the sample. During the microwave process, the thermal labile matrix impurities would be degraded thus enable high </w:t>
      </w:r>
      <w:r w:rsidRPr="00385610">
        <w:rPr>
          <w:rFonts w:ascii="Times New Roman" w:hAnsi="Times New Roman"/>
          <w:sz w:val="20"/>
          <w:szCs w:val="20"/>
        </w:rPr>
        <w:lastRenderedPageBreak/>
        <w:t xml:space="preserve">mass transfer of PAHs from samples into organic phase. Furthermore, the minimum volume of extraction solvent (50 μL) used in DLLME was higher than the minimum volume of extraction solvent (30 μL) used in MAE-DLLME. The reduction of extraction solvent minimized the exposure risk of organic solvent to operator and environment. MAE-DLLME is more cost-effective if large amounts of sample are required to be analysed. </w:t>
      </w:r>
    </w:p>
    <w:p w:rsidR="00385610" w:rsidRPr="00385610" w:rsidRDefault="00385610" w:rsidP="00385610">
      <w:pPr>
        <w:spacing w:after="0" w:line="240" w:lineRule="auto"/>
        <w:jc w:val="both"/>
        <w:rPr>
          <w:rFonts w:ascii="Times New Roman" w:hAnsi="Times New Roman"/>
          <w:sz w:val="20"/>
          <w:szCs w:val="20"/>
        </w:rPr>
      </w:pPr>
    </w:p>
    <w:p w:rsidR="00385610" w:rsidRPr="00385610" w:rsidRDefault="00385610" w:rsidP="00385610">
      <w:pPr>
        <w:spacing w:after="0" w:line="240" w:lineRule="auto"/>
        <w:jc w:val="both"/>
        <w:rPr>
          <w:rFonts w:ascii="Times New Roman" w:hAnsi="Times New Roman"/>
          <w:b/>
          <w:sz w:val="20"/>
          <w:szCs w:val="20"/>
        </w:rPr>
      </w:pPr>
      <w:r w:rsidRPr="00385610">
        <w:rPr>
          <w:rFonts w:ascii="Times New Roman" w:hAnsi="Times New Roman"/>
          <w:b/>
          <w:sz w:val="20"/>
          <w:szCs w:val="20"/>
        </w:rPr>
        <w:t>Comparison of analytical performance of MAE-DLLME with other studies</w:t>
      </w:r>
    </w:p>
    <w:p w:rsidR="00385610" w:rsidRPr="00385610" w:rsidRDefault="00385610" w:rsidP="00385610">
      <w:pPr>
        <w:spacing w:after="0" w:line="240" w:lineRule="auto"/>
        <w:jc w:val="both"/>
        <w:rPr>
          <w:rFonts w:ascii="Times New Roman" w:hAnsi="Times New Roman"/>
          <w:sz w:val="20"/>
          <w:szCs w:val="20"/>
        </w:rPr>
      </w:pPr>
      <w:r w:rsidRPr="00385610">
        <w:rPr>
          <w:rFonts w:ascii="Times New Roman" w:hAnsi="Times New Roman"/>
          <w:sz w:val="20"/>
          <w:szCs w:val="20"/>
        </w:rPr>
        <w:t xml:space="preserve">The method performance of developed MAE-DLLME was compared with other methods from literature studies for the determination of PAHs in vegetables. Table 3 shows some analytical features and parameters of the previous studies and developed MAE-DLLME. </w:t>
      </w:r>
    </w:p>
    <w:p w:rsidR="00385610" w:rsidRPr="00385610" w:rsidRDefault="00385610" w:rsidP="008077DD">
      <w:pPr>
        <w:spacing w:after="120" w:line="240" w:lineRule="auto"/>
        <w:jc w:val="both"/>
        <w:rPr>
          <w:rFonts w:ascii="Times New Roman" w:hAnsi="Times New Roman"/>
          <w:sz w:val="20"/>
          <w:szCs w:val="20"/>
        </w:rPr>
      </w:pPr>
    </w:p>
    <w:p w:rsidR="008077DD" w:rsidRDefault="00385610" w:rsidP="008077DD">
      <w:pPr>
        <w:spacing w:after="0" w:line="240" w:lineRule="auto"/>
        <w:ind w:left="709" w:hanging="709"/>
        <w:jc w:val="center"/>
        <w:rPr>
          <w:rFonts w:ascii="Times New Roman" w:hAnsi="Times New Roman"/>
          <w:sz w:val="20"/>
          <w:szCs w:val="20"/>
        </w:rPr>
      </w:pPr>
      <w:r w:rsidRPr="00385610">
        <w:rPr>
          <w:rFonts w:ascii="Times New Roman" w:hAnsi="Times New Roman"/>
          <w:sz w:val="20"/>
          <w:szCs w:val="20"/>
        </w:rPr>
        <w:t xml:space="preserve">Table 3. </w:t>
      </w:r>
      <w:r w:rsidR="008077DD">
        <w:rPr>
          <w:rFonts w:ascii="Times New Roman" w:hAnsi="Times New Roman"/>
          <w:sz w:val="20"/>
          <w:szCs w:val="20"/>
        </w:rPr>
        <w:t xml:space="preserve"> </w:t>
      </w:r>
      <w:r w:rsidRPr="00385610">
        <w:rPr>
          <w:rFonts w:ascii="Times New Roman" w:hAnsi="Times New Roman"/>
          <w:sz w:val="20"/>
          <w:szCs w:val="20"/>
        </w:rPr>
        <w:t>Comparison of the developed MAE-DLLME with other methods for the determination of PAHs</w:t>
      </w:r>
    </w:p>
    <w:p w:rsidR="00385610" w:rsidRPr="00385610" w:rsidRDefault="00385610" w:rsidP="008077DD">
      <w:pPr>
        <w:spacing w:after="120" w:line="240" w:lineRule="auto"/>
        <w:ind w:left="706" w:hanging="706"/>
        <w:jc w:val="center"/>
        <w:rPr>
          <w:rFonts w:ascii="Times New Roman" w:hAnsi="Times New Roman"/>
          <w:sz w:val="20"/>
          <w:szCs w:val="20"/>
        </w:rPr>
      </w:pPr>
      <w:r w:rsidRPr="00385610">
        <w:rPr>
          <w:rFonts w:ascii="Times New Roman" w:hAnsi="Times New Roman"/>
          <w:sz w:val="20"/>
          <w:szCs w:val="20"/>
        </w:rPr>
        <w:t xml:space="preserve"> in vegetable samples</w:t>
      </w:r>
    </w:p>
    <w:tbl>
      <w:tblPr>
        <w:tblStyle w:val="TableGrid"/>
        <w:tblW w:w="9266"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980"/>
        <w:gridCol w:w="1530"/>
        <w:gridCol w:w="1620"/>
        <w:gridCol w:w="1134"/>
        <w:gridCol w:w="743"/>
        <w:gridCol w:w="733"/>
      </w:tblGrid>
      <w:tr w:rsidR="00385610" w:rsidRPr="00385610" w:rsidTr="00385610">
        <w:trPr>
          <w:jc w:val="center"/>
        </w:trPr>
        <w:tc>
          <w:tcPr>
            <w:tcW w:w="1526" w:type="dxa"/>
            <w:tcBorders>
              <w:top w:val="single" w:sz="4" w:space="0" w:color="auto"/>
              <w:bottom w:val="single" w:sz="4" w:space="0" w:color="auto"/>
            </w:tcBorders>
          </w:tcPr>
          <w:p w:rsidR="00385610" w:rsidRPr="00385610" w:rsidRDefault="00385610" w:rsidP="008077DD">
            <w:pPr>
              <w:spacing w:before="60" w:after="0" w:line="240" w:lineRule="auto"/>
              <w:outlineLvl w:val="0"/>
              <w:rPr>
                <w:rFonts w:ascii="Times New Roman" w:hAnsi="Times New Roman" w:cs="Times New Roman"/>
                <w:b/>
                <w:sz w:val="20"/>
                <w:szCs w:val="20"/>
              </w:rPr>
            </w:pPr>
            <w:r w:rsidRPr="00385610">
              <w:rPr>
                <w:rFonts w:ascii="Times New Roman" w:hAnsi="Times New Roman" w:cs="Times New Roman"/>
                <w:b/>
                <w:sz w:val="20"/>
                <w:szCs w:val="20"/>
              </w:rPr>
              <w:t>Method</w:t>
            </w:r>
          </w:p>
        </w:tc>
        <w:tc>
          <w:tcPr>
            <w:tcW w:w="1980" w:type="dxa"/>
            <w:tcBorders>
              <w:top w:val="single" w:sz="4" w:space="0" w:color="auto"/>
              <w:bottom w:val="single" w:sz="4" w:space="0" w:color="auto"/>
            </w:tcBorders>
          </w:tcPr>
          <w:p w:rsidR="00385610" w:rsidRPr="00385610" w:rsidRDefault="00385610" w:rsidP="008077DD">
            <w:pPr>
              <w:spacing w:before="60" w:after="0" w:line="240" w:lineRule="auto"/>
              <w:outlineLvl w:val="0"/>
              <w:rPr>
                <w:rFonts w:ascii="Times New Roman" w:hAnsi="Times New Roman" w:cs="Times New Roman"/>
                <w:b/>
                <w:sz w:val="20"/>
                <w:szCs w:val="20"/>
              </w:rPr>
            </w:pPr>
            <w:r w:rsidRPr="00385610">
              <w:rPr>
                <w:rFonts w:ascii="Times New Roman" w:hAnsi="Times New Roman" w:cs="Times New Roman"/>
                <w:b/>
                <w:sz w:val="20"/>
                <w:szCs w:val="20"/>
              </w:rPr>
              <w:t>Types of ES*</w:t>
            </w:r>
          </w:p>
        </w:tc>
        <w:tc>
          <w:tcPr>
            <w:tcW w:w="1530" w:type="dxa"/>
            <w:tcBorders>
              <w:top w:val="single" w:sz="4" w:space="0" w:color="auto"/>
              <w:bottom w:val="single" w:sz="4" w:space="0" w:color="auto"/>
            </w:tcBorders>
          </w:tcPr>
          <w:p w:rsidR="00385610" w:rsidRPr="00385610" w:rsidRDefault="00385610" w:rsidP="008077DD">
            <w:pPr>
              <w:spacing w:before="60" w:after="0" w:line="240" w:lineRule="auto"/>
              <w:jc w:val="center"/>
              <w:outlineLvl w:val="0"/>
              <w:rPr>
                <w:rFonts w:ascii="Times New Roman" w:hAnsi="Times New Roman" w:cs="Times New Roman"/>
                <w:b/>
                <w:sz w:val="20"/>
                <w:szCs w:val="20"/>
              </w:rPr>
            </w:pPr>
            <w:r w:rsidRPr="00385610">
              <w:rPr>
                <w:rFonts w:ascii="Times New Roman" w:hAnsi="Times New Roman" w:cs="Times New Roman"/>
                <w:b/>
                <w:sz w:val="20"/>
                <w:szCs w:val="20"/>
              </w:rPr>
              <w:t>LD</w:t>
            </w:r>
            <w:r w:rsidRPr="00385610">
              <w:rPr>
                <w:rFonts w:ascii="Times New Roman" w:hAnsi="Times New Roman" w:cs="Times New Roman"/>
                <w:b/>
                <w:sz w:val="20"/>
                <w:szCs w:val="20"/>
                <w:vertAlign w:val="subscript"/>
              </w:rPr>
              <w:t>50</w:t>
            </w:r>
            <w:r w:rsidRPr="00385610">
              <w:rPr>
                <w:rFonts w:ascii="Times New Roman" w:hAnsi="Times New Roman" w:cs="Times New Roman"/>
                <w:b/>
                <w:sz w:val="20"/>
                <w:szCs w:val="20"/>
              </w:rPr>
              <w:t xml:space="preserve"> of Solvent (oral, mg/kg)</w:t>
            </w:r>
          </w:p>
        </w:tc>
        <w:tc>
          <w:tcPr>
            <w:tcW w:w="1620" w:type="dxa"/>
            <w:tcBorders>
              <w:top w:val="single" w:sz="4" w:space="0" w:color="auto"/>
              <w:bottom w:val="single" w:sz="4" w:space="0" w:color="auto"/>
            </w:tcBorders>
          </w:tcPr>
          <w:p w:rsidR="00385610" w:rsidRPr="00385610" w:rsidRDefault="00385610" w:rsidP="008077DD">
            <w:pPr>
              <w:spacing w:before="60" w:after="0" w:line="240" w:lineRule="auto"/>
              <w:jc w:val="center"/>
              <w:outlineLvl w:val="0"/>
              <w:rPr>
                <w:rFonts w:ascii="Times New Roman" w:hAnsi="Times New Roman" w:cs="Times New Roman"/>
                <w:b/>
                <w:sz w:val="20"/>
                <w:szCs w:val="20"/>
              </w:rPr>
            </w:pPr>
            <w:r w:rsidRPr="00385610">
              <w:rPr>
                <w:rFonts w:ascii="Times New Roman" w:hAnsi="Times New Roman" w:cs="Times New Roman"/>
                <w:b/>
                <w:sz w:val="20"/>
                <w:szCs w:val="20"/>
              </w:rPr>
              <w:t>Organic Solvent Consumption (mL)</w:t>
            </w:r>
          </w:p>
        </w:tc>
        <w:tc>
          <w:tcPr>
            <w:tcW w:w="1134" w:type="dxa"/>
            <w:tcBorders>
              <w:top w:val="single" w:sz="4" w:space="0" w:color="auto"/>
              <w:bottom w:val="single" w:sz="4" w:space="0" w:color="auto"/>
            </w:tcBorders>
          </w:tcPr>
          <w:p w:rsidR="00385610" w:rsidRPr="00385610" w:rsidRDefault="00385610" w:rsidP="002F26A4">
            <w:pPr>
              <w:spacing w:before="60" w:after="60" w:line="240" w:lineRule="auto"/>
              <w:jc w:val="center"/>
              <w:outlineLvl w:val="0"/>
              <w:rPr>
                <w:rFonts w:ascii="Times New Roman" w:hAnsi="Times New Roman" w:cs="Times New Roman"/>
                <w:b/>
                <w:sz w:val="20"/>
                <w:szCs w:val="20"/>
              </w:rPr>
            </w:pPr>
            <w:r w:rsidRPr="00385610">
              <w:rPr>
                <w:rFonts w:ascii="Times New Roman" w:hAnsi="Times New Roman" w:cs="Times New Roman"/>
                <w:b/>
                <w:sz w:val="20"/>
                <w:szCs w:val="20"/>
              </w:rPr>
              <w:t>Extraction Time (min)</w:t>
            </w:r>
          </w:p>
        </w:tc>
        <w:tc>
          <w:tcPr>
            <w:tcW w:w="743" w:type="dxa"/>
            <w:tcBorders>
              <w:top w:val="single" w:sz="4" w:space="0" w:color="auto"/>
              <w:bottom w:val="single" w:sz="4" w:space="0" w:color="auto"/>
            </w:tcBorders>
          </w:tcPr>
          <w:p w:rsidR="00385610" w:rsidRPr="00385610" w:rsidRDefault="00385610" w:rsidP="008077DD">
            <w:pPr>
              <w:spacing w:before="60" w:after="0" w:line="240" w:lineRule="auto"/>
              <w:jc w:val="center"/>
              <w:rPr>
                <w:rFonts w:ascii="Times New Roman" w:hAnsi="Times New Roman" w:cs="Times New Roman"/>
                <w:b/>
                <w:sz w:val="20"/>
                <w:szCs w:val="20"/>
              </w:rPr>
            </w:pPr>
            <w:r w:rsidRPr="00385610">
              <w:rPr>
                <w:rFonts w:ascii="Times New Roman" w:hAnsi="Times New Roman" w:cs="Times New Roman"/>
                <w:b/>
                <w:sz w:val="20"/>
                <w:szCs w:val="20"/>
              </w:rPr>
              <w:t>RSD%</w:t>
            </w:r>
          </w:p>
        </w:tc>
        <w:tc>
          <w:tcPr>
            <w:tcW w:w="733" w:type="dxa"/>
            <w:tcBorders>
              <w:top w:val="single" w:sz="4" w:space="0" w:color="auto"/>
              <w:bottom w:val="single" w:sz="4" w:space="0" w:color="auto"/>
            </w:tcBorders>
          </w:tcPr>
          <w:p w:rsidR="00385610" w:rsidRPr="00385610" w:rsidRDefault="00385610" w:rsidP="008077DD">
            <w:pPr>
              <w:spacing w:before="60" w:after="0" w:line="240" w:lineRule="auto"/>
              <w:rPr>
                <w:rFonts w:ascii="Times New Roman" w:hAnsi="Times New Roman" w:cs="Times New Roman"/>
                <w:b/>
                <w:sz w:val="20"/>
                <w:szCs w:val="20"/>
              </w:rPr>
            </w:pPr>
            <w:r w:rsidRPr="00385610">
              <w:rPr>
                <w:rFonts w:ascii="Times New Roman" w:hAnsi="Times New Roman" w:cs="Times New Roman"/>
                <w:b/>
                <w:sz w:val="20"/>
                <w:szCs w:val="20"/>
              </w:rPr>
              <w:t>Ref</w:t>
            </w:r>
          </w:p>
        </w:tc>
      </w:tr>
      <w:tr w:rsidR="00385610" w:rsidRPr="00385610" w:rsidTr="00385610">
        <w:trPr>
          <w:jc w:val="center"/>
        </w:trPr>
        <w:tc>
          <w:tcPr>
            <w:tcW w:w="1526" w:type="dxa"/>
            <w:tcBorders>
              <w:top w:val="single" w:sz="4" w:space="0" w:color="auto"/>
            </w:tcBorders>
          </w:tcPr>
          <w:p w:rsidR="00385610" w:rsidRPr="00385610" w:rsidRDefault="00385610" w:rsidP="008077DD">
            <w:pPr>
              <w:spacing w:before="6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CD-LLE-CC-HPLC-FLD</w:t>
            </w:r>
            <w:r w:rsidRPr="00385610">
              <w:rPr>
                <w:rFonts w:ascii="Times New Roman" w:hAnsi="Times New Roman" w:cs="Times New Roman"/>
                <w:sz w:val="20"/>
                <w:szCs w:val="20"/>
                <w:vertAlign w:val="superscript"/>
              </w:rPr>
              <w:t>a</w:t>
            </w:r>
          </w:p>
        </w:tc>
        <w:tc>
          <w:tcPr>
            <w:tcW w:w="1980" w:type="dxa"/>
            <w:tcBorders>
              <w:top w:val="single" w:sz="4" w:space="0" w:color="auto"/>
            </w:tcBorders>
          </w:tcPr>
          <w:p w:rsidR="00385610" w:rsidRPr="00385610" w:rsidRDefault="00385610" w:rsidP="008077DD">
            <w:pPr>
              <w:spacing w:before="6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Cyclohexane, N,N-dimethylformamide–water</w:t>
            </w:r>
          </w:p>
        </w:tc>
        <w:tc>
          <w:tcPr>
            <w:tcW w:w="1530" w:type="dxa"/>
            <w:tcBorders>
              <w:top w:val="single" w:sz="4" w:space="0" w:color="auto"/>
            </w:tcBorders>
          </w:tcPr>
          <w:p w:rsidR="00385610" w:rsidRPr="00385610" w:rsidRDefault="00385610" w:rsidP="008077DD">
            <w:pPr>
              <w:spacing w:before="6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&gt;5000, 3000</w:t>
            </w:r>
          </w:p>
        </w:tc>
        <w:tc>
          <w:tcPr>
            <w:tcW w:w="1620" w:type="dxa"/>
            <w:tcBorders>
              <w:top w:val="single" w:sz="4" w:space="0" w:color="auto"/>
            </w:tcBorders>
          </w:tcPr>
          <w:p w:rsidR="00385610" w:rsidRPr="00385610" w:rsidRDefault="00385610" w:rsidP="008077DD">
            <w:pPr>
              <w:spacing w:before="6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&gt; 150</w:t>
            </w:r>
          </w:p>
        </w:tc>
        <w:tc>
          <w:tcPr>
            <w:tcW w:w="1134" w:type="dxa"/>
            <w:tcBorders>
              <w:top w:val="single" w:sz="4" w:space="0" w:color="auto"/>
            </w:tcBorders>
          </w:tcPr>
          <w:p w:rsidR="00385610" w:rsidRPr="00385610" w:rsidRDefault="00385610" w:rsidP="008077DD">
            <w:pPr>
              <w:spacing w:before="6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&gt;2</w:t>
            </w:r>
          </w:p>
        </w:tc>
        <w:tc>
          <w:tcPr>
            <w:tcW w:w="743" w:type="dxa"/>
            <w:tcBorders>
              <w:top w:val="single" w:sz="4" w:space="0" w:color="auto"/>
            </w:tcBorders>
          </w:tcPr>
          <w:p w:rsidR="00385610" w:rsidRPr="00385610" w:rsidRDefault="00385610" w:rsidP="008077DD">
            <w:pPr>
              <w:spacing w:before="6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NA</w:t>
            </w:r>
          </w:p>
        </w:tc>
        <w:tc>
          <w:tcPr>
            <w:tcW w:w="733" w:type="dxa"/>
            <w:tcBorders>
              <w:top w:val="single" w:sz="4" w:space="0" w:color="auto"/>
            </w:tcBorders>
          </w:tcPr>
          <w:p w:rsidR="00385610" w:rsidRPr="00385610" w:rsidRDefault="00385610" w:rsidP="008077DD">
            <w:pPr>
              <w:spacing w:before="6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[18]</w:t>
            </w:r>
          </w:p>
        </w:tc>
      </w:tr>
      <w:tr w:rsidR="00385610" w:rsidRPr="00385610" w:rsidTr="00385610">
        <w:trPr>
          <w:jc w:val="center"/>
        </w:trPr>
        <w:tc>
          <w:tcPr>
            <w:tcW w:w="1526" w:type="dxa"/>
          </w:tcPr>
          <w:p w:rsidR="00385610" w:rsidRPr="00385610" w:rsidRDefault="00385610" w:rsidP="008077DD">
            <w:pPr>
              <w:spacing w:before="12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CD-Soxhlet-HPLC-UVD</w:t>
            </w:r>
            <w:r w:rsidRPr="00385610">
              <w:rPr>
                <w:rFonts w:ascii="Times New Roman" w:hAnsi="Times New Roman" w:cs="Times New Roman"/>
                <w:sz w:val="20"/>
                <w:szCs w:val="20"/>
                <w:vertAlign w:val="superscript"/>
              </w:rPr>
              <w:t>b</w:t>
            </w:r>
          </w:p>
        </w:tc>
        <w:tc>
          <w:tcPr>
            <w:tcW w:w="1980" w:type="dxa"/>
          </w:tcPr>
          <w:p w:rsidR="00385610" w:rsidRPr="00385610" w:rsidRDefault="00385610" w:rsidP="008077DD">
            <w:pPr>
              <w:spacing w:before="12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Cyclohexane/acetone (2:1, v/v)</w:t>
            </w:r>
          </w:p>
        </w:tc>
        <w:tc>
          <w:tcPr>
            <w:tcW w:w="1530" w:type="dxa"/>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&gt;5000, 5800</w:t>
            </w:r>
          </w:p>
        </w:tc>
        <w:tc>
          <w:tcPr>
            <w:tcW w:w="1620" w:type="dxa"/>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NA</w:t>
            </w:r>
          </w:p>
        </w:tc>
        <w:tc>
          <w:tcPr>
            <w:tcW w:w="1134" w:type="dxa"/>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480</w:t>
            </w:r>
          </w:p>
        </w:tc>
        <w:tc>
          <w:tcPr>
            <w:tcW w:w="743" w:type="dxa"/>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4.5-11</w:t>
            </w:r>
          </w:p>
        </w:tc>
        <w:tc>
          <w:tcPr>
            <w:tcW w:w="733" w:type="dxa"/>
          </w:tcPr>
          <w:p w:rsidR="00385610" w:rsidRPr="00385610" w:rsidRDefault="00385610" w:rsidP="008077DD">
            <w:pPr>
              <w:spacing w:before="12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[19]</w:t>
            </w:r>
          </w:p>
        </w:tc>
      </w:tr>
      <w:tr w:rsidR="00385610" w:rsidRPr="00385610" w:rsidTr="00385610">
        <w:trPr>
          <w:jc w:val="center"/>
        </w:trPr>
        <w:tc>
          <w:tcPr>
            <w:tcW w:w="1526" w:type="dxa"/>
          </w:tcPr>
          <w:p w:rsidR="00385610" w:rsidRPr="00385610" w:rsidRDefault="00385610" w:rsidP="008077DD">
            <w:pPr>
              <w:spacing w:before="12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CD-HOLLE-HPLC-FLD</w:t>
            </w:r>
            <w:r w:rsidRPr="00385610">
              <w:rPr>
                <w:rFonts w:ascii="Times New Roman" w:hAnsi="Times New Roman" w:cs="Times New Roman"/>
                <w:sz w:val="20"/>
                <w:szCs w:val="20"/>
                <w:vertAlign w:val="superscript"/>
              </w:rPr>
              <w:t>c</w:t>
            </w:r>
          </w:p>
        </w:tc>
        <w:tc>
          <w:tcPr>
            <w:tcW w:w="1980" w:type="dxa"/>
          </w:tcPr>
          <w:p w:rsidR="00385610" w:rsidRPr="00385610" w:rsidRDefault="00385610" w:rsidP="008077DD">
            <w:pPr>
              <w:spacing w:before="12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Tetrachloroethane</w:t>
            </w:r>
          </w:p>
        </w:tc>
        <w:tc>
          <w:tcPr>
            <w:tcW w:w="1530" w:type="dxa"/>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2629</w:t>
            </w:r>
          </w:p>
        </w:tc>
        <w:tc>
          <w:tcPr>
            <w:tcW w:w="1620" w:type="dxa"/>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&lt; 10</w:t>
            </w:r>
          </w:p>
        </w:tc>
        <w:tc>
          <w:tcPr>
            <w:tcW w:w="1134" w:type="dxa"/>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0</w:t>
            </w:r>
          </w:p>
        </w:tc>
        <w:tc>
          <w:tcPr>
            <w:tcW w:w="743" w:type="dxa"/>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1.1–8.5</w:t>
            </w:r>
          </w:p>
        </w:tc>
        <w:tc>
          <w:tcPr>
            <w:tcW w:w="733" w:type="dxa"/>
          </w:tcPr>
          <w:p w:rsidR="00385610" w:rsidRPr="00385610" w:rsidRDefault="00385610" w:rsidP="008077DD">
            <w:pPr>
              <w:spacing w:before="12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[20]</w:t>
            </w:r>
          </w:p>
        </w:tc>
      </w:tr>
      <w:tr w:rsidR="00385610" w:rsidRPr="00385610" w:rsidTr="008077DD">
        <w:trPr>
          <w:trHeight w:val="702"/>
          <w:jc w:val="center"/>
        </w:trPr>
        <w:tc>
          <w:tcPr>
            <w:tcW w:w="1526" w:type="dxa"/>
            <w:tcBorders>
              <w:bottom w:val="single" w:sz="4" w:space="0" w:color="auto"/>
            </w:tcBorders>
          </w:tcPr>
          <w:p w:rsidR="00385610" w:rsidRPr="00385610" w:rsidRDefault="00385610" w:rsidP="008077DD">
            <w:pPr>
              <w:spacing w:before="12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MAE-DLLME-GC-FID</w:t>
            </w:r>
          </w:p>
        </w:tc>
        <w:tc>
          <w:tcPr>
            <w:tcW w:w="1980" w:type="dxa"/>
            <w:tcBorders>
              <w:bottom w:val="single" w:sz="4" w:space="0" w:color="auto"/>
            </w:tcBorders>
          </w:tcPr>
          <w:p w:rsidR="00385610" w:rsidRPr="00385610" w:rsidRDefault="00385610" w:rsidP="008077DD">
            <w:pPr>
              <w:spacing w:before="12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1-bromo-3-methylbutane</w:t>
            </w:r>
          </w:p>
        </w:tc>
        <w:tc>
          <w:tcPr>
            <w:tcW w:w="1530" w:type="dxa"/>
            <w:tcBorders>
              <w:bottom w:val="single" w:sz="4" w:space="0" w:color="auto"/>
            </w:tcBorders>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6150</w:t>
            </w:r>
          </w:p>
        </w:tc>
        <w:tc>
          <w:tcPr>
            <w:tcW w:w="1620" w:type="dxa"/>
            <w:tcBorders>
              <w:bottom w:val="single" w:sz="4" w:space="0" w:color="auto"/>
            </w:tcBorders>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4.83</w:t>
            </w:r>
          </w:p>
        </w:tc>
        <w:tc>
          <w:tcPr>
            <w:tcW w:w="1134" w:type="dxa"/>
            <w:tcBorders>
              <w:bottom w:val="single" w:sz="4" w:space="0" w:color="auto"/>
            </w:tcBorders>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1</w:t>
            </w:r>
          </w:p>
        </w:tc>
        <w:tc>
          <w:tcPr>
            <w:tcW w:w="743" w:type="dxa"/>
            <w:tcBorders>
              <w:bottom w:val="single" w:sz="4" w:space="0" w:color="auto"/>
            </w:tcBorders>
          </w:tcPr>
          <w:p w:rsidR="00385610" w:rsidRPr="00385610" w:rsidRDefault="00385610" w:rsidP="008077DD">
            <w:pPr>
              <w:spacing w:before="120" w:after="0" w:line="240" w:lineRule="auto"/>
              <w:jc w:val="center"/>
              <w:outlineLvl w:val="0"/>
              <w:rPr>
                <w:rFonts w:ascii="Times New Roman" w:hAnsi="Times New Roman" w:cs="Times New Roman"/>
                <w:sz w:val="20"/>
                <w:szCs w:val="20"/>
              </w:rPr>
            </w:pPr>
            <w:r w:rsidRPr="00385610">
              <w:rPr>
                <w:rFonts w:ascii="Times New Roman" w:hAnsi="Times New Roman" w:cs="Times New Roman"/>
                <w:sz w:val="20"/>
                <w:szCs w:val="20"/>
              </w:rPr>
              <w:t>0.77–3.07</w:t>
            </w:r>
          </w:p>
        </w:tc>
        <w:tc>
          <w:tcPr>
            <w:tcW w:w="733" w:type="dxa"/>
            <w:tcBorders>
              <w:bottom w:val="single" w:sz="4" w:space="0" w:color="auto"/>
            </w:tcBorders>
          </w:tcPr>
          <w:p w:rsidR="00385610" w:rsidRPr="00385610" w:rsidRDefault="00385610" w:rsidP="008077DD">
            <w:pPr>
              <w:spacing w:before="120" w:after="0" w:line="240" w:lineRule="auto"/>
              <w:outlineLvl w:val="0"/>
              <w:rPr>
                <w:rFonts w:ascii="Times New Roman" w:hAnsi="Times New Roman" w:cs="Times New Roman"/>
                <w:sz w:val="20"/>
                <w:szCs w:val="20"/>
              </w:rPr>
            </w:pPr>
            <w:r w:rsidRPr="00385610">
              <w:rPr>
                <w:rFonts w:ascii="Times New Roman" w:hAnsi="Times New Roman" w:cs="Times New Roman"/>
                <w:sz w:val="20"/>
                <w:szCs w:val="20"/>
              </w:rPr>
              <w:t>This study</w:t>
            </w:r>
          </w:p>
          <w:p w:rsidR="00385610" w:rsidRPr="00385610" w:rsidRDefault="00385610" w:rsidP="008077DD">
            <w:pPr>
              <w:spacing w:after="0" w:line="240" w:lineRule="auto"/>
              <w:outlineLvl w:val="0"/>
              <w:rPr>
                <w:rFonts w:ascii="Times New Roman" w:hAnsi="Times New Roman" w:cs="Times New Roman"/>
                <w:sz w:val="20"/>
                <w:szCs w:val="20"/>
              </w:rPr>
            </w:pPr>
          </w:p>
        </w:tc>
      </w:tr>
    </w:tbl>
    <w:p w:rsidR="00385610" w:rsidRPr="008077DD" w:rsidRDefault="00385610" w:rsidP="008077DD">
      <w:pPr>
        <w:spacing w:before="60" w:after="0" w:line="240" w:lineRule="auto"/>
        <w:jc w:val="both"/>
        <w:rPr>
          <w:rFonts w:ascii="Times New Roman" w:hAnsi="Times New Roman"/>
          <w:sz w:val="18"/>
          <w:szCs w:val="18"/>
        </w:rPr>
      </w:pPr>
      <w:r w:rsidRPr="008077DD">
        <w:rPr>
          <w:rFonts w:ascii="Times New Roman" w:hAnsi="Times New Roman"/>
          <w:sz w:val="18"/>
          <w:szCs w:val="18"/>
        </w:rPr>
        <w:t xml:space="preserve">“NA” indicating no data; “ES” indicating extraction solvent; </w:t>
      </w:r>
      <w:r w:rsidRPr="008077DD">
        <w:rPr>
          <w:rFonts w:ascii="Times New Roman" w:hAnsi="Times New Roman"/>
          <w:sz w:val="18"/>
          <w:szCs w:val="18"/>
          <w:vertAlign w:val="superscript"/>
        </w:rPr>
        <w:t>a.</w:t>
      </w:r>
      <w:r w:rsidRPr="008077DD">
        <w:rPr>
          <w:rFonts w:ascii="Times New Roman" w:hAnsi="Times New Roman"/>
          <w:sz w:val="18"/>
          <w:szCs w:val="18"/>
        </w:rPr>
        <w:t xml:space="preserve"> CC-HPLC-FLD: Chemical digestion-liquid-liquid extraction-column chromatography-high performance liquid chromatography-fluorescence detector; </w:t>
      </w:r>
      <w:r w:rsidRPr="008077DD">
        <w:rPr>
          <w:rFonts w:ascii="Times New Roman" w:hAnsi="Times New Roman"/>
          <w:sz w:val="18"/>
          <w:szCs w:val="18"/>
          <w:vertAlign w:val="superscript"/>
        </w:rPr>
        <w:t>b.</w:t>
      </w:r>
      <w:r w:rsidRPr="008077DD">
        <w:rPr>
          <w:rFonts w:ascii="Times New Roman" w:hAnsi="Times New Roman"/>
          <w:sz w:val="18"/>
          <w:szCs w:val="18"/>
        </w:rPr>
        <w:t xml:space="preserve"> CD-Soxhlet-HPLC-UVD: Chemical digestion-Soxhlet extraction-column chromatography-high performance liquid chromatography-ultraviolet detector; </w:t>
      </w:r>
      <w:r w:rsidRPr="008077DD">
        <w:rPr>
          <w:rFonts w:ascii="Times New Roman" w:hAnsi="Times New Roman"/>
          <w:sz w:val="18"/>
          <w:szCs w:val="18"/>
          <w:vertAlign w:val="superscript"/>
        </w:rPr>
        <w:t>c.</w:t>
      </w:r>
      <w:r w:rsidRPr="008077DD">
        <w:rPr>
          <w:rFonts w:ascii="Times New Roman" w:hAnsi="Times New Roman"/>
          <w:sz w:val="18"/>
          <w:szCs w:val="18"/>
        </w:rPr>
        <w:t xml:space="preserve"> CD-HOLLE-HPLC-FLD: Chemical digestion-homogeneous liquid-liquid extraction-high performance liquid chromatography-fluorescence detector</w:t>
      </w:r>
    </w:p>
    <w:p w:rsidR="00385610" w:rsidRDefault="00385610" w:rsidP="002F26A4">
      <w:pPr>
        <w:spacing w:after="120" w:line="240" w:lineRule="auto"/>
        <w:jc w:val="both"/>
        <w:rPr>
          <w:rFonts w:ascii="Times New Roman" w:hAnsi="Times New Roman"/>
          <w:sz w:val="20"/>
          <w:szCs w:val="20"/>
        </w:rPr>
      </w:pPr>
    </w:p>
    <w:p w:rsidR="008077DD" w:rsidRPr="00385610" w:rsidRDefault="008077DD" w:rsidP="008077DD">
      <w:pPr>
        <w:spacing w:after="0" w:line="240" w:lineRule="auto"/>
        <w:jc w:val="both"/>
        <w:rPr>
          <w:rFonts w:ascii="Times New Roman" w:hAnsi="Times New Roman"/>
          <w:sz w:val="20"/>
          <w:szCs w:val="20"/>
        </w:rPr>
      </w:pPr>
      <w:r w:rsidRPr="00385610">
        <w:rPr>
          <w:rFonts w:ascii="Times New Roman" w:hAnsi="Times New Roman"/>
          <w:sz w:val="20"/>
          <w:szCs w:val="20"/>
        </w:rPr>
        <w:t>It is evident that the developed MAE-DLLME has numerous advantages. No hazardous chemicals were used in developed MAE-DLLME for sample preparation prior to extraction. The matrix interferences in vegetable samples can be minimized by microwave heating without chemical digestion. Low lethal dose (LD</w:t>
      </w:r>
      <w:r w:rsidRPr="00385610">
        <w:rPr>
          <w:rFonts w:ascii="Times New Roman" w:hAnsi="Times New Roman"/>
          <w:sz w:val="20"/>
          <w:szCs w:val="20"/>
          <w:vertAlign w:val="subscript"/>
        </w:rPr>
        <w:t>50</w:t>
      </w:r>
      <w:r w:rsidRPr="00385610">
        <w:rPr>
          <w:rFonts w:ascii="Times New Roman" w:hAnsi="Times New Roman"/>
          <w:sz w:val="20"/>
          <w:szCs w:val="20"/>
        </w:rPr>
        <w:t xml:space="preserve">) indicating that the solvent is low toxic and safe to use. The extraction solvent employed in present study is less toxic than literature studies. In addition, MAE-DLLME required small volume of solvent to clean-up and extract the PAHs from one vegetable samples. Moreover, the extraction time is short and the RSD value was very low. Thereby, the developed MAE-DLLME-GC-FID used in this study is a fast, cost-effective and environmentally friendly method for the determination of PAHs in vegetable sample.  </w:t>
      </w:r>
    </w:p>
    <w:p w:rsidR="008077DD" w:rsidRPr="00385610" w:rsidRDefault="008077DD" w:rsidP="00385610">
      <w:pPr>
        <w:spacing w:after="0" w:line="240" w:lineRule="auto"/>
        <w:jc w:val="both"/>
        <w:rPr>
          <w:rFonts w:ascii="Times New Roman" w:hAnsi="Times New Roman"/>
          <w:sz w:val="20"/>
          <w:szCs w:val="20"/>
        </w:rPr>
      </w:pPr>
    </w:p>
    <w:p w:rsidR="00385610" w:rsidRPr="00385610" w:rsidRDefault="00385610" w:rsidP="00385610">
      <w:pPr>
        <w:spacing w:after="0" w:line="240" w:lineRule="auto"/>
        <w:jc w:val="both"/>
        <w:rPr>
          <w:rFonts w:ascii="Times New Roman" w:hAnsi="Times New Roman"/>
          <w:b/>
          <w:sz w:val="20"/>
          <w:szCs w:val="20"/>
        </w:rPr>
      </w:pPr>
      <w:r w:rsidRPr="00385610">
        <w:rPr>
          <w:rFonts w:ascii="Times New Roman" w:hAnsi="Times New Roman"/>
          <w:b/>
          <w:sz w:val="20"/>
          <w:szCs w:val="20"/>
        </w:rPr>
        <w:t>Real sample analysis</w:t>
      </w:r>
    </w:p>
    <w:p w:rsidR="00385610" w:rsidRPr="00385610" w:rsidRDefault="00385610" w:rsidP="00385610">
      <w:pPr>
        <w:spacing w:after="0" w:line="240" w:lineRule="auto"/>
        <w:jc w:val="both"/>
        <w:rPr>
          <w:rFonts w:ascii="Times New Roman" w:hAnsi="Times New Roman"/>
          <w:sz w:val="20"/>
          <w:szCs w:val="20"/>
        </w:rPr>
      </w:pPr>
      <w:r w:rsidRPr="00385610">
        <w:rPr>
          <w:rFonts w:ascii="Times New Roman" w:hAnsi="Times New Roman"/>
          <w:sz w:val="20"/>
          <w:szCs w:val="20"/>
        </w:rPr>
        <w:t>There are different organic nutrient levels and pollutants in organic vegetables were reported [21]. These organic contents such as nonpolar chlorophylls and carotenes might cause matrix effect in extraction of PAHs from vegetables [22]. Three types of popular salad organic vegetables, namely cabbage, tomato and carrot were analyzed in this study to evaluate the feasibility of the proposed MAE-DLLME in real sample analysis. Relative ER was used to express the efficiency of proposed MAE-DLLME.</w:t>
      </w:r>
    </w:p>
    <w:p w:rsidR="00385610" w:rsidRPr="00385610" w:rsidRDefault="00385610" w:rsidP="00385610">
      <w:pPr>
        <w:spacing w:after="0" w:line="240" w:lineRule="auto"/>
        <w:jc w:val="both"/>
        <w:rPr>
          <w:rFonts w:ascii="Times New Roman" w:hAnsi="Times New Roman"/>
          <w:sz w:val="20"/>
          <w:szCs w:val="20"/>
        </w:rPr>
      </w:pPr>
    </w:p>
    <w:p w:rsidR="00385610" w:rsidRPr="00385610" w:rsidRDefault="00385610" w:rsidP="00385610">
      <w:pPr>
        <w:spacing w:after="0" w:line="240" w:lineRule="auto"/>
        <w:jc w:val="both"/>
        <w:rPr>
          <w:rFonts w:ascii="Times New Roman" w:hAnsi="Times New Roman"/>
          <w:sz w:val="20"/>
          <w:szCs w:val="20"/>
        </w:rPr>
      </w:pPr>
      <w:r w:rsidRPr="00385610">
        <w:rPr>
          <w:rFonts w:ascii="Times New Roman" w:hAnsi="Times New Roman"/>
          <w:sz w:val="20"/>
          <w:szCs w:val="20"/>
        </w:rPr>
        <w:t xml:space="preserve">The result of extraction of PAHs from real samples is tabulated in Table 4. The spiked blank sample was used as control sample and the analysis was conducted in triplicate. The proposed MAE-DLLME was able to extract 13 </w:t>
      </w:r>
      <w:r w:rsidRPr="00385610">
        <w:rPr>
          <w:rFonts w:ascii="Times New Roman" w:hAnsi="Times New Roman"/>
          <w:sz w:val="20"/>
          <w:szCs w:val="20"/>
        </w:rPr>
        <w:lastRenderedPageBreak/>
        <w:t>PAHs from organic vegetables. The samples of carrot were found to have high concentration of high molecular weight PAHs. This might because high molecular weight PAHs are more likely to adsorb to the soils, thus increase the chance of contamination [23]. Cabbages were found to have the highest concentration of total PAHs compared to tomato and carrot. The large surface area of air exchange in cabbage could facilitate the adsorption of PAHs [23]. According to the product label on the vegetables, the vegetable samples were planted in Johor and Negeri Sembilan of Malaysia. After harvested, these vegetables were transported to local market in Klang, Selangor of Malaysia. The distance between plantation and market is more than 100 kilometers. Therefore, the contamination of PAHs in these vegetables were mainly due to the long distance transportation.</w:t>
      </w:r>
    </w:p>
    <w:p w:rsidR="00385610" w:rsidRPr="00385610" w:rsidRDefault="00385610" w:rsidP="002F26A4">
      <w:pPr>
        <w:spacing w:after="120" w:line="240" w:lineRule="auto"/>
        <w:jc w:val="both"/>
        <w:rPr>
          <w:rFonts w:ascii="Times New Roman" w:hAnsi="Times New Roman"/>
          <w:sz w:val="20"/>
          <w:szCs w:val="20"/>
        </w:rPr>
      </w:pPr>
    </w:p>
    <w:p w:rsidR="00385610" w:rsidRPr="00385610" w:rsidRDefault="00F22A70" w:rsidP="002F26A4">
      <w:pPr>
        <w:pStyle w:val="SAP-Paragraph"/>
        <w:spacing w:after="120" w:line="240" w:lineRule="auto"/>
        <w:ind w:firstLineChars="0" w:firstLine="0"/>
        <w:jc w:val="center"/>
        <w:rPr>
          <w:rFonts w:eastAsiaTheme="minorEastAsia"/>
          <w:szCs w:val="20"/>
          <w:lang w:val="en-MY"/>
        </w:rPr>
      </w:pPr>
      <w:r>
        <w:rPr>
          <w:szCs w:val="20"/>
          <w:lang w:val="en-US"/>
        </w:rPr>
        <w:t xml:space="preserve">Table 4.  </w:t>
      </w:r>
      <w:r w:rsidR="00385610" w:rsidRPr="00385610">
        <w:rPr>
          <w:rFonts w:eastAsiaTheme="minorEastAsia"/>
          <w:szCs w:val="20"/>
          <w:lang w:val="en-MY"/>
        </w:rPr>
        <w:t>PAHs concentrations (µg/kg, fresh weight) in organic vegetables (n = 3)</w:t>
      </w:r>
    </w:p>
    <w:tbl>
      <w:tblPr>
        <w:tblW w:w="0" w:type="auto"/>
        <w:jc w:val="center"/>
        <w:tblInd w:w="-378" w:type="dxa"/>
        <w:tblBorders>
          <w:top w:val="single" w:sz="4" w:space="0" w:color="auto"/>
          <w:bottom w:val="single" w:sz="4" w:space="0" w:color="auto"/>
        </w:tblBorders>
        <w:tblLook w:val="04A0" w:firstRow="1" w:lastRow="0" w:firstColumn="1" w:lastColumn="0" w:noHBand="0" w:noVBand="1"/>
      </w:tblPr>
      <w:tblGrid>
        <w:gridCol w:w="1311"/>
        <w:gridCol w:w="972"/>
        <w:gridCol w:w="883"/>
        <w:gridCol w:w="805"/>
      </w:tblGrid>
      <w:tr w:rsidR="00385610" w:rsidRPr="00385610" w:rsidTr="002F26A4">
        <w:trPr>
          <w:trHeight w:val="300"/>
          <w:jc w:val="center"/>
        </w:trPr>
        <w:tc>
          <w:tcPr>
            <w:tcW w:w="1311" w:type="dxa"/>
            <w:tcBorders>
              <w:top w:val="single" w:sz="4" w:space="0" w:color="auto"/>
              <w:bottom w:val="single" w:sz="4" w:space="0" w:color="auto"/>
            </w:tcBorders>
            <w:shd w:val="clear" w:color="auto" w:fill="auto"/>
            <w:noWrap/>
            <w:vAlign w:val="center"/>
            <w:hideMark/>
          </w:tcPr>
          <w:p w:rsidR="00385610" w:rsidRPr="00385610" w:rsidRDefault="00385610" w:rsidP="002F26A4">
            <w:pPr>
              <w:spacing w:before="60" w:after="60" w:line="240" w:lineRule="auto"/>
              <w:rPr>
                <w:rFonts w:ascii="Times New Roman" w:hAnsi="Times New Roman"/>
                <w:b/>
                <w:bCs/>
                <w:sz w:val="20"/>
                <w:szCs w:val="20"/>
              </w:rPr>
            </w:pPr>
            <w:r w:rsidRPr="00385610">
              <w:rPr>
                <w:rFonts w:ascii="Times New Roman" w:hAnsi="Times New Roman"/>
                <w:b/>
                <w:bCs/>
                <w:sz w:val="20"/>
                <w:szCs w:val="20"/>
              </w:rPr>
              <w:t>Sample</w:t>
            </w:r>
          </w:p>
        </w:tc>
        <w:tc>
          <w:tcPr>
            <w:tcW w:w="0" w:type="auto"/>
            <w:tcBorders>
              <w:top w:val="single" w:sz="4" w:space="0" w:color="auto"/>
              <w:bottom w:val="single" w:sz="4" w:space="0" w:color="auto"/>
            </w:tcBorders>
            <w:shd w:val="clear" w:color="auto" w:fill="auto"/>
            <w:noWrap/>
            <w:vAlign w:val="center"/>
            <w:hideMark/>
          </w:tcPr>
          <w:p w:rsidR="00385610" w:rsidRPr="00385610" w:rsidRDefault="00385610" w:rsidP="002F26A4">
            <w:pPr>
              <w:spacing w:before="60" w:after="60" w:line="240" w:lineRule="auto"/>
              <w:jc w:val="center"/>
              <w:rPr>
                <w:rFonts w:ascii="Times New Roman" w:hAnsi="Times New Roman"/>
                <w:b/>
                <w:bCs/>
                <w:sz w:val="20"/>
                <w:szCs w:val="20"/>
              </w:rPr>
            </w:pPr>
            <w:r w:rsidRPr="00385610">
              <w:rPr>
                <w:rFonts w:ascii="Times New Roman" w:hAnsi="Times New Roman"/>
                <w:b/>
                <w:bCs/>
                <w:sz w:val="20"/>
                <w:szCs w:val="20"/>
              </w:rPr>
              <w:t>Cabbage</w:t>
            </w:r>
          </w:p>
        </w:tc>
        <w:tc>
          <w:tcPr>
            <w:tcW w:w="0" w:type="auto"/>
            <w:tcBorders>
              <w:top w:val="single" w:sz="4" w:space="0" w:color="auto"/>
              <w:bottom w:val="single" w:sz="4" w:space="0" w:color="auto"/>
            </w:tcBorders>
            <w:shd w:val="clear" w:color="auto" w:fill="auto"/>
            <w:noWrap/>
            <w:vAlign w:val="center"/>
            <w:hideMark/>
          </w:tcPr>
          <w:p w:rsidR="00385610" w:rsidRPr="00385610" w:rsidRDefault="00385610" w:rsidP="002F26A4">
            <w:pPr>
              <w:spacing w:before="60" w:after="60" w:line="240" w:lineRule="auto"/>
              <w:jc w:val="center"/>
              <w:rPr>
                <w:rFonts w:ascii="Times New Roman" w:hAnsi="Times New Roman"/>
                <w:b/>
                <w:bCs/>
                <w:sz w:val="20"/>
                <w:szCs w:val="20"/>
              </w:rPr>
            </w:pPr>
            <w:r w:rsidRPr="00385610">
              <w:rPr>
                <w:rFonts w:ascii="Times New Roman" w:hAnsi="Times New Roman"/>
                <w:b/>
                <w:bCs/>
                <w:sz w:val="20"/>
                <w:szCs w:val="20"/>
              </w:rPr>
              <w:t>Tomato</w:t>
            </w:r>
          </w:p>
        </w:tc>
        <w:tc>
          <w:tcPr>
            <w:tcW w:w="0" w:type="auto"/>
            <w:tcBorders>
              <w:top w:val="single" w:sz="4" w:space="0" w:color="auto"/>
              <w:bottom w:val="single" w:sz="4" w:space="0" w:color="auto"/>
            </w:tcBorders>
            <w:shd w:val="clear" w:color="auto" w:fill="auto"/>
            <w:noWrap/>
            <w:vAlign w:val="center"/>
            <w:hideMark/>
          </w:tcPr>
          <w:p w:rsidR="00385610" w:rsidRPr="00385610" w:rsidRDefault="00385610" w:rsidP="002F26A4">
            <w:pPr>
              <w:spacing w:before="60" w:after="60" w:line="240" w:lineRule="auto"/>
              <w:jc w:val="center"/>
              <w:rPr>
                <w:rFonts w:ascii="Times New Roman" w:hAnsi="Times New Roman"/>
                <w:b/>
                <w:bCs/>
                <w:sz w:val="20"/>
                <w:szCs w:val="20"/>
              </w:rPr>
            </w:pPr>
            <w:r w:rsidRPr="00385610">
              <w:rPr>
                <w:rFonts w:ascii="Times New Roman" w:hAnsi="Times New Roman"/>
                <w:b/>
                <w:bCs/>
                <w:sz w:val="20"/>
                <w:szCs w:val="20"/>
              </w:rPr>
              <w:t>Carrot</w:t>
            </w:r>
          </w:p>
        </w:tc>
      </w:tr>
      <w:tr w:rsidR="00385610" w:rsidRPr="00385610" w:rsidTr="002F26A4">
        <w:trPr>
          <w:trHeight w:val="56"/>
          <w:jc w:val="center"/>
        </w:trPr>
        <w:tc>
          <w:tcPr>
            <w:tcW w:w="1311" w:type="dxa"/>
            <w:tcBorders>
              <w:top w:val="single" w:sz="4" w:space="0" w:color="auto"/>
            </w:tcBorders>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ACY</w:t>
            </w:r>
          </w:p>
        </w:tc>
        <w:tc>
          <w:tcPr>
            <w:tcW w:w="0" w:type="auto"/>
            <w:tcBorders>
              <w:top w:val="single" w:sz="4" w:space="0" w:color="auto"/>
            </w:tcBorders>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0.049</w:t>
            </w:r>
          </w:p>
        </w:tc>
        <w:tc>
          <w:tcPr>
            <w:tcW w:w="0" w:type="auto"/>
            <w:tcBorders>
              <w:top w:val="single" w:sz="4" w:space="0" w:color="auto"/>
            </w:tcBorders>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0.044</w:t>
            </w:r>
          </w:p>
        </w:tc>
        <w:tc>
          <w:tcPr>
            <w:tcW w:w="0" w:type="auto"/>
            <w:tcBorders>
              <w:top w:val="single" w:sz="4" w:space="0" w:color="auto"/>
            </w:tcBorders>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0.161</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FLU</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0.113</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0.139</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PHE</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0.090</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ANT</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0.157</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0.199</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PYR</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0.368</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0.402</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0.184</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BaA</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0.223</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0.167</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0.231</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CHR</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0.195</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0.116</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BbF</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0.356</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0.345</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0.410</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BkF</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0.322</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BaP</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0.372</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0.278</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DahA</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0.560</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0.192</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0.196</w:t>
            </w:r>
          </w:p>
        </w:tc>
      </w:tr>
      <w:tr w:rsidR="00385610" w:rsidRPr="00385610" w:rsidTr="002F26A4">
        <w:trPr>
          <w:trHeight w:val="66"/>
          <w:jc w:val="center"/>
        </w:trPr>
        <w:tc>
          <w:tcPr>
            <w:tcW w:w="1311" w:type="dxa"/>
            <w:shd w:val="clear" w:color="auto" w:fill="auto"/>
            <w:noWrap/>
            <w:vAlign w:val="center"/>
            <w:hideMark/>
          </w:tcPr>
          <w:p w:rsidR="00385610" w:rsidRPr="00385610" w:rsidRDefault="00385610" w:rsidP="002F26A4">
            <w:pPr>
              <w:spacing w:before="60" w:after="0" w:line="240" w:lineRule="auto"/>
              <w:rPr>
                <w:rFonts w:ascii="Times New Roman" w:hAnsi="Times New Roman"/>
                <w:sz w:val="20"/>
                <w:szCs w:val="20"/>
              </w:rPr>
            </w:pPr>
            <w:r w:rsidRPr="00385610">
              <w:rPr>
                <w:rFonts w:ascii="Times New Roman" w:hAnsi="Times New Roman"/>
                <w:sz w:val="20"/>
                <w:szCs w:val="20"/>
              </w:rPr>
              <w:t>BghiP</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n.d.</w:t>
            </w:r>
          </w:p>
        </w:tc>
        <w:tc>
          <w:tcPr>
            <w:tcW w:w="0" w:type="auto"/>
            <w:shd w:val="clear" w:color="auto" w:fill="auto"/>
            <w:noWrap/>
            <w:vAlign w:val="bottom"/>
            <w:hideMark/>
          </w:tcPr>
          <w:p w:rsidR="00385610" w:rsidRPr="00385610" w:rsidRDefault="00385610" w:rsidP="002F26A4">
            <w:pPr>
              <w:spacing w:before="60" w:after="0" w:line="240" w:lineRule="auto"/>
              <w:jc w:val="center"/>
              <w:rPr>
                <w:rFonts w:ascii="Times New Roman" w:hAnsi="Times New Roman"/>
                <w:sz w:val="20"/>
                <w:szCs w:val="20"/>
              </w:rPr>
            </w:pPr>
            <w:r w:rsidRPr="00385610">
              <w:rPr>
                <w:rFonts w:ascii="Times New Roman" w:hAnsi="Times New Roman"/>
                <w:sz w:val="20"/>
                <w:szCs w:val="20"/>
              </w:rPr>
              <w:t>0.086</w:t>
            </w:r>
          </w:p>
        </w:tc>
      </w:tr>
      <w:tr w:rsidR="00385610" w:rsidRPr="00385610" w:rsidTr="002F26A4">
        <w:trPr>
          <w:trHeight w:val="66"/>
          <w:jc w:val="center"/>
        </w:trPr>
        <w:tc>
          <w:tcPr>
            <w:tcW w:w="1311" w:type="dxa"/>
            <w:tcBorders>
              <w:bottom w:val="single" w:sz="4" w:space="0" w:color="auto"/>
            </w:tcBorders>
            <w:shd w:val="clear" w:color="auto" w:fill="auto"/>
            <w:noWrap/>
            <w:vAlign w:val="center"/>
            <w:hideMark/>
          </w:tcPr>
          <w:p w:rsidR="00385610" w:rsidRPr="00385610" w:rsidRDefault="00385610" w:rsidP="002F26A4">
            <w:pPr>
              <w:spacing w:before="60" w:after="60" w:line="240" w:lineRule="auto"/>
              <w:rPr>
                <w:rFonts w:ascii="Times New Roman" w:hAnsi="Times New Roman"/>
                <w:sz w:val="20"/>
                <w:szCs w:val="20"/>
              </w:rPr>
            </w:pPr>
            <w:r w:rsidRPr="00385610">
              <w:rPr>
                <w:rFonts w:ascii="Times New Roman" w:hAnsi="Times New Roman"/>
                <w:sz w:val="20"/>
                <w:szCs w:val="20"/>
              </w:rPr>
              <w:t>IcP</w:t>
            </w:r>
          </w:p>
        </w:tc>
        <w:tc>
          <w:tcPr>
            <w:tcW w:w="0" w:type="auto"/>
            <w:tcBorders>
              <w:bottom w:val="single" w:sz="4" w:space="0" w:color="auto"/>
            </w:tcBorders>
            <w:shd w:val="clear" w:color="auto" w:fill="auto"/>
            <w:noWrap/>
            <w:vAlign w:val="bottom"/>
            <w:hideMark/>
          </w:tcPr>
          <w:p w:rsidR="00385610" w:rsidRPr="00385610" w:rsidRDefault="00385610" w:rsidP="002F26A4">
            <w:pPr>
              <w:spacing w:before="60" w:after="60" w:line="240" w:lineRule="auto"/>
              <w:jc w:val="center"/>
              <w:rPr>
                <w:rFonts w:ascii="Times New Roman" w:hAnsi="Times New Roman"/>
                <w:sz w:val="20"/>
                <w:szCs w:val="20"/>
              </w:rPr>
            </w:pPr>
            <w:r w:rsidRPr="00385610">
              <w:rPr>
                <w:rFonts w:ascii="Times New Roman" w:hAnsi="Times New Roman"/>
                <w:sz w:val="20"/>
                <w:szCs w:val="20"/>
              </w:rPr>
              <w:t>0.214</w:t>
            </w:r>
          </w:p>
        </w:tc>
        <w:tc>
          <w:tcPr>
            <w:tcW w:w="0" w:type="auto"/>
            <w:tcBorders>
              <w:bottom w:val="single" w:sz="4" w:space="0" w:color="auto"/>
            </w:tcBorders>
            <w:shd w:val="clear" w:color="auto" w:fill="auto"/>
            <w:noWrap/>
            <w:vAlign w:val="bottom"/>
            <w:hideMark/>
          </w:tcPr>
          <w:p w:rsidR="00385610" w:rsidRPr="00385610" w:rsidRDefault="00385610" w:rsidP="002F26A4">
            <w:pPr>
              <w:spacing w:before="60" w:after="60" w:line="240" w:lineRule="auto"/>
              <w:jc w:val="center"/>
              <w:rPr>
                <w:rFonts w:ascii="Times New Roman" w:hAnsi="Times New Roman"/>
                <w:sz w:val="20"/>
                <w:szCs w:val="20"/>
              </w:rPr>
            </w:pPr>
            <w:r w:rsidRPr="00385610">
              <w:rPr>
                <w:rFonts w:ascii="Times New Roman" w:hAnsi="Times New Roman"/>
                <w:sz w:val="20"/>
                <w:szCs w:val="20"/>
              </w:rPr>
              <w:t>n.d.</w:t>
            </w:r>
          </w:p>
        </w:tc>
        <w:tc>
          <w:tcPr>
            <w:tcW w:w="0" w:type="auto"/>
            <w:tcBorders>
              <w:bottom w:val="single" w:sz="4" w:space="0" w:color="auto"/>
            </w:tcBorders>
            <w:shd w:val="clear" w:color="auto" w:fill="auto"/>
            <w:noWrap/>
            <w:vAlign w:val="bottom"/>
            <w:hideMark/>
          </w:tcPr>
          <w:p w:rsidR="00385610" w:rsidRPr="00385610" w:rsidRDefault="00385610" w:rsidP="002F26A4">
            <w:pPr>
              <w:spacing w:before="60" w:after="60" w:line="240" w:lineRule="auto"/>
              <w:jc w:val="center"/>
              <w:rPr>
                <w:rFonts w:ascii="Times New Roman" w:hAnsi="Times New Roman"/>
                <w:sz w:val="20"/>
                <w:szCs w:val="20"/>
              </w:rPr>
            </w:pPr>
            <w:r w:rsidRPr="00385610">
              <w:rPr>
                <w:rFonts w:ascii="Times New Roman" w:hAnsi="Times New Roman"/>
                <w:sz w:val="20"/>
                <w:szCs w:val="20"/>
              </w:rPr>
              <w:t>0.621</w:t>
            </w:r>
          </w:p>
        </w:tc>
      </w:tr>
      <w:tr w:rsidR="00385610" w:rsidRPr="00385610" w:rsidTr="002F26A4">
        <w:trPr>
          <w:trHeight w:val="56"/>
          <w:jc w:val="center"/>
        </w:trPr>
        <w:tc>
          <w:tcPr>
            <w:tcW w:w="1311" w:type="dxa"/>
            <w:tcBorders>
              <w:top w:val="single" w:sz="4" w:space="0" w:color="auto"/>
              <w:bottom w:val="single" w:sz="4" w:space="0" w:color="auto"/>
            </w:tcBorders>
            <w:shd w:val="clear" w:color="auto" w:fill="auto"/>
            <w:noWrap/>
            <w:vAlign w:val="center"/>
          </w:tcPr>
          <w:p w:rsidR="00385610" w:rsidRPr="00385610" w:rsidRDefault="00385610" w:rsidP="002F26A4">
            <w:pPr>
              <w:spacing w:before="60" w:after="60" w:line="240" w:lineRule="auto"/>
              <w:rPr>
                <w:rFonts w:ascii="Times New Roman" w:hAnsi="Times New Roman"/>
                <w:sz w:val="20"/>
                <w:szCs w:val="20"/>
              </w:rPr>
            </w:pPr>
            <w:r w:rsidRPr="00385610">
              <w:rPr>
                <w:rFonts w:ascii="Times New Roman" w:hAnsi="Times New Roman"/>
                <w:sz w:val="20"/>
                <w:szCs w:val="20"/>
              </w:rPr>
              <w:t>Σ13PAH</w:t>
            </w:r>
          </w:p>
        </w:tc>
        <w:tc>
          <w:tcPr>
            <w:tcW w:w="0" w:type="auto"/>
            <w:tcBorders>
              <w:top w:val="single" w:sz="4" w:space="0" w:color="auto"/>
              <w:bottom w:val="single" w:sz="4" w:space="0" w:color="auto"/>
            </w:tcBorders>
            <w:shd w:val="clear" w:color="auto" w:fill="auto"/>
            <w:noWrap/>
            <w:vAlign w:val="bottom"/>
          </w:tcPr>
          <w:p w:rsidR="00385610" w:rsidRPr="00385610" w:rsidRDefault="00385610" w:rsidP="002F26A4">
            <w:pPr>
              <w:spacing w:before="60" w:after="60" w:line="240" w:lineRule="auto"/>
              <w:jc w:val="center"/>
              <w:rPr>
                <w:rFonts w:ascii="Times New Roman" w:hAnsi="Times New Roman"/>
                <w:sz w:val="20"/>
                <w:szCs w:val="20"/>
              </w:rPr>
            </w:pPr>
            <w:r w:rsidRPr="00385610">
              <w:rPr>
                <w:rFonts w:ascii="Times New Roman" w:hAnsi="Times New Roman"/>
                <w:sz w:val="20"/>
                <w:szCs w:val="20"/>
              </w:rPr>
              <w:t>2.969</w:t>
            </w:r>
          </w:p>
        </w:tc>
        <w:tc>
          <w:tcPr>
            <w:tcW w:w="0" w:type="auto"/>
            <w:tcBorders>
              <w:top w:val="single" w:sz="4" w:space="0" w:color="auto"/>
              <w:bottom w:val="single" w:sz="4" w:space="0" w:color="auto"/>
            </w:tcBorders>
            <w:shd w:val="clear" w:color="auto" w:fill="auto"/>
            <w:noWrap/>
            <w:vAlign w:val="bottom"/>
          </w:tcPr>
          <w:p w:rsidR="00385610" w:rsidRPr="00385610" w:rsidRDefault="00385610" w:rsidP="002F26A4">
            <w:pPr>
              <w:spacing w:before="60" w:after="60" w:line="240" w:lineRule="auto"/>
              <w:jc w:val="center"/>
              <w:rPr>
                <w:rFonts w:ascii="Times New Roman" w:hAnsi="Times New Roman"/>
                <w:sz w:val="20"/>
                <w:szCs w:val="20"/>
              </w:rPr>
            </w:pPr>
            <w:r w:rsidRPr="00385610">
              <w:rPr>
                <w:rFonts w:ascii="Times New Roman" w:hAnsi="Times New Roman"/>
                <w:sz w:val="20"/>
                <w:szCs w:val="20"/>
              </w:rPr>
              <w:t>1.488</w:t>
            </w:r>
          </w:p>
        </w:tc>
        <w:tc>
          <w:tcPr>
            <w:tcW w:w="0" w:type="auto"/>
            <w:tcBorders>
              <w:top w:val="single" w:sz="4" w:space="0" w:color="auto"/>
              <w:bottom w:val="single" w:sz="4" w:space="0" w:color="auto"/>
            </w:tcBorders>
            <w:shd w:val="clear" w:color="auto" w:fill="auto"/>
            <w:noWrap/>
            <w:vAlign w:val="bottom"/>
          </w:tcPr>
          <w:p w:rsidR="00385610" w:rsidRPr="00385610" w:rsidRDefault="00385610" w:rsidP="002F26A4">
            <w:pPr>
              <w:spacing w:before="60" w:after="60" w:line="240" w:lineRule="auto"/>
              <w:jc w:val="center"/>
              <w:rPr>
                <w:rFonts w:ascii="Times New Roman" w:hAnsi="Times New Roman"/>
                <w:sz w:val="20"/>
                <w:szCs w:val="20"/>
              </w:rPr>
            </w:pPr>
            <w:r w:rsidRPr="00385610">
              <w:rPr>
                <w:rFonts w:ascii="Times New Roman" w:hAnsi="Times New Roman"/>
                <w:sz w:val="20"/>
                <w:szCs w:val="20"/>
              </w:rPr>
              <w:t>2.283</w:t>
            </w:r>
          </w:p>
        </w:tc>
      </w:tr>
    </w:tbl>
    <w:p w:rsidR="00385610" w:rsidRPr="002F26A4" w:rsidRDefault="00385610" w:rsidP="002F26A4">
      <w:pPr>
        <w:spacing w:before="60" w:after="0" w:line="240" w:lineRule="auto"/>
        <w:ind w:left="2030" w:firstLine="763"/>
        <w:jc w:val="both"/>
        <w:rPr>
          <w:rFonts w:ascii="Times New Roman" w:hAnsi="Times New Roman"/>
          <w:sz w:val="18"/>
          <w:szCs w:val="18"/>
        </w:rPr>
      </w:pPr>
      <w:r w:rsidRPr="002F26A4">
        <w:rPr>
          <w:rFonts w:ascii="Times New Roman" w:hAnsi="Times New Roman"/>
          <w:sz w:val="18"/>
          <w:szCs w:val="18"/>
        </w:rPr>
        <w:t>n.d.: not detected</w:t>
      </w:r>
    </w:p>
    <w:p w:rsidR="00385610" w:rsidRPr="00385610" w:rsidRDefault="00385610" w:rsidP="00385610">
      <w:pPr>
        <w:spacing w:after="0" w:line="240" w:lineRule="auto"/>
        <w:jc w:val="both"/>
        <w:rPr>
          <w:rFonts w:ascii="Times New Roman" w:hAnsi="Times New Roman"/>
          <w:sz w:val="20"/>
          <w:szCs w:val="20"/>
        </w:rPr>
      </w:pPr>
    </w:p>
    <w:p w:rsidR="006768E9" w:rsidRPr="00F447A7" w:rsidRDefault="006768E9" w:rsidP="0038561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2F26A4" w:rsidP="002F26A4">
      <w:pPr>
        <w:spacing w:after="0" w:line="240" w:lineRule="auto"/>
        <w:jc w:val="both"/>
        <w:rPr>
          <w:rFonts w:ascii="Times New Roman" w:hAnsi="Times New Roman"/>
          <w:sz w:val="20"/>
          <w:szCs w:val="20"/>
        </w:rPr>
      </w:pPr>
      <w:r w:rsidRPr="002F26A4">
        <w:rPr>
          <w:rFonts w:ascii="Times New Roman" w:hAnsi="Times New Roman"/>
          <w:sz w:val="20"/>
          <w:szCs w:val="20"/>
        </w:rPr>
        <w:t>In the present study, an analytical method of MAE-DLLME coupled with GC-FID for clean-up and extraction of</w:t>
      </w:r>
      <w:r>
        <w:rPr>
          <w:rFonts w:ascii="Times New Roman" w:hAnsi="Times New Roman"/>
          <w:sz w:val="20"/>
          <w:szCs w:val="20"/>
        </w:rPr>
        <w:t xml:space="preserve"> </w:t>
      </w:r>
      <w:r w:rsidRPr="002F26A4">
        <w:rPr>
          <w:rFonts w:ascii="Times New Roman" w:hAnsi="Times New Roman"/>
          <w:sz w:val="20"/>
          <w:szCs w:val="20"/>
        </w:rPr>
        <w:t>13 PAHs from vegetable samples has been developed. The analytical performances of DLLME and MAE-DLLME were validated and compared. The results showed that both methods exhibited low limits of detection and limits of quantification, good precision, accuracy, extraction recovery and enrichment factor. Although MAE-DLLME required the consumption of organic solvents and processing time in microwave process, the overall performance of MAE-DLLME is better than DLLME due to the thermal degradation of matrix components. In conclusions, MAE coupled with DLLME successfully increased extraction efficiency by degrading matrix interference and reducing volume of extraction solvent. The developed MAE-DLLME is preferable for analysis of PAHs in food sample with complex matrices. With the recent development of automation technology, the automated MAE-DLLME procedure should be developed in the future.</w:t>
      </w:r>
    </w:p>
    <w:p w:rsidR="006768E9" w:rsidRPr="00F447A7" w:rsidRDefault="006768E9" w:rsidP="002F26A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Li, H., Zhu, D., Lu, X., Du, H., Guan, S. and Chen, Z. (2018). Determination and risk assessment of sixteen polycyclic</w:t>
      </w:r>
      <w:r w:rsidRPr="002F26A4">
        <w:rPr>
          <w:rFonts w:ascii="Times New Roman" w:hAnsi="Times New Roman"/>
          <w:spacing w:val="-5"/>
          <w:sz w:val="20"/>
          <w:szCs w:val="20"/>
        </w:rPr>
        <w:t xml:space="preserve"> </w:t>
      </w:r>
      <w:r w:rsidRPr="002F26A4">
        <w:rPr>
          <w:rFonts w:ascii="Times New Roman" w:hAnsi="Times New Roman"/>
          <w:sz w:val="20"/>
          <w:szCs w:val="20"/>
        </w:rPr>
        <w:t>aromatic</w:t>
      </w:r>
      <w:r w:rsidRPr="002F26A4">
        <w:rPr>
          <w:rFonts w:ascii="Times New Roman" w:hAnsi="Times New Roman"/>
          <w:spacing w:val="-4"/>
          <w:sz w:val="20"/>
          <w:szCs w:val="20"/>
        </w:rPr>
        <w:t xml:space="preserve"> </w:t>
      </w:r>
      <w:r w:rsidRPr="002F26A4">
        <w:rPr>
          <w:rFonts w:ascii="Times New Roman" w:hAnsi="Times New Roman"/>
          <w:sz w:val="20"/>
          <w:szCs w:val="20"/>
        </w:rPr>
        <w:t>hydrocarbons</w:t>
      </w:r>
      <w:r w:rsidRPr="002F26A4">
        <w:rPr>
          <w:rFonts w:ascii="Times New Roman" w:hAnsi="Times New Roman"/>
          <w:spacing w:val="-3"/>
          <w:sz w:val="20"/>
          <w:szCs w:val="20"/>
        </w:rPr>
        <w:t xml:space="preserve"> </w:t>
      </w:r>
      <w:r w:rsidRPr="002F26A4">
        <w:rPr>
          <w:rFonts w:ascii="Times New Roman" w:hAnsi="Times New Roman"/>
          <w:sz w:val="20"/>
          <w:szCs w:val="20"/>
        </w:rPr>
        <w:t>in</w:t>
      </w:r>
      <w:r w:rsidRPr="002F26A4">
        <w:rPr>
          <w:rFonts w:ascii="Times New Roman" w:hAnsi="Times New Roman"/>
          <w:spacing w:val="-7"/>
          <w:sz w:val="20"/>
          <w:szCs w:val="20"/>
        </w:rPr>
        <w:t xml:space="preserve"> </w:t>
      </w:r>
      <w:r w:rsidRPr="002F26A4">
        <w:rPr>
          <w:rFonts w:ascii="Times New Roman" w:hAnsi="Times New Roman"/>
          <w:sz w:val="20"/>
          <w:szCs w:val="20"/>
        </w:rPr>
        <w:t>vegetables.</w:t>
      </w:r>
      <w:r w:rsidRPr="002F26A4">
        <w:rPr>
          <w:rFonts w:ascii="Times New Roman" w:hAnsi="Times New Roman"/>
          <w:spacing w:val="-1"/>
          <w:sz w:val="20"/>
          <w:szCs w:val="20"/>
        </w:rPr>
        <w:t xml:space="preserve"> </w:t>
      </w:r>
      <w:r w:rsidRPr="002F26A4">
        <w:rPr>
          <w:rFonts w:ascii="Times New Roman" w:hAnsi="Times New Roman"/>
          <w:i/>
          <w:sz w:val="20"/>
          <w:szCs w:val="20"/>
        </w:rPr>
        <w:t>Journal</w:t>
      </w:r>
      <w:r w:rsidRPr="002F26A4">
        <w:rPr>
          <w:rFonts w:ascii="Times New Roman" w:hAnsi="Times New Roman"/>
          <w:i/>
          <w:spacing w:val="-6"/>
          <w:sz w:val="20"/>
          <w:szCs w:val="20"/>
        </w:rPr>
        <w:t xml:space="preserve"> </w:t>
      </w:r>
      <w:r w:rsidRPr="002F26A4">
        <w:rPr>
          <w:rFonts w:ascii="Times New Roman" w:hAnsi="Times New Roman"/>
          <w:i/>
          <w:sz w:val="20"/>
          <w:szCs w:val="20"/>
        </w:rPr>
        <w:t>of</w:t>
      </w:r>
      <w:r w:rsidRPr="002F26A4">
        <w:rPr>
          <w:rFonts w:ascii="Times New Roman" w:hAnsi="Times New Roman"/>
          <w:i/>
          <w:spacing w:val="-10"/>
          <w:sz w:val="20"/>
          <w:szCs w:val="20"/>
        </w:rPr>
        <w:t xml:space="preserve"> </w:t>
      </w:r>
      <w:r w:rsidRPr="002F26A4">
        <w:rPr>
          <w:rFonts w:ascii="Times New Roman" w:hAnsi="Times New Roman"/>
          <w:i/>
          <w:sz w:val="20"/>
          <w:szCs w:val="20"/>
        </w:rPr>
        <w:t>Environmental</w:t>
      </w:r>
      <w:r w:rsidRPr="002F26A4">
        <w:rPr>
          <w:rFonts w:ascii="Times New Roman" w:hAnsi="Times New Roman"/>
          <w:i/>
          <w:spacing w:val="-4"/>
          <w:sz w:val="20"/>
          <w:szCs w:val="20"/>
        </w:rPr>
        <w:t xml:space="preserve"> </w:t>
      </w:r>
      <w:r w:rsidRPr="002F26A4">
        <w:rPr>
          <w:rFonts w:ascii="Times New Roman" w:hAnsi="Times New Roman"/>
          <w:i/>
          <w:sz w:val="20"/>
          <w:szCs w:val="20"/>
        </w:rPr>
        <w:t>Science</w:t>
      </w:r>
      <w:r w:rsidRPr="002F26A4">
        <w:rPr>
          <w:rFonts w:ascii="Times New Roman" w:hAnsi="Times New Roman"/>
          <w:i/>
          <w:spacing w:val="-5"/>
          <w:sz w:val="20"/>
          <w:szCs w:val="20"/>
        </w:rPr>
        <w:t xml:space="preserve"> </w:t>
      </w:r>
      <w:r w:rsidRPr="002F26A4">
        <w:rPr>
          <w:rFonts w:ascii="Times New Roman" w:hAnsi="Times New Roman"/>
          <w:i/>
          <w:sz w:val="20"/>
          <w:szCs w:val="20"/>
        </w:rPr>
        <w:t>and</w:t>
      </w:r>
      <w:r w:rsidRPr="002F26A4">
        <w:rPr>
          <w:rFonts w:ascii="Times New Roman" w:hAnsi="Times New Roman"/>
          <w:i/>
          <w:spacing w:val="-4"/>
          <w:sz w:val="20"/>
          <w:szCs w:val="20"/>
        </w:rPr>
        <w:t xml:space="preserve"> </w:t>
      </w:r>
      <w:r w:rsidRPr="002F26A4">
        <w:rPr>
          <w:rFonts w:ascii="Times New Roman" w:hAnsi="Times New Roman"/>
          <w:i/>
          <w:sz w:val="20"/>
          <w:szCs w:val="20"/>
        </w:rPr>
        <w:t>Health,</w:t>
      </w:r>
      <w:r w:rsidRPr="002F26A4">
        <w:rPr>
          <w:rFonts w:ascii="Times New Roman" w:hAnsi="Times New Roman"/>
          <w:i/>
          <w:spacing w:val="-7"/>
          <w:sz w:val="20"/>
          <w:szCs w:val="20"/>
        </w:rPr>
        <w:t xml:space="preserve"> </w:t>
      </w:r>
      <w:r w:rsidRPr="002F26A4">
        <w:rPr>
          <w:rFonts w:ascii="Times New Roman" w:hAnsi="Times New Roman"/>
          <w:i/>
          <w:sz w:val="20"/>
          <w:szCs w:val="20"/>
        </w:rPr>
        <w:t>Part</w:t>
      </w:r>
      <w:r w:rsidRPr="002F26A4">
        <w:rPr>
          <w:rFonts w:ascii="Times New Roman" w:hAnsi="Times New Roman"/>
          <w:i/>
          <w:spacing w:val="-8"/>
          <w:sz w:val="20"/>
          <w:szCs w:val="20"/>
        </w:rPr>
        <w:t xml:space="preserve"> </w:t>
      </w:r>
      <w:r w:rsidRPr="002F26A4">
        <w:rPr>
          <w:rFonts w:ascii="Times New Roman" w:hAnsi="Times New Roman"/>
          <w:i/>
          <w:sz w:val="20"/>
          <w:szCs w:val="20"/>
        </w:rPr>
        <w:t>A</w:t>
      </w:r>
      <w:r w:rsidRPr="002F26A4">
        <w:rPr>
          <w:rFonts w:ascii="Times New Roman" w:hAnsi="Times New Roman"/>
          <w:sz w:val="20"/>
          <w:szCs w:val="20"/>
        </w:rPr>
        <w:t>,</w:t>
      </w:r>
      <w:r w:rsidRPr="002F26A4">
        <w:rPr>
          <w:rFonts w:ascii="Times New Roman" w:hAnsi="Times New Roman"/>
          <w:spacing w:val="-6"/>
          <w:sz w:val="20"/>
          <w:szCs w:val="20"/>
        </w:rPr>
        <w:t xml:space="preserve"> </w:t>
      </w:r>
      <w:r w:rsidRPr="002F26A4">
        <w:rPr>
          <w:rFonts w:ascii="Times New Roman" w:hAnsi="Times New Roman"/>
          <w:sz w:val="20"/>
          <w:szCs w:val="20"/>
        </w:rPr>
        <w:t>53(2): 116-123.</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Singh, L. and Agarwal, T. (2018). </w:t>
      </w:r>
      <w:r w:rsidRPr="002F26A4">
        <w:rPr>
          <w:rFonts w:ascii="Times New Roman" w:hAnsi="Times New Roman"/>
          <w:spacing w:val="-4"/>
          <w:sz w:val="20"/>
          <w:szCs w:val="20"/>
        </w:rPr>
        <w:t xml:space="preserve">PAHs </w:t>
      </w:r>
      <w:r w:rsidRPr="002F26A4">
        <w:rPr>
          <w:rFonts w:ascii="Times New Roman" w:hAnsi="Times New Roman"/>
          <w:sz w:val="20"/>
          <w:szCs w:val="20"/>
        </w:rPr>
        <w:t xml:space="preserve">in Indian diet: Assessing the cancer risk. </w:t>
      </w:r>
      <w:r w:rsidRPr="002F26A4">
        <w:rPr>
          <w:rFonts w:ascii="Times New Roman" w:hAnsi="Times New Roman"/>
          <w:i/>
          <w:sz w:val="20"/>
          <w:szCs w:val="20"/>
        </w:rPr>
        <w:t>Chemosphere</w:t>
      </w:r>
      <w:r w:rsidRPr="002F26A4">
        <w:rPr>
          <w:rFonts w:ascii="Times New Roman" w:hAnsi="Times New Roman"/>
          <w:sz w:val="20"/>
          <w:szCs w:val="20"/>
        </w:rPr>
        <w:t>, 202: 366-376.</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Soceanu, A., Dobrinas, S., Stanciu, G. and Popescu, V. (2014). Polycyclic aromatic hydrocarbons in vegetables grown in urban and rural areas. </w:t>
      </w:r>
      <w:r w:rsidRPr="002F26A4">
        <w:rPr>
          <w:rFonts w:ascii="Times New Roman" w:hAnsi="Times New Roman"/>
          <w:i/>
          <w:sz w:val="20"/>
          <w:szCs w:val="20"/>
        </w:rPr>
        <w:t>Environmental Engineering and Management Journal</w:t>
      </w:r>
      <w:r w:rsidRPr="002F26A4">
        <w:rPr>
          <w:rFonts w:ascii="Times New Roman" w:hAnsi="Times New Roman"/>
          <w:sz w:val="20"/>
          <w:szCs w:val="20"/>
        </w:rPr>
        <w:t>, 13(9): 2311-2315.</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lastRenderedPageBreak/>
        <w:t>International Agency for research on cancer. (2017). IARC Monographs on the evaluation of carcinogenic risks to humans. http://monographs.iarc.fr/ENG/Classification/latest_classif.php. [Access online 18 April 2019].</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European Commission (2002). Opinion of the scientific committee on food on the risks to human health of polycyclic aromatic hydrocarbons in food. https://ec.europa.eu/food/sites/food/files/safety/docs/sci- com_scf_out153_en.pdf. [Access online 19 April 2019].</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Saraji, M., and Boroujeni, M. K. (2013). Recent developments in dispersive liquid-liquid microextraction microextraction techniques. </w:t>
      </w:r>
      <w:r w:rsidRPr="002F26A4">
        <w:rPr>
          <w:rFonts w:ascii="Times New Roman" w:hAnsi="Times New Roman"/>
          <w:i/>
          <w:sz w:val="20"/>
          <w:szCs w:val="20"/>
        </w:rPr>
        <w:t>Analytical and Bioanalytical Chemistry</w:t>
      </w:r>
      <w:r w:rsidRPr="002F26A4">
        <w:rPr>
          <w:rFonts w:ascii="Times New Roman" w:hAnsi="Times New Roman"/>
          <w:sz w:val="20"/>
          <w:szCs w:val="20"/>
        </w:rPr>
        <w:t>, 406: 2027-2066.</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Rezaee, M., Assadi, Y., Milani Hosseini, M.R., Aghaee, E., Ahmadi, F. and Berijani, S. (2006). Determination of organic compounds in water using dispersive liquid-liquid microextraction. </w:t>
      </w:r>
      <w:r w:rsidRPr="002F26A4">
        <w:rPr>
          <w:rFonts w:ascii="Times New Roman" w:hAnsi="Times New Roman"/>
          <w:i/>
          <w:sz w:val="20"/>
          <w:szCs w:val="20"/>
        </w:rPr>
        <w:t>Journal of Chromatography</w:t>
      </w:r>
      <w:r w:rsidRPr="002F26A4">
        <w:rPr>
          <w:rFonts w:ascii="Times New Roman" w:hAnsi="Times New Roman"/>
          <w:sz w:val="20"/>
          <w:szCs w:val="20"/>
        </w:rPr>
        <w:t>. A, 1116 (1-2): 1-9.</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Peng, G., Lu, Y., He, Q., Mmereki, D., Zhou, G., Chen, J. and Tang, X. (2016). Dispersive liquid–liquid microextraction using low-toxic solvent for the determination of heavy metals in water samples by inductively coupled plasma–mass spectrometry</w:t>
      </w:r>
      <w:r w:rsidRPr="002F26A4">
        <w:rPr>
          <w:rFonts w:ascii="Times New Roman" w:hAnsi="Times New Roman"/>
          <w:i/>
          <w:sz w:val="20"/>
          <w:szCs w:val="20"/>
        </w:rPr>
        <w:t>. Journal of AOAC International</w:t>
      </w:r>
      <w:r w:rsidRPr="002F26A4">
        <w:rPr>
          <w:rFonts w:ascii="Times New Roman" w:hAnsi="Times New Roman"/>
          <w:sz w:val="20"/>
          <w:szCs w:val="20"/>
        </w:rPr>
        <w:t>, 99 (1): 260-266.</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Chai, M. K., Chander, P. D. and Wong, L. S. (2016). Modified dispersive liquid-liquid microextraction using green solvent for extraction of polycyclic aromatic hydrocarbosn (PAHs) in vegetable samples. </w:t>
      </w:r>
      <w:r w:rsidRPr="002F26A4">
        <w:rPr>
          <w:rFonts w:ascii="Times New Roman" w:hAnsi="Times New Roman"/>
          <w:i/>
          <w:sz w:val="20"/>
          <w:szCs w:val="20"/>
        </w:rPr>
        <w:t>Malaysian Journal of Analytical Sciences</w:t>
      </w:r>
      <w:r w:rsidRPr="002F26A4">
        <w:rPr>
          <w:rFonts w:ascii="Times New Roman" w:hAnsi="Times New Roman"/>
          <w:sz w:val="20"/>
          <w:szCs w:val="20"/>
        </w:rPr>
        <w:t>, 20(1): 14 – 20.</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Wang, H., Ding, J. and Ren, N. (2016). Recent advances in microwave-assisted extraction of trace organic pollutants from food and environmental samples. </w:t>
      </w:r>
      <w:r w:rsidRPr="002F26A4">
        <w:rPr>
          <w:rFonts w:ascii="Times New Roman" w:hAnsi="Times New Roman"/>
          <w:i/>
          <w:sz w:val="20"/>
          <w:szCs w:val="20"/>
        </w:rPr>
        <w:t>Trends in Analytical Chemistry</w:t>
      </w:r>
      <w:r w:rsidRPr="002F26A4">
        <w:rPr>
          <w:rFonts w:ascii="Times New Roman" w:hAnsi="Times New Roman"/>
          <w:sz w:val="20"/>
          <w:szCs w:val="20"/>
        </w:rPr>
        <w:t>, 75: 197-208.</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Campillo, N., Viñas, P., Martínez-Castillo, N. and Hernández-Córdoba, M. (2011). Determination of volatile nitrosamines in meat products by microwave-assisted extraction and dispersive liquid-liquid microextraction coupled to gas chromatography-mass spectrometry. </w:t>
      </w:r>
      <w:r w:rsidRPr="002F26A4">
        <w:rPr>
          <w:rFonts w:ascii="Times New Roman" w:hAnsi="Times New Roman"/>
          <w:i/>
          <w:sz w:val="20"/>
          <w:szCs w:val="20"/>
        </w:rPr>
        <w:t>Journal of Chromatography A</w:t>
      </w:r>
      <w:r w:rsidRPr="002F26A4">
        <w:rPr>
          <w:rFonts w:ascii="Times New Roman" w:hAnsi="Times New Roman"/>
          <w:sz w:val="20"/>
          <w:szCs w:val="20"/>
        </w:rPr>
        <w:t>, 1218: 1815-1221.</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Mahmoudpour, M., Mohtadinia, J., Mousavi, M. M., Ansarin, M. and Nemati, M. (2016). Application of the microwave-assisted extraction and dispersive liquid–liquid microextraction for the analysis of PAHs in smoked rice. </w:t>
      </w:r>
      <w:r w:rsidRPr="002F26A4">
        <w:rPr>
          <w:rFonts w:ascii="Times New Roman" w:hAnsi="Times New Roman"/>
          <w:i/>
          <w:sz w:val="20"/>
          <w:szCs w:val="20"/>
        </w:rPr>
        <w:t>Food Analytical Methods</w:t>
      </w:r>
      <w:r w:rsidRPr="002F26A4">
        <w:rPr>
          <w:rFonts w:ascii="Times New Roman" w:hAnsi="Times New Roman"/>
          <w:sz w:val="20"/>
          <w:szCs w:val="20"/>
        </w:rPr>
        <w:t>, 10(1): 1-10.</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Mari, A., Ahmadi-Jouibari, T. and Nazir, F. (2016). Application of microwave-assisted dispersive liquid– liquid microextraction and graphite furnace atomic absorption spectrometry for ultra-trace determination of lead and cadmium in cereals and agricultural. </w:t>
      </w:r>
      <w:r w:rsidRPr="002F26A4">
        <w:rPr>
          <w:rFonts w:ascii="Times New Roman" w:hAnsi="Times New Roman"/>
          <w:i/>
          <w:sz w:val="20"/>
          <w:szCs w:val="20"/>
        </w:rPr>
        <w:t>International Journal of Environmental Analytical Chemistry</w:t>
      </w:r>
      <w:r w:rsidRPr="002F26A4">
        <w:rPr>
          <w:rFonts w:ascii="Times New Roman" w:hAnsi="Times New Roman"/>
          <w:sz w:val="20"/>
          <w:szCs w:val="20"/>
        </w:rPr>
        <w:t>. 96: 271-283.</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Tan, Y. H., Chai, M. K. and Wong, L. S. (2018). The effects of parameters on the efficiency of DLLME in extracting of PAHs from vegetable samples. </w:t>
      </w:r>
      <w:r w:rsidRPr="002F26A4">
        <w:rPr>
          <w:rFonts w:ascii="Times New Roman" w:hAnsi="Times New Roman"/>
          <w:i/>
          <w:sz w:val="20"/>
          <w:szCs w:val="20"/>
        </w:rPr>
        <w:t>International Journal of Engineering and Technology</w:t>
      </w:r>
      <w:r w:rsidRPr="002F26A4">
        <w:rPr>
          <w:rFonts w:ascii="Times New Roman" w:hAnsi="Times New Roman"/>
          <w:sz w:val="20"/>
          <w:szCs w:val="20"/>
        </w:rPr>
        <w:t>, 7 (4.35): 15-21.</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ICH Expert Working Group. (2005). Validation of analytical procedures: text and methodology Q2 (R1).</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Xu, F., Liu, L., Wei, W. and Xu, R. (2017). Determination of five endosulfan pesticides in the fish pond water by dispersive liquid-liquid microextraction combined with GC-MS. </w:t>
      </w:r>
      <w:r w:rsidRPr="002F26A4">
        <w:rPr>
          <w:rFonts w:ascii="Times New Roman" w:hAnsi="Times New Roman"/>
          <w:i/>
          <w:sz w:val="20"/>
          <w:szCs w:val="20"/>
        </w:rPr>
        <w:t>Forensic Sciences Research</w:t>
      </w:r>
      <w:r w:rsidRPr="002F26A4">
        <w:rPr>
          <w:rFonts w:ascii="Times New Roman" w:hAnsi="Times New Roman"/>
          <w:sz w:val="20"/>
          <w:szCs w:val="20"/>
        </w:rPr>
        <w:t>, 2(1): 1-6.</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Wagner, I. and Stichlmair, J. (2001). The effect of viscosity on mass transfer in pulsed sieve-tray extraction columns. </w:t>
      </w:r>
      <w:r w:rsidRPr="002F26A4">
        <w:rPr>
          <w:rFonts w:ascii="Times New Roman" w:hAnsi="Times New Roman"/>
          <w:i/>
          <w:sz w:val="20"/>
          <w:szCs w:val="20"/>
        </w:rPr>
        <w:t>Chemical Engineering and Technology</w:t>
      </w:r>
      <w:r w:rsidRPr="002F26A4">
        <w:rPr>
          <w:rFonts w:ascii="Times New Roman" w:hAnsi="Times New Roman"/>
          <w:sz w:val="20"/>
          <w:szCs w:val="20"/>
        </w:rPr>
        <w:t>, 24 (6): 616-619.</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Camargo, M. C. R., and Toledo, M. C. F. (2003). Polycyclic aromatic hydrocarbons in Brazilian vegetables and fruits. </w:t>
      </w:r>
      <w:r w:rsidRPr="002F26A4">
        <w:rPr>
          <w:rFonts w:ascii="Times New Roman" w:hAnsi="Times New Roman"/>
          <w:i/>
          <w:sz w:val="20"/>
          <w:szCs w:val="20"/>
        </w:rPr>
        <w:t>Food Control</w:t>
      </w:r>
      <w:r w:rsidRPr="002F26A4">
        <w:rPr>
          <w:rFonts w:ascii="Times New Roman" w:hAnsi="Times New Roman"/>
          <w:sz w:val="20"/>
          <w:szCs w:val="20"/>
        </w:rPr>
        <w:t>, 14(1): 49-53.</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Ashraf, M. W. and Salam, A. (2012). Polycyclic aromatic hydrocarbons (PAHs) in vegetables and fruits produced in Saudi Arabia. </w:t>
      </w:r>
      <w:r w:rsidRPr="002F26A4">
        <w:rPr>
          <w:rFonts w:ascii="Times New Roman" w:hAnsi="Times New Roman"/>
          <w:i/>
          <w:sz w:val="20"/>
          <w:szCs w:val="20"/>
        </w:rPr>
        <w:t>Bulletin of Environmental Contamination and Toxicology</w:t>
      </w:r>
      <w:r w:rsidRPr="002F26A4">
        <w:rPr>
          <w:rFonts w:ascii="Times New Roman" w:hAnsi="Times New Roman"/>
          <w:sz w:val="20"/>
          <w:szCs w:val="20"/>
        </w:rPr>
        <w:t>, 88 (4): 543-547.</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Zhao, X., Liu, X., Zhao, Z., Huang, C., Zhang, M., Wang, H. and Wang, X. (2009). Homogeneous liquid-liquid extraction combined with high performance liquid chromatography-fluorescence detection for determination of polycyclic aromatic hydrocarbons in vegetables. </w:t>
      </w:r>
      <w:r w:rsidRPr="002F26A4">
        <w:rPr>
          <w:rFonts w:ascii="Times New Roman" w:hAnsi="Times New Roman"/>
          <w:i/>
          <w:sz w:val="20"/>
          <w:szCs w:val="20"/>
        </w:rPr>
        <w:t>Journal of Separation Science</w:t>
      </w:r>
      <w:r w:rsidRPr="002F26A4">
        <w:rPr>
          <w:rFonts w:ascii="Times New Roman" w:hAnsi="Times New Roman"/>
          <w:sz w:val="20"/>
          <w:szCs w:val="20"/>
        </w:rPr>
        <w:t>, 32(12): 2051-2057.</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Lima, G. P. P., and Vianello, F. (2011). Review on the main differences between organic and conventional plant-based foods. </w:t>
      </w:r>
      <w:r w:rsidRPr="002F26A4">
        <w:rPr>
          <w:rFonts w:ascii="Times New Roman" w:hAnsi="Times New Roman"/>
          <w:i/>
          <w:sz w:val="20"/>
          <w:szCs w:val="20"/>
        </w:rPr>
        <w:t>International Journal of Food Science and Technology</w:t>
      </w:r>
      <w:r w:rsidRPr="002F26A4">
        <w:rPr>
          <w:rFonts w:ascii="Times New Roman" w:hAnsi="Times New Roman"/>
          <w:sz w:val="20"/>
          <w:szCs w:val="20"/>
        </w:rPr>
        <w:t>, 46: 1-13.</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Dugaya, A., Herrenknechtb , C., Czokc, M., Guyona, F and Pages, N. (2002). New procedure for selective extraction of polycyclic aromatic hydrocarbons in plants for gas chromatographic–mass spectrometric analysis. </w:t>
      </w:r>
      <w:r w:rsidRPr="002F26A4">
        <w:rPr>
          <w:rFonts w:ascii="Times New Roman" w:hAnsi="Times New Roman"/>
          <w:i/>
          <w:sz w:val="20"/>
          <w:szCs w:val="20"/>
        </w:rPr>
        <w:t>Journal of Chromatography A</w:t>
      </w:r>
      <w:r w:rsidRPr="002F26A4">
        <w:rPr>
          <w:rFonts w:ascii="Times New Roman" w:hAnsi="Times New Roman"/>
          <w:sz w:val="20"/>
          <w:szCs w:val="20"/>
        </w:rPr>
        <w:t xml:space="preserve">, 938: 1-7. </w:t>
      </w:r>
    </w:p>
    <w:p w:rsidR="002F26A4" w:rsidRPr="002F26A4" w:rsidRDefault="002F26A4" w:rsidP="002F26A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2F26A4">
        <w:rPr>
          <w:rFonts w:ascii="Times New Roman" w:hAnsi="Times New Roman"/>
          <w:sz w:val="20"/>
          <w:szCs w:val="20"/>
        </w:rPr>
        <w:t xml:space="preserve">Paris, A., Ledauphin, J., Poinot, P. and Gaillard, J. (2018). Polycyclic aromatic hydrocarbons in fruits and vegetables: Origin, analysis, and occurrence. </w:t>
      </w:r>
      <w:r w:rsidRPr="002F26A4">
        <w:rPr>
          <w:rFonts w:ascii="Times New Roman" w:hAnsi="Times New Roman"/>
          <w:i/>
          <w:sz w:val="20"/>
          <w:szCs w:val="20"/>
        </w:rPr>
        <w:t>Environmental Pollution</w:t>
      </w:r>
      <w:r w:rsidRPr="002F26A4">
        <w:rPr>
          <w:rFonts w:ascii="Times New Roman" w:hAnsi="Times New Roman"/>
          <w:sz w:val="20"/>
          <w:szCs w:val="20"/>
        </w:rPr>
        <w:t>, 234: 96-106.</w:t>
      </w:r>
    </w:p>
    <w:p w:rsidR="00A74A7E" w:rsidRPr="007A738C" w:rsidRDefault="00A74A7E" w:rsidP="002F26A4">
      <w:pPr>
        <w:spacing w:after="0" w:line="240" w:lineRule="auto"/>
        <w:jc w:val="both"/>
        <w:rPr>
          <w:rFonts w:ascii="Times New Roman" w:hAnsi="Times New Roman"/>
          <w:noProof/>
          <w:lang w:bidi="ar-SA"/>
        </w:rPr>
      </w:pPr>
    </w:p>
    <w:sectPr w:rsidR="00A74A7E" w:rsidRPr="007A738C" w:rsidSect="00D57087">
      <w:headerReference w:type="even" r:id="rId11"/>
      <w:headerReference w:type="default" r:id="rId12"/>
      <w:footerReference w:type="even" r:id="rId13"/>
      <w:footerReference w:type="default" r:id="rId14"/>
      <w:pgSz w:w="12240" w:h="15840" w:code="1"/>
      <w:pgMar w:top="1800" w:right="1469" w:bottom="1699" w:left="1440" w:header="706" w:footer="706"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610" w:rsidRDefault="00385610" w:rsidP="00FB4C59">
      <w:pPr>
        <w:spacing w:after="0" w:line="240" w:lineRule="auto"/>
      </w:pPr>
      <w:r>
        <w:separator/>
      </w:r>
    </w:p>
  </w:endnote>
  <w:endnote w:type="continuationSeparator" w:id="0">
    <w:p w:rsidR="00385610" w:rsidRDefault="0038561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0" w:rsidRDefault="00385610">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E6B5E">
      <w:rPr>
        <w:rFonts w:ascii="Times New Roman" w:hAnsi="Times New Roman"/>
        <w:noProof/>
      </w:rPr>
      <w:t>60</w:t>
    </w:r>
    <w:r w:rsidRPr="008B5904">
      <w:rPr>
        <w:rFonts w:ascii="Times New Roman" w:hAnsi="Times New Roman"/>
        <w:noProof/>
      </w:rPr>
      <w:fldChar w:fldCharType="end"/>
    </w:r>
  </w:p>
  <w:p w:rsidR="00385610" w:rsidRPr="00FC5284" w:rsidRDefault="00385610">
    <w:pPr>
      <w:pStyle w:val="Footer"/>
      <w:rPr>
        <w:rFonts w:ascii="Times New Roman" w:hAnsi="Times New Roman"/>
        <w:lang w:val="en-US"/>
      </w:rPr>
    </w:pPr>
  </w:p>
  <w:p w:rsidR="00385610" w:rsidRDefault="00385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0" w:rsidRDefault="00385610">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E6B5E">
      <w:rPr>
        <w:rFonts w:ascii="Times New Roman" w:hAnsi="Times New Roman"/>
        <w:noProof/>
      </w:rPr>
      <w:t>61</w:t>
    </w:r>
    <w:r w:rsidRPr="008B5904">
      <w:rPr>
        <w:rFonts w:ascii="Times New Roman" w:hAnsi="Times New Roman"/>
        <w:noProof/>
      </w:rPr>
      <w:fldChar w:fldCharType="end"/>
    </w:r>
  </w:p>
  <w:p w:rsidR="00385610" w:rsidRPr="00FC5284" w:rsidRDefault="00385610">
    <w:pPr>
      <w:pStyle w:val="Footer"/>
      <w:jc w:val="right"/>
      <w:rPr>
        <w:rFonts w:ascii="Times New Roman" w:hAnsi="Times New Roman"/>
        <w:lang w:val="en-US"/>
      </w:rPr>
    </w:pPr>
  </w:p>
  <w:p w:rsidR="00385610" w:rsidRPr="004B43FF" w:rsidRDefault="00385610">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610" w:rsidRDefault="00385610" w:rsidP="00FB4C59">
      <w:pPr>
        <w:spacing w:after="0" w:line="240" w:lineRule="auto"/>
      </w:pPr>
      <w:r>
        <w:separator/>
      </w:r>
    </w:p>
  </w:footnote>
  <w:footnote w:type="continuationSeparator" w:id="0">
    <w:p w:rsidR="00385610" w:rsidRDefault="00385610"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0" w:rsidRPr="00D91EFE" w:rsidRDefault="00385610" w:rsidP="00D91EFE">
    <w:pPr>
      <w:spacing w:after="0" w:line="240" w:lineRule="auto"/>
      <w:ind w:left="990" w:hanging="990"/>
      <w:outlineLvl w:val="0"/>
      <w:rPr>
        <w:rFonts w:ascii="Times New Roman" w:hAnsi="Times New Roman"/>
        <w:sz w:val="20"/>
        <w:szCs w:val="20"/>
      </w:rPr>
    </w:pPr>
    <w:r>
      <w:rPr>
        <w:rFonts w:ascii="Times New Roman" w:hAnsi="Times New Roman"/>
        <w:sz w:val="20"/>
        <w:szCs w:val="20"/>
      </w:rPr>
      <w:t>Chai et al</w:t>
    </w:r>
    <w:r w:rsidRPr="00D91EFE">
      <w:rPr>
        <w:rFonts w:ascii="Times New Roman" w:hAnsi="Times New Roman"/>
        <w:sz w:val="20"/>
        <w:szCs w:val="20"/>
      </w:rPr>
      <w:t>:   APPLICATION OF MICROWAVE-ASSISTED EXTRACTION COUPLED</w:t>
    </w:r>
    <w:r>
      <w:rPr>
        <w:rFonts w:ascii="Times New Roman" w:hAnsi="Times New Roman"/>
        <w:sz w:val="20"/>
        <w:szCs w:val="20"/>
      </w:rPr>
      <w:t xml:space="preserve"> </w:t>
    </w:r>
    <w:r w:rsidRPr="00D91EFE">
      <w:rPr>
        <w:rFonts w:ascii="Times New Roman" w:hAnsi="Times New Roman"/>
        <w:sz w:val="20"/>
        <w:szCs w:val="20"/>
      </w:rPr>
      <w:t>WITH DISPERSIVE LIQUID-LIQUID MICROEXTRACTION FOR THE</w:t>
    </w:r>
    <w:r>
      <w:rPr>
        <w:rFonts w:ascii="Times New Roman" w:hAnsi="Times New Roman"/>
        <w:sz w:val="20"/>
        <w:szCs w:val="20"/>
      </w:rPr>
      <w:t xml:space="preserve"> </w:t>
    </w:r>
    <w:r w:rsidRPr="00D91EFE">
      <w:rPr>
        <w:rFonts w:ascii="Times New Roman" w:hAnsi="Times New Roman"/>
        <w:sz w:val="20"/>
        <w:szCs w:val="20"/>
      </w:rPr>
      <w:t xml:space="preserve">DETERMINATION OF POLYCYCLIC </w:t>
    </w:r>
    <w:r>
      <w:rPr>
        <w:rFonts w:ascii="Times New Roman" w:hAnsi="Times New Roman"/>
        <w:sz w:val="20"/>
        <w:szCs w:val="20"/>
      </w:rPr>
      <w:t xml:space="preserve"> </w:t>
    </w:r>
    <w:r w:rsidRPr="00D91EFE">
      <w:rPr>
        <w:rFonts w:ascii="Times New Roman" w:hAnsi="Times New Roman"/>
        <w:sz w:val="20"/>
        <w:szCs w:val="20"/>
      </w:rPr>
      <w:t>AROMATIC HYDROCARBONS IN VEGETABLES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0" w:rsidRDefault="00385610"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D57087">
      <w:rPr>
        <w:rFonts w:ascii="Times New Roman" w:hAnsi="Times New Roman"/>
        <w:i/>
        <w:lang w:val="en-US"/>
      </w:rPr>
      <w:t>53 - 61</w:t>
    </w:r>
  </w:p>
  <w:p w:rsidR="00385610" w:rsidRPr="00F4760B" w:rsidRDefault="00385610"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E1F72"/>
    <w:rsid w:val="000F77DA"/>
    <w:rsid w:val="001068E8"/>
    <w:rsid w:val="001106D8"/>
    <w:rsid w:val="00117BCD"/>
    <w:rsid w:val="001A3275"/>
    <w:rsid w:val="001D035A"/>
    <w:rsid w:val="001D3855"/>
    <w:rsid w:val="001D6F2C"/>
    <w:rsid w:val="00233177"/>
    <w:rsid w:val="002627A2"/>
    <w:rsid w:val="00277498"/>
    <w:rsid w:val="002860B7"/>
    <w:rsid w:val="00290F4D"/>
    <w:rsid w:val="00292936"/>
    <w:rsid w:val="002A2FC0"/>
    <w:rsid w:val="002B188F"/>
    <w:rsid w:val="002B3BD8"/>
    <w:rsid w:val="002D7CCD"/>
    <w:rsid w:val="002F26A4"/>
    <w:rsid w:val="002F3F91"/>
    <w:rsid w:val="00304767"/>
    <w:rsid w:val="00304B34"/>
    <w:rsid w:val="00312A6F"/>
    <w:rsid w:val="00352D57"/>
    <w:rsid w:val="00361BAF"/>
    <w:rsid w:val="00362FCE"/>
    <w:rsid w:val="00367D1F"/>
    <w:rsid w:val="00385610"/>
    <w:rsid w:val="003B4FC1"/>
    <w:rsid w:val="003B6019"/>
    <w:rsid w:val="003D585B"/>
    <w:rsid w:val="003E7DA6"/>
    <w:rsid w:val="003F12FF"/>
    <w:rsid w:val="00427436"/>
    <w:rsid w:val="004760D4"/>
    <w:rsid w:val="00482180"/>
    <w:rsid w:val="00494C46"/>
    <w:rsid w:val="004B43FF"/>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60445"/>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077DD"/>
    <w:rsid w:val="0082181A"/>
    <w:rsid w:val="0082457A"/>
    <w:rsid w:val="00825624"/>
    <w:rsid w:val="0083587A"/>
    <w:rsid w:val="00874392"/>
    <w:rsid w:val="00883CC3"/>
    <w:rsid w:val="008B470E"/>
    <w:rsid w:val="008B5904"/>
    <w:rsid w:val="008D1880"/>
    <w:rsid w:val="008D29BF"/>
    <w:rsid w:val="008E1211"/>
    <w:rsid w:val="008E5BBF"/>
    <w:rsid w:val="008E6968"/>
    <w:rsid w:val="008E6B5E"/>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94D92"/>
    <w:rsid w:val="00C97340"/>
    <w:rsid w:val="00CA513F"/>
    <w:rsid w:val="00CB3AA6"/>
    <w:rsid w:val="00CE2BC6"/>
    <w:rsid w:val="00CF05FF"/>
    <w:rsid w:val="00D257FB"/>
    <w:rsid w:val="00D340BB"/>
    <w:rsid w:val="00D34708"/>
    <w:rsid w:val="00D505D5"/>
    <w:rsid w:val="00D57087"/>
    <w:rsid w:val="00D613A2"/>
    <w:rsid w:val="00D6781A"/>
    <w:rsid w:val="00D75B35"/>
    <w:rsid w:val="00D76E09"/>
    <w:rsid w:val="00D91EFE"/>
    <w:rsid w:val="00D9736F"/>
    <w:rsid w:val="00D9792A"/>
    <w:rsid w:val="00DD0CD5"/>
    <w:rsid w:val="00DD377F"/>
    <w:rsid w:val="00DD7C38"/>
    <w:rsid w:val="00E25547"/>
    <w:rsid w:val="00E3287E"/>
    <w:rsid w:val="00E54D12"/>
    <w:rsid w:val="00E66197"/>
    <w:rsid w:val="00F121A0"/>
    <w:rsid w:val="00F22A70"/>
    <w:rsid w:val="00F31093"/>
    <w:rsid w:val="00F33AB1"/>
    <w:rsid w:val="00F412AF"/>
    <w:rsid w:val="00F43667"/>
    <w:rsid w:val="00F447A7"/>
    <w:rsid w:val="00F4760B"/>
    <w:rsid w:val="00F849D5"/>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1"/>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2D7C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Paragraph">
    <w:name w:val="SAP-Paragraph"/>
    <w:link w:val="SAP-ParagraphChar"/>
    <w:rsid w:val="002D7CCD"/>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ParagraphChar">
    <w:name w:val="SAP-Paragraph Char"/>
    <w:link w:val="SAP-Paragraph"/>
    <w:rsid w:val="002D7CCD"/>
    <w:rPr>
      <w:rFonts w:ascii="Times New Roman" w:eastAsia="Times New Roman" w:hAnsi="Times New Roman"/>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1"/>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2D7C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Paragraph">
    <w:name w:val="SAP-Paragraph"/>
    <w:link w:val="SAP-ParagraphChar"/>
    <w:rsid w:val="002D7CCD"/>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ParagraphChar">
    <w:name w:val="SAP-Paragraph Char"/>
    <w:link w:val="SAP-Paragraph"/>
    <w:rsid w:val="002D7CCD"/>
    <w:rPr>
      <w:rFonts w:ascii="Times New Roman" w:eastAsia="Times New Roman" w:hAnsi="Times New Roman"/>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548B8-B417-4EA2-AE85-8DDE4983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4484</Words>
  <Characters>26459</Characters>
  <Application>Microsoft Office Word</Application>
  <DocSecurity>0</DocSecurity>
  <Lines>696</Lines>
  <Paragraphs>468</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11</cp:revision>
  <cp:lastPrinted>2020-02-06T14:38:00Z</cp:lastPrinted>
  <dcterms:created xsi:type="dcterms:W3CDTF">2020-01-28T14:25:00Z</dcterms:created>
  <dcterms:modified xsi:type="dcterms:W3CDTF">2020-02-06T14:38:00Z</dcterms:modified>
</cp:coreProperties>
</file>