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7D0E7F">
        <w:rPr>
          <w:rFonts w:ascii="Times New Roman" w:hAnsi="Times New Roman" w:cs="Times New Roman"/>
          <w:sz w:val="24"/>
          <w:szCs w:val="24"/>
        </w:rPr>
        <w:t xml:space="preserve"> Analytical Sciences Vol 23 No 6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r w:rsidR="00B711A3">
        <w:rPr>
          <w:rFonts w:ascii="Times New Roman" w:hAnsi="Times New Roman" w:cs="Times New Roman"/>
          <w:sz w:val="24"/>
          <w:szCs w:val="24"/>
        </w:rPr>
        <w:t>950 - 962</w:t>
      </w:r>
    </w:p>
    <w:p w:rsidR="005F401D" w:rsidRDefault="005F401D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01D" w:rsidRDefault="005F401D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556" w:rsidRDefault="00516556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556" w:rsidRDefault="00516556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1DD2">
        <w:rPr>
          <w:rFonts w:ascii="Times New Roman" w:hAnsi="Times New Roman"/>
          <w:sz w:val="28"/>
          <w:szCs w:val="28"/>
        </w:rPr>
        <w:t xml:space="preserve">CHEMICAL CONSTITUENTS AND ANTIOXIDANT POTENTIALS </w:t>
      </w: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1DD2">
        <w:rPr>
          <w:rFonts w:ascii="Times New Roman" w:hAnsi="Times New Roman"/>
          <w:sz w:val="28"/>
          <w:szCs w:val="28"/>
        </w:rPr>
        <w:t>OF SEVEN PHILIPPINE MOSSES</w:t>
      </w: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ms-MY"/>
        </w:rPr>
      </w:pPr>
      <w:r w:rsidRPr="00C41DD2">
        <w:rPr>
          <w:rFonts w:ascii="Times New Roman" w:hAnsi="Times New Roman"/>
          <w:sz w:val="24"/>
          <w:szCs w:val="24"/>
          <w:lang w:val="ms-MY"/>
        </w:rPr>
        <w:t>(Juzuk Kimia dan Potensi Antioksidan bagi Tujuh Lumut Filipina)</w:t>
      </w: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eastAsia="PMingLiU" w:hAnsi="Times New Roman"/>
          <w:sz w:val="20"/>
          <w:szCs w:val="20"/>
          <w:lang w:val="fi-FI" w:eastAsia="zh-TW"/>
        </w:rPr>
      </w:pPr>
      <w:bookmarkStart w:id="0" w:name="_Hlk514446652"/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>Mary Stephanie S. Carranza</w:t>
      </w:r>
      <w:r w:rsidRPr="00C41DD2">
        <w:rPr>
          <w:rFonts w:ascii="Times New Roman" w:eastAsia="PMingLiU" w:hAnsi="Times New Roman"/>
          <w:sz w:val="20"/>
          <w:szCs w:val="20"/>
          <w:vertAlign w:val="superscript"/>
          <w:lang w:val="fi-FI" w:eastAsia="zh-TW"/>
        </w:rPr>
        <w:t>1</w:t>
      </w:r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>, Virgilio C. Linis</w:t>
      </w:r>
      <w:r w:rsidRPr="00C41DD2">
        <w:rPr>
          <w:rFonts w:ascii="Times New Roman" w:eastAsia="PMingLiU" w:hAnsi="Times New Roman"/>
          <w:sz w:val="20"/>
          <w:szCs w:val="20"/>
          <w:vertAlign w:val="superscript"/>
          <w:lang w:val="fi-FI" w:eastAsia="zh-TW"/>
        </w:rPr>
        <w:t>2</w:t>
      </w:r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>,</w:t>
      </w:r>
      <w:r w:rsidRPr="00C41DD2">
        <w:rPr>
          <w:rFonts w:ascii="Times New Roman" w:eastAsia="PMingLiU" w:hAnsi="Times New Roman"/>
          <w:sz w:val="20"/>
          <w:szCs w:val="20"/>
          <w:vertAlign w:val="superscript"/>
          <w:lang w:val="fi-FI" w:eastAsia="zh-TW"/>
        </w:rPr>
        <w:t xml:space="preserve"> </w:t>
      </w:r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 xml:space="preserve"> Consolacion Y. Ragasa</w:t>
      </w:r>
      <w:r w:rsidRPr="00C41DD2">
        <w:rPr>
          <w:rFonts w:ascii="Times New Roman" w:eastAsia="PMingLiU" w:hAnsi="Times New Roman"/>
          <w:sz w:val="20"/>
          <w:szCs w:val="20"/>
          <w:vertAlign w:val="superscript"/>
          <w:lang w:val="fi-FI" w:eastAsia="zh-TW"/>
        </w:rPr>
        <w:t>1,3</w:t>
      </w:r>
      <w:bookmarkEnd w:id="0"/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>, Maria Carmen S. Tan</w:t>
      </w:r>
      <w:r>
        <w:rPr>
          <w:rFonts w:ascii="Times New Roman" w:eastAsia="PMingLiU" w:hAnsi="Times New Roman"/>
          <w:sz w:val="20"/>
          <w:szCs w:val="20"/>
          <w:vertAlign w:val="superscript"/>
          <w:lang w:val="fi-FI" w:eastAsia="zh-TW"/>
        </w:rPr>
        <w:t>1</w:t>
      </w:r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>*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i/>
          <w:iCs/>
          <w:sz w:val="20"/>
          <w:szCs w:val="20"/>
          <w:vertAlign w:val="superscript"/>
          <w:lang w:val="en-PH" w:eastAsia="zh-TW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bCs/>
          <w:i/>
          <w:iCs/>
          <w:sz w:val="20"/>
          <w:szCs w:val="20"/>
          <w:lang w:eastAsia="zh-TW"/>
        </w:rPr>
      </w:pP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vertAlign w:val="superscript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i/>
          <w:iCs/>
          <w:sz w:val="20"/>
          <w:szCs w:val="20"/>
          <w:vertAlign w:val="superscript"/>
          <w:lang w:eastAsia="zh-TW"/>
        </w:rPr>
        <w:t>1</w:t>
      </w:r>
      <w:r w:rsidRPr="00B711A3">
        <w:rPr>
          <w:rFonts w:ascii="Times New Roman" w:eastAsia="PMingLiU" w:hAnsi="Times New Roman" w:cs="Times New Roman"/>
          <w:bCs/>
          <w:i/>
          <w:iCs/>
          <w:sz w:val="20"/>
          <w:szCs w:val="20"/>
          <w:lang w:eastAsia="zh-TW"/>
        </w:rPr>
        <w:t xml:space="preserve">Chemistry Department, 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bCs/>
          <w:i/>
          <w:iCs/>
          <w:sz w:val="20"/>
          <w:szCs w:val="20"/>
          <w:lang w:val="fr-FR" w:eastAsia="zh-TW"/>
        </w:rPr>
      </w:pPr>
      <w:r w:rsidRPr="00B711A3">
        <w:rPr>
          <w:rFonts w:ascii="Times New Roman" w:eastAsia="PMingLiU" w:hAnsi="Times New Roman" w:cs="Times New Roman"/>
          <w:bCs/>
          <w:i/>
          <w:iCs/>
          <w:sz w:val="20"/>
          <w:szCs w:val="20"/>
          <w:lang w:val="en-PH" w:eastAsia="zh-TW"/>
        </w:rPr>
        <w:t>De La Salle University, 2401 Taft Avenue, Manila 1004, Philippines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vertAlign w:val="superscript"/>
          <w:lang w:val="en-PH" w:eastAsia="zh-TW"/>
        </w:rPr>
        <w:t>2</w:t>
      </w: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  <w:t xml:space="preserve">Biology Department, 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  <w:t>De La Salle Araneta University, 303 Victoneta Avenue, Potrero Malabon City 1475, Philippines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vertAlign w:val="superscript"/>
          <w:lang w:val="en-PH" w:eastAsia="zh-TW"/>
        </w:rPr>
        <w:t>3</w:t>
      </w: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  <w:t>Chemistry Department,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  <w:t xml:space="preserve"> De La Salle University Science &amp; Technology, Complex Leandro V. Locsin Campus, Biñan City, Laguna 4024, Philippines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PH" w:eastAsia="zh-TW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PH" w:eastAsia="zh-TW"/>
        </w:rPr>
      </w:pPr>
      <w:r w:rsidRPr="00B711A3">
        <w:rPr>
          <w:rFonts w:ascii="Times New Roman" w:hAnsi="Times New Roman" w:cs="Times New Roman"/>
          <w:i/>
          <w:iCs/>
          <w:sz w:val="20"/>
          <w:szCs w:val="20"/>
          <w:lang w:val="en-PH" w:eastAsia="zh-TW"/>
        </w:rPr>
        <w:t xml:space="preserve">*Corresponding author:  </w:t>
      </w:r>
      <w:bookmarkStart w:id="1" w:name="_GoBack"/>
      <w:bookmarkEnd w:id="1"/>
      <w:r w:rsidRPr="00B711A3">
        <w:rPr>
          <w:rFonts w:ascii="Times New Roman" w:hAnsi="Times New Roman" w:cs="Times New Roman"/>
          <w:i/>
          <w:iCs/>
          <w:sz w:val="20"/>
          <w:szCs w:val="20"/>
          <w:lang w:val="en-PH" w:eastAsia="zh-TW"/>
        </w:rPr>
        <w:t>maria.carmen.tan@dlsu.edu.ph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B711A3">
        <w:rPr>
          <w:rFonts w:ascii="Times New Roman" w:hAnsi="Times New Roman" w:cs="Times New Roman"/>
          <w:noProof/>
          <w:sz w:val="20"/>
          <w:szCs w:val="20"/>
        </w:rPr>
        <w:t>Received: 23 May 2019; Accepted: 1 October 2019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B711A3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B711A3">
        <w:rPr>
          <w:rFonts w:ascii="Times New Roman" w:hAnsi="Times New Roman" w:cs="Times New Roman"/>
          <w:b/>
          <w:noProof/>
          <w:sz w:val="20"/>
          <w:szCs w:val="20"/>
        </w:rPr>
        <w:t>Abstract</w:t>
      </w: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both"/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Seven species of Philippine mosses, namely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Calyptothecium ramosii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Broth.,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Gymnostomum recurvirostum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Hedw., </w:t>
      </w:r>
      <w:bookmarkStart w:id="2" w:name="_Hlk524729523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Hypnum plumiforme</w:t>
      </w:r>
      <w:bookmarkEnd w:id="2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Wilson,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bookmarkStart w:id="3" w:name="_Hlk524729491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Leucobryum scalare</w:t>
      </w:r>
      <w:bookmarkEnd w:id="3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Müll.Hal. ex M.Fleisch.,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bookmarkStart w:id="4" w:name="_Hlk524729431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Meteoriopsis reclinata</w:t>
      </w:r>
      <w:bookmarkEnd w:id="4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(Müll.Hal.) M.Fleisch.,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bookmarkStart w:id="5" w:name="_Hlk524729398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Mitthyridium undulatum</w:t>
      </w:r>
      <w:bookmarkEnd w:id="5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(Dozy &amp; Molk.) H.Rob. and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Pelekium boniamum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(Besch) were examined in this study. The mosses were analyzed using a gas chromatography equipped with a mass spectrometer (GC-EI-MS) and an energy dispersive X-ray fluorescence spectrometer (EDX) to substantiate their possible usage as dietary supplements. EDX results displayed that calcium was the major mineral found in all the moss samples (1.199% to 11.427%). The free radical scavenging activity of the dried dichloromethane moss extracts was highest for </w:t>
      </w:r>
      <w:bookmarkStart w:id="6" w:name="_Hlk524726141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G. recurvirostum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</w:t>
      </w:r>
      <w:bookmarkEnd w:id="6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indicative of the lowest </w:t>
      </w:r>
      <w:bookmarkStart w:id="7" w:name="_Hlk524729129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>50</w:t>
      </w:r>
      <w:bookmarkEnd w:id="7"/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concentration at 0.236 mg/mL followed by </w:t>
      </w:r>
      <w:bookmarkStart w:id="8" w:name="_Hlk524726172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C. ramosii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</w:t>
      </w:r>
      <w:bookmarkEnd w:id="8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at 0.306 mg/mL and </w:t>
      </w:r>
      <w:bookmarkStart w:id="9" w:name="_Hlk524726110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P. boniamum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</w:t>
      </w:r>
      <w:bookmarkEnd w:id="9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at 0.315 mg/mL.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M. undulatum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</w:t>
      </w:r>
      <w:bookmarkStart w:id="10" w:name="_Hlk524729176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= 1.360 mg/mL)</w:t>
      </w:r>
      <w:bookmarkEnd w:id="10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and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M. reclinata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= 1.544 mg/mL) had moderate antioxidant activity, whereas,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L. scalare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= 2.120 mg/mL) and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H. plumiforme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= 2.213 mg/mL) had minimal free radical scavenging potential. The possible antioxidant capabilities of each respective bryophyte were correlated to the presence of the following major constituents from GC-EI-MS investigation:</w:t>
      </w:r>
      <w:r w:rsidRPr="00B711A3">
        <w:rPr>
          <w:rFonts w:ascii="Times New Roman" w:hAnsi="Times New Roman" w:cs="Times New Roman"/>
          <w:sz w:val="20"/>
          <w:szCs w:val="20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in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P. boniamum</w:t>
      </w:r>
      <w:r w:rsidR="00516556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, α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-cadinol, (9.11%), </w:t>
      </w:r>
      <w:bookmarkStart w:id="11" w:name="_Hlk524872829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caryophyllene (6.39%) and (-)-spathulenol (5.52%)</w:t>
      </w:r>
      <w:bookmarkEnd w:id="11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; in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G. recurvirostum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, pentanoic acid, 2,2,4-trimethyl-3-carboxyisopropyl, isobutyl ester (56.26%), cary</w:t>
      </w:r>
      <w:r w:rsidR="00516556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ophyllenyl alcohol (5.96%) and α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-cadinene (5.88%); in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C. ramosii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, phytol (17.86%), and phytol acetate (14.03%). 7,9-di-tert-butyl-1-oxaspiro (4,5) deca-6,9-diene-2,8-dione (9.59%), and 4,8,12,16-tetramethylheptadecan-4-olide (6.11%). Apart from </w:t>
      </w:r>
      <w:r w:rsidRPr="00B711A3">
        <w:rPr>
          <w:rFonts w:ascii="Times New Roman" w:hAnsi="Times New Roman" w:cs="Times New Roman"/>
          <w:bCs/>
          <w:i/>
          <w:iCs/>
          <w:sz w:val="20"/>
          <w:szCs w:val="20"/>
          <w:lang w:eastAsia="en-GB"/>
        </w:rPr>
        <w:t>H. plumiforme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, all the samples contained considerable concentrations of n-hexadecanoic acid (range from 3.76% to 29.03%). </w:t>
      </w: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both"/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</w:pPr>
    </w:p>
    <w:p w:rsidR="00B711A3" w:rsidRPr="00B711A3" w:rsidRDefault="00B711A3" w:rsidP="00B711A3">
      <w:pPr>
        <w:tabs>
          <w:tab w:val="left" w:pos="6186"/>
        </w:tabs>
        <w:spacing w:after="0" w:line="240" w:lineRule="auto"/>
        <w:ind w:left="990" w:hanging="990"/>
        <w:jc w:val="both"/>
        <w:rPr>
          <w:rFonts w:ascii="Times New Roman" w:eastAsia="PMingLiU" w:hAnsi="Times New Roman" w:cs="Times New Roman"/>
          <w:bCs/>
          <w:sz w:val="20"/>
          <w:szCs w:val="20"/>
          <w:lang w:eastAsia="zh-TW"/>
        </w:rPr>
      </w:pPr>
      <w:r w:rsidRPr="00B711A3"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  <w:t>Keywords: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eastAsia="zh-TW"/>
        </w:rPr>
        <w:tab/>
        <w:t xml:space="preserve">bryophyte,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free radical scavenging activity, gas chromatography - mass spectrometry, energy dispersive x-ray fluorescence spectroscopy</w:t>
      </w: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center"/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0"/>
          <w:szCs w:val="20"/>
          <w:lang w:val="fil-PH" w:eastAsia="zh-TW"/>
        </w:rPr>
      </w:pPr>
      <w:r w:rsidRPr="00B711A3">
        <w:rPr>
          <w:rFonts w:ascii="Times New Roman" w:eastAsia="PMingLiU" w:hAnsi="Times New Roman" w:cs="Times New Roman"/>
          <w:b/>
          <w:sz w:val="20"/>
          <w:szCs w:val="20"/>
          <w:lang w:val="fil-PH" w:eastAsia="zh-TW"/>
        </w:rPr>
        <w:t>Abstract</w:t>
      </w: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both"/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</w:pP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Tujuh spesis lumut Filipina iaitu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Calyptothecium ramosii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Broth.,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Gymnostomum recurvirostum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Hedw.,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Hypnum plumiforme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Wilson,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 Leucobryum scalare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Müll.Hal. ex M.Fleisch.,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 Meteoriopsis reclinata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(Müll.Hal.) M.Fleisch.,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lastRenderedPageBreak/>
        <w:t xml:space="preserve">Mitthyridium undulatum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(Dozy &amp; Molk.) H.Rob. dan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Pelekium boniamum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(Besch) telah diuji dalam kajian ini. Lumut telah dianalisa menggunakan kromatografi gas dilengkapi spectrometer jisim (GC-EI-MS) dan spektrometer pendaflour tenaga serakan sinar-X (EDX) untuk melihat potensi digunakan sebagai makanan tambahan. Keputusan EDX menunjukkan kalsium merupakan mineral utama yang dijumpai dalam semua sampel lumut (1.199% to 11.427%). Aktiviti pemerangkapan radikal bebas melalui ekstrak lumut menggunakan diklorometana telah memberikan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G. recurvirostum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hasil paling tinggi pada kepekatan 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ms-MY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iaitu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0.236 mg/mL diikuti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C. ramosii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pada 0.306 mg/mL and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P. boniamum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pada 0.315 mg/mL.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M. undulatum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ms-MY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= 1.360 mg/mL) dan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M. reclinata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ms-MY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= 1.544 mg/mL) menghasilkan aktiviti antioksidan yang sederhana, manakala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L. scalare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ms-MY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= 2.120 mg/mL) dan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H. plumiforme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ms-MY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= 2.213 mg/mL) mempunyai potensi pemerangkapan radikal bebas yang minumum. Keupayaan antioksidan setiap briofit adalah dikaitkan dengan kehadiran juzuk utama iaitu hasil analisa GC-EI-MS seperti di dalam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P. boniamum</w:t>
      </w:r>
      <w:r w:rsidR="00516556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, mengandungi α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-kadinol, (9.11%), kariofilena (6.39%) dan (-)-spathulenol (5.52%); di dalam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G. recurvirostum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seperti asid pentanoik, 2,2,4-trimetil-3-karboisopropil, isobutil ester (56.26%), kariofile</w:t>
      </w:r>
      <w:r w:rsidR="00516556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nil alkohol (5.96%) dan α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-kadinena (5.88%), di dalam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C. ramosii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, fitol (17.86%), fitol asetat (14.03%). 7,9-di-tert-butil-1-oksaspiro (4,5) deka-6,9-diena-2,8-dion (9.59%), dan 4,8,12,16-tetrametillheptadekan-4-olida (6.11%). Selain dari </w:t>
      </w:r>
      <w:r w:rsidRPr="00B711A3">
        <w:rPr>
          <w:rFonts w:ascii="Times New Roman" w:hAnsi="Times New Roman" w:cs="Times New Roman"/>
          <w:bCs/>
          <w:i/>
          <w:iCs/>
          <w:sz w:val="20"/>
          <w:szCs w:val="20"/>
          <w:lang w:val="ms-MY" w:eastAsia="en-GB"/>
        </w:rPr>
        <w:t>H. plumiforme</w:t>
      </w:r>
      <w:r w:rsidRPr="00B711A3">
        <w:rPr>
          <w:rFonts w:ascii="Times New Roman" w:hAnsi="Times New Roman" w:cs="Times New Roman"/>
          <w:bCs/>
          <w:iCs/>
          <w:sz w:val="20"/>
          <w:szCs w:val="20"/>
          <w:lang w:val="ms-MY" w:eastAsia="en-GB"/>
        </w:rPr>
        <w:t>, semua sampel mengandungi kepekatan asid n-heksadekanoik (julat dari 3.76% hingga 29.03%).</w:t>
      </w: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both"/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</w:t>
      </w:r>
    </w:p>
    <w:p w:rsidR="00B711A3" w:rsidRDefault="00B711A3" w:rsidP="00B711A3">
      <w:pPr>
        <w:tabs>
          <w:tab w:val="left" w:pos="6186"/>
        </w:tabs>
        <w:spacing w:after="0" w:line="240" w:lineRule="auto"/>
        <w:ind w:left="990" w:hanging="990"/>
        <w:jc w:val="both"/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</w:pPr>
      <w:r w:rsidRPr="00B711A3"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  <w:t>Keywords: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eastAsia="zh-TW"/>
        </w:rPr>
        <w:tab/>
        <w:t xml:space="preserve">briofit, aktiviti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pemerangkapan radikal bebas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, kromatografi gas-spektrometri jisim,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spektroskopi pendaflour tenaga serakan sinar-X</w:t>
      </w:r>
    </w:p>
    <w:p w:rsidR="00B711A3" w:rsidRDefault="00B711A3" w:rsidP="00B711A3">
      <w:pPr>
        <w:tabs>
          <w:tab w:val="left" w:pos="6186"/>
        </w:tabs>
        <w:spacing w:after="0" w:line="240" w:lineRule="auto"/>
        <w:ind w:left="990" w:hanging="990"/>
        <w:jc w:val="both"/>
        <w:rPr>
          <w:rFonts w:ascii="Times New Roman" w:eastAsia="PMingLiU" w:hAnsi="Times New Roman" w:cs="Times New Roman"/>
          <w:bCs/>
          <w:sz w:val="20"/>
          <w:szCs w:val="20"/>
          <w:lang w:eastAsia="zh-TW"/>
        </w:rPr>
      </w:pPr>
    </w:p>
    <w:p w:rsidR="00B711A3" w:rsidRPr="00F447A7" w:rsidRDefault="00B711A3" w:rsidP="00B711A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1F1C9C">
        <w:rPr>
          <w:rFonts w:ascii="Times New Roman" w:eastAsia="PMingLiU" w:hAnsi="Times New Roman"/>
          <w:sz w:val="20"/>
          <w:szCs w:val="20"/>
          <w:lang w:eastAsia="zh-TW"/>
        </w:rPr>
        <w:t>Goffinet, B. and Buck, W.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1F1C9C">
        <w:rPr>
          <w:rFonts w:ascii="Times New Roman" w:eastAsia="PMingLiU" w:hAnsi="Times New Roman"/>
          <w:sz w:val="20"/>
          <w:szCs w:val="20"/>
          <w:lang w:eastAsia="zh-TW"/>
        </w:rPr>
        <w:t>R. (2004). Molecular systematics of bryophytes. Missouri Botanical Garden Press, Illinois: pp. 205</w:t>
      </w:r>
      <w:r>
        <w:rPr>
          <w:rFonts w:ascii="Times New Roman" w:eastAsia="PMingLiU" w:hAnsi="Times New Roman"/>
          <w:sz w:val="20"/>
          <w:szCs w:val="20"/>
          <w:lang w:eastAsia="zh-TW"/>
        </w:rPr>
        <w:t>-</w:t>
      </w:r>
      <w:r w:rsidRPr="001F1C9C">
        <w:rPr>
          <w:rFonts w:ascii="Times New Roman" w:eastAsia="PMingLiU" w:hAnsi="Times New Roman"/>
          <w:sz w:val="20"/>
          <w:szCs w:val="20"/>
          <w:lang w:eastAsia="zh-TW"/>
        </w:rPr>
        <w:t>239.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Dey, A. and Mukherjee, A. (2015). Therapeutic potential of bryophytes and derived compounds against cancer.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Journal of Acute Disease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, 4(3): 236-248.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>Singh, M., Govindarajan, R., Nath, V., Rawat, A.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K.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S. and Mehrotra, S. (2006). Antimicrobial, wound healing and antioxidant activity of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Plagiochasma appendiculatum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 Lehm. et Lind.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J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ournal of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Ethnopharmacol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ogy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,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107: 67</w:t>
      </w:r>
      <w:r>
        <w:rPr>
          <w:rFonts w:ascii="Times New Roman" w:eastAsia="PMingLiU" w:hAnsi="Times New Roman"/>
          <w:sz w:val="20"/>
          <w:szCs w:val="20"/>
          <w:lang w:eastAsia="zh-TW"/>
        </w:rPr>
        <w:t>-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72.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Saboljevic, A., Sokovic, M., Glamočlija, J., Čirič, A., Vujičic, M., Pejin, B. and Saboljevic, M. (2010). Comparison of extract bio-activities of in-situ and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in vitro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 grown selected bryophyte species.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Afr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ican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J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ournal of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Microbiol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ogy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,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 4: 808</w:t>
      </w:r>
      <w:r>
        <w:rPr>
          <w:rFonts w:ascii="Times New Roman" w:eastAsia="PMingLiU" w:hAnsi="Times New Roman"/>
          <w:sz w:val="20"/>
          <w:szCs w:val="20"/>
          <w:lang w:eastAsia="zh-TW"/>
        </w:rPr>
        <w:t>-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812.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Klavina, L., Springe, G., Nikolajeva, V., Martsinkevich, I., Nakurte, I., Dzabijeva, D. and Steinberga, I. (2015). Chemical composition analysis, antimicrobial activity and cytotoxicity screening of moss extracts (moss phytochemistry).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Molecules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, 20: 17221-17243.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>Sun, S.-Q., He, M., Cao, T., Zhang, Y.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C. and Han, W. (2008). Response mechanisms of antioxidants in bryophyte (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Hypnum plumiforme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) under the stress of single or combined Pb and/or Ni.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Environmental Monitoring 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a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nd Assessment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, 149: 291-302. 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Nozaki, H., Hayashi, K., Nishimura, N., Kawaide, H., Matsuo, A. and Takaoka, D. (2007). Momilactone A and B as allelochemicals from moss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Hypnum plumiforme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: </w:t>
      </w:r>
      <w:r>
        <w:rPr>
          <w:rFonts w:ascii="Times New Roman" w:eastAsia="PMingLiU" w:hAnsi="Times New Roman"/>
          <w:sz w:val="20"/>
          <w:szCs w:val="20"/>
          <w:lang w:eastAsia="zh-TW"/>
        </w:rPr>
        <w:t>F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irst occurrence in bryophytes.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Biosci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ence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Biotechnol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ogy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Biochem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istry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, 71(12): 3127-3130.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>Sun, S.-Q., He, M., Cao, T., Yusuyin, Y., Han, W. and Li, J.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L. (2010).</w:t>
      </w:r>
      <w:r w:rsidRPr="001F1C9C"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Antioxidative responses related to H</w:t>
      </w:r>
      <w:r w:rsidRPr="00457125">
        <w:rPr>
          <w:rFonts w:ascii="Times New Roman" w:eastAsia="PMingLiU" w:hAnsi="Times New Roman"/>
          <w:sz w:val="20"/>
          <w:szCs w:val="20"/>
          <w:vertAlign w:val="subscript"/>
          <w:lang w:eastAsia="zh-TW"/>
        </w:rPr>
        <w:t>2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O</w:t>
      </w:r>
      <w:r w:rsidRPr="00457125">
        <w:rPr>
          <w:rFonts w:ascii="Times New Roman" w:eastAsia="PMingLiU" w:hAnsi="Times New Roman"/>
          <w:sz w:val="20"/>
          <w:szCs w:val="20"/>
          <w:vertAlign w:val="subscript"/>
          <w:lang w:eastAsia="zh-TW"/>
        </w:rPr>
        <w:t>2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 depletion in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Hypnum plumiforme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 under the combined stress induced by Pb and Ni.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Environmental Monitoring 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a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nd Assessment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, 163(1-4): 303-312.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Blois,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S. (1958). Antioxidant determinations by the use of a stable free radical.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Nature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, 29: 1199-1200.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Scur,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C., Pinto, F.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G.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S., Pandini, J.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A., Costa, W.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F., Leite, C.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W. and Temponi, L.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G. (2016). Antimicrobial and antioxidant activity of essential oil and different plant extracts of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Psidium cattleyanum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 Sabine.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Brazilian Journal of Biology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, 76(1): 101-108. 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Bittencourt, M. L. F., Ribeiro, P. R., Franco, R. L. P., Hilhorst, H. W. M., de Castro, R. D. and Fernandez, L.G. (2015). Metabolite profiling, antioxidant and antibacterial activities of Brazilian propolis: </w:t>
      </w:r>
      <w:r>
        <w:rPr>
          <w:rFonts w:ascii="Times New Roman" w:eastAsia="PMingLiU" w:hAnsi="Times New Roman"/>
          <w:sz w:val="20"/>
          <w:szCs w:val="20"/>
          <w:lang w:eastAsia="zh-TW"/>
        </w:rPr>
        <w:t>U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se of correlation and multivariate analyses to identify potential bioactive compounds.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Food Research International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, 76(2015): 449-457. 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Chávez-Gonzáles,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L., Rodríguez-Herrera, R. and Aguilar, C.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N. (2016). Essential oils: A natural alternative to combat antibiotics resistance antibiotic resistance in mechanisms and new antimicrobial approaches in antibiotic resistance.</w:t>
      </w:r>
      <w:r w:rsidRPr="001F1C9C"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Academic Press, Massachusetts: pp. 227–237.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lastRenderedPageBreak/>
        <w:t>Moon, J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.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Y., Jung, H.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J., Moon,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H., Chung, B.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C. and Choi,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H. (2009). Heat-map visualization of gas chromatography-mass spectrometry based quantitative signatures on steroid metabolism. 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Journal of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Am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erican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Soc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iety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Mass Spectro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metry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, 20(9):1626-1637. 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Reid, I.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R., Horne, A., Mason, B., Ames, R., Bava, U. and Gamble, G.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D. (2005). Effects of calcium supplementation on body weight and blood pressure in normal older women: a randomized controlled trial.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J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ournal of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Clin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ical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Endocrinol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ogy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Meta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bolism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, 90: 3824-3829.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Reid, I.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R., Mason, B., Horne, A., Ames, R., Clearwater, J., Bava, U., Orr-Walker, B., Wu, F., Evans,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C. and Gamble, G.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D. (2002). Effects of calcium supplementation on serum lipid concentration on serum lipid concentrations in normal older women: a randomized controlled trial.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Am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erican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J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ournal of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Med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icine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, 112: 343-347.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Khan, N., Afaq, F. and Mukhtar, H. (2008). Cancer chemoprevention through dietary antioxidants: Progress and promise.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Antioxid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ant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Redox Signal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, 10: 475-510.</w:t>
      </w:r>
    </w:p>
    <w:p w:rsidR="00B711A3" w:rsidRPr="00823ED8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Pourmorad, F., Hosseinimehr, S.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J. and Shahabimajd, N. (2006).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Antioxidant activity, phenol and flavonoid contents of some selected Iranian medicinal plants.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African Journal of Biotechnology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, 5(11): 1142-1145.</w:t>
      </w:r>
    </w:p>
    <w:p w:rsidR="00B711A3" w:rsidRDefault="00B711A3" w:rsidP="00B711A3">
      <w:pPr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both"/>
        <w:rPr>
          <w:rFonts w:ascii="Times New Roman" w:eastAsia="PMingLiU" w:hAnsi="Times New Roman" w:cs="Times New Roman"/>
          <w:bCs/>
          <w:sz w:val="20"/>
          <w:szCs w:val="20"/>
          <w:lang w:eastAsia="zh-TW"/>
        </w:rPr>
      </w:pPr>
    </w:p>
    <w:p w:rsidR="005F401D" w:rsidRDefault="005F401D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401D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0B3"/>
    <w:multiLevelType w:val="hybridMultilevel"/>
    <w:tmpl w:val="31724228"/>
    <w:lvl w:ilvl="0" w:tplc="7CD6B77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0F27F7"/>
    <w:rsid w:val="001573E3"/>
    <w:rsid w:val="00516556"/>
    <w:rsid w:val="005F401D"/>
    <w:rsid w:val="007D0E7F"/>
    <w:rsid w:val="00975E1A"/>
    <w:rsid w:val="00B711A3"/>
    <w:rsid w:val="00C7143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</cp:lastModifiedBy>
  <cp:revision>4</cp:revision>
  <dcterms:created xsi:type="dcterms:W3CDTF">2019-11-22T14:52:00Z</dcterms:created>
  <dcterms:modified xsi:type="dcterms:W3CDTF">2019-12-18T04:06:00Z</dcterms:modified>
</cp:coreProperties>
</file>