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05C4F" w:rsidRPr="00E3287E" w:rsidRDefault="00805C4F"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805C4F" w:rsidRDefault="00805C4F"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805C4F" w:rsidRPr="00E3287E" w:rsidRDefault="00805C4F"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805C4F" w:rsidRDefault="00805C4F"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0B3410" w:rsidRDefault="000B3410" w:rsidP="000B3410">
      <w:pPr>
        <w:spacing w:after="0" w:line="240" w:lineRule="auto"/>
        <w:jc w:val="center"/>
        <w:rPr>
          <w:rFonts w:ascii="Times New Roman" w:hAnsi="Times New Roman"/>
          <w:sz w:val="28"/>
          <w:szCs w:val="28"/>
        </w:rPr>
      </w:pPr>
      <w:r>
        <w:rPr>
          <w:rFonts w:ascii="Times New Roman" w:hAnsi="Times New Roman"/>
          <w:sz w:val="28"/>
          <w:szCs w:val="28"/>
        </w:rPr>
        <w:t>DISTRIBUTION OF DISSOLVED ALUMINIUM (dAl) IN SEAWATER AT PULAU PERHENTIAN, TERENGGANU</w:t>
      </w:r>
    </w:p>
    <w:p w:rsidR="000B3410" w:rsidRDefault="000B3410" w:rsidP="000B3410">
      <w:pPr>
        <w:spacing w:after="0" w:line="240" w:lineRule="auto"/>
        <w:jc w:val="center"/>
        <w:rPr>
          <w:rFonts w:ascii="Times New Roman" w:hAnsi="Times New Roman"/>
          <w:sz w:val="24"/>
          <w:szCs w:val="24"/>
        </w:rPr>
      </w:pPr>
    </w:p>
    <w:p w:rsidR="000B3410" w:rsidRDefault="000B3410" w:rsidP="000B3410">
      <w:pPr>
        <w:spacing w:after="0" w:line="240" w:lineRule="auto"/>
        <w:jc w:val="center"/>
        <w:rPr>
          <w:rFonts w:ascii="Times New Roman" w:hAnsi="Times New Roman"/>
          <w:sz w:val="24"/>
          <w:szCs w:val="24"/>
        </w:rPr>
      </w:pPr>
      <w:r>
        <w:rPr>
          <w:rFonts w:ascii="Times New Roman" w:hAnsi="Times New Roman"/>
          <w:sz w:val="24"/>
          <w:szCs w:val="24"/>
        </w:rPr>
        <w:t>(</w:t>
      </w:r>
      <w:r w:rsidRPr="00B37C81">
        <w:rPr>
          <w:rFonts w:ascii="Times New Roman" w:hAnsi="Times New Roman"/>
          <w:sz w:val="24"/>
          <w:szCs w:val="24"/>
          <w:lang w:val="ms-MY"/>
        </w:rPr>
        <w:t>Taburan Aluminium Terlarut (dAl) di dalam Air Laut di Pulau Perhentian, Terengganu</w:t>
      </w:r>
      <w:r>
        <w:rPr>
          <w:rFonts w:ascii="Times New Roman" w:hAnsi="Times New Roman"/>
          <w:sz w:val="24"/>
          <w:szCs w:val="24"/>
        </w:rPr>
        <w:t xml:space="preserve">) </w:t>
      </w:r>
    </w:p>
    <w:p w:rsidR="000B3410" w:rsidRDefault="000B3410" w:rsidP="000B3410">
      <w:pPr>
        <w:spacing w:after="0" w:line="240" w:lineRule="auto"/>
        <w:jc w:val="center"/>
        <w:rPr>
          <w:rFonts w:ascii="Times New Roman" w:hAnsi="Times New Roman"/>
          <w:sz w:val="20"/>
          <w:szCs w:val="20"/>
        </w:rPr>
      </w:pPr>
    </w:p>
    <w:p w:rsidR="000B3410" w:rsidRDefault="000B3410" w:rsidP="000B3410">
      <w:pPr>
        <w:spacing w:after="0" w:line="240" w:lineRule="auto"/>
        <w:jc w:val="center"/>
        <w:rPr>
          <w:rFonts w:ascii="Times New Roman" w:hAnsi="Times New Roman"/>
          <w:i/>
          <w:sz w:val="20"/>
          <w:szCs w:val="20"/>
          <w:vertAlign w:val="superscript"/>
        </w:rPr>
      </w:pPr>
      <w:r>
        <w:rPr>
          <w:rFonts w:ascii="Times New Roman" w:hAnsi="Times New Roman"/>
          <w:sz w:val="20"/>
          <w:szCs w:val="20"/>
        </w:rPr>
        <w:t>Khairul Nizam Mohamed</w:t>
      </w:r>
      <w:r>
        <w:rPr>
          <w:rFonts w:ascii="Times New Roman" w:hAnsi="Times New Roman"/>
          <w:sz w:val="20"/>
          <w:szCs w:val="20"/>
          <w:vertAlign w:val="superscript"/>
        </w:rPr>
        <w:t>1,2</w:t>
      </w:r>
      <w:r w:rsidRPr="000B3410">
        <w:rPr>
          <w:rFonts w:ascii="Times New Roman" w:hAnsi="Times New Roman"/>
          <w:sz w:val="20"/>
          <w:szCs w:val="20"/>
        </w:rPr>
        <w:t>*</w:t>
      </w:r>
      <w:r>
        <w:rPr>
          <w:rFonts w:ascii="Times New Roman" w:hAnsi="Times New Roman"/>
          <w:sz w:val="20"/>
          <w:szCs w:val="20"/>
        </w:rPr>
        <w:t>, Edriana Godon</w:t>
      </w:r>
      <w:r>
        <w:rPr>
          <w:rFonts w:ascii="Times New Roman" w:hAnsi="Times New Roman"/>
          <w:sz w:val="20"/>
          <w:szCs w:val="20"/>
          <w:vertAlign w:val="superscript"/>
        </w:rPr>
        <w:t>1</w:t>
      </w:r>
      <w:r>
        <w:rPr>
          <w:rFonts w:ascii="Times New Roman" w:hAnsi="Times New Roman"/>
          <w:sz w:val="20"/>
          <w:szCs w:val="20"/>
        </w:rPr>
        <w:t>, Shamsuddin Johan</w:t>
      </w:r>
      <w:r>
        <w:rPr>
          <w:rFonts w:ascii="Times New Roman" w:hAnsi="Times New Roman"/>
          <w:sz w:val="20"/>
          <w:szCs w:val="20"/>
          <w:vertAlign w:val="superscript"/>
        </w:rPr>
        <w:t>1,2</w:t>
      </w:r>
      <w:r>
        <w:rPr>
          <w:rFonts w:ascii="Times New Roman" w:hAnsi="Times New Roman"/>
          <w:sz w:val="20"/>
          <w:szCs w:val="20"/>
        </w:rPr>
        <w:t>, Fairuza Shaheera Jaafar</w:t>
      </w:r>
      <w:r>
        <w:rPr>
          <w:rFonts w:ascii="Times New Roman" w:hAnsi="Times New Roman"/>
          <w:sz w:val="20"/>
          <w:szCs w:val="20"/>
          <w:vertAlign w:val="superscript"/>
        </w:rPr>
        <w:t>1</w:t>
      </w:r>
    </w:p>
    <w:p w:rsidR="000B3410" w:rsidRDefault="000B3410" w:rsidP="000B3410">
      <w:pPr>
        <w:spacing w:after="0" w:line="240" w:lineRule="auto"/>
        <w:jc w:val="center"/>
        <w:rPr>
          <w:rFonts w:ascii="Times New Roman" w:hAnsi="Times New Roman"/>
          <w:i/>
          <w:sz w:val="18"/>
          <w:szCs w:val="18"/>
        </w:rPr>
      </w:pPr>
    </w:p>
    <w:p w:rsidR="000B3410" w:rsidRDefault="000B3410" w:rsidP="000B3410">
      <w:pPr>
        <w:spacing w:after="0" w:line="240" w:lineRule="auto"/>
        <w:jc w:val="center"/>
        <w:rPr>
          <w:rFonts w:ascii="Times New Roman" w:hAnsi="Times New Roman"/>
          <w:i/>
          <w:sz w:val="18"/>
          <w:szCs w:val="18"/>
        </w:rPr>
      </w:pPr>
      <w:r>
        <w:rPr>
          <w:rFonts w:ascii="Times New Roman" w:hAnsi="Times New Roman"/>
          <w:i/>
          <w:sz w:val="18"/>
          <w:szCs w:val="18"/>
          <w:vertAlign w:val="superscript"/>
        </w:rPr>
        <w:t>1</w:t>
      </w:r>
      <w:r>
        <w:rPr>
          <w:rFonts w:ascii="Times New Roman" w:hAnsi="Times New Roman"/>
          <w:i/>
          <w:sz w:val="18"/>
          <w:szCs w:val="18"/>
        </w:rPr>
        <w:t>Department of Environmental Sciences,</w:t>
      </w:r>
      <w:r w:rsidRPr="000B3410">
        <w:rPr>
          <w:rFonts w:ascii="Times New Roman" w:hAnsi="Times New Roman"/>
          <w:i/>
          <w:sz w:val="18"/>
          <w:szCs w:val="18"/>
        </w:rPr>
        <w:t xml:space="preserve"> </w:t>
      </w:r>
      <w:r>
        <w:rPr>
          <w:rFonts w:ascii="Times New Roman" w:hAnsi="Times New Roman"/>
          <w:i/>
          <w:sz w:val="18"/>
          <w:szCs w:val="18"/>
        </w:rPr>
        <w:t>Faculty of Environmental Studies</w:t>
      </w:r>
    </w:p>
    <w:p w:rsidR="000B3410" w:rsidRDefault="000B3410" w:rsidP="000B3410">
      <w:pPr>
        <w:spacing w:after="0" w:line="240" w:lineRule="auto"/>
        <w:jc w:val="center"/>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Environmental Forensic Research Unit, Faculty of Environmental Studies</w:t>
      </w:r>
    </w:p>
    <w:p w:rsidR="000B3410" w:rsidRDefault="000B3410" w:rsidP="000B3410">
      <w:pPr>
        <w:spacing w:after="0" w:line="240" w:lineRule="auto"/>
        <w:jc w:val="center"/>
        <w:rPr>
          <w:rFonts w:ascii="Times New Roman" w:hAnsi="Times New Roman"/>
          <w:i/>
          <w:sz w:val="18"/>
          <w:szCs w:val="18"/>
        </w:rPr>
      </w:pPr>
      <w:r>
        <w:rPr>
          <w:rFonts w:ascii="Times New Roman" w:hAnsi="Times New Roman"/>
          <w:i/>
          <w:sz w:val="18"/>
          <w:szCs w:val="18"/>
        </w:rPr>
        <w:t>Universiti Putra Malaysia, 43400 UPM Serdang, Selangor, Malaysia.</w:t>
      </w:r>
    </w:p>
    <w:p w:rsidR="000B3410" w:rsidRDefault="000B3410" w:rsidP="000B3410">
      <w:pPr>
        <w:spacing w:after="0" w:line="240" w:lineRule="auto"/>
        <w:jc w:val="center"/>
        <w:rPr>
          <w:rFonts w:ascii="Times New Roman" w:hAnsi="Times New Roman"/>
          <w:i/>
        </w:rPr>
      </w:pPr>
    </w:p>
    <w:p w:rsidR="000B3410" w:rsidRDefault="000B3410" w:rsidP="000B3410">
      <w:pPr>
        <w:spacing w:after="0" w:line="240" w:lineRule="auto"/>
        <w:jc w:val="center"/>
        <w:rPr>
          <w:rFonts w:ascii="Times New Roman" w:hAnsi="Times New Roman"/>
          <w:i/>
          <w:sz w:val="18"/>
          <w:szCs w:val="18"/>
        </w:rPr>
      </w:pPr>
      <w:r w:rsidRPr="000B3410">
        <w:rPr>
          <w:rFonts w:ascii="Times New Roman" w:hAnsi="Times New Roman"/>
          <w:i/>
          <w:sz w:val="18"/>
          <w:szCs w:val="18"/>
        </w:rPr>
        <w:t>*</w:t>
      </w:r>
      <w:r>
        <w:rPr>
          <w:rFonts w:ascii="Times New Roman" w:hAnsi="Times New Roman"/>
          <w:i/>
          <w:sz w:val="18"/>
          <w:szCs w:val="18"/>
        </w:rPr>
        <w:t>Corresponding author:  k_nizam@upm.edu.my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16526">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E16526">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0B3410" w:rsidRDefault="000B3410" w:rsidP="000B3410">
      <w:pPr>
        <w:spacing w:after="0" w:line="240" w:lineRule="auto"/>
        <w:jc w:val="both"/>
        <w:rPr>
          <w:rFonts w:ascii="Times New Roman" w:hAnsi="Times New Roman"/>
          <w:sz w:val="18"/>
          <w:szCs w:val="18"/>
        </w:rPr>
      </w:pPr>
      <w:r>
        <w:rPr>
          <w:rFonts w:ascii="Times New Roman" w:hAnsi="Times New Roman"/>
          <w:sz w:val="18"/>
          <w:szCs w:val="18"/>
        </w:rPr>
        <w:t xml:space="preserve">The distribution of dissolved aluminum (dAl) was determined in seawater collected from Pulau Perhentian in November 2015 and April 2016, in order to identify a possible effect of the Northeast monsoon on dAl. Seawater sample profiles were collected at five different stations at 4-5 different depths. The concentration of dAl was determined directly by using cathodic stripping voltammetry on the hanging mercury drop electrode. This method was optimized in order to fit the determination of dAl concentration in seawater at this study area. During the measurements in November 2015, the concentration of dAl was found to be between 31.1 μg/L and 98.7 μg/L at that surface layer, and was found to be increasing with depth. On the other hand, the concentration ranged between 30.9 μg/L and 167.3 μg/L at surface layer and decreased with depth in April 2016. This indicates that the distribution of dAl throughout the water column was different between the two periods. It suggests that there was a possible source of Al from the surface sediment due to the high current turbulence during the Northeast monsoon season in this area, as mentioned by previous studies. </w:t>
      </w:r>
    </w:p>
    <w:p w:rsidR="000B3410" w:rsidRDefault="000B3410" w:rsidP="000B3410">
      <w:pPr>
        <w:spacing w:after="0" w:line="240" w:lineRule="auto"/>
        <w:jc w:val="both"/>
        <w:rPr>
          <w:rFonts w:ascii="Times New Roman" w:hAnsi="Times New Roman"/>
          <w:sz w:val="18"/>
          <w:szCs w:val="18"/>
        </w:rPr>
      </w:pPr>
    </w:p>
    <w:p w:rsidR="000B3410" w:rsidRDefault="000B3410" w:rsidP="000B3410">
      <w:pPr>
        <w:spacing w:after="0" w:line="240" w:lineRule="auto"/>
        <w:jc w:val="both"/>
        <w:rPr>
          <w:rFonts w:ascii="Times New Roman" w:hAnsi="Times New Roman"/>
          <w:sz w:val="18"/>
          <w:szCs w:val="18"/>
        </w:rPr>
      </w:pPr>
      <w:r>
        <w:rPr>
          <w:rFonts w:ascii="Times New Roman" w:hAnsi="Times New Roman"/>
          <w:b/>
          <w:sz w:val="18"/>
          <w:szCs w:val="18"/>
        </w:rPr>
        <w:t>Keywords</w:t>
      </w:r>
      <w:r>
        <w:rPr>
          <w:rFonts w:ascii="Times New Roman" w:hAnsi="Times New Roman"/>
          <w:sz w:val="18"/>
          <w:szCs w:val="18"/>
        </w:rPr>
        <w:t>:  dissolved aluminium, seawater, biological uptake, atmospheric input, monsoon</w:t>
      </w:r>
    </w:p>
    <w:p w:rsidR="000B3410" w:rsidRDefault="000B3410" w:rsidP="000B3410">
      <w:pPr>
        <w:spacing w:after="0" w:line="240" w:lineRule="auto"/>
        <w:jc w:val="both"/>
        <w:rPr>
          <w:rFonts w:ascii="Times New Roman" w:hAnsi="Times New Roman"/>
          <w:sz w:val="18"/>
          <w:szCs w:val="18"/>
        </w:rPr>
      </w:pPr>
    </w:p>
    <w:p w:rsidR="000B3410" w:rsidRPr="00B80FD4" w:rsidRDefault="000B3410" w:rsidP="000B3410">
      <w:pPr>
        <w:spacing w:after="0" w:line="240" w:lineRule="auto"/>
        <w:jc w:val="center"/>
        <w:rPr>
          <w:rFonts w:ascii="Times New Roman" w:hAnsi="Times New Roman"/>
          <w:b/>
          <w:sz w:val="18"/>
          <w:szCs w:val="18"/>
          <w:lang w:val="ms-MY"/>
        </w:rPr>
      </w:pPr>
      <w:r w:rsidRPr="00B80FD4">
        <w:rPr>
          <w:rFonts w:ascii="Times New Roman" w:hAnsi="Times New Roman"/>
          <w:b/>
          <w:sz w:val="18"/>
          <w:szCs w:val="18"/>
          <w:lang w:val="ms-MY"/>
        </w:rPr>
        <w:t>Abstrak</w:t>
      </w:r>
    </w:p>
    <w:p w:rsidR="000B3410" w:rsidRPr="00B80FD4" w:rsidRDefault="000B3410" w:rsidP="000B3410">
      <w:pPr>
        <w:spacing w:after="0" w:line="240" w:lineRule="auto"/>
        <w:jc w:val="both"/>
        <w:rPr>
          <w:rFonts w:ascii="Times New Roman" w:hAnsi="Times New Roman"/>
          <w:sz w:val="18"/>
          <w:szCs w:val="18"/>
          <w:lang w:val="ms-MY"/>
        </w:rPr>
      </w:pPr>
      <w:r w:rsidRPr="00B80FD4">
        <w:rPr>
          <w:rFonts w:ascii="Times New Roman" w:hAnsi="Times New Roman"/>
          <w:sz w:val="18"/>
          <w:szCs w:val="18"/>
          <w:lang w:val="ms-MY"/>
        </w:rPr>
        <w:t xml:space="preserve">Taburan aluminium terlarut (dAl) telah ditentukan di dalam air laut yang diperolehi dari Pulau Perhentian pada November 2015 dan April 2016 bagi menentukan kebarangkalian kesan Monsun Timur laut ke atas dAl. Sampel air laut secara turus telah diambil di lima stesen yang berbeza pada 4-5 kedalaman yang berbeza. Kandungan kepekatannya telah ditentukan secara terus dengan menggunakan kaedah </w:t>
      </w:r>
      <w:r>
        <w:rPr>
          <w:rFonts w:ascii="Times New Roman" w:hAnsi="Times New Roman"/>
          <w:sz w:val="18"/>
          <w:szCs w:val="18"/>
          <w:lang w:val="ms-MY"/>
        </w:rPr>
        <w:t>pelucutan voltametri pada hujung elektrod merkuri</w:t>
      </w:r>
      <w:r w:rsidRPr="00B80FD4">
        <w:rPr>
          <w:rFonts w:ascii="Times New Roman" w:hAnsi="Times New Roman"/>
          <w:sz w:val="18"/>
          <w:szCs w:val="18"/>
          <w:lang w:val="ms-MY"/>
        </w:rPr>
        <w:t>. Kaedah ini telah dioptimumkan bagi menentuukur kandungan kepekatan dAl di dalam air laut di kawasan ini. Kandungan kepekatan dAl adalah julat diantara 31.1-98.7 μg/L pada lapisan permukaan dan ianya meningkat dengan kedalaman air pada November 2015. Di sebaliknya pula, kandu</w:t>
      </w:r>
      <w:r>
        <w:rPr>
          <w:rFonts w:ascii="Times New Roman" w:hAnsi="Times New Roman"/>
          <w:sz w:val="18"/>
          <w:szCs w:val="18"/>
          <w:lang w:val="ms-MY"/>
        </w:rPr>
        <w:t>n</w:t>
      </w:r>
      <w:r w:rsidRPr="00B80FD4">
        <w:rPr>
          <w:rFonts w:ascii="Times New Roman" w:hAnsi="Times New Roman"/>
          <w:sz w:val="18"/>
          <w:szCs w:val="18"/>
          <w:lang w:val="ms-MY"/>
        </w:rPr>
        <w:t>gan kepekatannya adalah diantara 30.9-167.3 μg/L pada lapisan permukaan dan berkurang dengan kedalaman air pada April 2016. Ini menunjukkan bahawa, taburan dAl di sepanjang turus air adalah berbeza di</w:t>
      </w:r>
      <w:r>
        <w:rPr>
          <w:rFonts w:ascii="Times New Roman" w:hAnsi="Times New Roman"/>
          <w:sz w:val="18"/>
          <w:szCs w:val="18"/>
          <w:lang w:val="ms-MY"/>
        </w:rPr>
        <w:t xml:space="preserve"> </w:t>
      </w:r>
      <w:r w:rsidRPr="00B80FD4">
        <w:rPr>
          <w:rFonts w:ascii="Times New Roman" w:hAnsi="Times New Roman"/>
          <w:sz w:val="18"/>
          <w:szCs w:val="18"/>
          <w:lang w:val="ms-MY"/>
        </w:rPr>
        <w:t xml:space="preserve">antara kedua-dua masa tersebut. Ini mencadangkan bahawa kemugkinan sumber Al adalah dari permukaan sedimen yang disebabkan oleh arus pergolakan yang tinggi semasa musim monsun Timur laut di kawasan ini, sepertimana yang telah dicadangkan sebelum ini. </w:t>
      </w:r>
    </w:p>
    <w:p w:rsidR="000B3410" w:rsidRPr="00B80FD4" w:rsidRDefault="000B3410" w:rsidP="000B3410">
      <w:pPr>
        <w:spacing w:after="0" w:line="240" w:lineRule="auto"/>
        <w:jc w:val="both"/>
        <w:rPr>
          <w:rFonts w:ascii="Times New Roman" w:hAnsi="Times New Roman"/>
          <w:sz w:val="18"/>
          <w:szCs w:val="18"/>
          <w:lang w:val="ms-MY"/>
        </w:rPr>
      </w:pPr>
    </w:p>
    <w:p w:rsidR="006768E9" w:rsidRDefault="000B3410" w:rsidP="000B3410">
      <w:pPr>
        <w:spacing w:after="0" w:line="240" w:lineRule="auto"/>
        <w:jc w:val="both"/>
        <w:rPr>
          <w:rFonts w:ascii="Times New Roman" w:hAnsi="Times New Roman"/>
          <w:noProof/>
          <w:sz w:val="20"/>
          <w:szCs w:val="20"/>
          <w:lang w:bidi="ar-SA"/>
        </w:rPr>
      </w:pPr>
      <w:r w:rsidRPr="00B80FD4">
        <w:rPr>
          <w:rFonts w:ascii="Times New Roman" w:hAnsi="Times New Roman"/>
          <w:b/>
          <w:sz w:val="18"/>
          <w:szCs w:val="18"/>
          <w:lang w:val="ms-MY"/>
        </w:rPr>
        <w:t>Kata kunci</w:t>
      </w:r>
      <w:r w:rsidRPr="00B80FD4">
        <w:rPr>
          <w:rFonts w:ascii="Times New Roman" w:hAnsi="Times New Roman"/>
          <w:sz w:val="18"/>
          <w:szCs w:val="18"/>
          <w:lang w:val="ms-MY"/>
        </w:rPr>
        <w:t xml:space="preserve">: </w:t>
      </w:r>
      <w:r>
        <w:rPr>
          <w:rFonts w:ascii="Times New Roman" w:hAnsi="Times New Roman"/>
          <w:sz w:val="18"/>
          <w:szCs w:val="18"/>
          <w:lang w:val="ms-MY"/>
        </w:rPr>
        <w:t xml:space="preserve"> </w:t>
      </w:r>
      <w:r w:rsidRPr="00B80FD4">
        <w:rPr>
          <w:rFonts w:ascii="Times New Roman" w:hAnsi="Times New Roman"/>
          <w:sz w:val="18"/>
          <w:szCs w:val="18"/>
          <w:lang w:val="ms-MY"/>
        </w:rPr>
        <w:t>aluminium terlarut, air laut, pengambilan secara biologi, input atmosfera, monsun</w:t>
      </w:r>
    </w:p>
    <w:p w:rsidR="00494C46" w:rsidRDefault="00494C46" w:rsidP="00F447A7">
      <w:pPr>
        <w:spacing w:after="0" w:line="240" w:lineRule="auto"/>
        <w:jc w:val="center"/>
        <w:rPr>
          <w:rFonts w:ascii="Times New Roman" w:hAnsi="Times New Roman"/>
          <w:noProof/>
          <w:sz w:val="20"/>
          <w:szCs w:val="20"/>
          <w:lang w:bidi="ar-SA"/>
        </w:rPr>
      </w:pPr>
    </w:p>
    <w:p w:rsidR="000B3410" w:rsidRPr="00BE7C30" w:rsidRDefault="000B3410"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Aluminum (Al) is the third most abundant element in the earth’s crust, and its hydrolysis states of Al(OH)</w:t>
      </w:r>
      <w:r>
        <w:rPr>
          <w:rFonts w:ascii="Times New Roman" w:hAnsi="Times New Roman"/>
          <w:sz w:val="20"/>
          <w:szCs w:val="20"/>
          <w:vertAlign w:val="superscript"/>
        </w:rPr>
        <w:t>4-</w:t>
      </w:r>
      <w:r>
        <w:rPr>
          <w:rFonts w:ascii="Times New Roman" w:hAnsi="Times New Roman"/>
          <w:sz w:val="20"/>
          <w:szCs w:val="20"/>
        </w:rPr>
        <w:t xml:space="preserve"> and Al(OH)</w:t>
      </w:r>
      <w:r>
        <w:rPr>
          <w:rFonts w:ascii="Times New Roman" w:hAnsi="Times New Roman"/>
          <w:sz w:val="20"/>
          <w:szCs w:val="20"/>
          <w:vertAlign w:val="subscript"/>
        </w:rPr>
        <w:t>3</w:t>
      </w:r>
      <w:r>
        <w:rPr>
          <w:rFonts w:ascii="Times New Roman" w:hAnsi="Times New Roman"/>
          <w:sz w:val="20"/>
          <w:szCs w:val="20"/>
          <w:vertAlign w:val="superscript"/>
        </w:rPr>
        <w:t>0</w:t>
      </w:r>
      <w:r>
        <w:rPr>
          <w:rFonts w:ascii="Times New Roman" w:hAnsi="Times New Roman"/>
          <w:sz w:val="20"/>
          <w:szCs w:val="20"/>
        </w:rPr>
        <w:t xml:space="preserve"> are the dominant species in seawater (pH 8). Since Al is a particle-reactive element similar to Thorium </w:t>
      </w:r>
      <w:r>
        <w:rPr>
          <w:rFonts w:ascii="Times New Roman" w:hAnsi="Times New Roman"/>
          <w:sz w:val="20"/>
          <w:szCs w:val="20"/>
        </w:rPr>
        <w:lastRenderedPageBreak/>
        <w:t xml:space="preserve">(Th) and Ferum (Fe), its concentration is low due to its ready removal from seawater. According to previous studies [1, 2], the behavior of Al in high-productivity coastal regions is not well characterized. Investigation of the sources of both dissolved and particulate Al in coastal waters is needed in order to understand their biogeochemistry process and for gaining an insight into the behavior of these Al fractions, in both surface waters and at depths.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color w:val="000000"/>
          <w:sz w:val="20"/>
          <w:szCs w:val="20"/>
        </w:rPr>
        <w:t>Al i</w:t>
      </w:r>
      <w:r>
        <w:rPr>
          <w:rFonts w:ascii="Times New Roman" w:hAnsi="Times New Roman"/>
          <w:sz w:val="20"/>
          <w:szCs w:val="20"/>
        </w:rPr>
        <w:t xml:space="preserve">s the best illustration of a trace metal with a scavenged-type distribution in the oceans. The major external input of aluminum is from the partial dissolution of atmospheric dust delivered to the surface ocean [1]. Trace metals are able to penetrate the food web in oceans through the direct intake of water or uptake by marine organisms [2]. According to Riley and Roth [3], dissolved aluminum (dAl) is an important tracer of atmospheric dust input in the oceans. The global pattern of atmospheric dust deposition is therefore a crucial component in models of global biogeochemical cycles, such as the global carbon cycle, which in turn, has a direct bearing on constraining future monsoon scenarios. In seawater, Al only exists in nanomolar concentrations [4]. The low concentration of dissolved Al in the oceans is the result of multiple biogeochemical processes.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Because of the low concentrations of dAl in seawater and the presence of a matrix of major ions such as Ca</w:t>
      </w:r>
      <w:r>
        <w:rPr>
          <w:rFonts w:ascii="Times New Roman" w:hAnsi="Times New Roman"/>
          <w:sz w:val="20"/>
          <w:szCs w:val="20"/>
          <w:vertAlign w:val="superscript"/>
        </w:rPr>
        <w:t>2+</w:t>
      </w:r>
      <w:r>
        <w:rPr>
          <w:rFonts w:ascii="Times New Roman" w:hAnsi="Times New Roman"/>
          <w:sz w:val="20"/>
          <w:szCs w:val="20"/>
        </w:rPr>
        <w:t>, Mg</w:t>
      </w:r>
      <w:r>
        <w:rPr>
          <w:rFonts w:ascii="Times New Roman" w:hAnsi="Times New Roman"/>
          <w:sz w:val="20"/>
          <w:szCs w:val="20"/>
          <w:vertAlign w:val="superscript"/>
        </w:rPr>
        <w:t>2+</w:t>
      </w:r>
      <w:r>
        <w:rPr>
          <w:rFonts w:ascii="Times New Roman" w:hAnsi="Times New Roman"/>
          <w:sz w:val="20"/>
          <w:szCs w:val="20"/>
        </w:rPr>
        <w:t>, Na</w:t>
      </w:r>
      <w:r>
        <w:rPr>
          <w:rFonts w:ascii="Times New Roman" w:hAnsi="Times New Roman"/>
          <w:sz w:val="20"/>
          <w:szCs w:val="20"/>
          <w:vertAlign w:val="superscript"/>
        </w:rPr>
        <w:t>+</w:t>
      </w:r>
      <w:r>
        <w:rPr>
          <w:rFonts w:ascii="Times New Roman" w:hAnsi="Times New Roman"/>
          <w:sz w:val="20"/>
          <w:szCs w:val="20"/>
        </w:rPr>
        <w:t>, and Cl</w:t>
      </w:r>
      <w:r>
        <w:rPr>
          <w:rFonts w:ascii="Times New Roman" w:hAnsi="Times New Roman"/>
          <w:sz w:val="20"/>
          <w:szCs w:val="20"/>
          <w:vertAlign w:val="superscript"/>
        </w:rPr>
        <w:t>-</w:t>
      </w:r>
      <w:r>
        <w:rPr>
          <w:rFonts w:ascii="Times New Roman" w:hAnsi="Times New Roman"/>
          <w:sz w:val="20"/>
          <w:szCs w:val="20"/>
        </w:rPr>
        <w:t xml:space="preserve">, at concentrations of six or seven orders of magnitude greater than the dAl concentrations, a method that provides for the removal of the seawater matrix and increases the concentration of the analyte such as dAl is highly desirable [5]. Furthermore, dAl concentrations in surface waters of the open ocean can provide reliable estimates of atmospheric dust fluxes in the world’s oceans [6]. This relationship between dAl concentrations and atmospheric dust deposition is of interest in a time when global estimates of the delivery of bio-limiting elements such as iron via dust deposition to global surface waters are greatly needed. Thus, the ability to accurately measure dAl in seawater is very valuable, and therefore significant interest has been shown in understanding the marine biogeochemistry of Al in oceanic waters.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In Malaysia, most of the current trace metal studies focus on sediments and freshwater [7-11]. The latest study of Al in seawater was by Godon and Mohamed [12], that studied the distribution of dissolved Fe, Cu and Al at Pulau Perhentian, Terengganu by using pre-concentrate of seawater on Chelex-100 resin and Inductive Couple Plasma-Mass Spectrometry (ICP-MS) as detector. However, this method requires complex and expensive analytical equipment, thereby limiting their potential application. Therefore, a lack of data on dissolved Al in seawater samples might be due to the analytical method, where the sample itself (seawater) has a high metric and contains higher salt levels, which is something that is challenging to analyze directly. Therefore, a direct analysis of dissolved Al in seawater is needed in order to increase our understanding of its biogeochemistry cycle in our coastal water regions.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This study was proposed to determine levels of dissolved Al in seawater by optimizing the electrochemistry method. Due to the high salt content, this technique can be conducted directly in seawater, as the pre-concentration is performed, and followed by a potential scan towards more negative potentials which helps in determining the cathodic (reductive) currents. The measurement will be done by using cathodic stripping voltammetry (CSV) preceded by adsorptive collection of complex ions with 1,2-dihydroxyanthraquinone-3-sulphonic acid (DASA), on the hanging mercury drop electrode. This method is based on the measurement of current response as a function of the potential applied to a voltammetric cell.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Pulau Perhentian, Terengganu is located on the southern side of the South China Sea and exposed to both the atmospheric and oceanic impacts of the monsoon. This region is strongly affected by severe weather during the northeast monsoon from November to March [13]. During this event, the near coastal areas of the continental shelves tend to have high concentrations of chlorophyll and phytoplankton [14]. The possible effect of Malaysia’s climate to dAl distribution in this area is high because the monsoon brings heavy rain and wind which change considerably in strength owing to variations in the distribution of atmospheric pressure. Determination of dAl is needed in this area in order to understand the possible influence of the Northeast monsoon event on dust deposition, which links the nutrient sources to the surface water. Thus, we are conducting this study by measuring dAl and particulate Al through-out the water column at a few selected stations. Therefore, the objective of this study is to determine the concentration of dAl in seawater profiles during pre-monsoon and post-monsoon seasons.</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center"/>
        <w:rPr>
          <w:rFonts w:ascii="Times New Roman" w:hAnsi="Times New Roman"/>
          <w:b/>
          <w:sz w:val="20"/>
          <w:szCs w:val="20"/>
        </w:rPr>
      </w:pPr>
      <w:r>
        <w:rPr>
          <w:rFonts w:ascii="Times New Roman" w:hAnsi="Times New Roman"/>
          <w:b/>
          <w:sz w:val="20"/>
          <w:szCs w:val="20"/>
        </w:rPr>
        <w:lastRenderedPageBreak/>
        <w:t>Materials and Methods</w:t>
      </w: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Seawater samples (1 L) were collected at 5 different stations (Figure 1) in November 2015 and April 2016 at Pulau Perhentian, Terengganu. The profile samples were taken at 4-5 depths (depending on the water depth) at each station by using van dorm water sampler. </w:t>
      </w:r>
      <w:r w:rsidRPr="0007480A">
        <w:rPr>
          <w:rFonts w:ascii="Times New Roman" w:hAnsi="Times New Roman"/>
          <w:i/>
          <w:sz w:val="20"/>
          <w:szCs w:val="20"/>
        </w:rPr>
        <w:t>In-situ</w:t>
      </w:r>
      <w:r>
        <w:rPr>
          <w:rFonts w:ascii="Times New Roman" w:hAnsi="Times New Roman"/>
          <w:sz w:val="20"/>
          <w:szCs w:val="20"/>
        </w:rPr>
        <w:t xml:space="preserve"> parameters such as dissolved oxygen, pH, salinity, turbidity and conductivity were measured in each water sample by using YSI Pro Plus. Filtration on seawater sample was carried out through 0.45μM Whatman</w:t>
      </w:r>
      <w:r w:rsidRPr="0007480A">
        <w:rPr>
          <w:rFonts w:ascii="Times New Roman" w:hAnsi="Times New Roman"/>
          <w:sz w:val="20"/>
          <w:szCs w:val="20"/>
          <w:vertAlign w:val="superscript"/>
        </w:rPr>
        <w:t>®</w:t>
      </w:r>
      <w:r>
        <w:rPr>
          <w:rFonts w:ascii="Times New Roman" w:hAnsi="Times New Roman"/>
          <w:sz w:val="20"/>
          <w:szCs w:val="20"/>
        </w:rPr>
        <w:t xml:space="preserve"> glass microfiber (25 mm diameter, grade GF/F, Sigma- Aldrich, Buchs, Switzerland) fitted with a peristaltic pump, forcing the seawater from the bottle samplers. Samples for dAl analyses were acidified to pH 2 using ultra clean HCl (Romil UHP grade), and stored in Low Density Polyethylene (LDPE) bottles (Nalgene) which had been cleaned according to a standard protocol [15].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 xml:space="preserve">For the dAl concentration in seawater samples, we applied an adsorptive stripping voltammetry measurement by using 3,4-dihydroxy-2-anthraquinonsulfonic acid Na-salt (DASA) solution and N, N-bis-(2-hydroxyethyl)-2-aminoethansulfonic acid (BES) as a buffer [16]. A Metrohm Model VA 797 automated hanging mercury drop electrode (HDME) (Figure 2) was used throughout the analysis. The reference electrode was Ag/AgCl, saturated AgCl, </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12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66AE69F3" wp14:editId="4C2374CE">
            <wp:extent cx="3371500" cy="3034910"/>
            <wp:effectExtent l="0" t="0" r="635"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2847" r="34013" b="36782"/>
                    <a:stretch>
                      <a:fillRect/>
                    </a:stretch>
                  </pic:blipFill>
                  <pic:spPr>
                    <a:xfrm>
                      <a:off x="0" y="0"/>
                      <a:ext cx="3405580" cy="3065588"/>
                    </a:xfrm>
                    <a:prstGeom prst="rect">
                      <a:avLst/>
                    </a:prstGeom>
                    <a:ln/>
                  </pic:spPr>
                </pic:pic>
              </a:graphicData>
            </a:graphic>
          </wp:inline>
        </w:drawing>
      </w:r>
    </w:p>
    <w:p w:rsidR="000B3410" w:rsidRDefault="000B3410" w:rsidP="000B3410">
      <w:pPr>
        <w:spacing w:after="0" w:line="240" w:lineRule="auto"/>
        <w:ind w:left="850" w:hanging="850"/>
        <w:jc w:val="both"/>
        <w:rPr>
          <w:rFonts w:ascii="Times New Roman" w:hAnsi="Times New Roman"/>
          <w:sz w:val="20"/>
          <w:szCs w:val="20"/>
        </w:rPr>
      </w:pPr>
      <w:r>
        <w:rPr>
          <w:rFonts w:ascii="Times New Roman" w:hAnsi="Times New Roman"/>
          <w:sz w:val="20"/>
          <w:szCs w:val="20"/>
        </w:rPr>
        <w:t>Figure 1.  Location of our sampling stations at Pulau Perhentian, Terengganu, Malaysia during sampling activity in November 2015 and April 2016</w:t>
      </w:r>
    </w:p>
    <w:p w:rsidR="000B3410" w:rsidRDefault="000B3410" w:rsidP="000B3410">
      <w:pPr>
        <w:spacing w:after="12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r>
        <w:rPr>
          <w:rFonts w:ascii="Times New Roman" w:hAnsi="Times New Roman"/>
          <w:sz w:val="20"/>
          <w:szCs w:val="20"/>
        </w:rPr>
        <w:t>A seawater sample (10 mL, pH 2) was pipetted into the voltammetry cell and its pH was adjusted to normal seawater pH by adding ammonium hydroxide. A 10 μL of the BES pH buffer was added, followed by a DASA stock solution at final concentration of 10</w:t>
      </w:r>
      <w:r>
        <w:rPr>
          <w:rFonts w:ascii="Times New Roman" w:hAnsi="Times New Roman"/>
          <w:sz w:val="20"/>
          <w:szCs w:val="20"/>
          <w:vertAlign w:val="superscript"/>
        </w:rPr>
        <w:t>-5</w:t>
      </w:r>
      <w:r>
        <w:rPr>
          <w:rFonts w:ascii="Times New Roman" w:hAnsi="Times New Roman"/>
          <w:sz w:val="20"/>
          <w:szCs w:val="20"/>
        </w:rPr>
        <w:t xml:space="preserve"> M. After deaeration of the solution with inert gas (99.999% pure nitrogen) for 5 minutes, the stirrer was started, and the potentiostat was set to -0.9 V. A new mercury drop was then extruded, which signified the beginning of the adsorption time. The stirrer was stopped after 60 s, and 10 s was allowed for the solution to become quiescent. The differential-pulse cathodic-stripping scan was then started, at a rate of 20 mVs</w:t>
      </w:r>
      <w:r>
        <w:rPr>
          <w:rFonts w:ascii="Times New Roman" w:hAnsi="Times New Roman"/>
          <w:sz w:val="20"/>
          <w:szCs w:val="20"/>
          <w:vertAlign w:val="superscript"/>
        </w:rPr>
        <w:t>-1</w:t>
      </w:r>
      <w:r>
        <w:rPr>
          <w:rFonts w:ascii="Times New Roman" w:hAnsi="Times New Roman"/>
          <w:sz w:val="20"/>
          <w:szCs w:val="20"/>
        </w:rPr>
        <w:t>, with a pulse height of 25 mV and a pulse time of 0.1 s. The aluminium- DASA complex peak appeared at –0.3 V in the seawater sample (Figure 3). The aluminum concentration in the sample was then evaluated from a repeated measurement after adding standard Al, twice.</w:t>
      </w: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both"/>
        <w:rPr>
          <w:rFonts w:ascii="Times New Roman" w:hAnsi="Times New Roman"/>
          <w:sz w:val="20"/>
          <w:szCs w:val="20"/>
        </w:rPr>
      </w:pPr>
    </w:p>
    <w:p w:rsidR="000B3410" w:rsidRDefault="000B3410" w:rsidP="000B3410">
      <w:pPr>
        <w:spacing w:after="0" w:line="240" w:lineRule="auto"/>
        <w:jc w:val="center"/>
        <w:rPr>
          <w:rFonts w:ascii="Times New Roman" w:hAnsi="Times New Roman"/>
          <w:b/>
          <w:sz w:val="20"/>
          <w:szCs w:val="20"/>
        </w:rPr>
      </w:pPr>
      <w:r>
        <w:rPr>
          <w:rFonts w:ascii="Times New Roman" w:hAnsi="Times New Roman"/>
          <w:noProof/>
          <w:sz w:val="20"/>
          <w:szCs w:val="20"/>
          <w:lang w:val="en-MY" w:eastAsia="en-MY" w:bidi="ar-SA"/>
        </w:rPr>
        <w:lastRenderedPageBreak/>
        <w:drawing>
          <wp:inline distT="0" distB="0" distL="0" distR="0" wp14:anchorId="0744E166" wp14:editId="7887C25E">
            <wp:extent cx="3320401" cy="2423795"/>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3266" t="25527" r="26079" b="8528"/>
                    <a:stretch>
                      <a:fillRect/>
                    </a:stretch>
                  </pic:blipFill>
                  <pic:spPr>
                    <a:xfrm>
                      <a:off x="0" y="0"/>
                      <a:ext cx="3416478" cy="2493928"/>
                    </a:xfrm>
                    <a:prstGeom prst="rect">
                      <a:avLst/>
                    </a:prstGeom>
                    <a:ln/>
                  </pic:spPr>
                </pic:pic>
              </a:graphicData>
            </a:graphic>
          </wp:inline>
        </w:drawing>
      </w:r>
    </w:p>
    <w:p w:rsidR="000B3410" w:rsidRDefault="000B3410" w:rsidP="000B3410">
      <w:pPr>
        <w:spacing w:before="240" w:after="0" w:line="240" w:lineRule="auto"/>
        <w:ind w:left="851" w:hanging="851"/>
        <w:jc w:val="both"/>
        <w:rPr>
          <w:rFonts w:ascii="Times New Roman" w:hAnsi="Times New Roman"/>
          <w:sz w:val="20"/>
          <w:szCs w:val="20"/>
        </w:rPr>
      </w:pPr>
      <w:r>
        <w:rPr>
          <w:rFonts w:ascii="Times New Roman" w:hAnsi="Times New Roman"/>
          <w:sz w:val="20"/>
          <w:szCs w:val="20"/>
        </w:rPr>
        <w:t>Figure 2.  The voltammetry Metrohm Model VA 797 instrument used in dissolved aluminum (dAl) in seawater by using hanging mercury drop electrode (HMDE) as working electrode 1 M KCl, with a platinum wire as the counter electrode. The drop surface area of the HDME was 0.45 mm</w:t>
      </w:r>
      <w:r>
        <w:rPr>
          <w:rFonts w:ascii="Times New Roman" w:hAnsi="Times New Roman"/>
          <w:sz w:val="20"/>
          <w:szCs w:val="20"/>
          <w:vertAlign w:val="superscript"/>
        </w:rPr>
        <w:t>2</w:t>
      </w:r>
      <w:r>
        <w:rPr>
          <w:rFonts w:ascii="Times New Roman" w:hAnsi="Times New Roman"/>
          <w:sz w:val="20"/>
          <w:szCs w:val="20"/>
        </w:rPr>
        <w:t>. A rotating PTFE rod was used to stir the solutions during the deposition step</w:t>
      </w:r>
    </w:p>
    <w:p w:rsidR="000B3410" w:rsidRDefault="000B3410" w:rsidP="000B3410">
      <w:pPr>
        <w:spacing w:after="0" w:line="240" w:lineRule="auto"/>
        <w:jc w:val="both"/>
        <w:rPr>
          <w:rFonts w:ascii="Times New Roman" w:hAnsi="Times New Roman"/>
          <w:sz w:val="20"/>
          <w:szCs w:val="20"/>
        </w:rPr>
      </w:pPr>
    </w:p>
    <w:p w:rsidR="000B3410" w:rsidRDefault="000B3410" w:rsidP="00E47EC6">
      <w:pPr>
        <w:spacing w:after="120" w:line="240" w:lineRule="auto"/>
        <w:jc w:val="both"/>
        <w:rPr>
          <w:rFonts w:ascii="Times New Roman" w:hAnsi="Times New Roman"/>
          <w:sz w:val="20"/>
          <w:szCs w:val="20"/>
        </w:rPr>
      </w:pPr>
      <w:bookmarkStart w:id="1" w:name="_gjdgxs" w:colFirst="0" w:colLast="0"/>
      <w:bookmarkEnd w:id="1"/>
    </w:p>
    <w:p w:rsidR="000B3410" w:rsidRDefault="000B3410" w:rsidP="000B3410">
      <w:pPr>
        <w:spacing w:after="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0B3898D2" wp14:editId="154B6FC2">
            <wp:extent cx="2555121" cy="1237646"/>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555121" cy="1237646"/>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0A0B1330" wp14:editId="65EBC445">
            <wp:extent cx="2563563" cy="1241735"/>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563563" cy="1241735"/>
                    </a:xfrm>
                    <a:prstGeom prst="rect">
                      <a:avLst/>
                    </a:prstGeom>
                    <a:ln/>
                  </pic:spPr>
                </pic:pic>
              </a:graphicData>
            </a:graphic>
          </wp:inline>
        </w:drawing>
      </w:r>
    </w:p>
    <w:p w:rsidR="000B3410" w:rsidRDefault="000B3410" w:rsidP="000B3410">
      <w:pPr>
        <w:spacing w:after="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20D56EE0" wp14:editId="370B38C1">
            <wp:extent cx="2619154" cy="1303707"/>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619154" cy="1303707"/>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448D127D" wp14:editId="730B1F19">
            <wp:extent cx="2633099" cy="1298969"/>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633099" cy="1298969"/>
                    </a:xfrm>
                    <a:prstGeom prst="rect">
                      <a:avLst/>
                    </a:prstGeom>
                    <a:ln/>
                  </pic:spPr>
                </pic:pic>
              </a:graphicData>
            </a:graphic>
          </wp:inline>
        </w:drawing>
      </w:r>
    </w:p>
    <w:p w:rsidR="000B3410" w:rsidRDefault="000B3410" w:rsidP="000B3410">
      <w:pPr>
        <w:spacing w:before="240" w:after="0" w:line="240" w:lineRule="auto"/>
        <w:ind w:left="851" w:hanging="851"/>
        <w:jc w:val="both"/>
        <w:rPr>
          <w:rFonts w:ascii="Times New Roman" w:hAnsi="Times New Roman"/>
          <w:sz w:val="20"/>
          <w:szCs w:val="20"/>
        </w:rPr>
      </w:pPr>
      <w:r>
        <w:rPr>
          <w:rFonts w:ascii="Times New Roman" w:hAnsi="Times New Roman"/>
          <w:sz w:val="20"/>
          <w:szCs w:val="20"/>
        </w:rPr>
        <w:t xml:space="preserve">Figure 3. </w:t>
      </w:r>
      <w:r w:rsidR="00034466">
        <w:rPr>
          <w:rFonts w:ascii="Times New Roman" w:hAnsi="Times New Roman"/>
          <w:sz w:val="20"/>
          <w:szCs w:val="20"/>
        </w:rPr>
        <w:tab/>
      </w:r>
      <w:r>
        <w:rPr>
          <w:rFonts w:ascii="Times New Roman" w:hAnsi="Times New Roman"/>
          <w:sz w:val="20"/>
          <w:szCs w:val="20"/>
        </w:rPr>
        <w:t>Voltammogram of Al peak under differential pulse mode from seawater sample from St. 3, St. 4 and St.5 at Pulau Perhentian, Terengganu. Voltammetric parameters: deposition time 120 s; deposition potential -1.1 V and start potential -0.15 V</w:t>
      </w:r>
    </w:p>
    <w:p w:rsidR="006768E9" w:rsidRDefault="006768E9" w:rsidP="00E47EC6">
      <w:pPr>
        <w:spacing w:after="120" w:line="240" w:lineRule="auto"/>
        <w:jc w:val="both"/>
        <w:rPr>
          <w:rFonts w:ascii="Times New Roman" w:hAnsi="Times New Roman"/>
          <w:noProof/>
          <w:sz w:val="20"/>
          <w:szCs w:val="20"/>
          <w:lang w:bidi="ar-SA"/>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Data for dAl was compared between both sampling periods (November 2015 and April 2016) in order to identify the possible influence of Northeast monsoon on dAl distribution on the surface and throughout the water column. Our sampling during November 2015 and April 2016 was represented as pre-monsoon and post-monsoon events, respectively. </w:t>
      </w:r>
    </w:p>
    <w:p w:rsidR="00E47EC6" w:rsidRDefault="00E47EC6" w:rsidP="00E47EC6">
      <w:pPr>
        <w:spacing w:after="120" w:line="240" w:lineRule="auto"/>
        <w:jc w:val="both"/>
        <w:rPr>
          <w:rFonts w:ascii="Times New Roman" w:hAnsi="Times New Roman"/>
          <w:noProof/>
          <w:sz w:val="20"/>
          <w:szCs w:val="20"/>
          <w:lang w:bidi="ar-SA"/>
        </w:rPr>
      </w:pPr>
    </w:p>
    <w:p w:rsidR="00E47EC6" w:rsidRPr="00E47EC6" w:rsidRDefault="00E47EC6" w:rsidP="00E47EC6">
      <w:pPr>
        <w:spacing w:after="0" w:line="240" w:lineRule="auto"/>
        <w:jc w:val="center"/>
        <w:rPr>
          <w:rFonts w:ascii="Times New Roman" w:hAnsi="Times New Roman"/>
          <w:b/>
          <w:sz w:val="20"/>
          <w:szCs w:val="20"/>
        </w:rPr>
      </w:pPr>
      <w:r w:rsidRPr="00E47EC6">
        <w:rPr>
          <w:rFonts w:ascii="Times New Roman" w:hAnsi="Times New Roman"/>
          <w:b/>
          <w:sz w:val="20"/>
          <w:szCs w:val="20"/>
        </w:rPr>
        <w:lastRenderedPageBreak/>
        <w:t>Results nd Discussion</w:t>
      </w: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The concentrations of dAl in seawater were determined by cathodic stripping voltammetry, preceded by adsorptive collection of complex ions with 1,2-dihydroxyanthraquinone-3-sulphonic acid (DASA) on the hanging mercury drop electrode. Complexation of aluminium by DASA is rapid and no waiting period or heating of the sample is required. Optimal conditions are achieved with a DASA concentration of 10</w:t>
      </w:r>
      <w:r>
        <w:rPr>
          <w:rFonts w:ascii="Times New Roman" w:hAnsi="Times New Roman"/>
          <w:sz w:val="20"/>
          <w:szCs w:val="20"/>
          <w:vertAlign w:val="superscript"/>
        </w:rPr>
        <w:t>-5</w:t>
      </w:r>
      <w:r>
        <w:rPr>
          <w:rFonts w:ascii="Times New Roman" w:hAnsi="Times New Roman"/>
          <w:sz w:val="20"/>
          <w:szCs w:val="20"/>
        </w:rPr>
        <w:t xml:space="preserve"> M, a solution pH of 7.1-7.3 and an adsorption potential of -0.3 V (Figure 2). The limit of detection is 1 nM aluminium for an adsorption time of 45 s. The total time needed, including 5 minutes deaeration and a standard addition, is 10-15 minutes per sample. No serious interferences were found, and hence we did not need to apply U.V. irradiation on our samples as recommended by </w:t>
      </w:r>
      <w:r>
        <w:rPr>
          <w:rFonts w:ascii="Times New Roman" w:hAnsi="Times New Roman"/>
          <w:color w:val="000000"/>
          <w:sz w:val="20"/>
          <w:szCs w:val="20"/>
        </w:rPr>
        <w:t>Van den Berg</w:t>
      </w:r>
      <w:r>
        <w:rPr>
          <w:rFonts w:ascii="Times New Roman" w:hAnsi="Times New Roman"/>
          <w:sz w:val="20"/>
          <w:szCs w:val="20"/>
        </w:rPr>
        <w:t xml:space="preserve"> et al. [16] for samples containing high levels of organic materials.</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Our station was located at the south-east part of Pulau Perhentian, Terengganu which faces the South China Sea (Figure 1) in a transect line. Each station was located approximately 2.0 km away from another station, in order to identify the possible changes between stations. Table 1 below shows the physical parameters at each station during our sampling in April 2016.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Our data for in-situ parameters were plot throughout the column at each station, as shown in Figure 4 below. For temperature, the warmer seawater was recorded in November 2015 from surface to the bottom layer (Figure 2). It was between 29.8</w:t>
      </w:r>
      <w:r>
        <w:rPr>
          <w:rFonts w:ascii="Times New Roman" w:hAnsi="Times New Roman"/>
          <w:sz w:val="20"/>
          <w:szCs w:val="20"/>
          <w:vertAlign w:val="superscript"/>
        </w:rPr>
        <w:t>o</w:t>
      </w:r>
      <w:r>
        <w:rPr>
          <w:rFonts w:ascii="Times New Roman" w:hAnsi="Times New Roman"/>
          <w:sz w:val="20"/>
          <w:szCs w:val="20"/>
        </w:rPr>
        <w:t>C - 29.9</w:t>
      </w:r>
      <w:r>
        <w:rPr>
          <w:rFonts w:ascii="Times New Roman" w:hAnsi="Times New Roman"/>
          <w:sz w:val="20"/>
          <w:szCs w:val="20"/>
          <w:vertAlign w:val="superscript"/>
        </w:rPr>
        <w:t>o</w:t>
      </w:r>
      <w:r>
        <w:rPr>
          <w:rFonts w:ascii="Times New Roman" w:hAnsi="Times New Roman"/>
          <w:sz w:val="20"/>
          <w:szCs w:val="20"/>
        </w:rPr>
        <w:t>C during November 2015 and 29.3</w:t>
      </w:r>
      <w:r>
        <w:rPr>
          <w:rFonts w:ascii="Times New Roman" w:hAnsi="Times New Roman"/>
          <w:sz w:val="20"/>
          <w:szCs w:val="20"/>
          <w:vertAlign w:val="superscript"/>
        </w:rPr>
        <w:t>o</w:t>
      </w:r>
      <w:r>
        <w:rPr>
          <w:rFonts w:ascii="Times New Roman" w:hAnsi="Times New Roman"/>
          <w:sz w:val="20"/>
          <w:szCs w:val="20"/>
        </w:rPr>
        <w:t>C - 29.4</w:t>
      </w:r>
      <w:r>
        <w:rPr>
          <w:rFonts w:ascii="Times New Roman" w:hAnsi="Times New Roman"/>
          <w:sz w:val="20"/>
          <w:szCs w:val="20"/>
          <w:vertAlign w:val="superscript"/>
        </w:rPr>
        <w:t>o</w:t>
      </w:r>
      <w:r>
        <w:rPr>
          <w:rFonts w:ascii="Times New Roman" w:hAnsi="Times New Roman"/>
          <w:sz w:val="20"/>
          <w:szCs w:val="20"/>
        </w:rPr>
        <w:t>C during April 2016 at St. 1 (Table 1). The low-temperature value during April 2016 might have been due to the strong land sea breeze and precipitation, as suggested by Govindasamy [17]. We also recorded a higher conductivity condition at St. 1, St. 2 and St. 3 during April 2016 throughout the water column. It was between 22.9 mS/cm - 48.3 mS/cm during November 2015, and between 62.3 mS/cm - 63.4 mS/cm during April 2016 (Table 1) at St. 1.</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The range of pH throughout the water column was 8.2-8.3 (Table 1, Figure 4) and 8.0–8.5 (Table 3, Figure 4a) during November 2015 and April 2016, respectively. This indicated that the pH throughout the water column in our study area had remained alkaline during both sampling occurrences. The difference in pH values during both the sampling periods was attributed to factors like removal of CO</w:t>
      </w:r>
      <w:r>
        <w:rPr>
          <w:rFonts w:ascii="Times New Roman" w:hAnsi="Times New Roman"/>
          <w:sz w:val="20"/>
          <w:szCs w:val="20"/>
          <w:vertAlign w:val="subscript"/>
        </w:rPr>
        <w:t>2</w:t>
      </w:r>
      <w:r>
        <w:rPr>
          <w:rFonts w:ascii="Times New Roman" w:hAnsi="Times New Roman"/>
          <w:sz w:val="20"/>
          <w:szCs w:val="20"/>
        </w:rPr>
        <w:t xml:space="preserve"> by photosynthesis through bicarbonate degradation, reduction in salinity and temperature and decomposition of organic matter [18]. A slightly constant pH was recorded during November 2015, compared to April 2016 (Figure 4).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The seawater salinity throughout our study area during November 2015 was slightly low and generally consistent (31.0-32.0 ppt) (Table 1, Figure 4), as compared to the salinity during April 2016 (37.1-39.0 ppt) (Table 1, Figure 4). This could suggest that there was an input of saline water from the South China Sea, resulting from the Northeast monsoon.</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During the Northeast monsoon in 2016, a strong El Niño episode had occurred. This episode was among the top 3 strongest episodes since 1979. The duration of this monsoon was longer than usual, in agreement with the finding that monsoons generally last longer during El Niño episodes. It happened in line with a very strong El Niño episode [29]. The wind data from February 2016 review showed pressure level at 850-hPa, indicating a stronger than normal northerly flow over South China Sea, Indochina and Borneo, which converged over the southern South China Sea, Indian Ocean, and the southern Sarawak [29]. Interestingly, a high tide phenomenon also occurred during this month at the Peninsular East Coast, as reported by the Malaysian Meteorological Department and the local news. This condition would contribute to the significantly high readings on all the in-situ parameters on April 2016.</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distribution of dissolved oxygen was observed to be more consistent during November 2015, as compared to April 2016. The range of dissolved oxygen was 5.4 mg/L - 5.9 mg/L (Table 1, Figure 4) and 3.7 mg/L - 6.3 mg/L (Table 1, Figure 4) during November 2015 and April 2016, respectively. In aquatic systems, oxygenation results from an imbalance between the process of photosynthesis, degradation of organic matter [19], and physicochemical properties of water [10, 20].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p>
    <w:p w:rsidR="00165528" w:rsidRDefault="00165528"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p>
    <w:p w:rsidR="00165528" w:rsidRDefault="00E47EC6" w:rsidP="00165528">
      <w:pPr>
        <w:spacing w:after="0" w:line="240" w:lineRule="auto"/>
        <w:ind w:left="706" w:hanging="706"/>
        <w:jc w:val="center"/>
        <w:rPr>
          <w:rFonts w:ascii="Times New Roman" w:hAnsi="Times New Roman"/>
          <w:sz w:val="20"/>
          <w:szCs w:val="20"/>
        </w:rPr>
      </w:pPr>
      <w:r>
        <w:rPr>
          <w:rFonts w:ascii="Times New Roman" w:hAnsi="Times New Roman"/>
          <w:sz w:val="20"/>
          <w:szCs w:val="20"/>
        </w:rPr>
        <w:lastRenderedPageBreak/>
        <w:t xml:space="preserve">Table 1.  Physical parameters observed at stations during our sampling in November 2015 and April 2016 </w:t>
      </w:r>
    </w:p>
    <w:p w:rsidR="00E47EC6" w:rsidRDefault="00E47EC6" w:rsidP="00165528">
      <w:pPr>
        <w:spacing w:after="120" w:line="240" w:lineRule="auto"/>
        <w:ind w:left="709" w:hanging="709"/>
        <w:jc w:val="center"/>
        <w:rPr>
          <w:rFonts w:ascii="Times New Roman" w:hAnsi="Times New Roman"/>
        </w:rPr>
      </w:pPr>
      <w:r>
        <w:rPr>
          <w:rFonts w:ascii="Times New Roman" w:hAnsi="Times New Roman"/>
          <w:sz w:val="20"/>
          <w:szCs w:val="20"/>
        </w:rPr>
        <w:t>at Pulau Perhentian, Terengganu</w:t>
      </w:r>
    </w:p>
    <w:tbl>
      <w:tblPr>
        <w:tblW w:w="9720" w:type="dxa"/>
        <w:jc w:val="center"/>
        <w:tblLayout w:type="fixed"/>
        <w:tblLook w:val="0400" w:firstRow="0" w:lastRow="0" w:firstColumn="0" w:lastColumn="0" w:noHBand="0" w:noVBand="1"/>
      </w:tblPr>
      <w:tblGrid>
        <w:gridCol w:w="1185"/>
        <w:gridCol w:w="900"/>
        <w:gridCol w:w="630"/>
        <w:gridCol w:w="540"/>
        <w:gridCol w:w="540"/>
        <w:gridCol w:w="630"/>
        <w:gridCol w:w="630"/>
        <w:gridCol w:w="540"/>
        <w:gridCol w:w="630"/>
        <w:gridCol w:w="540"/>
        <w:gridCol w:w="540"/>
        <w:gridCol w:w="540"/>
        <w:gridCol w:w="885"/>
        <w:gridCol w:w="990"/>
      </w:tblGrid>
      <w:tr w:rsidR="00E47EC6" w:rsidTr="00165528">
        <w:trPr>
          <w:trHeight w:val="240"/>
          <w:jc w:val="center"/>
        </w:trPr>
        <w:tc>
          <w:tcPr>
            <w:tcW w:w="1185" w:type="dxa"/>
            <w:vMerge w:val="restart"/>
            <w:tcBorders>
              <w:top w:val="single" w:sz="4" w:space="0" w:color="auto"/>
              <w:left w:val="nil"/>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r w:rsidRPr="00EE416D">
              <w:rPr>
                <w:rFonts w:ascii="Times New Roman" w:hAnsi="Times New Roman"/>
                <w:b/>
                <w:color w:val="000000"/>
                <w:sz w:val="14"/>
                <w:szCs w:val="14"/>
              </w:rPr>
              <w:t>Station (</w:t>
            </w:r>
            <w:r>
              <w:rPr>
                <w:rFonts w:ascii="Times New Roman" w:hAnsi="Times New Roman"/>
                <w:b/>
                <w:color w:val="000000"/>
                <w:sz w:val="14"/>
                <w:szCs w:val="14"/>
              </w:rPr>
              <w:t>D</w:t>
            </w:r>
            <w:r w:rsidRPr="00EE416D">
              <w:rPr>
                <w:rFonts w:ascii="Times New Roman" w:hAnsi="Times New Roman"/>
                <w:b/>
                <w:color w:val="000000"/>
                <w:sz w:val="14"/>
                <w:szCs w:val="14"/>
              </w:rPr>
              <w:t>epth)</w:t>
            </w:r>
          </w:p>
          <w:p w:rsidR="00E47EC6" w:rsidRPr="00EE416D" w:rsidRDefault="00E47EC6" w:rsidP="00165528">
            <w:pPr>
              <w:spacing w:after="120" w:line="240" w:lineRule="auto"/>
              <w:rPr>
                <w:rFonts w:ascii="Times New Roman" w:hAnsi="Times New Roman"/>
                <w:b/>
                <w:color w:val="000000"/>
                <w:sz w:val="14"/>
                <w:szCs w:val="14"/>
              </w:rPr>
            </w:pPr>
            <w:r w:rsidRPr="00EE416D">
              <w:rPr>
                <w:rFonts w:ascii="Times New Roman" w:hAnsi="Times New Roman"/>
                <w:b/>
                <w:color w:val="000000"/>
                <w:sz w:val="14"/>
                <w:szCs w:val="14"/>
              </w:rPr>
              <w:t>Coordinate</w:t>
            </w:r>
          </w:p>
        </w:tc>
        <w:tc>
          <w:tcPr>
            <w:tcW w:w="900" w:type="dxa"/>
            <w:vMerge w:val="restart"/>
            <w:tcBorders>
              <w:top w:val="single" w:sz="4" w:space="0" w:color="auto"/>
              <w:left w:val="nil"/>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r w:rsidRPr="00EE416D">
              <w:rPr>
                <w:rFonts w:ascii="Times New Roman" w:hAnsi="Times New Roman"/>
                <w:b/>
                <w:color w:val="000000"/>
                <w:sz w:val="14"/>
                <w:szCs w:val="14"/>
              </w:rPr>
              <w:t xml:space="preserve">Sample </w:t>
            </w:r>
          </w:p>
          <w:p w:rsidR="00E47EC6" w:rsidRPr="00EE416D" w:rsidRDefault="00E47EC6" w:rsidP="00165528">
            <w:pPr>
              <w:spacing w:after="120" w:line="240" w:lineRule="auto"/>
              <w:rPr>
                <w:rFonts w:ascii="Times New Roman" w:hAnsi="Times New Roman"/>
                <w:b/>
                <w:color w:val="000000"/>
                <w:sz w:val="14"/>
                <w:szCs w:val="14"/>
              </w:rPr>
            </w:pPr>
            <w:r>
              <w:rPr>
                <w:rFonts w:ascii="Times New Roman" w:hAnsi="Times New Roman"/>
                <w:b/>
                <w:color w:val="000000"/>
                <w:sz w:val="14"/>
                <w:szCs w:val="14"/>
              </w:rPr>
              <w:t xml:space="preserve"> D</w:t>
            </w:r>
            <w:r w:rsidRPr="00EE416D">
              <w:rPr>
                <w:rFonts w:ascii="Times New Roman" w:hAnsi="Times New Roman"/>
                <w:b/>
                <w:color w:val="000000"/>
                <w:sz w:val="14"/>
                <w:szCs w:val="14"/>
              </w:rPr>
              <w:t>epth (m)</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Temp. (°C)</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Cond.</w:t>
            </w:r>
            <w:r>
              <w:rPr>
                <w:rFonts w:ascii="Times New Roman" w:hAnsi="Times New Roman"/>
                <w:b/>
                <w:color w:val="000000"/>
                <w:sz w:val="14"/>
                <w:szCs w:val="14"/>
              </w:rPr>
              <w:t xml:space="preserve"> </w:t>
            </w:r>
            <w:r w:rsidRPr="00EE416D">
              <w:rPr>
                <w:rFonts w:ascii="Times New Roman" w:hAnsi="Times New Roman"/>
                <w:b/>
                <w:color w:val="000000"/>
                <w:sz w:val="14"/>
                <w:szCs w:val="14"/>
              </w:rPr>
              <w:t>(mS/cm)</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pH</w:t>
            </w:r>
          </w:p>
        </w:tc>
        <w:tc>
          <w:tcPr>
            <w:tcW w:w="117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Salinity</w:t>
            </w:r>
            <w:r>
              <w:rPr>
                <w:rFonts w:ascii="Times New Roman" w:hAnsi="Times New Roman"/>
                <w:b/>
                <w:color w:val="000000"/>
                <w:sz w:val="14"/>
                <w:szCs w:val="14"/>
              </w:rPr>
              <w:t xml:space="preserve"> (ppt)</w:t>
            </w:r>
          </w:p>
        </w:tc>
        <w:tc>
          <w:tcPr>
            <w:tcW w:w="1080"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DO (mg/L)</w:t>
            </w:r>
          </w:p>
        </w:tc>
        <w:tc>
          <w:tcPr>
            <w:tcW w:w="1875" w:type="dxa"/>
            <w:gridSpan w:val="2"/>
            <w:tcBorders>
              <w:top w:val="single" w:sz="4" w:space="0" w:color="auto"/>
              <w:left w:val="nil"/>
              <w:bottom w:val="nil"/>
              <w:right w:val="nil"/>
            </w:tcBorders>
            <w:shd w:val="clear" w:color="auto" w:fill="auto"/>
            <w:vAlign w:val="bottom"/>
          </w:tcPr>
          <w:p w:rsidR="00E47EC6" w:rsidRPr="00EE416D" w:rsidRDefault="00E47EC6" w:rsidP="00165528">
            <w:pPr>
              <w:spacing w:after="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dAl conc. (μg/L)</w:t>
            </w:r>
          </w:p>
        </w:tc>
      </w:tr>
      <w:tr w:rsidR="00E47EC6" w:rsidTr="00165528">
        <w:trPr>
          <w:trHeight w:val="260"/>
          <w:jc w:val="center"/>
        </w:trPr>
        <w:tc>
          <w:tcPr>
            <w:tcW w:w="1185" w:type="dxa"/>
            <w:vMerge/>
            <w:tcBorders>
              <w:left w:val="nil"/>
              <w:bottom w:val="single" w:sz="4" w:space="0" w:color="auto"/>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p>
        </w:tc>
        <w:tc>
          <w:tcPr>
            <w:tcW w:w="900" w:type="dxa"/>
            <w:vMerge/>
            <w:tcBorders>
              <w:left w:val="nil"/>
              <w:bottom w:val="single" w:sz="4" w:space="0" w:color="auto"/>
              <w:right w:val="nil"/>
            </w:tcBorders>
            <w:shd w:val="clear" w:color="auto" w:fill="auto"/>
            <w:vAlign w:val="bottom"/>
          </w:tcPr>
          <w:p w:rsidR="00E47EC6" w:rsidRPr="00EE416D" w:rsidRDefault="00E47EC6" w:rsidP="00165528">
            <w:pPr>
              <w:spacing w:after="0" w:line="240" w:lineRule="auto"/>
              <w:rPr>
                <w:rFonts w:ascii="Times New Roman" w:hAnsi="Times New Roman"/>
                <w:b/>
                <w:color w:val="000000"/>
                <w:sz w:val="14"/>
                <w:szCs w:val="14"/>
              </w:rPr>
            </w:pP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63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54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c>
          <w:tcPr>
            <w:tcW w:w="885"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Nov. 15</w:t>
            </w:r>
          </w:p>
        </w:tc>
        <w:tc>
          <w:tcPr>
            <w:tcW w:w="990" w:type="dxa"/>
            <w:tcBorders>
              <w:top w:val="nil"/>
              <w:left w:val="nil"/>
              <w:bottom w:val="single" w:sz="4" w:space="0" w:color="auto"/>
              <w:right w:val="nil"/>
            </w:tcBorders>
            <w:shd w:val="clear" w:color="auto" w:fill="auto"/>
            <w:vAlign w:val="bottom"/>
          </w:tcPr>
          <w:p w:rsidR="00E47EC6" w:rsidRPr="00EE416D" w:rsidRDefault="00E47EC6" w:rsidP="00165528">
            <w:pPr>
              <w:spacing w:after="60" w:line="240" w:lineRule="auto"/>
              <w:jc w:val="center"/>
              <w:rPr>
                <w:rFonts w:ascii="Times New Roman" w:hAnsi="Times New Roman"/>
                <w:b/>
                <w:color w:val="000000"/>
                <w:sz w:val="14"/>
                <w:szCs w:val="14"/>
              </w:rPr>
            </w:pPr>
            <w:r w:rsidRPr="00EE416D">
              <w:rPr>
                <w:rFonts w:ascii="Times New Roman" w:hAnsi="Times New Roman"/>
                <w:b/>
                <w:color w:val="000000"/>
                <w:sz w:val="14"/>
                <w:szCs w:val="14"/>
              </w:rPr>
              <w:t>Apr. 16</w:t>
            </w:r>
          </w:p>
        </w:tc>
      </w:tr>
      <w:tr w:rsidR="00E47EC6" w:rsidTr="00165528">
        <w:trPr>
          <w:trHeight w:val="260"/>
          <w:jc w:val="center"/>
        </w:trPr>
        <w:tc>
          <w:tcPr>
            <w:tcW w:w="11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 (45.0 m)</w:t>
            </w:r>
          </w:p>
        </w:tc>
        <w:tc>
          <w:tcPr>
            <w:tcW w:w="90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29.8</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28.7</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w:t>
            </w:r>
          </w:p>
        </w:tc>
        <w:tc>
          <w:tcPr>
            <w:tcW w:w="8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98.7±0.4</w:t>
            </w:r>
          </w:p>
        </w:tc>
        <w:tc>
          <w:tcPr>
            <w:tcW w:w="99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74.1±0.2</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 xml:space="preserve">N 05⁰ 54.791' </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28.7</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38.7</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5.7</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152.6±1.2</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55.0±0.1</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50.563'</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22.9</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5.0</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150.9±0.6</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39.0±0.5</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63.2</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3.7</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208.4±0.9</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40.7±0.0</w:t>
            </w:r>
          </w:p>
        </w:tc>
      </w:tr>
      <w:tr w:rsidR="00E47EC6" w:rsidTr="00165528">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30</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31.4</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62.3</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32.0</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5.5</w:t>
            </w:r>
          </w:p>
        </w:tc>
        <w:tc>
          <w:tcPr>
            <w:tcW w:w="8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123.3±0.8</w:t>
            </w:r>
          </w:p>
        </w:tc>
        <w:tc>
          <w:tcPr>
            <w:tcW w:w="99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68.6±0.8</w:t>
            </w:r>
          </w:p>
        </w:tc>
      </w:tr>
      <w:tr w:rsidR="00E47EC6" w:rsidTr="00165528">
        <w:trPr>
          <w:trHeight w:val="240"/>
          <w:jc w:val="center"/>
        </w:trPr>
        <w:tc>
          <w:tcPr>
            <w:tcW w:w="11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 (40.2m)</w:t>
            </w:r>
          </w:p>
        </w:tc>
        <w:tc>
          <w:tcPr>
            <w:tcW w:w="90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47.9</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63.0</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5.0</w:t>
            </w:r>
          </w:p>
        </w:tc>
        <w:tc>
          <w:tcPr>
            <w:tcW w:w="8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92.4±0.4</w:t>
            </w:r>
          </w:p>
        </w:tc>
        <w:tc>
          <w:tcPr>
            <w:tcW w:w="99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32.7±0.2</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N 05⁰ 54.207'</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47.7</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3.5</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117.5±0.4</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23.0±0.2</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50.477'</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47.8</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39.0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256.3±2.9</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13.1±0.5</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62.4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37.4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80.7±1.2</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39.0±0.0</w:t>
            </w:r>
          </w:p>
        </w:tc>
      </w:tr>
      <w:tr w:rsidR="00E47EC6" w:rsidTr="00165528">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30</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28.9</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62.1</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38.3</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4.4</w:t>
            </w:r>
          </w:p>
        </w:tc>
        <w:tc>
          <w:tcPr>
            <w:tcW w:w="8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22.0±0.4</w:t>
            </w:r>
          </w:p>
        </w:tc>
      </w:tr>
      <w:tr w:rsidR="00E47EC6" w:rsidTr="00165528">
        <w:trPr>
          <w:trHeight w:val="240"/>
          <w:jc w:val="center"/>
        </w:trPr>
        <w:tc>
          <w:tcPr>
            <w:tcW w:w="11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 (36.5m)</w:t>
            </w:r>
          </w:p>
        </w:tc>
        <w:tc>
          <w:tcPr>
            <w:tcW w:w="90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30.2</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29.7</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47.8</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8.0</w:t>
            </w:r>
          </w:p>
        </w:tc>
        <w:tc>
          <w:tcPr>
            <w:tcW w:w="63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w:t>
            </w:r>
          </w:p>
        </w:tc>
        <w:tc>
          <w:tcPr>
            <w:tcW w:w="885"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88.0±1.8</w:t>
            </w:r>
          </w:p>
        </w:tc>
        <w:tc>
          <w:tcPr>
            <w:tcW w:w="990" w:type="dxa"/>
            <w:tcBorders>
              <w:top w:val="single" w:sz="4" w:space="0" w:color="auto"/>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167.3±1.0</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 xml:space="preserve">N 05⁰ 53.410' </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29.6</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43.8</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4.9</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43.4±0.2</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150.2±1.7</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49.525'</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29.6</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4.5</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59.4±1.0</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77.7±1.4</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29.7</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4.5</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112.1±0.6</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34.0±0.0</w:t>
            </w:r>
          </w:p>
        </w:tc>
      </w:tr>
      <w:tr w:rsidR="00E47EC6" w:rsidTr="00165528">
        <w:trPr>
          <w:trHeight w:val="240"/>
          <w:jc w:val="center"/>
        </w:trPr>
        <w:tc>
          <w:tcPr>
            <w:tcW w:w="1185"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30</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29.2</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62.6</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4.6</w:t>
            </w:r>
          </w:p>
        </w:tc>
        <w:tc>
          <w:tcPr>
            <w:tcW w:w="885"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000000"/>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52.4±0.7</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4 (33.30m)</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33.3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30.8</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6.1</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16.2±0.4</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50.8±0.3</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N 05⁰ 53.227'</w:t>
            </w:r>
          </w:p>
        </w:tc>
        <w:tc>
          <w:tcPr>
            <w:tcW w:w="900" w:type="dxa"/>
            <w:tcBorders>
              <w:top w:val="nil"/>
              <w:left w:val="nil"/>
              <w:bottom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33.0</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47.7</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30.9</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38.3</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4.6</w:t>
            </w:r>
          </w:p>
        </w:tc>
        <w:tc>
          <w:tcPr>
            <w:tcW w:w="885"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22.7±0.1</w:t>
            </w:r>
          </w:p>
        </w:tc>
        <w:tc>
          <w:tcPr>
            <w:tcW w:w="990" w:type="dxa"/>
            <w:tcBorders>
              <w:top w:val="nil"/>
              <w:left w:val="nil"/>
              <w:bottom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47.4±0.3</w:t>
            </w:r>
          </w:p>
        </w:tc>
      </w:tr>
      <w:tr w:rsidR="00E47EC6" w:rsidTr="00183E51">
        <w:trPr>
          <w:trHeight w:val="240"/>
          <w:jc w:val="center"/>
        </w:trPr>
        <w:tc>
          <w:tcPr>
            <w:tcW w:w="1185" w:type="dxa"/>
            <w:tcBorders>
              <w:top w:val="nil"/>
              <w:left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48.344'</w:t>
            </w:r>
          </w:p>
        </w:tc>
        <w:tc>
          <w:tcPr>
            <w:tcW w:w="900" w:type="dxa"/>
            <w:tcBorders>
              <w:top w:val="nil"/>
              <w:left w:val="nil"/>
              <w:right w:val="nil"/>
            </w:tcBorders>
            <w:shd w:val="clear" w:color="auto" w:fill="auto"/>
            <w:vAlign w:val="bottom"/>
          </w:tcPr>
          <w:p w:rsidR="00E47EC6" w:rsidRDefault="00E47EC6" w:rsidP="00165528">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33.1</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47.8</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63.0</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38.2</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5.4</w:t>
            </w:r>
          </w:p>
        </w:tc>
        <w:tc>
          <w:tcPr>
            <w:tcW w:w="54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w:t>
            </w:r>
          </w:p>
        </w:tc>
        <w:tc>
          <w:tcPr>
            <w:tcW w:w="885"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23.5±0.2</w:t>
            </w:r>
          </w:p>
        </w:tc>
        <w:tc>
          <w:tcPr>
            <w:tcW w:w="990" w:type="dxa"/>
            <w:tcBorders>
              <w:top w:val="nil"/>
              <w:left w:val="nil"/>
              <w:right w:val="nil"/>
            </w:tcBorders>
            <w:shd w:val="clear" w:color="auto" w:fill="auto"/>
            <w:vAlign w:val="bottom"/>
          </w:tcPr>
          <w:p w:rsidR="00E47EC6" w:rsidRDefault="00E47EC6" w:rsidP="00165528">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65.6±0.8</w:t>
            </w:r>
          </w:p>
        </w:tc>
      </w:tr>
      <w:tr w:rsidR="00E47EC6" w:rsidTr="00183E51">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29.5</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62.5</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8.1</w:t>
            </w:r>
          </w:p>
        </w:tc>
        <w:tc>
          <w:tcPr>
            <w:tcW w:w="63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38.2</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4.4</w:t>
            </w:r>
          </w:p>
        </w:tc>
        <w:tc>
          <w:tcPr>
            <w:tcW w:w="885"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auto"/>
              <w:right w:val="nil"/>
            </w:tcBorders>
            <w:shd w:val="clear" w:color="auto" w:fill="auto"/>
            <w:vAlign w:val="bottom"/>
          </w:tcPr>
          <w:p w:rsidR="00E47EC6" w:rsidRDefault="00E47EC6" w:rsidP="00165528">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114.9±0.6</w:t>
            </w:r>
          </w:p>
        </w:tc>
      </w:tr>
      <w:tr w:rsidR="00E47EC6" w:rsidTr="00183E51">
        <w:trPr>
          <w:trHeight w:val="240"/>
          <w:jc w:val="center"/>
        </w:trPr>
        <w:tc>
          <w:tcPr>
            <w:tcW w:w="1185"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5 (29.1m)</w:t>
            </w:r>
          </w:p>
        </w:tc>
        <w:tc>
          <w:tcPr>
            <w:tcW w:w="90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3</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29.8</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30.1</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47.9</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63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6.4</w:t>
            </w:r>
          </w:p>
        </w:tc>
        <w:tc>
          <w:tcPr>
            <w:tcW w:w="54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4.4</w:t>
            </w:r>
          </w:p>
        </w:tc>
        <w:tc>
          <w:tcPr>
            <w:tcW w:w="885"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31.1±0.5</w:t>
            </w:r>
          </w:p>
        </w:tc>
        <w:tc>
          <w:tcPr>
            <w:tcW w:w="990" w:type="dxa"/>
            <w:tcBorders>
              <w:top w:val="single" w:sz="4" w:space="0" w:color="auto"/>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31.0±0.3</w:t>
            </w:r>
          </w:p>
        </w:tc>
      </w:tr>
      <w:tr w:rsidR="00E47EC6" w:rsidTr="00165528">
        <w:trPr>
          <w:trHeight w:val="240"/>
          <w:jc w:val="center"/>
        </w:trPr>
        <w:tc>
          <w:tcPr>
            <w:tcW w:w="1185" w:type="dxa"/>
            <w:tcBorders>
              <w:top w:val="nil"/>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 xml:space="preserve">N 05⁰ 52.746' </w:t>
            </w:r>
          </w:p>
        </w:tc>
        <w:tc>
          <w:tcPr>
            <w:tcW w:w="900" w:type="dxa"/>
            <w:tcBorders>
              <w:top w:val="nil"/>
              <w:left w:val="nil"/>
              <w:bottom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6</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29.0</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30.0</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48.0</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8.3</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8.5</w:t>
            </w:r>
          </w:p>
        </w:tc>
        <w:tc>
          <w:tcPr>
            <w:tcW w:w="63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31.1</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38.4</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6.4</w:t>
            </w:r>
          </w:p>
        </w:tc>
        <w:tc>
          <w:tcPr>
            <w:tcW w:w="54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5.8</w:t>
            </w:r>
          </w:p>
        </w:tc>
        <w:tc>
          <w:tcPr>
            <w:tcW w:w="885"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32.4±0.8</w:t>
            </w:r>
          </w:p>
        </w:tc>
        <w:tc>
          <w:tcPr>
            <w:tcW w:w="990" w:type="dxa"/>
            <w:tcBorders>
              <w:top w:val="nil"/>
              <w:left w:val="nil"/>
              <w:bottom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31.7±0.0</w:t>
            </w:r>
          </w:p>
        </w:tc>
      </w:tr>
      <w:tr w:rsidR="00E47EC6" w:rsidTr="00183E51">
        <w:trPr>
          <w:trHeight w:val="240"/>
          <w:jc w:val="center"/>
        </w:trPr>
        <w:tc>
          <w:tcPr>
            <w:tcW w:w="1185" w:type="dxa"/>
            <w:tcBorders>
              <w:top w:val="nil"/>
              <w:left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E 102⁰ 47.048'</w:t>
            </w:r>
          </w:p>
        </w:tc>
        <w:tc>
          <w:tcPr>
            <w:tcW w:w="900" w:type="dxa"/>
            <w:tcBorders>
              <w:top w:val="nil"/>
              <w:left w:val="nil"/>
              <w:right w:val="nil"/>
            </w:tcBorders>
            <w:shd w:val="clear" w:color="auto" w:fill="auto"/>
            <w:vAlign w:val="bottom"/>
          </w:tcPr>
          <w:p w:rsidR="00E47EC6" w:rsidRDefault="00E47EC6" w:rsidP="00183E51">
            <w:pPr>
              <w:spacing w:before="60" w:after="0" w:line="240" w:lineRule="auto"/>
              <w:rPr>
                <w:rFonts w:ascii="Times New Roman" w:hAnsi="Times New Roman"/>
                <w:color w:val="000000"/>
                <w:sz w:val="16"/>
                <w:szCs w:val="16"/>
              </w:rPr>
            </w:pPr>
            <w:r>
              <w:rPr>
                <w:rFonts w:ascii="Times New Roman" w:hAnsi="Times New Roman"/>
                <w:color w:val="000000"/>
                <w:sz w:val="16"/>
                <w:szCs w:val="16"/>
              </w:rPr>
              <w:t>15</w:t>
            </w: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29.7</w:t>
            </w: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63.4</w:t>
            </w: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8.4</w:t>
            </w:r>
          </w:p>
        </w:tc>
        <w:tc>
          <w:tcPr>
            <w:tcW w:w="63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54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4.5</w:t>
            </w:r>
          </w:p>
        </w:tc>
        <w:tc>
          <w:tcPr>
            <w:tcW w:w="885"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p>
        </w:tc>
        <w:tc>
          <w:tcPr>
            <w:tcW w:w="990" w:type="dxa"/>
            <w:tcBorders>
              <w:top w:val="nil"/>
              <w:left w:val="nil"/>
              <w:right w:val="nil"/>
            </w:tcBorders>
            <w:shd w:val="clear" w:color="auto" w:fill="auto"/>
            <w:vAlign w:val="bottom"/>
          </w:tcPr>
          <w:p w:rsidR="00E47EC6" w:rsidRDefault="00E47EC6" w:rsidP="00183E51">
            <w:pPr>
              <w:spacing w:before="60" w:after="0" w:line="240" w:lineRule="auto"/>
              <w:jc w:val="center"/>
              <w:rPr>
                <w:rFonts w:ascii="Times New Roman" w:hAnsi="Times New Roman"/>
                <w:color w:val="000000"/>
                <w:sz w:val="16"/>
                <w:szCs w:val="16"/>
              </w:rPr>
            </w:pPr>
            <w:r>
              <w:rPr>
                <w:rFonts w:ascii="Times New Roman" w:hAnsi="Times New Roman"/>
                <w:color w:val="000000"/>
                <w:sz w:val="16"/>
                <w:szCs w:val="16"/>
              </w:rPr>
              <w:t>37.2±0.2</w:t>
            </w:r>
          </w:p>
        </w:tc>
      </w:tr>
      <w:tr w:rsidR="00E47EC6" w:rsidTr="00183E51">
        <w:trPr>
          <w:trHeight w:val="240"/>
          <w:jc w:val="center"/>
        </w:trPr>
        <w:tc>
          <w:tcPr>
            <w:tcW w:w="1185"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rPr>
                <w:rFonts w:ascii="Times New Roman" w:hAnsi="Times New Roman"/>
                <w:color w:val="000000"/>
                <w:sz w:val="16"/>
                <w:szCs w:val="16"/>
              </w:rPr>
            </w:pPr>
            <w:r>
              <w:rPr>
                <w:rFonts w:ascii="Times New Roman" w:hAnsi="Times New Roman"/>
                <w:color w:val="000000"/>
                <w:sz w:val="16"/>
                <w:szCs w:val="16"/>
              </w:rPr>
              <w:t> </w:t>
            </w:r>
          </w:p>
        </w:tc>
        <w:tc>
          <w:tcPr>
            <w:tcW w:w="90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rPr>
                <w:rFonts w:ascii="Times New Roman" w:hAnsi="Times New Roman"/>
                <w:color w:val="000000"/>
                <w:sz w:val="16"/>
                <w:szCs w:val="16"/>
              </w:rPr>
            </w:pPr>
            <w:r>
              <w:rPr>
                <w:rFonts w:ascii="Times New Roman" w:hAnsi="Times New Roman"/>
                <w:color w:val="000000"/>
                <w:sz w:val="16"/>
                <w:szCs w:val="16"/>
              </w:rPr>
              <w:t>20</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29.8</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63.3</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8.2</w:t>
            </w:r>
          </w:p>
        </w:tc>
        <w:tc>
          <w:tcPr>
            <w:tcW w:w="63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38.5</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54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5.3</w:t>
            </w:r>
          </w:p>
        </w:tc>
        <w:tc>
          <w:tcPr>
            <w:tcW w:w="885"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 </w:t>
            </w:r>
          </w:p>
        </w:tc>
        <w:tc>
          <w:tcPr>
            <w:tcW w:w="990" w:type="dxa"/>
            <w:tcBorders>
              <w:top w:val="nil"/>
              <w:left w:val="nil"/>
              <w:bottom w:val="single" w:sz="4" w:space="0" w:color="auto"/>
              <w:right w:val="nil"/>
            </w:tcBorders>
            <w:shd w:val="clear" w:color="auto" w:fill="auto"/>
            <w:vAlign w:val="bottom"/>
          </w:tcPr>
          <w:p w:rsidR="00E47EC6" w:rsidRDefault="00E47EC6" w:rsidP="00183E51">
            <w:pPr>
              <w:spacing w:before="60" w:after="60" w:line="240" w:lineRule="auto"/>
              <w:jc w:val="center"/>
              <w:rPr>
                <w:rFonts w:ascii="Times New Roman" w:hAnsi="Times New Roman"/>
                <w:color w:val="000000"/>
                <w:sz w:val="16"/>
                <w:szCs w:val="16"/>
              </w:rPr>
            </w:pPr>
            <w:r>
              <w:rPr>
                <w:rFonts w:ascii="Times New Roman" w:hAnsi="Times New Roman"/>
                <w:color w:val="000000"/>
                <w:sz w:val="16"/>
                <w:szCs w:val="16"/>
              </w:rPr>
              <w:t>59.4±0.7</w:t>
            </w:r>
          </w:p>
        </w:tc>
      </w:tr>
    </w:tbl>
    <w:p w:rsidR="00E47EC6" w:rsidRDefault="00E47EC6" w:rsidP="00183E51">
      <w:pPr>
        <w:spacing w:after="12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Based on our present </w:t>
      </w:r>
      <w:r>
        <w:rPr>
          <w:rFonts w:ascii="Times New Roman" w:hAnsi="Times New Roman"/>
          <w:i/>
          <w:sz w:val="20"/>
          <w:szCs w:val="20"/>
        </w:rPr>
        <w:t>in-situ</w:t>
      </w:r>
      <w:r>
        <w:rPr>
          <w:rFonts w:ascii="Times New Roman" w:hAnsi="Times New Roman"/>
          <w:sz w:val="20"/>
          <w:szCs w:val="20"/>
        </w:rPr>
        <w:t xml:space="preserve"> data, it could be suggested that the water column condition at our study area was warmer and slightly stable (less turbulence) during November 2015, as compared to its condition in April 2016, probably due to the Northeast monsoon event, as suggested by Godon and Mohamed [12].</w:t>
      </w:r>
    </w:p>
    <w:p w:rsidR="00E47EC6" w:rsidRDefault="00E47EC6" w:rsidP="00183E51">
      <w:pPr>
        <w:spacing w:after="120" w:line="240" w:lineRule="auto"/>
        <w:jc w:val="both"/>
        <w:rPr>
          <w:rFonts w:ascii="Times New Roman" w:hAnsi="Times New Roman"/>
          <w:sz w:val="20"/>
          <w:szCs w:val="20"/>
        </w:rPr>
      </w:pPr>
    </w:p>
    <w:p w:rsidR="00E47EC6" w:rsidRDefault="00E47EC6" w:rsidP="00E47EC6">
      <w:pPr>
        <w:spacing w:after="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33EF6F72" wp14:editId="03934973">
            <wp:extent cx="971520" cy="1510741"/>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971520" cy="1510741"/>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44757CDF" wp14:editId="6A444469">
            <wp:extent cx="972000" cy="1512000"/>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58016256" wp14:editId="48265030">
            <wp:extent cx="972000" cy="151200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00DF1E34" wp14:editId="0A965F6D">
            <wp:extent cx="972000" cy="1513542"/>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972000" cy="1513542"/>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45D7845B" wp14:editId="77FD7F65">
            <wp:extent cx="972000" cy="1513234"/>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972000" cy="1513234"/>
                    </a:xfrm>
                    <a:prstGeom prst="rect">
                      <a:avLst/>
                    </a:prstGeom>
                    <a:ln/>
                  </pic:spPr>
                </pic:pic>
              </a:graphicData>
            </a:graphic>
          </wp:inline>
        </w:drawing>
      </w:r>
    </w:p>
    <w:p w:rsidR="00E47EC6" w:rsidRDefault="00E47EC6" w:rsidP="00183E51">
      <w:pPr>
        <w:spacing w:after="120" w:line="240" w:lineRule="auto"/>
        <w:jc w:val="center"/>
        <w:rPr>
          <w:rFonts w:ascii="Times New Roman" w:hAnsi="Times New Roman"/>
          <w:sz w:val="20"/>
          <w:szCs w:val="20"/>
        </w:rPr>
      </w:pPr>
      <w:r>
        <w:rPr>
          <w:rFonts w:ascii="Times New Roman" w:hAnsi="Times New Roman"/>
          <w:b/>
          <w:noProof/>
          <w:sz w:val="20"/>
          <w:szCs w:val="20"/>
          <w:lang w:val="en-MY" w:eastAsia="en-MY" w:bidi="ar-SA"/>
        </w:rPr>
        <w:lastRenderedPageBreak/>
        <w:drawing>
          <wp:inline distT="0" distB="0" distL="0" distR="0" wp14:anchorId="530D303D" wp14:editId="3C00793D">
            <wp:extent cx="998220" cy="1512000"/>
            <wp:effectExtent l="0" t="0" r="0"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99822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7937F445" wp14:editId="72A2F678">
            <wp:extent cx="972000" cy="1512000"/>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70D66016" wp14:editId="6B312DFE">
            <wp:extent cx="972000" cy="1512000"/>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58BE48CE" wp14:editId="16FBF775">
            <wp:extent cx="972000" cy="1512000"/>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972000" cy="1512000"/>
                    </a:xfrm>
                    <a:prstGeom prst="rect">
                      <a:avLst/>
                    </a:prstGeom>
                    <a:ln/>
                  </pic:spPr>
                </pic:pic>
              </a:graphicData>
            </a:graphic>
          </wp:inline>
        </w:drawing>
      </w:r>
      <w:r>
        <w:rPr>
          <w:rFonts w:ascii="Times New Roman" w:hAnsi="Times New Roman"/>
          <w:noProof/>
          <w:sz w:val="20"/>
          <w:szCs w:val="20"/>
          <w:lang w:val="en-MY" w:eastAsia="en-MY" w:bidi="ar-SA"/>
        </w:rPr>
        <w:drawing>
          <wp:inline distT="0" distB="0" distL="0" distR="0" wp14:anchorId="5B50F734" wp14:editId="4C286C78">
            <wp:extent cx="972000" cy="1512000"/>
            <wp:effectExtent l="0" t="0" r="0" b="0"/>
            <wp:docPr id="5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972000" cy="1512000"/>
                    </a:xfrm>
                    <a:prstGeom prst="rect">
                      <a:avLst/>
                    </a:prstGeom>
                    <a:ln/>
                  </pic:spPr>
                </pic:pic>
              </a:graphicData>
            </a:graphic>
          </wp:inline>
        </w:drawing>
      </w:r>
    </w:p>
    <w:p w:rsidR="00E47EC6" w:rsidRDefault="00E47EC6" w:rsidP="00183E51">
      <w:pPr>
        <w:spacing w:after="0" w:line="240" w:lineRule="auto"/>
        <w:ind w:left="850" w:hanging="850"/>
        <w:jc w:val="both"/>
        <w:rPr>
          <w:rFonts w:ascii="Times New Roman" w:hAnsi="Times New Roman"/>
          <w:sz w:val="20"/>
          <w:szCs w:val="20"/>
        </w:rPr>
      </w:pPr>
      <w:r>
        <w:rPr>
          <w:rFonts w:ascii="Times New Roman" w:hAnsi="Times New Roman"/>
          <w:sz w:val="20"/>
          <w:szCs w:val="20"/>
        </w:rPr>
        <w:t xml:space="preserve">Figure 4.  </w:t>
      </w:r>
      <w:r w:rsidR="00183E51">
        <w:rPr>
          <w:rFonts w:ascii="Times New Roman" w:hAnsi="Times New Roman"/>
          <w:sz w:val="20"/>
          <w:szCs w:val="20"/>
        </w:rPr>
        <w:tab/>
      </w:r>
      <w:r w:rsidRPr="00C30263">
        <w:rPr>
          <w:rFonts w:ascii="Times New Roman" w:hAnsi="Times New Roman"/>
          <w:i/>
          <w:sz w:val="20"/>
          <w:szCs w:val="20"/>
        </w:rPr>
        <w:t>In-situ</w:t>
      </w:r>
      <w:r>
        <w:rPr>
          <w:rFonts w:ascii="Times New Roman" w:hAnsi="Times New Roman"/>
          <w:sz w:val="20"/>
          <w:szCs w:val="20"/>
        </w:rPr>
        <w:t xml:space="preserve"> parameter recorded during our sampling activities at Pulau Perhentian, Terengganu in November 2015 and April 2016</w:t>
      </w:r>
    </w:p>
    <w:p w:rsidR="00E47EC6" w:rsidRDefault="00E47EC6" w:rsidP="00183E51">
      <w:pPr>
        <w:spacing w:after="120" w:line="240" w:lineRule="auto"/>
        <w:jc w:val="both"/>
        <w:rPr>
          <w:rFonts w:ascii="Times New Roman" w:hAnsi="Times New Roman"/>
          <w:b/>
          <w:sz w:val="20"/>
          <w:szCs w:val="20"/>
        </w:rPr>
      </w:pPr>
    </w:p>
    <w:p w:rsidR="00E47EC6" w:rsidRDefault="00E47EC6" w:rsidP="00E47EC6">
      <w:pPr>
        <w:spacing w:after="0" w:line="240" w:lineRule="auto"/>
        <w:jc w:val="both"/>
        <w:rPr>
          <w:rFonts w:ascii="Times New Roman" w:hAnsi="Times New Roman"/>
          <w:b/>
          <w:sz w:val="20"/>
          <w:szCs w:val="20"/>
        </w:rPr>
      </w:pPr>
      <w:r>
        <w:rPr>
          <w:rFonts w:ascii="Times New Roman" w:hAnsi="Times New Roman"/>
          <w:b/>
          <w:sz w:val="20"/>
          <w:szCs w:val="20"/>
        </w:rPr>
        <w:t>Dissolved Aluminium (dAl) distribution</w:t>
      </w: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concentration of dAl was measured throughout the water column at our study area. The concentrations of dAl during November 2015 and April 2016 are shown in Table 1.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During November 2015, dAl ranged between 31.1 μg/L - 98.7 μg/L at the surface layer (3-meters depth) (Table 1) before it was observed to increase with depth at most of the stations (Figure 5). Its concentration was between 59.4 μg/L - 256.3 μg/L at 15-meter depth (Table 1). On the other hand, dAl concentration ranged between 30.9 μg/L - 167.3 μg/L at the surface (Table 1) and 13.1 μg/L - 77.7 μg/L at 15-meter depth (Table 1) respectively, in April 2016. This shows that the distribution of dAl throughout the water column between both sampling periods differed significantly (p&gt;0.05). During November 2015, its distribution depleted at the surface and increased with depth until the middle layer. On the other hand, its distribution was higher at surface and decreased with depth during April 2016 (Figure 5). </w:t>
      </w:r>
    </w:p>
    <w:p w:rsidR="00E47EC6" w:rsidRDefault="00E47EC6" w:rsidP="00183E51">
      <w:pPr>
        <w:spacing w:after="120" w:line="240" w:lineRule="auto"/>
        <w:jc w:val="both"/>
        <w:rPr>
          <w:rFonts w:ascii="Times New Roman" w:hAnsi="Times New Roman"/>
          <w:sz w:val="20"/>
          <w:szCs w:val="20"/>
        </w:rPr>
      </w:pPr>
    </w:p>
    <w:p w:rsidR="00E47EC6" w:rsidRDefault="00E47EC6" w:rsidP="00183E51">
      <w:pPr>
        <w:spacing w:after="12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45D6049F" wp14:editId="3E7C171C">
            <wp:extent cx="5082309" cy="1512000"/>
            <wp:effectExtent l="0" t="0" r="4445" b="0"/>
            <wp:docPr id="5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5082309" cy="1512000"/>
                    </a:xfrm>
                    <a:prstGeom prst="rect">
                      <a:avLst/>
                    </a:prstGeom>
                    <a:ln/>
                  </pic:spPr>
                </pic:pic>
              </a:graphicData>
            </a:graphic>
          </wp:inline>
        </w:drawing>
      </w:r>
    </w:p>
    <w:p w:rsidR="00E47EC6" w:rsidRDefault="00E47EC6" w:rsidP="00183E51">
      <w:pPr>
        <w:spacing w:after="0" w:line="240" w:lineRule="auto"/>
        <w:ind w:left="850" w:hanging="850"/>
        <w:jc w:val="both"/>
        <w:rPr>
          <w:rFonts w:ascii="Times New Roman" w:hAnsi="Times New Roman"/>
          <w:sz w:val="20"/>
          <w:szCs w:val="20"/>
        </w:rPr>
      </w:pPr>
      <w:r>
        <w:rPr>
          <w:rFonts w:ascii="Times New Roman" w:hAnsi="Times New Roman"/>
          <w:sz w:val="20"/>
          <w:szCs w:val="20"/>
        </w:rPr>
        <w:t xml:space="preserve">Figure 5. </w:t>
      </w:r>
      <w:r w:rsidR="00183E51">
        <w:rPr>
          <w:rFonts w:ascii="Times New Roman" w:hAnsi="Times New Roman"/>
          <w:sz w:val="20"/>
          <w:szCs w:val="20"/>
        </w:rPr>
        <w:tab/>
      </w:r>
      <w:r>
        <w:rPr>
          <w:rFonts w:ascii="Times New Roman" w:hAnsi="Times New Roman"/>
          <w:sz w:val="20"/>
          <w:szCs w:val="20"/>
        </w:rPr>
        <w:t>Distribution of dissolved aluminium (dAl) throughout the column at each station at Pulau Perhentian, Terengganu in November 2015 and April 2016</w:t>
      </w:r>
    </w:p>
    <w:p w:rsidR="00E47EC6" w:rsidRDefault="00E47EC6" w:rsidP="00183E51">
      <w:pPr>
        <w:spacing w:after="12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distribution of dAl was higher in November 2015 as compared to April 2016, throughout the water column at St. 1 and St. 2 (Figure 5). The dAl concentration in November 2015 was about 1.3-19.5 times higher than that in April 2016 at these stations (St. 1 and St. 2). The highest concentration of dAl at 15 m depth (St. 2) during November (Figure 5) was an outlier due to it being unaffected by any in-situ parameters. On the other hand, a significantly different (p&gt;0.05) distribution was recorded at St. 4 and St. 5, where its concentration was higher in April 2016 compared to that in November 2015. The concentration of dAl was about 0.3-3.3 times higher in April 2016. This indicated that a possibly huge input of Al, probably from surface sediment, had enriched its dissolved concentration throughout the water columns at St. 1 and St. 2 (Figure 5) in November 2015.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The increasing concentration of trace metals was due to the high current turbulence during the Northeast monsoon season (October-March), which led to a resuspension of surface sediment. A strong current velocity had released </w:t>
      </w:r>
      <w:r>
        <w:rPr>
          <w:rFonts w:ascii="Times New Roman" w:hAnsi="Times New Roman"/>
          <w:sz w:val="20"/>
          <w:szCs w:val="20"/>
        </w:rPr>
        <w:lastRenderedPageBreak/>
        <w:t xml:space="preserve">some metals from suspended particulate matter in the water column [8]. However, this input of Al from bottom sediments was less at stations near to the island, resulting in the low and slightly constant dAl concentrations throughout the water columns at St. 4 and St. 5 (Figure 5). According to Hydes [21], dAl is supplied from rivers and the atmosphere to the ocean surface. However, because riverine dAl is rapidly removed within estuaries, its signal in the ocean surface transported by advection-diffusion processes from coastal areas cannot be recognized. Based on our present data, there was a small difference in concentration of dAl at the surface layer (3 m depth) during both periods (Figure 5). There might have been less input from the partial dissolution of Al from atmospheric mineral dust into this area, which indicated that dissolution of aerosol aluminum was a less important source of dAl to these waters. </w:t>
      </w:r>
    </w:p>
    <w:p w:rsidR="00E47EC6" w:rsidRDefault="00E47EC6" w:rsidP="00E47EC6">
      <w:pPr>
        <w:spacing w:after="0" w:line="240" w:lineRule="auto"/>
        <w:jc w:val="both"/>
        <w:rPr>
          <w:rFonts w:ascii="Times New Roman" w:hAnsi="Times New Roman"/>
          <w:sz w:val="20"/>
          <w:szCs w:val="20"/>
        </w:rPr>
      </w:pPr>
    </w:p>
    <w:p w:rsidR="00E47EC6" w:rsidRDefault="00E47EC6" w:rsidP="00E47EC6">
      <w:pPr>
        <w:spacing w:after="0" w:line="240" w:lineRule="auto"/>
        <w:jc w:val="both"/>
        <w:rPr>
          <w:rFonts w:ascii="Times New Roman" w:hAnsi="Times New Roman"/>
          <w:sz w:val="20"/>
          <w:szCs w:val="20"/>
        </w:rPr>
      </w:pPr>
      <w:r>
        <w:rPr>
          <w:rFonts w:ascii="Times New Roman" w:hAnsi="Times New Roman"/>
          <w:sz w:val="20"/>
          <w:szCs w:val="20"/>
        </w:rPr>
        <w:t xml:space="preserve">Our present data was in line with our previous study at the area [12]. During the previous study (October 2014 and April 2015), we also recorded a similar distribution pattern of dAl throughout the water column (Figure 6). The concentration of dAl at the surface layer was low, and at a wider range in the middle depth regions, during October 2014. However, during April 2015 (Figure 6), its concentration was higher at surface layer and slightly constant in the middle depth. This could be the cause of the additional input of dAl into surface layer during April, and different distributions of dAl throughout the water columns during both sampling periods.  </w:t>
      </w:r>
    </w:p>
    <w:p w:rsidR="00E47EC6" w:rsidRDefault="00E47EC6" w:rsidP="00183E51">
      <w:pPr>
        <w:spacing w:after="120" w:line="240" w:lineRule="auto"/>
        <w:jc w:val="both"/>
        <w:rPr>
          <w:rFonts w:ascii="Times New Roman" w:hAnsi="Times New Roman"/>
          <w:sz w:val="20"/>
          <w:szCs w:val="20"/>
        </w:rPr>
      </w:pPr>
    </w:p>
    <w:p w:rsidR="00E47EC6" w:rsidRDefault="00E47EC6" w:rsidP="00183E51">
      <w:pPr>
        <w:spacing w:after="120" w:line="240" w:lineRule="auto"/>
        <w:jc w:val="center"/>
        <w:rPr>
          <w:rFonts w:ascii="Times New Roman" w:hAnsi="Times New Roman"/>
          <w:sz w:val="20"/>
          <w:szCs w:val="20"/>
        </w:rPr>
      </w:pPr>
      <w:r>
        <w:rPr>
          <w:rFonts w:ascii="Times New Roman" w:hAnsi="Times New Roman"/>
          <w:noProof/>
          <w:sz w:val="20"/>
          <w:szCs w:val="20"/>
          <w:lang w:val="en-MY" w:eastAsia="en-MY" w:bidi="ar-SA"/>
        </w:rPr>
        <w:drawing>
          <wp:inline distT="0" distB="0" distL="0" distR="0" wp14:anchorId="398F74B9" wp14:editId="4F7DB818">
            <wp:extent cx="972000" cy="1512000"/>
            <wp:effectExtent l="0" t="0" r="0" b="1206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noProof/>
          <w:sz w:val="20"/>
          <w:szCs w:val="20"/>
          <w:lang w:val="en-MY" w:eastAsia="en-MY" w:bidi="ar-SA"/>
        </w:rPr>
        <w:drawing>
          <wp:inline distT="0" distB="0" distL="0" distR="0" wp14:anchorId="250C5739" wp14:editId="657AEBC3">
            <wp:extent cx="972000" cy="1512000"/>
            <wp:effectExtent l="0" t="0" r="0" b="1206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Times New Roman" w:hAnsi="Times New Roman"/>
          <w:noProof/>
          <w:sz w:val="20"/>
          <w:szCs w:val="20"/>
          <w:lang w:val="en-MY" w:eastAsia="en-MY" w:bidi="ar-SA"/>
        </w:rPr>
        <w:drawing>
          <wp:inline distT="0" distB="0" distL="0" distR="0" wp14:anchorId="37B391AD" wp14:editId="7EE85AA8">
            <wp:extent cx="975995" cy="1512000"/>
            <wp:effectExtent l="0" t="0" r="14605"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noProof/>
          <w:sz w:val="20"/>
          <w:szCs w:val="20"/>
          <w:lang w:val="en-MY" w:eastAsia="en-MY" w:bidi="ar-SA"/>
        </w:rPr>
        <w:drawing>
          <wp:inline distT="0" distB="0" distL="0" distR="0" wp14:anchorId="32EAE3CE" wp14:editId="78322A94">
            <wp:extent cx="972000" cy="1512000"/>
            <wp:effectExtent l="0" t="0" r="0" b="1206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47EC6" w:rsidRDefault="00E47EC6" w:rsidP="00183E51">
      <w:pPr>
        <w:spacing w:after="0" w:line="240" w:lineRule="auto"/>
        <w:ind w:left="850" w:hanging="850"/>
        <w:jc w:val="both"/>
        <w:rPr>
          <w:rFonts w:ascii="Times New Roman" w:hAnsi="Times New Roman"/>
          <w:sz w:val="20"/>
          <w:szCs w:val="20"/>
        </w:rPr>
      </w:pPr>
      <w:r>
        <w:rPr>
          <w:rFonts w:ascii="Times New Roman" w:hAnsi="Times New Roman"/>
          <w:sz w:val="20"/>
          <w:szCs w:val="20"/>
        </w:rPr>
        <w:t>Figure 6.  Distribution of dAl throughout water column at our study area during November 2015 and April 2016. The distribution of dAl during October 2014 and April 2015 [12]</w:t>
      </w:r>
    </w:p>
    <w:p w:rsidR="00E47EC6" w:rsidRDefault="00E47EC6" w:rsidP="00183E51">
      <w:pPr>
        <w:spacing w:after="120" w:line="240" w:lineRule="auto"/>
        <w:ind w:left="850" w:hanging="850"/>
        <w:jc w:val="both"/>
        <w:rPr>
          <w:rFonts w:ascii="Times New Roman" w:hAnsi="Times New Roman"/>
          <w:sz w:val="20"/>
          <w:szCs w:val="20"/>
        </w:rPr>
      </w:pPr>
    </w:p>
    <w:p w:rsidR="00E47EC6" w:rsidRPr="00D66387" w:rsidRDefault="00E47EC6" w:rsidP="00E47EC6">
      <w:pPr>
        <w:spacing w:after="0" w:line="240" w:lineRule="auto"/>
        <w:jc w:val="both"/>
      </w:pPr>
      <w:r>
        <w:rPr>
          <w:rFonts w:ascii="Times New Roman" w:hAnsi="Times New Roman"/>
          <w:sz w:val="20"/>
          <w:szCs w:val="20"/>
        </w:rPr>
        <w:t xml:space="preserve">A low concentration of dAl at the surface layer and high concentration in the middle of the water column during November 2015 (Figure 6) is due to the active biological uptake by phytoplankton at surface layer and remineralization in deeper layer. Biological processes in the coastal ocean can remove dAl. Plankton incorporate significant quantities of aluminum into biological tissue [3, 22-25]. Previously, it was suggested that the dAl concentration in the oceans is controlled by biological activity and the aluminum cycles in the oceans are linked through the activity of diatoms [26]. Lewin [27] suggested that Al and Fe are necessary for the formation of diatom frustules because the adsorption of these cations onto the silica frustules renders them resistant to dissolution. According to the current study by Ramjam and Mohamed [28], they discovered that about 70% of the population was composed of phytoplankton and 30% of zooplankton. The phytoplankton composition mostly consisted of diatoms, followed by cyanobacteria and dinoflagellates. This suggests that during this period in our study area, the dAl was taken up from near-surface waters by diatoms during growth, and was then returned to the solution as dead organisms which decayed and sank through the water columns. </w:t>
      </w:r>
    </w:p>
    <w:p w:rsidR="00E47EC6" w:rsidRDefault="00E47EC6" w:rsidP="00E47EC6">
      <w:pPr>
        <w:spacing w:after="0" w:line="240" w:lineRule="auto"/>
        <w:jc w:val="both"/>
        <w:rPr>
          <w:rFonts w:ascii="Times New Roman" w:hAnsi="Times New Roman"/>
          <w:sz w:val="20"/>
          <w:szCs w:val="20"/>
        </w:rPr>
      </w:pPr>
    </w:p>
    <w:p w:rsidR="00E47EC6" w:rsidRDefault="00E47EC6" w:rsidP="00183E51">
      <w:pPr>
        <w:spacing w:after="0" w:line="240" w:lineRule="auto"/>
        <w:jc w:val="both"/>
        <w:rPr>
          <w:rFonts w:ascii="Times New Roman" w:hAnsi="Times New Roman"/>
          <w:sz w:val="20"/>
          <w:szCs w:val="20"/>
        </w:rPr>
      </w:pPr>
      <w:r>
        <w:rPr>
          <w:rFonts w:ascii="Times New Roman" w:hAnsi="Times New Roman"/>
          <w:sz w:val="20"/>
          <w:szCs w:val="20"/>
        </w:rPr>
        <w:t xml:space="preserve">The highest dAl concentration was recorded at St. 3 (167.3 μg/L; Table 1) at the surface layer during April 2016. This station is far away from the island, compared to St. 4 and St. 5 (Figure 1), which have dAl concentrations of 50.8 μg/L and 30.9 μg/L at the surface (Table 1), respectively. Interestingly, the highest dAl concentration was also recorded at the same station previously in April 2015 [12]. Based on </w:t>
      </w:r>
      <w:r w:rsidRPr="004E4792">
        <w:rPr>
          <w:rFonts w:ascii="Times New Roman" w:hAnsi="Times New Roman"/>
          <w:i/>
          <w:sz w:val="20"/>
          <w:szCs w:val="20"/>
        </w:rPr>
        <w:t>in-situ</w:t>
      </w:r>
      <w:r>
        <w:rPr>
          <w:rFonts w:ascii="Times New Roman" w:hAnsi="Times New Roman"/>
          <w:sz w:val="20"/>
          <w:szCs w:val="20"/>
        </w:rPr>
        <w:t xml:space="preserve"> parameters, St. 3 had a lower pH during April 2016 (pH=8.0, Table 1). According to Paquin [2], Al can exist as organic complexes in natural waters and it is thought to be dominated largely by the dissolved inorganic hydrolysis species Al(OH)</w:t>
      </w:r>
      <w:r>
        <w:rPr>
          <w:rFonts w:ascii="Times New Roman" w:hAnsi="Times New Roman"/>
          <w:sz w:val="20"/>
          <w:szCs w:val="20"/>
          <w:vertAlign w:val="subscript"/>
        </w:rPr>
        <w:t>2</w:t>
      </w:r>
      <w:r>
        <w:rPr>
          <w:rFonts w:ascii="Times New Roman" w:hAnsi="Times New Roman"/>
          <w:sz w:val="20"/>
          <w:szCs w:val="20"/>
          <w:vertAlign w:val="superscript"/>
        </w:rPr>
        <w:t>+</w:t>
      </w:r>
      <w:r>
        <w:rPr>
          <w:rFonts w:ascii="Times New Roman" w:hAnsi="Times New Roman"/>
          <w:sz w:val="20"/>
          <w:szCs w:val="20"/>
        </w:rPr>
        <w:t>, Al(OH)</w:t>
      </w:r>
      <w:r>
        <w:rPr>
          <w:rFonts w:ascii="Times New Roman" w:hAnsi="Times New Roman"/>
          <w:sz w:val="20"/>
          <w:szCs w:val="20"/>
          <w:vertAlign w:val="subscript"/>
        </w:rPr>
        <w:t>3</w:t>
      </w:r>
      <w:r>
        <w:rPr>
          <w:rFonts w:ascii="Times New Roman" w:hAnsi="Times New Roman"/>
          <w:sz w:val="20"/>
          <w:szCs w:val="20"/>
          <w:vertAlign w:val="superscript"/>
        </w:rPr>
        <w:t>0</w:t>
      </w:r>
      <w:r>
        <w:rPr>
          <w:rFonts w:ascii="Times New Roman" w:hAnsi="Times New Roman"/>
          <w:sz w:val="20"/>
          <w:szCs w:val="20"/>
        </w:rPr>
        <w:t>, and Al(OH)</w:t>
      </w:r>
      <w:r>
        <w:rPr>
          <w:rFonts w:ascii="Times New Roman" w:hAnsi="Times New Roman"/>
          <w:sz w:val="20"/>
          <w:szCs w:val="20"/>
          <w:vertAlign w:val="subscript"/>
        </w:rPr>
        <w:t>4</w:t>
      </w:r>
      <w:r>
        <w:rPr>
          <w:rFonts w:ascii="Times New Roman" w:hAnsi="Times New Roman"/>
          <w:sz w:val="20"/>
          <w:szCs w:val="20"/>
          <w:vertAlign w:val="superscript"/>
        </w:rPr>
        <w:t>-</w:t>
      </w:r>
      <w:r>
        <w:rPr>
          <w:rFonts w:ascii="Times New Roman" w:hAnsi="Times New Roman"/>
          <w:sz w:val="20"/>
          <w:szCs w:val="20"/>
        </w:rPr>
        <w:t>. However, at pH 8.2, that Al exists entirely in complexes with hydroxide ion, OH</w:t>
      </w:r>
      <w:r>
        <w:rPr>
          <w:rFonts w:ascii="Times New Roman" w:hAnsi="Times New Roman"/>
          <w:sz w:val="20"/>
          <w:szCs w:val="20"/>
          <w:vertAlign w:val="superscript"/>
        </w:rPr>
        <w:t>-</w:t>
      </w:r>
      <w:r>
        <w:rPr>
          <w:rFonts w:ascii="Times New Roman" w:hAnsi="Times New Roman"/>
          <w:sz w:val="20"/>
          <w:szCs w:val="20"/>
        </w:rPr>
        <w:t>, forming the hydrolysis species. At low pH (&lt; 4) it is dominated by the free Al</w:t>
      </w:r>
      <w:r>
        <w:rPr>
          <w:rFonts w:ascii="Times New Roman" w:hAnsi="Times New Roman"/>
          <w:sz w:val="20"/>
          <w:szCs w:val="20"/>
          <w:vertAlign w:val="superscript"/>
        </w:rPr>
        <w:t>3+</w:t>
      </w:r>
      <w:r>
        <w:rPr>
          <w:rFonts w:ascii="Times New Roman" w:hAnsi="Times New Roman"/>
          <w:sz w:val="20"/>
          <w:szCs w:val="20"/>
        </w:rPr>
        <w:t xml:space="preserve"> ion. At higher pH (≥ 7), the Al speciation is thought to be </w:t>
      </w:r>
      <w:r>
        <w:rPr>
          <w:rFonts w:ascii="Times New Roman" w:hAnsi="Times New Roman"/>
          <w:sz w:val="20"/>
          <w:szCs w:val="20"/>
        </w:rPr>
        <w:lastRenderedPageBreak/>
        <w:t>dominated by Al (OH)</w:t>
      </w:r>
      <w:r>
        <w:rPr>
          <w:rFonts w:ascii="Times New Roman" w:hAnsi="Times New Roman"/>
          <w:sz w:val="20"/>
          <w:szCs w:val="20"/>
          <w:vertAlign w:val="subscript"/>
        </w:rPr>
        <w:t>4</w:t>
      </w:r>
      <w:r>
        <w:rPr>
          <w:rFonts w:ascii="Times New Roman" w:hAnsi="Times New Roman"/>
          <w:sz w:val="20"/>
          <w:szCs w:val="20"/>
          <w:vertAlign w:val="superscript"/>
        </w:rPr>
        <w:t>-</w:t>
      </w:r>
      <w:r>
        <w:rPr>
          <w:rFonts w:ascii="Times New Roman" w:hAnsi="Times New Roman"/>
          <w:sz w:val="20"/>
          <w:szCs w:val="20"/>
        </w:rPr>
        <w:t xml:space="preserve"> or aqueous Al(OH)</w:t>
      </w:r>
      <w:r>
        <w:rPr>
          <w:rFonts w:ascii="Times New Roman" w:hAnsi="Times New Roman"/>
          <w:sz w:val="20"/>
          <w:szCs w:val="20"/>
          <w:vertAlign w:val="subscript"/>
        </w:rPr>
        <w:t>3</w:t>
      </w:r>
      <w:r>
        <w:rPr>
          <w:rFonts w:ascii="Times New Roman" w:hAnsi="Times New Roman"/>
          <w:sz w:val="20"/>
          <w:szCs w:val="20"/>
          <w:vertAlign w:val="superscript"/>
        </w:rPr>
        <w:t>0</w:t>
      </w:r>
      <w:r>
        <w:rPr>
          <w:rFonts w:ascii="Times New Roman" w:hAnsi="Times New Roman"/>
          <w:sz w:val="20"/>
          <w:szCs w:val="20"/>
        </w:rPr>
        <w:t xml:space="preserve"> [30]. This indicates that pH plays an important role in dAl speciation distribution, and this might be an explanation for the highest dAl concentration </w:t>
      </w:r>
      <w:r w:rsidR="00183E51">
        <w:rPr>
          <w:rFonts w:ascii="Times New Roman" w:hAnsi="Times New Roman"/>
          <w:sz w:val="20"/>
          <w:szCs w:val="20"/>
        </w:rPr>
        <w:t>at our St. 3.</w:t>
      </w:r>
    </w:p>
    <w:p w:rsidR="00E47EC6" w:rsidRPr="00F447A7" w:rsidRDefault="00E47EC6" w:rsidP="000B341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83E51" w:rsidRDefault="00183E51" w:rsidP="00183E51">
      <w:pPr>
        <w:spacing w:after="0" w:line="240" w:lineRule="auto"/>
        <w:jc w:val="both"/>
        <w:rPr>
          <w:rFonts w:ascii="Times New Roman" w:hAnsi="Times New Roman"/>
          <w:sz w:val="20"/>
          <w:szCs w:val="20"/>
        </w:rPr>
      </w:pPr>
      <w:r>
        <w:rPr>
          <w:rFonts w:ascii="Times New Roman" w:hAnsi="Times New Roman"/>
          <w:sz w:val="20"/>
          <w:szCs w:val="20"/>
        </w:rPr>
        <w:t xml:space="preserve">Our present data on dAl distribution has suggested that there is a certain biological processes that occurs in the surface water to remove dAl from the water column. An active biological uptake of dAl by phytoplankton (diatoms) takes place during pre-monsoon seasons (November 2015) in the surface layer. This dAl is then returned to the water column in a deeper layer by the remineralization process. However, during post-monsoon seasons (April 2016), an additional input of Al from surface sediments results in the enrichment of the concentration of dAl in surface water. This indicates the influence of Northeast monsoons, which had resulted in high current turbulences and resuspension of surface sediments, which played an important role in the Al biogeochemistry distribution at Pulau Perhentian. However, further studies on dissolved Al and its speciation are needed to gain better information on its bioavailability to the primary producer in this region during both seasons.  </w:t>
      </w:r>
    </w:p>
    <w:p w:rsidR="00183E51" w:rsidRDefault="00183E51" w:rsidP="00183E51">
      <w:pPr>
        <w:spacing w:after="0" w:line="240" w:lineRule="auto"/>
        <w:jc w:val="center"/>
        <w:rPr>
          <w:rFonts w:ascii="Times New Roman" w:hAnsi="Times New Roman"/>
          <w:sz w:val="20"/>
          <w:szCs w:val="20"/>
        </w:rPr>
      </w:pPr>
    </w:p>
    <w:p w:rsidR="00183E51" w:rsidRDefault="00183E51" w:rsidP="00183E51">
      <w:pPr>
        <w:spacing w:after="0" w:line="240" w:lineRule="auto"/>
        <w:jc w:val="center"/>
        <w:rPr>
          <w:rFonts w:ascii="Times New Roman" w:hAnsi="Times New Roman"/>
          <w:b/>
          <w:sz w:val="20"/>
          <w:szCs w:val="20"/>
        </w:rPr>
      </w:pPr>
      <w:r>
        <w:rPr>
          <w:rFonts w:ascii="Times New Roman" w:hAnsi="Times New Roman"/>
          <w:b/>
          <w:sz w:val="20"/>
          <w:szCs w:val="20"/>
        </w:rPr>
        <w:t>Acknowledgment</w:t>
      </w:r>
    </w:p>
    <w:p w:rsidR="006768E9" w:rsidRPr="00F447A7" w:rsidRDefault="00183E51" w:rsidP="00183E51">
      <w:pPr>
        <w:spacing w:after="0" w:line="240" w:lineRule="auto"/>
        <w:jc w:val="both"/>
        <w:rPr>
          <w:rFonts w:ascii="Times New Roman" w:hAnsi="Times New Roman"/>
          <w:sz w:val="20"/>
          <w:szCs w:val="20"/>
        </w:rPr>
      </w:pPr>
      <w:r>
        <w:rPr>
          <w:rFonts w:ascii="Times New Roman" w:hAnsi="Times New Roman"/>
          <w:sz w:val="20"/>
          <w:szCs w:val="20"/>
        </w:rPr>
        <w:t>Special thanks to Department of Marine Park Malaysia, Ministry of Natural Resources and Environment, and Department of Environmental Sciences, Faculty of Environmental Studies, Universiti Putra Malaysia, for assistance given during the analysis. This study was funded by the Ministry of Higher Education (07-02-14-1533FR).</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Bruland K. W. and Lohan M. C. (2003). Controls of trace metals in seawater. Pergamon, </w:t>
      </w:r>
      <w:r>
        <w:rPr>
          <w:rFonts w:ascii="Times New Roman" w:hAnsi="Times New Roman"/>
          <w:i/>
          <w:color w:val="000000"/>
          <w:sz w:val="20"/>
          <w:szCs w:val="20"/>
        </w:rPr>
        <w:t>Oxford</w:t>
      </w:r>
      <w:r>
        <w:rPr>
          <w:rFonts w:ascii="Times New Roman" w:hAnsi="Times New Roman"/>
          <w:color w:val="000000"/>
          <w:sz w:val="20"/>
          <w:szCs w:val="20"/>
        </w:rPr>
        <w:t>. 23-47.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Paquin, P. R., Santore, R. C., Wu, K. B., Kavvadas, C. D. and Di Toro, D. M. (2003). The biotic ligand model: A model of the acute toxicity of metals to aquatic life. </w:t>
      </w:r>
      <w:r>
        <w:rPr>
          <w:rFonts w:ascii="Times New Roman" w:hAnsi="Times New Roman"/>
          <w:i/>
          <w:color w:val="000000"/>
          <w:sz w:val="20"/>
          <w:szCs w:val="20"/>
        </w:rPr>
        <w:t>Environment Science Policy</w:t>
      </w:r>
      <w:r>
        <w:rPr>
          <w:rFonts w:ascii="Times New Roman" w:hAnsi="Times New Roman"/>
          <w:color w:val="000000"/>
          <w:sz w:val="20"/>
          <w:szCs w:val="20"/>
        </w:rPr>
        <w:t>, 3: 175-182.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Riley, J. P. and Roth, I. (1971). The distribution of trace elements in species of phytoplankton grown in culture. </w:t>
      </w:r>
      <w:r>
        <w:rPr>
          <w:rFonts w:ascii="Times New Roman" w:hAnsi="Times New Roman"/>
          <w:i/>
          <w:color w:val="000000"/>
          <w:sz w:val="20"/>
          <w:szCs w:val="20"/>
        </w:rPr>
        <w:t>Journal of Marine Biological Association U.K</w:t>
      </w:r>
      <w:r>
        <w:rPr>
          <w:rFonts w:ascii="Times New Roman" w:hAnsi="Times New Roman"/>
          <w:color w:val="000000"/>
          <w:sz w:val="20"/>
          <w:szCs w:val="20"/>
        </w:rPr>
        <w:t>., 51: 63-72.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Middag, R., De Baar, H. J. W., Laan, P. and Bakker, K. (2009). Dissolved aluminium and the silicon cycle in the Arctic Ocean. </w:t>
      </w:r>
      <w:r>
        <w:rPr>
          <w:rFonts w:ascii="Times New Roman" w:hAnsi="Times New Roman"/>
          <w:i/>
          <w:color w:val="000000"/>
          <w:sz w:val="20"/>
          <w:szCs w:val="20"/>
        </w:rPr>
        <w:t>Marine Chemistry,</w:t>
      </w:r>
      <w:r>
        <w:rPr>
          <w:rFonts w:ascii="Times New Roman" w:hAnsi="Times New Roman"/>
          <w:color w:val="000000"/>
          <w:sz w:val="20"/>
          <w:szCs w:val="20"/>
        </w:rPr>
        <w:t xml:space="preserve"> 115 (3–4): 176-195.</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Matthew P. M., Diane, M. M., Steven, C. C. and Mark W. W. (2009).</w:t>
      </w:r>
      <w:r>
        <w:rPr>
          <w:color w:val="000000"/>
          <w:sz w:val="20"/>
          <w:szCs w:val="20"/>
        </w:rPr>
        <w:t xml:space="preserve"> </w:t>
      </w:r>
      <w:r>
        <w:rPr>
          <w:rFonts w:ascii="Times New Roman" w:hAnsi="Times New Roman"/>
          <w:color w:val="000000"/>
          <w:sz w:val="20"/>
          <w:szCs w:val="20"/>
        </w:rPr>
        <w:t xml:space="preserve">A model of degradation and production of three pools of dissolved organic matter in an alpine lake. </w:t>
      </w:r>
      <w:r>
        <w:rPr>
          <w:rFonts w:ascii="Times New Roman" w:hAnsi="Times New Roman"/>
          <w:i/>
          <w:color w:val="000000"/>
          <w:sz w:val="20"/>
          <w:szCs w:val="20"/>
        </w:rPr>
        <w:t>Limnology and Oceanography,</w:t>
      </w:r>
      <w:r>
        <w:rPr>
          <w:rFonts w:ascii="Times New Roman" w:hAnsi="Times New Roman"/>
          <w:color w:val="000000"/>
          <w:sz w:val="20"/>
          <w:szCs w:val="20"/>
        </w:rPr>
        <w:t xml:space="preserve"> 54(6): 2213-2227.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Measures, C. I. and Vink, S. (2000). The use of dissolved aluminum in surface waters to estimate dust deposition to ocean. </w:t>
      </w:r>
      <w:r>
        <w:rPr>
          <w:rFonts w:ascii="Times New Roman" w:hAnsi="Times New Roman"/>
          <w:i/>
          <w:color w:val="000000"/>
          <w:sz w:val="20"/>
          <w:szCs w:val="20"/>
        </w:rPr>
        <w:t>Global Biogeochemical Cycles,</w:t>
      </w:r>
      <w:r>
        <w:rPr>
          <w:rFonts w:ascii="Times New Roman" w:hAnsi="Times New Roman"/>
          <w:color w:val="000000"/>
          <w:sz w:val="20"/>
          <w:szCs w:val="20"/>
        </w:rPr>
        <w:t xml:space="preserve"> 14(1): 317-327.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Koh, M. K., Suratman, S. and Mohd Tahir, N. (2015). Dissolved and suspended particulate metals in Setiu River Basin, Terengganu. </w:t>
      </w:r>
      <w:r>
        <w:rPr>
          <w:rFonts w:ascii="Times New Roman" w:hAnsi="Times New Roman"/>
          <w:i/>
          <w:color w:val="000000"/>
          <w:sz w:val="20"/>
          <w:szCs w:val="20"/>
        </w:rPr>
        <w:t>Sains Malaysiana</w:t>
      </w:r>
      <w:r>
        <w:rPr>
          <w:rFonts w:ascii="Times New Roman" w:hAnsi="Times New Roman"/>
          <w:color w:val="000000"/>
          <w:sz w:val="20"/>
          <w:szCs w:val="20"/>
        </w:rPr>
        <w:t xml:space="preserve">, 44(7): 957-964.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Adiana, G., Shazili, N.A.M., Marinah, M.A. and Bidai, J. (2013). Effects of northeast monsoon on trace metal distribution in the South China Sea of Peninsular Malaysia. </w:t>
      </w:r>
      <w:r>
        <w:rPr>
          <w:rFonts w:ascii="Times New Roman" w:hAnsi="Times New Roman"/>
          <w:i/>
          <w:color w:val="000000"/>
          <w:sz w:val="20"/>
          <w:szCs w:val="20"/>
        </w:rPr>
        <w:t>Environmental, Monitoring and Assessment,</w:t>
      </w:r>
      <w:r>
        <w:rPr>
          <w:rFonts w:ascii="Times New Roman" w:hAnsi="Times New Roman"/>
          <w:color w:val="000000"/>
          <w:sz w:val="20"/>
          <w:szCs w:val="20"/>
        </w:rPr>
        <w:t xml:space="preserve"> 186: 421-431.</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Yap, C. K., Chee, M. W., Shamarina, S., Edward, F. B., Chew, W. and Tan, S. G. (2011). Assessment of surface water quality in the Malaysian coastal waters by using multivariate analyses. </w:t>
      </w:r>
      <w:r>
        <w:rPr>
          <w:rFonts w:ascii="Times New Roman" w:hAnsi="Times New Roman"/>
          <w:i/>
          <w:color w:val="000000"/>
          <w:sz w:val="20"/>
          <w:szCs w:val="20"/>
        </w:rPr>
        <w:t>Sains Malaysiana</w:t>
      </w:r>
      <w:r>
        <w:rPr>
          <w:rFonts w:ascii="Times New Roman" w:hAnsi="Times New Roman"/>
          <w:color w:val="000000"/>
          <w:sz w:val="20"/>
          <w:szCs w:val="20"/>
        </w:rPr>
        <w:t>, 40(10): 1053-1064.</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Ahmad, A. K., Musrifah, L. and Othman, M. S. (2009). Water quality and heavy metal concentrations in sediment of Sungai Kelantan, Kelantan, Malaysia: A Baseline study. </w:t>
      </w:r>
      <w:r>
        <w:rPr>
          <w:rFonts w:ascii="Times New Roman" w:hAnsi="Times New Roman"/>
          <w:i/>
          <w:color w:val="000000"/>
          <w:sz w:val="20"/>
          <w:szCs w:val="20"/>
        </w:rPr>
        <w:t>Sains Malaysiana</w:t>
      </w:r>
      <w:r>
        <w:rPr>
          <w:rFonts w:ascii="Times New Roman" w:hAnsi="Times New Roman"/>
          <w:color w:val="000000"/>
          <w:sz w:val="20"/>
          <w:szCs w:val="20"/>
        </w:rPr>
        <w:t>, 38(4): 435-442.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Yusof, N., Haraguchi, A., Hassan, M. A., Othman, M. R., Wakisaka, M. and Shirai, Y. (2009). Measuring organic carbon, nutrients and heavy metals in rivers receiving leachate from controlled and uncontrolled municipal solid waste (MSW) landfills. </w:t>
      </w:r>
      <w:r>
        <w:rPr>
          <w:rFonts w:ascii="Times New Roman" w:hAnsi="Times New Roman"/>
          <w:i/>
          <w:color w:val="000000"/>
          <w:sz w:val="20"/>
          <w:szCs w:val="20"/>
        </w:rPr>
        <w:t>Waste Management</w:t>
      </w:r>
      <w:r>
        <w:rPr>
          <w:rFonts w:ascii="Times New Roman" w:hAnsi="Times New Roman"/>
          <w:color w:val="000000"/>
          <w:sz w:val="20"/>
          <w:szCs w:val="20"/>
        </w:rPr>
        <w:t>, 29:</w:t>
      </w:r>
      <w:r>
        <w:rPr>
          <w:rFonts w:ascii="Times New Roman" w:hAnsi="Times New Roman"/>
          <w:color w:val="000000"/>
        </w:rPr>
        <w:t xml:space="preserve"> </w:t>
      </w:r>
      <w:r>
        <w:rPr>
          <w:rFonts w:ascii="Times New Roman" w:hAnsi="Times New Roman"/>
          <w:color w:val="000000"/>
          <w:sz w:val="20"/>
          <w:szCs w:val="20"/>
        </w:rPr>
        <w:t>2666-2680.</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Godon, E. and Mohamed, K. N. (2016). Distribution of dissolved Fe, Al and Cu at Perhentian Island, Terengganu. In-house Seminar of the Chemical Oceanography Laboratory, </w:t>
      </w:r>
      <w:r>
        <w:rPr>
          <w:rFonts w:ascii="Times New Roman" w:hAnsi="Times New Roman"/>
          <w:i/>
          <w:color w:val="000000"/>
          <w:sz w:val="20"/>
          <w:szCs w:val="20"/>
        </w:rPr>
        <w:t>Issue 1</w:t>
      </w:r>
      <w:r>
        <w:rPr>
          <w:rFonts w:ascii="Times New Roman" w:hAnsi="Times New Roman"/>
          <w:color w:val="000000"/>
          <w:sz w:val="20"/>
          <w:szCs w:val="20"/>
        </w:rPr>
        <w:t>, Vol. II: pp. 12-18.</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Lim, J. T. and Azizan, A. S. (2004). Weather and Climate of Malaysia. University of Malaya Press.</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Stewart C. R. (2008). Proline accumulation: Biochemical aspects. In: Paleg LG, Aspinall D (Eds), </w:t>
      </w:r>
      <w:r>
        <w:rPr>
          <w:rFonts w:ascii="Times New Roman" w:hAnsi="Times New Roman"/>
          <w:i/>
          <w:color w:val="000000"/>
          <w:sz w:val="20"/>
          <w:szCs w:val="20"/>
        </w:rPr>
        <w:t>Physiology and Biochemistry of Drought Resistance in Plants</w:t>
      </w:r>
      <w:r>
        <w:rPr>
          <w:rFonts w:ascii="Times New Roman" w:hAnsi="Times New Roman"/>
          <w:color w:val="000000"/>
          <w:sz w:val="20"/>
          <w:szCs w:val="20"/>
        </w:rPr>
        <w:t>. 243-251.</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Achterberg, E. P. and Braungardt, C. (2001). Stripping voltammetry for the determination of trace metal speciation and in-situ measurements of trace metal distributions in marine waters. </w:t>
      </w:r>
      <w:r>
        <w:rPr>
          <w:rFonts w:ascii="Times New Roman" w:hAnsi="Times New Roman"/>
          <w:i/>
          <w:color w:val="000000"/>
          <w:sz w:val="20"/>
          <w:szCs w:val="20"/>
        </w:rPr>
        <w:t xml:space="preserve">Analytical Chemical Acta, </w:t>
      </w:r>
      <w:r>
        <w:rPr>
          <w:rFonts w:ascii="Times New Roman" w:hAnsi="Times New Roman"/>
          <w:color w:val="000000"/>
          <w:sz w:val="20"/>
          <w:szCs w:val="20"/>
        </w:rPr>
        <w:t>400: 381-397.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lastRenderedPageBreak/>
        <w:t xml:space="preserve">Van den Berg, C. M. G., Buckley, P. J. M., Huang, Z. Q. and Nimmo, M. (1986). An electrochemical study of the speciation of copper, zinc and iron in two estuaries in England. </w:t>
      </w:r>
      <w:r>
        <w:rPr>
          <w:rFonts w:ascii="Times New Roman" w:hAnsi="Times New Roman"/>
          <w:i/>
          <w:color w:val="000000"/>
          <w:sz w:val="20"/>
          <w:szCs w:val="20"/>
        </w:rPr>
        <w:t>Estuarine and Shelf Science,</w:t>
      </w:r>
      <w:r>
        <w:rPr>
          <w:rFonts w:ascii="Times New Roman" w:hAnsi="Times New Roman"/>
          <w:color w:val="000000"/>
          <w:sz w:val="20"/>
          <w:szCs w:val="20"/>
        </w:rPr>
        <w:t xml:space="preserve"> 22: 479-486.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Govindasamy, C., Kannan, L. and Azariah, J. (2000). Seasonal variation in physico- chemical properties and primary production in the coastal water biotopes of Coromandel Coast</w:t>
      </w:r>
      <w:r w:rsidRPr="000464CF">
        <w:rPr>
          <w:rFonts w:ascii="Times New Roman" w:hAnsi="Times New Roman"/>
          <w:color w:val="000000"/>
          <w:sz w:val="20"/>
          <w:szCs w:val="20"/>
        </w:rPr>
        <w:t>, India.</w:t>
      </w:r>
      <w:r>
        <w:rPr>
          <w:rFonts w:ascii="Times New Roman" w:hAnsi="Times New Roman"/>
          <w:i/>
          <w:color w:val="000000"/>
          <w:sz w:val="20"/>
          <w:szCs w:val="20"/>
        </w:rPr>
        <w:t xml:space="preserve"> Journal Environment Biology, </w:t>
      </w:r>
      <w:r>
        <w:rPr>
          <w:rFonts w:ascii="Times New Roman" w:hAnsi="Times New Roman"/>
          <w:color w:val="000000"/>
          <w:sz w:val="20"/>
          <w:szCs w:val="20"/>
        </w:rPr>
        <w:t>21: 1-7.</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Rajasegar, M., Srinivasan, M. and Rajaram, R. (2003). Phytoplankton diversity associated with the shrimp farm development in Vellar estuary, south India. </w:t>
      </w:r>
      <w:r>
        <w:rPr>
          <w:rFonts w:ascii="Times New Roman" w:hAnsi="Times New Roman"/>
          <w:i/>
          <w:color w:val="000000"/>
          <w:sz w:val="20"/>
          <w:szCs w:val="20"/>
        </w:rPr>
        <w:t>Seaweed Research,</w:t>
      </w:r>
      <w:r>
        <w:rPr>
          <w:rFonts w:ascii="Times New Roman" w:hAnsi="Times New Roman"/>
          <w:color w:val="000000"/>
          <w:sz w:val="20"/>
          <w:szCs w:val="20"/>
        </w:rPr>
        <w:t xml:space="preserve"> 22: 125-131.</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Granier, A., Biron, P. and Lemoine, D. (2000). Water balance, transpiration and canopy conductance in two beech stands. </w:t>
      </w:r>
      <w:r>
        <w:rPr>
          <w:rFonts w:ascii="Times New Roman" w:hAnsi="Times New Roman"/>
          <w:i/>
          <w:color w:val="000000"/>
          <w:sz w:val="20"/>
          <w:szCs w:val="20"/>
        </w:rPr>
        <w:t>Agricultural and Forest Meteorology,</w:t>
      </w:r>
      <w:r>
        <w:rPr>
          <w:rFonts w:ascii="Times New Roman" w:hAnsi="Times New Roman"/>
          <w:color w:val="000000"/>
          <w:sz w:val="20"/>
          <w:szCs w:val="20"/>
        </w:rPr>
        <w:t xml:space="preserve"> 100: 291-308.</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Aston, S. R. (1980). Evaluation of the chemical forms of plutonium in seawater. </w:t>
      </w:r>
      <w:r>
        <w:rPr>
          <w:rFonts w:ascii="Times New Roman" w:hAnsi="Times New Roman"/>
          <w:i/>
          <w:color w:val="000000"/>
          <w:sz w:val="20"/>
          <w:szCs w:val="20"/>
        </w:rPr>
        <w:t>Marine Chemistry,</w:t>
      </w:r>
      <w:r>
        <w:rPr>
          <w:rFonts w:ascii="Times New Roman" w:hAnsi="Times New Roman"/>
          <w:color w:val="000000"/>
          <w:sz w:val="20"/>
          <w:szCs w:val="20"/>
        </w:rPr>
        <w:t xml:space="preserve"> 8: 319- 325.</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Hydes, D. J. (1989). Seasonal variation in dissolved aluminium concentrations in coastal waters and biological limitation of the export of the riverine input of aluminium to the deep sea. </w:t>
      </w:r>
      <w:r>
        <w:rPr>
          <w:rFonts w:ascii="Times New Roman" w:hAnsi="Times New Roman"/>
          <w:i/>
          <w:color w:val="000000"/>
          <w:sz w:val="20"/>
          <w:szCs w:val="20"/>
        </w:rPr>
        <w:t>Continental Shelf Research,</w:t>
      </w:r>
      <w:r>
        <w:rPr>
          <w:rFonts w:ascii="Times New Roman" w:hAnsi="Times New Roman"/>
          <w:color w:val="000000"/>
          <w:sz w:val="20"/>
          <w:szCs w:val="20"/>
        </w:rPr>
        <w:t xml:space="preserve"> 9: 919 -929.</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Martin, J. H. and Knauer, G. A. (1973). The elemental composition of plankton. </w:t>
      </w:r>
      <w:r>
        <w:rPr>
          <w:rFonts w:ascii="Times New Roman" w:hAnsi="Times New Roman"/>
          <w:i/>
          <w:color w:val="000000"/>
          <w:sz w:val="20"/>
          <w:szCs w:val="20"/>
        </w:rPr>
        <w:t xml:space="preserve">Geochimica Cosmochimica Acta, </w:t>
      </w:r>
      <w:r>
        <w:rPr>
          <w:rFonts w:ascii="Times New Roman" w:hAnsi="Times New Roman"/>
          <w:color w:val="000000"/>
          <w:sz w:val="20"/>
          <w:szCs w:val="20"/>
        </w:rPr>
        <w:t>37: 1639-1653.</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Bostrom, K., Burman, B., Ponter, C., Brandlof, S. and Alm, B. (1978). Geochemistry, minerology, and origin of the sediments in the Gulf of Bothnia. </w:t>
      </w:r>
      <w:r>
        <w:rPr>
          <w:rFonts w:ascii="Times New Roman" w:hAnsi="Times New Roman"/>
          <w:i/>
          <w:color w:val="000000"/>
          <w:sz w:val="20"/>
          <w:szCs w:val="20"/>
        </w:rPr>
        <w:t xml:space="preserve">Finnish Marine Research, </w:t>
      </w:r>
      <w:r>
        <w:rPr>
          <w:rFonts w:ascii="Times New Roman" w:hAnsi="Times New Roman"/>
          <w:color w:val="000000"/>
          <w:sz w:val="20"/>
          <w:szCs w:val="20"/>
        </w:rPr>
        <w:t>224: 8-36.</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Collier, R. and Edmond, J. (1984). The trace element geochemistry of marine biogenic particulate matter. </w:t>
      </w:r>
      <w:r>
        <w:rPr>
          <w:rFonts w:ascii="Times New Roman" w:hAnsi="Times New Roman"/>
          <w:i/>
          <w:color w:val="000000"/>
          <w:sz w:val="20"/>
          <w:szCs w:val="20"/>
        </w:rPr>
        <w:t xml:space="preserve">Progress in Oceanography, </w:t>
      </w:r>
      <w:r>
        <w:rPr>
          <w:rFonts w:ascii="Times New Roman" w:hAnsi="Times New Roman"/>
          <w:color w:val="000000"/>
          <w:sz w:val="20"/>
          <w:szCs w:val="20"/>
        </w:rPr>
        <w:t>13: 113-199.</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Noriki, S., Ishimori, N, Harada, K. and Tsunogai, S. (1985). Removal of trace metals from sea water during phytoplankton bloom as studied with sediment traps in Funka bay, Japan. </w:t>
      </w:r>
      <w:r>
        <w:rPr>
          <w:rFonts w:ascii="Times New Roman" w:hAnsi="Times New Roman"/>
          <w:i/>
          <w:color w:val="000000"/>
          <w:sz w:val="20"/>
          <w:szCs w:val="20"/>
        </w:rPr>
        <w:t xml:space="preserve">Marine Chemistry, </w:t>
      </w:r>
      <w:r>
        <w:rPr>
          <w:rFonts w:ascii="Times New Roman" w:hAnsi="Times New Roman"/>
          <w:color w:val="000000"/>
          <w:sz w:val="20"/>
          <w:szCs w:val="20"/>
        </w:rPr>
        <w:t xml:space="preserve">17: 75-89.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Mackenzie, F. T., Stoffyn, M. and Wollast, R. (1978). Aluminum in seawater: control by biological activity. </w:t>
      </w:r>
      <w:r>
        <w:rPr>
          <w:rFonts w:ascii="Times New Roman" w:hAnsi="Times New Roman"/>
          <w:i/>
          <w:color w:val="000000"/>
          <w:sz w:val="20"/>
          <w:szCs w:val="20"/>
        </w:rPr>
        <w:t>Science,</w:t>
      </w:r>
      <w:r>
        <w:rPr>
          <w:rFonts w:ascii="Times New Roman" w:hAnsi="Times New Roman"/>
          <w:color w:val="000000"/>
          <w:sz w:val="20"/>
          <w:szCs w:val="20"/>
        </w:rPr>
        <w:t xml:space="preserve"> 199: 680-682.</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Lewin, J. C. (1961). The dissolution rate of silica from diatom walls. </w:t>
      </w:r>
      <w:r>
        <w:rPr>
          <w:rFonts w:ascii="Times New Roman" w:hAnsi="Times New Roman"/>
          <w:i/>
          <w:color w:val="000000"/>
          <w:sz w:val="20"/>
          <w:szCs w:val="20"/>
        </w:rPr>
        <w:t>Geochimica Cosmochimica Acta,</w:t>
      </w:r>
      <w:r>
        <w:rPr>
          <w:rFonts w:ascii="Times New Roman" w:hAnsi="Times New Roman"/>
          <w:color w:val="000000"/>
          <w:sz w:val="20"/>
          <w:szCs w:val="20"/>
        </w:rPr>
        <w:t xml:space="preserve"> 21: 182-195. </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Ramjam, J. and Mohamed, K. N. (2017). Determination of dissolved nutrients at Pulau Redang, Terengganu. Thesis of Bachelor in Environmental Science and Technology, Universiti Putra Malaysia.</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Sang, Y. W., Adam, M. K. M., Fakaruddin, F. J., Saleh, F. Z., Chang, N. K., Yunus, F. and Abdullah, M. H. (2016). Review of The November 2015 – March 2016 Northeast Monsoon in Malaysia. </w:t>
      </w:r>
      <w:r>
        <w:rPr>
          <w:rFonts w:ascii="Times New Roman" w:hAnsi="Times New Roman"/>
          <w:i/>
          <w:color w:val="000000"/>
          <w:sz w:val="20"/>
          <w:szCs w:val="20"/>
        </w:rPr>
        <w:t>Malaysian Meteorological Department, MOSTI Research Publication</w:t>
      </w:r>
      <w:r>
        <w:rPr>
          <w:rFonts w:ascii="Times New Roman" w:hAnsi="Times New Roman"/>
          <w:color w:val="000000"/>
          <w:sz w:val="20"/>
          <w:szCs w:val="20"/>
        </w:rPr>
        <w:t xml:space="preserve"> 4/2016</w:t>
      </w:r>
    </w:p>
    <w:p w:rsidR="00E16526" w:rsidRDefault="00E16526" w:rsidP="00183E51">
      <w:pPr>
        <w:numPr>
          <w:ilvl w:val="0"/>
          <w:numId w:val="2"/>
        </w:numPr>
        <w:pBdr>
          <w:top w:val="nil"/>
          <w:left w:val="nil"/>
          <w:bottom w:val="nil"/>
          <w:right w:val="nil"/>
          <w:between w:val="nil"/>
        </w:pBdr>
        <w:spacing w:after="0" w:line="240" w:lineRule="auto"/>
        <w:ind w:left="360"/>
        <w:jc w:val="both"/>
        <w:rPr>
          <w:rFonts w:ascii="Times New Roman" w:hAnsi="Times New Roman"/>
          <w:color w:val="000000"/>
          <w:sz w:val="20"/>
          <w:szCs w:val="20"/>
        </w:rPr>
      </w:pPr>
      <w:r>
        <w:rPr>
          <w:rFonts w:ascii="Times New Roman" w:hAnsi="Times New Roman"/>
          <w:color w:val="000000"/>
          <w:sz w:val="20"/>
          <w:szCs w:val="20"/>
        </w:rPr>
        <w:t xml:space="preserve">Turner, D. R., Whitfield, M. and Dickson, A. G. (1981). The equilibrium speciation of dissolved components in freshwater and seawater at 25 ºC and 1 atm pressure. </w:t>
      </w:r>
      <w:r>
        <w:rPr>
          <w:rFonts w:ascii="Times New Roman" w:hAnsi="Times New Roman"/>
          <w:i/>
          <w:color w:val="000000"/>
          <w:sz w:val="20"/>
          <w:szCs w:val="20"/>
        </w:rPr>
        <w:t>Geochimica Cosmochimica Acta</w:t>
      </w:r>
      <w:r>
        <w:rPr>
          <w:rFonts w:ascii="Times New Roman" w:hAnsi="Times New Roman"/>
          <w:color w:val="000000"/>
          <w:sz w:val="20"/>
          <w:szCs w:val="20"/>
        </w:rPr>
        <w:t>, 45: 855-881.</w:t>
      </w:r>
    </w:p>
    <w:p w:rsidR="00A74A7E" w:rsidRDefault="00A74A7E" w:rsidP="00183E51">
      <w:pPr>
        <w:spacing w:after="0" w:line="240" w:lineRule="auto"/>
        <w:ind w:left="360" w:hanging="360"/>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E34506">
      <w:headerReference w:type="even" r:id="rId32"/>
      <w:headerReference w:type="default" r:id="rId33"/>
      <w:footerReference w:type="even" r:id="rId34"/>
      <w:footerReference w:type="default" r:id="rId35"/>
      <w:pgSz w:w="12240" w:h="15840" w:code="1"/>
      <w:pgMar w:top="1800" w:right="1469" w:bottom="1699" w:left="1440" w:header="706" w:footer="706" w:gutter="0"/>
      <w:pgNumType w:start="10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C4F" w:rsidRDefault="00805C4F" w:rsidP="00FB4C59">
      <w:pPr>
        <w:spacing w:after="0" w:line="240" w:lineRule="auto"/>
      </w:pPr>
      <w:r>
        <w:separator/>
      </w:r>
    </w:p>
  </w:endnote>
  <w:endnote w:type="continuationSeparator" w:id="0">
    <w:p w:rsidR="00805C4F" w:rsidRDefault="00805C4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805C4F" w:rsidRDefault="00805C4F">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72BEB">
          <w:rPr>
            <w:rFonts w:ascii="Times New Roman" w:hAnsi="Times New Roman"/>
            <w:noProof/>
          </w:rPr>
          <w:t>1052</w:t>
        </w:r>
        <w:r w:rsidRPr="00C0756D">
          <w:rPr>
            <w:rFonts w:ascii="Times New Roman" w:hAnsi="Times New Roman"/>
            <w:noProof/>
          </w:rPr>
          <w:fldChar w:fldCharType="end"/>
        </w:r>
      </w:p>
      <w:p w:rsidR="00805C4F" w:rsidRPr="00C0756D" w:rsidRDefault="00972BEB">
        <w:pPr>
          <w:pStyle w:val="Footer"/>
          <w:jc w:val="right"/>
          <w:rPr>
            <w:rFonts w:ascii="Times New Roman" w:hAnsi="Times New Roman"/>
          </w:rPr>
        </w:pPr>
      </w:p>
    </w:sdtContent>
  </w:sdt>
  <w:p w:rsidR="00805C4F" w:rsidRDefault="00805C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805C4F" w:rsidRDefault="00805C4F">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972BEB">
          <w:rPr>
            <w:rFonts w:ascii="Times New Roman" w:hAnsi="Times New Roman"/>
            <w:noProof/>
          </w:rPr>
          <w:t>1053</w:t>
        </w:r>
        <w:r w:rsidRPr="00C0756D">
          <w:rPr>
            <w:rFonts w:ascii="Times New Roman" w:hAnsi="Times New Roman"/>
            <w:noProof/>
          </w:rPr>
          <w:fldChar w:fldCharType="end"/>
        </w:r>
      </w:p>
      <w:p w:rsidR="00805C4F" w:rsidRPr="00C0756D" w:rsidRDefault="00972BEB">
        <w:pPr>
          <w:pStyle w:val="Footer"/>
          <w:rPr>
            <w:rFonts w:ascii="Times New Roman" w:hAnsi="Times New Roman"/>
          </w:rPr>
        </w:pPr>
      </w:p>
    </w:sdtContent>
  </w:sdt>
  <w:p w:rsidR="00805C4F" w:rsidRPr="004B43FF" w:rsidRDefault="00805C4F">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C4F" w:rsidRDefault="00805C4F" w:rsidP="00FB4C59">
      <w:pPr>
        <w:spacing w:after="0" w:line="240" w:lineRule="auto"/>
      </w:pPr>
      <w:r>
        <w:separator/>
      </w:r>
    </w:p>
  </w:footnote>
  <w:footnote w:type="continuationSeparator" w:id="0">
    <w:p w:rsidR="00805C4F" w:rsidRDefault="00805C4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C4F" w:rsidRDefault="00805C4F"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(201</w:t>
    </w:r>
    <w:r>
      <w:rPr>
        <w:rFonts w:ascii="Times New Roman" w:hAnsi="Times New Roman"/>
        <w:i/>
        <w:lang w:val="en-US"/>
      </w:rPr>
      <w:t>9</w:t>
    </w:r>
    <w:r w:rsidRPr="00D75B35">
      <w:rPr>
        <w:rFonts w:ascii="Times New Roman" w:hAnsi="Times New Roman"/>
        <w:i/>
      </w:rPr>
      <w:t xml:space="preserve">): </w:t>
    </w:r>
    <w:r>
      <w:rPr>
        <w:rFonts w:ascii="Times New Roman" w:hAnsi="Times New Roman"/>
        <w:i/>
        <w:lang w:val="en-US"/>
      </w:rPr>
      <w:t>1044 - 1053</w:t>
    </w:r>
  </w:p>
  <w:p w:rsidR="00805C4F" w:rsidRPr="004B43FF" w:rsidRDefault="00805C4F" w:rsidP="006A3A0F">
    <w:pPr>
      <w:pStyle w:val="Header"/>
      <w:jc w:val="right"/>
      <w:rPr>
        <w:rFonts w:ascii="Times New Roman" w:hAnsi="Times New Roman"/>
        <w:i/>
        <w:lang w:val="en-US"/>
      </w:rPr>
    </w:pPr>
    <w:r>
      <w:rPr>
        <w:rFonts w:ascii="Times New Roman" w:hAnsi="Times New Roman"/>
        <w:i/>
        <w:lang w:val="en-US"/>
      </w:rPr>
      <w:t>DOI: https://doi.org/10.17576/mjas-2019-2306-12</w:t>
    </w:r>
  </w:p>
  <w:p w:rsidR="00805C4F" w:rsidRDefault="00805C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C4F" w:rsidRPr="000B3410" w:rsidRDefault="00805C4F" w:rsidP="00805C4F">
    <w:pPr>
      <w:spacing w:after="0" w:line="240" w:lineRule="auto"/>
      <w:ind w:left="1440" w:hanging="1440"/>
      <w:rPr>
        <w:rFonts w:ascii="Times New Roman" w:hAnsi="Times New Roman"/>
        <w:sz w:val="20"/>
        <w:szCs w:val="20"/>
      </w:rPr>
    </w:pPr>
    <w:r>
      <w:rPr>
        <w:rFonts w:ascii="Times New Roman" w:hAnsi="Times New Roman"/>
        <w:sz w:val="20"/>
        <w:szCs w:val="20"/>
      </w:rPr>
      <w:t>Mohamed et al</w:t>
    </w:r>
    <w:r w:rsidRPr="000B3410">
      <w:rPr>
        <w:rFonts w:ascii="Times New Roman" w:hAnsi="Times New Roman"/>
        <w:sz w:val="20"/>
        <w:szCs w:val="20"/>
      </w:rPr>
      <w:t xml:space="preserve">:  </w:t>
    </w:r>
    <w:r>
      <w:rPr>
        <w:rFonts w:ascii="Times New Roman" w:hAnsi="Times New Roman"/>
        <w:sz w:val="20"/>
        <w:szCs w:val="20"/>
      </w:rPr>
      <w:tab/>
    </w:r>
    <w:r w:rsidRPr="000B3410">
      <w:rPr>
        <w:rFonts w:ascii="Times New Roman" w:hAnsi="Times New Roman"/>
        <w:sz w:val="20"/>
        <w:szCs w:val="20"/>
      </w:rPr>
      <w:t>DISTRIBUTION OF DISSOLVED ALUMINIUM (dAl) IN SEAWATER AT PULAU PERHENTIAN, TERENGGANU</w:t>
    </w:r>
  </w:p>
  <w:p w:rsidR="00805C4F" w:rsidRPr="00B75BF6" w:rsidRDefault="00805C4F"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07F3"/>
    <w:multiLevelType w:val="multilevel"/>
    <w:tmpl w:val="508EB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23ED5"/>
    <w:rsid w:val="00034466"/>
    <w:rsid w:val="00070690"/>
    <w:rsid w:val="00084936"/>
    <w:rsid w:val="000B3410"/>
    <w:rsid w:val="000C49FF"/>
    <w:rsid w:val="000C5261"/>
    <w:rsid w:val="000E5AF1"/>
    <w:rsid w:val="000F77DA"/>
    <w:rsid w:val="001068E8"/>
    <w:rsid w:val="00117BCD"/>
    <w:rsid w:val="00165528"/>
    <w:rsid w:val="00183E51"/>
    <w:rsid w:val="001D035A"/>
    <w:rsid w:val="001D3855"/>
    <w:rsid w:val="001D6F2C"/>
    <w:rsid w:val="001F72B9"/>
    <w:rsid w:val="00221D39"/>
    <w:rsid w:val="002B188F"/>
    <w:rsid w:val="002B3BD8"/>
    <w:rsid w:val="002F3F91"/>
    <w:rsid w:val="00304767"/>
    <w:rsid w:val="00304B34"/>
    <w:rsid w:val="00312C0E"/>
    <w:rsid w:val="00361BAF"/>
    <w:rsid w:val="00367D1F"/>
    <w:rsid w:val="00373A9B"/>
    <w:rsid w:val="0038323C"/>
    <w:rsid w:val="00383F26"/>
    <w:rsid w:val="0039005B"/>
    <w:rsid w:val="003C1D66"/>
    <w:rsid w:val="003D585B"/>
    <w:rsid w:val="003E7DA6"/>
    <w:rsid w:val="003F12FF"/>
    <w:rsid w:val="004760D4"/>
    <w:rsid w:val="00494C46"/>
    <w:rsid w:val="004B43FF"/>
    <w:rsid w:val="00502641"/>
    <w:rsid w:val="005338CA"/>
    <w:rsid w:val="00534441"/>
    <w:rsid w:val="00545363"/>
    <w:rsid w:val="00583C85"/>
    <w:rsid w:val="00584156"/>
    <w:rsid w:val="005B152D"/>
    <w:rsid w:val="005C6768"/>
    <w:rsid w:val="00624C7C"/>
    <w:rsid w:val="00634C25"/>
    <w:rsid w:val="006416AB"/>
    <w:rsid w:val="00672075"/>
    <w:rsid w:val="006768E9"/>
    <w:rsid w:val="00687982"/>
    <w:rsid w:val="00695D0E"/>
    <w:rsid w:val="006A3A0F"/>
    <w:rsid w:val="006B3EC8"/>
    <w:rsid w:val="006D695E"/>
    <w:rsid w:val="00725A6A"/>
    <w:rsid w:val="00730CB3"/>
    <w:rsid w:val="007703FE"/>
    <w:rsid w:val="007859BE"/>
    <w:rsid w:val="007943F3"/>
    <w:rsid w:val="007A738C"/>
    <w:rsid w:val="007B1349"/>
    <w:rsid w:val="007E25BD"/>
    <w:rsid w:val="007F4ECC"/>
    <w:rsid w:val="00801E18"/>
    <w:rsid w:val="00802C35"/>
    <w:rsid w:val="00805C4F"/>
    <w:rsid w:val="0082181A"/>
    <w:rsid w:val="008B470E"/>
    <w:rsid w:val="008C14D6"/>
    <w:rsid w:val="008E1211"/>
    <w:rsid w:val="008E5BBF"/>
    <w:rsid w:val="008E6968"/>
    <w:rsid w:val="00972BEB"/>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D2480"/>
    <w:rsid w:val="00BE2D36"/>
    <w:rsid w:val="00BE7C30"/>
    <w:rsid w:val="00C055BF"/>
    <w:rsid w:val="00C0756D"/>
    <w:rsid w:val="00C2226A"/>
    <w:rsid w:val="00C94D92"/>
    <w:rsid w:val="00C97340"/>
    <w:rsid w:val="00CA513F"/>
    <w:rsid w:val="00CF05FF"/>
    <w:rsid w:val="00D340BB"/>
    <w:rsid w:val="00D505D5"/>
    <w:rsid w:val="00D63C28"/>
    <w:rsid w:val="00D75B35"/>
    <w:rsid w:val="00D76E09"/>
    <w:rsid w:val="00D83AF4"/>
    <w:rsid w:val="00D9736F"/>
    <w:rsid w:val="00D9792A"/>
    <w:rsid w:val="00DD377F"/>
    <w:rsid w:val="00E16526"/>
    <w:rsid w:val="00E25547"/>
    <w:rsid w:val="00E2773B"/>
    <w:rsid w:val="00E3287E"/>
    <w:rsid w:val="00E34506"/>
    <w:rsid w:val="00E47EC6"/>
    <w:rsid w:val="00E66197"/>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October 2014</a:t>
            </a:r>
            <a:endParaRPr lang="en-US" sz="600" b="1"/>
          </a:p>
        </c:rich>
      </c:tx>
      <c:layout>
        <c:manualLayout>
          <c:xMode val="edge"/>
          <c:yMode val="edge"/>
          <c:x val="0.25531496062992126"/>
          <c:y val="0"/>
        </c:manualLayout>
      </c:layout>
      <c:overlay val="0"/>
      <c:spPr>
        <a:noFill/>
        <a:ln>
          <a:noFill/>
        </a:ln>
        <a:effectLst/>
      </c:spPr>
    </c:title>
    <c:autoTitleDeleted val="0"/>
    <c:plotArea>
      <c:layout>
        <c:manualLayout>
          <c:layoutTarget val="inner"/>
          <c:xMode val="edge"/>
          <c:yMode val="edge"/>
          <c:x val="0.26038427888821591"/>
          <c:y val="0.27080234762321376"/>
          <c:w val="0.52400649438051017"/>
          <c:h val="0.67827172645086031"/>
        </c:manualLayout>
      </c:layout>
      <c:scatterChart>
        <c:scatterStyle val="smoothMarker"/>
        <c:varyColors val="0"/>
        <c:ser>
          <c:idx val="0"/>
          <c:order val="0"/>
          <c:tx>
            <c:v>St.1</c:v>
          </c:tx>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2'!$I$126:$I$130</c:f>
              <c:numCache>
                <c:formatCode>General</c:formatCode>
                <c:ptCount val="5"/>
                <c:pt idx="0">
                  <c:v>42.92</c:v>
                </c:pt>
                <c:pt idx="1">
                  <c:v>120.086</c:v>
                </c:pt>
                <c:pt idx="2">
                  <c:v>238.215</c:v>
                </c:pt>
                <c:pt idx="3">
                  <c:v>140.52199999999999</c:v>
                </c:pt>
                <c:pt idx="4">
                  <c:v>77.326999999999998</c:v>
                </c:pt>
              </c:numCache>
            </c:numRef>
          </c:xVal>
          <c:yVal>
            <c:numRef>
              <c:f>'Table 2'!$H$126:$H$130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072A-4A09-9F8C-5C5886BF27B5}"/>
            </c:ext>
          </c:extLst>
        </c:ser>
        <c:ser>
          <c:idx val="1"/>
          <c:order val="1"/>
          <c:tx>
            <c:v>St.2</c:v>
          </c:tx>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2'!$I$131:$I$135</c:f>
              <c:numCache>
                <c:formatCode>0.00</c:formatCode>
                <c:ptCount val="5"/>
                <c:pt idx="0">
                  <c:v>46.1</c:v>
                </c:pt>
                <c:pt idx="1">
                  <c:v>121.824</c:v>
                </c:pt>
                <c:pt idx="2">
                  <c:v>119.497</c:v>
                </c:pt>
                <c:pt idx="3">
                  <c:v>81.911000000000001</c:v>
                </c:pt>
                <c:pt idx="4">
                  <c:v>28.757999999999999</c:v>
                </c:pt>
              </c:numCache>
            </c:numRef>
          </c:xVal>
          <c:yVal>
            <c:numRef>
              <c:f>'Table 2'!$H$131:$H$135</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072A-4A09-9F8C-5C5886BF27B5}"/>
            </c:ext>
          </c:extLst>
        </c:ser>
        <c:ser>
          <c:idx val="2"/>
          <c:order val="2"/>
          <c:tx>
            <c:v>St.3</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2'!$I$136:$I$140</c:f>
              <c:numCache>
                <c:formatCode>0.00</c:formatCode>
                <c:ptCount val="5"/>
                <c:pt idx="0">
                  <c:v>17.07</c:v>
                </c:pt>
                <c:pt idx="1">
                  <c:v>196.30199999999999</c:v>
                </c:pt>
                <c:pt idx="2">
                  <c:v>89.463999999999999</c:v>
                </c:pt>
                <c:pt idx="3">
                  <c:v>98.745999999999995</c:v>
                </c:pt>
                <c:pt idx="4">
                  <c:v>25.864000000000001</c:v>
                </c:pt>
              </c:numCache>
            </c:numRef>
          </c:xVal>
          <c:yVal>
            <c:numRef>
              <c:f>'Table 2'!$H$136:$H$140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072A-4A09-9F8C-5C5886BF27B5}"/>
            </c:ext>
          </c:extLst>
        </c:ser>
        <c:ser>
          <c:idx val="3"/>
          <c:order val="3"/>
          <c:tx>
            <c:v>St.4</c:v>
          </c:tx>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2'!$I$141:$I$144</c:f>
              <c:numCache>
                <c:formatCode>0.00</c:formatCode>
                <c:ptCount val="4"/>
                <c:pt idx="0">
                  <c:v>16.646000000000001</c:v>
                </c:pt>
                <c:pt idx="1">
                  <c:v>37.935000000000002</c:v>
                </c:pt>
                <c:pt idx="2">
                  <c:v>29.68</c:v>
                </c:pt>
                <c:pt idx="3">
                  <c:v>23.582999999999998</c:v>
                </c:pt>
              </c:numCache>
            </c:numRef>
          </c:xVal>
          <c:yVal>
            <c:numRef>
              <c:f>'Table 2'!$H$141:$H$144</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072A-4A09-9F8C-5C5886BF27B5}"/>
            </c:ext>
          </c:extLst>
        </c:ser>
        <c:ser>
          <c:idx val="4"/>
          <c:order val="4"/>
          <c:tx>
            <c:v>St.5</c:v>
          </c:tx>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2'!$I$145:$I$148</c:f>
              <c:numCache>
                <c:formatCode>General</c:formatCode>
                <c:ptCount val="4"/>
                <c:pt idx="0">
                  <c:v>46.39</c:v>
                </c:pt>
                <c:pt idx="1">
                  <c:v>65.114999999999995</c:v>
                </c:pt>
                <c:pt idx="2">
                  <c:v>9.9350000000000005</c:v>
                </c:pt>
                <c:pt idx="3">
                  <c:v>36.953000000000003</c:v>
                </c:pt>
              </c:numCache>
            </c:numRef>
          </c:xVal>
          <c:yVal>
            <c:numRef>
              <c:f>'Table 2'!$H$145:$H$148</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072A-4A09-9F8C-5C5886BF27B5}"/>
            </c:ext>
          </c:extLst>
        </c:ser>
        <c:dLbls>
          <c:showLegendKey val="0"/>
          <c:showVal val="0"/>
          <c:showCatName val="0"/>
          <c:showSerName val="0"/>
          <c:showPercent val="0"/>
          <c:showBubbleSize val="0"/>
        </c:dLbls>
        <c:axId val="137149440"/>
        <c:axId val="137155712"/>
      </c:scatterChart>
      <c:valAx>
        <c:axId val="137149440"/>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7155712"/>
        <c:crossesAt val="0"/>
        <c:crossBetween val="midCat"/>
        <c:majorUnit val="100"/>
      </c:valAx>
      <c:valAx>
        <c:axId val="137155712"/>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7149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April 2015</a:t>
            </a:r>
            <a:endParaRPr lang="en-US" sz="600" b="1"/>
          </a:p>
        </c:rich>
      </c:tx>
      <c:layout>
        <c:manualLayout>
          <c:xMode val="edge"/>
          <c:yMode val="edge"/>
          <c:x val="0.33321782550245904"/>
          <c:y val="0"/>
        </c:manualLayout>
      </c:layout>
      <c:overlay val="0"/>
      <c:spPr>
        <a:noFill/>
        <a:ln>
          <a:noFill/>
        </a:ln>
        <a:effectLst/>
      </c:spPr>
    </c:title>
    <c:autoTitleDeleted val="0"/>
    <c:plotArea>
      <c:layout>
        <c:manualLayout>
          <c:layoutTarget val="inner"/>
          <c:xMode val="edge"/>
          <c:yMode val="edge"/>
          <c:x val="0.27083023688846958"/>
          <c:y val="0.27080234762321376"/>
          <c:w val="0.5135611760088844"/>
          <c:h val="0.67827172645086031"/>
        </c:manualLayout>
      </c:layout>
      <c:scatterChart>
        <c:scatterStyle val="smoothMarker"/>
        <c:varyColors val="0"/>
        <c:ser>
          <c:idx val="0"/>
          <c:order val="0"/>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2'!$J$126:$J$130</c:f>
              <c:numCache>
                <c:formatCode>0.00</c:formatCode>
                <c:ptCount val="5"/>
                <c:pt idx="0">
                  <c:v>194.41</c:v>
                </c:pt>
                <c:pt idx="1">
                  <c:v>186.12</c:v>
                </c:pt>
                <c:pt idx="2">
                  <c:v>75.680000000000007</c:v>
                </c:pt>
                <c:pt idx="3">
                  <c:v>174.12</c:v>
                </c:pt>
                <c:pt idx="4">
                  <c:v>119.98</c:v>
                </c:pt>
              </c:numCache>
            </c:numRef>
          </c:xVal>
          <c:yVal>
            <c:numRef>
              <c:f>'Table 2'!$H$126:$H$130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4D3F-461C-9E77-88E066C8E619}"/>
            </c:ext>
          </c:extLst>
        </c:ser>
        <c:ser>
          <c:idx val="1"/>
          <c:order val="1"/>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2'!$J$131:$J$135</c:f>
              <c:numCache>
                <c:formatCode>0.00</c:formatCode>
                <c:ptCount val="5"/>
                <c:pt idx="0">
                  <c:v>153.71700000000001</c:v>
                </c:pt>
                <c:pt idx="1">
                  <c:v>117.735</c:v>
                </c:pt>
                <c:pt idx="2">
                  <c:v>133.46</c:v>
                </c:pt>
                <c:pt idx="3">
                  <c:v>193.95</c:v>
                </c:pt>
              </c:numCache>
            </c:numRef>
          </c:xVal>
          <c:yVal>
            <c:numRef>
              <c:f>'Table 2'!$H$131:$H$135</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4D3F-461C-9E77-88E066C8E619}"/>
            </c:ext>
          </c:extLst>
        </c:ser>
        <c:ser>
          <c:idx val="2"/>
          <c:order val="2"/>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2'!$J$136:$J$140</c:f>
              <c:numCache>
                <c:formatCode>0.00</c:formatCode>
                <c:ptCount val="5"/>
                <c:pt idx="0">
                  <c:v>259.98</c:v>
                </c:pt>
                <c:pt idx="1">
                  <c:v>105.33</c:v>
                </c:pt>
                <c:pt idx="2">
                  <c:v>142.851</c:v>
                </c:pt>
                <c:pt idx="3">
                  <c:v>95.77</c:v>
                </c:pt>
              </c:numCache>
            </c:numRef>
          </c:xVal>
          <c:yVal>
            <c:numRef>
              <c:f>'Table 2'!$H$136:$H$140</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4D3F-461C-9E77-88E066C8E619}"/>
            </c:ext>
          </c:extLst>
        </c:ser>
        <c:ser>
          <c:idx val="3"/>
          <c:order val="3"/>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2'!$J$141:$J$144</c:f>
              <c:numCache>
                <c:formatCode>0.00</c:formatCode>
                <c:ptCount val="4"/>
                <c:pt idx="0">
                  <c:v>106.38</c:v>
                </c:pt>
                <c:pt idx="1">
                  <c:v>85.06</c:v>
                </c:pt>
                <c:pt idx="2">
                  <c:v>89.25</c:v>
                </c:pt>
              </c:numCache>
            </c:numRef>
          </c:xVal>
          <c:yVal>
            <c:numRef>
              <c:f>'Table 2'!$H$141:$H$144</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4D3F-461C-9E77-88E066C8E619}"/>
            </c:ext>
          </c:extLst>
        </c:ser>
        <c:ser>
          <c:idx val="4"/>
          <c:order val="4"/>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2'!$J$145:$J$148</c:f>
              <c:numCache>
                <c:formatCode>General</c:formatCode>
                <c:ptCount val="4"/>
                <c:pt idx="0">
                  <c:v>95.32</c:v>
                </c:pt>
                <c:pt idx="1">
                  <c:v>60.97</c:v>
                </c:pt>
              </c:numCache>
            </c:numRef>
          </c:xVal>
          <c:yVal>
            <c:numRef>
              <c:f>'Table 2'!$H$145:$H$148</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4D3F-461C-9E77-88E066C8E619}"/>
            </c:ext>
          </c:extLst>
        </c:ser>
        <c:dLbls>
          <c:showLegendKey val="0"/>
          <c:showVal val="0"/>
          <c:showCatName val="0"/>
          <c:showSerName val="0"/>
          <c:showPercent val="0"/>
          <c:showBubbleSize val="0"/>
        </c:dLbls>
        <c:axId val="139462912"/>
        <c:axId val="139481472"/>
      </c:scatterChart>
      <c:valAx>
        <c:axId val="139462912"/>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9481472"/>
        <c:crossesAt val="0"/>
        <c:crossBetween val="midCat"/>
        <c:majorUnit val="100"/>
      </c:valAx>
      <c:valAx>
        <c:axId val="139481472"/>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394629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November 2015</a:t>
            </a:r>
            <a:endParaRPr lang="en-US" sz="600" b="1"/>
          </a:p>
        </c:rich>
      </c:tx>
      <c:layout>
        <c:manualLayout>
          <c:xMode val="edge"/>
          <c:yMode val="edge"/>
          <c:x val="0.28823586046959443"/>
          <c:y val="0"/>
        </c:manualLayout>
      </c:layout>
      <c:overlay val="0"/>
      <c:spPr>
        <a:noFill/>
        <a:ln>
          <a:noFill/>
        </a:ln>
        <a:effectLst/>
      </c:spPr>
    </c:title>
    <c:autoTitleDeleted val="0"/>
    <c:plotArea>
      <c:layout>
        <c:manualLayout>
          <c:layoutTarget val="inner"/>
          <c:xMode val="edge"/>
          <c:yMode val="edge"/>
          <c:x val="0.32235017497812773"/>
          <c:y val="0.27080234762321376"/>
          <c:w val="0.4620406824146982"/>
          <c:h val="0.67827172645086031"/>
        </c:manualLayout>
      </c:layout>
      <c:scatterChart>
        <c:scatterStyle val="smoothMarker"/>
        <c:varyColors val="0"/>
        <c:ser>
          <c:idx val="0"/>
          <c:order val="0"/>
          <c:tx>
            <c:v>St.1</c:v>
          </c:tx>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2'!$I$88:$I$92</c:f>
              <c:numCache>
                <c:formatCode>0.0</c:formatCode>
                <c:ptCount val="5"/>
                <c:pt idx="0">
                  <c:v>98.673000000000002</c:v>
                </c:pt>
                <c:pt idx="1">
                  <c:v>152.584</c:v>
                </c:pt>
                <c:pt idx="2">
                  <c:v>150.85300000000001</c:v>
                </c:pt>
                <c:pt idx="3">
                  <c:v>208.36500000000001</c:v>
                </c:pt>
                <c:pt idx="4">
                  <c:v>123.313</c:v>
                </c:pt>
              </c:numCache>
            </c:numRef>
          </c:xVal>
          <c:yVal>
            <c:numRef>
              <c:f>'Table 2'!$H$88:$H$92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955A-468E-A7EA-47BFC46A19D0}"/>
            </c:ext>
          </c:extLst>
        </c:ser>
        <c:ser>
          <c:idx val="1"/>
          <c:order val="1"/>
          <c:tx>
            <c:v>St.2</c:v>
          </c:tx>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2'!$I$93:$I$97</c:f>
              <c:numCache>
                <c:formatCode>0.0</c:formatCode>
                <c:ptCount val="5"/>
                <c:pt idx="0">
                  <c:v>92.421000000000006</c:v>
                </c:pt>
                <c:pt idx="1">
                  <c:v>117.499</c:v>
                </c:pt>
                <c:pt idx="2">
                  <c:v>256.30399999999997</c:v>
                </c:pt>
                <c:pt idx="3">
                  <c:v>80.650000000000006</c:v>
                </c:pt>
              </c:numCache>
            </c:numRef>
          </c:xVal>
          <c:yVal>
            <c:numRef>
              <c:f>'Table 2'!$H$93:$H$97</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955A-468E-A7EA-47BFC46A19D0}"/>
            </c:ext>
          </c:extLst>
        </c:ser>
        <c:ser>
          <c:idx val="2"/>
          <c:order val="2"/>
          <c:tx>
            <c:v>St.3</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2'!$I$98:$I$102</c:f>
              <c:numCache>
                <c:formatCode>0.0</c:formatCode>
                <c:ptCount val="5"/>
                <c:pt idx="0">
                  <c:v>87.968000000000004</c:v>
                </c:pt>
                <c:pt idx="1">
                  <c:v>43.372999999999998</c:v>
                </c:pt>
                <c:pt idx="2">
                  <c:v>59.42</c:v>
                </c:pt>
                <c:pt idx="3">
                  <c:v>112.15300000000001</c:v>
                </c:pt>
              </c:numCache>
            </c:numRef>
          </c:xVal>
          <c:yVal>
            <c:numRef>
              <c:f>'Table 2'!$H$98:$H$102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955A-468E-A7EA-47BFC46A19D0}"/>
            </c:ext>
          </c:extLst>
        </c:ser>
        <c:ser>
          <c:idx val="3"/>
          <c:order val="3"/>
          <c:tx>
            <c:v>St.4</c:v>
          </c:tx>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2'!$I$103:$I$106</c:f>
              <c:numCache>
                <c:formatCode>0.0</c:formatCode>
                <c:ptCount val="4"/>
                <c:pt idx="0">
                  <c:v>16.199000000000002</c:v>
                </c:pt>
                <c:pt idx="1">
                  <c:v>22.673999999999999</c:v>
                </c:pt>
                <c:pt idx="2">
                  <c:v>23.524000000000001</c:v>
                </c:pt>
              </c:numCache>
            </c:numRef>
          </c:xVal>
          <c:yVal>
            <c:numRef>
              <c:f>'Table 2'!$H$103:$H$106</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955A-468E-A7EA-47BFC46A19D0}"/>
            </c:ext>
          </c:extLst>
        </c:ser>
        <c:ser>
          <c:idx val="4"/>
          <c:order val="4"/>
          <c:tx>
            <c:v>St.5</c:v>
          </c:tx>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2'!$I$107:$I$110</c:f>
              <c:numCache>
                <c:formatCode>0.0</c:formatCode>
                <c:ptCount val="4"/>
                <c:pt idx="0">
                  <c:v>31.105</c:v>
                </c:pt>
                <c:pt idx="1">
                  <c:v>32.363</c:v>
                </c:pt>
              </c:numCache>
            </c:numRef>
          </c:xVal>
          <c:yVal>
            <c:numRef>
              <c:f>'Table 2'!$H$107:$H$110</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955A-468E-A7EA-47BFC46A19D0}"/>
            </c:ext>
          </c:extLst>
        </c:ser>
        <c:dLbls>
          <c:showLegendKey val="0"/>
          <c:showVal val="0"/>
          <c:showCatName val="0"/>
          <c:showSerName val="0"/>
          <c:showPercent val="0"/>
          <c:showBubbleSize val="0"/>
        </c:dLbls>
        <c:axId val="164177024"/>
        <c:axId val="164179328"/>
      </c:scatterChart>
      <c:valAx>
        <c:axId val="164177024"/>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4179328"/>
        <c:crossesAt val="0"/>
        <c:crossBetween val="midCat"/>
        <c:majorUnit val="100"/>
      </c:valAx>
      <c:valAx>
        <c:axId val="164179328"/>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64177024"/>
        <c:crosses val="autoZero"/>
        <c:crossBetween val="midCat"/>
      </c:valAx>
      <c:spPr>
        <a:noFill/>
        <a:ln>
          <a:noFill/>
        </a:ln>
        <a:effectLst/>
      </c:spPr>
    </c:plotArea>
    <c:legend>
      <c:legendPos val="r"/>
      <c:layout>
        <c:manualLayout>
          <c:xMode val="edge"/>
          <c:yMode val="edge"/>
          <c:x val="0.51831617989846257"/>
          <c:y val="0.78358816866300107"/>
          <c:w val="0.47049933657447007"/>
          <c:h val="0.21641114274795231"/>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spc="0" baseline="0">
                <a:solidFill>
                  <a:schemeClr val="tx1">
                    <a:lumMod val="65000"/>
                    <a:lumOff val="35000"/>
                  </a:schemeClr>
                </a:solidFill>
                <a:latin typeface="+mn-lt"/>
                <a:ea typeface="+mn-ea"/>
                <a:cs typeface="+mn-cs"/>
              </a:defRPr>
            </a:pPr>
            <a:r>
              <a:rPr lang="en-US" sz="600" b="1" baseline="0"/>
              <a:t>April 2016</a:t>
            </a:r>
            <a:endParaRPr lang="en-US" sz="600" b="1"/>
          </a:p>
        </c:rich>
      </c:tx>
      <c:layout>
        <c:manualLayout>
          <c:xMode val="edge"/>
          <c:yMode val="edge"/>
          <c:x val="0.33321782550245904"/>
          <c:y val="0"/>
        </c:manualLayout>
      </c:layout>
      <c:overlay val="0"/>
      <c:spPr>
        <a:noFill/>
        <a:ln>
          <a:noFill/>
        </a:ln>
        <a:effectLst/>
      </c:spPr>
    </c:title>
    <c:autoTitleDeleted val="0"/>
    <c:plotArea>
      <c:layout>
        <c:manualLayout>
          <c:layoutTarget val="inner"/>
          <c:xMode val="edge"/>
          <c:yMode val="edge"/>
          <c:x val="0.27083023688846958"/>
          <c:y val="0.27080234762321376"/>
          <c:w val="0.5135611760088844"/>
          <c:h val="0.67827172645086031"/>
        </c:manualLayout>
      </c:layout>
      <c:scatterChart>
        <c:scatterStyle val="smoothMarker"/>
        <c:varyColors val="0"/>
        <c:ser>
          <c:idx val="0"/>
          <c:order val="0"/>
          <c:spPr>
            <a:ln w="12700" cap="rnd">
              <a:solidFill>
                <a:schemeClr val="accent1"/>
              </a:solidFill>
              <a:round/>
            </a:ln>
            <a:effectLst/>
          </c:spPr>
          <c:marker>
            <c:symbol val="circle"/>
            <c:size val="3"/>
            <c:spPr>
              <a:solidFill>
                <a:schemeClr val="accent1"/>
              </a:solidFill>
              <a:ln w="9525">
                <a:solidFill>
                  <a:schemeClr val="accent1"/>
                </a:solidFill>
              </a:ln>
              <a:effectLst/>
            </c:spPr>
          </c:marker>
          <c:xVal>
            <c:numRef>
              <c:f>'Table 2'!$J$88:$J$92</c:f>
              <c:numCache>
                <c:formatCode>0.0</c:formatCode>
                <c:ptCount val="5"/>
                <c:pt idx="0">
                  <c:v>74.126530000000002</c:v>
                </c:pt>
                <c:pt idx="1">
                  <c:v>55.034589999999994</c:v>
                </c:pt>
                <c:pt idx="2">
                  <c:v>39.036699999999996</c:v>
                </c:pt>
                <c:pt idx="3">
                  <c:v>40.695589999999996</c:v>
                </c:pt>
                <c:pt idx="4">
                  <c:v>68.617380000000011</c:v>
                </c:pt>
              </c:numCache>
            </c:numRef>
          </c:xVal>
          <c:yVal>
            <c:numRef>
              <c:f>'Table 2'!$H$88:$H$92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0-D12E-45C0-AC04-53EAF5997006}"/>
            </c:ext>
          </c:extLst>
        </c:ser>
        <c:ser>
          <c:idx val="1"/>
          <c:order val="1"/>
          <c:spPr>
            <a:ln w="12700" cap="rnd">
              <a:solidFill>
                <a:schemeClr val="accent2"/>
              </a:solidFill>
              <a:round/>
            </a:ln>
            <a:effectLst/>
          </c:spPr>
          <c:marker>
            <c:symbol val="circle"/>
            <c:size val="3"/>
            <c:spPr>
              <a:solidFill>
                <a:schemeClr val="accent2"/>
              </a:solidFill>
              <a:ln w="9525">
                <a:solidFill>
                  <a:schemeClr val="accent2"/>
                </a:solidFill>
              </a:ln>
              <a:effectLst/>
            </c:spPr>
          </c:marker>
          <c:xVal>
            <c:numRef>
              <c:f>'Table 2'!$J$93:$J$97</c:f>
              <c:numCache>
                <c:formatCode>0.0</c:formatCode>
                <c:ptCount val="5"/>
                <c:pt idx="0">
                  <c:v>32.684220000000003</c:v>
                </c:pt>
                <c:pt idx="1">
                  <c:v>23.03</c:v>
                </c:pt>
                <c:pt idx="2">
                  <c:v>13.12762</c:v>
                </c:pt>
                <c:pt idx="3">
                  <c:v>38.970737</c:v>
                </c:pt>
                <c:pt idx="4">
                  <c:v>22.028749999999999</c:v>
                </c:pt>
              </c:numCache>
            </c:numRef>
          </c:xVal>
          <c:yVal>
            <c:numRef>
              <c:f>'Table 2'!$H$93:$H$97</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1-D12E-45C0-AC04-53EAF5997006}"/>
            </c:ext>
          </c:extLst>
        </c:ser>
        <c:ser>
          <c:idx val="2"/>
          <c:order val="2"/>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'Table 2'!$J$98:$J$102</c:f>
              <c:numCache>
                <c:formatCode>0.0</c:formatCode>
                <c:ptCount val="5"/>
                <c:pt idx="0">
                  <c:v>167.28781000000001</c:v>
                </c:pt>
                <c:pt idx="1">
                  <c:v>150.22999999999999</c:v>
                </c:pt>
                <c:pt idx="2">
                  <c:v>77.73</c:v>
                </c:pt>
                <c:pt idx="3">
                  <c:v>33.93768</c:v>
                </c:pt>
                <c:pt idx="4">
                  <c:v>52.357669999999999</c:v>
                </c:pt>
              </c:numCache>
            </c:numRef>
          </c:xVal>
          <c:yVal>
            <c:numRef>
              <c:f>'Table 2'!$H$98:$H$102</c:f>
              <c:numCache>
                <c:formatCode>General</c:formatCode>
                <c:ptCount val="5"/>
                <c:pt idx="0">
                  <c:v>3</c:v>
                </c:pt>
                <c:pt idx="1">
                  <c:v>6</c:v>
                </c:pt>
                <c:pt idx="2">
                  <c:v>15</c:v>
                </c:pt>
                <c:pt idx="3">
                  <c:v>20</c:v>
                </c:pt>
                <c:pt idx="4">
                  <c:v>30</c:v>
                </c:pt>
              </c:numCache>
            </c:numRef>
          </c:yVal>
          <c:smooth val="1"/>
          <c:extLst xmlns:c16r2="http://schemas.microsoft.com/office/drawing/2015/06/chart">
            <c:ext xmlns:c16="http://schemas.microsoft.com/office/drawing/2014/chart" uri="{C3380CC4-5D6E-409C-BE32-E72D297353CC}">
              <c16:uniqueId val="{00000002-D12E-45C0-AC04-53EAF5997006}"/>
            </c:ext>
          </c:extLst>
        </c:ser>
        <c:ser>
          <c:idx val="3"/>
          <c:order val="3"/>
          <c:spPr>
            <a:ln w="12700" cap="rnd">
              <a:solidFill>
                <a:schemeClr val="accent4"/>
              </a:solidFill>
              <a:round/>
            </a:ln>
            <a:effectLst/>
          </c:spPr>
          <c:marker>
            <c:symbol val="circle"/>
            <c:size val="3"/>
            <c:spPr>
              <a:solidFill>
                <a:schemeClr val="accent4"/>
              </a:solidFill>
              <a:ln w="9525">
                <a:solidFill>
                  <a:schemeClr val="accent4"/>
                </a:solidFill>
              </a:ln>
              <a:effectLst/>
            </c:spPr>
          </c:marker>
          <c:xVal>
            <c:numRef>
              <c:f>'Table 2'!$J$103:$J$106</c:f>
              <c:numCache>
                <c:formatCode>0.0</c:formatCode>
                <c:ptCount val="4"/>
                <c:pt idx="0">
                  <c:v>50.75705</c:v>
                </c:pt>
                <c:pt idx="1">
                  <c:v>47.385910000000003</c:v>
                </c:pt>
                <c:pt idx="2">
                  <c:v>65.591460000000012</c:v>
                </c:pt>
                <c:pt idx="3">
                  <c:v>114.89682000000001</c:v>
                </c:pt>
              </c:numCache>
            </c:numRef>
          </c:xVal>
          <c:yVal>
            <c:numRef>
              <c:f>'Table 2'!$H$103:$H$106</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3-D12E-45C0-AC04-53EAF5997006}"/>
            </c:ext>
          </c:extLst>
        </c:ser>
        <c:ser>
          <c:idx val="4"/>
          <c:order val="4"/>
          <c:spPr>
            <a:ln w="12700" cap="rnd">
              <a:solidFill>
                <a:schemeClr val="accent5"/>
              </a:solidFill>
              <a:round/>
            </a:ln>
            <a:effectLst/>
          </c:spPr>
          <c:marker>
            <c:symbol val="circle"/>
            <c:size val="3"/>
            <c:spPr>
              <a:solidFill>
                <a:schemeClr val="accent5"/>
              </a:solidFill>
              <a:ln w="9525">
                <a:solidFill>
                  <a:schemeClr val="accent5"/>
                </a:solidFill>
              </a:ln>
              <a:effectLst/>
            </c:spPr>
          </c:marker>
          <c:xVal>
            <c:numRef>
              <c:f>'Table 2'!$J$107:$J$110</c:f>
              <c:numCache>
                <c:formatCode>0.0</c:formatCode>
                <c:ptCount val="4"/>
                <c:pt idx="0">
                  <c:v>30.92</c:v>
                </c:pt>
                <c:pt idx="1">
                  <c:v>31.676410000000001</c:v>
                </c:pt>
                <c:pt idx="2">
                  <c:v>37.230069999999998</c:v>
                </c:pt>
                <c:pt idx="3">
                  <c:v>59.447120000000005</c:v>
                </c:pt>
              </c:numCache>
            </c:numRef>
          </c:xVal>
          <c:yVal>
            <c:numRef>
              <c:f>'Table 2'!$H$107:$H$110</c:f>
              <c:numCache>
                <c:formatCode>General</c:formatCode>
                <c:ptCount val="4"/>
                <c:pt idx="0">
                  <c:v>3</c:v>
                </c:pt>
                <c:pt idx="1">
                  <c:v>6</c:v>
                </c:pt>
                <c:pt idx="2">
                  <c:v>15</c:v>
                </c:pt>
                <c:pt idx="3">
                  <c:v>20</c:v>
                </c:pt>
              </c:numCache>
            </c:numRef>
          </c:yVal>
          <c:smooth val="1"/>
          <c:extLst xmlns:c16r2="http://schemas.microsoft.com/office/drawing/2015/06/chart">
            <c:ext xmlns:c16="http://schemas.microsoft.com/office/drawing/2014/chart" uri="{C3380CC4-5D6E-409C-BE32-E72D297353CC}">
              <c16:uniqueId val="{00000004-D12E-45C0-AC04-53EAF5997006}"/>
            </c:ext>
          </c:extLst>
        </c:ser>
        <c:dLbls>
          <c:showLegendKey val="0"/>
          <c:showVal val="0"/>
          <c:showCatName val="0"/>
          <c:showSerName val="0"/>
          <c:showPercent val="0"/>
          <c:showBubbleSize val="0"/>
        </c:dLbls>
        <c:axId val="141026048"/>
        <c:axId val="141028352"/>
      </c:scatterChart>
      <c:valAx>
        <c:axId val="141026048"/>
        <c:scaling>
          <c:orientation val="minMax"/>
          <c:max val="300"/>
          <c:min val="0"/>
        </c:scaling>
        <c:delete val="0"/>
        <c:axPos val="t"/>
        <c:title>
          <c:tx>
            <c:rich>
              <a:bodyPr rot="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Conc.</a:t>
                </a:r>
                <a:r>
                  <a:rPr lang="en-US" sz="400" baseline="0"/>
                  <a:t> (</a:t>
                </a:r>
                <a:r>
                  <a:rPr lang="el-GR" sz="400" baseline="0">
                    <a:latin typeface="Calibri" panose="020F0502020204030204" pitchFamily="34" charset="0"/>
                  </a:rPr>
                  <a:t>μ</a:t>
                </a:r>
                <a:r>
                  <a:rPr lang="en-US" sz="400" baseline="0">
                    <a:latin typeface="Calibri" panose="020F0502020204030204" pitchFamily="34" charset="0"/>
                  </a:rPr>
                  <a:t>g/L)</a:t>
                </a:r>
                <a:endParaRPr lang="en-US" sz="400"/>
              </a:p>
            </c:rich>
          </c:tx>
          <c:layout>
            <c:manualLayout>
              <c:xMode val="edge"/>
              <c:yMode val="edge"/>
              <c:x val="0.34457795108591271"/>
              <c:y val="9.4001722163534515E-2"/>
            </c:manualLayout>
          </c:layout>
          <c:overlay val="0"/>
          <c:spPr>
            <a:noFill/>
            <a:ln>
              <a:noFill/>
            </a:ln>
            <a:effectLst/>
          </c:spPr>
        </c:title>
        <c:numFmt formatCode="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1028352"/>
        <c:crossesAt val="0"/>
        <c:crossBetween val="midCat"/>
        <c:majorUnit val="100"/>
      </c:valAx>
      <c:valAx>
        <c:axId val="141028352"/>
        <c:scaling>
          <c:orientation val="maxMin"/>
        </c:scaling>
        <c:delete val="0"/>
        <c:axPos val="l"/>
        <c:title>
          <c:tx>
            <c:rich>
              <a:bodyPr rot="-54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r>
                  <a:rPr lang="en-US" sz="400"/>
                  <a:t>depth</a:t>
                </a:r>
                <a:r>
                  <a:rPr lang="en-US" sz="400" baseline="0"/>
                  <a:t> (m)</a:t>
                </a:r>
                <a:endParaRPr lang="en-US" sz="400"/>
              </a:p>
            </c:rich>
          </c:tx>
          <c:layout/>
          <c:overlay val="0"/>
          <c:spPr>
            <a:noFill/>
            <a:ln>
              <a:noFill/>
            </a:ln>
            <a:effectLst/>
          </c:sp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41026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0602F-A159-4FE9-9A24-8AA2AD0E8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5111</Words>
  <Characters>26890</Characters>
  <Application>Microsoft Office Word</Application>
  <DocSecurity>0</DocSecurity>
  <Lines>746</Lines>
  <Paragraphs>463</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13</cp:revision>
  <cp:lastPrinted>2019-12-18T15:55:00Z</cp:lastPrinted>
  <dcterms:created xsi:type="dcterms:W3CDTF">2019-12-03T02:19:00Z</dcterms:created>
  <dcterms:modified xsi:type="dcterms:W3CDTF">2019-12-18T15:55:00Z</dcterms:modified>
</cp:coreProperties>
</file>