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637469"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637469" w:rsidP="00084936">
      <w:pPr>
        <w:spacing w:after="0" w:line="240" w:lineRule="auto"/>
        <w:jc w:val="center"/>
        <w:rPr>
          <w:rFonts w:ascii="Times New Roman" w:hAnsi="Times New Roman"/>
          <w:b/>
          <w:noProof/>
          <w:color w:val="FFFFFF"/>
          <w:sz w:val="24"/>
          <w:szCs w:val="28"/>
          <w:lang w:bidi="ar-SA"/>
        </w:rPr>
      </w:pPr>
      <w:r>
        <w:rPr>
          <w:noProof/>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82F07" w:rsidRDefault="00D82F07" w:rsidP="00D82F07">
      <w:pPr>
        <w:spacing w:after="0" w:line="240" w:lineRule="auto"/>
        <w:jc w:val="center"/>
        <w:rPr>
          <w:rFonts w:ascii="Times New Roman" w:hAnsi="Times New Roman"/>
          <w:sz w:val="28"/>
          <w:szCs w:val="28"/>
        </w:rPr>
      </w:pPr>
      <w:r w:rsidRPr="006A03DF">
        <w:rPr>
          <w:rFonts w:ascii="Times New Roman" w:hAnsi="Times New Roman"/>
          <w:sz w:val="28"/>
          <w:szCs w:val="28"/>
        </w:rPr>
        <w:t xml:space="preserve">PALEOPRODUCTIVITY VARIATION IN TERENGGANU OFFSHORE DURING HOLOCENE BASED ON </w:t>
      </w:r>
      <w:r>
        <w:rPr>
          <w:rFonts w:ascii="Times New Roman" w:hAnsi="Times New Roman"/>
          <w:sz w:val="28"/>
          <w:szCs w:val="28"/>
        </w:rPr>
        <w:t>TOTAL ORGANIC CARBON</w:t>
      </w:r>
      <w:r w:rsidRPr="006A03DF">
        <w:rPr>
          <w:rFonts w:ascii="Times New Roman" w:hAnsi="Times New Roman"/>
          <w:sz w:val="28"/>
          <w:szCs w:val="28"/>
        </w:rPr>
        <w:t xml:space="preserve"> </w:t>
      </w:r>
    </w:p>
    <w:p w:rsidR="00D82F07" w:rsidRPr="006A03DF" w:rsidRDefault="00D82F07" w:rsidP="00D82F07">
      <w:pPr>
        <w:spacing w:after="0" w:line="240" w:lineRule="auto"/>
        <w:jc w:val="center"/>
        <w:rPr>
          <w:rFonts w:ascii="Times New Roman" w:hAnsi="Times New Roman"/>
          <w:sz w:val="28"/>
          <w:szCs w:val="28"/>
        </w:rPr>
      </w:pPr>
      <w:r w:rsidRPr="006A03DF">
        <w:rPr>
          <w:rFonts w:ascii="Times New Roman" w:hAnsi="Times New Roman"/>
          <w:sz w:val="28"/>
          <w:szCs w:val="28"/>
        </w:rPr>
        <w:t>AND CaCO</w:t>
      </w:r>
      <w:r w:rsidRPr="006A03DF">
        <w:rPr>
          <w:rFonts w:ascii="Times New Roman" w:hAnsi="Times New Roman"/>
          <w:sz w:val="28"/>
          <w:szCs w:val="28"/>
          <w:vertAlign w:val="subscript"/>
        </w:rPr>
        <w:t>3</w:t>
      </w:r>
      <w:r w:rsidRPr="006A03DF">
        <w:rPr>
          <w:rFonts w:ascii="Times New Roman" w:hAnsi="Times New Roman"/>
          <w:sz w:val="28"/>
          <w:szCs w:val="28"/>
        </w:rPr>
        <w:t xml:space="preserve"> RECORDS</w:t>
      </w:r>
    </w:p>
    <w:p w:rsidR="00D82F07" w:rsidRPr="006A03DF" w:rsidRDefault="00D82F07" w:rsidP="00D82F07">
      <w:pPr>
        <w:spacing w:after="0" w:line="240" w:lineRule="auto"/>
        <w:jc w:val="center"/>
        <w:rPr>
          <w:rFonts w:ascii="Times New Roman" w:hAnsi="Times New Roman"/>
          <w:b/>
          <w:sz w:val="24"/>
          <w:szCs w:val="24"/>
        </w:rPr>
      </w:pPr>
    </w:p>
    <w:p w:rsidR="00D82F07" w:rsidRPr="006A03DF" w:rsidRDefault="00D82F07" w:rsidP="00D82F07">
      <w:pPr>
        <w:spacing w:after="0" w:line="240" w:lineRule="auto"/>
        <w:jc w:val="center"/>
        <w:rPr>
          <w:rFonts w:ascii="Times New Roman" w:hAnsi="Times New Roman"/>
          <w:sz w:val="24"/>
          <w:szCs w:val="24"/>
        </w:rPr>
      </w:pPr>
      <w:r w:rsidRPr="006A03DF">
        <w:rPr>
          <w:rFonts w:ascii="Times New Roman" w:hAnsi="Times New Roman"/>
          <w:sz w:val="24"/>
          <w:szCs w:val="24"/>
        </w:rPr>
        <w:t>(</w:t>
      </w:r>
      <w:r w:rsidRPr="006A03DF">
        <w:rPr>
          <w:rFonts w:ascii="Times New Roman" w:hAnsi="Times New Roman"/>
          <w:sz w:val="24"/>
          <w:szCs w:val="24"/>
          <w:lang w:val="ms-MY"/>
        </w:rPr>
        <w:t xml:space="preserve">Variasi Paleoproduktiviti di Luar Pesisir Pantai Terengganu Ketika Holosen Berdasarkan Rekod </w:t>
      </w:r>
      <w:r>
        <w:rPr>
          <w:rFonts w:ascii="Times New Roman" w:hAnsi="Times New Roman"/>
          <w:sz w:val="24"/>
          <w:szCs w:val="24"/>
          <w:lang w:val="ms-MY"/>
        </w:rPr>
        <w:t>Jumlah Karbon Organik</w:t>
      </w:r>
      <w:r w:rsidRPr="006A03DF">
        <w:rPr>
          <w:rFonts w:ascii="Times New Roman" w:hAnsi="Times New Roman"/>
          <w:sz w:val="24"/>
          <w:szCs w:val="24"/>
          <w:lang w:val="ms-MY"/>
        </w:rPr>
        <w:t xml:space="preserve"> dan CaCO</w:t>
      </w:r>
      <w:r w:rsidRPr="006A03DF">
        <w:rPr>
          <w:rFonts w:ascii="Times New Roman" w:hAnsi="Times New Roman"/>
          <w:sz w:val="24"/>
          <w:szCs w:val="24"/>
          <w:vertAlign w:val="subscript"/>
          <w:lang w:val="ms-MY"/>
        </w:rPr>
        <w:t>3</w:t>
      </w:r>
      <w:r w:rsidRPr="006A03DF">
        <w:rPr>
          <w:rFonts w:ascii="Times New Roman" w:hAnsi="Times New Roman"/>
          <w:sz w:val="24"/>
          <w:szCs w:val="24"/>
        </w:rPr>
        <w:t>)</w:t>
      </w:r>
    </w:p>
    <w:p w:rsidR="00D82F07" w:rsidRPr="00D82F07" w:rsidRDefault="00D82F07" w:rsidP="00D82F07">
      <w:pPr>
        <w:spacing w:after="0" w:line="240" w:lineRule="auto"/>
        <w:jc w:val="center"/>
        <w:rPr>
          <w:rFonts w:ascii="Times New Roman" w:hAnsi="Times New Roman"/>
          <w:b/>
          <w:sz w:val="20"/>
          <w:szCs w:val="20"/>
        </w:rPr>
      </w:pPr>
    </w:p>
    <w:p w:rsidR="00D82F07" w:rsidRPr="00D82F07" w:rsidRDefault="00D82F07" w:rsidP="00D82F07">
      <w:pPr>
        <w:spacing w:after="0" w:line="240" w:lineRule="auto"/>
        <w:jc w:val="center"/>
        <w:rPr>
          <w:rFonts w:ascii="Times New Roman" w:hAnsi="Times New Roman"/>
          <w:sz w:val="20"/>
          <w:szCs w:val="20"/>
          <w:vertAlign w:val="superscript"/>
        </w:rPr>
      </w:pPr>
      <w:r w:rsidRPr="00D82F07">
        <w:rPr>
          <w:rFonts w:ascii="Times New Roman" w:hAnsi="Times New Roman"/>
          <w:sz w:val="20"/>
          <w:szCs w:val="20"/>
        </w:rPr>
        <w:t>Erick Naim</w:t>
      </w:r>
      <w:r w:rsidRPr="00D82F07">
        <w:rPr>
          <w:rFonts w:ascii="Times New Roman" w:hAnsi="Times New Roman"/>
          <w:sz w:val="20"/>
          <w:szCs w:val="20"/>
          <w:vertAlign w:val="superscript"/>
        </w:rPr>
        <w:t>1</w:t>
      </w:r>
      <w:r w:rsidRPr="00D82F07">
        <w:rPr>
          <w:rFonts w:ascii="Times New Roman" w:hAnsi="Times New Roman"/>
          <w:sz w:val="20"/>
          <w:szCs w:val="20"/>
        </w:rPr>
        <w:t>, Hasrizal Shaari</w:t>
      </w:r>
      <w:r w:rsidRPr="00D82F07">
        <w:rPr>
          <w:rFonts w:ascii="Times New Roman" w:hAnsi="Times New Roman"/>
          <w:sz w:val="20"/>
          <w:szCs w:val="20"/>
          <w:vertAlign w:val="superscript"/>
        </w:rPr>
        <w:t>1,2</w:t>
      </w:r>
      <w:r w:rsidRPr="00D82F07">
        <w:rPr>
          <w:rFonts w:ascii="Times New Roman" w:hAnsi="Times New Roman"/>
          <w:sz w:val="20"/>
          <w:szCs w:val="20"/>
        </w:rPr>
        <w:t>*, Mohd Fadzil Akhir</w:t>
      </w:r>
      <w:r w:rsidRPr="00D82F07">
        <w:rPr>
          <w:rFonts w:ascii="Times New Roman" w:hAnsi="Times New Roman"/>
          <w:sz w:val="20"/>
          <w:szCs w:val="20"/>
          <w:vertAlign w:val="superscript"/>
        </w:rPr>
        <w:t>1</w:t>
      </w:r>
    </w:p>
    <w:p w:rsidR="00D82F07" w:rsidRPr="006A03DF" w:rsidRDefault="00D82F07" w:rsidP="00D82F07">
      <w:pPr>
        <w:spacing w:after="0" w:line="240" w:lineRule="auto"/>
        <w:jc w:val="center"/>
        <w:rPr>
          <w:rFonts w:ascii="Times New Roman" w:hAnsi="Times New Roman"/>
          <w:b/>
          <w:sz w:val="18"/>
          <w:szCs w:val="18"/>
        </w:rPr>
      </w:pPr>
    </w:p>
    <w:p w:rsidR="00D82F07" w:rsidRPr="006A03DF" w:rsidRDefault="00D82F07" w:rsidP="00D82F07">
      <w:pPr>
        <w:spacing w:after="0" w:line="240" w:lineRule="auto"/>
        <w:jc w:val="center"/>
        <w:rPr>
          <w:rFonts w:ascii="Times New Roman" w:hAnsi="Times New Roman"/>
          <w:i/>
          <w:sz w:val="18"/>
          <w:szCs w:val="18"/>
        </w:rPr>
      </w:pPr>
      <w:r w:rsidRPr="006A03DF">
        <w:rPr>
          <w:rFonts w:ascii="Times New Roman" w:hAnsi="Times New Roman"/>
          <w:i/>
          <w:sz w:val="18"/>
          <w:szCs w:val="18"/>
          <w:vertAlign w:val="superscript"/>
        </w:rPr>
        <w:t>1</w:t>
      </w:r>
      <w:r w:rsidRPr="006A03DF">
        <w:rPr>
          <w:rFonts w:ascii="Times New Roman" w:hAnsi="Times New Roman"/>
          <w:i/>
          <w:sz w:val="18"/>
          <w:szCs w:val="18"/>
        </w:rPr>
        <w:t xml:space="preserve">Institute of Oceanography and Environment </w:t>
      </w:r>
    </w:p>
    <w:p w:rsidR="00D82F07" w:rsidRPr="006A03DF" w:rsidRDefault="00D82F07" w:rsidP="00D82F07">
      <w:pPr>
        <w:spacing w:after="0" w:line="240" w:lineRule="auto"/>
        <w:jc w:val="center"/>
        <w:rPr>
          <w:rFonts w:ascii="Times New Roman" w:hAnsi="Times New Roman"/>
          <w:i/>
          <w:sz w:val="18"/>
          <w:szCs w:val="18"/>
        </w:rPr>
      </w:pPr>
      <w:r w:rsidRPr="006A03DF">
        <w:rPr>
          <w:rFonts w:ascii="Times New Roman" w:hAnsi="Times New Roman"/>
          <w:i/>
          <w:sz w:val="18"/>
          <w:szCs w:val="18"/>
          <w:vertAlign w:val="superscript"/>
        </w:rPr>
        <w:t>2</w:t>
      </w:r>
      <w:r w:rsidRPr="006A03DF">
        <w:rPr>
          <w:rFonts w:ascii="Times New Roman" w:hAnsi="Times New Roman"/>
          <w:i/>
          <w:sz w:val="18"/>
          <w:szCs w:val="18"/>
        </w:rPr>
        <w:t>Faculty of Science and Marine Environment</w:t>
      </w:r>
    </w:p>
    <w:p w:rsidR="00D82F07" w:rsidRPr="006A03DF" w:rsidRDefault="00D82F07" w:rsidP="00D82F07">
      <w:pPr>
        <w:spacing w:after="0" w:line="240" w:lineRule="auto"/>
        <w:jc w:val="center"/>
        <w:rPr>
          <w:rFonts w:ascii="Times New Roman" w:hAnsi="Times New Roman"/>
          <w:i/>
          <w:sz w:val="18"/>
          <w:szCs w:val="18"/>
        </w:rPr>
      </w:pPr>
      <w:r w:rsidRPr="006A03DF">
        <w:rPr>
          <w:rFonts w:ascii="Times New Roman" w:hAnsi="Times New Roman"/>
          <w:i/>
          <w:sz w:val="18"/>
          <w:szCs w:val="18"/>
        </w:rPr>
        <w:t>Universiti Malaysia Terengganu, 21030 Kuala Nerus, Terengganu, Malaysia.</w:t>
      </w:r>
    </w:p>
    <w:p w:rsidR="00D82F07" w:rsidRPr="006A03DF" w:rsidRDefault="00D82F07" w:rsidP="00D82F07">
      <w:pPr>
        <w:spacing w:after="0" w:line="240" w:lineRule="auto"/>
        <w:jc w:val="center"/>
        <w:rPr>
          <w:rFonts w:ascii="Times New Roman" w:hAnsi="Times New Roman"/>
          <w:b/>
          <w:sz w:val="18"/>
          <w:szCs w:val="18"/>
        </w:rPr>
      </w:pPr>
    </w:p>
    <w:p w:rsidR="00D82F07" w:rsidRPr="006A03DF" w:rsidRDefault="00D82F07" w:rsidP="00D82F07">
      <w:pPr>
        <w:spacing w:after="0" w:line="240" w:lineRule="auto"/>
        <w:jc w:val="center"/>
        <w:rPr>
          <w:rFonts w:ascii="Times New Roman" w:hAnsi="Times New Roman"/>
          <w:i/>
          <w:sz w:val="18"/>
          <w:szCs w:val="18"/>
        </w:rPr>
      </w:pPr>
      <w:r w:rsidRPr="00D82F07">
        <w:rPr>
          <w:rFonts w:ascii="Times New Roman" w:hAnsi="Times New Roman"/>
          <w:i/>
          <w:sz w:val="18"/>
          <w:szCs w:val="18"/>
        </w:rPr>
        <w:t>*</w:t>
      </w:r>
      <w:r>
        <w:rPr>
          <w:rFonts w:ascii="Times New Roman" w:hAnsi="Times New Roman"/>
          <w:i/>
          <w:sz w:val="18"/>
          <w:szCs w:val="18"/>
        </w:rPr>
        <w:t xml:space="preserve">Corresponding author:  </w:t>
      </w:r>
      <w:r w:rsidRPr="006A03DF">
        <w:rPr>
          <w:rFonts w:ascii="Times New Roman" w:hAnsi="Times New Roman"/>
          <w:i/>
          <w:sz w:val="18"/>
          <w:szCs w:val="18"/>
        </w:rPr>
        <w:t>riz@umt.edu.my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47C17">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C47C17">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82F07" w:rsidRPr="006A03DF" w:rsidRDefault="00D82F07" w:rsidP="00D82F07">
      <w:pPr>
        <w:spacing w:after="0" w:line="240" w:lineRule="auto"/>
        <w:jc w:val="both"/>
        <w:rPr>
          <w:rFonts w:ascii="Times New Roman" w:hAnsi="Times New Roman"/>
          <w:sz w:val="18"/>
          <w:szCs w:val="18"/>
        </w:rPr>
      </w:pPr>
      <w:r w:rsidRPr="006A03DF">
        <w:rPr>
          <w:rFonts w:ascii="Times New Roman" w:hAnsi="Times New Roman"/>
          <w:sz w:val="18"/>
          <w:szCs w:val="18"/>
        </w:rPr>
        <w:t>In this study, a sediment core (TER16-GC13C) length 180 cm was sampled in the offshore area of Terengganu, southern South China Sea (SSCS) with RV Discovery to establish the paleoproductivity records during the Holocene. The concentrations of total organic carbon (TOC) and calcium carbonate (CaCO</w:t>
      </w:r>
      <w:r w:rsidRPr="006A03DF">
        <w:rPr>
          <w:rFonts w:ascii="Times New Roman" w:hAnsi="Times New Roman"/>
          <w:sz w:val="18"/>
          <w:szCs w:val="18"/>
          <w:vertAlign w:val="subscript"/>
        </w:rPr>
        <w:t>3</w:t>
      </w:r>
      <w:r w:rsidRPr="006A03DF">
        <w:rPr>
          <w:rFonts w:ascii="Times New Roman" w:hAnsi="Times New Roman"/>
          <w:sz w:val="18"/>
          <w:szCs w:val="18"/>
        </w:rPr>
        <w:t>) were analyzed by using a Shimadzu TOC Analyzer. The age model was established from carbon-14 data of the intact shells (</w:t>
      </w:r>
      <w:r w:rsidRPr="006A03DF">
        <w:rPr>
          <w:rFonts w:ascii="Times New Roman" w:hAnsi="Times New Roman"/>
          <w:i/>
          <w:sz w:val="18"/>
          <w:szCs w:val="18"/>
        </w:rPr>
        <w:t>Anadara</w:t>
      </w:r>
      <w:r w:rsidRPr="006A03DF">
        <w:rPr>
          <w:rFonts w:ascii="Times New Roman" w:hAnsi="Times New Roman"/>
          <w:sz w:val="18"/>
          <w:szCs w:val="18"/>
        </w:rPr>
        <w:t xml:space="preserve"> sp., </w:t>
      </w:r>
      <w:r w:rsidRPr="006A03DF">
        <w:rPr>
          <w:rFonts w:ascii="Times New Roman" w:hAnsi="Times New Roman"/>
          <w:i/>
          <w:sz w:val="18"/>
          <w:szCs w:val="18"/>
        </w:rPr>
        <w:t>Mactra</w:t>
      </w:r>
      <w:r w:rsidRPr="006A03DF">
        <w:rPr>
          <w:rFonts w:ascii="Times New Roman" w:hAnsi="Times New Roman"/>
          <w:sz w:val="18"/>
          <w:szCs w:val="18"/>
        </w:rPr>
        <w:t xml:space="preserve"> sp., </w:t>
      </w:r>
      <w:r w:rsidRPr="006A03DF">
        <w:rPr>
          <w:rFonts w:ascii="Times New Roman" w:hAnsi="Times New Roman"/>
          <w:i/>
          <w:sz w:val="18"/>
          <w:szCs w:val="18"/>
        </w:rPr>
        <w:t>Meiocardia</w:t>
      </w:r>
      <w:r w:rsidRPr="006A03DF">
        <w:rPr>
          <w:rFonts w:ascii="Times New Roman" w:hAnsi="Times New Roman"/>
          <w:sz w:val="18"/>
          <w:szCs w:val="18"/>
        </w:rPr>
        <w:t xml:space="preserve"> sp., </w:t>
      </w:r>
      <w:r w:rsidRPr="006A03DF">
        <w:rPr>
          <w:rFonts w:ascii="Times New Roman" w:hAnsi="Times New Roman"/>
          <w:i/>
          <w:sz w:val="18"/>
          <w:szCs w:val="18"/>
        </w:rPr>
        <w:t>Pecten</w:t>
      </w:r>
      <w:r w:rsidRPr="006A03DF">
        <w:rPr>
          <w:rFonts w:ascii="Times New Roman" w:hAnsi="Times New Roman"/>
          <w:sz w:val="18"/>
          <w:szCs w:val="18"/>
        </w:rPr>
        <w:t xml:space="preserve"> sp.) found within the sediment core. The time frame of the analyzed sediment core sample covered the Northgrippian (~7840 cal yr BP). Average TOC value was 0.23±0.07% with a decreasing trend towards Meghalayan. CaCO</w:t>
      </w:r>
      <w:r w:rsidRPr="006A03DF">
        <w:rPr>
          <w:rFonts w:ascii="Times New Roman" w:hAnsi="Times New Roman"/>
          <w:sz w:val="18"/>
          <w:szCs w:val="18"/>
          <w:vertAlign w:val="subscript"/>
        </w:rPr>
        <w:t>3</w:t>
      </w:r>
      <w:r w:rsidRPr="006A03DF">
        <w:rPr>
          <w:rFonts w:ascii="Times New Roman" w:hAnsi="Times New Roman"/>
          <w:sz w:val="18"/>
          <w:szCs w:val="18"/>
        </w:rPr>
        <w:t xml:space="preserve"> content ranged from 3.38% to 12.05% with an average of 6.95±2.05% with an increasing trend towards Meghalayan. We suggested that TOC and CaCO</w:t>
      </w:r>
      <w:r w:rsidRPr="006A03DF">
        <w:rPr>
          <w:rFonts w:ascii="Times New Roman" w:hAnsi="Times New Roman"/>
          <w:sz w:val="18"/>
          <w:szCs w:val="18"/>
          <w:vertAlign w:val="subscript"/>
        </w:rPr>
        <w:t>3</w:t>
      </w:r>
      <w:r w:rsidRPr="006A03DF">
        <w:rPr>
          <w:rFonts w:ascii="Times New Roman" w:hAnsi="Times New Roman"/>
          <w:sz w:val="18"/>
          <w:szCs w:val="18"/>
        </w:rPr>
        <w:t xml:space="preserve"> represent the organic and carbonate-based organisms, respectively. This scenario suggested that a change in community structure had occurred in the study site in which organic (calcareous) organism population had remained low (increased) from Northgrippian towards Meghalayan. This work is the first attempt in reconstructing paleoproductivity records in Malaysian waters. </w:t>
      </w:r>
    </w:p>
    <w:p w:rsidR="00D82F07" w:rsidRPr="006A03DF" w:rsidRDefault="00D82F07" w:rsidP="00D82F07">
      <w:pPr>
        <w:spacing w:after="0" w:line="240" w:lineRule="auto"/>
        <w:jc w:val="both"/>
        <w:rPr>
          <w:rFonts w:ascii="Times New Roman" w:hAnsi="Times New Roman"/>
          <w:sz w:val="18"/>
          <w:szCs w:val="18"/>
        </w:rPr>
      </w:pPr>
    </w:p>
    <w:p w:rsidR="00D82F07" w:rsidRPr="006A03DF" w:rsidRDefault="00D82F07" w:rsidP="00D82F07">
      <w:pPr>
        <w:spacing w:after="0" w:line="240" w:lineRule="auto"/>
        <w:jc w:val="both"/>
        <w:rPr>
          <w:rFonts w:ascii="Times New Roman" w:hAnsi="Times New Roman"/>
        </w:rPr>
      </w:pPr>
      <w:r w:rsidRPr="006A03DF">
        <w:rPr>
          <w:rFonts w:ascii="Times New Roman" w:hAnsi="Times New Roman"/>
          <w:b/>
          <w:sz w:val="18"/>
          <w:szCs w:val="18"/>
        </w:rPr>
        <w:t>Keywords:</w:t>
      </w:r>
      <w:r w:rsidRPr="006A03DF">
        <w:rPr>
          <w:rFonts w:ascii="Times New Roman" w:hAnsi="Times New Roman"/>
          <w:sz w:val="18"/>
          <w:szCs w:val="18"/>
        </w:rPr>
        <w:t xml:space="preserve"> </w:t>
      </w:r>
      <w:r>
        <w:rPr>
          <w:rFonts w:ascii="Times New Roman" w:hAnsi="Times New Roman"/>
          <w:sz w:val="18"/>
          <w:szCs w:val="18"/>
        </w:rPr>
        <w:t xml:space="preserve"> </w:t>
      </w:r>
      <w:r w:rsidRPr="006A03DF">
        <w:rPr>
          <w:rFonts w:ascii="Times New Roman" w:hAnsi="Times New Roman"/>
          <w:sz w:val="18"/>
          <w:szCs w:val="18"/>
        </w:rPr>
        <w:t>paleoproductivity, total organic carbon, calcium carbonate, Holocene, southern South China Sea</w:t>
      </w:r>
      <w:r w:rsidRPr="006A03DF">
        <w:t xml:space="preserve"> </w:t>
      </w:r>
    </w:p>
    <w:p w:rsidR="00D82F07" w:rsidRPr="006A03DF" w:rsidRDefault="00D82F07" w:rsidP="00D82F07">
      <w:pPr>
        <w:spacing w:after="0" w:line="240" w:lineRule="auto"/>
        <w:jc w:val="center"/>
        <w:rPr>
          <w:rFonts w:ascii="Times New Roman" w:hAnsi="Times New Roman"/>
          <w:b/>
          <w:sz w:val="18"/>
          <w:szCs w:val="18"/>
        </w:rPr>
      </w:pPr>
    </w:p>
    <w:p w:rsidR="00D82F07" w:rsidRPr="006A03DF" w:rsidRDefault="00D82F07" w:rsidP="00D82F07">
      <w:pPr>
        <w:spacing w:after="0" w:line="240" w:lineRule="auto"/>
        <w:jc w:val="center"/>
        <w:rPr>
          <w:rFonts w:ascii="Times New Roman" w:hAnsi="Times New Roman"/>
          <w:b/>
          <w:sz w:val="18"/>
          <w:szCs w:val="18"/>
          <w:lang w:val="ms-MY"/>
        </w:rPr>
      </w:pPr>
      <w:r w:rsidRPr="006A03DF">
        <w:rPr>
          <w:rFonts w:ascii="Times New Roman" w:hAnsi="Times New Roman"/>
          <w:b/>
          <w:sz w:val="18"/>
          <w:szCs w:val="18"/>
          <w:lang w:val="ms-MY"/>
        </w:rPr>
        <w:t>Abstrak</w:t>
      </w:r>
    </w:p>
    <w:p w:rsidR="00D82F07" w:rsidRPr="006A03DF" w:rsidRDefault="00D82F07" w:rsidP="00D82F07">
      <w:pPr>
        <w:spacing w:after="0" w:line="240" w:lineRule="auto"/>
        <w:jc w:val="both"/>
        <w:rPr>
          <w:rFonts w:ascii="Times New Roman" w:hAnsi="Times New Roman"/>
          <w:sz w:val="18"/>
          <w:szCs w:val="18"/>
          <w:lang w:val="ms-MY"/>
        </w:rPr>
      </w:pPr>
      <w:r w:rsidRPr="006A03DF">
        <w:rPr>
          <w:rFonts w:ascii="Times New Roman" w:hAnsi="Times New Roman"/>
          <w:sz w:val="18"/>
          <w:szCs w:val="18"/>
          <w:lang w:val="ms-MY"/>
        </w:rPr>
        <w:t>Dalam kajian ini, teras sedimen (TER16-GC13C) sepanjang 180 cm telah disampel di kawasan luar pesisir pantai Terengganu, selatan Laut China Selatan (SSCS) dengan RV Discovery untuk menyediakan rekod-rekod paleoproduktiviti ketika Holosen. Kandungan jumlah karbon organik (TOC) dan kalsium karbonat (CaCO</w:t>
      </w:r>
      <w:r w:rsidRPr="006A03DF">
        <w:rPr>
          <w:rFonts w:ascii="Times New Roman" w:hAnsi="Times New Roman"/>
          <w:sz w:val="18"/>
          <w:szCs w:val="18"/>
          <w:vertAlign w:val="subscript"/>
          <w:lang w:val="ms-MY"/>
        </w:rPr>
        <w:t>3</w:t>
      </w:r>
      <w:r w:rsidRPr="006A03DF">
        <w:rPr>
          <w:rFonts w:ascii="Times New Roman" w:hAnsi="Times New Roman"/>
          <w:sz w:val="18"/>
          <w:szCs w:val="18"/>
          <w:lang w:val="ms-MY"/>
        </w:rPr>
        <w:t>) telah dianalisa menggunakan penganalisa TOC Shimadzu. Model usia telah dihasilkan daripada data karbon-14 cengkerang sempurna (</w:t>
      </w:r>
      <w:r w:rsidRPr="006A03DF">
        <w:rPr>
          <w:rFonts w:ascii="Times New Roman" w:hAnsi="Times New Roman"/>
          <w:i/>
          <w:sz w:val="18"/>
          <w:szCs w:val="18"/>
          <w:lang w:val="ms-MY"/>
        </w:rPr>
        <w:t>Anadara</w:t>
      </w:r>
      <w:r w:rsidRPr="006A03DF">
        <w:rPr>
          <w:rFonts w:ascii="Times New Roman" w:hAnsi="Times New Roman"/>
          <w:sz w:val="18"/>
          <w:szCs w:val="18"/>
          <w:lang w:val="ms-MY"/>
        </w:rPr>
        <w:t xml:space="preserve"> sp., </w:t>
      </w:r>
      <w:r w:rsidRPr="006A03DF">
        <w:rPr>
          <w:rFonts w:ascii="Times New Roman" w:hAnsi="Times New Roman"/>
          <w:i/>
          <w:sz w:val="18"/>
          <w:szCs w:val="18"/>
          <w:lang w:val="ms-MY"/>
        </w:rPr>
        <w:t>Mactra</w:t>
      </w:r>
      <w:r w:rsidRPr="006A03DF">
        <w:rPr>
          <w:rFonts w:ascii="Times New Roman" w:hAnsi="Times New Roman"/>
          <w:sz w:val="18"/>
          <w:szCs w:val="18"/>
          <w:lang w:val="ms-MY"/>
        </w:rPr>
        <w:t xml:space="preserve"> sp., </w:t>
      </w:r>
      <w:r w:rsidRPr="006A03DF">
        <w:rPr>
          <w:rFonts w:ascii="Times New Roman" w:hAnsi="Times New Roman"/>
          <w:i/>
          <w:sz w:val="18"/>
          <w:szCs w:val="18"/>
          <w:lang w:val="ms-MY"/>
        </w:rPr>
        <w:t>Meiocardia</w:t>
      </w:r>
      <w:r w:rsidRPr="006A03DF">
        <w:rPr>
          <w:rFonts w:ascii="Times New Roman" w:hAnsi="Times New Roman"/>
          <w:sz w:val="18"/>
          <w:szCs w:val="18"/>
          <w:lang w:val="ms-MY"/>
        </w:rPr>
        <w:t xml:space="preserve"> sp., </w:t>
      </w:r>
      <w:r w:rsidRPr="006A03DF">
        <w:rPr>
          <w:rFonts w:ascii="Times New Roman" w:hAnsi="Times New Roman"/>
          <w:i/>
          <w:sz w:val="18"/>
          <w:szCs w:val="18"/>
          <w:lang w:val="ms-MY"/>
        </w:rPr>
        <w:t>Pecten</w:t>
      </w:r>
      <w:r w:rsidRPr="006A03DF">
        <w:rPr>
          <w:rFonts w:ascii="Times New Roman" w:hAnsi="Times New Roman"/>
          <w:sz w:val="18"/>
          <w:szCs w:val="18"/>
          <w:lang w:val="ms-MY"/>
        </w:rPr>
        <w:t xml:space="preserve"> sp.) yang dijumpai di dalam teras sedimen. Jangka usia teras sedimen yang dikaji meliputi tempoh Northgrippian (~7840 cal yr BP). Nilai purata TOC adalah 0.23±0.07% dengan pola pengurangan ke arah Meghalayan. Kandungan CaCO</w:t>
      </w:r>
      <w:r w:rsidRPr="006A03DF">
        <w:rPr>
          <w:rFonts w:ascii="Times New Roman" w:hAnsi="Times New Roman"/>
          <w:sz w:val="18"/>
          <w:szCs w:val="18"/>
          <w:vertAlign w:val="subscript"/>
          <w:lang w:val="ms-MY"/>
        </w:rPr>
        <w:t>3</w:t>
      </w:r>
      <w:r w:rsidRPr="006A03DF">
        <w:rPr>
          <w:rFonts w:ascii="Times New Roman" w:hAnsi="Times New Roman"/>
          <w:sz w:val="18"/>
          <w:szCs w:val="18"/>
          <w:lang w:val="ms-MY"/>
        </w:rPr>
        <w:t xml:space="preserve"> berjulat daripada 3.38% hingga 12.05% dengan purata 6.95±2.05%, dan meningkat ke arah Meghalayan. Kami berpendapat bahawa TOC dan CaCO</w:t>
      </w:r>
      <w:r w:rsidRPr="006A03DF">
        <w:rPr>
          <w:rFonts w:ascii="Times New Roman" w:hAnsi="Times New Roman"/>
          <w:sz w:val="18"/>
          <w:szCs w:val="18"/>
          <w:vertAlign w:val="subscript"/>
          <w:lang w:val="ms-MY"/>
        </w:rPr>
        <w:t>3</w:t>
      </w:r>
      <w:r w:rsidRPr="006A03DF">
        <w:rPr>
          <w:rFonts w:ascii="Times New Roman" w:hAnsi="Times New Roman"/>
          <w:sz w:val="18"/>
          <w:szCs w:val="18"/>
          <w:lang w:val="ms-MY"/>
        </w:rPr>
        <w:t xml:space="preserve"> mewakili organisma-organisma berasaskan organik dan karbonat secara relatifnya. Senario ini menggambarkan suatu perubahan dalam struktur komuniti telah berlaku di kawasan kajian di mana populasi organisma organik (karbonat) kekal rendah (meningkat) dari Northgrippian menuju Meghalayan. Kajian ini merupakan percubaan pertama dalam pembinaan semula rekod-rekod paleoproduktiviti di perairan Malaysia.</w:t>
      </w:r>
    </w:p>
    <w:p w:rsidR="00D82F07" w:rsidRPr="006A03DF" w:rsidRDefault="00D82F07" w:rsidP="00D82F07">
      <w:pPr>
        <w:spacing w:after="0" w:line="240" w:lineRule="auto"/>
        <w:jc w:val="both"/>
        <w:rPr>
          <w:rFonts w:ascii="Times New Roman" w:hAnsi="Times New Roman"/>
          <w:sz w:val="18"/>
          <w:szCs w:val="18"/>
          <w:lang w:val="ms-MY"/>
        </w:rPr>
      </w:pPr>
    </w:p>
    <w:p w:rsidR="006768E9" w:rsidRDefault="00D82F07" w:rsidP="00D82F07">
      <w:pPr>
        <w:spacing w:after="0" w:line="240" w:lineRule="auto"/>
        <w:jc w:val="both"/>
        <w:rPr>
          <w:rFonts w:ascii="Times New Roman" w:hAnsi="Times New Roman"/>
          <w:noProof/>
          <w:sz w:val="20"/>
          <w:szCs w:val="20"/>
          <w:lang w:bidi="ar-SA"/>
        </w:rPr>
      </w:pPr>
      <w:r w:rsidRPr="006A03DF">
        <w:rPr>
          <w:rFonts w:ascii="Times New Roman" w:hAnsi="Times New Roman"/>
          <w:b/>
          <w:sz w:val="18"/>
          <w:szCs w:val="18"/>
          <w:lang w:val="ms-MY"/>
        </w:rPr>
        <w:t>Kata kunci:</w:t>
      </w:r>
      <w:r w:rsidRPr="006A03DF">
        <w:rPr>
          <w:rFonts w:ascii="Times New Roman" w:hAnsi="Times New Roman"/>
          <w:b/>
          <w:lang w:val="ms-MY"/>
        </w:rPr>
        <w:t xml:space="preserve"> </w:t>
      </w:r>
      <w:r>
        <w:rPr>
          <w:rFonts w:ascii="Times New Roman" w:hAnsi="Times New Roman"/>
          <w:b/>
          <w:lang w:val="ms-MY"/>
        </w:rPr>
        <w:t xml:space="preserve"> </w:t>
      </w:r>
      <w:r w:rsidRPr="006A03DF">
        <w:rPr>
          <w:rFonts w:ascii="Times New Roman" w:hAnsi="Times New Roman"/>
          <w:sz w:val="18"/>
          <w:szCs w:val="18"/>
          <w:lang w:val="ms-MY"/>
        </w:rPr>
        <w:t>paleoproduktiviti, jumlah karbon organik, kalsium karbonat, Holosen, selatan Laut China Selatan</w:t>
      </w:r>
    </w:p>
    <w:p w:rsidR="00494C46" w:rsidRDefault="00494C46" w:rsidP="00F447A7">
      <w:pPr>
        <w:spacing w:after="0" w:line="240" w:lineRule="auto"/>
        <w:jc w:val="center"/>
        <w:rPr>
          <w:rFonts w:ascii="Times New Roman" w:hAnsi="Times New Roman"/>
          <w:noProof/>
          <w:sz w:val="20"/>
          <w:szCs w:val="20"/>
          <w:lang w:bidi="ar-SA"/>
        </w:rPr>
      </w:pPr>
    </w:p>
    <w:p w:rsidR="00D82F07" w:rsidRDefault="00D82F07" w:rsidP="00F447A7">
      <w:pPr>
        <w:spacing w:after="0" w:line="240" w:lineRule="auto"/>
        <w:jc w:val="center"/>
        <w:rPr>
          <w:rFonts w:ascii="Times New Roman" w:hAnsi="Times New Roman"/>
          <w:noProof/>
          <w:sz w:val="20"/>
          <w:szCs w:val="20"/>
          <w:lang w:bidi="ar-SA"/>
        </w:rPr>
      </w:pPr>
    </w:p>
    <w:p w:rsidR="00D82F07" w:rsidRDefault="00D82F07" w:rsidP="00F447A7">
      <w:pPr>
        <w:spacing w:after="0" w:line="240" w:lineRule="auto"/>
        <w:jc w:val="center"/>
        <w:rPr>
          <w:rFonts w:ascii="Times New Roman" w:hAnsi="Times New Roman"/>
          <w:noProof/>
          <w:sz w:val="20"/>
          <w:szCs w:val="20"/>
          <w:lang w:bidi="ar-SA"/>
        </w:rPr>
      </w:pPr>
    </w:p>
    <w:p w:rsidR="00D82F07" w:rsidRPr="00BE7C30" w:rsidRDefault="00D82F07"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Paleoproductivity reconstruction provides insights into the past fertility of an area of interest with focus on the primary producers. Over time, many approaches have been developed to measure ocean paleoproductivity, including the utilization of total organic carbon (TOC) [1, 2, 3] and calcium carbonate (CaCO</w:t>
      </w:r>
      <w:r w:rsidRPr="00D82F07">
        <w:rPr>
          <w:rFonts w:ascii="Times New Roman" w:hAnsi="Times New Roman"/>
          <w:sz w:val="20"/>
          <w:szCs w:val="20"/>
          <w:vertAlign w:val="subscript"/>
        </w:rPr>
        <w:t>3</w:t>
      </w:r>
      <w:r w:rsidRPr="00D82F07">
        <w:rPr>
          <w:rFonts w:ascii="Times New Roman" w:hAnsi="Times New Roman"/>
          <w:sz w:val="20"/>
          <w:szCs w:val="20"/>
        </w:rPr>
        <w:t>) as reliable proxies [4] which were used in this study. It is very important that the paleoproductivity of an area of interest is assessed by using more than one proxy because each proxy is subjected to multiple influencing factors and has varying sensitivities which may change temporally and spatially [5-7]. This argument was introduced by Averyt and Paytan [6] who reported conflicting results among proxies studied in a common core.</w:t>
      </w:r>
    </w:p>
    <w:p w:rsidR="00D82F07" w:rsidRPr="00D82F07" w:rsidRDefault="00D82F07" w:rsidP="00D82F07">
      <w:pPr>
        <w:spacing w:after="0" w:line="240" w:lineRule="auto"/>
        <w:jc w:val="both"/>
        <w:rPr>
          <w:rFonts w:ascii="Times New Roman" w:hAnsi="Times New Roman"/>
          <w:sz w:val="20"/>
          <w:szCs w:val="20"/>
        </w:rPr>
      </w:pPr>
    </w:p>
    <w:p w:rsid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TOC (CaCO</w:t>
      </w:r>
      <w:r w:rsidRPr="00D82F07">
        <w:rPr>
          <w:rFonts w:ascii="Times New Roman" w:hAnsi="Times New Roman"/>
          <w:sz w:val="20"/>
          <w:szCs w:val="20"/>
          <w:vertAlign w:val="subscript"/>
        </w:rPr>
        <w:t>3</w:t>
      </w:r>
      <w:r w:rsidRPr="00D82F07">
        <w:rPr>
          <w:rFonts w:ascii="Times New Roman" w:hAnsi="Times New Roman"/>
          <w:sz w:val="20"/>
          <w:szCs w:val="20"/>
        </w:rPr>
        <w:t>) is derived from the organic (carbonate) remains of primary producers which have accumulated on the seabed over time. Microscopic calcareous organisms i.e. coccolithophores (algae) and foraminifera which live in the water column, form their shells from CaCO</w:t>
      </w:r>
      <w:r w:rsidRPr="00D82F07">
        <w:rPr>
          <w:rFonts w:ascii="Times New Roman" w:hAnsi="Times New Roman"/>
          <w:sz w:val="20"/>
          <w:szCs w:val="20"/>
          <w:vertAlign w:val="subscript"/>
        </w:rPr>
        <w:t>3</w:t>
      </w:r>
      <w:r w:rsidRPr="00D82F07">
        <w:rPr>
          <w:rFonts w:ascii="Times New Roman" w:hAnsi="Times New Roman"/>
          <w:sz w:val="20"/>
          <w:szCs w:val="20"/>
        </w:rPr>
        <w:t xml:space="preserve"> [8]. Wang and Lin [9] stated that the major factors controlling the proxies are surface water productivity and/or sediment preservation, on top of other influencing aspects. Additionally, despite being influenced by a number of factors, TOC in sediment is mainly governed by three master variables which are the input, the preservation, and the dilution of organic matter, with the latter two influenced by sedimentation rate [10]. Despite being preserved in only a small portion from the initial amount, the total amount of organic carbon preserved in sediment is still a reliable proxy of palaeoceanographic and paleoenvironmental conditions [11].</w:t>
      </w:r>
    </w:p>
    <w:p w:rsidR="00D82F07" w:rsidRP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Both biogenic proxies were used to reconstruct the surface ocean productivity in the past at the study area in Terengganu water. To date, no published data is available on the past surface productivity of Malaysian waters. The focus area is generally relatively poor in productivity as compared to main fishing grounds (e.g. west coasts of South America and Africa). Here we present the records of TOC and CaCO</w:t>
      </w:r>
      <w:r w:rsidRPr="00D82F07">
        <w:rPr>
          <w:rFonts w:ascii="Times New Roman" w:hAnsi="Times New Roman"/>
          <w:sz w:val="20"/>
          <w:szCs w:val="20"/>
          <w:vertAlign w:val="subscript"/>
        </w:rPr>
        <w:t>3</w:t>
      </w:r>
      <w:r w:rsidRPr="00D82F07">
        <w:rPr>
          <w:rFonts w:ascii="Times New Roman" w:hAnsi="Times New Roman"/>
          <w:sz w:val="20"/>
          <w:szCs w:val="20"/>
        </w:rPr>
        <w:t xml:space="preserve"> over the last 7840 cal yr BP from a sediment core recovered from the southern South China Sea (SCS), specifically from an area which was part of the landmass known as Sundaland before being flooded during the early Holocene sea level transgression which took place between 11650 yr BP and 7000 yr BP [12, 13]. This research aims to seek knowledge on the site productivity status during Holocene, filling in the research gap as well as providing a baseline for future studies in the region.</w:t>
      </w:r>
    </w:p>
    <w:p w:rsidR="00D82F07" w:rsidRPr="00D82F07" w:rsidRDefault="00D82F07" w:rsidP="00D82F07">
      <w:pPr>
        <w:spacing w:after="0" w:line="240" w:lineRule="auto"/>
        <w:jc w:val="center"/>
        <w:rPr>
          <w:rFonts w:ascii="Times New Roman" w:hAnsi="Times New Roman"/>
          <w:sz w:val="20"/>
          <w:szCs w:val="20"/>
        </w:rPr>
      </w:pPr>
    </w:p>
    <w:p w:rsidR="00D82F07" w:rsidRPr="00D82F07" w:rsidRDefault="00D82F07" w:rsidP="00D82F07">
      <w:pPr>
        <w:spacing w:after="0" w:line="240" w:lineRule="auto"/>
        <w:jc w:val="center"/>
        <w:rPr>
          <w:rFonts w:ascii="Times New Roman" w:hAnsi="Times New Roman"/>
          <w:b/>
          <w:sz w:val="20"/>
          <w:szCs w:val="20"/>
        </w:rPr>
      </w:pPr>
      <w:r w:rsidRPr="00D82F07">
        <w:rPr>
          <w:rFonts w:ascii="Times New Roman" w:hAnsi="Times New Roman"/>
          <w:b/>
          <w:sz w:val="20"/>
          <w:szCs w:val="20"/>
        </w:rPr>
        <w:t>Materials and Methods</w:t>
      </w: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b/>
          <w:sz w:val="20"/>
          <w:szCs w:val="20"/>
        </w:rPr>
        <w:t>Study area</w:t>
      </w:r>
    </w:p>
    <w:p w:rsid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The SCS is one of the largest marginal basins in the Pacific Ocean, encompassing an area of 3.5×10</w:t>
      </w:r>
      <w:r w:rsidRPr="00D82F07">
        <w:rPr>
          <w:rFonts w:ascii="Times New Roman" w:hAnsi="Times New Roman"/>
          <w:sz w:val="20"/>
          <w:szCs w:val="20"/>
          <w:vertAlign w:val="superscript"/>
        </w:rPr>
        <w:t>6</w:t>
      </w:r>
      <w:r w:rsidRPr="00D82F07">
        <w:rPr>
          <w:rFonts w:ascii="Times New Roman" w:hAnsi="Times New Roman"/>
          <w:sz w:val="20"/>
          <w:szCs w:val="20"/>
        </w:rPr>
        <w:t xml:space="preserve"> km</w:t>
      </w:r>
      <w:r w:rsidRPr="00D82F07">
        <w:rPr>
          <w:rFonts w:ascii="Times New Roman" w:hAnsi="Times New Roman"/>
          <w:sz w:val="20"/>
          <w:szCs w:val="20"/>
          <w:vertAlign w:val="superscript"/>
        </w:rPr>
        <w:t>2</w:t>
      </w:r>
      <w:r w:rsidRPr="00D82F07">
        <w:rPr>
          <w:rFonts w:ascii="Times New Roman" w:hAnsi="Times New Roman"/>
          <w:sz w:val="20"/>
          <w:szCs w:val="20"/>
        </w:rPr>
        <w:t xml:space="preserve"> [14] and subjected to northeast monsoons and southwest monsoons, with the former having stronger influence over the region in terms of precipitation (Figure 1). The study area is located within the shallow Sunda shelf at the SSCS. </w:t>
      </w:r>
    </w:p>
    <w:p w:rsid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120" w:line="240" w:lineRule="auto"/>
        <w:jc w:val="center"/>
        <w:rPr>
          <w:rFonts w:ascii="Times New Roman" w:hAnsi="Times New Roman"/>
          <w:sz w:val="20"/>
          <w:szCs w:val="20"/>
        </w:rPr>
      </w:pPr>
      <w:r w:rsidRPr="00D82F07">
        <w:rPr>
          <w:rFonts w:ascii="Times New Roman" w:hAnsi="Times New Roman"/>
          <w:noProof/>
          <w:sz w:val="20"/>
          <w:szCs w:val="20"/>
          <w:lang w:val="en-MY" w:eastAsia="en-MY" w:bidi="ar-SA"/>
        </w:rPr>
        <w:lastRenderedPageBreak/>
        <w:drawing>
          <wp:inline distT="0" distB="0" distL="0" distR="0" wp14:anchorId="59D872F3" wp14:editId="5FBEBF6C">
            <wp:extent cx="2657475" cy="3067050"/>
            <wp:effectExtent l="19050" t="19050" r="28575" b="19050"/>
            <wp:docPr id="9" name="image1.png" descr="C:\Users\A556U\OneDrive\MSc 161718\TOMSY 2018\TOMSY-MJAS\Map.png"/>
            <wp:cNvGraphicFramePr/>
            <a:graphic xmlns:a="http://schemas.openxmlformats.org/drawingml/2006/main">
              <a:graphicData uri="http://schemas.openxmlformats.org/drawingml/2006/picture">
                <pic:pic xmlns:pic="http://schemas.openxmlformats.org/drawingml/2006/picture">
                  <pic:nvPicPr>
                    <pic:cNvPr id="0" name="image1.png" descr="C:\Users\A556U\OneDrive\MSc 161718\TOMSY 2018\TOMSY-MJAS\Map.png"/>
                    <pic:cNvPicPr preferRelativeResize="0"/>
                  </pic:nvPicPr>
                  <pic:blipFill>
                    <a:blip r:embed="rId11"/>
                    <a:srcRect l="18095" t="1586" r="19881" b="10951"/>
                    <a:stretch>
                      <a:fillRect/>
                    </a:stretch>
                  </pic:blipFill>
                  <pic:spPr>
                    <a:xfrm>
                      <a:off x="0" y="0"/>
                      <a:ext cx="2662588" cy="3072951"/>
                    </a:xfrm>
                    <a:prstGeom prst="rect">
                      <a:avLst/>
                    </a:prstGeom>
                    <a:ln w="6350">
                      <a:solidFill>
                        <a:schemeClr val="tx1"/>
                      </a:solidFill>
                    </a:ln>
                  </pic:spPr>
                </pic:pic>
              </a:graphicData>
            </a:graphic>
          </wp:inline>
        </w:drawing>
      </w:r>
    </w:p>
    <w:p w:rsidR="00D82F07" w:rsidRPr="00D82F07" w:rsidRDefault="00D82F07" w:rsidP="00D82F07">
      <w:pPr>
        <w:spacing w:after="0" w:line="240" w:lineRule="auto"/>
        <w:jc w:val="center"/>
        <w:rPr>
          <w:rFonts w:ascii="Times New Roman" w:hAnsi="Times New Roman"/>
          <w:sz w:val="20"/>
          <w:szCs w:val="20"/>
        </w:rPr>
      </w:pPr>
      <w:r w:rsidRPr="00D82F07">
        <w:rPr>
          <w:rFonts w:ascii="Times New Roman" w:hAnsi="Times New Roman"/>
          <w:sz w:val="20"/>
          <w:szCs w:val="20"/>
        </w:rPr>
        <w:t>Figure 1.  Bathymetric map of South China Sea showing core sampling location on the Sunda Shelf</w:t>
      </w:r>
    </w:p>
    <w:p w:rsidR="00D82F07" w:rsidRPr="00D82F07" w:rsidRDefault="00D82F07" w:rsidP="00D82F07">
      <w:pPr>
        <w:spacing w:after="12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eastAsia="Times" w:hAnsi="Times New Roman"/>
          <w:b/>
          <w:sz w:val="20"/>
          <w:szCs w:val="20"/>
        </w:rPr>
        <w:t>Sample collection and preservation</w:t>
      </w: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sz w:val="20"/>
          <w:szCs w:val="20"/>
        </w:rPr>
        <w:t>A 180 cm marine sediment core (TER16-GC13C) was retrieved at ~70 nautical miles (5°39.993 N, 104°15.632 E, 73 m water depth) from the Kuala Terengganu coastline in 2016, on board of a Universiti Malaysia Terengganu (UMT) research vessel, RV Discovery, by using gravity corer (Figure 1). The collected sediment core was brought back to the laboratory for subsampling. The sediment core was sliced at 2 cm intervals, bringing a total of 90 samples. The subsampled sediments were frozen at -20 °C for 24 hours before being freeze-dried for 3 days and stored in clean labelled containers to prevent possible contamination. Samples for TOC/CaCO</w:t>
      </w:r>
      <w:r w:rsidRPr="00D82F07">
        <w:rPr>
          <w:rFonts w:ascii="Times New Roman" w:hAnsi="Times New Roman"/>
          <w:sz w:val="20"/>
          <w:szCs w:val="20"/>
          <w:vertAlign w:val="subscript"/>
        </w:rPr>
        <w:t>3</w:t>
      </w:r>
      <w:r w:rsidRPr="00D82F07">
        <w:rPr>
          <w:rFonts w:ascii="Times New Roman" w:hAnsi="Times New Roman"/>
          <w:sz w:val="20"/>
          <w:szCs w:val="20"/>
        </w:rPr>
        <w:t xml:space="preserve"> analysis were powdered and homogenized using an agate mortar, and sifted through a sieve with 150 μm mesh size. Meanwhile, samples for particle size analysis and radiocarbons were kept in clean containers without powdering and homogenizing.</w:t>
      </w:r>
    </w:p>
    <w:p w:rsidR="00D82F07" w:rsidRPr="00D82F07" w:rsidRDefault="00D82F07" w:rsidP="00D82F07">
      <w:pPr>
        <w:spacing w:after="0" w:line="240" w:lineRule="auto"/>
        <w:jc w:val="both"/>
        <w:rPr>
          <w:rFonts w:ascii="Times New Roman" w:hAnsi="Times New Roman"/>
          <w:b/>
          <w:sz w:val="20"/>
          <w:szCs w:val="20"/>
        </w:rPr>
      </w:pP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b/>
          <w:sz w:val="20"/>
          <w:szCs w:val="20"/>
        </w:rPr>
        <w:t>Laboratory analysis: Total carbon analysis</w:t>
      </w: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Sediment samples were analyzed for total carbon (TC) and inorganic carbon (IC) contents using Shimadzu TOC Analyzer with an accompanying Shimadzu Solid Sample Module SSM-5000A. Ceramic sample boats and glass wool used in the analysis were combusted at 400 °C for 4 hours. For TC analysis, 10 mg of the homogenized sample was combusted at 900 °C. For IC analysis, 10 mg of homogenized sample was digested using 60% phosphoric acid</w:t>
      </w:r>
      <w:r w:rsidRPr="00D82F07">
        <w:rPr>
          <w:rFonts w:ascii="Times New Roman" w:hAnsi="Times New Roman"/>
          <w:sz w:val="20"/>
          <w:szCs w:val="20"/>
          <w:vertAlign w:val="subscript"/>
        </w:rPr>
        <w:t xml:space="preserve"> </w:t>
      </w:r>
      <w:r w:rsidRPr="00D82F07">
        <w:rPr>
          <w:rFonts w:ascii="Times New Roman" w:hAnsi="Times New Roman"/>
          <w:sz w:val="20"/>
          <w:szCs w:val="20"/>
        </w:rPr>
        <w:t>at 200 °C. For the purpose of quality control, standard research materials (glucose and sodium carbonate for TC and IC analysis) were analyzed at every analysis session in which 100% recovery was achieved. The TOC values were obtained by subtracting the IC value from the TC value. CaCO</w:t>
      </w:r>
      <w:r w:rsidRPr="00D82F07">
        <w:rPr>
          <w:rFonts w:ascii="Times New Roman" w:hAnsi="Times New Roman"/>
          <w:sz w:val="20"/>
          <w:szCs w:val="20"/>
          <w:vertAlign w:val="subscript"/>
        </w:rPr>
        <w:t>3</w:t>
      </w:r>
      <w:r w:rsidRPr="00D82F07">
        <w:rPr>
          <w:rFonts w:ascii="Times New Roman" w:hAnsi="Times New Roman"/>
          <w:sz w:val="20"/>
          <w:szCs w:val="20"/>
        </w:rPr>
        <w:t xml:space="preserve"> values were obtained by multiplying IC values with 8.33 (the ratio of molecular mass of CaCO</w:t>
      </w:r>
      <w:r w:rsidRPr="00D82F07">
        <w:rPr>
          <w:rFonts w:ascii="Times New Roman" w:hAnsi="Times New Roman"/>
          <w:sz w:val="20"/>
          <w:szCs w:val="20"/>
          <w:vertAlign w:val="subscript"/>
        </w:rPr>
        <w:t>3</w:t>
      </w:r>
      <w:r w:rsidRPr="00D82F07">
        <w:rPr>
          <w:rFonts w:ascii="Times New Roman" w:hAnsi="Times New Roman"/>
          <w:sz w:val="20"/>
          <w:szCs w:val="20"/>
        </w:rPr>
        <w:t xml:space="preserve"> to carbon, 100/12), with the assumption that all inorganic carbon is pure calcite.</w:t>
      </w:r>
    </w:p>
    <w:p w:rsidR="00D82F07" w:rsidRP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b/>
          <w:sz w:val="20"/>
          <w:szCs w:val="20"/>
        </w:rPr>
      </w:pPr>
      <w:r w:rsidRPr="00D82F07">
        <w:rPr>
          <w:rFonts w:ascii="Times New Roman" w:hAnsi="Times New Roman"/>
          <w:b/>
          <w:sz w:val="20"/>
          <w:szCs w:val="20"/>
        </w:rPr>
        <w:t>Grain size analysis</w:t>
      </w: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sz w:val="20"/>
          <w:szCs w:val="20"/>
        </w:rPr>
        <w:t>Grain size analysis was performed following the procedure in [15] with some modifications. About 2 g of dried sample was weighed in clean plastic containers. 10 drops of undiluted hydrogen peroxide were added into the samples, followed by 5 mL of 20% sodium hexametaphosphate. Distilled water was then added to the volume and the samples were left to stand for 24 hours. Next, the samples were analyzed using Malvern Mastersizer 2000™ laser diffraction particle size analyzer.</w:t>
      </w:r>
    </w:p>
    <w:p w:rsidR="00D82F07" w:rsidRPr="00D82F07" w:rsidRDefault="00D82F07" w:rsidP="00D82F07">
      <w:pPr>
        <w:spacing w:after="0" w:line="240" w:lineRule="auto"/>
        <w:jc w:val="both"/>
        <w:rPr>
          <w:rFonts w:ascii="Times New Roman" w:hAnsi="Times New Roman"/>
          <w:sz w:val="20"/>
          <w:szCs w:val="20"/>
        </w:rPr>
      </w:pPr>
    </w:p>
    <w:p w:rsidR="00D82F07" w:rsidRPr="00D82F07" w:rsidRDefault="00D82F07" w:rsidP="00D82F07">
      <w:pPr>
        <w:spacing w:after="0" w:line="240" w:lineRule="auto"/>
        <w:jc w:val="both"/>
        <w:rPr>
          <w:rFonts w:ascii="Times New Roman" w:hAnsi="Times New Roman"/>
          <w:sz w:val="20"/>
          <w:szCs w:val="20"/>
        </w:rPr>
      </w:pPr>
      <w:r w:rsidRPr="00D82F07">
        <w:rPr>
          <w:rFonts w:ascii="Times New Roman" w:hAnsi="Times New Roman"/>
          <w:b/>
          <w:sz w:val="20"/>
          <w:szCs w:val="20"/>
        </w:rPr>
        <w:lastRenderedPageBreak/>
        <w:t xml:space="preserve">AMS </w:t>
      </w:r>
      <w:r w:rsidRPr="00D82F07">
        <w:rPr>
          <w:rFonts w:ascii="Times New Roman" w:hAnsi="Times New Roman"/>
          <w:b/>
          <w:sz w:val="20"/>
          <w:szCs w:val="20"/>
          <w:vertAlign w:val="superscript"/>
        </w:rPr>
        <w:t>14</w:t>
      </w:r>
      <w:r w:rsidRPr="00D82F07">
        <w:rPr>
          <w:rFonts w:ascii="Times New Roman" w:hAnsi="Times New Roman"/>
          <w:b/>
          <w:sz w:val="20"/>
          <w:szCs w:val="20"/>
        </w:rPr>
        <w:t>Carbon analysis</w:t>
      </w:r>
    </w:p>
    <w:p w:rsidR="00D82F07" w:rsidRPr="00D82F07" w:rsidRDefault="00D82F07" w:rsidP="00D82F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jc w:val="both"/>
        <w:rPr>
          <w:rFonts w:ascii="Times New Roman" w:hAnsi="Times New Roman"/>
          <w:sz w:val="20"/>
          <w:szCs w:val="20"/>
        </w:rPr>
      </w:pPr>
      <w:r w:rsidRPr="00D82F07">
        <w:rPr>
          <w:rFonts w:ascii="Times New Roman" w:hAnsi="Times New Roman"/>
          <w:sz w:val="20"/>
          <w:szCs w:val="20"/>
        </w:rPr>
        <w:t xml:space="preserve">Sediment core age was determined using accelerated mass spectrometry (AMS) radiocarbon dating facility available at International Chemical Analysis (ICA), Miami, U.S.  Age samples composed of intact shells of </w:t>
      </w:r>
      <w:r w:rsidRPr="00D82F07">
        <w:rPr>
          <w:rFonts w:ascii="Times New Roman" w:hAnsi="Times New Roman"/>
          <w:i/>
          <w:sz w:val="20"/>
          <w:szCs w:val="20"/>
        </w:rPr>
        <w:t>Anadara</w:t>
      </w:r>
      <w:r w:rsidRPr="00D82F07">
        <w:rPr>
          <w:rFonts w:ascii="Times New Roman" w:hAnsi="Times New Roman"/>
          <w:sz w:val="20"/>
          <w:szCs w:val="20"/>
        </w:rPr>
        <w:t xml:space="preserve"> sp., </w:t>
      </w:r>
      <w:r w:rsidRPr="00D82F07">
        <w:rPr>
          <w:rFonts w:ascii="Times New Roman" w:hAnsi="Times New Roman"/>
          <w:i/>
          <w:sz w:val="20"/>
          <w:szCs w:val="20"/>
        </w:rPr>
        <w:t>Mactra</w:t>
      </w:r>
      <w:r w:rsidRPr="00D82F07">
        <w:rPr>
          <w:rFonts w:ascii="Times New Roman" w:hAnsi="Times New Roman"/>
          <w:sz w:val="20"/>
          <w:szCs w:val="20"/>
        </w:rPr>
        <w:t xml:space="preserve"> sp., </w:t>
      </w:r>
      <w:r w:rsidRPr="00D82F07">
        <w:rPr>
          <w:rFonts w:ascii="Times New Roman" w:hAnsi="Times New Roman"/>
          <w:i/>
          <w:sz w:val="20"/>
          <w:szCs w:val="20"/>
        </w:rPr>
        <w:t>Meiocardia</w:t>
      </w:r>
      <w:r w:rsidRPr="00D82F07">
        <w:rPr>
          <w:rFonts w:ascii="Times New Roman" w:hAnsi="Times New Roman"/>
          <w:sz w:val="20"/>
          <w:szCs w:val="20"/>
        </w:rPr>
        <w:t xml:space="preserve"> sp. and </w:t>
      </w:r>
      <w:r w:rsidRPr="00D82F07">
        <w:rPr>
          <w:rFonts w:ascii="Times New Roman" w:hAnsi="Times New Roman"/>
          <w:i/>
          <w:sz w:val="20"/>
          <w:szCs w:val="20"/>
        </w:rPr>
        <w:t>Pecten</w:t>
      </w:r>
      <w:r w:rsidRPr="00D82F07">
        <w:rPr>
          <w:rFonts w:ascii="Times New Roman" w:hAnsi="Times New Roman"/>
          <w:sz w:val="20"/>
          <w:szCs w:val="20"/>
        </w:rPr>
        <w:t xml:space="preserve"> sp. were picked at corresponding depths as shown in Table 1. The shells were identified based on references from the Natural History Museum, Rotterdam [16]. The age model was plotted using the data of </w:t>
      </w:r>
      <w:r w:rsidRPr="00D82F07">
        <w:rPr>
          <w:rFonts w:ascii="Times New Roman" w:hAnsi="Times New Roman"/>
          <w:sz w:val="20"/>
          <w:szCs w:val="20"/>
          <w:vertAlign w:val="superscript"/>
        </w:rPr>
        <w:t>14</w:t>
      </w:r>
      <w:r w:rsidRPr="00D82F07">
        <w:rPr>
          <w:rFonts w:ascii="Times New Roman" w:hAnsi="Times New Roman"/>
          <w:sz w:val="20"/>
          <w:szCs w:val="20"/>
        </w:rPr>
        <w:t>C age calendar against core depth (Figure 2). Due to the lack of intact carbonate shell samples, the age model could only be established between the depth of 32 and 168 cm covering ~ 76% of total core length. The calibrated ages were calculated by using the Calib 7.1 calibration program based on Marine13 calibration curve and 2 sigma calibrations [17] with delta-R -15±38. The sediment ages refer to the calibrated year Before Present (cal yr BP).</w:t>
      </w:r>
    </w:p>
    <w:p w:rsidR="00D82F07" w:rsidRPr="00D82F07" w:rsidRDefault="00D82F07" w:rsidP="00D82F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line="240" w:lineRule="auto"/>
        <w:jc w:val="both"/>
        <w:rPr>
          <w:rFonts w:ascii="Times New Roman" w:hAnsi="Times New Roman"/>
          <w:sz w:val="20"/>
          <w:szCs w:val="20"/>
        </w:rPr>
      </w:pPr>
    </w:p>
    <w:p w:rsidR="00D82F07" w:rsidRPr="00D82F07" w:rsidRDefault="001E536A" w:rsidP="001E536A">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00D82F07" w:rsidRPr="00D82F07">
        <w:rPr>
          <w:rFonts w:ascii="Times New Roman" w:hAnsi="Times New Roman"/>
          <w:sz w:val="20"/>
          <w:szCs w:val="20"/>
        </w:rPr>
        <w:t>TER16-GC13C radiocarbon dating samples</w:t>
      </w:r>
    </w:p>
    <w:tbl>
      <w:tblPr>
        <w:tblW w:w="0" w:type="auto"/>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1706"/>
      </w:tblGrid>
      <w:tr w:rsidR="00D82F07" w:rsidRPr="00D82F07" w:rsidTr="001E536A">
        <w:trPr>
          <w:jc w:val="center"/>
        </w:trPr>
        <w:tc>
          <w:tcPr>
            <w:tcW w:w="0" w:type="auto"/>
            <w:tcBorders>
              <w:top w:val="single" w:sz="4" w:space="0" w:color="auto"/>
              <w:left w:val="nil"/>
              <w:bottom w:val="single" w:sz="4" w:space="0" w:color="auto"/>
              <w:right w:val="nil"/>
            </w:tcBorders>
          </w:tcPr>
          <w:p w:rsidR="00D82F07" w:rsidRPr="001E536A" w:rsidRDefault="00D82F07" w:rsidP="001E536A">
            <w:pPr>
              <w:spacing w:before="60" w:after="60" w:line="240" w:lineRule="auto"/>
              <w:rPr>
                <w:rFonts w:ascii="Times New Roman" w:hAnsi="Times New Roman"/>
                <w:b/>
                <w:sz w:val="20"/>
                <w:szCs w:val="20"/>
              </w:rPr>
            </w:pPr>
            <w:r w:rsidRPr="001E536A">
              <w:rPr>
                <w:rFonts w:ascii="Times New Roman" w:hAnsi="Times New Roman"/>
                <w:b/>
                <w:sz w:val="20"/>
                <w:szCs w:val="20"/>
              </w:rPr>
              <w:t>Depth (cm)</w:t>
            </w:r>
          </w:p>
        </w:tc>
        <w:tc>
          <w:tcPr>
            <w:tcW w:w="0" w:type="auto"/>
            <w:tcBorders>
              <w:top w:val="single" w:sz="4" w:space="0" w:color="auto"/>
              <w:left w:val="nil"/>
              <w:bottom w:val="single" w:sz="4" w:space="0" w:color="auto"/>
              <w:right w:val="nil"/>
            </w:tcBorders>
          </w:tcPr>
          <w:p w:rsidR="00D82F07" w:rsidRPr="001E536A" w:rsidRDefault="00D82F07" w:rsidP="001E536A">
            <w:pPr>
              <w:spacing w:before="60" w:after="60" w:line="240" w:lineRule="auto"/>
              <w:jc w:val="both"/>
              <w:rPr>
                <w:rFonts w:ascii="Times New Roman" w:hAnsi="Times New Roman"/>
                <w:b/>
                <w:sz w:val="20"/>
                <w:szCs w:val="20"/>
              </w:rPr>
            </w:pPr>
            <w:r w:rsidRPr="001E536A">
              <w:rPr>
                <w:rFonts w:ascii="Times New Roman" w:hAnsi="Times New Roman"/>
                <w:b/>
                <w:sz w:val="20"/>
                <w:szCs w:val="20"/>
              </w:rPr>
              <w:t>Dated shell genus</w:t>
            </w:r>
          </w:p>
        </w:tc>
      </w:tr>
      <w:tr w:rsidR="00D82F07" w:rsidRPr="00D82F07" w:rsidTr="001E536A">
        <w:trPr>
          <w:jc w:val="center"/>
        </w:trPr>
        <w:tc>
          <w:tcPr>
            <w:tcW w:w="0" w:type="auto"/>
            <w:tcBorders>
              <w:top w:val="single" w:sz="4" w:space="0" w:color="auto"/>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32</w:t>
            </w:r>
          </w:p>
        </w:tc>
        <w:tc>
          <w:tcPr>
            <w:tcW w:w="0" w:type="auto"/>
            <w:tcBorders>
              <w:top w:val="single" w:sz="4" w:space="0" w:color="auto"/>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Pecten</w:t>
            </w:r>
          </w:p>
        </w:tc>
      </w:tr>
      <w:tr w:rsidR="00D82F07" w:rsidRPr="00D82F07" w:rsidTr="000C2514">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44.5</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Meiocardia</w:t>
            </w:r>
          </w:p>
        </w:tc>
      </w:tr>
      <w:tr w:rsidR="00D82F07" w:rsidRPr="00D82F07" w:rsidTr="001E536A">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77</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Anadara</w:t>
            </w:r>
          </w:p>
        </w:tc>
      </w:tr>
      <w:tr w:rsidR="00D82F07" w:rsidRPr="00D82F07" w:rsidTr="000C2514">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101</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Mactra</w:t>
            </w:r>
          </w:p>
        </w:tc>
      </w:tr>
      <w:tr w:rsidR="00D82F07" w:rsidRPr="00D82F07" w:rsidTr="001E536A">
        <w:trPr>
          <w:jc w:val="center"/>
        </w:trPr>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rPr>
                <w:rFonts w:ascii="Times New Roman" w:hAnsi="Times New Roman"/>
                <w:sz w:val="20"/>
                <w:szCs w:val="20"/>
              </w:rPr>
            </w:pPr>
            <w:r w:rsidRPr="00D82F07">
              <w:rPr>
                <w:rFonts w:ascii="Times New Roman" w:hAnsi="Times New Roman"/>
                <w:sz w:val="20"/>
                <w:szCs w:val="20"/>
              </w:rPr>
              <w:t>155</w:t>
            </w:r>
          </w:p>
        </w:tc>
        <w:tc>
          <w:tcPr>
            <w:tcW w:w="0" w:type="auto"/>
            <w:tcBorders>
              <w:top w:val="nil"/>
              <w:left w:val="nil"/>
              <w:bottom w:val="nil"/>
              <w:right w:val="nil"/>
            </w:tcBorders>
            <w:shd w:val="clear" w:color="auto" w:fill="auto"/>
            <w:vAlign w:val="bottom"/>
          </w:tcPr>
          <w:p w:rsidR="00D82F07" w:rsidRPr="00D82F07" w:rsidRDefault="00D82F07" w:rsidP="001E536A">
            <w:pPr>
              <w:pBdr>
                <w:top w:val="nil"/>
                <w:left w:val="nil"/>
                <w:bottom w:val="nil"/>
                <w:right w:val="nil"/>
                <w:between w:val="nil"/>
              </w:pBdr>
              <w:spacing w:before="60" w:after="0" w:line="240" w:lineRule="auto"/>
              <w:jc w:val="both"/>
              <w:rPr>
                <w:rFonts w:ascii="Times New Roman" w:hAnsi="Times New Roman"/>
                <w:sz w:val="20"/>
                <w:szCs w:val="20"/>
              </w:rPr>
            </w:pPr>
            <w:r w:rsidRPr="00D82F07">
              <w:rPr>
                <w:rFonts w:ascii="Times New Roman" w:hAnsi="Times New Roman"/>
                <w:i/>
                <w:sz w:val="20"/>
                <w:szCs w:val="20"/>
              </w:rPr>
              <w:t>Anadara</w:t>
            </w:r>
          </w:p>
        </w:tc>
      </w:tr>
      <w:tr w:rsidR="00D82F07" w:rsidRPr="00D82F07" w:rsidTr="001E536A">
        <w:trPr>
          <w:jc w:val="center"/>
        </w:trPr>
        <w:tc>
          <w:tcPr>
            <w:tcW w:w="0" w:type="auto"/>
            <w:tcBorders>
              <w:top w:val="nil"/>
              <w:left w:val="nil"/>
              <w:bottom w:val="single" w:sz="4" w:space="0" w:color="auto"/>
              <w:right w:val="nil"/>
            </w:tcBorders>
            <w:shd w:val="clear" w:color="auto" w:fill="auto"/>
            <w:vAlign w:val="bottom"/>
          </w:tcPr>
          <w:p w:rsidR="00D82F07" w:rsidRPr="00D82F07" w:rsidRDefault="00D82F07" w:rsidP="001E536A">
            <w:pPr>
              <w:pBdr>
                <w:top w:val="nil"/>
                <w:left w:val="nil"/>
                <w:bottom w:val="nil"/>
                <w:right w:val="nil"/>
                <w:between w:val="nil"/>
              </w:pBdr>
              <w:spacing w:before="60" w:after="60" w:line="240" w:lineRule="auto"/>
              <w:rPr>
                <w:rFonts w:ascii="Times New Roman" w:hAnsi="Times New Roman"/>
                <w:sz w:val="20"/>
                <w:szCs w:val="20"/>
              </w:rPr>
            </w:pPr>
            <w:r w:rsidRPr="00D82F07">
              <w:rPr>
                <w:rFonts w:ascii="Times New Roman" w:hAnsi="Times New Roman"/>
                <w:sz w:val="20"/>
                <w:szCs w:val="20"/>
              </w:rPr>
              <w:t>168</w:t>
            </w:r>
          </w:p>
        </w:tc>
        <w:tc>
          <w:tcPr>
            <w:tcW w:w="0" w:type="auto"/>
            <w:tcBorders>
              <w:top w:val="nil"/>
              <w:left w:val="nil"/>
              <w:bottom w:val="single" w:sz="4" w:space="0" w:color="auto"/>
              <w:right w:val="nil"/>
            </w:tcBorders>
            <w:shd w:val="clear" w:color="auto" w:fill="auto"/>
            <w:vAlign w:val="bottom"/>
          </w:tcPr>
          <w:p w:rsidR="00D82F07" w:rsidRPr="00D82F07" w:rsidRDefault="00D82F07" w:rsidP="001E536A">
            <w:pPr>
              <w:pBdr>
                <w:top w:val="nil"/>
                <w:left w:val="nil"/>
                <w:bottom w:val="nil"/>
                <w:right w:val="nil"/>
                <w:between w:val="nil"/>
              </w:pBdr>
              <w:spacing w:before="60" w:after="60" w:line="240" w:lineRule="auto"/>
              <w:jc w:val="both"/>
              <w:rPr>
                <w:rFonts w:ascii="Times New Roman" w:hAnsi="Times New Roman"/>
                <w:sz w:val="20"/>
                <w:szCs w:val="20"/>
              </w:rPr>
            </w:pPr>
            <w:r w:rsidRPr="00D82F07">
              <w:rPr>
                <w:rFonts w:ascii="Times New Roman" w:hAnsi="Times New Roman"/>
                <w:i/>
                <w:sz w:val="20"/>
                <w:szCs w:val="20"/>
              </w:rPr>
              <w:t>Mactra</w:t>
            </w:r>
          </w:p>
        </w:tc>
      </w:tr>
    </w:tbl>
    <w:p w:rsidR="006768E9" w:rsidRDefault="006768E9" w:rsidP="00BA1F7B">
      <w:pPr>
        <w:spacing w:after="0" w:line="240" w:lineRule="auto"/>
        <w:jc w:val="center"/>
        <w:rPr>
          <w:rFonts w:ascii="Times New Roman" w:hAnsi="Times New Roman"/>
          <w:noProof/>
          <w:sz w:val="20"/>
          <w:szCs w:val="20"/>
          <w:lang w:bidi="ar-SA"/>
        </w:rPr>
      </w:pPr>
    </w:p>
    <w:p w:rsidR="001E536A" w:rsidRPr="00F447A7" w:rsidRDefault="001E536A"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E536A" w:rsidRPr="001E536A" w:rsidRDefault="006768E9" w:rsidP="001E536A">
      <w:pPr>
        <w:spacing w:after="0" w:line="240" w:lineRule="auto"/>
        <w:jc w:val="both"/>
        <w:rPr>
          <w:rFonts w:ascii="Times New Roman" w:hAnsi="Times New Roman"/>
          <w:b/>
          <w:sz w:val="20"/>
          <w:szCs w:val="20"/>
        </w:rPr>
      </w:pPr>
      <w:r w:rsidRPr="00F447A7">
        <w:rPr>
          <w:rFonts w:ascii="Times New Roman" w:hAnsi="Times New Roman"/>
          <w:noProof/>
          <w:sz w:val="20"/>
          <w:szCs w:val="20"/>
          <w:lang w:bidi="ar-SA"/>
        </w:rPr>
        <w:t>Text</w:t>
      </w:r>
      <w:r w:rsidR="001E536A" w:rsidRPr="001E536A">
        <w:rPr>
          <w:rFonts w:ascii="Times New Roman" w:hAnsi="Times New Roman"/>
          <w:b/>
          <w:sz w:val="20"/>
          <w:szCs w:val="20"/>
        </w:rPr>
        <w:t xml:space="preserve"> </w:t>
      </w:r>
      <w:r w:rsidR="001E536A" w:rsidRPr="001E536A">
        <w:rPr>
          <w:rFonts w:ascii="Times New Roman" w:hAnsi="Times New Roman"/>
          <w:b/>
          <w:sz w:val="20"/>
          <w:szCs w:val="20"/>
        </w:rPr>
        <w:t>Age models and sedimentation rate</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six point of AMS</w:t>
      </w:r>
      <w:r w:rsidRPr="001E536A">
        <w:rPr>
          <w:rFonts w:ascii="Times New Roman" w:hAnsi="Times New Roman"/>
          <w:sz w:val="20"/>
          <w:szCs w:val="20"/>
          <w:vertAlign w:val="superscript"/>
        </w:rPr>
        <w:t>14</w:t>
      </w:r>
      <w:r w:rsidRPr="001E536A">
        <w:rPr>
          <w:rFonts w:ascii="Times New Roman" w:hAnsi="Times New Roman"/>
          <w:sz w:val="20"/>
          <w:szCs w:val="20"/>
        </w:rPr>
        <w:t>C dates for TER16-GC13C range from 2560 to 7370 yr BP (Table 2 and Figure 2). The AMS</w:t>
      </w:r>
      <w:r w:rsidRPr="001E536A">
        <w:rPr>
          <w:rFonts w:ascii="Times New Roman" w:hAnsi="Times New Roman"/>
          <w:sz w:val="20"/>
          <w:szCs w:val="20"/>
          <w:vertAlign w:val="superscript"/>
        </w:rPr>
        <w:t>14</w:t>
      </w:r>
      <w:r w:rsidRPr="001E536A">
        <w:rPr>
          <w:rFonts w:ascii="Times New Roman" w:hAnsi="Times New Roman"/>
          <w:sz w:val="20"/>
          <w:szCs w:val="20"/>
        </w:rPr>
        <w:t>C dates of TER16-GC13C provide age controls for the stratigraphic interval between 32 and 168 cm depth of the core. The calibrated AMS</w:t>
      </w:r>
      <w:r w:rsidRPr="001E536A">
        <w:rPr>
          <w:rFonts w:ascii="Times New Roman" w:hAnsi="Times New Roman"/>
          <w:sz w:val="20"/>
          <w:szCs w:val="20"/>
          <w:vertAlign w:val="superscript"/>
        </w:rPr>
        <w:t>14</w:t>
      </w:r>
      <w:r w:rsidRPr="001E536A">
        <w:rPr>
          <w:rFonts w:ascii="Times New Roman" w:hAnsi="Times New Roman"/>
          <w:sz w:val="20"/>
          <w:szCs w:val="20"/>
        </w:rPr>
        <w:t>C age model reveals that the mean sedimentation rate of TER16-GC13C occurred at 0.05 cm yr</w:t>
      </w:r>
      <w:r w:rsidRPr="001E536A">
        <w:rPr>
          <w:rFonts w:ascii="Times New Roman" w:hAnsi="Times New Roman"/>
          <w:sz w:val="20"/>
          <w:szCs w:val="20"/>
          <w:vertAlign w:val="superscript"/>
        </w:rPr>
        <w:t>-1</w:t>
      </w:r>
      <w:r w:rsidRPr="001E536A">
        <w:rPr>
          <w:rFonts w:ascii="Times New Roman" w:hAnsi="Times New Roman"/>
          <w:sz w:val="20"/>
          <w:szCs w:val="20"/>
        </w:rPr>
        <w:t xml:space="preserve"> since 7840 cal yr BP. </w:t>
      </w:r>
    </w:p>
    <w:p w:rsidR="001E536A" w:rsidRPr="001E536A" w:rsidRDefault="001E536A" w:rsidP="001E536A">
      <w:pPr>
        <w:spacing w:after="120" w:line="240" w:lineRule="auto"/>
        <w:jc w:val="both"/>
        <w:rPr>
          <w:rFonts w:ascii="Times New Roman" w:hAnsi="Times New Roman"/>
          <w:sz w:val="20"/>
          <w:szCs w:val="20"/>
        </w:rPr>
      </w:pPr>
    </w:p>
    <w:p w:rsidR="001E536A" w:rsidRDefault="001E536A" w:rsidP="001E536A">
      <w:pPr>
        <w:spacing w:after="0" w:line="240" w:lineRule="auto"/>
        <w:ind w:left="709" w:hanging="709"/>
        <w:jc w:val="center"/>
        <w:rPr>
          <w:rFonts w:ascii="Times New Roman" w:hAnsi="Times New Roman"/>
          <w:sz w:val="20"/>
          <w:szCs w:val="20"/>
        </w:rPr>
      </w:pPr>
      <w:r w:rsidRPr="001E536A">
        <w:rPr>
          <w:rFonts w:ascii="Times New Roman" w:hAnsi="Times New Roman"/>
          <w:sz w:val="20"/>
          <w:szCs w:val="20"/>
        </w:rPr>
        <w:t xml:space="preserve">Table 2.  TER16-GC13C radiocarbon age estimates. The calibrated age ranges reported following </w:t>
      </w:r>
    </w:p>
    <w:p w:rsidR="001E536A" w:rsidRPr="001E536A" w:rsidRDefault="001E536A" w:rsidP="001E536A">
      <w:pPr>
        <w:spacing w:after="120" w:line="240" w:lineRule="auto"/>
        <w:ind w:left="706" w:hanging="706"/>
        <w:jc w:val="center"/>
        <w:rPr>
          <w:rFonts w:ascii="Times New Roman" w:hAnsi="Times New Roman"/>
          <w:sz w:val="20"/>
          <w:szCs w:val="20"/>
        </w:rPr>
      </w:pPr>
      <w:r w:rsidRPr="001E536A">
        <w:rPr>
          <w:rFonts w:ascii="Times New Roman" w:hAnsi="Times New Roman"/>
          <w:sz w:val="20"/>
          <w:szCs w:val="20"/>
        </w:rPr>
        <w:t>Reimer et al. [17]</w:t>
      </w:r>
    </w:p>
    <w:tbl>
      <w:tblPr>
        <w:tblW w:w="0" w:type="auto"/>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1324"/>
        <w:gridCol w:w="2088"/>
      </w:tblGrid>
      <w:tr w:rsidR="001E536A" w:rsidRPr="001E536A" w:rsidTr="001E536A">
        <w:trPr>
          <w:jc w:val="center"/>
        </w:trPr>
        <w:tc>
          <w:tcPr>
            <w:tcW w:w="0" w:type="auto"/>
            <w:tcBorders>
              <w:top w:val="single" w:sz="4" w:space="0" w:color="auto"/>
              <w:left w:val="nil"/>
              <w:bottom w:val="single" w:sz="4" w:space="0" w:color="auto"/>
              <w:right w:val="nil"/>
            </w:tcBorders>
          </w:tcPr>
          <w:p w:rsidR="001E536A" w:rsidRPr="001E536A" w:rsidRDefault="001E536A" w:rsidP="001E536A">
            <w:pPr>
              <w:spacing w:before="60" w:after="0" w:line="240" w:lineRule="auto"/>
              <w:rPr>
                <w:rFonts w:ascii="Times New Roman" w:hAnsi="Times New Roman"/>
                <w:b/>
                <w:sz w:val="20"/>
                <w:szCs w:val="20"/>
              </w:rPr>
            </w:pPr>
            <w:r w:rsidRPr="001E536A">
              <w:rPr>
                <w:rFonts w:ascii="Times New Roman" w:hAnsi="Times New Roman"/>
                <w:b/>
                <w:sz w:val="20"/>
                <w:szCs w:val="20"/>
              </w:rPr>
              <w:t xml:space="preserve">Depth </w:t>
            </w:r>
          </w:p>
          <w:p w:rsidR="001E536A" w:rsidRPr="001E536A" w:rsidRDefault="001E536A" w:rsidP="001E536A">
            <w:pPr>
              <w:spacing w:after="0" w:line="240" w:lineRule="auto"/>
              <w:rPr>
                <w:rFonts w:ascii="Times New Roman" w:hAnsi="Times New Roman"/>
                <w:b/>
                <w:sz w:val="20"/>
                <w:szCs w:val="20"/>
              </w:rPr>
            </w:pPr>
            <w:r w:rsidRPr="001E536A">
              <w:rPr>
                <w:rFonts w:ascii="Times New Roman" w:hAnsi="Times New Roman"/>
                <w:b/>
                <w:sz w:val="20"/>
                <w:szCs w:val="20"/>
              </w:rPr>
              <w:t>(cm)</w:t>
            </w:r>
          </w:p>
        </w:tc>
        <w:tc>
          <w:tcPr>
            <w:tcW w:w="0" w:type="auto"/>
            <w:tcBorders>
              <w:top w:val="single" w:sz="4" w:space="0" w:color="auto"/>
              <w:left w:val="nil"/>
              <w:bottom w:val="single" w:sz="4" w:space="0" w:color="auto"/>
              <w:right w:val="nil"/>
            </w:tcBorders>
          </w:tcPr>
          <w:p w:rsidR="001E536A" w:rsidRPr="001E536A" w:rsidRDefault="001E536A" w:rsidP="001E536A">
            <w:pPr>
              <w:spacing w:before="60" w:after="0" w:line="240" w:lineRule="auto"/>
              <w:jc w:val="center"/>
              <w:rPr>
                <w:rFonts w:ascii="Times New Roman" w:hAnsi="Times New Roman"/>
                <w:b/>
                <w:sz w:val="20"/>
                <w:szCs w:val="20"/>
              </w:rPr>
            </w:pPr>
            <w:r w:rsidRPr="001E536A">
              <w:rPr>
                <w:rFonts w:ascii="Times New Roman" w:hAnsi="Times New Roman"/>
                <w:b/>
                <w:sz w:val="20"/>
                <w:szCs w:val="20"/>
              </w:rPr>
              <w:t xml:space="preserve">AMS </w:t>
            </w:r>
            <w:r w:rsidRPr="001E536A">
              <w:rPr>
                <w:rFonts w:ascii="Times New Roman" w:hAnsi="Times New Roman"/>
                <w:b/>
                <w:sz w:val="20"/>
                <w:szCs w:val="20"/>
                <w:vertAlign w:val="superscript"/>
              </w:rPr>
              <w:t>14</w:t>
            </w:r>
            <w:r w:rsidRPr="001E536A">
              <w:rPr>
                <w:rFonts w:ascii="Times New Roman" w:hAnsi="Times New Roman"/>
                <w:b/>
                <w:sz w:val="20"/>
                <w:szCs w:val="20"/>
              </w:rPr>
              <w:t>C age</w:t>
            </w:r>
          </w:p>
          <w:p w:rsidR="001E536A" w:rsidRPr="001E536A" w:rsidRDefault="001E536A" w:rsidP="001E536A">
            <w:pPr>
              <w:spacing w:after="0" w:line="240" w:lineRule="auto"/>
              <w:jc w:val="center"/>
              <w:rPr>
                <w:rFonts w:ascii="Times New Roman" w:hAnsi="Times New Roman"/>
                <w:b/>
                <w:i/>
                <w:sz w:val="20"/>
                <w:szCs w:val="20"/>
              </w:rPr>
            </w:pPr>
            <w:r w:rsidRPr="001E536A">
              <w:rPr>
                <w:rFonts w:ascii="Times New Roman" w:hAnsi="Times New Roman"/>
                <w:b/>
                <w:sz w:val="20"/>
                <w:szCs w:val="20"/>
              </w:rPr>
              <w:t>(yr BP)</w:t>
            </w:r>
          </w:p>
        </w:tc>
        <w:tc>
          <w:tcPr>
            <w:tcW w:w="0" w:type="auto"/>
            <w:tcBorders>
              <w:top w:val="single" w:sz="4" w:space="0" w:color="auto"/>
              <w:left w:val="nil"/>
              <w:bottom w:val="single" w:sz="4" w:space="0" w:color="auto"/>
              <w:right w:val="nil"/>
            </w:tcBorders>
          </w:tcPr>
          <w:p w:rsidR="001E536A" w:rsidRPr="001E536A" w:rsidRDefault="001E536A" w:rsidP="001E536A">
            <w:pPr>
              <w:spacing w:before="60" w:after="0" w:line="240" w:lineRule="auto"/>
              <w:jc w:val="center"/>
              <w:rPr>
                <w:rFonts w:ascii="Times New Roman" w:hAnsi="Times New Roman"/>
                <w:b/>
                <w:sz w:val="20"/>
                <w:szCs w:val="20"/>
              </w:rPr>
            </w:pPr>
            <w:r w:rsidRPr="001E536A">
              <w:rPr>
                <w:rFonts w:ascii="Times New Roman" w:hAnsi="Times New Roman"/>
                <w:b/>
                <w:sz w:val="20"/>
                <w:szCs w:val="20"/>
              </w:rPr>
              <w:t>2σ age</w:t>
            </w:r>
          </w:p>
          <w:p w:rsidR="001E536A" w:rsidRPr="001E536A" w:rsidRDefault="001E536A" w:rsidP="001E536A">
            <w:pPr>
              <w:spacing w:after="60" w:line="240" w:lineRule="auto"/>
              <w:jc w:val="center"/>
              <w:rPr>
                <w:rFonts w:ascii="Times New Roman" w:hAnsi="Times New Roman"/>
                <w:b/>
                <w:i/>
                <w:sz w:val="20"/>
                <w:szCs w:val="20"/>
              </w:rPr>
            </w:pPr>
            <w:r w:rsidRPr="001E536A">
              <w:rPr>
                <w:rFonts w:ascii="Times New Roman" w:hAnsi="Times New Roman"/>
                <w:b/>
                <w:sz w:val="20"/>
                <w:szCs w:val="20"/>
              </w:rPr>
              <w:t>(cal yr BP) (Calib 7.1)</w:t>
            </w:r>
          </w:p>
        </w:tc>
      </w:tr>
      <w:tr w:rsidR="001E536A" w:rsidRPr="001E536A" w:rsidTr="001E536A">
        <w:trPr>
          <w:jc w:val="center"/>
        </w:trPr>
        <w:tc>
          <w:tcPr>
            <w:tcW w:w="0" w:type="auto"/>
            <w:tcBorders>
              <w:top w:val="single" w:sz="4" w:space="0" w:color="auto"/>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32</w:t>
            </w:r>
          </w:p>
        </w:tc>
        <w:tc>
          <w:tcPr>
            <w:tcW w:w="0" w:type="auto"/>
            <w:tcBorders>
              <w:top w:val="single" w:sz="4" w:space="0" w:color="auto"/>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2560</w:t>
            </w:r>
          </w:p>
        </w:tc>
        <w:tc>
          <w:tcPr>
            <w:tcW w:w="0" w:type="auto"/>
            <w:tcBorders>
              <w:top w:val="single" w:sz="4" w:space="0" w:color="auto"/>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2232</w:t>
            </w:r>
          </w:p>
        </w:tc>
      </w:tr>
      <w:tr w:rsidR="001E536A" w:rsidRPr="001E536A" w:rsidTr="000C2514">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44.5</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3920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3922</w:t>
            </w:r>
          </w:p>
        </w:tc>
      </w:tr>
      <w:tr w:rsidR="001E536A" w:rsidRPr="001E536A" w:rsidTr="001E536A">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77</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6310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6791</w:t>
            </w:r>
          </w:p>
        </w:tc>
      </w:tr>
      <w:tr w:rsidR="001E536A" w:rsidRPr="001E536A" w:rsidTr="000C2514">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101</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6610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7133</w:t>
            </w:r>
          </w:p>
        </w:tc>
      </w:tr>
      <w:tr w:rsidR="001E536A" w:rsidRPr="001E536A" w:rsidTr="001E536A">
        <w:trPr>
          <w:jc w:val="center"/>
        </w:trPr>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rPr>
                <w:rFonts w:ascii="Times New Roman" w:hAnsi="Times New Roman"/>
                <w:sz w:val="20"/>
                <w:szCs w:val="20"/>
              </w:rPr>
            </w:pPr>
            <w:r w:rsidRPr="001E536A">
              <w:rPr>
                <w:rFonts w:ascii="Times New Roman" w:hAnsi="Times New Roman"/>
                <w:sz w:val="20"/>
                <w:szCs w:val="20"/>
              </w:rPr>
              <w:t>155</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sz w:val="20"/>
                <w:szCs w:val="20"/>
              </w:rPr>
            </w:pPr>
            <w:r w:rsidRPr="001E536A">
              <w:rPr>
                <w:rFonts w:ascii="Times New Roman" w:hAnsi="Times New Roman"/>
                <w:sz w:val="20"/>
                <w:szCs w:val="20"/>
              </w:rPr>
              <w:t>6980</w:t>
            </w:r>
          </w:p>
        </w:tc>
        <w:tc>
          <w:tcPr>
            <w:tcW w:w="0" w:type="auto"/>
            <w:tcBorders>
              <w:top w:val="nil"/>
              <w:left w:val="nil"/>
              <w:bottom w:val="nil"/>
              <w:right w:val="nil"/>
            </w:tcBorders>
            <w:shd w:val="clear" w:color="auto" w:fill="auto"/>
            <w:vAlign w:val="bottom"/>
          </w:tcPr>
          <w:p w:rsidR="001E536A" w:rsidRPr="001E536A" w:rsidRDefault="001E536A" w:rsidP="001E536A">
            <w:pPr>
              <w:pBdr>
                <w:top w:val="nil"/>
                <w:left w:val="nil"/>
                <w:bottom w:val="nil"/>
                <w:right w:val="nil"/>
                <w:between w:val="nil"/>
              </w:pBdr>
              <w:spacing w:before="60" w:after="0" w:line="240" w:lineRule="auto"/>
              <w:jc w:val="center"/>
              <w:rPr>
                <w:rFonts w:ascii="Times New Roman" w:hAnsi="Times New Roman"/>
                <w:i/>
                <w:sz w:val="20"/>
                <w:szCs w:val="20"/>
              </w:rPr>
            </w:pPr>
            <w:r w:rsidRPr="001E536A">
              <w:rPr>
                <w:rFonts w:ascii="Times New Roman" w:hAnsi="Times New Roman"/>
                <w:sz w:val="20"/>
                <w:szCs w:val="20"/>
              </w:rPr>
              <w:t>7492</w:t>
            </w:r>
          </w:p>
        </w:tc>
      </w:tr>
      <w:tr w:rsidR="001E536A" w:rsidRPr="001E536A" w:rsidTr="001E536A">
        <w:trPr>
          <w:jc w:val="center"/>
        </w:trPr>
        <w:tc>
          <w:tcPr>
            <w:tcW w:w="0" w:type="auto"/>
            <w:tcBorders>
              <w:top w:val="nil"/>
              <w:left w:val="nil"/>
              <w:bottom w:val="single" w:sz="4" w:space="0" w:color="auto"/>
              <w:right w:val="nil"/>
            </w:tcBorders>
            <w:shd w:val="clear" w:color="auto" w:fill="auto"/>
            <w:vAlign w:val="bottom"/>
          </w:tcPr>
          <w:p w:rsidR="001E536A" w:rsidRPr="001E536A" w:rsidRDefault="001E536A" w:rsidP="001E536A">
            <w:pPr>
              <w:pBdr>
                <w:top w:val="nil"/>
                <w:left w:val="nil"/>
                <w:bottom w:val="nil"/>
                <w:right w:val="nil"/>
                <w:between w:val="nil"/>
              </w:pBdr>
              <w:spacing w:before="60" w:after="60" w:line="240" w:lineRule="auto"/>
              <w:rPr>
                <w:rFonts w:ascii="Times New Roman" w:hAnsi="Times New Roman"/>
                <w:sz w:val="20"/>
                <w:szCs w:val="20"/>
              </w:rPr>
            </w:pPr>
            <w:r w:rsidRPr="001E536A">
              <w:rPr>
                <w:rFonts w:ascii="Times New Roman" w:hAnsi="Times New Roman"/>
                <w:sz w:val="20"/>
                <w:szCs w:val="20"/>
              </w:rPr>
              <w:t>168</w:t>
            </w:r>
          </w:p>
        </w:tc>
        <w:tc>
          <w:tcPr>
            <w:tcW w:w="0" w:type="auto"/>
            <w:tcBorders>
              <w:top w:val="nil"/>
              <w:left w:val="nil"/>
              <w:bottom w:val="single" w:sz="4" w:space="0" w:color="auto"/>
              <w:right w:val="nil"/>
            </w:tcBorders>
            <w:shd w:val="clear" w:color="auto" w:fill="auto"/>
            <w:vAlign w:val="bottom"/>
          </w:tcPr>
          <w:p w:rsidR="001E536A" w:rsidRPr="001E536A" w:rsidRDefault="001E536A" w:rsidP="001E536A">
            <w:pPr>
              <w:pBdr>
                <w:top w:val="nil"/>
                <w:left w:val="nil"/>
                <w:bottom w:val="nil"/>
                <w:right w:val="nil"/>
                <w:between w:val="nil"/>
              </w:pBdr>
              <w:spacing w:before="60" w:after="60" w:line="240" w:lineRule="auto"/>
              <w:jc w:val="center"/>
              <w:rPr>
                <w:rFonts w:ascii="Times New Roman" w:hAnsi="Times New Roman"/>
                <w:sz w:val="20"/>
                <w:szCs w:val="20"/>
              </w:rPr>
            </w:pPr>
            <w:r w:rsidRPr="001E536A">
              <w:rPr>
                <w:rFonts w:ascii="Times New Roman" w:hAnsi="Times New Roman"/>
                <w:sz w:val="20"/>
                <w:szCs w:val="20"/>
              </w:rPr>
              <w:t>7370</w:t>
            </w:r>
          </w:p>
        </w:tc>
        <w:tc>
          <w:tcPr>
            <w:tcW w:w="0" w:type="auto"/>
            <w:tcBorders>
              <w:top w:val="nil"/>
              <w:left w:val="nil"/>
              <w:bottom w:val="single" w:sz="4" w:space="0" w:color="auto"/>
              <w:right w:val="nil"/>
            </w:tcBorders>
            <w:shd w:val="clear" w:color="auto" w:fill="auto"/>
            <w:vAlign w:val="bottom"/>
          </w:tcPr>
          <w:p w:rsidR="001E536A" w:rsidRPr="001E536A" w:rsidRDefault="001E536A" w:rsidP="001E536A">
            <w:pPr>
              <w:pBdr>
                <w:top w:val="nil"/>
                <w:left w:val="nil"/>
                <w:bottom w:val="nil"/>
                <w:right w:val="nil"/>
                <w:between w:val="nil"/>
              </w:pBdr>
              <w:spacing w:before="60" w:after="60" w:line="240" w:lineRule="auto"/>
              <w:jc w:val="center"/>
              <w:rPr>
                <w:rFonts w:ascii="Times New Roman" w:hAnsi="Times New Roman"/>
                <w:i/>
                <w:sz w:val="20"/>
                <w:szCs w:val="20"/>
              </w:rPr>
            </w:pPr>
            <w:r w:rsidRPr="001E536A">
              <w:rPr>
                <w:rFonts w:ascii="Times New Roman" w:hAnsi="Times New Roman"/>
                <w:sz w:val="20"/>
                <w:szCs w:val="20"/>
              </w:rPr>
              <w:t>7840</w:t>
            </w:r>
          </w:p>
        </w:tc>
      </w:tr>
    </w:tbl>
    <w:p w:rsidR="001E536A" w:rsidRPr="001E536A" w:rsidRDefault="001E536A" w:rsidP="001E536A">
      <w:pPr>
        <w:spacing w:after="0" w:line="240" w:lineRule="auto"/>
        <w:jc w:val="both"/>
        <w:rPr>
          <w:rFonts w:ascii="Times New Roman" w:hAnsi="Times New Roman"/>
          <w:b/>
          <w:sz w:val="20"/>
          <w:szCs w:val="20"/>
        </w:rPr>
      </w:pP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120" w:line="240" w:lineRule="auto"/>
        <w:jc w:val="center"/>
        <w:rPr>
          <w:rFonts w:ascii="Times New Roman" w:hAnsi="Times New Roman"/>
          <w:sz w:val="20"/>
          <w:szCs w:val="20"/>
        </w:rPr>
      </w:pPr>
      <w:r w:rsidRPr="001E536A">
        <w:rPr>
          <w:rFonts w:ascii="Times New Roman" w:hAnsi="Times New Roman"/>
          <w:noProof/>
          <w:sz w:val="20"/>
          <w:szCs w:val="20"/>
          <w:lang w:val="en-MY" w:eastAsia="en-MY" w:bidi="ar-SA"/>
        </w:rPr>
        <w:lastRenderedPageBreak/>
        <w:drawing>
          <wp:inline distT="0" distB="0" distL="0" distR="0" wp14:anchorId="2DC0BB2E" wp14:editId="55D9AB87">
            <wp:extent cx="3600000" cy="2340000"/>
            <wp:effectExtent l="19050" t="19050" r="19685" b="22225"/>
            <wp:docPr id="11" name="image3.png" descr="C:\Users\A556U\OneDrive\MSc 161718\Data\Age Modelling\T13C cal age model v4.jpg"/>
            <wp:cNvGraphicFramePr/>
            <a:graphic xmlns:a="http://schemas.openxmlformats.org/drawingml/2006/main">
              <a:graphicData uri="http://schemas.openxmlformats.org/drawingml/2006/picture">
                <pic:pic xmlns:pic="http://schemas.openxmlformats.org/drawingml/2006/picture">
                  <pic:nvPicPr>
                    <pic:cNvPr id="0" name="image3.png" descr="C:\Users\A556U\OneDrive\MSc 161718\Data\Age Modelling\T13C cal age model v4.jpg"/>
                    <pic:cNvPicPr preferRelativeResize="0"/>
                  </pic:nvPicPr>
                  <pic:blipFill>
                    <a:blip r:embed="rId12"/>
                    <a:srcRect/>
                    <a:stretch>
                      <a:fillRect/>
                    </a:stretch>
                  </pic:blipFill>
                  <pic:spPr>
                    <a:xfrm>
                      <a:off x="0" y="0"/>
                      <a:ext cx="3600000" cy="2340000"/>
                    </a:xfrm>
                    <a:prstGeom prst="rect">
                      <a:avLst/>
                    </a:prstGeom>
                    <a:ln w="6350">
                      <a:solidFill>
                        <a:schemeClr val="tx1"/>
                      </a:solidFill>
                    </a:ln>
                  </pic:spPr>
                </pic:pic>
              </a:graphicData>
            </a:graphic>
          </wp:inline>
        </w:drawing>
      </w:r>
    </w:p>
    <w:p w:rsidR="001E536A" w:rsidRPr="001E536A" w:rsidRDefault="001E536A" w:rsidP="001E536A">
      <w:pPr>
        <w:spacing w:after="0" w:line="240" w:lineRule="auto"/>
        <w:jc w:val="center"/>
        <w:rPr>
          <w:rFonts w:ascii="Times New Roman" w:hAnsi="Times New Roman"/>
          <w:sz w:val="20"/>
          <w:szCs w:val="20"/>
        </w:rPr>
      </w:pPr>
      <w:r w:rsidRPr="001E536A">
        <w:rPr>
          <w:rFonts w:ascii="Times New Roman" w:hAnsi="Times New Roman"/>
          <w:sz w:val="20"/>
          <w:szCs w:val="20"/>
        </w:rPr>
        <w:t>Figure 2.  Age model of TER16-GC13C with corresponding sedimentation rates</w:t>
      </w:r>
    </w:p>
    <w:p w:rsidR="001E536A" w:rsidRPr="001E536A" w:rsidRDefault="001E536A" w:rsidP="001E536A">
      <w:pPr>
        <w:spacing w:after="120" w:line="240" w:lineRule="auto"/>
        <w:jc w:val="both"/>
        <w:rPr>
          <w:rFonts w:ascii="Times New Roman" w:hAnsi="Times New Roman"/>
          <w:b/>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TOC, CaCO</w:t>
      </w:r>
      <w:r w:rsidRPr="001E536A">
        <w:rPr>
          <w:rFonts w:ascii="Times New Roman" w:hAnsi="Times New Roman"/>
          <w:b/>
          <w:sz w:val="20"/>
          <w:szCs w:val="20"/>
          <w:vertAlign w:val="subscript"/>
        </w:rPr>
        <w:t>3</w:t>
      </w:r>
      <w:r w:rsidRPr="001E536A">
        <w:rPr>
          <w:rFonts w:ascii="Times New Roman" w:hAnsi="Times New Roman"/>
          <w:b/>
          <w:sz w:val="20"/>
          <w:szCs w:val="20"/>
        </w:rPr>
        <w:t xml:space="preserve"> and mean grain size</w:t>
      </w:r>
    </w:p>
    <w:p w:rsidR="001E536A" w:rsidRPr="001E536A" w:rsidRDefault="001E536A" w:rsidP="001E536A">
      <w:pPr>
        <w:spacing w:after="0" w:line="240" w:lineRule="auto"/>
        <w:jc w:val="both"/>
        <w:rPr>
          <w:rFonts w:ascii="Times New Roman" w:eastAsia="Times" w:hAnsi="Times New Roman"/>
          <w:sz w:val="20"/>
          <w:szCs w:val="20"/>
        </w:rPr>
      </w:pPr>
      <w:r w:rsidRPr="001E536A">
        <w:rPr>
          <w:rFonts w:ascii="Times New Roman" w:eastAsia="Times" w:hAnsi="Times New Roman"/>
          <w:sz w:val="20"/>
          <w:szCs w:val="20"/>
        </w:rPr>
        <w:t>The vertical profiles of TOC,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content and mean grain sizes for core TER16-GC13C are shown in Figure 3. The TOC concentration varied from 0.11% and 0.39% with mean values of 0.23 ± 0.07%. The highest and lowest concentration of TOC for the studied core was recorded at 93 cm and 111 cm. However, the variation of TOC content across the core is small, as determined by the very low standard deviation. Therefore, we interpret the TOC signal as being low (&lt;0.4%) with insignificant fluctuations. The values of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varied from 3.38% to 12.05%, with an average value of 6.95 ± 2.05%. The concentrations of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in sediment cores increased towards the core top. High values of CaCO</w:t>
      </w:r>
      <w:r w:rsidRPr="001E536A">
        <w:rPr>
          <w:rFonts w:ascii="Times New Roman" w:eastAsia="Times" w:hAnsi="Times New Roman"/>
          <w:sz w:val="20"/>
          <w:szCs w:val="20"/>
          <w:vertAlign w:val="subscript"/>
        </w:rPr>
        <w:t>3</w:t>
      </w:r>
      <w:r w:rsidRPr="001E536A">
        <w:rPr>
          <w:rFonts w:ascii="Times New Roman" w:eastAsia="Times" w:hAnsi="Times New Roman"/>
          <w:sz w:val="20"/>
          <w:szCs w:val="20"/>
        </w:rPr>
        <w:t xml:space="preserve"> were recorded at the top section of the sediment core (0 cm to 52 cm). The mean grain size ranged from 3.87 phi to 7.63 phi, with an average value of 6.18 phi, indicating an increase in grain size towards the core top (Figure 3c). </w:t>
      </w:r>
    </w:p>
    <w:p w:rsidR="001E536A" w:rsidRPr="001E536A" w:rsidRDefault="001E536A" w:rsidP="001E536A">
      <w:pPr>
        <w:spacing w:after="120" w:line="240" w:lineRule="auto"/>
        <w:jc w:val="both"/>
        <w:rPr>
          <w:rFonts w:ascii="Times New Roman" w:hAnsi="Times New Roman"/>
          <w:sz w:val="20"/>
          <w:szCs w:val="20"/>
        </w:rPr>
      </w:pPr>
    </w:p>
    <w:p w:rsidR="001E536A" w:rsidRPr="001E536A" w:rsidRDefault="001E536A" w:rsidP="001E536A">
      <w:pPr>
        <w:spacing w:after="120" w:line="240" w:lineRule="auto"/>
        <w:jc w:val="center"/>
        <w:rPr>
          <w:rFonts w:ascii="Times New Roman" w:hAnsi="Times New Roman"/>
          <w:sz w:val="20"/>
          <w:szCs w:val="20"/>
        </w:rPr>
      </w:pPr>
      <w:r w:rsidRPr="001E536A">
        <w:rPr>
          <w:rFonts w:ascii="Times New Roman" w:hAnsi="Times New Roman"/>
          <w:noProof/>
          <w:sz w:val="20"/>
          <w:szCs w:val="20"/>
          <w:lang w:val="en-MY" w:eastAsia="en-MY" w:bidi="ar-SA"/>
        </w:rPr>
        <w:drawing>
          <wp:inline distT="0" distB="0" distL="0" distR="0" wp14:anchorId="3839D906" wp14:editId="1E47941F">
            <wp:extent cx="3780000" cy="2700000"/>
            <wp:effectExtent l="19050" t="19050" r="11430" b="24765"/>
            <wp:docPr id="10" name="image2.png" descr="C:\Users\A556U\OneDrive\MSc 161718\TOMSY 2018\TOMSY-MJAS\trio2.jpg"/>
            <wp:cNvGraphicFramePr/>
            <a:graphic xmlns:a="http://schemas.openxmlformats.org/drawingml/2006/main">
              <a:graphicData uri="http://schemas.openxmlformats.org/drawingml/2006/picture">
                <pic:pic xmlns:pic="http://schemas.openxmlformats.org/drawingml/2006/picture">
                  <pic:nvPicPr>
                    <pic:cNvPr id="0" name="image2.png" descr="C:\Users\A556U\OneDrive\MSc 161718\TOMSY 2018\TOMSY-MJAS\trio2.jpg"/>
                    <pic:cNvPicPr preferRelativeResize="0"/>
                  </pic:nvPicPr>
                  <pic:blipFill>
                    <a:blip r:embed="rId13"/>
                    <a:srcRect t="3683"/>
                    <a:stretch>
                      <a:fillRect/>
                    </a:stretch>
                  </pic:blipFill>
                  <pic:spPr>
                    <a:xfrm>
                      <a:off x="0" y="0"/>
                      <a:ext cx="3780000" cy="2700000"/>
                    </a:xfrm>
                    <a:prstGeom prst="rect">
                      <a:avLst/>
                    </a:prstGeom>
                    <a:ln w="6350">
                      <a:solidFill>
                        <a:schemeClr val="tx1"/>
                      </a:solidFill>
                    </a:ln>
                  </pic:spPr>
                </pic:pic>
              </a:graphicData>
            </a:graphic>
          </wp:inline>
        </w:drawing>
      </w:r>
    </w:p>
    <w:p w:rsidR="001E536A" w:rsidRPr="001E536A" w:rsidRDefault="001E536A" w:rsidP="001E536A">
      <w:pPr>
        <w:spacing w:after="0" w:line="240" w:lineRule="auto"/>
        <w:jc w:val="center"/>
        <w:rPr>
          <w:rFonts w:ascii="Times New Roman" w:hAnsi="Times New Roman"/>
          <w:sz w:val="20"/>
          <w:szCs w:val="20"/>
        </w:rPr>
      </w:pPr>
      <w:r w:rsidRPr="001E536A">
        <w:rPr>
          <w:rFonts w:ascii="Times New Roman" w:hAnsi="Times New Roman"/>
          <w:sz w:val="20"/>
          <w:szCs w:val="20"/>
        </w:rPr>
        <w:t>Figure 3.  Vertical profiles of TOC content,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and mean grain size of core TER16-GC13C</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lastRenderedPageBreak/>
        <w:t>Pearson’s correlation indicates that there is no significant relationship between TOC and grain size, implying that grain size had no appreciable influence on TOC concentration in sediment (Table 3). Meanwhile, there is a strong negative correlation between CaCO</w:t>
      </w:r>
      <w:r w:rsidRPr="001E536A">
        <w:rPr>
          <w:rFonts w:ascii="Times New Roman" w:hAnsi="Times New Roman"/>
          <w:sz w:val="20"/>
          <w:szCs w:val="20"/>
          <w:vertAlign w:val="subscript"/>
        </w:rPr>
        <w:t>3</w:t>
      </w:r>
      <w:r w:rsidRPr="001E536A">
        <w:rPr>
          <w:rFonts w:ascii="Times New Roman" w:hAnsi="Times New Roman"/>
          <w:sz w:val="20"/>
          <w:szCs w:val="20"/>
        </w:rPr>
        <w:t xml:space="preserve"> and grain size (Table 3 and Figure 4). </w:t>
      </w:r>
    </w:p>
    <w:p w:rsidR="001E536A" w:rsidRPr="001E536A" w:rsidRDefault="001E536A" w:rsidP="001E536A">
      <w:pPr>
        <w:spacing w:after="120" w:line="240" w:lineRule="auto"/>
        <w:jc w:val="both"/>
        <w:rPr>
          <w:rFonts w:ascii="Times New Roman" w:hAnsi="Times New Roman"/>
          <w:sz w:val="20"/>
          <w:szCs w:val="20"/>
        </w:rPr>
      </w:pPr>
    </w:p>
    <w:p w:rsidR="001E536A" w:rsidRPr="001E536A" w:rsidRDefault="001E536A" w:rsidP="001E536A">
      <w:pPr>
        <w:spacing w:after="120" w:line="240" w:lineRule="auto"/>
        <w:jc w:val="center"/>
        <w:rPr>
          <w:rFonts w:ascii="Times New Roman" w:hAnsi="Times New Roman"/>
          <w:sz w:val="20"/>
          <w:szCs w:val="20"/>
        </w:rPr>
      </w:pPr>
      <w:r w:rsidRPr="001E536A">
        <w:rPr>
          <w:rFonts w:ascii="Times New Roman" w:hAnsi="Times New Roman"/>
          <w:sz w:val="20"/>
          <w:szCs w:val="20"/>
        </w:rPr>
        <w:t>Table 3.  Pearson’s correlation coefficient between proxies</w:t>
      </w:r>
    </w:p>
    <w:tbl>
      <w:tblPr>
        <w:tblW w:w="0" w:type="auto"/>
        <w:jc w:val="center"/>
        <w:tblInd w:w="-274" w:type="dxa"/>
        <w:tblBorders>
          <w:top w:val="single" w:sz="8" w:space="0" w:color="000000"/>
          <w:left w:val="nil"/>
          <w:bottom w:val="single" w:sz="8" w:space="0" w:color="000000"/>
          <w:right w:val="nil"/>
          <w:insideH w:val="nil"/>
          <w:insideV w:val="nil"/>
        </w:tblBorders>
        <w:tblLook w:val="0400" w:firstRow="0" w:lastRow="0" w:firstColumn="0" w:lastColumn="0" w:noHBand="0" w:noVBand="1"/>
      </w:tblPr>
      <w:tblGrid>
        <w:gridCol w:w="1055"/>
        <w:gridCol w:w="2192"/>
        <w:gridCol w:w="2250"/>
      </w:tblGrid>
      <w:tr w:rsidR="001E536A" w:rsidRPr="001E536A" w:rsidTr="00A65FE7">
        <w:trPr>
          <w:trHeight w:val="41"/>
          <w:jc w:val="center"/>
        </w:trPr>
        <w:tc>
          <w:tcPr>
            <w:tcW w:w="1055" w:type="dxa"/>
            <w:tcBorders>
              <w:top w:val="single" w:sz="4" w:space="0" w:color="auto"/>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p>
        </w:tc>
        <w:tc>
          <w:tcPr>
            <w:tcW w:w="2192" w:type="dxa"/>
            <w:tcBorders>
              <w:top w:val="single" w:sz="4" w:space="0" w:color="auto"/>
              <w:left w:val="nil"/>
              <w:bottom w:val="single" w:sz="4" w:space="0" w:color="auto"/>
              <w:right w:val="nil"/>
            </w:tcBorders>
          </w:tcPr>
          <w:p w:rsidR="001E536A" w:rsidRPr="001E536A" w:rsidRDefault="001E536A" w:rsidP="00A65FE7">
            <w:pPr>
              <w:spacing w:before="60" w:after="60" w:line="240" w:lineRule="auto"/>
              <w:rPr>
                <w:rFonts w:ascii="Times New Roman" w:hAnsi="Times New Roman"/>
                <w:b/>
                <w:sz w:val="20"/>
                <w:szCs w:val="20"/>
              </w:rPr>
            </w:pPr>
            <w:r w:rsidRPr="001E536A">
              <w:rPr>
                <w:rFonts w:ascii="Times New Roman" w:hAnsi="Times New Roman"/>
                <w:b/>
                <w:sz w:val="20"/>
                <w:szCs w:val="20"/>
              </w:rPr>
              <w:t>CaCO</w:t>
            </w:r>
            <w:r w:rsidRPr="001E536A">
              <w:rPr>
                <w:rFonts w:ascii="Times New Roman" w:hAnsi="Times New Roman"/>
                <w:b/>
                <w:sz w:val="20"/>
                <w:szCs w:val="20"/>
                <w:vertAlign w:val="subscript"/>
              </w:rPr>
              <w:t>3</w:t>
            </w:r>
          </w:p>
        </w:tc>
        <w:tc>
          <w:tcPr>
            <w:tcW w:w="2250" w:type="dxa"/>
            <w:tcBorders>
              <w:top w:val="single" w:sz="4" w:space="0" w:color="auto"/>
              <w:left w:val="nil"/>
              <w:bottom w:val="single" w:sz="4" w:space="0" w:color="auto"/>
              <w:right w:val="nil"/>
            </w:tcBorders>
          </w:tcPr>
          <w:p w:rsidR="001E536A" w:rsidRPr="001E536A" w:rsidRDefault="001E536A" w:rsidP="00A65FE7">
            <w:pPr>
              <w:spacing w:before="60" w:after="60" w:line="240" w:lineRule="auto"/>
              <w:rPr>
                <w:rFonts w:ascii="Times New Roman" w:hAnsi="Times New Roman"/>
                <w:b/>
                <w:sz w:val="20"/>
                <w:szCs w:val="20"/>
              </w:rPr>
            </w:pPr>
            <w:r w:rsidRPr="001E536A">
              <w:rPr>
                <w:rFonts w:ascii="Times New Roman" w:hAnsi="Times New Roman"/>
                <w:b/>
                <w:sz w:val="20"/>
                <w:szCs w:val="20"/>
              </w:rPr>
              <w:t>Grain Size</w:t>
            </w:r>
          </w:p>
        </w:tc>
      </w:tr>
      <w:tr w:rsidR="001E536A" w:rsidRPr="001E536A" w:rsidTr="00A65FE7">
        <w:trPr>
          <w:trHeight w:val="42"/>
          <w:jc w:val="center"/>
        </w:trPr>
        <w:tc>
          <w:tcPr>
            <w:tcW w:w="1055" w:type="dxa"/>
            <w:tcBorders>
              <w:top w:val="single" w:sz="4" w:space="0" w:color="auto"/>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TOC</w:t>
            </w:r>
          </w:p>
        </w:tc>
        <w:tc>
          <w:tcPr>
            <w:tcW w:w="2192" w:type="dxa"/>
            <w:tcBorders>
              <w:top w:val="single" w:sz="4" w:space="0" w:color="auto"/>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-0.0035(p=0.9776)</w:t>
            </w:r>
          </w:p>
        </w:tc>
        <w:tc>
          <w:tcPr>
            <w:tcW w:w="2250" w:type="dxa"/>
            <w:tcBorders>
              <w:top w:val="single" w:sz="4" w:space="0" w:color="auto"/>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-0.1072 (p=0.3841)</w:t>
            </w:r>
          </w:p>
        </w:tc>
      </w:tr>
      <w:tr w:rsidR="001E536A" w:rsidRPr="001E536A" w:rsidTr="00A65FE7">
        <w:trPr>
          <w:trHeight w:val="51"/>
          <w:jc w:val="center"/>
        </w:trPr>
        <w:tc>
          <w:tcPr>
            <w:tcW w:w="1055"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CaCO</w:t>
            </w:r>
            <w:r w:rsidRPr="001E536A">
              <w:rPr>
                <w:rFonts w:ascii="Times New Roman" w:hAnsi="Times New Roman"/>
                <w:sz w:val="20"/>
                <w:szCs w:val="20"/>
                <w:vertAlign w:val="subscript"/>
              </w:rPr>
              <w:t>3</w:t>
            </w:r>
          </w:p>
        </w:tc>
        <w:tc>
          <w:tcPr>
            <w:tcW w:w="2192"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p>
        </w:tc>
        <w:tc>
          <w:tcPr>
            <w:tcW w:w="2250"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b/>
                <w:sz w:val="20"/>
                <w:szCs w:val="20"/>
              </w:rPr>
            </w:pPr>
            <w:r w:rsidRPr="001E536A">
              <w:rPr>
                <w:rFonts w:ascii="Times New Roman" w:hAnsi="Times New Roman"/>
                <w:b/>
                <w:sz w:val="20"/>
                <w:szCs w:val="20"/>
              </w:rPr>
              <w:t>-0.5955 (p=8.4726E-08)</w:t>
            </w:r>
          </w:p>
        </w:tc>
      </w:tr>
    </w:tbl>
    <w:p w:rsidR="001E536A" w:rsidRPr="00A65FE7" w:rsidRDefault="001E536A" w:rsidP="00A65FE7">
      <w:pPr>
        <w:spacing w:before="60" w:after="0" w:line="240" w:lineRule="auto"/>
        <w:ind w:left="1980" w:right="1951"/>
        <w:jc w:val="both"/>
        <w:rPr>
          <w:rFonts w:ascii="Times New Roman" w:hAnsi="Times New Roman"/>
          <w:sz w:val="18"/>
          <w:szCs w:val="18"/>
        </w:rPr>
      </w:pPr>
      <w:r w:rsidRPr="00A65FE7">
        <w:rPr>
          <w:rFonts w:ascii="Times New Roman" w:hAnsi="Times New Roman"/>
          <w:sz w:val="18"/>
          <w:szCs w:val="18"/>
        </w:rPr>
        <w:t>Note: Bold type designates significant negative correlations at the significance level of 0.05</w:t>
      </w:r>
    </w:p>
    <w:p w:rsidR="001E536A" w:rsidRDefault="001E536A" w:rsidP="001E536A">
      <w:pPr>
        <w:spacing w:after="0" w:line="240" w:lineRule="auto"/>
        <w:jc w:val="both"/>
        <w:rPr>
          <w:rFonts w:ascii="Times New Roman" w:hAnsi="Times New Roman"/>
          <w:sz w:val="20"/>
          <w:szCs w:val="20"/>
        </w:rPr>
      </w:pPr>
    </w:p>
    <w:p w:rsidR="00A65FE7" w:rsidRPr="001E536A" w:rsidRDefault="00A65FE7" w:rsidP="001E536A">
      <w:pPr>
        <w:spacing w:after="0" w:line="240" w:lineRule="auto"/>
        <w:jc w:val="both"/>
        <w:rPr>
          <w:rFonts w:ascii="Times New Roman" w:hAnsi="Times New Roman"/>
          <w:sz w:val="20"/>
          <w:szCs w:val="20"/>
        </w:rPr>
      </w:pPr>
    </w:p>
    <w:p w:rsidR="001E536A" w:rsidRPr="001E536A" w:rsidRDefault="001E536A" w:rsidP="00A65FE7">
      <w:pPr>
        <w:spacing w:after="120" w:line="240" w:lineRule="auto"/>
        <w:jc w:val="center"/>
        <w:rPr>
          <w:rFonts w:ascii="Times New Roman" w:hAnsi="Times New Roman"/>
          <w:sz w:val="20"/>
          <w:szCs w:val="20"/>
        </w:rPr>
      </w:pPr>
      <w:r w:rsidRPr="001E536A">
        <w:rPr>
          <w:rFonts w:ascii="Times New Roman" w:hAnsi="Times New Roman"/>
          <w:noProof/>
          <w:sz w:val="20"/>
          <w:szCs w:val="20"/>
          <w:lang w:val="en-MY" w:eastAsia="en-MY" w:bidi="ar-SA"/>
        </w:rPr>
        <w:drawing>
          <wp:inline distT="0" distB="0" distL="0" distR="0" wp14:anchorId="750F0EFF" wp14:editId="5DBF3CBB">
            <wp:extent cx="3240000" cy="2340000"/>
            <wp:effectExtent l="19050" t="19050" r="17780" b="22225"/>
            <wp:docPr id="13" name="image5.png" descr="C:\Users\A556U\OneDrive\MSc 161718\TOMSY 2018\TOMSY-MJAS\xy plot co3 vs gs.png"/>
            <wp:cNvGraphicFramePr/>
            <a:graphic xmlns:a="http://schemas.openxmlformats.org/drawingml/2006/main">
              <a:graphicData uri="http://schemas.openxmlformats.org/drawingml/2006/picture">
                <pic:pic xmlns:pic="http://schemas.openxmlformats.org/drawingml/2006/picture">
                  <pic:nvPicPr>
                    <pic:cNvPr id="0" name="image5.png" descr="C:\Users\A556U\OneDrive\MSc 161718\TOMSY 2018\TOMSY-MJAS\xy plot co3 vs gs.png"/>
                    <pic:cNvPicPr preferRelativeResize="0"/>
                  </pic:nvPicPr>
                  <pic:blipFill>
                    <a:blip r:embed="rId14"/>
                    <a:srcRect t="10023" b="6146"/>
                    <a:stretch>
                      <a:fillRect/>
                    </a:stretch>
                  </pic:blipFill>
                  <pic:spPr>
                    <a:xfrm>
                      <a:off x="0" y="0"/>
                      <a:ext cx="3240000" cy="2340000"/>
                    </a:xfrm>
                    <a:prstGeom prst="rect">
                      <a:avLst/>
                    </a:prstGeom>
                    <a:ln w="6350">
                      <a:solidFill>
                        <a:schemeClr val="tx1"/>
                      </a:solidFill>
                    </a:ln>
                  </pic:spPr>
                </pic:pic>
              </a:graphicData>
            </a:graphic>
          </wp:inline>
        </w:drawing>
      </w:r>
    </w:p>
    <w:p w:rsidR="001E536A" w:rsidRPr="001E536A" w:rsidRDefault="001E536A" w:rsidP="00A65FE7">
      <w:pPr>
        <w:spacing w:after="0" w:line="240" w:lineRule="auto"/>
        <w:jc w:val="center"/>
        <w:rPr>
          <w:rFonts w:ascii="Times New Roman" w:hAnsi="Times New Roman"/>
          <w:sz w:val="20"/>
          <w:szCs w:val="20"/>
        </w:rPr>
      </w:pPr>
      <w:r w:rsidRPr="001E536A">
        <w:rPr>
          <w:rFonts w:ascii="Times New Roman" w:hAnsi="Times New Roman"/>
          <w:sz w:val="20"/>
          <w:szCs w:val="20"/>
        </w:rPr>
        <w:t>Figure 4.  Scatterplot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against mean grain size</w:t>
      </w:r>
    </w:p>
    <w:p w:rsidR="001E536A" w:rsidRPr="001E536A" w:rsidRDefault="001E536A" w:rsidP="00A65FE7">
      <w:pPr>
        <w:spacing w:after="12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Holocene sedimentation rate</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Based on the age model, the average sedimentation rate of TER16-GC13C was 0.06 cm yr</w:t>
      </w:r>
      <w:r w:rsidRPr="001E536A">
        <w:rPr>
          <w:rFonts w:ascii="Times New Roman" w:hAnsi="Times New Roman"/>
          <w:sz w:val="20"/>
          <w:szCs w:val="20"/>
          <w:vertAlign w:val="superscript"/>
        </w:rPr>
        <w:t>-1</w:t>
      </w:r>
      <w:r w:rsidRPr="001E536A">
        <w:rPr>
          <w:rFonts w:ascii="Times New Roman" w:hAnsi="Times New Roman"/>
          <w:sz w:val="20"/>
          <w:szCs w:val="20"/>
        </w:rPr>
        <w:t xml:space="preserve"> (Figure 2). The sedimentation rate in this study was relatively lower compared to the </w:t>
      </w:r>
      <w:r w:rsidRPr="001E536A">
        <w:rPr>
          <w:rFonts w:ascii="Times New Roman" w:hAnsi="Times New Roman"/>
          <w:sz w:val="20"/>
          <w:szCs w:val="20"/>
          <w:vertAlign w:val="superscript"/>
        </w:rPr>
        <w:t>210</w:t>
      </w:r>
      <w:r w:rsidRPr="001E536A">
        <w:rPr>
          <w:rFonts w:ascii="Times New Roman" w:hAnsi="Times New Roman"/>
          <w:sz w:val="20"/>
          <w:szCs w:val="20"/>
        </w:rPr>
        <w:t>Pb excess age estimation from short sediment core of EC02 (0.34 cm yr</w:t>
      </w:r>
      <w:r w:rsidRPr="001E536A">
        <w:rPr>
          <w:rFonts w:ascii="Times New Roman" w:hAnsi="Times New Roman"/>
          <w:sz w:val="20"/>
          <w:szCs w:val="20"/>
          <w:vertAlign w:val="superscript"/>
        </w:rPr>
        <w:t>-1</w:t>
      </w:r>
      <w:r w:rsidRPr="001E536A">
        <w:rPr>
          <w:rFonts w:ascii="Times New Roman" w:hAnsi="Times New Roman"/>
          <w:sz w:val="20"/>
          <w:szCs w:val="20"/>
        </w:rPr>
        <w:t>) and EC03 (0.38 cm yr</w:t>
      </w:r>
      <w:r w:rsidRPr="001E536A">
        <w:rPr>
          <w:rFonts w:ascii="Times New Roman" w:hAnsi="Times New Roman"/>
          <w:sz w:val="20"/>
          <w:szCs w:val="20"/>
          <w:vertAlign w:val="superscript"/>
        </w:rPr>
        <w:t>-1</w:t>
      </w:r>
      <w:r w:rsidRPr="001E536A">
        <w:rPr>
          <w:rFonts w:ascii="Times New Roman" w:hAnsi="Times New Roman"/>
          <w:sz w:val="20"/>
          <w:szCs w:val="20"/>
        </w:rPr>
        <w:t>)</w:t>
      </w:r>
      <w:r w:rsidRPr="001E536A">
        <w:rPr>
          <w:rFonts w:ascii="Times New Roman" w:hAnsi="Times New Roman"/>
          <w:sz w:val="20"/>
          <w:szCs w:val="20"/>
          <w:vertAlign w:val="superscript"/>
        </w:rPr>
        <w:t xml:space="preserve"> </w:t>
      </w:r>
      <w:r w:rsidRPr="001E536A">
        <w:rPr>
          <w:rFonts w:ascii="Times New Roman" w:hAnsi="Times New Roman"/>
          <w:sz w:val="20"/>
          <w:szCs w:val="20"/>
        </w:rPr>
        <w:t>in the East Coast of Peninsular Malaysia, which was established by Mohamed et al. [18]. The difference can be attributed to the distance of sampling locations from the shoreline. Szmytkiewicz and Zalewska [19] stated that shorter distances of core location to the source of sediment lead to high accumulation rate of sediment. The locations of core EC02 and EC03 are closer to the terrestrial area compared to core TER16-GC13C. TER16-GC13C sedimentation rate was relatively lower at 0.07 cm yr</w:t>
      </w:r>
      <w:r w:rsidRPr="001E536A">
        <w:rPr>
          <w:rFonts w:ascii="Times New Roman" w:hAnsi="Times New Roman"/>
          <w:sz w:val="20"/>
          <w:szCs w:val="20"/>
          <w:vertAlign w:val="superscript"/>
        </w:rPr>
        <w:t>-1</w:t>
      </w:r>
      <w:r w:rsidRPr="001E536A">
        <w:rPr>
          <w:rFonts w:ascii="Times New Roman" w:hAnsi="Times New Roman"/>
          <w:sz w:val="20"/>
          <w:szCs w:val="20"/>
        </w:rPr>
        <w:t xml:space="preserve"> – 0.15 cm yr</w:t>
      </w:r>
      <w:r w:rsidRPr="001E536A">
        <w:rPr>
          <w:rFonts w:ascii="Times New Roman" w:hAnsi="Times New Roman"/>
          <w:sz w:val="20"/>
          <w:szCs w:val="20"/>
          <w:vertAlign w:val="superscript"/>
        </w:rPr>
        <w:t>-1</w:t>
      </w:r>
      <w:r w:rsidRPr="001E536A">
        <w:rPr>
          <w:rFonts w:ascii="Times New Roman" w:hAnsi="Times New Roman"/>
          <w:sz w:val="20"/>
          <w:szCs w:val="20"/>
        </w:rPr>
        <w:t>, which covers the age between 2560 and 7370 yr BP. Sedimentation rate decreased to 0.01 cm yr</w:t>
      </w:r>
      <w:r w:rsidRPr="001E536A">
        <w:rPr>
          <w:rFonts w:ascii="Times New Roman" w:hAnsi="Times New Roman"/>
          <w:sz w:val="20"/>
          <w:szCs w:val="20"/>
          <w:vertAlign w:val="superscript"/>
        </w:rPr>
        <w:t xml:space="preserve">-1 </w:t>
      </w:r>
      <w:r w:rsidRPr="001E536A">
        <w:rPr>
          <w:rFonts w:ascii="Times New Roman" w:hAnsi="Times New Roman"/>
          <w:sz w:val="20"/>
          <w:szCs w:val="20"/>
        </w:rPr>
        <w:t>between 6310 and 3190 yr BP. The sea level rise which flooded the region during Holocene deglaciation caused the study area to be at a further distance than the new land-sea border, limiting sediment sources from the terrestrial environment [19]. This is the reason why the sedimentation rate is relatively lower at the upper part than bottom part of the sediment core.</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 xml:space="preserve">Paleoproductivity variability </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concentration of TOC in marine sediment cores is widely used as a proxy for surface water paleoproductivity; high (low) TOC value is linked to high (low) paleoproductivity [20, 21, 23]. However, this study reveals that it is inaccurate to generally deduce the paleoproductivity record based solely on the TOC content. The value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had been steadily increasing since the last 7840 cal yr BP (Figure 5b), implying higher carbonate </w:t>
      </w:r>
      <w:r w:rsidRPr="001E536A">
        <w:rPr>
          <w:rFonts w:ascii="Times New Roman" w:hAnsi="Times New Roman"/>
          <w:sz w:val="20"/>
          <w:szCs w:val="20"/>
        </w:rPr>
        <w:lastRenderedPageBreak/>
        <w:t>production, while TOC content remained low (Figure 5a). This finding is consistent with the previous finding that the primary productivity of poor nutrient surface water in the ocean was dominated by carbonate-based primary producer [5]. The production of organic matter by primary producers converts CO</w:t>
      </w:r>
      <w:r w:rsidRPr="001E536A">
        <w:rPr>
          <w:rFonts w:ascii="Times New Roman" w:hAnsi="Times New Roman"/>
          <w:sz w:val="20"/>
          <w:szCs w:val="20"/>
          <w:vertAlign w:val="subscript"/>
        </w:rPr>
        <w:t xml:space="preserve">2 </w:t>
      </w:r>
      <w:r w:rsidRPr="001E536A">
        <w:rPr>
          <w:rFonts w:ascii="Times New Roman" w:hAnsi="Times New Roman"/>
          <w:sz w:val="20"/>
          <w:szCs w:val="20"/>
        </w:rPr>
        <w:t>into organic matter while CaCO</w:t>
      </w:r>
      <w:r w:rsidRPr="001E536A">
        <w:rPr>
          <w:rFonts w:ascii="Times New Roman" w:hAnsi="Times New Roman"/>
          <w:sz w:val="20"/>
          <w:szCs w:val="20"/>
          <w:vertAlign w:val="subscript"/>
        </w:rPr>
        <w:t>3</w:t>
      </w:r>
      <w:r w:rsidRPr="001E536A">
        <w:rPr>
          <w:rFonts w:ascii="Times New Roman" w:hAnsi="Times New Roman"/>
          <w:sz w:val="20"/>
          <w:szCs w:val="20"/>
        </w:rPr>
        <w:t xml:space="preserve"> production in the ocean photic zone counteracts by releasing CO</w:t>
      </w:r>
      <w:r w:rsidRPr="001E536A">
        <w:rPr>
          <w:rFonts w:ascii="Times New Roman" w:hAnsi="Times New Roman"/>
          <w:sz w:val="20"/>
          <w:szCs w:val="20"/>
          <w:vertAlign w:val="subscript"/>
        </w:rPr>
        <w:t>2</w:t>
      </w:r>
      <w:r w:rsidRPr="001E536A">
        <w:rPr>
          <w:rFonts w:ascii="Times New Roman" w:hAnsi="Times New Roman"/>
          <w:sz w:val="20"/>
          <w:szCs w:val="20"/>
        </w:rPr>
        <w:t xml:space="preserve"> [5]. </w:t>
      </w:r>
    </w:p>
    <w:p w:rsidR="001E536A" w:rsidRPr="001E536A" w:rsidRDefault="001E536A" w:rsidP="00A65FE7">
      <w:pPr>
        <w:spacing w:after="120" w:line="240" w:lineRule="auto"/>
        <w:jc w:val="both"/>
        <w:rPr>
          <w:rFonts w:ascii="Times New Roman" w:hAnsi="Times New Roman"/>
          <w:sz w:val="20"/>
          <w:szCs w:val="20"/>
        </w:rPr>
      </w:pPr>
    </w:p>
    <w:p w:rsidR="001E536A" w:rsidRPr="001E536A" w:rsidRDefault="001E536A" w:rsidP="00A65FE7">
      <w:pPr>
        <w:spacing w:after="120" w:line="240" w:lineRule="auto"/>
        <w:jc w:val="center"/>
        <w:rPr>
          <w:rFonts w:ascii="Times New Roman" w:hAnsi="Times New Roman"/>
          <w:b/>
          <w:sz w:val="20"/>
          <w:szCs w:val="20"/>
        </w:rPr>
      </w:pPr>
      <w:r w:rsidRPr="001E536A">
        <w:rPr>
          <w:rFonts w:ascii="Times New Roman" w:hAnsi="Times New Roman"/>
          <w:noProof/>
          <w:sz w:val="20"/>
          <w:szCs w:val="20"/>
          <w:lang w:val="en-MY" w:eastAsia="en-MY" w:bidi="ar-SA"/>
        </w:rPr>
        <w:drawing>
          <wp:inline distT="0" distB="0" distL="0" distR="0" wp14:anchorId="418A4A44" wp14:editId="714FE259">
            <wp:extent cx="3829253" cy="2523667"/>
            <wp:effectExtent l="19050" t="19050" r="19050" b="10160"/>
            <wp:docPr id="12" name="image4.png" descr="C:\Users\A556U\OneDrive\MSc 161718\TOMSY 2018\TOMSY-MJAS\Grapher pics TOMSY\corr abcd.png"/>
            <wp:cNvGraphicFramePr/>
            <a:graphic xmlns:a="http://schemas.openxmlformats.org/drawingml/2006/main">
              <a:graphicData uri="http://schemas.openxmlformats.org/drawingml/2006/picture">
                <pic:pic xmlns:pic="http://schemas.openxmlformats.org/drawingml/2006/picture">
                  <pic:nvPicPr>
                    <pic:cNvPr id="0" name="image4.png" descr="C:\Users\A556U\OneDrive\MSc 161718\TOMSY 2018\TOMSY-MJAS\Grapher pics TOMSY\corr abcd.png"/>
                    <pic:cNvPicPr preferRelativeResize="0"/>
                  </pic:nvPicPr>
                  <pic:blipFill>
                    <a:blip r:embed="rId15"/>
                    <a:srcRect/>
                    <a:stretch>
                      <a:fillRect/>
                    </a:stretch>
                  </pic:blipFill>
                  <pic:spPr>
                    <a:xfrm>
                      <a:off x="0" y="0"/>
                      <a:ext cx="3840996" cy="2531407"/>
                    </a:xfrm>
                    <a:prstGeom prst="rect">
                      <a:avLst/>
                    </a:prstGeom>
                    <a:ln w="6350">
                      <a:solidFill>
                        <a:schemeClr val="tx1"/>
                      </a:solidFill>
                    </a:ln>
                  </pic:spPr>
                </pic:pic>
              </a:graphicData>
            </a:graphic>
          </wp:inline>
        </w:drawing>
      </w:r>
    </w:p>
    <w:p w:rsidR="001E536A" w:rsidRPr="001E536A" w:rsidRDefault="001E536A" w:rsidP="001E536A">
      <w:pPr>
        <w:spacing w:after="0" w:line="240" w:lineRule="auto"/>
        <w:ind w:left="851" w:hanging="851"/>
        <w:jc w:val="both"/>
        <w:rPr>
          <w:rFonts w:ascii="Times New Roman" w:hAnsi="Times New Roman"/>
          <w:sz w:val="20"/>
          <w:szCs w:val="20"/>
        </w:rPr>
      </w:pPr>
      <w:r w:rsidRPr="001E536A">
        <w:rPr>
          <w:rFonts w:ascii="Times New Roman" w:hAnsi="Times New Roman"/>
          <w:sz w:val="20"/>
          <w:szCs w:val="20"/>
        </w:rPr>
        <w:t xml:space="preserve">Figure 5.  </w:t>
      </w:r>
      <w:r w:rsidR="00A65FE7">
        <w:rPr>
          <w:rFonts w:ascii="Times New Roman" w:hAnsi="Times New Roman"/>
          <w:sz w:val="20"/>
          <w:szCs w:val="20"/>
        </w:rPr>
        <w:tab/>
      </w:r>
      <w:r w:rsidRPr="001E536A">
        <w:rPr>
          <w:rFonts w:ascii="Times New Roman" w:hAnsi="Times New Roman"/>
          <w:sz w:val="20"/>
          <w:szCs w:val="20"/>
        </w:rPr>
        <w:t>Profiles of (a) TOC content, (b)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(c) mean sediment grain size and (d) U</w:t>
      </w:r>
      <w:r w:rsidRPr="001E536A">
        <w:rPr>
          <w:rFonts w:ascii="Times New Roman" w:hAnsi="Times New Roman"/>
          <w:sz w:val="20"/>
          <w:szCs w:val="20"/>
          <w:vertAlign w:val="superscript"/>
        </w:rPr>
        <w:t>K</w:t>
      </w:r>
      <w:r w:rsidRPr="001E536A">
        <w:rPr>
          <w:rFonts w:ascii="Times New Roman" w:hAnsi="Times New Roman"/>
          <w:sz w:val="20"/>
          <w:szCs w:val="20"/>
          <w:vertAlign w:val="subscript"/>
        </w:rPr>
        <w:t>37</w:t>
      </w:r>
      <w:r w:rsidRPr="001E536A">
        <w:rPr>
          <w:rFonts w:ascii="Times New Roman" w:hAnsi="Times New Roman"/>
          <w:sz w:val="20"/>
          <w:szCs w:val="20"/>
        </w:rPr>
        <w:t>-SST during the last 7840 cal yr BP. U</w:t>
      </w:r>
      <w:r w:rsidRPr="001E536A">
        <w:rPr>
          <w:rFonts w:ascii="Times New Roman" w:hAnsi="Times New Roman"/>
          <w:sz w:val="20"/>
          <w:szCs w:val="20"/>
          <w:vertAlign w:val="superscript"/>
        </w:rPr>
        <w:t>K</w:t>
      </w:r>
      <w:r w:rsidRPr="001E536A">
        <w:rPr>
          <w:rFonts w:ascii="Times New Roman" w:hAnsi="Times New Roman"/>
          <w:sz w:val="20"/>
          <w:szCs w:val="20"/>
          <w:vertAlign w:val="subscript"/>
        </w:rPr>
        <w:t>37</w:t>
      </w:r>
      <w:r w:rsidRPr="001E536A">
        <w:rPr>
          <w:rFonts w:ascii="Times New Roman" w:hAnsi="Times New Roman"/>
          <w:sz w:val="20"/>
          <w:szCs w:val="20"/>
        </w:rPr>
        <w:t>-SST from core 18287-3 was supplied by Kienast et al. [23]. Shaded region marks Meghalayan while unshaded region represents Northgrippian</w:t>
      </w:r>
    </w:p>
    <w:p w:rsidR="001E536A" w:rsidRPr="001E536A" w:rsidRDefault="001E536A" w:rsidP="00A65FE7">
      <w:pPr>
        <w:spacing w:after="12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In high productivity areas, the surplus in organic matter supply to marine sediment results in high production of metabolic CO</w:t>
      </w:r>
      <w:r w:rsidRPr="001E536A">
        <w:rPr>
          <w:rFonts w:ascii="Times New Roman" w:hAnsi="Times New Roman"/>
          <w:sz w:val="20"/>
          <w:szCs w:val="20"/>
          <w:vertAlign w:val="subscript"/>
        </w:rPr>
        <w:t xml:space="preserve">2 </w:t>
      </w:r>
      <w:r w:rsidRPr="001E536A">
        <w:rPr>
          <w:rFonts w:ascii="Times New Roman" w:hAnsi="Times New Roman"/>
          <w:sz w:val="20"/>
          <w:szCs w:val="20"/>
        </w:rPr>
        <w:t>[24]. The excess CO</w:t>
      </w:r>
      <w:r w:rsidRPr="001E536A">
        <w:rPr>
          <w:rFonts w:ascii="Times New Roman" w:hAnsi="Times New Roman"/>
          <w:sz w:val="20"/>
          <w:szCs w:val="20"/>
          <w:vertAlign w:val="subscript"/>
        </w:rPr>
        <w:t xml:space="preserve">2 </w:t>
      </w:r>
      <w:r w:rsidRPr="001E536A">
        <w:rPr>
          <w:rFonts w:ascii="Times New Roman" w:hAnsi="Times New Roman"/>
          <w:sz w:val="20"/>
          <w:szCs w:val="20"/>
        </w:rPr>
        <w:t>contributes to higher carbonate ions (CO</w:t>
      </w:r>
      <w:r w:rsidRPr="001E536A">
        <w:rPr>
          <w:rFonts w:ascii="Times New Roman" w:hAnsi="Times New Roman"/>
          <w:sz w:val="20"/>
          <w:szCs w:val="20"/>
          <w:vertAlign w:val="subscript"/>
        </w:rPr>
        <w:t>3</w:t>
      </w:r>
      <w:r w:rsidRPr="001E536A">
        <w:rPr>
          <w:rFonts w:ascii="Times New Roman" w:hAnsi="Times New Roman"/>
          <w:sz w:val="20"/>
          <w:szCs w:val="20"/>
          <w:vertAlign w:val="superscript"/>
        </w:rPr>
        <w:t>2-</w:t>
      </w:r>
      <w:r w:rsidRPr="001E536A">
        <w:rPr>
          <w:rFonts w:ascii="Times New Roman" w:hAnsi="Times New Roman"/>
          <w:sz w:val="20"/>
          <w:szCs w:val="20"/>
        </w:rPr>
        <w:t>), which increases the dissolution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by binding with calcium ion (Ca</w:t>
      </w:r>
      <w:r w:rsidRPr="001E536A">
        <w:rPr>
          <w:rFonts w:ascii="Times New Roman" w:hAnsi="Times New Roman"/>
          <w:sz w:val="20"/>
          <w:szCs w:val="20"/>
          <w:vertAlign w:val="superscript"/>
        </w:rPr>
        <w:t>2+)</w:t>
      </w:r>
      <w:r w:rsidRPr="001E536A">
        <w:rPr>
          <w:rFonts w:ascii="Times New Roman" w:hAnsi="Times New Roman"/>
          <w:sz w:val="20"/>
          <w:szCs w:val="20"/>
        </w:rPr>
        <w:t xml:space="preserve"> in sediment. The low TOC content observed from the study area helped promote the preservation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in sediment as low CO</w:t>
      </w:r>
      <w:r w:rsidRPr="001E536A">
        <w:rPr>
          <w:rFonts w:ascii="Times New Roman" w:hAnsi="Times New Roman"/>
          <w:sz w:val="20"/>
          <w:szCs w:val="20"/>
          <w:vertAlign w:val="subscript"/>
        </w:rPr>
        <w:t>2</w:t>
      </w:r>
      <w:r w:rsidRPr="001E536A">
        <w:rPr>
          <w:rFonts w:ascii="Times New Roman" w:hAnsi="Times New Roman"/>
          <w:sz w:val="20"/>
          <w:szCs w:val="20"/>
        </w:rPr>
        <w:t xml:space="preserve"> was produced from the degradation of organic matter.</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similarity in trend and the strong negative correlation between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 and mean grain size (Figure 5c) might be caused by the contribution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to the coarser fraction of sediment. Similar phenomenon was also reported by Wang and Lin [9] in which the downcore content of coarse fraction mimicked the CaCO</w:t>
      </w:r>
      <w:r w:rsidRPr="001E536A">
        <w:rPr>
          <w:rFonts w:ascii="Times New Roman" w:hAnsi="Times New Roman"/>
          <w:sz w:val="20"/>
          <w:szCs w:val="20"/>
          <w:vertAlign w:val="subscript"/>
        </w:rPr>
        <w:t xml:space="preserve">3 </w:t>
      </w:r>
      <w:r w:rsidRPr="001E536A">
        <w:rPr>
          <w:rFonts w:ascii="Times New Roman" w:hAnsi="Times New Roman"/>
          <w:sz w:val="20"/>
          <w:szCs w:val="20"/>
        </w:rPr>
        <w:t>content. This finding can be inferred to the increase in CaCO</w:t>
      </w:r>
      <w:r w:rsidRPr="001E536A">
        <w:rPr>
          <w:rFonts w:ascii="Times New Roman" w:hAnsi="Times New Roman"/>
          <w:sz w:val="20"/>
          <w:szCs w:val="20"/>
          <w:vertAlign w:val="subscript"/>
        </w:rPr>
        <w:t>3</w:t>
      </w:r>
      <w:r w:rsidRPr="001E536A">
        <w:rPr>
          <w:rFonts w:ascii="Times New Roman" w:hAnsi="Times New Roman"/>
          <w:sz w:val="20"/>
          <w:szCs w:val="20"/>
        </w:rPr>
        <w:t xml:space="preserve"> rain from the photic zone.</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The Holocene sea surface temperature (SST) of SCS reported by Kienast et al. [23] (Figure 5d) shows that the SST trend is synchronous with the increasing trend of CaCO</w:t>
      </w:r>
      <w:r w:rsidRPr="001E536A">
        <w:rPr>
          <w:rFonts w:ascii="Times New Roman" w:hAnsi="Times New Roman"/>
          <w:sz w:val="20"/>
          <w:szCs w:val="20"/>
          <w:vertAlign w:val="subscript"/>
        </w:rPr>
        <w:t>3</w:t>
      </w:r>
      <w:r w:rsidRPr="001E536A">
        <w:rPr>
          <w:rFonts w:ascii="Times New Roman" w:hAnsi="Times New Roman"/>
          <w:sz w:val="20"/>
          <w:szCs w:val="20"/>
        </w:rPr>
        <w:t xml:space="preserve">. This is in agreement with Rühlemann et al. [5] which stated that higher SST promotes primary productivity, and in this case, it is carbonate-based primary productivity. We postulate that the poor nutrient surface water in Terengganu offshore inhibited organic-based primary productivity and therefore, the increase in SST did not cause an increase in primary productivity magnitude. The results of this study also suggest that the community structure in the surrounding area had changed from organic- to calcareous-based producers. </w:t>
      </w:r>
    </w:p>
    <w:p w:rsidR="001E536A" w:rsidRPr="001E536A" w:rsidRDefault="001E536A" w:rsidP="001E536A">
      <w:pPr>
        <w:spacing w:after="0" w:line="240" w:lineRule="auto"/>
        <w:jc w:val="both"/>
        <w:rPr>
          <w:rFonts w:ascii="Times New Roman" w:hAnsi="Times New Roman"/>
          <w:sz w:val="20"/>
          <w:szCs w:val="20"/>
        </w:rPr>
      </w:pPr>
    </w:p>
    <w:p w:rsidR="001E536A" w:rsidRPr="001E536A" w:rsidRDefault="001E536A" w:rsidP="001E536A">
      <w:pPr>
        <w:spacing w:after="0" w:line="240" w:lineRule="auto"/>
        <w:jc w:val="both"/>
        <w:rPr>
          <w:rFonts w:ascii="Times New Roman" w:hAnsi="Times New Roman"/>
          <w:b/>
          <w:sz w:val="20"/>
          <w:szCs w:val="20"/>
        </w:rPr>
      </w:pPr>
      <w:r w:rsidRPr="001E536A">
        <w:rPr>
          <w:rFonts w:ascii="Times New Roman" w:hAnsi="Times New Roman"/>
          <w:b/>
          <w:sz w:val="20"/>
          <w:szCs w:val="20"/>
        </w:rPr>
        <w:t>Comparison with regional studies</w:t>
      </w:r>
    </w:p>
    <w:p w:rsidR="001E536A" w:rsidRPr="001E536A" w:rsidRDefault="001E536A" w:rsidP="001E536A">
      <w:pPr>
        <w:spacing w:after="0" w:line="240" w:lineRule="auto"/>
        <w:jc w:val="both"/>
        <w:rPr>
          <w:rFonts w:ascii="Times New Roman" w:hAnsi="Times New Roman"/>
          <w:sz w:val="20"/>
          <w:szCs w:val="20"/>
        </w:rPr>
      </w:pPr>
      <w:r w:rsidRPr="001E536A">
        <w:rPr>
          <w:rFonts w:ascii="Times New Roman" w:hAnsi="Times New Roman"/>
          <w:sz w:val="20"/>
          <w:szCs w:val="20"/>
        </w:rPr>
        <w:t>This study generally reported relatively low TOC and CaCO</w:t>
      </w:r>
      <w:r w:rsidRPr="001E536A">
        <w:rPr>
          <w:rFonts w:ascii="Times New Roman" w:hAnsi="Times New Roman"/>
          <w:sz w:val="20"/>
          <w:szCs w:val="20"/>
          <w:vertAlign w:val="subscript"/>
        </w:rPr>
        <w:t>3</w:t>
      </w:r>
      <w:r w:rsidRPr="001E536A">
        <w:rPr>
          <w:rFonts w:ascii="Times New Roman" w:hAnsi="Times New Roman"/>
          <w:sz w:val="20"/>
          <w:szCs w:val="20"/>
        </w:rPr>
        <w:t xml:space="preserve"> contents as compared to other studies in the region (Table 4) and therefore has lower paleoproductivity signal. It is important to note the time scale of the core used in different studies. Previous studies listed in Table 4 are related to cyclic glaciation-deglaciation events while our study was not influenced by similar events due to a shorter temporal resolution.</w:t>
      </w:r>
    </w:p>
    <w:p w:rsidR="001E536A" w:rsidRDefault="001E536A" w:rsidP="001E536A">
      <w:pPr>
        <w:spacing w:after="0" w:line="240" w:lineRule="auto"/>
        <w:jc w:val="both"/>
        <w:rPr>
          <w:rFonts w:ascii="Times New Roman" w:hAnsi="Times New Roman"/>
          <w:b/>
          <w:sz w:val="20"/>
          <w:szCs w:val="20"/>
        </w:rPr>
      </w:pPr>
    </w:p>
    <w:p w:rsidR="00A65FE7" w:rsidRPr="001E536A" w:rsidRDefault="00A65FE7" w:rsidP="001E536A">
      <w:pPr>
        <w:spacing w:after="0" w:line="240" w:lineRule="auto"/>
        <w:jc w:val="both"/>
        <w:rPr>
          <w:rFonts w:ascii="Times New Roman" w:hAnsi="Times New Roman"/>
          <w:b/>
          <w:sz w:val="20"/>
          <w:szCs w:val="20"/>
        </w:rPr>
      </w:pPr>
    </w:p>
    <w:p w:rsidR="001E536A" w:rsidRPr="001E536A" w:rsidRDefault="00A65FE7" w:rsidP="00A65FE7">
      <w:pPr>
        <w:spacing w:after="120" w:line="240" w:lineRule="auto"/>
        <w:jc w:val="center"/>
        <w:rPr>
          <w:rFonts w:ascii="Times New Roman" w:hAnsi="Times New Roman"/>
          <w:sz w:val="20"/>
          <w:szCs w:val="20"/>
        </w:rPr>
      </w:pPr>
      <w:r>
        <w:rPr>
          <w:rFonts w:ascii="Times New Roman" w:hAnsi="Times New Roman"/>
          <w:sz w:val="20"/>
          <w:szCs w:val="20"/>
        </w:rPr>
        <w:lastRenderedPageBreak/>
        <w:t xml:space="preserve">Table 4.   </w:t>
      </w:r>
      <w:r w:rsidR="001E536A" w:rsidRPr="001E536A">
        <w:rPr>
          <w:rFonts w:ascii="Times New Roman" w:hAnsi="Times New Roman"/>
          <w:sz w:val="20"/>
          <w:szCs w:val="20"/>
        </w:rPr>
        <w:t>A comparison of TOC and CaCO</w:t>
      </w:r>
      <w:r w:rsidR="001E536A" w:rsidRPr="001E536A">
        <w:rPr>
          <w:rFonts w:ascii="Times New Roman" w:hAnsi="Times New Roman"/>
          <w:sz w:val="20"/>
          <w:szCs w:val="20"/>
          <w:vertAlign w:val="subscript"/>
        </w:rPr>
        <w:t xml:space="preserve">3 </w:t>
      </w:r>
      <w:r w:rsidR="001E536A" w:rsidRPr="001E536A">
        <w:rPr>
          <w:rFonts w:ascii="Times New Roman" w:hAnsi="Times New Roman"/>
          <w:sz w:val="20"/>
          <w:szCs w:val="20"/>
        </w:rPr>
        <w:t>concentration with the other studies</w:t>
      </w:r>
    </w:p>
    <w:tbl>
      <w:tblPr>
        <w:tblW w:w="0" w:type="auto"/>
        <w:jc w:val="center"/>
        <w:tblInd w:w="-165" w:type="dxa"/>
        <w:tblBorders>
          <w:top w:val="single" w:sz="8" w:space="0" w:color="000000"/>
          <w:left w:val="nil"/>
          <w:bottom w:val="single" w:sz="8" w:space="0" w:color="000000"/>
          <w:right w:val="nil"/>
          <w:insideH w:val="single" w:sz="4" w:space="0" w:color="000000"/>
          <w:insideV w:val="nil"/>
        </w:tblBorders>
        <w:tblLook w:val="0400" w:firstRow="0" w:lastRow="0" w:firstColumn="0" w:lastColumn="0" w:noHBand="0" w:noVBand="1"/>
      </w:tblPr>
      <w:tblGrid>
        <w:gridCol w:w="1809"/>
        <w:gridCol w:w="1766"/>
        <w:gridCol w:w="1418"/>
        <w:gridCol w:w="1183"/>
        <w:gridCol w:w="2688"/>
      </w:tblGrid>
      <w:tr w:rsidR="001E536A" w:rsidRPr="001E536A" w:rsidTr="00A65FE7">
        <w:trPr>
          <w:jc w:val="center"/>
        </w:trPr>
        <w:tc>
          <w:tcPr>
            <w:tcW w:w="1809" w:type="dxa"/>
            <w:tcBorders>
              <w:top w:val="single" w:sz="4" w:space="0" w:color="000000"/>
              <w:bottom w:val="single" w:sz="4" w:space="0" w:color="000000"/>
            </w:tcBorders>
          </w:tcPr>
          <w:p w:rsidR="001E536A" w:rsidRPr="001E536A" w:rsidRDefault="001E536A" w:rsidP="00A65FE7">
            <w:pPr>
              <w:spacing w:after="0" w:line="240" w:lineRule="auto"/>
              <w:rPr>
                <w:rFonts w:ascii="Times New Roman" w:hAnsi="Times New Roman"/>
                <w:sz w:val="20"/>
                <w:szCs w:val="20"/>
              </w:rPr>
            </w:pPr>
          </w:p>
        </w:tc>
        <w:tc>
          <w:tcPr>
            <w:tcW w:w="0" w:type="auto"/>
            <w:tcBorders>
              <w:top w:val="single" w:sz="4" w:space="0" w:color="000000"/>
              <w:bottom w:val="single" w:sz="4" w:space="0" w:color="000000"/>
            </w:tcBorders>
          </w:tcPr>
          <w:p w:rsidR="001E536A" w:rsidRPr="001E536A" w:rsidRDefault="001E536A" w:rsidP="00A65FE7">
            <w:pPr>
              <w:spacing w:before="120" w:after="0" w:line="240" w:lineRule="auto"/>
              <w:rPr>
                <w:rFonts w:ascii="Times New Roman" w:hAnsi="Times New Roman"/>
                <w:b/>
                <w:sz w:val="20"/>
                <w:szCs w:val="20"/>
              </w:rPr>
            </w:pPr>
            <w:r w:rsidRPr="001E536A">
              <w:rPr>
                <w:rFonts w:ascii="Times New Roman" w:hAnsi="Times New Roman"/>
                <w:b/>
                <w:sz w:val="20"/>
                <w:szCs w:val="20"/>
              </w:rPr>
              <w:t>Site</w:t>
            </w:r>
          </w:p>
        </w:tc>
        <w:tc>
          <w:tcPr>
            <w:tcW w:w="0" w:type="auto"/>
            <w:tcBorders>
              <w:top w:val="single" w:sz="4" w:space="0" w:color="000000"/>
              <w:bottom w:val="single" w:sz="4" w:space="0" w:color="000000"/>
            </w:tcBorders>
          </w:tcPr>
          <w:p w:rsidR="001E536A" w:rsidRPr="001E536A" w:rsidRDefault="001E536A" w:rsidP="00A65FE7">
            <w:pPr>
              <w:spacing w:before="60" w:after="0" w:line="240" w:lineRule="auto"/>
              <w:rPr>
                <w:rFonts w:ascii="Times New Roman" w:hAnsi="Times New Roman"/>
                <w:b/>
                <w:sz w:val="20"/>
                <w:szCs w:val="20"/>
              </w:rPr>
            </w:pPr>
            <w:r w:rsidRPr="001E536A">
              <w:rPr>
                <w:rFonts w:ascii="Times New Roman" w:hAnsi="Times New Roman"/>
                <w:b/>
                <w:sz w:val="20"/>
                <w:szCs w:val="20"/>
              </w:rPr>
              <w:t xml:space="preserve">TOC </w:t>
            </w:r>
          </w:p>
          <w:p w:rsidR="001E536A" w:rsidRPr="001E536A" w:rsidRDefault="001E536A" w:rsidP="00A65FE7">
            <w:pPr>
              <w:spacing w:after="0" w:line="240" w:lineRule="auto"/>
              <w:rPr>
                <w:rFonts w:ascii="Times New Roman" w:hAnsi="Times New Roman"/>
                <w:b/>
                <w:sz w:val="20"/>
                <w:szCs w:val="20"/>
              </w:rPr>
            </w:pPr>
            <w:r w:rsidRPr="001E536A">
              <w:rPr>
                <w:rFonts w:ascii="Times New Roman" w:hAnsi="Times New Roman"/>
                <w:b/>
                <w:sz w:val="20"/>
                <w:szCs w:val="20"/>
              </w:rPr>
              <w:t>(%)</w:t>
            </w:r>
          </w:p>
        </w:tc>
        <w:tc>
          <w:tcPr>
            <w:tcW w:w="0" w:type="auto"/>
            <w:tcBorders>
              <w:top w:val="single" w:sz="4" w:space="0" w:color="000000"/>
              <w:bottom w:val="single" w:sz="4" w:space="0" w:color="000000"/>
            </w:tcBorders>
          </w:tcPr>
          <w:p w:rsidR="001E536A" w:rsidRPr="001E536A" w:rsidRDefault="001E536A" w:rsidP="00A65FE7">
            <w:pPr>
              <w:spacing w:before="60" w:after="0" w:line="240" w:lineRule="auto"/>
              <w:rPr>
                <w:rFonts w:ascii="Times New Roman" w:hAnsi="Times New Roman"/>
                <w:b/>
                <w:sz w:val="20"/>
                <w:szCs w:val="20"/>
                <w:vertAlign w:val="subscript"/>
              </w:rPr>
            </w:pPr>
            <w:r w:rsidRPr="001E536A">
              <w:rPr>
                <w:rFonts w:ascii="Times New Roman" w:hAnsi="Times New Roman"/>
                <w:b/>
                <w:sz w:val="20"/>
                <w:szCs w:val="20"/>
              </w:rPr>
              <w:t>CaCO</w:t>
            </w:r>
            <w:r w:rsidRPr="001E536A">
              <w:rPr>
                <w:rFonts w:ascii="Times New Roman" w:hAnsi="Times New Roman"/>
                <w:b/>
                <w:sz w:val="20"/>
                <w:szCs w:val="20"/>
                <w:vertAlign w:val="subscript"/>
              </w:rPr>
              <w:t xml:space="preserve">3 </w:t>
            </w:r>
          </w:p>
          <w:p w:rsidR="001E536A" w:rsidRPr="001E536A" w:rsidRDefault="001E536A" w:rsidP="00A65FE7">
            <w:pPr>
              <w:spacing w:after="60" w:line="240" w:lineRule="auto"/>
              <w:rPr>
                <w:rFonts w:ascii="Times New Roman" w:hAnsi="Times New Roman"/>
                <w:b/>
                <w:sz w:val="20"/>
                <w:szCs w:val="20"/>
              </w:rPr>
            </w:pPr>
            <w:r w:rsidRPr="001E536A">
              <w:rPr>
                <w:rFonts w:ascii="Times New Roman" w:hAnsi="Times New Roman"/>
                <w:b/>
                <w:sz w:val="20"/>
                <w:szCs w:val="20"/>
              </w:rPr>
              <w:t>(%)</w:t>
            </w:r>
          </w:p>
        </w:tc>
        <w:tc>
          <w:tcPr>
            <w:tcW w:w="0" w:type="auto"/>
            <w:tcBorders>
              <w:top w:val="single" w:sz="4" w:space="0" w:color="000000"/>
              <w:bottom w:val="single" w:sz="4" w:space="0" w:color="000000"/>
            </w:tcBorders>
          </w:tcPr>
          <w:p w:rsidR="001E536A" w:rsidRPr="001E536A" w:rsidRDefault="001E536A" w:rsidP="00A65FE7">
            <w:pPr>
              <w:spacing w:before="120" w:after="0" w:line="240" w:lineRule="auto"/>
              <w:rPr>
                <w:rFonts w:ascii="Times New Roman" w:hAnsi="Times New Roman"/>
                <w:b/>
                <w:sz w:val="20"/>
                <w:szCs w:val="20"/>
              </w:rPr>
            </w:pPr>
            <w:r w:rsidRPr="001E536A">
              <w:rPr>
                <w:rFonts w:ascii="Times New Roman" w:hAnsi="Times New Roman"/>
                <w:b/>
                <w:sz w:val="20"/>
                <w:szCs w:val="20"/>
              </w:rPr>
              <w:t>Temporal Resolution</w:t>
            </w:r>
          </w:p>
        </w:tc>
      </w:tr>
      <w:tr w:rsidR="001E536A" w:rsidRPr="001E536A" w:rsidTr="00A65FE7">
        <w:trPr>
          <w:jc w:val="center"/>
        </w:trPr>
        <w:tc>
          <w:tcPr>
            <w:tcW w:w="1809" w:type="dxa"/>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This study</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Terengganu waters</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0.11 - 0.39</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3.38 - 12.05</w:t>
            </w:r>
          </w:p>
        </w:tc>
        <w:tc>
          <w:tcPr>
            <w:tcW w:w="0" w:type="auto"/>
            <w:tcBorders>
              <w:top w:val="single" w:sz="4" w:space="0" w:color="000000"/>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 xml:space="preserve">Holocene </w:t>
            </w:r>
          </w:p>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(Northgrippian – Meghalayan)</w:t>
            </w:r>
          </w:p>
        </w:tc>
      </w:tr>
      <w:tr w:rsidR="001E536A" w:rsidRPr="001E536A" w:rsidTr="00A65FE7">
        <w:trPr>
          <w:jc w:val="center"/>
        </w:trPr>
        <w:tc>
          <w:tcPr>
            <w:tcW w:w="1809" w:type="dxa"/>
            <w:tcBorders>
              <w:top w:val="nil"/>
              <w:bottom w:val="nil"/>
            </w:tcBorders>
            <w:vAlign w:val="center"/>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Black et al. [25]</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Japan Sea</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0.16 - 6.36</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0 - 44.29</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Pliocene - Holocene</w:t>
            </w:r>
          </w:p>
        </w:tc>
      </w:tr>
      <w:tr w:rsidR="001E536A" w:rsidRPr="001E536A" w:rsidTr="00A65FE7">
        <w:trPr>
          <w:jc w:val="center"/>
        </w:trPr>
        <w:tc>
          <w:tcPr>
            <w:tcW w:w="1809" w:type="dxa"/>
            <w:tcBorders>
              <w:top w:val="nil"/>
              <w:bottom w:val="nil"/>
            </w:tcBorders>
            <w:vAlign w:val="center"/>
          </w:tcPr>
          <w:p w:rsidR="001E536A" w:rsidRPr="001E536A" w:rsidRDefault="001E536A" w:rsidP="00A65FE7">
            <w:pPr>
              <w:spacing w:after="0" w:line="240" w:lineRule="auto"/>
              <w:rPr>
                <w:rFonts w:ascii="Times New Roman" w:hAnsi="Times New Roman"/>
                <w:sz w:val="20"/>
                <w:szCs w:val="20"/>
              </w:rPr>
            </w:pP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East China Sea</w:t>
            </w: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0.10 - 2.85</w:t>
            </w: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0.70 - 42.84</w:t>
            </w:r>
          </w:p>
        </w:tc>
        <w:tc>
          <w:tcPr>
            <w:tcW w:w="0" w:type="auto"/>
            <w:tcBorders>
              <w:top w:val="nil"/>
              <w:bottom w:val="nil"/>
            </w:tcBorders>
          </w:tcPr>
          <w:p w:rsidR="001E536A" w:rsidRPr="001E536A" w:rsidRDefault="001E536A" w:rsidP="00A65FE7">
            <w:pPr>
              <w:spacing w:after="0" w:line="240" w:lineRule="auto"/>
              <w:rPr>
                <w:rFonts w:ascii="Times New Roman" w:hAnsi="Times New Roman"/>
                <w:sz w:val="20"/>
                <w:szCs w:val="20"/>
              </w:rPr>
            </w:pPr>
            <w:r w:rsidRPr="001E536A">
              <w:rPr>
                <w:rFonts w:ascii="Times New Roman" w:hAnsi="Times New Roman"/>
                <w:sz w:val="20"/>
                <w:szCs w:val="20"/>
              </w:rPr>
              <w:t>Middle Pleistocene - Holocene</w:t>
            </w:r>
          </w:p>
        </w:tc>
      </w:tr>
      <w:tr w:rsidR="001E536A" w:rsidRPr="001E536A" w:rsidTr="00A65FE7">
        <w:trPr>
          <w:jc w:val="center"/>
        </w:trPr>
        <w:tc>
          <w:tcPr>
            <w:tcW w:w="1809" w:type="dxa"/>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Shiau et al.   [26]</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SSCS</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0.2 - 1.6</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~20 - 50</w:t>
            </w:r>
          </w:p>
        </w:tc>
        <w:tc>
          <w:tcPr>
            <w:tcW w:w="0" w:type="auto"/>
            <w:tcBorders>
              <w:top w:val="nil"/>
              <w:bottom w:val="nil"/>
            </w:tcBorders>
          </w:tcPr>
          <w:p w:rsidR="001E536A" w:rsidRPr="001E536A" w:rsidRDefault="001E536A" w:rsidP="00A65FE7">
            <w:pPr>
              <w:spacing w:before="60" w:after="0" w:line="240" w:lineRule="auto"/>
              <w:rPr>
                <w:rFonts w:ascii="Times New Roman" w:hAnsi="Times New Roman"/>
                <w:sz w:val="20"/>
                <w:szCs w:val="20"/>
              </w:rPr>
            </w:pPr>
            <w:r w:rsidRPr="001E536A">
              <w:rPr>
                <w:rFonts w:ascii="Times New Roman" w:hAnsi="Times New Roman"/>
                <w:sz w:val="20"/>
                <w:szCs w:val="20"/>
              </w:rPr>
              <w:t>Middle Pleistocene - Holocene</w:t>
            </w:r>
          </w:p>
        </w:tc>
      </w:tr>
      <w:tr w:rsidR="001E536A" w:rsidRPr="001E536A" w:rsidTr="00A65FE7">
        <w:trPr>
          <w:jc w:val="center"/>
        </w:trPr>
        <w:tc>
          <w:tcPr>
            <w:tcW w:w="1809" w:type="dxa"/>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Wang and Lin [9]</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Nansha area, SSCS</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Generally &lt;0.5</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6.03 - 59.02</w:t>
            </w:r>
          </w:p>
        </w:tc>
        <w:tc>
          <w:tcPr>
            <w:tcW w:w="0" w:type="auto"/>
            <w:tcBorders>
              <w:top w:val="nil"/>
              <w:left w:val="nil"/>
              <w:bottom w:val="single" w:sz="4" w:space="0" w:color="auto"/>
              <w:right w:val="nil"/>
            </w:tcBorders>
          </w:tcPr>
          <w:p w:rsidR="001E536A" w:rsidRPr="001E536A" w:rsidRDefault="001E536A" w:rsidP="00A65FE7">
            <w:pPr>
              <w:spacing w:before="60" w:after="60" w:line="240" w:lineRule="auto"/>
              <w:rPr>
                <w:rFonts w:ascii="Times New Roman" w:hAnsi="Times New Roman"/>
                <w:sz w:val="20"/>
                <w:szCs w:val="20"/>
              </w:rPr>
            </w:pPr>
            <w:r w:rsidRPr="001E536A">
              <w:rPr>
                <w:rFonts w:ascii="Times New Roman" w:hAnsi="Times New Roman"/>
                <w:sz w:val="20"/>
                <w:szCs w:val="20"/>
              </w:rPr>
              <w:t>Miocene - Holocene</w:t>
            </w:r>
          </w:p>
        </w:tc>
      </w:tr>
    </w:tbl>
    <w:p w:rsidR="006768E9" w:rsidRPr="00F447A7" w:rsidRDefault="006768E9" w:rsidP="00EE4732">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EE4732" w:rsidRPr="00EE4732" w:rsidRDefault="00EE4732" w:rsidP="00EE4732">
      <w:pPr>
        <w:spacing w:after="0" w:line="240" w:lineRule="auto"/>
        <w:jc w:val="both"/>
        <w:rPr>
          <w:rFonts w:ascii="Times New Roman" w:hAnsi="Times New Roman"/>
          <w:sz w:val="20"/>
          <w:szCs w:val="20"/>
        </w:rPr>
      </w:pPr>
      <w:r w:rsidRPr="00EE4732">
        <w:rPr>
          <w:rFonts w:ascii="Times New Roman" w:hAnsi="Times New Roman"/>
          <w:sz w:val="20"/>
          <w:szCs w:val="20"/>
        </w:rPr>
        <w:t>The paleoproductivity of the study site was justified with regards to TOC and CaCO</w:t>
      </w:r>
      <w:r w:rsidRPr="00EE4732">
        <w:rPr>
          <w:rFonts w:ascii="Times New Roman" w:hAnsi="Times New Roman"/>
          <w:sz w:val="20"/>
          <w:szCs w:val="20"/>
          <w:vertAlign w:val="subscript"/>
        </w:rPr>
        <w:t>3</w:t>
      </w:r>
      <w:r w:rsidRPr="00EE4732">
        <w:rPr>
          <w:rFonts w:ascii="Times New Roman" w:hAnsi="Times New Roman"/>
          <w:sz w:val="20"/>
          <w:szCs w:val="20"/>
        </w:rPr>
        <w:t xml:space="preserve"> content. The TOC content decreased from Northgrippian to Meghalayan. The CaCO</w:t>
      </w:r>
      <w:r w:rsidRPr="00EE4732">
        <w:rPr>
          <w:rFonts w:ascii="Times New Roman" w:hAnsi="Times New Roman"/>
          <w:sz w:val="20"/>
          <w:szCs w:val="20"/>
          <w:vertAlign w:val="subscript"/>
        </w:rPr>
        <w:t>3</w:t>
      </w:r>
      <w:r w:rsidRPr="00EE4732">
        <w:rPr>
          <w:rFonts w:ascii="Times New Roman" w:hAnsi="Times New Roman"/>
          <w:sz w:val="20"/>
          <w:szCs w:val="20"/>
        </w:rPr>
        <w:t xml:space="preserve"> content increased with time and showed parallelism with the increasing trends of SST. Primary producer community structure might have changed during the Holocene, which resulted in more calcareous-based primary producers during Meghalayan, and the population is expected to further increase based on current trend. This study is limited on both spatial and temporal aspects and therefore, future studies using cores from multiple sites and longer cores are recommended.</w:t>
      </w:r>
    </w:p>
    <w:p w:rsidR="00EE4732" w:rsidRPr="00EE4732" w:rsidRDefault="00EE4732" w:rsidP="00EE4732">
      <w:pPr>
        <w:spacing w:after="0" w:line="240" w:lineRule="auto"/>
        <w:jc w:val="center"/>
        <w:rPr>
          <w:rFonts w:ascii="Times New Roman" w:hAnsi="Times New Roman"/>
          <w:sz w:val="20"/>
          <w:szCs w:val="20"/>
        </w:rPr>
      </w:pPr>
    </w:p>
    <w:p w:rsidR="00EE4732" w:rsidRPr="00EE4732" w:rsidRDefault="00EE4732" w:rsidP="00EE4732">
      <w:pPr>
        <w:spacing w:after="0" w:line="240" w:lineRule="auto"/>
        <w:jc w:val="center"/>
        <w:rPr>
          <w:rFonts w:ascii="Times New Roman" w:hAnsi="Times New Roman"/>
          <w:b/>
          <w:sz w:val="20"/>
          <w:szCs w:val="20"/>
        </w:rPr>
      </w:pPr>
      <w:r w:rsidRPr="00EE4732">
        <w:rPr>
          <w:rFonts w:ascii="Times New Roman" w:hAnsi="Times New Roman"/>
          <w:b/>
          <w:sz w:val="20"/>
          <w:szCs w:val="20"/>
        </w:rPr>
        <w:t>Acknowledgement</w:t>
      </w:r>
    </w:p>
    <w:p w:rsidR="006768E9" w:rsidRPr="00F447A7" w:rsidRDefault="00EE4732" w:rsidP="00EE4732">
      <w:pPr>
        <w:spacing w:after="0" w:line="240" w:lineRule="auto"/>
        <w:jc w:val="both"/>
        <w:rPr>
          <w:rFonts w:ascii="Times New Roman" w:hAnsi="Times New Roman"/>
          <w:sz w:val="20"/>
          <w:szCs w:val="20"/>
        </w:rPr>
      </w:pPr>
      <w:bookmarkStart w:id="0" w:name="_gjdgxs" w:colFirst="0" w:colLast="0"/>
      <w:bookmarkEnd w:id="0"/>
      <w:r w:rsidRPr="00EE4732">
        <w:rPr>
          <w:rFonts w:ascii="Times New Roman" w:hAnsi="Times New Roman"/>
          <w:sz w:val="20"/>
          <w:szCs w:val="20"/>
        </w:rPr>
        <w:t>This project was funded by the Higher Institute Centre of Excellence (HICoE) Grant (Vote No. 66928) awarded to Institute of Oceanography and Environment (INOS), Universiti Malaysia Terengganu and Fundamental Research Grant Scheme (FRGS/1/2015/WAB09/UMT/02/1) provided by Ministry of Education Malaysia. The authors are grateful to INOCEM Research Station, Kuliyyah of Science, International Islamic University Malaysia, for granting access to Malvern Mastersizer 2000™.</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bookmarkStart w:id="1" w:name="_GoBack"/>
      <w:r w:rsidRPr="00F447A7">
        <w:rPr>
          <w:rFonts w:ascii="Times New Roman" w:hAnsi="Times New Roman"/>
          <w:b/>
          <w:noProof/>
          <w:sz w:val="20"/>
          <w:szCs w:val="20"/>
          <w:lang w:bidi="ar-SA"/>
        </w:rPr>
        <w:t>References</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Müller, P. J. and Suess, E. (1979). Productivity, sedimentation rate, and sedimentary organic matter in the oceans-I. Organic carbon preservation. </w:t>
      </w:r>
      <w:r w:rsidRPr="00EE4732">
        <w:rPr>
          <w:rFonts w:ascii="Times New Roman" w:hAnsi="Times New Roman"/>
          <w:i/>
          <w:sz w:val="20"/>
          <w:szCs w:val="20"/>
        </w:rPr>
        <w:t>Deep Sea Research Part A, Oceanographic Research Papers</w:t>
      </w:r>
      <w:r w:rsidRPr="00EE4732">
        <w:rPr>
          <w:rFonts w:ascii="Times New Roman" w:hAnsi="Times New Roman"/>
          <w:sz w:val="20"/>
          <w:szCs w:val="20"/>
        </w:rPr>
        <w:t>, 26(12): 1347-1362.</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Canfield, D. E. (1994). Factors influencing organic carbon preservation in marine sediments. </w:t>
      </w:r>
      <w:r w:rsidRPr="00EE4732">
        <w:rPr>
          <w:rFonts w:ascii="Times New Roman" w:hAnsi="Times New Roman"/>
          <w:i/>
          <w:sz w:val="20"/>
          <w:szCs w:val="20"/>
        </w:rPr>
        <w:t>Chemical Geology</w:t>
      </w:r>
      <w:r w:rsidRPr="00EE4732">
        <w:rPr>
          <w:rFonts w:ascii="Times New Roman" w:hAnsi="Times New Roman"/>
          <w:sz w:val="20"/>
          <w:szCs w:val="20"/>
        </w:rPr>
        <w:t>, 114: 315-329.</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Zonneveld, K. A. F., Versteegh, G. J. M., Kasten, S., Eglinton, T. I., Emeis, K. C., Huguet, C., Koch, B. P., de Lange, G. J., Middelburg, J. J., Mollenhauer, G., Prahl, F. G., Rethemeyer, J. and Wakeham, S. G. (2010). Selective preservation of organic matter in marine environments; processes and impact on the sedimentary record. </w:t>
      </w:r>
      <w:r w:rsidRPr="00EE4732">
        <w:rPr>
          <w:rFonts w:ascii="Times New Roman" w:hAnsi="Times New Roman"/>
          <w:i/>
          <w:sz w:val="20"/>
          <w:szCs w:val="20"/>
        </w:rPr>
        <w:t>Biogeosciences</w:t>
      </w:r>
      <w:r w:rsidRPr="00EE4732">
        <w:rPr>
          <w:rFonts w:ascii="Times New Roman" w:hAnsi="Times New Roman"/>
          <w:sz w:val="20"/>
          <w:szCs w:val="20"/>
        </w:rPr>
        <w:t>, 7: 483-511.</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Rühlemann, C., Frank, M., Hale, W., Mangini, A., Mulitza, S., Müller, P. J. and Wefer, G. (1996). Late quaternary productivity changes in the western equatorial Atlantic: Evidence from </w:t>
      </w:r>
      <w:r w:rsidRPr="00EE4732">
        <w:rPr>
          <w:rFonts w:ascii="Times New Roman" w:hAnsi="Times New Roman"/>
          <w:sz w:val="20"/>
          <w:szCs w:val="20"/>
          <w:vertAlign w:val="superscript"/>
        </w:rPr>
        <w:t>230</w:t>
      </w:r>
      <w:r w:rsidRPr="00EE4732">
        <w:rPr>
          <w:rFonts w:ascii="Times New Roman" w:hAnsi="Times New Roman"/>
          <w:sz w:val="20"/>
          <w:szCs w:val="20"/>
        </w:rPr>
        <w:t xml:space="preserve">Th-normalized carbonate and organic carbon accumulation rates. </w:t>
      </w:r>
      <w:r w:rsidRPr="00EE4732">
        <w:rPr>
          <w:rFonts w:ascii="Times New Roman" w:hAnsi="Times New Roman"/>
          <w:i/>
          <w:sz w:val="20"/>
          <w:szCs w:val="20"/>
        </w:rPr>
        <w:t>Marine Geology</w:t>
      </w:r>
      <w:r w:rsidRPr="00EE4732">
        <w:rPr>
          <w:rFonts w:ascii="Times New Roman" w:hAnsi="Times New Roman"/>
          <w:sz w:val="20"/>
          <w:szCs w:val="20"/>
        </w:rPr>
        <w:t>, 135: 127-152.</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Rühlemann, C., Muller, P. J. and Schneider, R. R. (1999). Organic carbon and carbonate as paleoproductivity proxies: Examples from high and low productivity areas of the tropical Atlantic. In 1999, </w:t>
      </w:r>
      <w:r w:rsidRPr="00EE4732">
        <w:rPr>
          <w:rFonts w:ascii="Times New Roman" w:hAnsi="Times New Roman"/>
          <w:i/>
          <w:sz w:val="20"/>
          <w:szCs w:val="20"/>
        </w:rPr>
        <w:t>Use of Proxies in Paleoceanography: Examples from the South Atlantic</w:t>
      </w:r>
      <w:r w:rsidRPr="00EE4732">
        <w:rPr>
          <w:rFonts w:ascii="Times New Roman" w:hAnsi="Times New Roman"/>
          <w:sz w:val="20"/>
          <w:szCs w:val="20"/>
        </w:rPr>
        <w:t xml:space="preserve"> (Fischer, G. and Wefer, G. (eds),</w:t>
      </w:r>
      <w:r w:rsidRPr="00EE4732">
        <w:rPr>
          <w:rFonts w:ascii="Times New Roman" w:hAnsi="Times New Roman"/>
          <w:i/>
          <w:sz w:val="20"/>
          <w:szCs w:val="20"/>
        </w:rPr>
        <w:t xml:space="preserve"> </w:t>
      </w:r>
      <w:r w:rsidRPr="00EE4732">
        <w:rPr>
          <w:rFonts w:ascii="Times New Roman" w:hAnsi="Times New Roman"/>
          <w:sz w:val="20"/>
          <w:szCs w:val="20"/>
        </w:rPr>
        <w:t>Springer-Verlag Berlin Heidelberg, pp. 315-344.</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Averyt, K. B. and Paytan, A. (2004). A comparison of multiple proxies for export production in the equatorial Pacific, </w:t>
      </w:r>
      <w:r w:rsidRPr="00EE4732">
        <w:rPr>
          <w:rFonts w:ascii="Times New Roman" w:hAnsi="Times New Roman"/>
          <w:i/>
          <w:sz w:val="20"/>
          <w:szCs w:val="20"/>
        </w:rPr>
        <w:t>Paleoceanography</w:t>
      </w:r>
      <w:r w:rsidRPr="00EE4732">
        <w:rPr>
          <w:rFonts w:ascii="Times New Roman" w:hAnsi="Times New Roman"/>
          <w:sz w:val="20"/>
          <w:szCs w:val="20"/>
        </w:rPr>
        <w:t>, 19: PA4003.</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Anderson, R. F. and Winckler, G. (2005). Problems with paleoproductivity proxies. </w:t>
      </w:r>
      <w:r w:rsidRPr="00EE4732">
        <w:rPr>
          <w:rFonts w:ascii="Times New Roman" w:hAnsi="Times New Roman"/>
          <w:i/>
          <w:sz w:val="20"/>
          <w:szCs w:val="20"/>
        </w:rPr>
        <w:t>Paleoceanography</w:t>
      </w:r>
      <w:r w:rsidRPr="00EE4732">
        <w:rPr>
          <w:rFonts w:ascii="Times New Roman" w:hAnsi="Times New Roman"/>
          <w:sz w:val="20"/>
          <w:szCs w:val="20"/>
        </w:rPr>
        <w:t>, 20: PA3012.</w:t>
      </w:r>
    </w:p>
    <w:p w:rsidR="00C47C17"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Su, X., Liu, C., Beaufort, L., Tian, J. and Huang, E. (2013). Late quaternary coccolith records in the South China Sea and East Asian monsoon dynamics. </w:t>
      </w:r>
      <w:r w:rsidRPr="00EE4732">
        <w:rPr>
          <w:rFonts w:ascii="Times New Roman" w:hAnsi="Times New Roman"/>
          <w:i/>
          <w:sz w:val="20"/>
          <w:szCs w:val="20"/>
        </w:rPr>
        <w:t>Global and Planetary Change</w:t>
      </w:r>
      <w:r w:rsidRPr="00EE4732">
        <w:rPr>
          <w:rFonts w:ascii="Times New Roman" w:hAnsi="Times New Roman"/>
          <w:sz w:val="20"/>
          <w:szCs w:val="20"/>
        </w:rPr>
        <w:t>, 11: 88-96.</w:t>
      </w:r>
    </w:p>
    <w:p w:rsidR="00EE4732" w:rsidRDefault="00EE4732" w:rsidP="00EE4732">
      <w:pPr>
        <w:widowControl w:val="0"/>
        <w:pBdr>
          <w:top w:val="nil"/>
          <w:left w:val="nil"/>
          <w:bottom w:val="nil"/>
          <w:right w:val="nil"/>
          <w:between w:val="nil"/>
        </w:pBdr>
        <w:autoSpaceDE w:val="0"/>
        <w:autoSpaceDN w:val="0"/>
        <w:spacing w:after="0" w:line="240" w:lineRule="auto"/>
        <w:jc w:val="both"/>
        <w:rPr>
          <w:rFonts w:ascii="Times New Roman" w:hAnsi="Times New Roman"/>
          <w:sz w:val="20"/>
          <w:szCs w:val="20"/>
        </w:rPr>
      </w:pPr>
    </w:p>
    <w:p w:rsidR="00EE4732" w:rsidRPr="00EE4732" w:rsidRDefault="00EE4732" w:rsidP="00EE4732">
      <w:pPr>
        <w:widowControl w:val="0"/>
        <w:pBdr>
          <w:top w:val="nil"/>
          <w:left w:val="nil"/>
          <w:bottom w:val="nil"/>
          <w:right w:val="nil"/>
          <w:between w:val="nil"/>
        </w:pBdr>
        <w:autoSpaceDE w:val="0"/>
        <w:autoSpaceDN w:val="0"/>
        <w:spacing w:after="0" w:line="240" w:lineRule="auto"/>
        <w:jc w:val="both"/>
        <w:rPr>
          <w:rFonts w:ascii="Times New Roman" w:hAnsi="Times New Roman"/>
          <w:sz w:val="20"/>
          <w:szCs w:val="20"/>
        </w:rPr>
      </w:pP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lastRenderedPageBreak/>
        <w:t xml:space="preserve">Wang, L. W. and Lin, H. L. (2004). Data report: Carbonate and organic carbon contents of sediments from Sites 1143 and 1146 in the South China Sea. In: Prell, W. L., Wang, P., Blum, P., Rea, D. K., and Clemens, S. C. (Eds.), </w:t>
      </w:r>
      <w:r w:rsidRPr="00EE4732">
        <w:rPr>
          <w:rFonts w:ascii="Times New Roman" w:hAnsi="Times New Roman"/>
          <w:i/>
          <w:sz w:val="20"/>
          <w:szCs w:val="20"/>
        </w:rPr>
        <w:t>ODP Proceedings, Scientific Results</w:t>
      </w:r>
      <w:r w:rsidRPr="00EE4732">
        <w:rPr>
          <w:rFonts w:ascii="Times New Roman" w:hAnsi="Times New Roman"/>
          <w:sz w:val="20"/>
          <w:szCs w:val="20"/>
        </w:rPr>
        <w:t>, 184: 1-9.</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Tyson, R. V. (2001). Sedimentation rate, dilution, preservation and total organic carbon: some results of a modelling study. </w:t>
      </w:r>
      <w:r w:rsidRPr="00EE4732">
        <w:rPr>
          <w:rFonts w:ascii="Times New Roman" w:hAnsi="Times New Roman"/>
          <w:i/>
          <w:sz w:val="20"/>
          <w:szCs w:val="20"/>
        </w:rPr>
        <w:t>Organic Geochemistry</w:t>
      </w:r>
      <w:r w:rsidRPr="00EE4732">
        <w:rPr>
          <w:rFonts w:ascii="Times New Roman" w:hAnsi="Times New Roman"/>
          <w:sz w:val="20"/>
          <w:szCs w:val="20"/>
        </w:rPr>
        <w:t>, 32: 333-339.</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Meyers, P. A. and Eadie, B. J. (1993). Sources, degradation and recycling of organic matter associated with sinking particles in Lake Michigan. </w:t>
      </w:r>
      <w:r w:rsidRPr="00EE4732">
        <w:rPr>
          <w:rFonts w:ascii="Times New Roman" w:hAnsi="Times New Roman"/>
          <w:i/>
          <w:sz w:val="20"/>
          <w:szCs w:val="20"/>
        </w:rPr>
        <w:t>Organic Geochemistry</w:t>
      </w:r>
      <w:r w:rsidRPr="00EE4732">
        <w:rPr>
          <w:rFonts w:ascii="Times New Roman" w:hAnsi="Times New Roman"/>
          <w:sz w:val="20"/>
          <w:szCs w:val="20"/>
        </w:rPr>
        <w:t>, 20(1): 47-56.</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Sathiamurthy, E. and Voris, H. K. (2006). Maps of Holocene sea level transgression and submerged lakes on the Sunda shelf. </w:t>
      </w:r>
      <w:r w:rsidRPr="00EE4732">
        <w:rPr>
          <w:rFonts w:ascii="Times New Roman" w:hAnsi="Times New Roman"/>
          <w:i/>
          <w:sz w:val="20"/>
          <w:szCs w:val="20"/>
        </w:rPr>
        <w:t>The Natural History Journal of Chulalongkorn University</w:t>
      </w:r>
      <w:r w:rsidRPr="00EE4732">
        <w:rPr>
          <w:rFonts w:ascii="Times New Roman" w:hAnsi="Times New Roman"/>
          <w:sz w:val="20"/>
          <w:szCs w:val="20"/>
        </w:rPr>
        <w:t>, Supplement 2: 1-44.</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Smith, D. E., Harrison, S., Firth, C. R. and Jordan, J. T. (2011). The early Holocene sea level rise. </w:t>
      </w:r>
      <w:r w:rsidRPr="00EE4732">
        <w:rPr>
          <w:rFonts w:ascii="Times New Roman" w:hAnsi="Times New Roman"/>
          <w:i/>
          <w:sz w:val="20"/>
          <w:szCs w:val="20"/>
        </w:rPr>
        <w:t>Quaternary Science Reviews</w:t>
      </w:r>
      <w:r w:rsidRPr="00EE4732">
        <w:rPr>
          <w:rFonts w:ascii="Times New Roman" w:hAnsi="Times New Roman"/>
          <w:sz w:val="20"/>
          <w:szCs w:val="20"/>
        </w:rPr>
        <w:t>, 30: 1846-1860.</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Tamburini, F., Adatte, T., Föllmi, K., Bernasconi, S. M. and Steinmann, P. (2003). Investigating the history of East Asian monsoon and climate during the last glacial-interglacial period (0-140 000 years): Mineralogy and geochemistry of ODP Sites 1143 and 1144, South China Sea. </w:t>
      </w:r>
      <w:r w:rsidRPr="00EE4732">
        <w:rPr>
          <w:rFonts w:ascii="Times New Roman" w:hAnsi="Times New Roman"/>
          <w:i/>
          <w:sz w:val="20"/>
          <w:szCs w:val="20"/>
        </w:rPr>
        <w:t>Marine Geology</w:t>
      </w:r>
      <w:r w:rsidRPr="00EE4732">
        <w:rPr>
          <w:rFonts w:ascii="Times New Roman" w:hAnsi="Times New Roman"/>
          <w:sz w:val="20"/>
          <w:szCs w:val="20"/>
        </w:rPr>
        <w:t>, 201: 147-168.</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Kamaruzzaman, B. Y., Ong, M. C., Noor Azhar, M. S., Shahbudin, S., and Jalal, K. C. A. (2008). Geochemistry of sediment in the major estuarine mangrove forest of Terengganu region, Malaysia. </w:t>
      </w:r>
      <w:r w:rsidRPr="00EE4732">
        <w:rPr>
          <w:rFonts w:ascii="Times New Roman" w:hAnsi="Times New Roman"/>
          <w:i/>
          <w:sz w:val="20"/>
          <w:szCs w:val="20"/>
        </w:rPr>
        <w:t>American Journal of Applied Sciences</w:t>
      </w:r>
      <w:r w:rsidRPr="00EE4732">
        <w:rPr>
          <w:rFonts w:ascii="Times New Roman" w:hAnsi="Times New Roman"/>
          <w:sz w:val="20"/>
          <w:szCs w:val="20"/>
        </w:rPr>
        <w:t>, 5(12): 1707-1712.</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Natural History Museum Rotterdam (2018). Collection database. Retrieved from http://www.marinespecies.org/nmr [Accessed online March 2018].</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Reimer, P., Bard, E., Bayliss, A., Beck, J., Blackwell, P. and Ramsey, C. (2013). IntCal13 and Marine13 radiocarbon age calibration curves 0–50,000 Years cal BP. </w:t>
      </w:r>
      <w:r w:rsidRPr="00EE4732">
        <w:rPr>
          <w:rFonts w:ascii="Times New Roman" w:hAnsi="Times New Roman"/>
          <w:i/>
          <w:sz w:val="20"/>
          <w:szCs w:val="20"/>
        </w:rPr>
        <w:t>Radiocarbon</w:t>
      </w:r>
      <w:r w:rsidRPr="00EE4732">
        <w:rPr>
          <w:rFonts w:ascii="Times New Roman" w:hAnsi="Times New Roman"/>
          <w:sz w:val="20"/>
          <w:szCs w:val="20"/>
        </w:rPr>
        <w:t>, 55(4): 1869-1887.</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Mohamed, C. A. R., Mahmood, Z. U. W. and Ahmad, Z. (2008). Recent sedimentation of sediments in the coastal waters Peninsular Malaysia. </w:t>
      </w:r>
      <w:r w:rsidRPr="00EE4732">
        <w:rPr>
          <w:rFonts w:ascii="Times New Roman" w:hAnsi="Times New Roman"/>
          <w:i/>
          <w:sz w:val="20"/>
          <w:szCs w:val="20"/>
        </w:rPr>
        <w:t>Pollution Research</w:t>
      </w:r>
      <w:r w:rsidRPr="00EE4732">
        <w:rPr>
          <w:rFonts w:ascii="Times New Roman" w:hAnsi="Times New Roman"/>
          <w:sz w:val="20"/>
          <w:szCs w:val="20"/>
        </w:rPr>
        <w:t>, 27(1): 27-36.</w:t>
      </w:r>
    </w:p>
    <w:p w:rsidR="00C47C17" w:rsidRPr="00EE4732" w:rsidRDefault="00C47C17" w:rsidP="00EE4732">
      <w:pPr>
        <w:widowControl w:val="0"/>
        <w:numPr>
          <w:ilvl w:val="0"/>
          <w:numId w:val="2"/>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Szmytkiewicz, A. and Zalewska, T. (2014). Sediment deposition and accumulation rates determined by sediment trap and </w:t>
      </w:r>
      <w:r w:rsidRPr="00EE4732">
        <w:rPr>
          <w:rFonts w:ascii="Times New Roman" w:hAnsi="Times New Roman"/>
          <w:sz w:val="20"/>
          <w:szCs w:val="20"/>
          <w:vertAlign w:val="superscript"/>
        </w:rPr>
        <w:t>210</w:t>
      </w:r>
      <w:r w:rsidRPr="00EE4732">
        <w:rPr>
          <w:rFonts w:ascii="Times New Roman" w:hAnsi="Times New Roman"/>
          <w:sz w:val="20"/>
          <w:szCs w:val="20"/>
        </w:rPr>
        <w:t xml:space="preserve">Pb isotope methods in the Outer Puck Bay (Baltic Sea). </w:t>
      </w:r>
      <w:r w:rsidRPr="00EE4732">
        <w:rPr>
          <w:rFonts w:ascii="Times New Roman" w:hAnsi="Times New Roman"/>
          <w:i/>
          <w:sz w:val="20"/>
          <w:szCs w:val="20"/>
        </w:rPr>
        <w:t>Oceanologia</w:t>
      </w:r>
      <w:r w:rsidRPr="00EE4732">
        <w:rPr>
          <w:rFonts w:ascii="Times New Roman" w:hAnsi="Times New Roman"/>
          <w:sz w:val="20"/>
          <w:szCs w:val="20"/>
        </w:rPr>
        <w:t>, 56(1): 85-106.</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Reichart, G. J., den Dulk, M.,Visser, H. J., Van der Weijden, C. H. and Zachariasse, W. J. (1997). A 225 kyr record of dust supply, paleoproductivity and the oxygen minimum zone from the Murray ridge (Northern Arabian Sea), </w:t>
      </w:r>
      <w:r w:rsidRPr="00EE4732">
        <w:rPr>
          <w:rFonts w:ascii="Times New Roman" w:hAnsi="Times New Roman"/>
          <w:i/>
          <w:sz w:val="20"/>
          <w:szCs w:val="20"/>
        </w:rPr>
        <w:t>Palaeogeography Palaeoclimatology Palaeoecology</w:t>
      </w:r>
      <w:r w:rsidRPr="00EE4732">
        <w:rPr>
          <w:rFonts w:ascii="Times New Roman" w:hAnsi="Times New Roman"/>
          <w:sz w:val="20"/>
          <w:szCs w:val="20"/>
        </w:rPr>
        <w:t>, 134(1-4): 149-169.</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Schulz, H., von Rad, U. and Erlenkeuser, H. (1998). Correlation between Arabian Sea and Greenland climate oscillations of the past 110,000 years. </w:t>
      </w:r>
      <w:r w:rsidRPr="00EE4732">
        <w:rPr>
          <w:rFonts w:ascii="Times New Roman" w:hAnsi="Times New Roman"/>
          <w:i/>
          <w:sz w:val="20"/>
          <w:szCs w:val="20"/>
        </w:rPr>
        <w:t>Letters to Nature</w:t>
      </w:r>
      <w:r w:rsidRPr="00EE4732">
        <w:rPr>
          <w:rFonts w:ascii="Times New Roman" w:hAnsi="Times New Roman"/>
          <w:sz w:val="20"/>
          <w:szCs w:val="20"/>
        </w:rPr>
        <w:t>, 393: 54-57.</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von Rad, U., Schaaf., M., Michels, K. H., Schulz, H., Berger, W. H. and Sirocko, F. (1999). A 5000-yr Record of climate change in varved sediments from the oxygen minimum zone off Pakistan, Northeastern Arabian Sea. </w:t>
      </w:r>
      <w:r w:rsidRPr="00EE4732">
        <w:rPr>
          <w:rFonts w:ascii="Times New Roman" w:hAnsi="Times New Roman"/>
          <w:i/>
          <w:sz w:val="20"/>
          <w:szCs w:val="20"/>
        </w:rPr>
        <w:t>Quaternary Research</w:t>
      </w:r>
      <w:r w:rsidRPr="00EE4732">
        <w:rPr>
          <w:rFonts w:ascii="Times New Roman" w:hAnsi="Times New Roman"/>
          <w:sz w:val="20"/>
          <w:szCs w:val="20"/>
        </w:rPr>
        <w:t>, 51: 39-53.</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Kienast, A. M., Steinke, S., Stattegger, K., Calvert, S. E., Tto, S. and Chandra, S. (2001). Synchronous Tropical South China Sea SST change and Greenland warming during deglaciation. </w:t>
      </w:r>
      <w:r w:rsidRPr="00EE4732">
        <w:rPr>
          <w:rFonts w:ascii="Times New Roman" w:hAnsi="Times New Roman"/>
          <w:i/>
          <w:sz w:val="20"/>
          <w:szCs w:val="20"/>
        </w:rPr>
        <w:t>Science</w:t>
      </w:r>
      <w:r w:rsidRPr="00EE4732">
        <w:rPr>
          <w:rFonts w:ascii="Times New Roman" w:hAnsi="Times New Roman"/>
          <w:sz w:val="20"/>
          <w:szCs w:val="20"/>
        </w:rPr>
        <w:t>, 291(5511): 2132-2134.</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Meyers, P. A. and Robinson, R. S. (2001). Data report: Carbonate and organic carbon contents of sediments from Site 1087, Southern Cape Basin. </w:t>
      </w:r>
      <w:r w:rsidRPr="00EE4732">
        <w:rPr>
          <w:rFonts w:ascii="Times New Roman" w:hAnsi="Times New Roman"/>
          <w:i/>
          <w:sz w:val="20"/>
          <w:szCs w:val="20"/>
        </w:rPr>
        <w:t xml:space="preserve">In </w:t>
      </w:r>
      <w:r w:rsidRPr="00EE4732">
        <w:rPr>
          <w:rFonts w:ascii="Times New Roman" w:hAnsi="Times New Roman"/>
          <w:sz w:val="20"/>
          <w:szCs w:val="20"/>
        </w:rPr>
        <w:t xml:space="preserve">Wefer, G., Berger, W. H., and Richter, C. (Eds.), </w:t>
      </w:r>
      <w:r w:rsidRPr="00EE4732">
        <w:rPr>
          <w:rFonts w:ascii="Times New Roman" w:hAnsi="Times New Roman"/>
          <w:i/>
          <w:sz w:val="20"/>
          <w:szCs w:val="20"/>
        </w:rPr>
        <w:t xml:space="preserve">Proceedings of the Ocean Drilling Program, Scientific Results, </w:t>
      </w:r>
      <w:r w:rsidRPr="00EE4732">
        <w:rPr>
          <w:rFonts w:ascii="Times New Roman" w:hAnsi="Times New Roman"/>
          <w:sz w:val="20"/>
          <w:szCs w:val="20"/>
        </w:rPr>
        <w:t>175: 1-11.</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Black, H. D., Anderson, W. T. and Alvarez Zarikian, C.A. (2018). Data report: organic matter, carbonate, and stable isotope stratigraphy from IODP Expedition 346 Sites U1426, U1427, and U1429. </w:t>
      </w:r>
      <w:r w:rsidRPr="00EE4732">
        <w:rPr>
          <w:rFonts w:ascii="Times New Roman" w:hAnsi="Times New Roman"/>
          <w:i/>
          <w:sz w:val="20"/>
          <w:szCs w:val="20"/>
        </w:rPr>
        <w:t>In</w:t>
      </w:r>
      <w:r w:rsidRPr="00EE4732">
        <w:rPr>
          <w:rFonts w:ascii="Times New Roman" w:hAnsi="Times New Roman"/>
          <w:sz w:val="20"/>
          <w:szCs w:val="20"/>
        </w:rPr>
        <w:t xml:space="preserve"> Tada, R., Murray, R.W., Alvarez Zarikian, C.A., and the Expedition 346 Scientists (Eds.), </w:t>
      </w:r>
      <w:r w:rsidRPr="00EE4732">
        <w:rPr>
          <w:rFonts w:ascii="Times New Roman" w:hAnsi="Times New Roman"/>
          <w:i/>
          <w:sz w:val="20"/>
          <w:szCs w:val="20"/>
        </w:rPr>
        <w:t>Proceedings of the Integrated Ocean Drilling Program</w:t>
      </w:r>
      <w:r w:rsidRPr="00EE4732">
        <w:rPr>
          <w:rFonts w:ascii="Times New Roman" w:hAnsi="Times New Roman"/>
          <w:sz w:val="20"/>
          <w:szCs w:val="20"/>
        </w:rPr>
        <w:t>, 346: 1-9.</w:t>
      </w:r>
    </w:p>
    <w:p w:rsidR="00C47C17" w:rsidRPr="00EE4732" w:rsidRDefault="00C47C17" w:rsidP="00EE4732">
      <w:pPr>
        <w:widowControl w:val="0"/>
        <w:numPr>
          <w:ilvl w:val="0"/>
          <w:numId w:val="3"/>
        </w:numPr>
        <w:pBdr>
          <w:top w:val="nil"/>
          <w:left w:val="nil"/>
          <w:bottom w:val="nil"/>
          <w:right w:val="nil"/>
          <w:between w:val="nil"/>
        </w:pBdr>
        <w:autoSpaceDE w:val="0"/>
        <w:autoSpaceDN w:val="0"/>
        <w:spacing w:after="0" w:line="240" w:lineRule="auto"/>
        <w:jc w:val="both"/>
        <w:rPr>
          <w:rFonts w:ascii="Times New Roman" w:hAnsi="Times New Roman"/>
          <w:sz w:val="20"/>
          <w:szCs w:val="20"/>
        </w:rPr>
      </w:pPr>
      <w:r w:rsidRPr="00EE4732">
        <w:rPr>
          <w:rFonts w:ascii="Times New Roman" w:hAnsi="Times New Roman"/>
          <w:sz w:val="20"/>
          <w:szCs w:val="20"/>
        </w:rPr>
        <w:t xml:space="preserve">Shiau, L. J., Yu, P. Sen, Wei, K. Y., Yamamoto, M., Lee, T. Q., Yu, E. F., Fang, T. and Chen, M. T. (2008). Sea surface temperature, productivity, and terrestrial flux variations of the southeastern South China Sea over the past 800000 years (IMAGES MD972142). </w:t>
      </w:r>
      <w:r w:rsidRPr="00EE4732">
        <w:rPr>
          <w:rFonts w:ascii="Times New Roman" w:hAnsi="Times New Roman"/>
          <w:i/>
          <w:sz w:val="20"/>
          <w:szCs w:val="20"/>
        </w:rPr>
        <w:t>Terrestrial, Atmospheric and Oceanic Sciences</w:t>
      </w:r>
      <w:r w:rsidRPr="00EE4732">
        <w:rPr>
          <w:rFonts w:ascii="Times New Roman" w:hAnsi="Times New Roman"/>
          <w:sz w:val="20"/>
          <w:szCs w:val="20"/>
        </w:rPr>
        <w:t>, 19(4): 363-376.</w:t>
      </w:r>
    </w:p>
    <w:p w:rsidR="00A74A7E" w:rsidRPr="00EE4732" w:rsidRDefault="00A74A7E" w:rsidP="00EE4732">
      <w:pPr>
        <w:spacing w:after="0" w:line="240" w:lineRule="auto"/>
        <w:ind w:left="360" w:hanging="360"/>
        <w:jc w:val="both"/>
        <w:rPr>
          <w:rFonts w:ascii="Times New Roman" w:hAnsi="Times New Roman"/>
          <w:noProof/>
          <w:sz w:val="20"/>
          <w:szCs w:val="20"/>
          <w:lang w:bidi="ar-SA"/>
        </w:rPr>
      </w:pPr>
    </w:p>
    <w:p w:rsidR="00A74A7E" w:rsidRPr="00EE4732" w:rsidRDefault="00A74A7E" w:rsidP="00EE4732">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bookmarkEnd w:id="1"/>
    <w:p w:rsidR="00A74A7E" w:rsidRPr="007A738C" w:rsidRDefault="00A74A7E" w:rsidP="00A74A7E">
      <w:pPr>
        <w:spacing w:after="0" w:line="240" w:lineRule="auto"/>
        <w:jc w:val="both"/>
        <w:rPr>
          <w:rFonts w:ascii="Times New Roman" w:hAnsi="Times New Roman"/>
          <w:noProof/>
          <w:lang w:bidi="ar-SA"/>
        </w:rPr>
      </w:pPr>
    </w:p>
    <w:sectPr w:rsidR="00A74A7E" w:rsidRPr="007A738C" w:rsidSect="001A6C8C">
      <w:headerReference w:type="even" r:id="rId16"/>
      <w:headerReference w:type="default" r:id="rId17"/>
      <w:footerReference w:type="even" r:id="rId18"/>
      <w:footerReference w:type="default" r:id="rId19"/>
      <w:pgSz w:w="12240" w:h="15840" w:code="1"/>
      <w:pgMar w:top="1800" w:right="1469" w:bottom="1699" w:left="1440" w:header="706" w:footer="706" w:gutter="0"/>
      <w:pgNumType w:start="10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A6C8C">
      <w:rPr>
        <w:rFonts w:ascii="Times New Roman" w:hAnsi="Times New Roman"/>
        <w:noProof/>
      </w:rPr>
      <w:t>1016</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A6C8C">
      <w:rPr>
        <w:rFonts w:ascii="Times New Roman" w:hAnsi="Times New Roman"/>
        <w:noProof/>
      </w:rPr>
      <w:t>1017</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07" w:rsidRPr="00D82F07" w:rsidRDefault="00D82F07" w:rsidP="00D82F07">
    <w:pPr>
      <w:spacing w:after="0" w:line="240" w:lineRule="auto"/>
      <w:ind w:left="990" w:hanging="990"/>
      <w:rPr>
        <w:rFonts w:ascii="Times New Roman" w:hAnsi="Times New Roman"/>
        <w:sz w:val="20"/>
        <w:szCs w:val="20"/>
      </w:rPr>
    </w:pPr>
    <w:r>
      <w:rPr>
        <w:rFonts w:ascii="Times New Roman" w:hAnsi="Times New Roman"/>
        <w:sz w:val="20"/>
        <w:szCs w:val="20"/>
      </w:rPr>
      <w:t>Naim et al</w:t>
    </w:r>
    <w:r w:rsidR="006B72B0" w:rsidRPr="00D82F07">
      <w:rPr>
        <w:rFonts w:ascii="Times New Roman" w:hAnsi="Times New Roman"/>
        <w:sz w:val="20"/>
        <w:szCs w:val="20"/>
      </w:rPr>
      <w:t xml:space="preserve">: </w:t>
    </w:r>
    <w:r w:rsidRPr="00D82F07">
      <w:rPr>
        <w:rFonts w:ascii="Times New Roman" w:hAnsi="Times New Roman"/>
        <w:sz w:val="20"/>
        <w:szCs w:val="20"/>
      </w:rPr>
      <w:t xml:space="preserve"> </w:t>
    </w:r>
    <w:r w:rsidRPr="00D82F07">
      <w:rPr>
        <w:rFonts w:ascii="Times New Roman" w:hAnsi="Times New Roman"/>
        <w:sz w:val="20"/>
        <w:szCs w:val="20"/>
      </w:rPr>
      <w:t>PALEOPRODUCTIVITY VARIATION IN TERENGGANU OFFSHORE DURING HOLOCENE BASED ON TOTAL ORGANIC CARBON AND CaCO</w:t>
    </w:r>
    <w:r w:rsidRPr="00D82F07">
      <w:rPr>
        <w:rFonts w:ascii="Times New Roman" w:hAnsi="Times New Roman"/>
        <w:sz w:val="20"/>
        <w:szCs w:val="20"/>
        <w:vertAlign w:val="subscript"/>
      </w:rPr>
      <w:t>3</w:t>
    </w:r>
    <w:r w:rsidRPr="00D82F07">
      <w:rPr>
        <w:rFonts w:ascii="Times New Roman" w:hAnsi="Times New Roman"/>
        <w:sz w:val="20"/>
        <w:szCs w:val="20"/>
      </w:rPr>
      <w:t xml:space="preserve"> RECORDS</w:t>
    </w:r>
  </w:p>
  <w:p w:rsidR="002B3BD8" w:rsidRPr="00D82F07" w:rsidRDefault="002B3BD8" w:rsidP="00D82F07">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54578F">
      <w:rPr>
        <w:rFonts w:ascii="Times New Roman" w:hAnsi="Times New Roman"/>
        <w:i/>
        <w:lang w:val="en-US"/>
      </w:rPr>
      <w:t>No 6</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1A6C8C">
      <w:rPr>
        <w:rFonts w:ascii="Times New Roman" w:hAnsi="Times New Roman"/>
        <w:i/>
        <w:lang w:val="en-US"/>
      </w:rPr>
      <w:t>1009</w:t>
    </w:r>
    <w:r>
      <w:rPr>
        <w:rFonts w:ascii="Times New Roman" w:hAnsi="Times New Roman"/>
        <w:i/>
        <w:lang w:val="en-US"/>
      </w:rPr>
      <w:t xml:space="preserve"> </w:t>
    </w:r>
    <w:r w:rsidR="007A0583">
      <w:rPr>
        <w:rFonts w:ascii="Times New Roman" w:hAnsi="Times New Roman"/>
        <w:i/>
        <w:lang w:val="en-US"/>
      </w:rPr>
      <w:t>-</w:t>
    </w:r>
    <w:r w:rsidR="001A6C8C">
      <w:rPr>
        <w:rFonts w:ascii="Times New Roman" w:hAnsi="Times New Roman"/>
        <w:i/>
        <w:lang w:val="en-US"/>
      </w:rPr>
      <w:t xml:space="preserve"> 1017</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54578F">
      <w:rPr>
        <w:rFonts w:ascii="Times New Roman" w:hAnsi="Times New Roman"/>
        <w:i/>
        <w:lang w:val="en-US"/>
      </w:rPr>
      <w:t>6</w:t>
    </w:r>
    <w:r w:rsidR="001A6C8C">
      <w:rPr>
        <w:rFonts w:ascii="Times New Roman" w:hAnsi="Times New Roman"/>
        <w:i/>
        <w:lang w:val="en-US"/>
      </w:rPr>
      <w:t>-09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C56F6"/>
    <w:multiLevelType w:val="multilevel"/>
    <w:tmpl w:val="A98C0CAC"/>
    <w:lvl w:ilvl="0">
      <w:start w:val="2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F0951F7"/>
    <w:multiLevelType w:val="multilevel"/>
    <w:tmpl w:val="7520D4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F77DA"/>
    <w:rsid w:val="001068E8"/>
    <w:rsid w:val="001106D8"/>
    <w:rsid w:val="00117BCD"/>
    <w:rsid w:val="001A3275"/>
    <w:rsid w:val="001A6C8C"/>
    <w:rsid w:val="001D035A"/>
    <w:rsid w:val="001D3855"/>
    <w:rsid w:val="001D6F2C"/>
    <w:rsid w:val="001E536A"/>
    <w:rsid w:val="002627A2"/>
    <w:rsid w:val="00277498"/>
    <w:rsid w:val="002860B7"/>
    <w:rsid w:val="00290F4D"/>
    <w:rsid w:val="002A2FC0"/>
    <w:rsid w:val="002B188F"/>
    <w:rsid w:val="002B3BD8"/>
    <w:rsid w:val="002F3F91"/>
    <w:rsid w:val="00304767"/>
    <w:rsid w:val="00304B34"/>
    <w:rsid w:val="00312A6F"/>
    <w:rsid w:val="00352D57"/>
    <w:rsid w:val="00361BAF"/>
    <w:rsid w:val="00362FCE"/>
    <w:rsid w:val="00367D1F"/>
    <w:rsid w:val="003B4FC1"/>
    <w:rsid w:val="003B6019"/>
    <w:rsid w:val="003D585B"/>
    <w:rsid w:val="003E7DA6"/>
    <w:rsid w:val="003F12FF"/>
    <w:rsid w:val="004760D4"/>
    <w:rsid w:val="00482180"/>
    <w:rsid w:val="00494C46"/>
    <w:rsid w:val="004B43FF"/>
    <w:rsid w:val="004C7089"/>
    <w:rsid w:val="004D51CD"/>
    <w:rsid w:val="004D7E25"/>
    <w:rsid w:val="004F265B"/>
    <w:rsid w:val="00502641"/>
    <w:rsid w:val="0054578F"/>
    <w:rsid w:val="005C6768"/>
    <w:rsid w:val="005E4871"/>
    <w:rsid w:val="00601C8A"/>
    <w:rsid w:val="00617AA2"/>
    <w:rsid w:val="006257E5"/>
    <w:rsid w:val="00634C25"/>
    <w:rsid w:val="0063542E"/>
    <w:rsid w:val="00637469"/>
    <w:rsid w:val="006416AB"/>
    <w:rsid w:val="00660445"/>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E25BD"/>
    <w:rsid w:val="00802C35"/>
    <w:rsid w:val="0082181A"/>
    <w:rsid w:val="0082457A"/>
    <w:rsid w:val="00825624"/>
    <w:rsid w:val="0083587A"/>
    <w:rsid w:val="00883CC3"/>
    <w:rsid w:val="008B470E"/>
    <w:rsid w:val="008B5904"/>
    <w:rsid w:val="008D1880"/>
    <w:rsid w:val="008D29BF"/>
    <w:rsid w:val="008E1211"/>
    <w:rsid w:val="008E5BBF"/>
    <w:rsid w:val="008E6968"/>
    <w:rsid w:val="009211AF"/>
    <w:rsid w:val="00921742"/>
    <w:rsid w:val="009357B8"/>
    <w:rsid w:val="009866F6"/>
    <w:rsid w:val="009B3139"/>
    <w:rsid w:val="009D030D"/>
    <w:rsid w:val="00A049C6"/>
    <w:rsid w:val="00A14DB9"/>
    <w:rsid w:val="00A4762A"/>
    <w:rsid w:val="00A64690"/>
    <w:rsid w:val="00A65FE7"/>
    <w:rsid w:val="00A74A7E"/>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47C17"/>
    <w:rsid w:val="00C94D92"/>
    <w:rsid w:val="00C97340"/>
    <w:rsid w:val="00CA513F"/>
    <w:rsid w:val="00CB3AA6"/>
    <w:rsid w:val="00CE198C"/>
    <w:rsid w:val="00CE2BC6"/>
    <w:rsid w:val="00CF05FF"/>
    <w:rsid w:val="00D257FB"/>
    <w:rsid w:val="00D340BB"/>
    <w:rsid w:val="00D34708"/>
    <w:rsid w:val="00D505D5"/>
    <w:rsid w:val="00D613A2"/>
    <w:rsid w:val="00D6781A"/>
    <w:rsid w:val="00D75B35"/>
    <w:rsid w:val="00D76E09"/>
    <w:rsid w:val="00D82F07"/>
    <w:rsid w:val="00D9736F"/>
    <w:rsid w:val="00D9792A"/>
    <w:rsid w:val="00DD0CD5"/>
    <w:rsid w:val="00DD377F"/>
    <w:rsid w:val="00DD7C38"/>
    <w:rsid w:val="00E25547"/>
    <w:rsid w:val="00E3287E"/>
    <w:rsid w:val="00E54D12"/>
    <w:rsid w:val="00E66197"/>
    <w:rsid w:val="00EE4732"/>
    <w:rsid w:val="00F121A0"/>
    <w:rsid w:val="00F31093"/>
    <w:rsid w:val="00F33AB1"/>
    <w:rsid w:val="00F412AF"/>
    <w:rsid w:val="00F43667"/>
    <w:rsid w:val="00F447A7"/>
    <w:rsid w:val="00F4760B"/>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6F025-8EED-4634-BF97-6C224F85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3753</Words>
  <Characters>20571</Characters>
  <Application>Microsoft Office Word</Application>
  <DocSecurity>0</DocSecurity>
  <Lines>403</Lines>
  <Paragraphs>194</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6</cp:revision>
  <cp:lastPrinted>2019-11-26T03:42:00Z</cp:lastPrinted>
  <dcterms:created xsi:type="dcterms:W3CDTF">2019-11-25T16:41:00Z</dcterms:created>
  <dcterms:modified xsi:type="dcterms:W3CDTF">2019-11-26T03:48:00Z</dcterms:modified>
</cp:coreProperties>
</file>