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C7D59" w:rsidRPr="00E3287E" w:rsidRDefault="00FC7D5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FC7D59" w:rsidRDefault="00FC7D59"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FC7D59" w:rsidRPr="00E3287E" w:rsidRDefault="00FC7D5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FC7D59" w:rsidRDefault="00FC7D59"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D3AB4" w:rsidRPr="00E654A3" w:rsidRDefault="004D3AB4" w:rsidP="004D3AB4">
      <w:pPr>
        <w:spacing w:after="0" w:line="240" w:lineRule="auto"/>
        <w:jc w:val="center"/>
        <w:outlineLvl w:val="0"/>
        <w:rPr>
          <w:rFonts w:ascii="Times New Roman" w:hAnsi="Times New Roman"/>
          <w:caps/>
          <w:sz w:val="28"/>
        </w:rPr>
      </w:pPr>
      <w:r w:rsidRPr="00E654A3">
        <w:rPr>
          <w:rFonts w:ascii="Times New Roman" w:hAnsi="Times New Roman"/>
          <w:caps/>
          <w:sz w:val="28"/>
        </w:rPr>
        <w:t xml:space="preserve">Radioactivity of </w:t>
      </w:r>
      <w:r w:rsidRPr="00E654A3">
        <w:rPr>
          <w:rFonts w:ascii="Times New Roman" w:hAnsi="Times New Roman"/>
          <w:caps/>
          <w:sz w:val="28"/>
          <w:vertAlign w:val="superscript"/>
        </w:rPr>
        <w:t>210</w:t>
      </w:r>
      <w:r>
        <w:rPr>
          <w:rFonts w:ascii="Times New Roman" w:hAnsi="Times New Roman"/>
          <w:caps/>
          <w:sz w:val="28"/>
        </w:rPr>
        <w:t>P</w:t>
      </w:r>
      <w:r>
        <w:rPr>
          <w:rFonts w:ascii="Times New Roman" w:hAnsi="Times New Roman"/>
          <w:sz w:val="28"/>
        </w:rPr>
        <w:t>o</w:t>
      </w:r>
      <w:r w:rsidRPr="00E654A3">
        <w:rPr>
          <w:rFonts w:ascii="Times New Roman" w:hAnsi="Times New Roman"/>
          <w:caps/>
          <w:sz w:val="28"/>
        </w:rPr>
        <w:t xml:space="preserve"> in Green Mussels (</w:t>
      </w:r>
      <w:r w:rsidRPr="001807DF">
        <w:rPr>
          <w:rFonts w:ascii="Times New Roman" w:hAnsi="Times New Roman"/>
          <w:i/>
          <w:sz w:val="28"/>
        </w:rPr>
        <w:t>Perna viridis</w:t>
      </w:r>
      <w:r w:rsidRPr="00E654A3">
        <w:rPr>
          <w:rFonts w:ascii="Times New Roman" w:hAnsi="Times New Roman"/>
          <w:caps/>
          <w:sz w:val="28"/>
        </w:rPr>
        <w:t>)</w:t>
      </w:r>
    </w:p>
    <w:p w:rsidR="004D3AB4" w:rsidRPr="00E654A3" w:rsidRDefault="004D3AB4" w:rsidP="004D3AB4">
      <w:pPr>
        <w:spacing w:after="0" w:line="240" w:lineRule="auto"/>
        <w:jc w:val="center"/>
        <w:outlineLvl w:val="0"/>
        <w:rPr>
          <w:rFonts w:ascii="Times New Roman" w:hAnsi="Times New Roman"/>
          <w:caps/>
          <w:sz w:val="28"/>
        </w:rPr>
      </w:pPr>
      <w:r w:rsidRPr="00E654A3">
        <w:rPr>
          <w:rFonts w:ascii="Times New Roman" w:hAnsi="Times New Roman"/>
          <w:caps/>
          <w:sz w:val="28"/>
        </w:rPr>
        <w:t>at the West Coast of Johore Straits, Malaysia</w:t>
      </w:r>
    </w:p>
    <w:p w:rsidR="004D3AB4" w:rsidRPr="001807DF" w:rsidRDefault="004D3AB4" w:rsidP="004D3AB4">
      <w:pPr>
        <w:spacing w:after="0" w:line="240" w:lineRule="auto"/>
        <w:jc w:val="center"/>
        <w:outlineLvl w:val="0"/>
        <w:rPr>
          <w:rFonts w:ascii="Times New Roman" w:hAnsi="Times New Roman"/>
          <w:sz w:val="24"/>
          <w:szCs w:val="24"/>
        </w:rPr>
      </w:pPr>
    </w:p>
    <w:p w:rsidR="004D3AB4" w:rsidRPr="00970720" w:rsidRDefault="004D3AB4" w:rsidP="004D3AB4">
      <w:pPr>
        <w:spacing w:after="0" w:line="240" w:lineRule="auto"/>
        <w:jc w:val="center"/>
        <w:outlineLvl w:val="0"/>
        <w:rPr>
          <w:rFonts w:ascii="Times New Roman" w:hAnsi="Times New Roman"/>
          <w:sz w:val="24"/>
        </w:rPr>
      </w:pPr>
      <w:r w:rsidRPr="00970720">
        <w:rPr>
          <w:rFonts w:ascii="Times New Roman" w:hAnsi="Times New Roman"/>
          <w:sz w:val="24"/>
        </w:rPr>
        <w:t>(</w:t>
      </w:r>
      <w:r w:rsidRPr="00970720">
        <w:rPr>
          <w:rFonts w:ascii="Times New Roman" w:hAnsi="Times New Roman"/>
          <w:sz w:val="24"/>
          <w:lang w:val="ms-MY"/>
        </w:rPr>
        <w:t xml:space="preserve">Radioaktiviti </w:t>
      </w:r>
      <w:r w:rsidRPr="00970720">
        <w:rPr>
          <w:rFonts w:ascii="Times New Roman" w:hAnsi="Times New Roman"/>
          <w:sz w:val="24"/>
          <w:vertAlign w:val="superscript"/>
          <w:lang w:val="ms-MY"/>
        </w:rPr>
        <w:t>210</w:t>
      </w:r>
      <w:r>
        <w:rPr>
          <w:rFonts w:ascii="Times New Roman" w:hAnsi="Times New Roman"/>
          <w:sz w:val="24"/>
          <w:lang w:val="ms-MY"/>
        </w:rPr>
        <w:t>Po dalam K</w:t>
      </w:r>
      <w:r w:rsidRPr="00970720">
        <w:rPr>
          <w:rFonts w:ascii="Times New Roman" w:hAnsi="Times New Roman"/>
          <w:sz w:val="24"/>
          <w:lang w:val="ms-MY"/>
        </w:rPr>
        <w:t>upang (</w:t>
      </w:r>
      <w:r w:rsidRPr="00970720">
        <w:rPr>
          <w:rFonts w:ascii="Times New Roman" w:hAnsi="Times New Roman"/>
          <w:i/>
          <w:sz w:val="24"/>
          <w:lang w:val="ms-MY"/>
        </w:rPr>
        <w:t>Perna viridis</w:t>
      </w:r>
      <w:r w:rsidRPr="00970720">
        <w:rPr>
          <w:rFonts w:ascii="Times New Roman" w:hAnsi="Times New Roman"/>
          <w:sz w:val="24"/>
          <w:lang w:val="ms-MY"/>
        </w:rPr>
        <w:t>) di Pantai Barat Selat Johor, Malaysia</w:t>
      </w:r>
      <w:r w:rsidRPr="00970720">
        <w:rPr>
          <w:rFonts w:ascii="Times New Roman" w:hAnsi="Times New Roman"/>
          <w:sz w:val="24"/>
        </w:rPr>
        <w:t>)</w:t>
      </w:r>
    </w:p>
    <w:p w:rsidR="004D3AB4" w:rsidRPr="001807DF" w:rsidRDefault="004D3AB4" w:rsidP="004D3AB4">
      <w:pPr>
        <w:spacing w:after="0" w:line="240" w:lineRule="auto"/>
        <w:jc w:val="center"/>
        <w:outlineLvl w:val="0"/>
        <w:rPr>
          <w:rFonts w:ascii="Times New Roman" w:hAnsi="Times New Roman"/>
          <w:b/>
          <w:sz w:val="20"/>
          <w:szCs w:val="20"/>
        </w:rPr>
      </w:pPr>
    </w:p>
    <w:p w:rsidR="004D3AB4" w:rsidRPr="001807DF" w:rsidRDefault="004D3AB4" w:rsidP="004D3AB4">
      <w:pPr>
        <w:spacing w:after="0" w:line="240" w:lineRule="auto"/>
        <w:jc w:val="center"/>
        <w:outlineLvl w:val="0"/>
        <w:rPr>
          <w:rFonts w:ascii="Times New Roman" w:hAnsi="Times New Roman"/>
          <w:sz w:val="20"/>
          <w:szCs w:val="20"/>
        </w:rPr>
      </w:pPr>
      <w:r w:rsidRPr="001807DF">
        <w:rPr>
          <w:rFonts w:ascii="Times New Roman" w:hAnsi="Times New Roman"/>
          <w:sz w:val="20"/>
          <w:szCs w:val="20"/>
        </w:rPr>
        <w:t>Mei Peng Lim and Che Abd Rahim Mohamed*</w:t>
      </w:r>
    </w:p>
    <w:p w:rsidR="004D3AB4" w:rsidRPr="00970720" w:rsidRDefault="004D3AB4" w:rsidP="004D3AB4">
      <w:pPr>
        <w:spacing w:after="0" w:line="240" w:lineRule="auto"/>
        <w:jc w:val="center"/>
        <w:outlineLvl w:val="0"/>
        <w:rPr>
          <w:rFonts w:ascii="Times New Roman" w:hAnsi="Times New Roman"/>
          <w:szCs w:val="20"/>
        </w:rPr>
      </w:pPr>
    </w:p>
    <w:p w:rsidR="004D3AB4"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School of Environmental and Natural Resource Sciences,</w:t>
      </w:r>
      <w:r w:rsidR="00502464">
        <w:rPr>
          <w:rFonts w:ascii="Times New Roman" w:hAnsi="Times New Roman"/>
          <w:i/>
          <w:sz w:val="18"/>
          <w:szCs w:val="18"/>
        </w:rPr>
        <w:t xml:space="preserve"> </w:t>
      </w:r>
      <w:r w:rsidRPr="00970720">
        <w:rPr>
          <w:rFonts w:ascii="Times New Roman" w:hAnsi="Times New Roman"/>
          <w:i/>
          <w:sz w:val="18"/>
          <w:szCs w:val="18"/>
        </w:rPr>
        <w:t>Faculty of Science and Technology,</w:t>
      </w:r>
    </w:p>
    <w:p w:rsidR="004D3AB4" w:rsidRPr="00970720"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Universiti Kebangsaan Malaysia,</w:t>
      </w:r>
      <w:r w:rsidR="00502464">
        <w:rPr>
          <w:rFonts w:ascii="Times New Roman" w:hAnsi="Times New Roman"/>
          <w:i/>
          <w:sz w:val="18"/>
          <w:szCs w:val="18"/>
        </w:rPr>
        <w:t xml:space="preserve"> </w:t>
      </w:r>
      <w:r w:rsidRPr="00970720">
        <w:rPr>
          <w:rFonts w:ascii="Times New Roman" w:hAnsi="Times New Roman"/>
          <w:i/>
          <w:sz w:val="18"/>
          <w:szCs w:val="18"/>
        </w:rPr>
        <w:t>43600 UKM Bangi, Selangor, Malaysia</w:t>
      </w:r>
    </w:p>
    <w:p w:rsidR="004D3AB4" w:rsidRPr="00970720" w:rsidRDefault="004D3AB4" w:rsidP="004D3AB4">
      <w:pPr>
        <w:spacing w:after="0" w:line="240" w:lineRule="auto"/>
        <w:jc w:val="center"/>
        <w:outlineLvl w:val="0"/>
        <w:rPr>
          <w:rFonts w:ascii="Times New Roman" w:hAnsi="Times New Roman"/>
          <w:b/>
          <w:sz w:val="18"/>
          <w:szCs w:val="18"/>
        </w:rPr>
      </w:pPr>
    </w:p>
    <w:p w:rsidR="004D3AB4" w:rsidRPr="00970720" w:rsidRDefault="004D3AB4" w:rsidP="004D3AB4">
      <w:pPr>
        <w:spacing w:after="0" w:line="240" w:lineRule="auto"/>
        <w:jc w:val="center"/>
        <w:outlineLvl w:val="0"/>
        <w:rPr>
          <w:rFonts w:ascii="Times New Roman" w:hAnsi="Times New Roman"/>
          <w:b/>
          <w:i/>
          <w:sz w:val="18"/>
          <w:szCs w:val="18"/>
        </w:rPr>
      </w:pPr>
      <w:r w:rsidRPr="001807DF">
        <w:rPr>
          <w:rFonts w:ascii="Times New Roman" w:hAnsi="Times New Roman"/>
          <w:i/>
          <w:sz w:val="18"/>
        </w:rPr>
        <w:t>*</w:t>
      </w:r>
      <w:r w:rsidRPr="00970720">
        <w:rPr>
          <w:rFonts w:ascii="Times New Roman" w:hAnsi="Times New Roman"/>
          <w:i/>
          <w:sz w:val="18"/>
        </w:rPr>
        <w:t xml:space="preserve">Corresponding author: </w:t>
      </w:r>
      <w:r>
        <w:rPr>
          <w:rFonts w:ascii="Times New Roman" w:hAnsi="Times New Roman"/>
          <w:i/>
          <w:sz w:val="18"/>
        </w:rPr>
        <w:t xml:space="preserve"> </w:t>
      </w:r>
      <w:r w:rsidRPr="00970720">
        <w:rPr>
          <w:rFonts w:ascii="Times New Roman" w:hAnsi="Times New Roman"/>
          <w:i/>
          <w:sz w:val="18"/>
          <w:szCs w:val="18"/>
        </w:rPr>
        <w:t>carmohd@ukm.edu.my</w:t>
      </w:r>
    </w:p>
    <w:p w:rsidR="004D3AB4" w:rsidRPr="00F447A7" w:rsidRDefault="004D3AB4" w:rsidP="004D3AB4">
      <w:pPr>
        <w:spacing w:after="0" w:line="240" w:lineRule="auto"/>
        <w:jc w:val="center"/>
        <w:rPr>
          <w:rFonts w:ascii="Times New Roman" w:hAnsi="Times New Roman"/>
          <w:noProof/>
          <w:sz w:val="18"/>
          <w:szCs w:val="18"/>
          <w:lang w:bidi="ar-SA"/>
        </w:rPr>
      </w:pPr>
    </w:p>
    <w:p w:rsidR="004D3AB4" w:rsidRDefault="004D3AB4" w:rsidP="004D3AB4">
      <w:pPr>
        <w:spacing w:after="0" w:line="240" w:lineRule="auto"/>
        <w:jc w:val="center"/>
        <w:rPr>
          <w:rFonts w:ascii="Times New Roman" w:hAnsi="Times New Roman"/>
          <w:noProof/>
          <w:sz w:val="18"/>
          <w:szCs w:val="18"/>
          <w:lang w:bidi="ar-SA"/>
        </w:rPr>
      </w:pPr>
    </w:p>
    <w:p w:rsidR="004D3AB4" w:rsidRDefault="004D3AB4" w:rsidP="004D3AB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19 August 2019; Accepted: 11 November 2019</w:t>
      </w:r>
    </w:p>
    <w:p w:rsidR="004D3AB4" w:rsidRDefault="004D3AB4" w:rsidP="004D3AB4">
      <w:pPr>
        <w:spacing w:after="0" w:line="240" w:lineRule="auto"/>
        <w:jc w:val="center"/>
        <w:rPr>
          <w:rFonts w:ascii="Times New Roman" w:hAnsi="Times New Roman"/>
          <w:noProof/>
          <w:sz w:val="18"/>
          <w:szCs w:val="18"/>
          <w:lang w:bidi="ar-SA"/>
        </w:rPr>
      </w:pPr>
    </w:p>
    <w:p w:rsidR="004D3AB4" w:rsidRPr="00F447A7" w:rsidRDefault="004D3AB4" w:rsidP="004D3AB4">
      <w:pPr>
        <w:spacing w:after="0" w:line="240" w:lineRule="auto"/>
        <w:jc w:val="center"/>
        <w:rPr>
          <w:rFonts w:ascii="Times New Roman" w:hAnsi="Times New Roman"/>
          <w:noProof/>
          <w:sz w:val="18"/>
          <w:szCs w:val="18"/>
          <w:lang w:bidi="ar-SA"/>
        </w:rPr>
      </w:pPr>
    </w:p>
    <w:p w:rsidR="004D3AB4" w:rsidRPr="00F447A7" w:rsidRDefault="004D3AB4" w:rsidP="004D3AB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3AB4" w:rsidRPr="00970720" w:rsidRDefault="004D3AB4" w:rsidP="004D3AB4">
      <w:pPr>
        <w:spacing w:after="0" w:line="240" w:lineRule="auto"/>
        <w:jc w:val="both"/>
        <w:outlineLvl w:val="0"/>
        <w:rPr>
          <w:rFonts w:ascii="Times New Roman" w:hAnsi="Times New Roman"/>
          <w:sz w:val="18"/>
          <w:szCs w:val="18"/>
        </w:rPr>
      </w:pPr>
      <w:r w:rsidRPr="00970720">
        <w:rPr>
          <w:rFonts w:ascii="Times New Roman" w:hAnsi="Times New Roman"/>
          <w:sz w:val="18"/>
          <w:szCs w:val="18"/>
        </w:rPr>
        <w:t xml:space="preserve">Johor Straits is one of the most polluted coastal areas in the southern part of Peninsular Malaysia and sampling of green mussels in various sizes and locations (e.g., cultured, wild and local market) was conducted to investigate its ability to accumulate </w:t>
      </w:r>
      <w:r w:rsidRPr="00970720">
        <w:rPr>
          <w:rFonts w:ascii="Times New Roman" w:hAnsi="Times New Roman"/>
          <w:sz w:val="18"/>
          <w:szCs w:val="18"/>
          <w:vertAlign w:val="superscript"/>
        </w:rPr>
        <w:t>210</w:t>
      </w:r>
      <w:r w:rsidRPr="00970720">
        <w:rPr>
          <w:rFonts w:ascii="Times New Roman" w:hAnsi="Times New Roman"/>
          <w:sz w:val="18"/>
          <w:szCs w:val="18"/>
        </w:rPr>
        <w:t xml:space="preserve">Po into their organs.  Levels of </w:t>
      </w:r>
      <w:r w:rsidRPr="00970720">
        <w:rPr>
          <w:rFonts w:ascii="Times New Roman" w:hAnsi="Times New Roman"/>
          <w:sz w:val="18"/>
          <w:szCs w:val="18"/>
          <w:vertAlign w:val="superscript"/>
        </w:rPr>
        <w:t>210</w:t>
      </w:r>
      <w:r w:rsidRPr="00970720">
        <w:rPr>
          <w:rFonts w:ascii="Times New Roman" w:hAnsi="Times New Roman"/>
          <w:sz w:val="18"/>
          <w:szCs w:val="18"/>
        </w:rPr>
        <w:t>Po varied according to the organ and origin of the organisms, where the level of activity in the stomach and tissues ranged from 64.51 ± 3.47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to 520.26 ± 27.25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and 25.44 ± 1.25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to 154.28  ± 5.62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respectively. Green mussels from the wild contained the highest mean activity of </w:t>
      </w:r>
      <w:r w:rsidRPr="00970720">
        <w:rPr>
          <w:rFonts w:ascii="Times New Roman" w:hAnsi="Times New Roman"/>
          <w:sz w:val="18"/>
          <w:szCs w:val="18"/>
          <w:vertAlign w:val="superscript"/>
        </w:rPr>
        <w:t>210</w:t>
      </w:r>
      <w:r w:rsidRPr="00970720">
        <w:rPr>
          <w:rFonts w:ascii="Times New Roman" w:hAnsi="Times New Roman"/>
          <w:sz w:val="18"/>
          <w:szCs w:val="18"/>
        </w:rPr>
        <w:t>Po as 406.35 ± 14.10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in the stomach and 79.33 ± 0.87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in tissue because of contaminations from the industrial and domestic effluent discharges directly into the sampling locations.</w:t>
      </w:r>
      <w:r>
        <w:rPr>
          <w:rFonts w:ascii="Times New Roman" w:hAnsi="Times New Roman"/>
          <w:sz w:val="18"/>
          <w:szCs w:val="18"/>
        </w:rPr>
        <w:t xml:space="preserve"> </w:t>
      </w:r>
      <w:r w:rsidRPr="00970720">
        <w:rPr>
          <w:rFonts w:ascii="Times New Roman" w:hAnsi="Times New Roman"/>
          <w:sz w:val="18"/>
          <w:szCs w:val="18"/>
        </w:rPr>
        <w:t xml:space="preserve">The activity levels were also relatively higher than other marine organisms from different areas in Malaysia as well as worldwide values. Therefore, it is assumed that green mussels might be a radiation risk to seafood consumers from the Johor Straits, since the radiation dose of </w:t>
      </w:r>
      <w:r w:rsidRPr="00970720">
        <w:rPr>
          <w:rFonts w:ascii="Times New Roman" w:hAnsi="Times New Roman"/>
          <w:sz w:val="18"/>
          <w:szCs w:val="18"/>
          <w:vertAlign w:val="superscript"/>
        </w:rPr>
        <w:t>210</w:t>
      </w:r>
      <w:r w:rsidRPr="00970720">
        <w:rPr>
          <w:rFonts w:ascii="Times New Roman" w:hAnsi="Times New Roman"/>
          <w:sz w:val="18"/>
          <w:szCs w:val="18"/>
        </w:rPr>
        <w:t>Po exceeds permitted levels by the USEPA.</w:t>
      </w:r>
    </w:p>
    <w:p w:rsidR="004D3AB4" w:rsidRPr="00970720" w:rsidRDefault="004D3AB4" w:rsidP="004D3AB4">
      <w:pPr>
        <w:spacing w:after="0" w:line="240" w:lineRule="auto"/>
        <w:jc w:val="both"/>
        <w:outlineLvl w:val="0"/>
        <w:rPr>
          <w:rFonts w:ascii="Times New Roman" w:hAnsi="Times New Roman"/>
          <w:sz w:val="18"/>
          <w:szCs w:val="18"/>
        </w:rPr>
      </w:pPr>
    </w:p>
    <w:p w:rsidR="004D3AB4" w:rsidRPr="00970720" w:rsidRDefault="004D3AB4" w:rsidP="004D3AB4">
      <w:pPr>
        <w:spacing w:after="0" w:line="240" w:lineRule="auto"/>
        <w:jc w:val="both"/>
        <w:outlineLvl w:val="0"/>
        <w:rPr>
          <w:rFonts w:ascii="Times New Roman" w:hAnsi="Times New Roman"/>
          <w:sz w:val="18"/>
          <w:szCs w:val="18"/>
        </w:rPr>
      </w:pPr>
      <w:r w:rsidRPr="00970720">
        <w:rPr>
          <w:rFonts w:ascii="Times New Roman" w:hAnsi="Times New Roman"/>
          <w:b/>
          <w:sz w:val="18"/>
          <w:szCs w:val="18"/>
        </w:rPr>
        <w:t>Keywords:</w:t>
      </w:r>
      <w:r w:rsidRPr="00970720">
        <w:rPr>
          <w:rFonts w:ascii="Times New Roman" w:hAnsi="Times New Roman"/>
          <w:sz w:val="18"/>
          <w:szCs w:val="18"/>
        </w:rPr>
        <w:t xml:space="preserve"> </w:t>
      </w:r>
      <w:r>
        <w:rPr>
          <w:rFonts w:ascii="Times New Roman" w:hAnsi="Times New Roman"/>
          <w:sz w:val="18"/>
          <w:szCs w:val="18"/>
        </w:rPr>
        <w:t xml:space="preserve"> </w:t>
      </w:r>
      <w:r w:rsidRPr="00970720">
        <w:rPr>
          <w:rFonts w:ascii="Times New Roman" w:hAnsi="Times New Roman"/>
          <w:sz w:val="18"/>
          <w:szCs w:val="18"/>
        </w:rPr>
        <w:t>radioactivity, green mussel, seafood, radiation, contamination</w:t>
      </w:r>
      <w:r w:rsidRPr="00970720">
        <w:rPr>
          <w:rFonts w:ascii="Times New Roman" w:hAnsi="Times New Roman"/>
        </w:rPr>
        <w:t xml:space="preserve"> </w:t>
      </w:r>
    </w:p>
    <w:p w:rsidR="004D3AB4" w:rsidRPr="00970720" w:rsidRDefault="004D3AB4" w:rsidP="004D3AB4">
      <w:pPr>
        <w:spacing w:after="0" w:line="240" w:lineRule="auto"/>
        <w:jc w:val="center"/>
        <w:outlineLvl w:val="0"/>
        <w:rPr>
          <w:rFonts w:ascii="Times New Roman" w:hAnsi="Times New Roman"/>
          <w:b/>
          <w:sz w:val="18"/>
          <w:szCs w:val="18"/>
        </w:rPr>
      </w:pPr>
    </w:p>
    <w:p w:rsidR="004D3AB4" w:rsidRPr="00970720" w:rsidRDefault="004D3AB4" w:rsidP="004D3AB4">
      <w:pPr>
        <w:spacing w:after="0" w:line="240" w:lineRule="auto"/>
        <w:jc w:val="center"/>
        <w:outlineLvl w:val="0"/>
        <w:rPr>
          <w:rFonts w:ascii="Times New Roman" w:hAnsi="Times New Roman"/>
          <w:b/>
          <w:sz w:val="18"/>
          <w:szCs w:val="18"/>
          <w:lang w:val="ms-MY"/>
        </w:rPr>
      </w:pPr>
      <w:r w:rsidRPr="00970720">
        <w:rPr>
          <w:rFonts w:ascii="Times New Roman" w:hAnsi="Times New Roman"/>
          <w:b/>
          <w:sz w:val="18"/>
          <w:szCs w:val="18"/>
          <w:lang w:val="ms-MY"/>
        </w:rPr>
        <w:t>Abstrak</w:t>
      </w:r>
    </w:p>
    <w:p w:rsidR="004D3AB4" w:rsidRPr="00970720" w:rsidRDefault="004D3AB4" w:rsidP="004D3AB4">
      <w:pPr>
        <w:spacing w:after="0" w:line="240" w:lineRule="auto"/>
        <w:jc w:val="both"/>
        <w:outlineLvl w:val="0"/>
        <w:rPr>
          <w:rFonts w:ascii="Times New Roman" w:hAnsi="Times New Roman"/>
          <w:sz w:val="18"/>
          <w:szCs w:val="18"/>
          <w:lang w:val="ms-MY"/>
        </w:rPr>
      </w:pPr>
      <w:r w:rsidRPr="00970720">
        <w:rPr>
          <w:rFonts w:ascii="Times New Roman" w:hAnsi="Times New Roman"/>
          <w:sz w:val="18"/>
          <w:szCs w:val="18"/>
          <w:lang w:val="ms-MY"/>
        </w:rPr>
        <w:t>Selat Johor adalah kawasan pinggir pantai yang tercemar di bahagian Selatan Semenanjung Malaysia dan pensamp</w:t>
      </w:r>
      <w:r>
        <w:rPr>
          <w:rFonts w:ascii="Times New Roman" w:hAnsi="Times New Roman"/>
          <w:sz w:val="18"/>
          <w:szCs w:val="18"/>
          <w:lang w:val="ms-MY"/>
        </w:rPr>
        <w:t>el</w:t>
      </w:r>
      <w:r w:rsidRPr="00970720">
        <w:rPr>
          <w:rFonts w:ascii="Times New Roman" w:hAnsi="Times New Roman"/>
          <w:sz w:val="18"/>
          <w:szCs w:val="18"/>
          <w:lang w:val="ms-MY"/>
        </w:rPr>
        <w:t>an kupang dalam pelbagai saiz dan lokasi (contoh</w:t>
      </w:r>
      <w:r>
        <w:rPr>
          <w:rFonts w:ascii="Times New Roman" w:hAnsi="Times New Roman"/>
          <w:sz w:val="18"/>
          <w:szCs w:val="18"/>
          <w:lang w:val="ms-MY"/>
        </w:rPr>
        <w:t xml:space="preserve"> seperti</w:t>
      </w:r>
      <w:r w:rsidRPr="00970720">
        <w:rPr>
          <w:rFonts w:ascii="Times New Roman" w:hAnsi="Times New Roman"/>
          <w:sz w:val="18"/>
          <w:szCs w:val="18"/>
          <w:lang w:val="ms-MY"/>
        </w:rPr>
        <w:t xml:space="preserve"> ternak, liar dan pasaran tempatan) dilakukan untuk memeriksa keupayaan akumulasi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 xml:space="preserve">Po ke dalam organnya. Aras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adalah berbeza bergantung kepada jenis organ dan lokasi asal organisma tersebut, julat aras aktiviti dalam perut dan tisu masing-masing dari 64.51 ± 3.47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hingga  520.26 ± 27.25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dan 25.44 ± 1.25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hingga 154.28  ± 5.62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Kupang liar mengandungi aktiviti purata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tertinggi iaitu 406.35 ± 14.10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dalam perut dan 79.33 ± 0.87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dalam tisu kerana bahan buangan pencemaran daripada industri dan domestik dikeluarkan terus ke kawasan pensampelan kerang. Aras aktiviti umumnya adalah tinggi berbanding dengan organisma marin yang lain diperolehi dari kawasan berlainan di Malaysia begitu juga nilai aktiviti peringkat dunia. Oleh itu, boleh dianggap bahawa kupang mungkin menjadi risiko radiasi kepada pengguna makanan laut dari Selat Johor, kerana dos radiasi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melebihi tahap yang dibenarkan oleh USEPA.</w:t>
      </w:r>
    </w:p>
    <w:p w:rsidR="004D3AB4" w:rsidRPr="00970720" w:rsidRDefault="004D3AB4" w:rsidP="004D3AB4">
      <w:pPr>
        <w:spacing w:after="0" w:line="240" w:lineRule="auto"/>
        <w:jc w:val="both"/>
        <w:outlineLvl w:val="0"/>
        <w:rPr>
          <w:rFonts w:ascii="Times New Roman" w:hAnsi="Times New Roman"/>
          <w:sz w:val="18"/>
          <w:szCs w:val="18"/>
          <w:lang w:val="ms-MY"/>
        </w:rPr>
      </w:pPr>
    </w:p>
    <w:p w:rsidR="004D3AB4" w:rsidRPr="00970720" w:rsidRDefault="004D3AB4" w:rsidP="004D3AB4">
      <w:pPr>
        <w:spacing w:after="0" w:line="240" w:lineRule="auto"/>
        <w:jc w:val="both"/>
        <w:outlineLvl w:val="0"/>
        <w:rPr>
          <w:rFonts w:ascii="Times New Roman" w:hAnsi="Times New Roman"/>
          <w:sz w:val="18"/>
          <w:szCs w:val="18"/>
          <w:lang w:val="ms-MY"/>
        </w:rPr>
      </w:pPr>
      <w:r w:rsidRPr="00970720">
        <w:rPr>
          <w:rFonts w:ascii="Times New Roman" w:hAnsi="Times New Roman"/>
          <w:b/>
          <w:sz w:val="18"/>
          <w:szCs w:val="18"/>
          <w:lang w:val="ms-MY"/>
        </w:rPr>
        <w:t>Kata kunci:</w:t>
      </w:r>
      <w:r w:rsidRPr="00970720">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r</w:t>
      </w:r>
      <w:r w:rsidRPr="00970720">
        <w:rPr>
          <w:rFonts w:ascii="Times New Roman" w:hAnsi="Times New Roman"/>
          <w:sz w:val="18"/>
          <w:szCs w:val="18"/>
          <w:lang w:val="ms-MY"/>
        </w:rPr>
        <w:t>adioaktiviti, kupang, makanan laut, radiasi, pencemaran</w:t>
      </w:r>
    </w:p>
    <w:p w:rsidR="00426010" w:rsidRDefault="00426010" w:rsidP="00502464">
      <w:pPr>
        <w:spacing w:after="0" w:line="240" w:lineRule="auto"/>
        <w:rPr>
          <w:rFonts w:ascii="Times New Roman" w:hAnsi="Times New Roman"/>
          <w:noProof/>
          <w:sz w:val="20"/>
          <w:szCs w:val="20"/>
          <w:lang w:bidi="ar-SA"/>
        </w:rPr>
      </w:pPr>
    </w:p>
    <w:p w:rsidR="00426010" w:rsidRPr="00BE7C30" w:rsidRDefault="00426010" w:rsidP="004D3AB4">
      <w:pPr>
        <w:spacing w:after="0" w:line="240" w:lineRule="auto"/>
        <w:jc w:val="center"/>
        <w:rPr>
          <w:rFonts w:ascii="Times New Roman" w:hAnsi="Times New Roman"/>
          <w:noProof/>
          <w:sz w:val="20"/>
          <w:szCs w:val="20"/>
          <w:lang w:bidi="ar-SA"/>
        </w:rPr>
      </w:pPr>
    </w:p>
    <w:p w:rsidR="004D3AB4" w:rsidRPr="00F447A7" w:rsidRDefault="004D3AB4" w:rsidP="004D3AB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safety of seafood consumption garners serious attention in tandem with increased global preference for seafood [1]. Apart from the problems caused by the use of antibiotics, radioactivity levels in seafood are also a concern of seafood consumers. This fear seems to have worsened after the Fukushima Daiichi nuclear disaster in Japan in </w:t>
      </w:r>
      <w:r w:rsidRPr="00B27191">
        <w:rPr>
          <w:rFonts w:ascii="Times New Roman" w:hAnsi="Times New Roman"/>
          <w:sz w:val="20"/>
          <w:szCs w:val="20"/>
        </w:rPr>
        <w:lastRenderedPageBreak/>
        <w:t xml:space="preserve">2011. However, the presence of radionuclides in the marine environment could be from cosmogenic and primordial sources as well as from anthropogenic activities. Marine organisms become contaminated when radioactive materials are absorbed from surrounding waters and are accumulated in their body; this can be transferred to humans via the food chain [2-6]. Several studies on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and other natural radionuclides in marine organisms in Malaysian coastal waters have been conducted by other researchers [7-10]. However, studies on </w:t>
      </w:r>
      <w:r w:rsidRPr="00B27191">
        <w:rPr>
          <w:rFonts w:ascii="Times New Roman" w:hAnsi="Times New Roman"/>
          <w:sz w:val="20"/>
          <w:szCs w:val="20"/>
          <w:vertAlign w:val="superscript"/>
        </w:rPr>
        <w:t>210</w:t>
      </w:r>
      <w:r w:rsidRPr="00B27191">
        <w:rPr>
          <w:rFonts w:ascii="Times New Roman" w:hAnsi="Times New Roman"/>
          <w:sz w:val="20"/>
          <w:szCs w:val="20"/>
        </w:rPr>
        <w:t>Pb in the west coast of Johor Straits in marine organisms are limited.</w:t>
      </w:r>
    </w:p>
    <w:p w:rsidR="004D3AB4" w:rsidRPr="00B27191" w:rsidRDefault="004D3AB4" w:rsidP="004D3AB4">
      <w:pPr>
        <w:spacing w:after="0" w:line="240" w:lineRule="auto"/>
        <w:jc w:val="both"/>
        <w:outlineLvl w:val="0"/>
        <w:rPr>
          <w:rFonts w:ascii="Times New Roman" w:hAnsi="Times New Roman"/>
          <w:sz w:val="20"/>
          <w:szCs w:val="20"/>
        </w:rPr>
      </w:pP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Straits of Johor is located in the southern part of Peninsular Malaysia where the west and east part of the straits is separated by a causeway built in 1924. The water body has been blocked and water in the strait cannot flow freely between the southern South China Sea or the Straits of Malacca. Heavy pollution occurs in both the water column and sediment from massive toxic elements deposited from the surrounding inland regions (i.e., Johor, Malaysia and Singapore). Since the west coast of Johor Strait is famous for the production of green mussels, this study was conducted to investigate levels of the natural radionuclide </w:t>
      </w:r>
      <w:r w:rsidRPr="00B27191">
        <w:rPr>
          <w:rFonts w:ascii="Times New Roman" w:hAnsi="Times New Roman"/>
          <w:sz w:val="20"/>
          <w:szCs w:val="20"/>
          <w:vertAlign w:val="superscript"/>
        </w:rPr>
        <w:t>210</w:t>
      </w:r>
      <w:r w:rsidRPr="00B27191">
        <w:rPr>
          <w:rFonts w:ascii="Times New Roman" w:hAnsi="Times New Roman"/>
          <w:sz w:val="20"/>
          <w:szCs w:val="20"/>
        </w:rPr>
        <w:t>Po as a bio-indicator of environmental pollution.</w:t>
      </w:r>
    </w:p>
    <w:p w:rsidR="004D3AB4" w:rsidRPr="00B27191" w:rsidRDefault="004D3AB4" w:rsidP="004D3AB4">
      <w:pPr>
        <w:spacing w:after="0" w:line="240" w:lineRule="auto"/>
        <w:jc w:val="both"/>
        <w:outlineLvl w:val="0"/>
        <w:rPr>
          <w:rFonts w:ascii="Times New Roman" w:hAnsi="Times New Roman"/>
          <w:sz w:val="20"/>
          <w:szCs w:val="20"/>
        </w:rPr>
      </w:pP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production of green mussel in the Straits of Johor is also famous because of the availability of spat fall. This study would clearly reveal the impacts of urbanization from both sides i.e., Malaysia and Singapore, and their contribution to the increased natural radioactivity levels in the coastal area. Furthermore, the existence of natural radionuclide contaminants in seafood might indicate its potential impact on human health through consumption. The relationship between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and marine organisms has been widely investigated because it is one of the most important sources of internal radiation for most organisms that emit alpha radiation [11-13]. Thus, this study investigates the activity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levels in green mussels from the west coast of Johor Straits, Malaysia as an </w:t>
      </w:r>
      <w:r w:rsidRPr="00B27191">
        <w:rPr>
          <w:rFonts w:ascii="Times New Roman" w:hAnsi="Times New Roman"/>
          <w:i/>
          <w:sz w:val="20"/>
          <w:szCs w:val="20"/>
        </w:rPr>
        <w:t>in-situ</w:t>
      </w:r>
      <w:r w:rsidRPr="00B27191">
        <w:rPr>
          <w:rFonts w:ascii="Times New Roman" w:hAnsi="Times New Roman"/>
          <w:sz w:val="20"/>
          <w:szCs w:val="20"/>
        </w:rPr>
        <w:t xml:space="preserve"> bio-indicator. </w:t>
      </w:r>
    </w:p>
    <w:p w:rsidR="004D3AB4" w:rsidRPr="00B27191" w:rsidRDefault="004D3AB4" w:rsidP="004D3AB4">
      <w:pPr>
        <w:spacing w:after="0" w:line="240" w:lineRule="auto"/>
        <w:jc w:val="center"/>
        <w:outlineLvl w:val="0"/>
        <w:rPr>
          <w:rFonts w:ascii="Times New Roman" w:hAnsi="Times New Roman"/>
          <w:sz w:val="20"/>
          <w:szCs w:val="20"/>
        </w:rPr>
      </w:pPr>
    </w:p>
    <w:p w:rsidR="004D3AB4" w:rsidRPr="00B27191" w:rsidRDefault="004D3AB4" w:rsidP="004D3AB4">
      <w:pPr>
        <w:spacing w:after="0" w:line="240" w:lineRule="auto"/>
        <w:jc w:val="center"/>
        <w:outlineLvl w:val="0"/>
        <w:rPr>
          <w:rFonts w:ascii="Times New Roman" w:hAnsi="Times New Roman"/>
          <w:b/>
          <w:sz w:val="20"/>
          <w:szCs w:val="20"/>
        </w:rPr>
      </w:pPr>
      <w:r w:rsidRPr="00B27191">
        <w:rPr>
          <w:rFonts w:ascii="Times New Roman" w:hAnsi="Times New Roman"/>
          <w:b/>
          <w:sz w:val="20"/>
          <w:szCs w:val="20"/>
        </w:rPr>
        <w:t>Materials and Methods</w:t>
      </w:r>
    </w:p>
    <w:p w:rsidR="004D3AB4"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Sampling was conducted on 25</w:t>
      </w:r>
      <w:r w:rsidRPr="00B27191">
        <w:rPr>
          <w:rFonts w:ascii="Times New Roman" w:hAnsi="Times New Roman"/>
          <w:sz w:val="20"/>
          <w:szCs w:val="20"/>
          <w:vertAlign w:val="superscript"/>
        </w:rPr>
        <w:t>th</w:t>
      </w:r>
      <w:r w:rsidRPr="00B27191">
        <w:rPr>
          <w:rFonts w:ascii="Times New Roman" w:hAnsi="Times New Roman"/>
          <w:sz w:val="20"/>
          <w:szCs w:val="20"/>
        </w:rPr>
        <w:t xml:space="preserve"> March 2014 and 1</w:t>
      </w:r>
      <w:r w:rsidRPr="00B27191">
        <w:rPr>
          <w:rFonts w:ascii="Times New Roman" w:hAnsi="Times New Roman"/>
          <w:sz w:val="20"/>
          <w:szCs w:val="20"/>
          <w:vertAlign w:val="superscript"/>
        </w:rPr>
        <w:t>st</w:t>
      </w:r>
      <w:r w:rsidRPr="00B27191">
        <w:rPr>
          <w:rFonts w:ascii="Times New Roman" w:hAnsi="Times New Roman"/>
          <w:sz w:val="20"/>
          <w:szCs w:val="20"/>
        </w:rPr>
        <w:t xml:space="preserve"> June 2014 in the west coast of the Johor Straits, Malaysia, indicated as culture farm station (ST02, ST03, ST07, ST08, ST09), wild station (ST04, ST05, ST06) and market station (ST01) (Figure 1). Samples collected were from culture farms (n=35), wild caught (n=21) and market bought (n=7). Shell lengths and widths of the green mussels were also measured immediately after sampling. The radiochemical separation method was used to estimate </w:t>
      </w:r>
      <w:r w:rsidRPr="00B27191">
        <w:rPr>
          <w:rFonts w:ascii="Times New Roman" w:hAnsi="Times New Roman"/>
          <w:sz w:val="20"/>
          <w:szCs w:val="20"/>
          <w:vertAlign w:val="superscript"/>
        </w:rPr>
        <w:t>210</w:t>
      </w:r>
      <w:r w:rsidRPr="00B27191">
        <w:rPr>
          <w:rFonts w:ascii="Times New Roman" w:hAnsi="Times New Roman"/>
          <w:sz w:val="20"/>
          <w:szCs w:val="20"/>
        </w:rPr>
        <w:t xml:space="preserve">Po in the samples [6]. The green mussels were dissected with a knife to obtain the stomach and soft tissue, and these were oven dried at 60°C. About 0.5 g of dried sample was taken and a known activity of </w:t>
      </w:r>
      <w:r w:rsidRPr="00B27191">
        <w:rPr>
          <w:rFonts w:ascii="Times New Roman" w:hAnsi="Times New Roman"/>
          <w:sz w:val="20"/>
          <w:szCs w:val="20"/>
          <w:vertAlign w:val="superscript"/>
        </w:rPr>
        <w:t>209</w:t>
      </w:r>
      <w:r w:rsidRPr="00B27191">
        <w:rPr>
          <w:rFonts w:ascii="Times New Roman" w:hAnsi="Times New Roman"/>
          <w:sz w:val="20"/>
          <w:szCs w:val="20"/>
        </w:rPr>
        <w:t xml:space="preserve">Po (12.17 dpm/mL) was added as a yield tracer. The samples were then digested with 15 mL of nitric acid and peroxide acid. The solution was filtered and gently evaporated to 2 mL as near dryness.  </w:t>
      </w:r>
    </w:p>
    <w:p w:rsidR="00426010" w:rsidRDefault="00426010" w:rsidP="004D3AB4">
      <w:pPr>
        <w:spacing w:after="0" w:line="240" w:lineRule="auto"/>
        <w:jc w:val="both"/>
        <w:outlineLvl w:val="0"/>
        <w:rPr>
          <w:rFonts w:ascii="Times New Roman" w:hAnsi="Times New Roman"/>
          <w:sz w:val="20"/>
          <w:szCs w:val="20"/>
        </w:rPr>
      </w:pPr>
    </w:p>
    <w:p w:rsidR="00426010" w:rsidRPr="00B27191" w:rsidRDefault="00426010" w:rsidP="00426010">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sample was dissolved in 0.5 M hydrochloric acid and 1.0 g of ascorbic acid to reduce Fe (III), and </w:t>
      </w:r>
      <w:r w:rsidRPr="00B27191">
        <w:rPr>
          <w:rFonts w:ascii="Times New Roman" w:hAnsi="Times New Roman"/>
          <w:sz w:val="20"/>
          <w:szCs w:val="20"/>
          <w:vertAlign w:val="superscript"/>
        </w:rPr>
        <w:t>210</w:t>
      </w:r>
      <w:r w:rsidRPr="00B27191">
        <w:rPr>
          <w:rFonts w:ascii="Times New Roman" w:hAnsi="Times New Roman"/>
          <w:sz w:val="20"/>
          <w:szCs w:val="20"/>
        </w:rPr>
        <w:t xml:space="preserve">Po was spontaneously deposited on brightly polished silver discs (2 cm diameter) for a period of 1 to 2 hours at a temperature of 70-90 °C. The discs were counted for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activities with Alpha Spectrometry along a silicon-surface barrier detector by Canberra immediately after deposition process. The recovery yield varied from 65% to 90%. Depositions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were carried out within two months of sampling and the calculation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activities involved the date of sampling. Then, to ensure the quality of the methodology, </w:t>
      </w:r>
      <w:r w:rsidRPr="00B27191">
        <w:rPr>
          <w:rFonts w:ascii="Times New Roman" w:hAnsi="Times New Roman"/>
          <w:sz w:val="20"/>
          <w:szCs w:val="20"/>
          <w:vertAlign w:val="superscript"/>
        </w:rPr>
        <w:t>210</w:t>
      </w:r>
      <w:r w:rsidRPr="00B27191">
        <w:rPr>
          <w:rFonts w:ascii="Times New Roman" w:hAnsi="Times New Roman"/>
          <w:sz w:val="20"/>
          <w:szCs w:val="20"/>
        </w:rPr>
        <w:t>Po was estimated with a certified reference ma</w:t>
      </w:r>
      <w:r>
        <w:rPr>
          <w:rFonts w:ascii="Times New Roman" w:hAnsi="Times New Roman"/>
          <w:sz w:val="20"/>
          <w:szCs w:val="20"/>
        </w:rPr>
        <w:t>terial IAEA-134 (Cockle flesh).</w:t>
      </w:r>
    </w:p>
    <w:p w:rsidR="00426010" w:rsidRDefault="00426010" w:rsidP="004D3AB4">
      <w:pPr>
        <w:spacing w:after="0" w:line="240" w:lineRule="auto"/>
        <w:jc w:val="both"/>
        <w:outlineLvl w:val="0"/>
        <w:rPr>
          <w:rFonts w:ascii="Times New Roman" w:hAnsi="Times New Roman"/>
          <w:sz w:val="20"/>
          <w:szCs w:val="20"/>
        </w:rPr>
      </w:pPr>
    </w:p>
    <w:p w:rsidR="00426010" w:rsidRPr="00B27191" w:rsidRDefault="00426010" w:rsidP="004D3AB4">
      <w:pPr>
        <w:spacing w:after="0" w:line="240" w:lineRule="auto"/>
        <w:jc w:val="both"/>
        <w:outlineLvl w:val="0"/>
        <w:rPr>
          <w:rFonts w:ascii="Times New Roman" w:hAnsi="Times New Roman"/>
          <w:sz w:val="20"/>
          <w:szCs w:val="20"/>
        </w:rPr>
      </w:pPr>
    </w:p>
    <w:p w:rsidR="004D3AB4" w:rsidRPr="00B27191" w:rsidRDefault="004D3AB4" w:rsidP="004D3AB4">
      <w:pPr>
        <w:spacing w:after="120" w:line="240" w:lineRule="auto"/>
        <w:jc w:val="both"/>
        <w:outlineLvl w:val="0"/>
        <w:rPr>
          <w:rFonts w:ascii="Times New Roman" w:hAnsi="Times New Roman"/>
          <w:sz w:val="20"/>
          <w:szCs w:val="20"/>
        </w:rPr>
      </w:pPr>
    </w:p>
    <w:p w:rsidR="004D3AB4" w:rsidRPr="00B27191" w:rsidRDefault="004D3AB4" w:rsidP="004D3AB4">
      <w:pPr>
        <w:spacing w:after="120" w:line="240" w:lineRule="auto"/>
        <w:jc w:val="center"/>
        <w:outlineLvl w:val="0"/>
        <w:rPr>
          <w:rFonts w:ascii="Times New Roman" w:hAnsi="Times New Roman"/>
          <w:sz w:val="20"/>
          <w:szCs w:val="20"/>
        </w:rPr>
      </w:pPr>
      <w:r w:rsidRPr="00B27191">
        <w:rPr>
          <w:rFonts w:ascii="Times New Roman" w:hAnsi="Times New Roman"/>
          <w:noProof/>
          <w:sz w:val="20"/>
          <w:szCs w:val="20"/>
          <w:lang w:val="en-MY" w:eastAsia="en-MY" w:bidi="ar-SA"/>
        </w:rPr>
        <w:lastRenderedPageBreak/>
        <w:drawing>
          <wp:inline distT="0" distB="0" distL="0" distR="0" wp14:anchorId="474614CC" wp14:editId="6698BCE9">
            <wp:extent cx="2848610" cy="404241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8610" cy="4042410"/>
                    </a:xfrm>
                    <a:prstGeom prst="rect">
                      <a:avLst/>
                    </a:prstGeom>
                    <a:noFill/>
                  </pic:spPr>
                </pic:pic>
              </a:graphicData>
            </a:graphic>
          </wp:inline>
        </w:drawing>
      </w:r>
    </w:p>
    <w:p w:rsidR="006768E9" w:rsidRPr="00F447A7" w:rsidRDefault="004D3AB4" w:rsidP="004F01F1">
      <w:pPr>
        <w:spacing w:after="0" w:line="240" w:lineRule="auto"/>
        <w:jc w:val="center"/>
        <w:outlineLvl w:val="0"/>
        <w:rPr>
          <w:rFonts w:ascii="Times New Roman" w:hAnsi="Times New Roman"/>
          <w:sz w:val="20"/>
          <w:szCs w:val="20"/>
        </w:rPr>
      </w:pPr>
      <w:r w:rsidRPr="00B27191">
        <w:rPr>
          <w:rFonts w:ascii="Times New Roman" w:hAnsi="Times New Roman"/>
          <w:sz w:val="20"/>
          <w:szCs w:val="20"/>
        </w:rPr>
        <w:t xml:space="preserve">Figure 1. </w:t>
      </w:r>
      <w:r>
        <w:rPr>
          <w:rFonts w:ascii="Times New Roman" w:hAnsi="Times New Roman"/>
          <w:sz w:val="20"/>
          <w:szCs w:val="20"/>
        </w:rPr>
        <w:t xml:space="preserve"> </w:t>
      </w:r>
      <w:r w:rsidRPr="00B27191">
        <w:rPr>
          <w:rFonts w:ascii="Times New Roman" w:hAnsi="Times New Roman"/>
          <w:sz w:val="20"/>
          <w:szCs w:val="20"/>
        </w:rPr>
        <w:t>Sampling stations in the west coast of Johore Straits, Malaysia</w:t>
      </w:r>
    </w:p>
    <w:p w:rsidR="006768E9" w:rsidRDefault="006768E9" w:rsidP="00BA1F7B">
      <w:pPr>
        <w:spacing w:after="0" w:line="240" w:lineRule="auto"/>
        <w:jc w:val="center"/>
        <w:rPr>
          <w:rFonts w:ascii="Times New Roman" w:hAnsi="Times New Roman"/>
          <w:noProof/>
          <w:sz w:val="20"/>
          <w:szCs w:val="20"/>
          <w:lang w:bidi="ar-SA"/>
        </w:rPr>
      </w:pPr>
    </w:p>
    <w:p w:rsidR="004F01F1" w:rsidRPr="00F447A7" w:rsidRDefault="004F01F1"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26010" w:rsidRPr="00426010" w:rsidRDefault="00426010" w:rsidP="00426010">
      <w:pPr>
        <w:spacing w:after="0" w:line="240" w:lineRule="auto"/>
        <w:jc w:val="both"/>
        <w:outlineLvl w:val="0"/>
        <w:rPr>
          <w:rFonts w:ascii="Times New Roman" w:hAnsi="Times New Roman"/>
          <w:b/>
          <w:sz w:val="20"/>
          <w:szCs w:val="20"/>
        </w:rPr>
      </w:pPr>
      <w:r w:rsidRPr="00426010">
        <w:rPr>
          <w:rFonts w:ascii="Times New Roman" w:hAnsi="Times New Roman"/>
          <w:b/>
          <w:sz w:val="20"/>
          <w:szCs w:val="20"/>
          <w:vertAlign w:val="superscript"/>
        </w:rPr>
        <w:t>210</w:t>
      </w:r>
      <w:r w:rsidRPr="00426010">
        <w:rPr>
          <w:rFonts w:ascii="Times New Roman" w:hAnsi="Times New Roman"/>
          <w:b/>
          <w:sz w:val="20"/>
          <w:szCs w:val="20"/>
        </w:rPr>
        <w:t xml:space="preserve">Po activity concentrations in the green mussels </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in green mussels of dry and wet samples varied between sampling locations (Table 1). A comparison of </w:t>
      </w: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between the stomach and tissue of the green mussels showed that the stomachs have a remarkably higher average activity concentration of </w:t>
      </w:r>
      <w:r w:rsidRPr="00426010">
        <w:rPr>
          <w:rFonts w:ascii="Times New Roman" w:hAnsi="Times New Roman"/>
          <w:sz w:val="20"/>
          <w:szCs w:val="20"/>
          <w:vertAlign w:val="superscript"/>
        </w:rPr>
        <w:t>210</w:t>
      </w:r>
      <w:r w:rsidRPr="00426010">
        <w:rPr>
          <w:rFonts w:ascii="Times New Roman" w:hAnsi="Times New Roman"/>
          <w:sz w:val="20"/>
          <w:szCs w:val="20"/>
        </w:rPr>
        <w:t>Po 168 ± 5.43 Bq/kg in dry weight, indicative of its nature as filter feeder organisms. The results shown in this study are also similar to a previous study done by Waska et al. [14]. Upon dissection of green mussels for radioactivity analysis, the stomach accounted for the highest activity. The statistical correlations between wet and dry weight of tissues found a positive correlation y = 4.98x + 0.03; R</w:t>
      </w:r>
      <w:r w:rsidRPr="00426010">
        <w:rPr>
          <w:rFonts w:ascii="Times New Roman" w:hAnsi="Times New Roman"/>
          <w:sz w:val="20"/>
          <w:szCs w:val="20"/>
          <w:vertAlign w:val="superscript"/>
        </w:rPr>
        <w:t>2</w:t>
      </w:r>
      <w:r w:rsidRPr="00426010">
        <w:rPr>
          <w:rFonts w:ascii="Times New Roman" w:hAnsi="Times New Roman"/>
          <w:sz w:val="20"/>
          <w:szCs w:val="20"/>
        </w:rPr>
        <w:t xml:space="preserve"> = 0.827 (Figure 2, where y and x represent wet and dry weight in gram, respectively), and in general the body weight is inversely related to body fluid content as filter feeding processes   [15, 16]. The contents of natural polonium in the body of green mussels are positively proportionate with feeding habit in the </w:t>
      </w:r>
      <w:r w:rsidRPr="00426010">
        <w:rPr>
          <w:rFonts w:ascii="Times New Roman" w:hAnsi="Times New Roman"/>
          <w:i/>
          <w:sz w:val="20"/>
          <w:szCs w:val="20"/>
        </w:rPr>
        <w:t>in-situ</w:t>
      </w:r>
      <w:r w:rsidRPr="00426010">
        <w:rPr>
          <w:rFonts w:ascii="Times New Roman" w:hAnsi="Times New Roman"/>
          <w:sz w:val="20"/>
          <w:szCs w:val="20"/>
        </w:rPr>
        <w:t xml:space="preserve"> environment [17]. The content of natural polonium in mussels’ tissue from the wild samples are higher than the cultured or local market samples because the sampling stations ST04, ST05 and ST06 are near/at the domestic discharge. However, the culture area is usually far from pollution sources and harvests for local market consumption with the sequence of contents of natural polonium in edible tissues are as follows: wild &gt; culture &gt; local market. </w:t>
      </w:r>
    </w:p>
    <w:p w:rsidR="00426010" w:rsidRPr="00426010" w:rsidRDefault="00426010" w:rsidP="00426010">
      <w:pPr>
        <w:spacing w:after="120" w:line="240" w:lineRule="auto"/>
        <w:jc w:val="both"/>
        <w:outlineLvl w:val="0"/>
        <w:rPr>
          <w:rFonts w:ascii="Times New Roman" w:hAnsi="Times New Roman"/>
          <w:sz w:val="20"/>
          <w:szCs w:val="20"/>
        </w:rPr>
      </w:pPr>
    </w:p>
    <w:p w:rsidR="00426010" w:rsidRPr="00426010" w:rsidRDefault="00426010" w:rsidP="00426010">
      <w:pPr>
        <w:spacing w:after="120" w:line="240" w:lineRule="auto"/>
        <w:jc w:val="center"/>
        <w:outlineLvl w:val="0"/>
        <w:rPr>
          <w:rFonts w:ascii="Times New Roman" w:hAnsi="Times New Roman"/>
          <w:sz w:val="20"/>
          <w:szCs w:val="20"/>
        </w:rPr>
      </w:pPr>
      <w:r w:rsidRPr="00426010">
        <w:rPr>
          <w:rFonts w:ascii="Times New Roman" w:hAnsi="Times New Roman"/>
          <w:noProof/>
          <w:sz w:val="20"/>
          <w:szCs w:val="20"/>
          <w:lang w:val="en-MY" w:eastAsia="en-MY" w:bidi="ar-SA"/>
        </w:rPr>
        <w:lastRenderedPageBreak/>
        <w:drawing>
          <wp:inline distT="0" distB="0" distL="0" distR="0" wp14:anchorId="2191EAC0" wp14:editId="75E78770">
            <wp:extent cx="2845435" cy="2634615"/>
            <wp:effectExtent l="19050" t="19050" r="1206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5435" cy="2634615"/>
                    </a:xfrm>
                    <a:prstGeom prst="rect">
                      <a:avLst/>
                    </a:prstGeom>
                    <a:noFill/>
                    <a:ln w="6350">
                      <a:solidFill>
                        <a:srgbClr val="000000"/>
                      </a:solidFill>
                      <a:miter lim="800000"/>
                      <a:headEnd/>
                      <a:tailEnd/>
                    </a:ln>
                  </pic:spPr>
                </pic:pic>
              </a:graphicData>
            </a:graphic>
          </wp:inline>
        </w:drawing>
      </w:r>
    </w:p>
    <w:p w:rsidR="00426010" w:rsidRPr="00426010" w:rsidRDefault="00426010" w:rsidP="00426010">
      <w:pPr>
        <w:spacing w:after="0" w:line="240" w:lineRule="auto"/>
        <w:jc w:val="center"/>
        <w:outlineLvl w:val="0"/>
        <w:rPr>
          <w:rFonts w:ascii="Times New Roman" w:hAnsi="Times New Roman"/>
          <w:sz w:val="20"/>
          <w:szCs w:val="20"/>
        </w:rPr>
      </w:pPr>
      <w:r w:rsidRPr="00426010">
        <w:rPr>
          <w:rFonts w:ascii="Times New Roman" w:hAnsi="Times New Roman"/>
          <w:sz w:val="20"/>
          <w:szCs w:val="20"/>
        </w:rPr>
        <w:t xml:space="preserve">Figure 2. </w:t>
      </w:r>
      <w:r>
        <w:rPr>
          <w:rFonts w:ascii="Times New Roman" w:hAnsi="Times New Roman"/>
          <w:sz w:val="20"/>
          <w:szCs w:val="20"/>
        </w:rPr>
        <w:t xml:space="preserve"> </w:t>
      </w:r>
      <w:r w:rsidRPr="00426010">
        <w:rPr>
          <w:rFonts w:ascii="Times New Roman" w:hAnsi="Times New Roman"/>
          <w:sz w:val="20"/>
          <w:szCs w:val="20"/>
        </w:rPr>
        <w:t>Correlation between wet and dry weight (g) of tissue of green mussels.</w:t>
      </w:r>
    </w:p>
    <w:p w:rsidR="00426010" w:rsidRDefault="00426010" w:rsidP="00426010">
      <w:pPr>
        <w:spacing w:after="120" w:line="240" w:lineRule="auto"/>
        <w:jc w:val="both"/>
        <w:outlineLvl w:val="0"/>
        <w:rPr>
          <w:rFonts w:ascii="Times New Roman" w:hAnsi="Times New Roman"/>
          <w:sz w:val="20"/>
          <w:szCs w:val="20"/>
        </w:rPr>
      </w:pPr>
    </w:p>
    <w:p w:rsid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rPr>
        <w:t xml:space="preserve">The distribution of natural radionuclide e.g., </w:t>
      </w:r>
      <w:r w:rsidRPr="00426010">
        <w:rPr>
          <w:rFonts w:ascii="Times New Roman" w:hAnsi="Times New Roman"/>
          <w:sz w:val="20"/>
          <w:szCs w:val="20"/>
          <w:vertAlign w:val="superscript"/>
        </w:rPr>
        <w:t>210</w:t>
      </w:r>
      <w:r w:rsidRPr="00426010">
        <w:rPr>
          <w:rFonts w:ascii="Times New Roman" w:hAnsi="Times New Roman"/>
          <w:sz w:val="20"/>
          <w:szCs w:val="20"/>
        </w:rPr>
        <w:t>Po will accumulate in the stomach and edible tissue body of green mussels. According to the International Commission on Radiological Protection (ICRP), ingested food will first accumulate into the stomach followed by the small intestine (SI) and 50% of the total activity concentration in the SI will be transferred with nutrition into the blood and will be distributed to other tissue parts [18]. The greater amount of radioactive materials remaining in the stomach with the greater chances of absorption of radionuclides occurred into the stomach. Thus, green mussel stomachs play the main role in absorption and digestion of this contaminant [19, 20]. Therefore, if the mussels’ stomachs possess more than 36% of natural polonium before absorption in other organs, then the consumption of green mussel stomachs should not be recommended (Table 1).</w:t>
      </w:r>
    </w:p>
    <w:p w:rsidR="00BE4CC0" w:rsidRDefault="00BE4CC0" w:rsidP="00502464">
      <w:pPr>
        <w:spacing w:after="120" w:line="240" w:lineRule="auto"/>
        <w:jc w:val="both"/>
        <w:outlineLvl w:val="0"/>
        <w:rPr>
          <w:rFonts w:ascii="Times New Roman" w:hAnsi="Times New Roman"/>
          <w:sz w:val="20"/>
          <w:szCs w:val="20"/>
        </w:rPr>
      </w:pPr>
    </w:p>
    <w:p w:rsidR="00502464" w:rsidRDefault="00502464" w:rsidP="00502464">
      <w:pPr>
        <w:tabs>
          <w:tab w:val="left" w:pos="11430"/>
        </w:tabs>
        <w:spacing w:after="120"/>
        <w:jc w:val="center"/>
        <w:rPr>
          <w:rFonts w:ascii="Times New Roman" w:eastAsia="Calibri" w:hAnsi="Times New Roman"/>
          <w:szCs w:val="20"/>
        </w:rPr>
      </w:pPr>
      <w:r>
        <w:rPr>
          <w:rFonts w:ascii="Times New Roman" w:eastAsia="Calibri" w:hAnsi="Times New Roman"/>
          <w:szCs w:val="20"/>
        </w:rPr>
        <w:t xml:space="preserve">Table 1.  </w:t>
      </w:r>
      <w:r>
        <w:rPr>
          <w:rFonts w:ascii="Times New Roman" w:eastAsia="Calibri" w:hAnsi="Times New Roman"/>
          <w:bCs/>
          <w:szCs w:val="20"/>
          <w:vertAlign w:val="superscript"/>
        </w:rPr>
        <w:t>210</w:t>
      </w:r>
      <w:r>
        <w:rPr>
          <w:rFonts w:ascii="Times New Roman" w:eastAsia="Calibri" w:hAnsi="Times New Roman"/>
          <w:bCs/>
          <w:szCs w:val="20"/>
        </w:rPr>
        <w:t>Po activity concentrations in the stomach and tissue of green mussel</w:t>
      </w:r>
    </w:p>
    <w:tbl>
      <w:tblPr>
        <w:tblW w:w="8992" w:type="dxa"/>
        <w:jc w:val="center"/>
        <w:tblInd w:w="19" w:type="dxa"/>
        <w:tblBorders>
          <w:top w:val="single" w:sz="4" w:space="0" w:color="auto"/>
          <w:bottom w:val="single" w:sz="4" w:space="0" w:color="auto"/>
        </w:tblBorders>
        <w:tblLayout w:type="fixed"/>
        <w:tblLook w:val="04A0" w:firstRow="1" w:lastRow="0" w:firstColumn="1" w:lastColumn="0" w:noHBand="0" w:noVBand="1"/>
      </w:tblPr>
      <w:tblGrid>
        <w:gridCol w:w="798"/>
        <w:gridCol w:w="708"/>
        <w:gridCol w:w="708"/>
        <w:gridCol w:w="707"/>
        <w:gridCol w:w="583"/>
        <w:gridCol w:w="540"/>
        <w:gridCol w:w="629"/>
        <w:gridCol w:w="629"/>
        <w:gridCol w:w="630"/>
        <w:gridCol w:w="809"/>
        <w:gridCol w:w="719"/>
        <w:gridCol w:w="812"/>
        <w:gridCol w:w="720"/>
      </w:tblGrid>
      <w:tr w:rsidR="00502464" w:rsidRPr="00502464" w:rsidTr="00502464">
        <w:trPr>
          <w:trHeight w:val="125"/>
          <w:jc w:val="center"/>
        </w:trPr>
        <w:tc>
          <w:tcPr>
            <w:tcW w:w="798" w:type="dxa"/>
            <w:vMerge w:val="restart"/>
            <w:tcBorders>
              <w:top w:val="single" w:sz="4" w:space="0" w:color="auto"/>
              <w:left w:val="nil"/>
              <w:bottom w:val="nil"/>
              <w:right w:val="nil"/>
            </w:tcBorders>
            <w:hideMark/>
          </w:tcPr>
          <w:p w:rsidR="00502464" w:rsidRPr="00502464" w:rsidRDefault="00502464" w:rsidP="00502464">
            <w:pPr>
              <w:spacing w:before="240" w:after="0" w:line="240" w:lineRule="auto"/>
              <w:rPr>
                <w:rFonts w:ascii="Times New Roman" w:eastAsia="Calibri" w:hAnsi="Times New Roman"/>
                <w:b/>
                <w:sz w:val="14"/>
                <w:szCs w:val="14"/>
              </w:rPr>
            </w:pPr>
            <w:r w:rsidRPr="00502464">
              <w:rPr>
                <w:rFonts w:ascii="Times New Roman" w:eastAsia="Calibri" w:hAnsi="Times New Roman"/>
                <w:b/>
                <w:sz w:val="14"/>
                <w:szCs w:val="14"/>
              </w:rPr>
              <w:t>Location</w:t>
            </w:r>
          </w:p>
        </w:tc>
        <w:tc>
          <w:tcPr>
            <w:tcW w:w="708" w:type="dxa"/>
            <w:vMerge w:val="restart"/>
            <w:tcBorders>
              <w:top w:val="single" w:sz="4" w:space="0" w:color="auto"/>
              <w:left w:val="nil"/>
              <w:bottom w:val="nil"/>
              <w:right w:val="nil"/>
            </w:tcBorders>
            <w:hideMark/>
          </w:tcPr>
          <w:p w:rsidR="00502464" w:rsidRPr="00502464" w:rsidRDefault="00502464" w:rsidP="00502464">
            <w:pPr>
              <w:spacing w:before="240" w:after="0" w:line="240" w:lineRule="auto"/>
              <w:rPr>
                <w:rFonts w:ascii="Times New Roman" w:eastAsia="Calibri" w:hAnsi="Times New Roman"/>
                <w:b/>
                <w:sz w:val="14"/>
                <w:szCs w:val="14"/>
              </w:rPr>
            </w:pPr>
            <w:r w:rsidRPr="00502464">
              <w:rPr>
                <w:rFonts w:ascii="Times New Roman" w:eastAsia="Calibri" w:hAnsi="Times New Roman"/>
                <w:b/>
                <w:sz w:val="14"/>
                <w:szCs w:val="14"/>
              </w:rPr>
              <w:t>Station</w:t>
            </w:r>
          </w:p>
        </w:tc>
        <w:tc>
          <w:tcPr>
            <w:tcW w:w="708" w:type="dxa"/>
            <w:vMerge w:val="restart"/>
            <w:tcBorders>
              <w:top w:val="single" w:sz="4" w:space="0" w:color="auto"/>
              <w:left w:val="nil"/>
              <w:bottom w:val="nil"/>
              <w:right w:val="nil"/>
            </w:tcBorders>
            <w:hideMark/>
          </w:tcPr>
          <w:p w:rsidR="00502464" w:rsidRPr="00502464" w:rsidRDefault="00502464" w:rsidP="00502464">
            <w:pPr>
              <w:spacing w:before="24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Sample</w:t>
            </w:r>
          </w:p>
        </w:tc>
        <w:tc>
          <w:tcPr>
            <w:tcW w:w="707" w:type="dxa"/>
            <w:vMerge w:val="restart"/>
            <w:tcBorders>
              <w:top w:val="single" w:sz="4" w:space="0" w:color="auto"/>
              <w:left w:val="nil"/>
              <w:bottom w:val="nil"/>
              <w:right w:val="nil"/>
            </w:tcBorders>
            <w:hideMark/>
          </w:tcPr>
          <w:p w:rsidR="00502464" w:rsidRPr="00502464" w:rsidRDefault="00502464" w:rsidP="00502464">
            <w:pPr>
              <w:spacing w:before="18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Length (mm)</w:t>
            </w:r>
          </w:p>
        </w:tc>
        <w:tc>
          <w:tcPr>
            <w:tcW w:w="583" w:type="dxa"/>
            <w:vMerge w:val="restart"/>
            <w:tcBorders>
              <w:top w:val="single" w:sz="4" w:space="0" w:color="auto"/>
              <w:left w:val="nil"/>
              <w:bottom w:val="nil"/>
              <w:right w:val="nil"/>
            </w:tcBorders>
            <w:hideMark/>
          </w:tcPr>
          <w:p w:rsidR="00502464" w:rsidRPr="00502464" w:rsidRDefault="00502464" w:rsidP="00502464">
            <w:pPr>
              <w:adjustRightInd w:val="0"/>
              <w:spacing w:before="18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Wide (mm)</w:t>
            </w:r>
          </w:p>
        </w:tc>
        <w:tc>
          <w:tcPr>
            <w:tcW w:w="1169" w:type="dxa"/>
            <w:gridSpan w:val="2"/>
            <w:tcBorders>
              <w:top w:val="single" w:sz="4" w:space="0" w:color="auto"/>
              <w:left w:val="nil"/>
              <w:bottom w:val="single" w:sz="4" w:space="0" w:color="auto"/>
              <w:right w:val="nil"/>
            </w:tcBorders>
            <w:hideMark/>
          </w:tcPr>
          <w:p w:rsidR="00502464" w:rsidRPr="00502464" w:rsidRDefault="00502464" w:rsidP="00502464">
            <w:pPr>
              <w:spacing w:before="12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Stomach</w:t>
            </w:r>
          </w:p>
        </w:tc>
        <w:tc>
          <w:tcPr>
            <w:tcW w:w="1259" w:type="dxa"/>
            <w:gridSpan w:val="2"/>
            <w:tcBorders>
              <w:top w:val="single" w:sz="4" w:space="0" w:color="auto"/>
              <w:left w:val="nil"/>
              <w:bottom w:val="single" w:sz="4" w:space="0" w:color="auto"/>
              <w:right w:val="nil"/>
            </w:tcBorders>
            <w:hideMark/>
          </w:tcPr>
          <w:p w:rsidR="00502464" w:rsidRPr="00502464" w:rsidRDefault="00502464" w:rsidP="00502464">
            <w:pPr>
              <w:spacing w:before="12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Tissue</w:t>
            </w:r>
          </w:p>
        </w:tc>
        <w:tc>
          <w:tcPr>
            <w:tcW w:w="1528" w:type="dxa"/>
            <w:gridSpan w:val="2"/>
            <w:tcBorders>
              <w:top w:val="single" w:sz="4" w:space="0" w:color="auto"/>
              <w:left w:val="nil"/>
              <w:bottom w:val="single" w:sz="4" w:space="0" w:color="auto"/>
              <w:right w:val="nil"/>
            </w:tcBorders>
            <w:hideMark/>
          </w:tcPr>
          <w:p w:rsidR="00502464" w:rsidRPr="00502464" w:rsidRDefault="00502464" w:rsidP="00502464">
            <w:pPr>
              <w:spacing w:before="6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 xml:space="preserve">Po-210 in </w:t>
            </w:r>
          </w:p>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Dry Sample</w:t>
            </w:r>
          </w:p>
        </w:tc>
        <w:tc>
          <w:tcPr>
            <w:tcW w:w="1532" w:type="dxa"/>
            <w:gridSpan w:val="2"/>
            <w:tcBorders>
              <w:top w:val="single" w:sz="4" w:space="0" w:color="auto"/>
              <w:left w:val="nil"/>
              <w:bottom w:val="single" w:sz="4" w:space="0" w:color="auto"/>
              <w:right w:val="nil"/>
            </w:tcBorders>
            <w:hideMark/>
          </w:tcPr>
          <w:p w:rsidR="00502464" w:rsidRPr="00502464" w:rsidRDefault="00502464" w:rsidP="00502464">
            <w:pPr>
              <w:spacing w:before="60"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 xml:space="preserve">Po-210 in </w:t>
            </w:r>
          </w:p>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Wet Sample</w:t>
            </w:r>
          </w:p>
        </w:tc>
      </w:tr>
      <w:tr w:rsidR="00502464" w:rsidRPr="00502464" w:rsidTr="00502464">
        <w:trPr>
          <w:trHeight w:val="270"/>
          <w:jc w:val="center"/>
        </w:trPr>
        <w:tc>
          <w:tcPr>
            <w:tcW w:w="798" w:type="dxa"/>
            <w:vMerge/>
            <w:tcBorders>
              <w:top w:val="nil"/>
              <w:left w:val="nil"/>
              <w:bottom w:val="single" w:sz="4" w:space="0" w:color="auto"/>
              <w:right w:val="nil"/>
            </w:tcBorders>
            <w:vAlign w:val="center"/>
            <w:hideMark/>
          </w:tcPr>
          <w:p w:rsidR="00502464" w:rsidRPr="00502464" w:rsidRDefault="00502464" w:rsidP="00502464">
            <w:pPr>
              <w:spacing w:after="0" w:line="240" w:lineRule="auto"/>
              <w:rPr>
                <w:rFonts w:ascii="Times New Roman" w:eastAsia="Calibri" w:hAnsi="Times New Roman"/>
                <w:b/>
                <w:sz w:val="14"/>
                <w:szCs w:val="14"/>
              </w:rPr>
            </w:pPr>
          </w:p>
        </w:tc>
        <w:tc>
          <w:tcPr>
            <w:tcW w:w="708" w:type="dxa"/>
            <w:vMerge/>
            <w:tcBorders>
              <w:top w:val="nil"/>
              <w:left w:val="nil"/>
              <w:bottom w:val="single" w:sz="4" w:space="0" w:color="auto"/>
              <w:right w:val="nil"/>
            </w:tcBorders>
            <w:vAlign w:val="center"/>
            <w:hideMark/>
          </w:tcPr>
          <w:p w:rsidR="00502464" w:rsidRPr="00502464" w:rsidRDefault="00502464" w:rsidP="00502464">
            <w:pPr>
              <w:spacing w:after="0" w:line="240" w:lineRule="auto"/>
              <w:rPr>
                <w:rFonts w:ascii="Times New Roman" w:eastAsia="Calibri" w:hAnsi="Times New Roman"/>
                <w:b/>
                <w:sz w:val="14"/>
                <w:szCs w:val="14"/>
              </w:rPr>
            </w:pPr>
          </w:p>
        </w:tc>
        <w:tc>
          <w:tcPr>
            <w:tcW w:w="708" w:type="dxa"/>
            <w:vMerge/>
            <w:tcBorders>
              <w:top w:val="nil"/>
              <w:left w:val="nil"/>
              <w:bottom w:val="single" w:sz="4" w:space="0" w:color="auto"/>
              <w:right w:val="nil"/>
            </w:tcBorders>
            <w:vAlign w:val="center"/>
            <w:hideMark/>
          </w:tcPr>
          <w:p w:rsidR="00502464" w:rsidRPr="00502464" w:rsidRDefault="00502464" w:rsidP="00502464">
            <w:pPr>
              <w:spacing w:after="0" w:line="240" w:lineRule="auto"/>
              <w:jc w:val="center"/>
              <w:rPr>
                <w:rFonts w:ascii="Times New Roman" w:eastAsia="Calibri" w:hAnsi="Times New Roman"/>
                <w:b/>
                <w:sz w:val="14"/>
                <w:szCs w:val="14"/>
              </w:rPr>
            </w:pPr>
          </w:p>
        </w:tc>
        <w:tc>
          <w:tcPr>
            <w:tcW w:w="707" w:type="dxa"/>
            <w:vMerge/>
            <w:tcBorders>
              <w:top w:val="nil"/>
              <w:left w:val="nil"/>
              <w:bottom w:val="single" w:sz="4" w:space="0" w:color="auto"/>
              <w:right w:val="nil"/>
            </w:tcBorders>
            <w:vAlign w:val="center"/>
            <w:hideMark/>
          </w:tcPr>
          <w:p w:rsidR="00502464" w:rsidRPr="00502464" w:rsidRDefault="00502464" w:rsidP="00502464">
            <w:pPr>
              <w:spacing w:after="0" w:line="240" w:lineRule="auto"/>
              <w:jc w:val="center"/>
              <w:rPr>
                <w:rFonts w:ascii="Times New Roman" w:eastAsia="Calibri" w:hAnsi="Times New Roman"/>
                <w:b/>
                <w:sz w:val="14"/>
                <w:szCs w:val="14"/>
              </w:rPr>
            </w:pPr>
          </w:p>
        </w:tc>
        <w:tc>
          <w:tcPr>
            <w:tcW w:w="583" w:type="dxa"/>
            <w:vMerge/>
            <w:tcBorders>
              <w:top w:val="nil"/>
              <w:left w:val="nil"/>
              <w:bottom w:val="single" w:sz="4" w:space="0" w:color="auto"/>
              <w:right w:val="nil"/>
            </w:tcBorders>
            <w:vAlign w:val="center"/>
            <w:hideMark/>
          </w:tcPr>
          <w:p w:rsidR="00502464" w:rsidRPr="00502464" w:rsidRDefault="00502464" w:rsidP="00502464">
            <w:pPr>
              <w:spacing w:after="0" w:line="240" w:lineRule="auto"/>
              <w:jc w:val="center"/>
              <w:rPr>
                <w:rFonts w:ascii="Times New Roman" w:eastAsia="Calibri" w:hAnsi="Times New Roman"/>
                <w:b/>
                <w:sz w:val="14"/>
                <w:szCs w:val="14"/>
              </w:rPr>
            </w:pPr>
          </w:p>
        </w:tc>
        <w:tc>
          <w:tcPr>
            <w:tcW w:w="540"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Wet (g)</w:t>
            </w:r>
          </w:p>
        </w:tc>
        <w:tc>
          <w:tcPr>
            <w:tcW w:w="629"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Dry (g)</w:t>
            </w:r>
          </w:p>
        </w:tc>
        <w:tc>
          <w:tcPr>
            <w:tcW w:w="629"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Wet (g)</w:t>
            </w:r>
          </w:p>
        </w:tc>
        <w:tc>
          <w:tcPr>
            <w:tcW w:w="630"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Dry (g)</w:t>
            </w:r>
          </w:p>
        </w:tc>
        <w:tc>
          <w:tcPr>
            <w:tcW w:w="809"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Stomach (Bq/kg)</w:t>
            </w:r>
          </w:p>
        </w:tc>
        <w:tc>
          <w:tcPr>
            <w:tcW w:w="719"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Tissue</w:t>
            </w:r>
          </w:p>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(Bq/kg)</w:t>
            </w:r>
          </w:p>
        </w:tc>
        <w:tc>
          <w:tcPr>
            <w:tcW w:w="812"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Stomach (Bq/kg)</w:t>
            </w:r>
          </w:p>
        </w:tc>
        <w:tc>
          <w:tcPr>
            <w:tcW w:w="720" w:type="dxa"/>
            <w:tcBorders>
              <w:top w:val="single" w:sz="4" w:space="0" w:color="auto"/>
              <w:left w:val="nil"/>
              <w:bottom w:val="single" w:sz="4" w:space="0" w:color="auto"/>
              <w:right w:val="nil"/>
            </w:tcBorders>
            <w:hideMark/>
          </w:tcPr>
          <w:p w:rsidR="00502464" w:rsidRPr="00502464" w:rsidRDefault="00502464" w:rsidP="00502464">
            <w:pPr>
              <w:spacing w:after="0" w:line="240" w:lineRule="auto"/>
              <w:jc w:val="center"/>
              <w:rPr>
                <w:rFonts w:ascii="Times New Roman" w:eastAsia="Calibri" w:hAnsi="Times New Roman"/>
                <w:b/>
                <w:sz w:val="14"/>
                <w:szCs w:val="14"/>
              </w:rPr>
            </w:pPr>
            <w:r w:rsidRPr="00502464">
              <w:rPr>
                <w:rFonts w:ascii="Times New Roman" w:eastAsia="Calibri" w:hAnsi="Times New Roman"/>
                <w:b/>
                <w:sz w:val="14"/>
                <w:szCs w:val="14"/>
              </w:rPr>
              <w:t>Tissue</w:t>
            </w:r>
          </w:p>
          <w:p w:rsidR="00502464" w:rsidRPr="00502464" w:rsidRDefault="00502464" w:rsidP="00502464">
            <w:pPr>
              <w:spacing w:after="60" w:line="240" w:lineRule="auto"/>
              <w:jc w:val="center"/>
              <w:rPr>
                <w:rFonts w:ascii="Times New Roman" w:eastAsia="Calibri" w:hAnsi="Times New Roman"/>
                <w:b/>
                <w:sz w:val="14"/>
                <w:szCs w:val="14"/>
              </w:rPr>
            </w:pPr>
            <w:r w:rsidRPr="00502464">
              <w:rPr>
                <w:rFonts w:ascii="Times New Roman" w:eastAsia="Calibri" w:hAnsi="Times New Roman"/>
                <w:b/>
                <w:sz w:val="14"/>
                <w:szCs w:val="14"/>
              </w:rPr>
              <w:t>(Bq/kg)</w:t>
            </w:r>
          </w:p>
        </w:tc>
      </w:tr>
      <w:tr w:rsidR="00502464" w:rsidRPr="00502464" w:rsidTr="00502464">
        <w:trPr>
          <w:trHeight w:val="135"/>
          <w:jc w:val="center"/>
        </w:trPr>
        <w:tc>
          <w:tcPr>
            <w:tcW w:w="798" w:type="dxa"/>
            <w:vMerge w:val="restart"/>
            <w:tcBorders>
              <w:top w:val="single" w:sz="4" w:space="0" w:color="auto"/>
              <w:left w:val="nil"/>
              <w:bottom w:val="single" w:sz="4" w:space="0" w:color="000000"/>
              <w:right w:val="nil"/>
            </w:tcBorders>
          </w:tcPr>
          <w:p w:rsidR="00502464" w:rsidRPr="00803024" w:rsidRDefault="00502464" w:rsidP="00502464">
            <w:pPr>
              <w:spacing w:after="0" w:line="240" w:lineRule="auto"/>
              <w:rPr>
                <w:rFonts w:ascii="Times New Roman" w:eastAsia="Calibri" w:hAnsi="Times New Roman"/>
                <w:sz w:val="16"/>
                <w:szCs w:val="16"/>
              </w:rPr>
            </w:pPr>
          </w:p>
          <w:p w:rsidR="00502464" w:rsidRPr="00803024" w:rsidRDefault="00502464"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502464" w:rsidRPr="00803024" w:rsidRDefault="00502464" w:rsidP="00502464">
            <w:pPr>
              <w:spacing w:after="0" w:line="240" w:lineRule="auto"/>
              <w:rPr>
                <w:rFonts w:ascii="Times New Roman" w:eastAsia="Calibri" w:hAnsi="Times New Roman"/>
                <w:sz w:val="16"/>
                <w:szCs w:val="16"/>
              </w:rPr>
            </w:pPr>
            <w:r w:rsidRPr="00803024">
              <w:rPr>
                <w:rFonts w:ascii="Times New Roman" w:eastAsia="Calibri" w:hAnsi="Times New Roman"/>
                <w:sz w:val="16"/>
                <w:szCs w:val="16"/>
              </w:rPr>
              <w:t>Local Market</w:t>
            </w:r>
          </w:p>
        </w:tc>
        <w:tc>
          <w:tcPr>
            <w:tcW w:w="708" w:type="dxa"/>
            <w:vMerge w:val="restart"/>
            <w:tcBorders>
              <w:top w:val="single" w:sz="4" w:space="0" w:color="auto"/>
              <w:left w:val="nil"/>
              <w:bottom w:val="single" w:sz="4" w:space="0" w:color="000000"/>
              <w:right w:val="nil"/>
            </w:tcBorders>
          </w:tcPr>
          <w:p w:rsidR="00502464" w:rsidRPr="00803024" w:rsidRDefault="00502464" w:rsidP="00502464">
            <w:pPr>
              <w:spacing w:after="0" w:line="240" w:lineRule="auto"/>
              <w:rPr>
                <w:rFonts w:ascii="Times New Roman" w:eastAsia="Calibri" w:hAnsi="Times New Roman"/>
                <w:sz w:val="16"/>
                <w:szCs w:val="16"/>
              </w:rPr>
            </w:pPr>
          </w:p>
          <w:p w:rsidR="00502464" w:rsidRPr="00803024" w:rsidRDefault="00502464"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7734EB" w:rsidRPr="00803024" w:rsidRDefault="007734EB" w:rsidP="00502464">
            <w:pPr>
              <w:spacing w:after="0" w:line="240" w:lineRule="auto"/>
              <w:rPr>
                <w:rFonts w:ascii="Times New Roman" w:eastAsia="Calibri" w:hAnsi="Times New Roman"/>
                <w:sz w:val="16"/>
                <w:szCs w:val="16"/>
              </w:rPr>
            </w:pPr>
          </w:p>
          <w:p w:rsidR="00502464" w:rsidRPr="00803024" w:rsidRDefault="00502464" w:rsidP="00502464">
            <w:pPr>
              <w:spacing w:after="0" w:line="240" w:lineRule="auto"/>
              <w:rPr>
                <w:rFonts w:ascii="Times New Roman" w:eastAsia="Calibri" w:hAnsi="Times New Roman"/>
                <w:sz w:val="16"/>
                <w:szCs w:val="16"/>
              </w:rPr>
            </w:pPr>
            <w:r w:rsidRPr="00803024">
              <w:rPr>
                <w:rFonts w:ascii="Times New Roman" w:eastAsia="Calibri" w:hAnsi="Times New Roman"/>
                <w:sz w:val="16"/>
                <w:szCs w:val="16"/>
              </w:rPr>
              <w:t>ST 01</w:t>
            </w:r>
          </w:p>
          <w:p w:rsidR="00502464" w:rsidRPr="00803024" w:rsidRDefault="00502464" w:rsidP="00502464">
            <w:pPr>
              <w:spacing w:after="0" w:line="240" w:lineRule="auto"/>
              <w:rPr>
                <w:rFonts w:ascii="Times New Roman" w:eastAsia="Calibri" w:hAnsi="Times New Roman"/>
                <w:sz w:val="16"/>
                <w:szCs w:val="16"/>
              </w:rPr>
            </w:pPr>
            <w:r w:rsidRPr="00803024">
              <w:rPr>
                <w:rFonts w:ascii="Times New Roman" w:eastAsia="Calibri" w:hAnsi="Times New Roman"/>
                <w:sz w:val="16"/>
                <w:szCs w:val="16"/>
              </w:rPr>
              <w:t>(n = 7)</w:t>
            </w:r>
          </w:p>
        </w:tc>
        <w:tc>
          <w:tcPr>
            <w:tcW w:w="708"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w:t>
            </w:r>
          </w:p>
        </w:tc>
        <w:tc>
          <w:tcPr>
            <w:tcW w:w="707"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96.20</w:t>
            </w:r>
          </w:p>
        </w:tc>
        <w:tc>
          <w:tcPr>
            <w:tcW w:w="583"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39.65</w:t>
            </w:r>
          </w:p>
        </w:tc>
        <w:tc>
          <w:tcPr>
            <w:tcW w:w="540"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2.41</w:t>
            </w:r>
          </w:p>
        </w:tc>
        <w:tc>
          <w:tcPr>
            <w:tcW w:w="629"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0.45</w:t>
            </w:r>
          </w:p>
        </w:tc>
        <w:tc>
          <w:tcPr>
            <w:tcW w:w="629"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8.88</w:t>
            </w:r>
          </w:p>
        </w:tc>
        <w:tc>
          <w:tcPr>
            <w:tcW w:w="630"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1.47</w:t>
            </w:r>
          </w:p>
        </w:tc>
        <w:tc>
          <w:tcPr>
            <w:tcW w:w="809"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64.51</w:t>
            </w:r>
          </w:p>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±3.47</w:t>
            </w:r>
          </w:p>
        </w:tc>
        <w:tc>
          <w:tcPr>
            <w:tcW w:w="719"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43.49 ±1.94</w:t>
            </w:r>
          </w:p>
        </w:tc>
        <w:tc>
          <w:tcPr>
            <w:tcW w:w="812" w:type="dxa"/>
            <w:tcBorders>
              <w:top w:val="single" w:sz="4" w:space="0" w:color="auto"/>
              <w:left w:val="nil"/>
              <w:bottom w:val="nil"/>
              <w:right w:val="nil"/>
            </w:tcBorders>
            <w:hideMark/>
          </w:tcPr>
          <w:p w:rsidR="00502464" w:rsidRPr="00803024" w:rsidRDefault="00502464" w:rsidP="00502464">
            <w:pPr>
              <w:adjustRightInd w:val="0"/>
              <w:spacing w:before="6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12.08 ±0.65</w:t>
            </w:r>
          </w:p>
        </w:tc>
        <w:tc>
          <w:tcPr>
            <w:tcW w:w="720" w:type="dxa"/>
            <w:tcBorders>
              <w:top w:val="single" w:sz="4" w:space="0" w:color="auto"/>
              <w:left w:val="nil"/>
              <w:bottom w:val="nil"/>
              <w:right w:val="nil"/>
            </w:tcBorders>
            <w:hideMark/>
          </w:tcPr>
          <w:p w:rsidR="00502464" w:rsidRPr="00803024" w:rsidRDefault="00502464" w:rsidP="007734EB">
            <w:pPr>
              <w:adjustRightInd w:val="0"/>
              <w:spacing w:before="60"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7.21 ±0.32</w:t>
            </w:r>
          </w:p>
        </w:tc>
      </w:tr>
      <w:tr w:rsidR="00502464" w:rsidRPr="00502464" w:rsidTr="00502464">
        <w:trPr>
          <w:trHeight w:val="135"/>
          <w:jc w:val="center"/>
        </w:trPr>
        <w:tc>
          <w:tcPr>
            <w:tcW w:w="79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w:t>
            </w:r>
          </w:p>
        </w:tc>
        <w:tc>
          <w:tcPr>
            <w:tcW w:w="707"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73.25</w:t>
            </w:r>
          </w:p>
        </w:tc>
        <w:tc>
          <w:tcPr>
            <w:tcW w:w="583"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32.20</w:t>
            </w:r>
          </w:p>
        </w:tc>
        <w:tc>
          <w:tcPr>
            <w:tcW w:w="54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0.88</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0.20</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4.11</w:t>
            </w:r>
          </w:p>
        </w:tc>
        <w:tc>
          <w:tcPr>
            <w:tcW w:w="63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0.50</w:t>
            </w:r>
          </w:p>
        </w:tc>
        <w:tc>
          <w:tcPr>
            <w:tcW w:w="80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78.64</w:t>
            </w:r>
          </w:p>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±4.89</w:t>
            </w:r>
          </w:p>
        </w:tc>
        <w:tc>
          <w:tcPr>
            <w:tcW w:w="71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50.56 ±2.68</w:t>
            </w:r>
          </w:p>
        </w:tc>
        <w:tc>
          <w:tcPr>
            <w:tcW w:w="812"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18.39 ±1.14</w:t>
            </w:r>
          </w:p>
        </w:tc>
        <w:tc>
          <w:tcPr>
            <w:tcW w:w="720" w:type="dxa"/>
            <w:tcBorders>
              <w:top w:val="nil"/>
              <w:left w:val="nil"/>
              <w:bottom w:val="nil"/>
              <w:right w:val="nil"/>
            </w:tcBorders>
            <w:hideMark/>
          </w:tcPr>
          <w:p w:rsidR="00502464" w:rsidRPr="00803024" w:rsidRDefault="00502464" w:rsidP="007734EB">
            <w:pPr>
              <w:adjustRightInd w:val="0"/>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6.22 ±0.33</w:t>
            </w:r>
          </w:p>
        </w:tc>
      </w:tr>
      <w:tr w:rsidR="00502464" w:rsidRPr="00502464" w:rsidTr="00502464">
        <w:trPr>
          <w:trHeight w:val="135"/>
          <w:jc w:val="center"/>
        </w:trPr>
        <w:tc>
          <w:tcPr>
            <w:tcW w:w="79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w:t>
            </w:r>
          </w:p>
        </w:tc>
        <w:tc>
          <w:tcPr>
            <w:tcW w:w="707"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71.20</w:t>
            </w:r>
          </w:p>
        </w:tc>
        <w:tc>
          <w:tcPr>
            <w:tcW w:w="583"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36.10</w:t>
            </w:r>
          </w:p>
        </w:tc>
        <w:tc>
          <w:tcPr>
            <w:tcW w:w="54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1.41</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0.28</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4.94</w:t>
            </w:r>
          </w:p>
        </w:tc>
        <w:tc>
          <w:tcPr>
            <w:tcW w:w="63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0.87</w:t>
            </w:r>
          </w:p>
        </w:tc>
        <w:tc>
          <w:tcPr>
            <w:tcW w:w="80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78.22 ±4.50</w:t>
            </w:r>
          </w:p>
        </w:tc>
        <w:tc>
          <w:tcPr>
            <w:tcW w:w="71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39.73 ±2.02</w:t>
            </w:r>
          </w:p>
        </w:tc>
        <w:tc>
          <w:tcPr>
            <w:tcW w:w="812"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15.56 ±0.89</w:t>
            </w:r>
          </w:p>
        </w:tc>
        <w:tc>
          <w:tcPr>
            <w:tcW w:w="720" w:type="dxa"/>
            <w:tcBorders>
              <w:top w:val="nil"/>
              <w:left w:val="nil"/>
              <w:bottom w:val="nil"/>
              <w:right w:val="nil"/>
            </w:tcBorders>
            <w:hideMark/>
          </w:tcPr>
          <w:p w:rsidR="00502464" w:rsidRPr="00803024" w:rsidRDefault="00502464" w:rsidP="007734EB">
            <w:pPr>
              <w:adjustRightInd w:val="0"/>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7.05 ±0.36</w:t>
            </w:r>
          </w:p>
        </w:tc>
      </w:tr>
      <w:tr w:rsidR="00502464" w:rsidRPr="00502464" w:rsidTr="00502464">
        <w:trPr>
          <w:trHeight w:val="135"/>
          <w:jc w:val="center"/>
        </w:trPr>
        <w:tc>
          <w:tcPr>
            <w:tcW w:w="79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w:t>
            </w:r>
          </w:p>
        </w:tc>
        <w:tc>
          <w:tcPr>
            <w:tcW w:w="707"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66.60</w:t>
            </w:r>
          </w:p>
        </w:tc>
        <w:tc>
          <w:tcPr>
            <w:tcW w:w="583"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31.60</w:t>
            </w:r>
          </w:p>
        </w:tc>
        <w:tc>
          <w:tcPr>
            <w:tcW w:w="54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0.98</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0.206</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2.528</w:t>
            </w:r>
          </w:p>
        </w:tc>
        <w:tc>
          <w:tcPr>
            <w:tcW w:w="63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0.69</w:t>
            </w:r>
          </w:p>
        </w:tc>
        <w:tc>
          <w:tcPr>
            <w:tcW w:w="80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80.23 ±5.08</w:t>
            </w:r>
          </w:p>
        </w:tc>
        <w:tc>
          <w:tcPr>
            <w:tcW w:w="71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27.81 ±1.68</w:t>
            </w:r>
          </w:p>
        </w:tc>
        <w:tc>
          <w:tcPr>
            <w:tcW w:w="812"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16.84 ±1.07</w:t>
            </w:r>
          </w:p>
        </w:tc>
        <w:tc>
          <w:tcPr>
            <w:tcW w:w="720" w:type="dxa"/>
            <w:tcBorders>
              <w:top w:val="nil"/>
              <w:left w:val="nil"/>
              <w:bottom w:val="nil"/>
              <w:right w:val="nil"/>
            </w:tcBorders>
            <w:hideMark/>
          </w:tcPr>
          <w:p w:rsidR="00502464" w:rsidRPr="00803024" w:rsidRDefault="00502464" w:rsidP="007734EB">
            <w:pPr>
              <w:adjustRightInd w:val="0"/>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7.66 ±0.46</w:t>
            </w:r>
          </w:p>
        </w:tc>
      </w:tr>
      <w:tr w:rsidR="00502464" w:rsidRPr="00502464" w:rsidTr="00502464">
        <w:trPr>
          <w:trHeight w:val="135"/>
          <w:jc w:val="center"/>
        </w:trPr>
        <w:tc>
          <w:tcPr>
            <w:tcW w:w="79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w:t>
            </w:r>
          </w:p>
        </w:tc>
        <w:tc>
          <w:tcPr>
            <w:tcW w:w="707"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80.45</w:t>
            </w:r>
          </w:p>
        </w:tc>
        <w:tc>
          <w:tcPr>
            <w:tcW w:w="583"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35.90</w:t>
            </w:r>
          </w:p>
        </w:tc>
        <w:tc>
          <w:tcPr>
            <w:tcW w:w="54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1.63</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0.27</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5.41</w:t>
            </w:r>
          </w:p>
        </w:tc>
        <w:tc>
          <w:tcPr>
            <w:tcW w:w="63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0.78</w:t>
            </w:r>
          </w:p>
        </w:tc>
        <w:tc>
          <w:tcPr>
            <w:tcW w:w="80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69.72</w:t>
            </w:r>
          </w:p>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±3.98</w:t>
            </w:r>
          </w:p>
        </w:tc>
        <w:tc>
          <w:tcPr>
            <w:tcW w:w="71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42.86 ±2.19</w:t>
            </w:r>
          </w:p>
        </w:tc>
        <w:tc>
          <w:tcPr>
            <w:tcW w:w="812"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11.71 ±0.67</w:t>
            </w:r>
          </w:p>
        </w:tc>
        <w:tc>
          <w:tcPr>
            <w:tcW w:w="720" w:type="dxa"/>
            <w:tcBorders>
              <w:top w:val="nil"/>
              <w:left w:val="nil"/>
              <w:bottom w:val="nil"/>
              <w:right w:val="nil"/>
            </w:tcBorders>
            <w:hideMark/>
          </w:tcPr>
          <w:p w:rsidR="00502464" w:rsidRPr="00803024" w:rsidRDefault="00502464" w:rsidP="007734EB">
            <w:pPr>
              <w:adjustRightInd w:val="0"/>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6.21 ±0.32</w:t>
            </w:r>
          </w:p>
        </w:tc>
      </w:tr>
      <w:tr w:rsidR="00502464" w:rsidRPr="00502464" w:rsidTr="00502464">
        <w:trPr>
          <w:trHeight w:val="135"/>
          <w:jc w:val="center"/>
        </w:trPr>
        <w:tc>
          <w:tcPr>
            <w:tcW w:w="79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w:t>
            </w:r>
          </w:p>
        </w:tc>
        <w:tc>
          <w:tcPr>
            <w:tcW w:w="707"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69.35</w:t>
            </w:r>
          </w:p>
        </w:tc>
        <w:tc>
          <w:tcPr>
            <w:tcW w:w="583"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34.10</w:t>
            </w:r>
          </w:p>
        </w:tc>
        <w:tc>
          <w:tcPr>
            <w:tcW w:w="54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1.40</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0.27</w:t>
            </w:r>
          </w:p>
        </w:tc>
        <w:tc>
          <w:tcPr>
            <w:tcW w:w="62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3.18</w:t>
            </w:r>
          </w:p>
        </w:tc>
        <w:tc>
          <w:tcPr>
            <w:tcW w:w="630"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0.51</w:t>
            </w:r>
          </w:p>
        </w:tc>
        <w:tc>
          <w:tcPr>
            <w:tcW w:w="80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62.26 ±3.72</w:t>
            </w:r>
          </w:p>
        </w:tc>
        <w:tc>
          <w:tcPr>
            <w:tcW w:w="719"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42.63 ±2.48</w:t>
            </w:r>
          </w:p>
        </w:tc>
        <w:tc>
          <w:tcPr>
            <w:tcW w:w="812" w:type="dxa"/>
            <w:tcBorders>
              <w:top w:val="nil"/>
              <w:left w:val="nil"/>
              <w:bottom w:val="nil"/>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12.02 ±0.72</w:t>
            </w:r>
          </w:p>
        </w:tc>
        <w:tc>
          <w:tcPr>
            <w:tcW w:w="720" w:type="dxa"/>
            <w:tcBorders>
              <w:top w:val="nil"/>
              <w:left w:val="nil"/>
              <w:bottom w:val="nil"/>
              <w:right w:val="nil"/>
            </w:tcBorders>
            <w:hideMark/>
          </w:tcPr>
          <w:p w:rsidR="00502464" w:rsidRPr="00803024" w:rsidRDefault="00502464" w:rsidP="007734EB">
            <w:pPr>
              <w:adjustRightInd w:val="0"/>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6.90 ±0.40</w:t>
            </w:r>
          </w:p>
        </w:tc>
      </w:tr>
      <w:tr w:rsidR="00502464" w:rsidRPr="00502464" w:rsidTr="00502464">
        <w:trPr>
          <w:trHeight w:val="135"/>
          <w:jc w:val="center"/>
        </w:trPr>
        <w:tc>
          <w:tcPr>
            <w:tcW w:w="79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502464" w:rsidRPr="00803024" w:rsidRDefault="00502464" w:rsidP="00502464">
            <w:pPr>
              <w:spacing w:after="0" w:line="240" w:lineRule="auto"/>
              <w:rPr>
                <w:rFonts w:ascii="Times New Roman" w:eastAsia="Calibri" w:hAnsi="Times New Roman"/>
                <w:sz w:val="16"/>
                <w:szCs w:val="16"/>
              </w:rPr>
            </w:pPr>
          </w:p>
        </w:tc>
        <w:tc>
          <w:tcPr>
            <w:tcW w:w="708"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w:t>
            </w:r>
          </w:p>
        </w:tc>
        <w:tc>
          <w:tcPr>
            <w:tcW w:w="707"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95.65</w:t>
            </w:r>
          </w:p>
        </w:tc>
        <w:tc>
          <w:tcPr>
            <w:tcW w:w="583"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38.15</w:t>
            </w:r>
          </w:p>
        </w:tc>
        <w:tc>
          <w:tcPr>
            <w:tcW w:w="540"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2.14</w:t>
            </w:r>
          </w:p>
        </w:tc>
        <w:tc>
          <w:tcPr>
            <w:tcW w:w="629"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0.39</w:t>
            </w:r>
          </w:p>
        </w:tc>
        <w:tc>
          <w:tcPr>
            <w:tcW w:w="629"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5.99</w:t>
            </w:r>
          </w:p>
        </w:tc>
        <w:tc>
          <w:tcPr>
            <w:tcW w:w="630"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1.10</w:t>
            </w:r>
          </w:p>
        </w:tc>
        <w:tc>
          <w:tcPr>
            <w:tcW w:w="809"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70.00 ±3.70</w:t>
            </w:r>
          </w:p>
        </w:tc>
        <w:tc>
          <w:tcPr>
            <w:tcW w:w="719"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46.72 ±2.00</w:t>
            </w:r>
          </w:p>
        </w:tc>
        <w:tc>
          <w:tcPr>
            <w:tcW w:w="812" w:type="dxa"/>
            <w:tcBorders>
              <w:top w:val="nil"/>
              <w:left w:val="nil"/>
              <w:bottom w:val="single" w:sz="4" w:space="0" w:color="000000"/>
              <w:right w:val="nil"/>
            </w:tcBorders>
            <w:hideMark/>
          </w:tcPr>
          <w:p w:rsidR="00502464" w:rsidRPr="00803024" w:rsidRDefault="00502464" w:rsidP="00502464">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12.81 ±0.68</w:t>
            </w:r>
          </w:p>
        </w:tc>
        <w:tc>
          <w:tcPr>
            <w:tcW w:w="720" w:type="dxa"/>
            <w:tcBorders>
              <w:top w:val="nil"/>
              <w:left w:val="nil"/>
              <w:bottom w:val="single" w:sz="4" w:space="0" w:color="000000"/>
              <w:right w:val="nil"/>
            </w:tcBorders>
            <w:hideMark/>
          </w:tcPr>
          <w:p w:rsidR="00502464" w:rsidRPr="00803024" w:rsidRDefault="00502464" w:rsidP="007734EB">
            <w:pPr>
              <w:adjustRightInd w:val="0"/>
              <w:spacing w:after="60" w:line="240" w:lineRule="auto"/>
              <w:jc w:val="center"/>
              <w:rPr>
                <w:rFonts w:ascii="Times New Roman" w:eastAsia="Calibri" w:hAnsi="Times New Roman"/>
                <w:sz w:val="16"/>
                <w:szCs w:val="16"/>
              </w:rPr>
            </w:pPr>
            <w:r w:rsidRPr="00803024">
              <w:rPr>
                <w:rFonts w:ascii="Times New Roman" w:eastAsia="Calibri" w:hAnsi="Times New Roman"/>
                <w:sz w:val="16"/>
                <w:szCs w:val="16"/>
              </w:rPr>
              <w:t>8.64 ±0.37</w:t>
            </w:r>
          </w:p>
        </w:tc>
      </w:tr>
      <w:tr w:rsidR="00502464" w:rsidRPr="00502464" w:rsidTr="00502464">
        <w:trPr>
          <w:trHeight w:val="135"/>
          <w:jc w:val="center"/>
        </w:trPr>
        <w:tc>
          <w:tcPr>
            <w:tcW w:w="798" w:type="dxa"/>
            <w:tcBorders>
              <w:top w:val="single" w:sz="4" w:space="0" w:color="000000"/>
              <w:left w:val="nil"/>
              <w:bottom w:val="nil"/>
              <w:right w:val="nil"/>
            </w:tcBorders>
          </w:tcPr>
          <w:p w:rsidR="00502464" w:rsidRPr="00502464" w:rsidRDefault="00502464" w:rsidP="00502464">
            <w:pPr>
              <w:spacing w:after="0" w:line="240" w:lineRule="auto"/>
              <w:rPr>
                <w:rFonts w:ascii="Times New Roman" w:eastAsia="Calibri" w:hAnsi="Times New Roman"/>
                <w:sz w:val="14"/>
                <w:szCs w:val="14"/>
              </w:rPr>
            </w:pPr>
          </w:p>
        </w:tc>
        <w:tc>
          <w:tcPr>
            <w:tcW w:w="708" w:type="dxa"/>
            <w:tcBorders>
              <w:top w:val="single" w:sz="4" w:space="0" w:color="000000"/>
              <w:left w:val="nil"/>
              <w:bottom w:val="nil"/>
              <w:right w:val="nil"/>
            </w:tcBorders>
          </w:tcPr>
          <w:p w:rsidR="00502464" w:rsidRPr="00502464" w:rsidRDefault="00502464" w:rsidP="00502464">
            <w:pPr>
              <w:spacing w:after="0" w:line="240" w:lineRule="auto"/>
              <w:rPr>
                <w:rFonts w:ascii="Times New Roman" w:eastAsia="Calibri" w:hAnsi="Times New Roman"/>
                <w:sz w:val="14"/>
                <w:szCs w:val="14"/>
              </w:rPr>
            </w:pPr>
          </w:p>
        </w:tc>
        <w:tc>
          <w:tcPr>
            <w:tcW w:w="708"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707"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583"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540"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629"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629"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630"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809"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719"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812"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c>
          <w:tcPr>
            <w:tcW w:w="720" w:type="dxa"/>
            <w:tcBorders>
              <w:top w:val="single" w:sz="4" w:space="0" w:color="000000"/>
              <w:left w:val="nil"/>
              <w:bottom w:val="nil"/>
              <w:right w:val="nil"/>
            </w:tcBorders>
          </w:tcPr>
          <w:p w:rsidR="00502464" w:rsidRPr="00502464" w:rsidRDefault="00502464" w:rsidP="00502464">
            <w:pPr>
              <w:adjustRightInd w:val="0"/>
              <w:spacing w:after="0" w:line="240" w:lineRule="auto"/>
              <w:jc w:val="center"/>
              <w:rPr>
                <w:rFonts w:ascii="Times New Roman" w:eastAsia="Calibri" w:hAnsi="Times New Roman"/>
                <w:sz w:val="14"/>
                <w:szCs w:val="14"/>
              </w:rPr>
            </w:pPr>
          </w:p>
        </w:tc>
      </w:tr>
    </w:tbl>
    <w:p w:rsidR="007734EB" w:rsidRDefault="007734EB" w:rsidP="00803024">
      <w:pPr>
        <w:tabs>
          <w:tab w:val="left" w:pos="11430"/>
        </w:tabs>
        <w:spacing w:after="120"/>
        <w:rPr>
          <w:rFonts w:ascii="Times New Roman" w:eastAsia="Calibri" w:hAnsi="Times New Roman"/>
          <w:szCs w:val="20"/>
        </w:rPr>
      </w:pPr>
    </w:p>
    <w:p w:rsidR="007734EB" w:rsidRDefault="007734EB" w:rsidP="007734EB">
      <w:pPr>
        <w:tabs>
          <w:tab w:val="left" w:pos="11430"/>
        </w:tabs>
        <w:spacing w:after="120"/>
        <w:jc w:val="center"/>
        <w:rPr>
          <w:rFonts w:ascii="Times New Roman" w:eastAsia="Calibri" w:hAnsi="Times New Roman"/>
          <w:szCs w:val="20"/>
        </w:rPr>
      </w:pPr>
      <w:r>
        <w:rPr>
          <w:rFonts w:ascii="Times New Roman" w:eastAsia="Calibri" w:hAnsi="Times New Roman"/>
          <w:szCs w:val="20"/>
        </w:rPr>
        <w:lastRenderedPageBreak/>
        <w:t xml:space="preserve">Table 1 (cont’d).  </w:t>
      </w:r>
      <w:r>
        <w:rPr>
          <w:rFonts w:ascii="Times New Roman" w:eastAsia="Calibri" w:hAnsi="Times New Roman"/>
          <w:bCs/>
          <w:szCs w:val="20"/>
          <w:vertAlign w:val="superscript"/>
        </w:rPr>
        <w:t>210</w:t>
      </w:r>
      <w:r>
        <w:rPr>
          <w:rFonts w:ascii="Times New Roman" w:eastAsia="Calibri" w:hAnsi="Times New Roman"/>
          <w:bCs/>
          <w:szCs w:val="20"/>
        </w:rPr>
        <w:t>Po activity concentrations in the stomach and tissue of green mussel</w:t>
      </w:r>
    </w:p>
    <w:tbl>
      <w:tblPr>
        <w:tblW w:w="8992" w:type="dxa"/>
        <w:jc w:val="center"/>
        <w:tblInd w:w="19" w:type="dxa"/>
        <w:tblBorders>
          <w:top w:val="single" w:sz="4" w:space="0" w:color="auto"/>
          <w:bottom w:val="single" w:sz="4" w:space="0" w:color="auto"/>
        </w:tblBorders>
        <w:tblLayout w:type="fixed"/>
        <w:tblLook w:val="04A0" w:firstRow="1" w:lastRow="0" w:firstColumn="1" w:lastColumn="0" w:noHBand="0" w:noVBand="1"/>
      </w:tblPr>
      <w:tblGrid>
        <w:gridCol w:w="798"/>
        <w:gridCol w:w="708"/>
        <w:gridCol w:w="708"/>
        <w:gridCol w:w="707"/>
        <w:gridCol w:w="583"/>
        <w:gridCol w:w="540"/>
        <w:gridCol w:w="629"/>
        <w:gridCol w:w="629"/>
        <w:gridCol w:w="630"/>
        <w:gridCol w:w="809"/>
        <w:gridCol w:w="719"/>
        <w:gridCol w:w="812"/>
        <w:gridCol w:w="720"/>
      </w:tblGrid>
      <w:tr w:rsidR="007734EB" w:rsidRPr="00502464" w:rsidTr="00FC7D59">
        <w:trPr>
          <w:trHeight w:val="125"/>
          <w:jc w:val="center"/>
        </w:trPr>
        <w:tc>
          <w:tcPr>
            <w:tcW w:w="798" w:type="dxa"/>
            <w:vMerge w:val="restart"/>
            <w:tcBorders>
              <w:top w:val="single" w:sz="4" w:space="0" w:color="auto"/>
              <w:left w:val="nil"/>
              <w:bottom w:val="nil"/>
              <w:right w:val="nil"/>
            </w:tcBorders>
            <w:hideMark/>
          </w:tcPr>
          <w:p w:rsidR="007734EB" w:rsidRPr="00803024" w:rsidRDefault="007734EB" w:rsidP="00FC7D59">
            <w:pPr>
              <w:spacing w:before="240" w:after="0" w:line="240" w:lineRule="auto"/>
              <w:rPr>
                <w:rFonts w:ascii="Times New Roman" w:eastAsia="Calibri" w:hAnsi="Times New Roman"/>
                <w:b/>
                <w:sz w:val="14"/>
                <w:szCs w:val="14"/>
              </w:rPr>
            </w:pPr>
            <w:r w:rsidRPr="00803024">
              <w:rPr>
                <w:rFonts w:ascii="Times New Roman" w:eastAsia="Calibri" w:hAnsi="Times New Roman"/>
                <w:b/>
                <w:sz w:val="14"/>
                <w:szCs w:val="14"/>
              </w:rPr>
              <w:t>Location</w:t>
            </w:r>
          </w:p>
        </w:tc>
        <w:tc>
          <w:tcPr>
            <w:tcW w:w="708" w:type="dxa"/>
            <w:vMerge w:val="restart"/>
            <w:tcBorders>
              <w:top w:val="single" w:sz="4" w:space="0" w:color="auto"/>
              <w:left w:val="nil"/>
              <w:bottom w:val="nil"/>
              <w:right w:val="nil"/>
            </w:tcBorders>
            <w:hideMark/>
          </w:tcPr>
          <w:p w:rsidR="007734EB" w:rsidRPr="00803024" w:rsidRDefault="007734EB" w:rsidP="00FC7D59">
            <w:pPr>
              <w:spacing w:before="240" w:after="0" w:line="240" w:lineRule="auto"/>
              <w:rPr>
                <w:rFonts w:ascii="Times New Roman" w:eastAsia="Calibri" w:hAnsi="Times New Roman"/>
                <w:b/>
                <w:sz w:val="14"/>
                <w:szCs w:val="14"/>
              </w:rPr>
            </w:pPr>
            <w:r w:rsidRPr="00803024">
              <w:rPr>
                <w:rFonts w:ascii="Times New Roman" w:eastAsia="Calibri" w:hAnsi="Times New Roman"/>
                <w:b/>
                <w:sz w:val="14"/>
                <w:szCs w:val="14"/>
              </w:rPr>
              <w:t>Station</w:t>
            </w:r>
          </w:p>
        </w:tc>
        <w:tc>
          <w:tcPr>
            <w:tcW w:w="708" w:type="dxa"/>
            <w:vMerge w:val="restart"/>
            <w:tcBorders>
              <w:top w:val="single" w:sz="4" w:space="0" w:color="auto"/>
              <w:left w:val="nil"/>
              <w:bottom w:val="nil"/>
              <w:right w:val="nil"/>
            </w:tcBorders>
            <w:hideMark/>
          </w:tcPr>
          <w:p w:rsidR="007734EB" w:rsidRPr="00803024" w:rsidRDefault="007734EB" w:rsidP="00FC7D59">
            <w:pPr>
              <w:spacing w:before="24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Sample</w:t>
            </w:r>
          </w:p>
        </w:tc>
        <w:tc>
          <w:tcPr>
            <w:tcW w:w="707" w:type="dxa"/>
            <w:vMerge w:val="restart"/>
            <w:tcBorders>
              <w:top w:val="single" w:sz="4" w:space="0" w:color="auto"/>
              <w:left w:val="nil"/>
              <w:bottom w:val="nil"/>
              <w:right w:val="nil"/>
            </w:tcBorders>
            <w:hideMark/>
          </w:tcPr>
          <w:p w:rsidR="007734EB" w:rsidRPr="00803024" w:rsidRDefault="007734EB" w:rsidP="00FC7D59">
            <w:pPr>
              <w:spacing w:before="18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Length (mm)</w:t>
            </w:r>
          </w:p>
        </w:tc>
        <w:tc>
          <w:tcPr>
            <w:tcW w:w="583" w:type="dxa"/>
            <w:vMerge w:val="restart"/>
            <w:tcBorders>
              <w:top w:val="single" w:sz="4" w:space="0" w:color="auto"/>
              <w:left w:val="nil"/>
              <w:bottom w:val="nil"/>
              <w:right w:val="nil"/>
            </w:tcBorders>
            <w:hideMark/>
          </w:tcPr>
          <w:p w:rsidR="007734EB" w:rsidRPr="00803024" w:rsidRDefault="007734EB" w:rsidP="00FC7D59">
            <w:pPr>
              <w:adjustRightInd w:val="0"/>
              <w:spacing w:before="18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Wide (mm)</w:t>
            </w:r>
          </w:p>
        </w:tc>
        <w:tc>
          <w:tcPr>
            <w:tcW w:w="1169" w:type="dxa"/>
            <w:gridSpan w:val="2"/>
            <w:tcBorders>
              <w:top w:val="single" w:sz="4" w:space="0" w:color="auto"/>
              <w:left w:val="nil"/>
              <w:bottom w:val="single" w:sz="4" w:space="0" w:color="auto"/>
              <w:right w:val="nil"/>
            </w:tcBorders>
            <w:hideMark/>
          </w:tcPr>
          <w:p w:rsidR="007734EB" w:rsidRPr="00803024" w:rsidRDefault="007734EB" w:rsidP="00FC7D59">
            <w:pPr>
              <w:spacing w:before="12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Stomach</w:t>
            </w:r>
          </w:p>
        </w:tc>
        <w:tc>
          <w:tcPr>
            <w:tcW w:w="1259" w:type="dxa"/>
            <w:gridSpan w:val="2"/>
            <w:tcBorders>
              <w:top w:val="single" w:sz="4" w:space="0" w:color="auto"/>
              <w:left w:val="nil"/>
              <w:bottom w:val="single" w:sz="4" w:space="0" w:color="auto"/>
              <w:right w:val="nil"/>
            </w:tcBorders>
            <w:hideMark/>
          </w:tcPr>
          <w:p w:rsidR="007734EB" w:rsidRPr="00803024" w:rsidRDefault="007734EB" w:rsidP="00FC7D59">
            <w:pPr>
              <w:spacing w:before="12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Tissue</w:t>
            </w:r>
          </w:p>
        </w:tc>
        <w:tc>
          <w:tcPr>
            <w:tcW w:w="1528" w:type="dxa"/>
            <w:gridSpan w:val="2"/>
            <w:tcBorders>
              <w:top w:val="single" w:sz="4" w:space="0" w:color="auto"/>
              <w:left w:val="nil"/>
              <w:bottom w:val="single" w:sz="4" w:space="0" w:color="auto"/>
              <w:right w:val="nil"/>
            </w:tcBorders>
            <w:hideMark/>
          </w:tcPr>
          <w:p w:rsidR="007734EB" w:rsidRPr="00803024" w:rsidRDefault="007734EB" w:rsidP="00FC7D59">
            <w:pPr>
              <w:spacing w:before="6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 xml:space="preserve">Po-210 in </w:t>
            </w:r>
          </w:p>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Dry Sample</w:t>
            </w:r>
          </w:p>
        </w:tc>
        <w:tc>
          <w:tcPr>
            <w:tcW w:w="1532" w:type="dxa"/>
            <w:gridSpan w:val="2"/>
            <w:tcBorders>
              <w:top w:val="single" w:sz="4" w:space="0" w:color="auto"/>
              <w:left w:val="nil"/>
              <w:bottom w:val="single" w:sz="4" w:space="0" w:color="auto"/>
              <w:right w:val="nil"/>
            </w:tcBorders>
            <w:hideMark/>
          </w:tcPr>
          <w:p w:rsidR="007734EB" w:rsidRPr="00803024" w:rsidRDefault="007734EB" w:rsidP="00FC7D59">
            <w:pPr>
              <w:spacing w:before="60"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 xml:space="preserve">Po-210 in </w:t>
            </w:r>
          </w:p>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Wet Sample</w:t>
            </w:r>
          </w:p>
        </w:tc>
      </w:tr>
      <w:tr w:rsidR="007734EB" w:rsidRPr="00502464" w:rsidTr="00FC7D59">
        <w:trPr>
          <w:trHeight w:val="270"/>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b/>
                <w:sz w:val="14"/>
                <w:szCs w:val="14"/>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b/>
                <w:sz w:val="14"/>
                <w:szCs w:val="14"/>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jc w:val="center"/>
              <w:rPr>
                <w:rFonts w:ascii="Times New Roman" w:eastAsia="Calibri" w:hAnsi="Times New Roman"/>
                <w:b/>
                <w:sz w:val="14"/>
                <w:szCs w:val="14"/>
              </w:rPr>
            </w:pPr>
          </w:p>
        </w:tc>
        <w:tc>
          <w:tcPr>
            <w:tcW w:w="707" w:type="dxa"/>
            <w:vMerge/>
            <w:tcBorders>
              <w:top w:val="nil"/>
              <w:left w:val="nil"/>
              <w:bottom w:val="single" w:sz="4" w:space="0" w:color="auto"/>
              <w:right w:val="nil"/>
            </w:tcBorders>
            <w:vAlign w:val="center"/>
            <w:hideMark/>
          </w:tcPr>
          <w:p w:rsidR="007734EB" w:rsidRPr="00803024" w:rsidRDefault="007734EB" w:rsidP="00FC7D59">
            <w:pPr>
              <w:spacing w:after="0" w:line="240" w:lineRule="auto"/>
              <w:jc w:val="center"/>
              <w:rPr>
                <w:rFonts w:ascii="Times New Roman" w:eastAsia="Calibri" w:hAnsi="Times New Roman"/>
                <w:b/>
                <w:sz w:val="14"/>
                <w:szCs w:val="14"/>
              </w:rPr>
            </w:pPr>
          </w:p>
        </w:tc>
        <w:tc>
          <w:tcPr>
            <w:tcW w:w="583" w:type="dxa"/>
            <w:vMerge/>
            <w:tcBorders>
              <w:top w:val="nil"/>
              <w:left w:val="nil"/>
              <w:bottom w:val="single" w:sz="4" w:space="0" w:color="auto"/>
              <w:right w:val="nil"/>
            </w:tcBorders>
            <w:vAlign w:val="center"/>
            <w:hideMark/>
          </w:tcPr>
          <w:p w:rsidR="007734EB" w:rsidRPr="00803024" w:rsidRDefault="007734EB" w:rsidP="00FC7D59">
            <w:pPr>
              <w:spacing w:after="0" w:line="240" w:lineRule="auto"/>
              <w:jc w:val="center"/>
              <w:rPr>
                <w:rFonts w:ascii="Times New Roman" w:eastAsia="Calibri" w:hAnsi="Times New Roman"/>
                <w:b/>
                <w:sz w:val="14"/>
                <w:szCs w:val="14"/>
              </w:rPr>
            </w:pPr>
          </w:p>
        </w:tc>
        <w:tc>
          <w:tcPr>
            <w:tcW w:w="540"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Wet (g)</w:t>
            </w:r>
          </w:p>
        </w:tc>
        <w:tc>
          <w:tcPr>
            <w:tcW w:w="629"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Dry (g)</w:t>
            </w:r>
          </w:p>
        </w:tc>
        <w:tc>
          <w:tcPr>
            <w:tcW w:w="629"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Wet (g)</w:t>
            </w:r>
          </w:p>
        </w:tc>
        <w:tc>
          <w:tcPr>
            <w:tcW w:w="630"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Dry (g)</w:t>
            </w:r>
          </w:p>
        </w:tc>
        <w:tc>
          <w:tcPr>
            <w:tcW w:w="809"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Stomach (Bq/kg)</w:t>
            </w:r>
          </w:p>
        </w:tc>
        <w:tc>
          <w:tcPr>
            <w:tcW w:w="719"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Tissue</w:t>
            </w:r>
          </w:p>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(Bq/kg)</w:t>
            </w:r>
          </w:p>
        </w:tc>
        <w:tc>
          <w:tcPr>
            <w:tcW w:w="812"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Stomach (Bq/kg)</w:t>
            </w:r>
          </w:p>
        </w:tc>
        <w:tc>
          <w:tcPr>
            <w:tcW w:w="720" w:type="dxa"/>
            <w:tcBorders>
              <w:top w:val="single" w:sz="4" w:space="0" w:color="auto"/>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b/>
                <w:sz w:val="14"/>
                <w:szCs w:val="14"/>
              </w:rPr>
            </w:pPr>
            <w:r w:rsidRPr="00803024">
              <w:rPr>
                <w:rFonts w:ascii="Times New Roman" w:eastAsia="Calibri" w:hAnsi="Times New Roman"/>
                <w:b/>
                <w:sz w:val="14"/>
                <w:szCs w:val="14"/>
              </w:rPr>
              <w:t>Tissue</w:t>
            </w:r>
          </w:p>
          <w:p w:rsidR="007734EB" w:rsidRPr="00803024" w:rsidRDefault="007734EB" w:rsidP="00FC7D59">
            <w:pPr>
              <w:spacing w:after="60" w:line="240" w:lineRule="auto"/>
              <w:jc w:val="center"/>
              <w:rPr>
                <w:rFonts w:ascii="Times New Roman" w:eastAsia="Calibri" w:hAnsi="Times New Roman"/>
                <w:b/>
                <w:sz w:val="14"/>
                <w:szCs w:val="14"/>
              </w:rPr>
            </w:pPr>
            <w:r w:rsidRPr="00803024">
              <w:rPr>
                <w:rFonts w:ascii="Times New Roman" w:eastAsia="Calibri" w:hAnsi="Times New Roman"/>
                <w:b/>
                <w:sz w:val="14"/>
                <w:szCs w:val="14"/>
              </w:rPr>
              <w:t>(Bq/kg)</w:t>
            </w:r>
          </w:p>
        </w:tc>
      </w:tr>
      <w:tr w:rsidR="007734EB" w:rsidRPr="00502464" w:rsidTr="000D3A91">
        <w:trPr>
          <w:trHeight w:val="135"/>
          <w:jc w:val="center"/>
        </w:trPr>
        <w:tc>
          <w:tcPr>
            <w:tcW w:w="798" w:type="dxa"/>
            <w:tcBorders>
              <w:top w:val="single" w:sz="4" w:space="0" w:color="000000"/>
              <w:left w:val="nil"/>
              <w:bottom w:val="nil"/>
              <w:right w:val="nil"/>
            </w:tcBorders>
          </w:tcPr>
          <w:p w:rsidR="007734EB" w:rsidRPr="00502464" w:rsidRDefault="007734EB" w:rsidP="00FC7D59">
            <w:pPr>
              <w:spacing w:after="0" w:line="240" w:lineRule="auto"/>
              <w:rPr>
                <w:rFonts w:ascii="Times New Roman" w:eastAsia="Calibri" w:hAnsi="Times New Roman"/>
                <w:sz w:val="14"/>
                <w:szCs w:val="14"/>
              </w:rPr>
            </w:pPr>
          </w:p>
        </w:tc>
        <w:tc>
          <w:tcPr>
            <w:tcW w:w="708" w:type="dxa"/>
            <w:tcBorders>
              <w:top w:val="single" w:sz="4" w:space="0" w:color="000000"/>
              <w:left w:val="nil"/>
              <w:bottom w:val="nil"/>
              <w:right w:val="nil"/>
            </w:tcBorders>
          </w:tcPr>
          <w:p w:rsidR="007734EB" w:rsidRPr="00803024" w:rsidRDefault="007734EB" w:rsidP="00FC7D59">
            <w:pPr>
              <w:spacing w:after="0" w:line="240" w:lineRule="auto"/>
              <w:rPr>
                <w:rFonts w:ascii="Times New Roman" w:eastAsia="Calibri" w:hAnsi="Times New Roman"/>
                <w:sz w:val="14"/>
                <w:szCs w:val="14"/>
              </w:rPr>
            </w:pPr>
          </w:p>
        </w:tc>
        <w:tc>
          <w:tcPr>
            <w:tcW w:w="708"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707"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583"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540"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629"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629"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630"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809"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719"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812"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c>
          <w:tcPr>
            <w:tcW w:w="720" w:type="dxa"/>
            <w:tcBorders>
              <w:top w:val="single" w:sz="4" w:space="0" w:color="000000"/>
              <w:left w:val="nil"/>
              <w:bottom w:val="nil"/>
              <w:right w:val="nil"/>
            </w:tcBorders>
          </w:tcPr>
          <w:p w:rsidR="007734EB" w:rsidRPr="00502464" w:rsidRDefault="007734EB" w:rsidP="00FC7D59">
            <w:pPr>
              <w:adjustRightInd w:val="0"/>
              <w:spacing w:after="0" w:line="240" w:lineRule="auto"/>
              <w:jc w:val="center"/>
              <w:rPr>
                <w:rFonts w:ascii="Times New Roman" w:eastAsia="Calibri" w:hAnsi="Times New Roman"/>
                <w:sz w:val="14"/>
                <w:szCs w:val="14"/>
              </w:rPr>
            </w:pPr>
          </w:p>
        </w:tc>
      </w:tr>
      <w:tr w:rsidR="007734EB" w:rsidRPr="00502464" w:rsidTr="000D3A91">
        <w:trPr>
          <w:trHeight w:val="135"/>
          <w:jc w:val="center"/>
        </w:trPr>
        <w:tc>
          <w:tcPr>
            <w:tcW w:w="798" w:type="dxa"/>
            <w:vMerge w:val="restart"/>
            <w:tcBorders>
              <w:top w:val="nil"/>
              <w:left w:val="nil"/>
              <w:bottom w:val="single" w:sz="4" w:space="0" w:color="auto"/>
              <w:right w:val="nil"/>
            </w:tcBorders>
          </w:tcPr>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0D3A91" w:rsidRPr="00803024" w:rsidRDefault="000D3A91"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r w:rsidRPr="00803024">
              <w:rPr>
                <w:rFonts w:ascii="Times New Roman" w:eastAsia="Calibri" w:hAnsi="Times New Roman"/>
                <w:sz w:val="16"/>
                <w:szCs w:val="16"/>
              </w:rPr>
              <w:t>Culture</w:t>
            </w:r>
          </w:p>
        </w:tc>
        <w:tc>
          <w:tcPr>
            <w:tcW w:w="708" w:type="dxa"/>
            <w:vMerge w:val="restart"/>
            <w:tcBorders>
              <w:top w:val="nil"/>
              <w:left w:val="nil"/>
              <w:bottom w:val="nil"/>
              <w:right w:val="nil"/>
            </w:tcBorders>
          </w:tcPr>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r w:rsidRPr="00803024">
              <w:rPr>
                <w:rFonts w:ascii="Times New Roman" w:eastAsia="Calibri" w:hAnsi="Times New Roman"/>
                <w:sz w:val="16"/>
                <w:szCs w:val="16"/>
              </w:rPr>
              <w:t>ST 02</w:t>
            </w:r>
          </w:p>
          <w:p w:rsidR="007734EB" w:rsidRPr="00803024" w:rsidRDefault="007734EB" w:rsidP="00FC7D59">
            <w:pPr>
              <w:spacing w:after="0" w:line="240" w:lineRule="auto"/>
              <w:rPr>
                <w:rFonts w:ascii="Times New Roman" w:eastAsia="Calibri" w:hAnsi="Times New Roman"/>
                <w:sz w:val="16"/>
                <w:szCs w:val="16"/>
              </w:rPr>
            </w:pPr>
            <w:r w:rsidRPr="00803024">
              <w:rPr>
                <w:rFonts w:ascii="Times New Roman" w:eastAsia="Calibri" w:hAnsi="Times New Roman"/>
                <w:sz w:val="16"/>
                <w:szCs w:val="16"/>
              </w:rPr>
              <w:t>(n =7)</w:t>
            </w: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66.60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35.10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1.00</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0.29</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2.80</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0.70</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131.44 ±6.13</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57.57 ±2.83</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38.52 ±1.80</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14.36</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±0.71</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69.20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34.15</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0.84</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0.25</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3.33</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0.80</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154.61 ±7.45</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63.00 ±2.68</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47.73 ±2.30</w:t>
            </w:r>
          </w:p>
        </w:tc>
        <w:tc>
          <w:tcPr>
            <w:tcW w:w="720" w:type="dxa"/>
            <w:tcBorders>
              <w:top w:val="nil"/>
              <w:left w:val="nil"/>
              <w:bottom w:val="nil"/>
              <w:right w:val="nil"/>
            </w:tcBorders>
            <w:hideMark/>
          </w:tcPr>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15.15 ±0.64</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71.85</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33.30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0.92</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0.24</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3.83</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0.91</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150.81 ±6.99</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58.37 ±2.58</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40.47 ±1.88</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13.87</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±0.61</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75.90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35.60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1.57</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0.41</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4.53</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1.14</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110.56 ±4.94</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46.59 ±2.09</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29.25</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±1.31</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11.82</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0±0.53</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76.65</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38.10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1.60</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0.36</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5.13</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1.18</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106.03 ±4.90</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37.70 ±1.68</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23.98</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±1.11</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8.68</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±0.39</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76.10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34.40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1.11</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0.27</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4.29</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1.04</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128.97 ±6.33</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60.53 ±2.64</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31.54 ±1.55</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14.71</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±0.64</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w:t>
            </w:r>
          </w:p>
        </w:tc>
        <w:tc>
          <w:tcPr>
            <w:tcW w:w="707"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70.40</w:t>
            </w:r>
          </w:p>
        </w:tc>
        <w:tc>
          <w:tcPr>
            <w:tcW w:w="583"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31.10</w:t>
            </w:r>
          </w:p>
        </w:tc>
        <w:tc>
          <w:tcPr>
            <w:tcW w:w="540"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0.94</w:t>
            </w:r>
          </w:p>
        </w:tc>
        <w:tc>
          <w:tcPr>
            <w:tcW w:w="629"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0.24</w:t>
            </w:r>
          </w:p>
        </w:tc>
        <w:tc>
          <w:tcPr>
            <w:tcW w:w="629"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3.22</w:t>
            </w:r>
          </w:p>
        </w:tc>
        <w:tc>
          <w:tcPr>
            <w:tcW w:w="630"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0.759</w:t>
            </w:r>
          </w:p>
        </w:tc>
        <w:tc>
          <w:tcPr>
            <w:tcW w:w="809"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152.52 ±7.18</w:t>
            </w:r>
          </w:p>
        </w:tc>
        <w:tc>
          <w:tcPr>
            <w:tcW w:w="719"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55.22 ±2.62</w:t>
            </w:r>
          </w:p>
        </w:tc>
        <w:tc>
          <w:tcPr>
            <w:tcW w:w="812"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39.35 ±1.85</w:t>
            </w:r>
          </w:p>
        </w:tc>
        <w:tc>
          <w:tcPr>
            <w:tcW w:w="720" w:type="dxa"/>
            <w:tcBorders>
              <w:top w:val="nil"/>
              <w:left w:val="nil"/>
              <w:bottom w:val="single" w:sz="4" w:space="0" w:color="auto"/>
              <w:right w:val="nil"/>
            </w:tcBorders>
            <w:hideMark/>
          </w:tcPr>
          <w:p w:rsidR="007734EB" w:rsidRPr="00803024" w:rsidRDefault="007734EB" w:rsidP="007734EB">
            <w:pPr>
              <w:spacing w:after="60" w:line="240" w:lineRule="auto"/>
              <w:jc w:val="center"/>
              <w:rPr>
                <w:rFonts w:ascii="Times New Roman" w:eastAsia="Calibri" w:hAnsi="Times New Roman"/>
                <w:sz w:val="16"/>
                <w:szCs w:val="16"/>
              </w:rPr>
            </w:pPr>
            <w:r w:rsidRPr="00803024">
              <w:rPr>
                <w:rFonts w:ascii="Times New Roman" w:eastAsia="Calibri" w:hAnsi="Times New Roman"/>
                <w:sz w:val="16"/>
                <w:szCs w:val="16"/>
              </w:rPr>
              <w:t>13.00 ±0.62</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single" w:sz="4" w:space="0" w:color="auto"/>
              <w:left w:val="nil"/>
              <w:bottom w:val="nil"/>
              <w:right w:val="nil"/>
            </w:tcBorders>
          </w:tcPr>
          <w:p w:rsidR="007734EB" w:rsidRPr="00803024" w:rsidRDefault="007734EB" w:rsidP="00FC7D59">
            <w:pPr>
              <w:spacing w:after="0" w:line="240" w:lineRule="auto"/>
              <w:jc w:val="center"/>
              <w:rPr>
                <w:rFonts w:ascii="Times New Roman" w:eastAsia="Calibri" w:hAnsi="Times New Roman"/>
                <w:sz w:val="16"/>
                <w:szCs w:val="16"/>
              </w:rPr>
            </w:pPr>
          </w:p>
        </w:tc>
        <w:tc>
          <w:tcPr>
            <w:tcW w:w="707" w:type="dxa"/>
            <w:tcBorders>
              <w:top w:val="single" w:sz="4" w:space="0" w:color="auto"/>
              <w:left w:val="nil"/>
              <w:bottom w:val="nil"/>
              <w:right w:val="nil"/>
            </w:tcBorders>
          </w:tcPr>
          <w:p w:rsidR="007734EB" w:rsidRPr="00803024" w:rsidRDefault="007734EB" w:rsidP="00FC7D59">
            <w:pPr>
              <w:adjustRightInd w:val="0"/>
              <w:spacing w:after="0" w:line="240" w:lineRule="auto"/>
              <w:jc w:val="center"/>
              <w:rPr>
                <w:rFonts w:ascii="Times New Roman" w:eastAsia="Calibri" w:hAnsi="Times New Roman"/>
                <w:sz w:val="16"/>
                <w:szCs w:val="16"/>
              </w:rPr>
            </w:pPr>
          </w:p>
        </w:tc>
        <w:tc>
          <w:tcPr>
            <w:tcW w:w="583" w:type="dxa"/>
            <w:tcBorders>
              <w:top w:val="single" w:sz="4" w:space="0" w:color="auto"/>
              <w:left w:val="nil"/>
              <w:bottom w:val="nil"/>
              <w:right w:val="nil"/>
            </w:tcBorders>
          </w:tcPr>
          <w:p w:rsidR="007734EB" w:rsidRPr="00803024" w:rsidRDefault="007734EB" w:rsidP="00FC7D59">
            <w:pPr>
              <w:adjustRightInd w:val="0"/>
              <w:spacing w:after="0" w:line="240" w:lineRule="auto"/>
              <w:jc w:val="center"/>
              <w:rPr>
                <w:rFonts w:ascii="Times New Roman" w:eastAsia="Calibri" w:hAnsi="Times New Roman"/>
                <w:sz w:val="16"/>
                <w:szCs w:val="16"/>
              </w:rPr>
            </w:pPr>
          </w:p>
        </w:tc>
        <w:tc>
          <w:tcPr>
            <w:tcW w:w="540" w:type="dxa"/>
            <w:tcBorders>
              <w:top w:val="single" w:sz="4" w:space="0" w:color="auto"/>
              <w:left w:val="nil"/>
              <w:bottom w:val="nil"/>
              <w:right w:val="nil"/>
            </w:tcBorders>
          </w:tcPr>
          <w:p w:rsidR="007734EB" w:rsidRPr="00803024" w:rsidRDefault="007734EB" w:rsidP="00FC7D59">
            <w:pPr>
              <w:adjustRightInd w:val="0"/>
              <w:spacing w:after="0" w:line="240" w:lineRule="auto"/>
              <w:jc w:val="center"/>
              <w:rPr>
                <w:rFonts w:ascii="Times New Roman" w:eastAsia="Calibri" w:hAnsi="Times New Roman"/>
                <w:sz w:val="16"/>
                <w:szCs w:val="16"/>
              </w:rPr>
            </w:pPr>
          </w:p>
        </w:tc>
        <w:tc>
          <w:tcPr>
            <w:tcW w:w="629" w:type="dxa"/>
            <w:tcBorders>
              <w:top w:val="single" w:sz="4" w:space="0" w:color="auto"/>
              <w:left w:val="nil"/>
              <w:bottom w:val="nil"/>
              <w:right w:val="nil"/>
            </w:tcBorders>
          </w:tcPr>
          <w:p w:rsidR="007734EB" w:rsidRPr="00803024" w:rsidRDefault="007734EB" w:rsidP="00FC7D59">
            <w:pPr>
              <w:adjustRightInd w:val="0"/>
              <w:spacing w:after="0" w:line="240" w:lineRule="auto"/>
              <w:jc w:val="center"/>
              <w:rPr>
                <w:rFonts w:ascii="Times New Roman" w:eastAsia="Calibri" w:hAnsi="Times New Roman"/>
                <w:sz w:val="16"/>
                <w:szCs w:val="16"/>
              </w:rPr>
            </w:pPr>
          </w:p>
        </w:tc>
        <w:tc>
          <w:tcPr>
            <w:tcW w:w="629" w:type="dxa"/>
            <w:tcBorders>
              <w:top w:val="single" w:sz="4" w:space="0" w:color="auto"/>
              <w:left w:val="nil"/>
              <w:bottom w:val="nil"/>
              <w:right w:val="nil"/>
            </w:tcBorders>
          </w:tcPr>
          <w:p w:rsidR="007734EB" w:rsidRPr="00803024" w:rsidRDefault="007734EB" w:rsidP="00FC7D59">
            <w:pPr>
              <w:adjustRightInd w:val="0"/>
              <w:spacing w:after="0" w:line="240" w:lineRule="auto"/>
              <w:jc w:val="center"/>
              <w:rPr>
                <w:rFonts w:ascii="Times New Roman" w:eastAsia="Calibri" w:hAnsi="Times New Roman"/>
                <w:sz w:val="16"/>
                <w:szCs w:val="16"/>
              </w:rPr>
            </w:pPr>
          </w:p>
        </w:tc>
        <w:tc>
          <w:tcPr>
            <w:tcW w:w="630" w:type="dxa"/>
            <w:tcBorders>
              <w:top w:val="single" w:sz="4" w:space="0" w:color="auto"/>
              <w:left w:val="nil"/>
              <w:bottom w:val="nil"/>
              <w:right w:val="nil"/>
            </w:tcBorders>
          </w:tcPr>
          <w:p w:rsidR="007734EB" w:rsidRPr="00803024" w:rsidRDefault="007734EB" w:rsidP="00FC7D59">
            <w:pPr>
              <w:adjustRightInd w:val="0"/>
              <w:spacing w:after="0" w:line="240" w:lineRule="auto"/>
              <w:jc w:val="center"/>
              <w:rPr>
                <w:rFonts w:ascii="Times New Roman" w:eastAsia="Calibri" w:hAnsi="Times New Roman"/>
                <w:sz w:val="16"/>
                <w:szCs w:val="16"/>
              </w:rPr>
            </w:pPr>
          </w:p>
        </w:tc>
        <w:tc>
          <w:tcPr>
            <w:tcW w:w="809" w:type="dxa"/>
            <w:tcBorders>
              <w:top w:val="single" w:sz="4" w:space="0" w:color="auto"/>
              <w:left w:val="nil"/>
              <w:bottom w:val="nil"/>
              <w:right w:val="nil"/>
            </w:tcBorders>
          </w:tcPr>
          <w:p w:rsidR="007734EB" w:rsidRPr="00803024" w:rsidRDefault="007734EB" w:rsidP="00FC7D59">
            <w:pPr>
              <w:spacing w:after="0" w:line="240" w:lineRule="auto"/>
              <w:jc w:val="center"/>
              <w:rPr>
                <w:rFonts w:ascii="Times New Roman" w:eastAsia="Calibri" w:hAnsi="Times New Roman"/>
                <w:sz w:val="16"/>
                <w:szCs w:val="16"/>
              </w:rPr>
            </w:pPr>
          </w:p>
        </w:tc>
        <w:tc>
          <w:tcPr>
            <w:tcW w:w="719" w:type="dxa"/>
            <w:tcBorders>
              <w:top w:val="single" w:sz="4" w:space="0" w:color="auto"/>
              <w:left w:val="nil"/>
              <w:bottom w:val="nil"/>
              <w:right w:val="nil"/>
            </w:tcBorders>
          </w:tcPr>
          <w:p w:rsidR="007734EB" w:rsidRPr="00803024" w:rsidRDefault="007734EB" w:rsidP="00FC7D59">
            <w:pPr>
              <w:spacing w:after="0" w:line="240" w:lineRule="auto"/>
              <w:jc w:val="center"/>
              <w:rPr>
                <w:rFonts w:ascii="Times New Roman" w:eastAsia="Calibri" w:hAnsi="Times New Roman"/>
                <w:sz w:val="16"/>
                <w:szCs w:val="16"/>
              </w:rPr>
            </w:pPr>
          </w:p>
        </w:tc>
        <w:tc>
          <w:tcPr>
            <w:tcW w:w="812" w:type="dxa"/>
            <w:tcBorders>
              <w:top w:val="single" w:sz="4" w:space="0" w:color="auto"/>
              <w:left w:val="nil"/>
              <w:bottom w:val="nil"/>
              <w:right w:val="nil"/>
            </w:tcBorders>
          </w:tcPr>
          <w:p w:rsidR="007734EB" w:rsidRPr="00803024" w:rsidRDefault="007734EB" w:rsidP="00FC7D59">
            <w:pPr>
              <w:spacing w:after="0" w:line="240" w:lineRule="auto"/>
              <w:jc w:val="center"/>
              <w:rPr>
                <w:rFonts w:ascii="Times New Roman" w:eastAsia="Calibri" w:hAnsi="Times New Roman"/>
                <w:sz w:val="16"/>
                <w:szCs w:val="16"/>
              </w:rPr>
            </w:pPr>
          </w:p>
        </w:tc>
        <w:tc>
          <w:tcPr>
            <w:tcW w:w="720" w:type="dxa"/>
            <w:tcBorders>
              <w:top w:val="single" w:sz="4" w:space="0" w:color="auto"/>
              <w:left w:val="nil"/>
              <w:bottom w:val="nil"/>
              <w:right w:val="nil"/>
            </w:tcBorders>
          </w:tcPr>
          <w:p w:rsidR="007734EB" w:rsidRPr="00803024" w:rsidRDefault="007734EB" w:rsidP="00FC7D59">
            <w:pPr>
              <w:spacing w:after="0" w:line="240" w:lineRule="auto"/>
              <w:jc w:val="center"/>
              <w:rPr>
                <w:rFonts w:ascii="Times New Roman" w:eastAsia="Calibri" w:hAnsi="Times New Roman"/>
                <w:sz w:val="16"/>
                <w:szCs w:val="16"/>
              </w:rPr>
            </w:pP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val="restart"/>
            <w:tcBorders>
              <w:top w:val="nil"/>
              <w:left w:val="nil"/>
              <w:bottom w:val="single" w:sz="4" w:space="0" w:color="auto"/>
              <w:right w:val="nil"/>
            </w:tcBorders>
          </w:tcPr>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p>
          <w:p w:rsidR="007734EB" w:rsidRPr="00803024" w:rsidRDefault="007734EB" w:rsidP="00FC7D59">
            <w:pPr>
              <w:spacing w:after="0" w:line="240" w:lineRule="auto"/>
              <w:rPr>
                <w:rFonts w:ascii="Times New Roman" w:eastAsia="Calibri" w:hAnsi="Times New Roman"/>
                <w:sz w:val="16"/>
                <w:szCs w:val="16"/>
              </w:rPr>
            </w:pPr>
            <w:r w:rsidRPr="00803024">
              <w:rPr>
                <w:rFonts w:ascii="Times New Roman" w:eastAsia="Calibri" w:hAnsi="Times New Roman"/>
                <w:sz w:val="16"/>
                <w:szCs w:val="16"/>
              </w:rPr>
              <w:t>ST 03</w:t>
            </w:r>
          </w:p>
          <w:p w:rsidR="007734EB" w:rsidRPr="00803024" w:rsidRDefault="007734EB" w:rsidP="00FC7D59">
            <w:pPr>
              <w:spacing w:after="0" w:line="240" w:lineRule="auto"/>
              <w:rPr>
                <w:rFonts w:ascii="Times New Roman" w:eastAsia="Calibri" w:hAnsi="Times New Roman"/>
                <w:sz w:val="16"/>
                <w:szCs w:val="16"/>
              </w:rPr>
            </w:pPr>
            <w:r w:rsidRPr="00803024">
              <w:rPr>
                <w:rFonts w:ascii="Times New Roman" w:eastAsia="Calibri" w:hAnsi="Times New Roman"/>
                <w:sz w:val="16"/>
                <w:szCs w:val="16"/>
              </w:rPr>
              <w:t>(n = 7)</w:t>
            </w: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70.25</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29.25</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1.03</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0.28</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4.17</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1.07</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124.96 ±5.52</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45.95 ±1.92</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34.68</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±1.53</w:t>
            </w:r>
          </w:p>
        </w:tc>
        <w:tc>
          <w:tcPr>
            <w:tcW w:w="720" w:type="dxa"/>
            <w:tcBorders>
              <w:top w:val="nil"/>
              <w:left w:val="nil"/>
              <w:bottom w:val="nil"/>
              <w:right w:val="nil"/>
            </w:tcBorders>
            <w:hideMark/>
          </w:tcPr>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11.83 ±0.49</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70.60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27.20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0.84</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0.23</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5.12</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1.26</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142.16 ±6.44</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51.74 ±2.05</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38.75 ±1.76</w:t>
            </w:r>
          </w:p>
        </w:tc>
        <w:tc>
          <w:tcPr>
            <w:tcW w:w="720" w:type="dxa"/>
            <w:tcBorders>
              <w:top w:val="nil"/>
              <w:left w:val="nil"/>
              <w:bottom w:val="nil"/>
              <w:right w:val="nil"/>
            </w:tcBorders>
            <w:hideMark/>
          </w:tcPr>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12.82 ±0.51</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64.20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29.45</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0.82</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0.23</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3.32</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0.84</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117.19 ±5.74</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45.22</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±2.05</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33.11 ±1.62</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11.53</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±0.52</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67.10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29.90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0.73</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0.21</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3.27</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0.89</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156.10</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±6.90</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51.31 ±2.15</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46.56 ±2.06</w:t>
            </w:r>
          </w:p>
        </w:tc>
        <w:tc>
          <w:tcPr>
            <w:tcW w:w="720" w:type="dxa"/>
            <w:tcBorders>
              <w:top w:val="nil"/>
              <w:left w:val="nil"/>
              <w:bottom w:val="nil"/>
              <w:right w:val="nil"/>
            </w:tcBorders>
            <w:hideMark/>
          </w:tcPr>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14.07 ±0.59</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66.40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31.30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0.95</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0.27</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3.62</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0.94</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125.05</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±5.86</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50.39 ±2.12</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36.00 ±1.69</w:t>
            </w:r>
          </w:p>
        </w:tc>
        <w:tc>
          <w:tcPr>
            <w:tcW w:w="720"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13.11</w:t>
            </w:r>
          </w:p>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±0.55</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w:t>
            </w:r>
          </w:p>
        </w:tc>
        <w:tc>
          <w:tcPr>
            <w:tcW w:w="707"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64.20</w:t>
            </w:r>
          </w:p>
        </w:tc>
        <w:tc>
          <w:tcPr>
            <w:tcW w:w="583"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31.40</w:t>
            </w:r>
          </w:p>
        </w:tc>
        <w:tc>
          <w:tcPr>
            <w:tcW w:w="54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0.92</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0.27</w:t>
            </w:r>
          </w:p>
        </w:tc>
        <w:tc>
          <w:tcPr>
            <w:tcW w:w="629"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3.32</w:t>
            </w:r>
          </w:p>
        </w:tc>
        <w:tc>
          <w:tcPr>
            <w:tcW w:w="630" w:type="dxa"/>
            <w:tcBorders>
              <w:top w:val="nil"/>
              <w:left w:val="nil"/>
              <w:bottom w:val="nil"/>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0.90</w:t>
            </w:r>
          </w:p>
        </w:tc>
        <w:tc>
          <w:tcPr>
            <w:tcW w:w="80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120.60 ±5.41</w:t>
            </w:r>
          </w:p>
        </w:tc>
        <w:tc>
          <w:tcPr>
            <w:tcW w:w="719"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59.84</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±2.54</w:t>
            </w:r>
          </w:p>
        </w:tc>
        <w:tc>
          <w:tcPr>
            <w:tcW w:w="812" w:type="dxa"/>
            <w:tcBorders>
              <w:top w:val="nil"/>
              <w:left w:val="nil"/>
              <w:bottom w:val="nil"/>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35.87</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±1.61</w:t>
            </w:r>
          </w:p>
        </w:tc>
        <w:tc>
          <w:tcPr>
            <w:tcW w:w="720" w:type="dxa"/>
            <w:tcBorders>
              <w:top w:val="nil"/>
              <w:left w:val="nil"/>
              <w:bottom w:val="nil"/>
              <w:right w:val="nil"/>
            </w:tcBorders>
            <w:hideMark/>
          </w:tcPr>
          <w:p w:rsidR="007734EB" w:rsidRPr="00803024" w:rsidRDefault="007734EB" w:rsidP="007734EB">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16.27 ±0.69</w:t>
            </w:r>
          </w:p>
        </w:tc>
      </w:tr>
      <w:tr w:rsidR="007734EB" w:rsidRPr="00502464" w:rsidTr="000D3A91">
        <w:trPr>
          <w:trHeight w:val="135"/>
          <w:jc w:val="center"/>
        </w:trPr>
        <w:tc>
          <w:tcPr>
            <w:tcW w:w="79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vMerge/>
            <w:tcBorders>
              <w:top w:val="nil"/>
              <w:left w:val="nil"/>
              <w:bottom w:val="single" w:sz="4" w:space="0" w:color="auto"/>
              <w:right w:val="nil"/>
            </w:tcBorders>
            <w:vAlign w:val="center"/>
            <w:hideMark/>
          </w:tcPr>
          <w:p w:rsidR="007734EB" w:rsidRPr="00803024" w:rsidRDefault="007734EB" w:rsidP="00FC7D59">
            <w:pPr>
              <w:spacing w:after="0" w:line="240" w:lineRule="auto"/>
              <w:rPr>
                <w:rFonts w:ascii="Times New Roman" w:eastAsia="Calibri" w:hAnsi="Times New Roman"/>
                <w:sz w:val="16"/>
                <w:szCs w:val="16"/>
              </w:rPr>
            </w:pPr>
          </w:p>
        </w:tc>
        <w:tc>
          <w:tcPr>
            <w:tcW w:w="708"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w:t>
            </w:r>
          </w:p>
        </w:tc>
        <w:tc>
          <w:tcPr>
            <w:tcW w:w="707"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67.40</w:t>
            </w:r>
          </w:p>
        </w:tc>
        <w:tc>
          <w:tcPr>
            <w:tcW w:w="583"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30.00</w:t>
            </w:r>
          </w:p>
        </w:tc>
        <w:tc>
          <w:tcPr>
            <w:tcW w:w="540"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0.97</w:t>
            </w:r>
          </w:p>
        </w:tc>
        <w:tc>
          <w:tcPr>
            <w:tcW w:w="629"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0.26</w:t>
            </w:r>
          </w:p>
        </w:tc>
        <w:tc>
          <w:tcPr>
            <w:tcW w:w="629"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3.27</w:t>
            </w:r>
          </w:p>
        </w:tc>
        <w:tc>
          <w:tcPr>
            <w:tcW w:w="630" w:type="dxa"/>
            <w:tcBorders>
              <w:top w:val="nil"/>
              <w:left w:val="nil"/>
              <w:bottom w:val="single" w:sz="4" w:space="0" w:color="auto"/>
              <w:right w:val="nil"/>
            </w:tcBorders>
            <w:hideMark/>
          </w:tcPr>
          <w:p w:rsidR="007734EB" w:rsidRPr="00803024" w:rsidRDefault="007734EB" w:rsidP="00FC7D59">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0.82</w:t>
            </w:r>
          </w:p>
        </w:tc>
        <w:tc>
          <w:tcPr>
            <w:tcW w:w="809"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124.29</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±5.76</w:t>
            </w:r>
          </w:p>
        </w:tc>
        <w:tc>
          <w:tcPr>
            <w:tcW w:w="719"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46.01</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±2.20</w:t>
            </w:r>
          </w:p>
        </w:tc>
        <w:tc>
          <w:tcPr>
            <w:tcW w:w="812" w:type="dxa"/>
            <w:tcBorders>
              <w:top w:val="nil"/>
              <w:left w:val="nil"/>
              <w:bottom w:val="single" w:sz="4" w:space="0" w:color="auto"/>
              <w:right w:val="nil"/>
            </w:tcBorders>
            <w:hideMark/>
          </w:tcPr>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34.33</w:t>
            </w:r>
          </w:p>
          <w:p w:rsidR="007734EB" w:rsidRPr="00803024" w:rsidRDefault="007734EB" w:rsidP="00FC7D59">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±1.59</w:t>
            </w:r>
          </w:p>
        </w:tc>
        <w:tc>
          <w:tcPr>
            <w:tcW w:w="720" w:type="dxa"/>
            <w:tcBorders>
              <w:top w:val="nil"/>
              <w:left w:val="nil"/>
              <w:bottom w:val="single" w:sz="4" w:space="0" w:color="auto"/>
              <w:right w:val="nil"/>
            </w:tcBorders>
            <w:hideMark/>
          </w:tcPr>
          <w:p w:rsidR="007734EB" w:rsidRPr="00803024" w:rsidRDefault="007734EB" w:rsidP="007734EB">
            <w:pPr>
              <w:spacing w:after="60" w:line="240" w:lineRule="auto"/>
              <w:jc w:val="center"/>
              <w:rPr>
                <w:rFonts w:ascii="Times New Roman" w:eastAsia="Calibri" w:hAnsi="Times New Roman"/>
                <w:sz w:val="16"/>
                <w:szCs w:val="16"/>
              </w:rPr>
            </w:pPr>
            <w:r w:rsidRPr="00803024">
              <w:rPr>
                <w:rFonts w:ascii="Times New Roman" w:eastAsia="Calibri" w:hAnsi="Times New Roman"/>
                <w:sz w:val="16"/>
                <w:szCs w:val="16"/>
              </w:rPr>
              <w:t>11.54 ±0.55</w:t>
            </w:r>
          </w:p>
        </w:tc>
      </w:tr>
      <w:tr w:rsidR="00635A0A" w:rsidRPr="00502464" w:rsidTr="000D3A91">
        <w:trPr>
          <w:trHeight w:val="135"/>
          <w:jc w:val="center"/>
        </w:trPr>
        <w:tc>
          <w:tcPr>
            <w:tcW w:w="798" w:type="dxa"/>
            <w:tcBorders>
              <w:top w:val="single" w:sz="4" w:space="0" w:color="auto"/>
              <w:left w:val="nil"/>
              <w:bottom w:val="nil"/>
              <w:right w:val="nil"/>
            </w:tcBorders>
          </w:tcPr>
          <w:p w:rsidR="00635A0A" w:rsidRPr="00803024" w:rsidRDefault="00635A0A" w:rsidP="00635A0A">
            <w:pPr>
              <w:spacing w:after="0" w:line="240" w:lineRule="auto"/>
              <w:rPr>
                <w:rFonts w:ascii="Times New Roman" w:eastAsia="Calibri" w:hAnsi="Times New Roman"/>
                <w:sz w:val="16"/>
                <w:szCs w:val="16"/>
              </w:rPr>
            </w:pPr>
          </w:p>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single" w:sz="4" w:space="0" w:color="auto"/>
              <w:left w:val="nil"/>
              <w:bottom w:val="nil"/>
              <w:right w:val="nil"/>
            </w:tcBorders>
          </w:tcPr>
          <w:p w:rsidR="00635A0A" w:rsidRPr="00803024" w:rsidRDefault="00635A0A" w:rsidP="00635A0A">
            <w:pPr>
              <w:spacing w:after="0" w:line="240" w:lineRule="auto"/>
              <w:rPr>
                <w:rFonts w:ascii="Times New Roman" w:eastAsia="Calibri" w:hAnsi="Times New Roman"/>
                <w:sz w:val="16"/>
                <w:szCs w:val="16"/>
              </w:rPr>
            </w:pPr>
          </w:p>
          <w:p w:rsidR="00635A0A" w:rsidRPr="00803024" w:rsidRDefault="00635A0A" w:rsidP="00635A0A">
            <w:pPr>
              <w:spacing w:after="0" w:line="240" w:lineRule="auto"/>
              <w:rPr>
                <w:rFonts w:ascii="Times New Roman" w:eastAsia="Calibri" w:hAnsi="Times New Roman"/>
                <w:sz w:val="16"/>
                <w:szCs w:val="16"/>
              </w:rPr>
            </w:pPr>
          </w:p>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w:t>
            </w:r>
          </w:p>
        </w:tc>
        <w:tc>
          <w:tcPr>
            <w:tcW w:w="707"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61.4</w:t>
            </w:r>
          </w:p>
        </w:tc>
        <w:tc>
          <w:tcPr>
            <w:tcW w:w="583"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30.30</w:t>
            </w:r>
          </w:p>
        </w:tc>
        <w:tc>
          <w:tcPr>
            <w:tcW w:w="540"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1.34</w:t>
            </w:r>
          </w:p>
        </w:tc>
        <w:tc>
          <w:tcPr>
            <w:tcW w:w="629"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0.23</w:t>
            </w:r>
          </w:p>
        </w:tc>
        <w:tc>
          <w:tcPr>
            <w:tcW w:w="629"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2.23</w:t>
            </w:r>
          </w:p>
        </w:tc>
        <w:tc>
          <w:tcPr>
            <w:tcW w:w="630" w:type="dxa"/>
            <w:tcBorders>
              <w:top w:val="single" w:sz="4" w:space="0" w:color="auto"/>
              <w:left w:val="nil"/>
              <w:bottom w:val="nil"/>
              <w:right w:val="nil"/>
            </w:tcBorders>
          </w:tcPr>
          <w:p w:rsidR="00635A0A" w:rsidRPr="00803024" w:rsidRDefault="00635A0A" w:rsidP="000D3A91">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0.48</w:t>
            </w:r>
          </w:p>
        </w:tc>
        <w:tc>
          <w:tcPr>
            <w:tcW w:w="809" w:type="dxa"/>
            <w:tcBorders>
              <w:top w:val="single" w:sz="4" w:space="0" w:color="auto"/>
              <w:left w:val="nil"/>
              <w:bottom w:val="nil"/>
              <w:right w:val="nil"/>
            </w:tcBorders>
          </w:tcPr>
          <w:p w:rsidR="00635A0A" w:rsidRPr="00803024" w:rsidRDefault="00635A0A" w:rsidP="005F69C0">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176.27</w:t>
            </w:r>
          </w:p>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±7.78</w:t>
            </w:r>
          </w:p>
        </w:tc>
        <w:tc>
          <w:tcPr>
            <w:tcW w:w="719" w:type="dxa"/>
            <w:tcBorders>
              <w:top w:val="single" w:sz="4" w:space="0" w:color="auto"/>
              <w:left w:val="nil"/>
              <w:bottom w:val="nil"/>
              <w:right w:val="nil"/>
            </w:tcBorders>
          </w:tcPr>
          <w:p w:rsidR="00635A0A" w:rsidRPr="00803024" w:rsidRDefault="00635A0A" w:rsidP="005F69C0">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50.52</w:t>
            </w:r>
          </w:p>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±2.65</w:t>
            </w:r>
          </w:p>
        </w:tc>
        <w:tc>
          <w:tcPr>
            <w:tcW w:w="812" w:type="dxa"/>
            <w:tcBorders>
              <w:top w:val="single" w:sz="4" w:space="0" w:color="auto"/>
              <w:left w:val="nil"/>
              <w:bottom w:val="nil"/>
              <w:right w:val="nil"/>
            </w:tcBorders>
          </w:tcPr>
          <w:p w:rsidR="00635A0A" w:rsidRPr="00803024" w:rsidRDefault="00635A0A" w:rsidP="005F69C0">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30.38 ±1.34</w:t>
            </w:r>
          </w:p>
        </w:tc>
        <w:tc>
          <w:tcPr>
            <w:tcW w:w="720" w:type="dxa"/>
            <w:tcBorders>
              <w:top w:val="single" w:sz="4" w:space="0" w:color="auto"/>
              <w:left w:val="nil"/>
              <w:bottom w:val="nil"/>
              <w:right w:val="nil"/>
            </w:tcBorders>
          </w:tcPr>
          <w:p w:rsidR="00635A0A" w:rsidRPr="00803024" w:rsidRDefault="00635A0A" w:rsidP="005F69C0">
            <w:pPr>
              <w:adjustRightInd w:val="0"/>
              <w:spacing w:before="120"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11.01</w:t>
            </w:r>
          </w:p>
          <w:p w:rsidR="00635A0A" w:rsidRPr="00803024" w:rsidRDefault="00635A0A" w:rsidP="005F69C0">
            <w:pPr>
              <w:adjustRightInd w:val="0"/>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±0.58</w:t>
            </w:r>
          </w:p>
        </w:tc>
      </w:tr>
      <w:tr w:rsidR="00635A0A" w:rsidRPr="00502464" w:rsidTr="00FC7D59">
        <w:trPr>
          <w:trHeight w:val="135"/>
          <w:jc w:val="center"/>
        </w:trPr>
        <w:tc>
          <w:tcPr>
            <w:tcW w:w="79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w:t>
            </w:r>
          </w:p>
        </w:tc>
        <w:tc>
          <w:tcPr>
            <w:tcW w:w="707"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63.00</w:t>
            </w:r>
          </w:p>
        </w:tc>
        <w:tc>
          <w:tcPr>
            <w:tcW w:w="583"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28.50</w:t>
            </w:r>
          </w:p>
        </w:tc>
        <w:tc>
          <w:tcPr>
            <w:tcW w:w="54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0.63</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0.15</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2.19</w:t>
            </w:r>
          </w:p>
        </w:tc>
        <w:tc>
          <w:tcPr>
            <w:tcW w:w="63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0.50</w:t>
            </w:r>
          </w:p>
        </w:tc>
        <w:tc>
          <w:tcPr>
            <w:tcW w:w="80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251.79</w:t>
            </w:r>
          </w:p>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±10.98</w:t>
            </w:r>
          </w:p>
        </w:tc>
        <w:tc>
          <w:tcPr>
            <w:tcW w:w="71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54.88</w:t>
            </w:r>
          </w:p>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±2.89</w:t>
            </w:r>
          </w:p>
        </w:tc>
        <w:tc>
          <w:tcPr>
            <w:tcW w:w="812"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62.46</w:t>
            </w:r>
          </w:p>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±2.72</w:t>
            </w:r>
          </w:p>
        </w:tc>
        <w:tc>
          <w:tcPr>
            <w:tcW w:w="720" w:type="dxa"/>
            <w:tcBorders>
              <w:top w:val="nil"/>
              <w:left w:val="nil"/>
              <w:bottom w:val="nil"/>
              <w:right w:val="nil"/>
            </w:tcBorders>
          </w:tcPr>
          <w:p w:rsidR="00635A0A" w:rsidRPr="00803024" w:rsidRDefault="00635A0A" w:rsidP="000D3A91">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12.60 ±0.66</w:t>
            </w:r>
          </w:p>
        </w:tc>
      </w:tr>
      <w:tr w:rsidR="00635A0A" w:rsidRPr="00502464" w:rsidTr="00FC7D59">
        <w:trPr>
          <w:trHeight w:val="135"/>
          <w:jc w:val="center"/>
        </w:trPr>
        <w:tc>
          <w:tcPr>
            <w:tcW w:w="79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w:t>
            </w:r>
          </w:p>
        </w:tc>
        <w:tc>
          <w:tcPr>
            <w:tcW w:w="707"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72.00</w:t>
            </w:r>
          </w:p>
        </w:tc>
        <w:tc>
          <w:tcPr>
            <w:tcW w:w="583"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32.40</w:t>
            </w:r>
          </w:p>
        </w:tc>
        <w:tc>
          <w:tcPr>
            <w:tcW w:w="54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1.66</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0.25</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2.64</w:t>
            </w:r>
          </w:p>
        </w:tc>
        <w:tc>
          <w:tcPr>
            <w:tcW w:w="63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0.62</w:t>
            </w:r>
          </w:p>
        </w:tc>
        <w:tc>
          <w:tcPr>
            <w:tcW w:w="809" w:type="dxa"/>
            <w:tcBorders>
              <w:top w:val="nil"/>
              <w:left w:val="nil"/>
              <w:bottom w:val="nil"/>
              <w:right w:val="nil"/>
            </w:tcBorders>
          </w:tcPr>
          <w:p w:rsidR="000D3A91"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139.32</w:t>
            </w:r>
          </w:p>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±6.67</w:t>
            </w:r>
          </w:p>
        </w:tc>
        <w:tc>
          <w:tcPr>
            <w:tcW w:w="71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46.02 ±2.44</w:t>
            </w:r>
          </w:p>
        </w:tc>
        <w:tc>
          <w:tcPr>
            <w:tcW w:w="812"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21.73 ±1.04</w:t>
            </w:r>
          </w:p>
        </w:tc>
        <w:tc>
          <w:tcPr>
            <w:tcW w:w="720" w:type="dxa"/>
            <w:tcBorders>
              <w:top w:val="nil"/>
              <w:left w:val="nil"/>
              <w:bottom w:val="nil"/>
              <w:right w:val="nil"/>
            </w:tcBorders>
          </w:tcPr>
          <w:p w:rsidR="00635A0A" w:rsidRPr="00803024" w:rsidRDefault="00635A0A" w:rsidP="000D3A91">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10.98 ±0.58</w:t>
            </w:r>
          </w:p>
        </w:tc>
      </w:tr>
      <w:tr w:rsidR="00635A0A" w:rsidRPr="00502464" w:rsidTr="00FC7D59">
        <w:trPr>
          <w:trHeight w:val="135"/>
          <w:jc w:val="center"/>
        </w:trPr>
        <w:tc>
          <w:tcPr>
            <w:tcW w:w="798" w:type="dxa"/>
            <w:tcBorders>
              <w:top w:val="nil"/>
              <w:left w:val="nil"/>
              <w:bottom w:val="nil"/>
              <w:right w:val="nil"/>
            </w:tcBorders>
            <w:vAlign w:val="center"/>
          </w:tcPr>
          <w:p w:rsidR="00635A0A" w:rsidRPr="00803024" w:rsidRDefault="000D3A91" w:rsidP="00635A0A">
            <w:pPr>
              <w:spacing w:after="0" w:line="240" w:lineRule="auto"/>
              <w:rPr>
                <w:rFonts w:ascii="Times New Roman" w:eastAsia="Calibri" w:hAnsi="Times New Roman"/>
                <w:sz w:val="16"/>
                <w:szCs w:val="16"/>
              </w:rPr>
            </w:pPr>
            <w:r w:rsidRPr="00803024">
              <w:rPr>
                <w:rFonts w:ascii="Times New Roman" w:eastAsia="Calibri" w:hAnsi="Times New Roman"/>
                <w:sz w:val="16"/>
                <w:szCs w:val="16"/>
              </w:rPr>
              <w:t>Wild</w:t>
            </w:r>
          </w:p>
        </w:tc>
        <w:tc>
          <w:tcPr>
            <w:tcW w:w="70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r w:rsidRPr="00803024">
              <w:rPr>
                <w:rFonts w:ascii="Times New Roman" w:eastAsia="Calibri" w:hAnsi="Times New Roman"/>
                <w:sz w:val="16"/>
                <w:szCs w:val="16"/>
              </w:rPr>
              <w:t>ST 04</w:t>
            </w:r>
          </w:p>
          <w:p w:rsidR="00635A0A" w:rsidRPr="00803024" w:rsidRDefault="00635A0A" w:rsidP="00635A0A">
            <w:pPr>
              <w:spacing w:after="0" w:line="240" w:lineRule="auto"/>
              <w:rPr>
                <w:rFonts w:ascii="Times New Roman" w:eastAsia="Calibri" w:hAnsi="Times New Roman"/>
                <w:sz w:val="16"/>
                <w:szCs w:val="16"/>
              </w:rPr>
            </w:pPr>
            <w:r w:rsidRPr="00803024">
              <w:rPr>
                <w:rFonts w:ascii="Times New Roman" w:eastAsia="Calibri" w:hAnsi="Times New Roman"/>
                <w:sz w:val="16"/>
                <w:szCs w:val="16"/>
              </w:rPr>
              <w:t>(n = 7)</w:t>
            </w:r>
          </w:p>
        </w:tc>
        <w:tc>
          <w:tcPr>
            <w:tcW w:w="708"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w:t>
            </w:r>
          </w:p>
        </w:tc>
        <w:tc>
          <w:tcPr>
            <w:tcW w:w="707"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69.60</w:t>
            </w:r>
          </w:p>
        </w:tc>
        <w:tc>
          <w:tcPr>
            <w:tcW w:w="583"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30.50</w:t>
            </w:r>
          </w:p>
        </w:tc>
        <w:tc>
          <w:tcPr>
            <w:tcW w:w="54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0.73</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0.19</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3.54</w:t>
            </w:r>
          </w:p>
        </w:tc>
        <w:tc>
          <w:tcPr>
            <w:tcW w:w="63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0.80</w:t>
            </w:r>
          </w:p>
        </w:tc>
        <w:tc>
          <w:tcPr>
            <w:tcW w:w="80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178.49 ±8.72</w:t>
            </w:r>
          </w:p>
        </w:tc>
        <w:tc>
          <w:tcPr>
            <w:tcW w:w="71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32.38 ±1.63</w:t>
            </w:r>
          </w:p>
        </w:tc>
        <w:tc>
          <w:tcPr>
            <w:tcW w:w="812"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45.93 ±2.24</w:t>
            </w:r>
          </w:p>
        </w:tc>
        <w:tc>
          <w:tcPr>
            <w:tcW w:w="720" w:type="dxa"/>
            <w:tcBorders>
              <w:top w:val="nil"/>
              <w:left w:val="nil"/>
              <w:bottom w:val="nil"/>
              <w:right w:val="nil"/>
            </w:tcBorders>
          </w:tcPr>
          <w:p w:rsidR="00635A0A" w:rsidRPr="00803024" w:rsidRDefault="00635A0A" w:rsidP="000D3A91">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7.39 ±0.37</w:t>
            </w:r>
          </w:p>
        </w:tc>
      </w:tr>
      <w:tr w:rsidR="00635A0A" w:rsidRPr="00502464" w:rsidTr="00FC7D59">
        <w:trPr>
          <w:trHeight w:val="135"/>
          <w:jc w:val="center"/>
        </w:trPr>
        <w:tc>
          <w:tcPr>
            <w:tcW w:w="79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5</w:t>
            </w:r>
          </w:p>
        </w:tc>
        <w:tc>
          <w:tcPr>
            <w:tcW w:w="707"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69.60</w:t>
            </w:r>
          </w:p>
        </w:tc>
        <w:tc>
          <w:tcPr>
            <w:tcW w:w="583" w:type="dxa"/>
            <w:tcBorders>
              <w:top w:val="nil"/>
              <w:left w:val="nil"/>
              <w:bottom w:val="nil"/>
              <w:right w:val="nil"/>
            </w:tcBorders>
          </w:tcPr>
          <w:p w:rsidR="00635A0A" w:rsidRPr="00803024" w:rsidRDefault="00635A0A" w:rsidP="00635A0A">
            <w:pPr>
              <w:adjustRightInd w:val="0"/>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31.30</w:t>
            </w:r>
          </w:p>
        </w:tc>
        <w:tc>
          <w:tcPr>
            <w:tcW w:w="54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1.20</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0.25</w:t>
            </w:r>
          </w:p>
        </w:tc>
        <w:tc>
          <w:tcPr>
            <w:tcW w:w="62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2.67</w:t>
            </w:r>
          </w:p>
        </w:tc>
        <w:tc>
          <w:tcPr>
            <w:tcW w:w="630"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0.60</w:t>
            </w:r>
          </w:p>
        </w:tc>
        <w:tc>
          <w:tcPr>
            <w:tcW w:w="80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156.99 ±7.19</w:t>
            </w:r>
          </w:p>
        </w:tc>
        <w:tc>
          <w:tcPr>
            <w:tcW w:w="719"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41.94 ±2.28</w:t>
            </w:r>
          </w:p>
        </w:tc>
        <w:tc>
          <w:tcPr>
            <w:tcW w:w="812" w:type="dxa"/>
            <w:tcBorders>
              <w:top w:val="nil"/>
              <w:left w:val="nil"/>
              <w:bottom w:val="nil"/>
              <w:right w:val="nil"/>
            </w:tcBorders>
          </w:tcPr>
          <w:p w:rsidR="00635A0A" w:rsidRPr="00803024" w:rsidRDefault="00635A0A" w:rsidP="00635A0A">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33.94 ±1.55</w:t>
            </w:r>
          </w:p>
        </w:tc>
        <w:tc>
          <w:tcPr>
            <w:tcW w:w="720" w:type="dxa"/>
            <w:tcBorders>
              <w:top w:val="nil"/>
              <w:left w:val="nil"/>
              <w:bottom w:val="nil"/>
              <w:right w:val="nil"/>
            </w:tcBorders>
          </w:tcPr>
          <w:p w:rsidR="00635A0A" w:rsidRPr="00803024" w:rsidRDefault="00635A0A" w:rsidP="000D3A91">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9.44 ±0.51</w:t>
            </w:r>
          </w:p>
        </w:tc>
      </w:tr>
      <w:tr w:rsidR="00635A0A" w:rsidRPr="00502464" w:rsidTr="005F69C0">
        <w:trPr>
          <w:trHeight w:val="135"/>
          <w:jc w:val="center"/>
        </w:trPr>
        <w:tc>
          <w:tcPr>
            <w:tcW w:w="79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vAlign w:val="center"/>
          </w:tcPr>
          <w:p w:rsidR="00635A0A" w:rsidRPr="00803024" w:rsidRDefault="00635A0A" w:rsidP="00635A0A">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6</w:t>
            </w:r>
          </w:p>
        </w:tc>
        <w:tc>
          <w:tcPr>
            <w:tcW w:w="707" w:type="dxa"/>
            <w:tcBorders>
              <w:top w:val="nil"/>
              <w:left w:val="nil"/>
              <w:bottom w:val="nil"/>
              <w:right w:val="nil"/>
            </w:tcBorders>
          </w:tcPr>
          <w:p w:rsidR="00635A0A" w:rsidRPr="00803024" w:rsidRDefault="00635A0A" w:rsidP="00FC7D59">
            <w:pPr>
              <w:adjustRightInd w:val="0"/>
              <w:jc w:val="center"/>
              <w:rPr>
                <w:rFonts w:ascii="Times New Roman" w:eastAsia="Calibri" w:hAnsi="Times New Roman"/>
                <w:sz w:val="16"/>
                <w:szCs w:val="16"/>
              </w:rPr>
            </w:pPr>
            <w:r w:rsidRPr="00803024">
              <w:rPr>
                <w:rFonts w:ascii="Times New Roman" w:eastAsia="Calibri" w:hAnsi="Times New Roman"/>
                <w:sz w:val="16"/>
                <w:szCs w:val="16"/>
              </w:rPr>
              <w:t>60.30</w:t>
            </w:r>
          </w:p>
        </w:tc>
        <w:tc>
          <w:tcPr>
            <w:tcW w:w="583" w:type="dxa"/>
            <w:tcBorders>
              <w:top w:val="nil"/>
              <w:left w:val="nil"/>
              <w:bottom w:val="nil"/>
              <w:right w:val="nil"/>
            </w:tcBorders>
          </w:tcPr>
          <w:p w:rsidR="00635A0A" w:rsidRPr="00803024" w:rsidRDefault="00635A0A" w:rsidP="00FC7D59">
            <w:pPr>
              <w:adjustRightInd w:val="0"/>
              <w:jc w:val="center"/>
              <w:rPr>
                <w:rFonts w:ascii="Times New Roman" w:eastAsia="Calibri" w:hAnsi="Times New Roman"/>
                <w:sz w:val="16"/>
                <w:szCs w:val="16"/>
              </w:rPr>
            </w:pPr>
            <w:r w:rsidRPr="00803024">
              <w:rPr>
                <w:rFonts w:ascii="Times New Roman" w:eastAsia="Calibri" w:hAnsi="Times New Roman"/>
                <w:sz w:val="16"/>
                <w:szCs w:val="16"/>
              </w:rPr>
              <w:t>31.40</w:t>
            </w:r>
          </w:p>
        </w:tc>
        <w:tc>
          <w:tcPr>
            <w:tcW w:w="540" w:type="dxa"/>
            <w:tcBorders>
              <w:top w:val="nil"/>
              <w:left w:val="nil"/>
              <w:bottom w:val="nil"/>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0.71</w:t>
            </w:r>
          </w:p>
        </w:tc>
        <w:tc>
          <w:tcPr>
            <w:tcW w:w="629" w:type="dxa"/>
            <w:tcBorders>
              <w:top w:val="nil"/>
              <w:left w:val="nil"/>
              <w:bottom w:val="nil"/>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0.17</w:t>
            </w:r>
          </w:p>
        </w:tc>
        <w:tc>
          <w:tcPr>
            <w:tcW w:w="629" w:type="dxa"/>
            <w:tcBorders>
              <w:top w:val="nil"/>
              <w:left w:val="nil"/>
              <w:bottom w:val="nil"/>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1.40</w:t>
            </w:r>
          </w:p>
        </w:tc>
        <w:tc>
          <w:tcPr>
            <w:tcW w:w="630" w:type="dxa"/>
            <w:tcBorders>
              <w:top w:val="nil"/>
              <w:left w:val="nil"/>
              <w:bottom w:val="nil"/>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0.35</w:t>
            </w:r>
          </w:p>
        </w:tc>
        <w:tc>
          <w:tcPr>
            <w:tcW w:w="809" w:type="dxa"/>
            <w:tcBorders>
              <w:top w:val="nil"/>
              <w:left w:val="nil"/>
              <w:bottom w:val="nil"/>
              <w:right w:val="nil"/>
            </w:tcBorders>
          </w:tcPr>
          <w:p w:rsidR="00635A0A" w:rsidRPr="00803024" w:rsidRDefault="00635A0A" w:rsidP="00F97A81">
            <w:pPr>
              <w:spacing w:after="120" w:line="240" w:lineRule="auto"/>
              <w:jc w:val="center"/>
              <w:rPr>
                <w:rFonts w:ascii="Times New Roman" w:eastAsia="Calibri" w:hAnsi="Times New Roman"/>
                <w:sz w:val="16"/>
                <w:szCs w:val="16"/>
              </w:rPr>
            </w:pPr>
            <w:r w:rsidRPr="00803024">
              <w:rPr>
                <w:rFonts w:ascii="Times New Roman" w:eastAsia="Calibri" w:hAnsi="Times New Roman"/>
                <w:sz w:val="16"/>
                <w:szCs w:val="16"/>
              </w:rPr>
              <w:t>266.83 ±11.76</w:t>
            </w:r>
          </w:p>
        </w:tc>
        <w:tc>
          <w:tcPr>
            <w:tcW w:w="719" w:type="dxa"/>
            <w:tcBorders>
              <w:top w:val="nil"/>
              <w:left w:val="nil"/>
              <w:bottom w:val="nil"/>
              <w:right w:val="nil"/>
            </w:tcBorders>
          </w:tcPr>
          <w:p w:rsidR="00635A0A" w:rsidRPr="00803024" w:rsidRDefault="00635A0A" w:rsidP="00F97A81">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67.11 ±3.71</w:t>
            </w:r>
          </w:p>
        </w:tc>
        <w:tc>
          <w:tcPr>
            <w:tcW w:w="812" w:type="dxa"/>
            <w:tcBorders>
              <w:top w:val="nil"/>
              <w:left w:val="nil"/>
              <w:bottom w:val="nil"/>
              <w:right w:val="nil"/>
            </w:tcBorders>
          </w:tcPr>
          <w:p w:rsidR="00635A0A" w:rsidRPr="00803024" w:rsidRDefault="00635A0A" w:rsidP="00F97A81">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64.84 ±2.86</w:t>
            </w:r>
          </w:p>
        </w:tc>
        <w:tc>
          <w:tcPr>
            <w:tcW w:w="720" w:type="dxa"/>
            <w:tcBorders>
              <w:top w:val="nil"/>
              <w:left w:val="nil"/>
              <w:bottom w:val="nil"/>
              <w:right w:val="nil"/>
            </w:tcBorders>
          </w:tcPr>
          <w:p w:rsidR="00635A0A" w:rsidRPr="00803024" w:rsidRDefault="00635A0A" w:rsidP="00F97A81">
            <w:pPr>
              <w:spacing w:after="0" w:line="240" w:lineRule="auto"/>
              <w:jc w:val="center"/>
              <w:rPr>
                <w:rFonts w:ascii="Times New Roman" w:eastAsia="Calibri" w:hAnsi="Times New Roman"/>
                <w:sz w:val="16"/>
                <w:szCs w:val="16"/>
              </w:rPr>
            </w:pPr>
            <w:r w:rsidRPr="00803024">
              <w:rPr>
                <w:rFonts w:ascii="Times New Roman" w:eastAsia="Calibri" w:hAnsi="Times New Roman"/>
                <w:sz w:val="16"/>
                <w:szCs w:val="16"/>
              </w:rPr>
              <w:t>16.96 ±0.94</w:t>
            </w:r>
          </w:p>
        </w:tc>
      </w:tr>
      <w:tr w:rsidR="00635A0A" w:rsidRPr="00502464" w:rsidTr="005F69C0">
        <w:trPr>
          <w:trHeight w:val="423"/>
          <w:jc w:val="center"/>
        </w:trPr>
        <w:tc>
          <w:tcPr>
            <w:tcW w:w="798"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p>
        </w:tc>
        <w:tc>
          <w:tcPr>
            <w:tcW w:w="708" w:type="dxa"/>
            <w:tcBorders>
              <w:top w:val="nil"/>
              <w:left w:val="nil"/>
              <w:bottom w:val="single" w:sz="4" w:space="0" w:color="auto"/>
              <w:right w:val="nil"/>
            </w:tcBorders>
          </w:tcPr>
          <w:p w:rsidR="00635A0A" w:rsidRPr="00803024" w:rsidRDefault="00635A0A" w:rsidP="00FC7D59">
            <w:pPr>
              <w:adjustRightInd w:val="0"/>
              <w:jc w:val="center"/>
              <w:rPr>
                <w:rFonts w:ascii="Times New Roman" w:eastAsia="Calibri" w:hAnsi="Times New Roman"/>
                <w:sz w:val="16"/>
                <w:szCs w:val="16"/>
              </w:rPr>
            </w:pPr>
          </w:p>
        </w:tc>
        <w:tc>
          <w:tcPr>
            <w:tcW w:w="708"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7</w:t>
            </w:r>
          </w:p>
        </w:tc>
        <w:tc>
          <w:tcPr>
            <w:tcW w:w="707" w:type="dxa"/>
            <w:tcBorders>
              <w:top w:val="nil"/>
              <w:left w:val="nil"/>
              <w:bottom w:val="single" w:sz="4" w:space="0" w:color="auto"/>
              <w:right w:val="nil"/>
            </w:tcBorders>
          </w:tcPr>
          <w:p w:rsidR="00635A0A" w:rsidRPr="00803024" w:rsidRDefault="00635A0A" w:rsidP="00FC7D59">
            <w:pPr>
              <w:adjustRightInd w:val="0"/>
              <w:jc w:val="center"/>
              <w:rPr>
                <w:rFonts w:ascii="Times New Roman" w:eastAsia="Calibri" w:hAnsi="Times New Roman"/>
                <w:sz w:val="16"/>
                <w:szCs w:val="16"/>
              </w:rPr>
            </w:pPr>
            <w:r w:rsidRPr="00803024">
              <w:rPr>
                <w:rFonts w:ascii="Times New Roman" w:eastAsia="Calibri" w:hAnsi="Times New Roman"/>
                <w:sz w:val="16"/>
                <w:szCs w:val="16"/>
              </w:rPr>
              <w:t>60.50</w:t>
            </w:r>
          </w:p>
        </w:tc>
        <w:tc>
          <w:tcPr>
            <w:tcW w:w="583" w:type="dxa"/>
            <w:tcBorders>
              <w:top w:val="nil"/>
              <w:left w:val="nil"/>
              <w:bottom w:val="single" w:sz="4" w:space="0" w:color="auto"/>
              <w:right w:val="nil"/>
            </w:tcBorders>
          </w:tcPr>
          <w:p w:rsidR="00635A0A" w:rsidRPr="00803024" w:rsidRDefault="00635A0A" w:rsidP="00FC7D59">
            <w:pPr>
              <w:adjustRightInd w:val="0"/>
              <w:jc w:val="center"/>
              <w:rPr>
                <w:rFonts w:ascii="Times New Roman" w:eastAsia="Calibri" w:hAnsi="Times New Roman"/>
                <w:sz w:val="16"/>
                <w:szCs w:val="16"/>
              </w:rPr>
            </w:pPr>
            <w:r w:rsidRPr="00803024">
              <w:rPr>
                <w:rFonts w:ascii="Times New Roman" w:eastAsia="Calibri" w:hAnsi="Times New Roman"/>
                <w:sz w:val="16"/>
                <w:szCs w:val="16"/>
              </w:rPr>
              <w:t>35.90</w:t>
            </w:r>
          </w:p>
        </w:tc>
        <w:tc>
          <w:tcPr>
            <w:tcW w:w="540"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0.53</w:t>
            </w:r>
          </w:p>
        </w:tc>
        <w:tc>
          <w:tcPr>
            <w:tcW w:w="629"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0.128</w:t>
            </w:r>
          </w:p>
        </w:tc>
        <w:tc>
          <w:tcPr>
            <w:tcW w:w="629"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2.11</w:t>
            </w:r>
          </w:p>
        </w:tc>
        <w:tc>
          <w:tcPr>
            <w:tcW w:w="630"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0.46</w:t>
            </w:r>
          </w:p>
        </w:tc>
        <w:tc>
          <w:tcPr>
            <w:tcW w:w="809"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333.41 ±14.94</w:t>
            </w:r>
          </w:p>
        </w:tc>
        <w:tc>
          <w:tcPr>
            <w:tcW w:w="719" w:type="dxa"/>
            <w:tcBorders>
              <w:top w:val="nil"/>
              <w:left w:val="nil"/>
              <w:bottom w:val="single" w:sz="4" w:space="0" w:color="auto"/>
              <w:right w:val="nil"/>
            </w:tcBorders>
          </w:tcPr>
          <w:p w:rsidR="00635A0A" w:rsidRPr="00803024" w:rsidRDefault="00635A0A" w:rsidP="000D3A91">
            <w:pPr>
              <w:jc w:val="center"/>
              <w:rPr>
                <w:rFonts w:ascii="Times New Roman" w:eastAsia="Calibri" w:hAnsi="Times New Roman"/>
                <w:sz w:val="16"/>
                <w:szCs w:val="16"/>
              </w:rPr>
            </w:pPr>
            <w:r w:rsidRPr="00803024">
              <w:rPr>
                <w:rFonts w:ascii="Times New Roman" w:eastAsia="Calibri" w:hAnsi="Times New Roman"/>
                <w:sz w:val="16"/>
                <w:szCs w:val="16"/>
              </w:rPr>
              <w:t>29.88± 1.83</w:t>
            </w:r>
          </w:p>
        </w:tc>
        <w:tc>
          <w:tcPr>
            <w:tcW w:w="812" w:type="dxa"/>
            <w:tcBorders>
              <w:top w:val="nil"/>
              <w:left w:val="nil"/>
              <w:bottom w:val="single" w:sz="4" w:space="0" w:color="auto"/>
              <w:right w:val="nil"/>
            </w:tcBorders>
          </w:tcPr>
          <w:p w:rsidR="00635A0A" w:rsidRPr="00803024" w:rsidRDefault="00635A0A" w:rsidP="00FC7D59">
            <w:pPr>
              <w:jc w:val="center"/>
              <w:rPr>
                <w:rFonts w:ascii="Times New Roman" w:eastAsia="Calibri" w:hAnsi="Times New Roman"/>
                <w:sz w:val="16"/>
                <w:szCs w:val="16"/>
              </w:rPr>
            </w:pPr>
            <w:r w:rsidRPr="00803024">
              <w:rPr>
                <w:rFonts w:ascii="Times New Roman" w:eastAsia="Calibri" w:hAnsi="Times New Roman"/>
                <w:sz w:val="16"/>
                <w:szCs w:val="16"/>
              </w:rPr>
              <w:t>80.48 ±3.61</w:t>
            </w:r>
          </w:p>
        </w:tc>
        <w:tc>
          <w:tcPr>
            <w:tcW w:w="720" w:type="dxa"/>
            <w:tcBorders>
              <w:top w:val="nil"/>
              <w:left w:val="nil"/>
              <w:bottom w:val="single" w:sz="4" w:space="0" w:color="auto"/>
              <w:right w:val="nil"/>
            </w:tcBorders>
          </w:tcPr>
          <w:p w:rsidR="00635A0A" w:rsidRPr="00803024" w:rsidRDefault="00635A0A" w:rsidP="005F69C0">
            <w:pPr>
              <w:spacing w:after="60"/>
              <w:jc w:val="center"/>
              <w:rPr>
                <w:rFonts w:ascii="Times New Roman" w:eastAsia="Calibri" w:hAnsi="Times New Roman"/>
                <w:sz w:val="16"/>
                <w:szCs w:val="16"/>
              </w:rPr>
            </w:pPr>
            <w:r w:rsidRPr="00803024">
              <w:rPr>
                <w:rFonts w:ascii="Times New Roman" w:eastAsia="Calibri" w:hAnsi="Times New Roman"/>
                <w:sz w:val="16"/>
                <w:szCs w:val="16"/>
              </w:rPr>
              <w:t>6.54 ±0.40</w:t>
            </w:r>
          </w:p>
        </w:tc>
      </w:tr>
    </w:tbl>
    <w:p w:rsidR="00FC7D59" w:rsidRPr="00FC7D59" w:rsidRDefault="00FC7D59" w:rsidP="00E8191B">
      <w:pPr>
        <w:tabs>
          <w:tab w:val="left" w:pos="11430"/>
        </w:tabs>
        <w:spacing w:after="120" w:line="240" w:lineRule="auto"/>
        <w:jc w:val="center"/>
        <w:rPr>
          <w:rFonts w:ascii="Times New Roman" w:eastAsia="Calibri" w:hAnsi="Times New Roman"/>
          <w:szCs w:val="20"/>
        </w:rPr>
      </w:pPr>
      <w:r>
        <w:rPr>
          <w:rFonts w:ascii="Times New Roman" w:eastAsia="Calibri" w:hAnsi="Times New Roman"/>
          <w:szCs w:val="20"/>
        </w:rPr>
        <w:lastRenderedPageBreak/>
        <w:t xml:space="preserve">Table 1 (cont’d).  </w:t>
      </w:r>
      <w:r>
        <w:rPr>
          <w:rFonts w:ascii="Times New Roman" w:eastAsia="Calibri" w:hAnsi="Times New Roman"/>
          <w:bCs/>
          <w:szCs w:val="20"/>
          <w:vertAlign w:val="superscript"/>
        </w:rPr>
        <w:t>210</w:t>
      </w:r>
      <w:r>
        <w:rPr>
          <w:rFonts w:ascii="Times New Roman" w:eastAsia="Calibri" w:hAnsi="Times New Roman"/>
          <w:bCs/>
          <w:szCs w:val="20"/>
        </w:rPr>
        <w:t>Po activity concentrations in the stomach and tissue of green mussel</w:t>
      </w:r>
    </w:p>
    <w:tbl>
      <w:tblPr>
        <w:tblW w:w="8961" w:type="dxa"/>
        <w:jc w:val="center"/>
        <w:tblBorders>
          <w:top w:val="single" w:sz="4" w:space="0" w:color="auto"/>
          <w:bottom w:val="single" w:sz="4" w:space="0" w:color="auto"/>
        </w:tblBorders>
        <w:tblLayout w:type="fixed"/>
        <w:tblLook w:val="04A0" w:firstRow="1" w:lastRow="0" w:firstColumn="1" w:lastColumn="0" w:noHBand="0" w:noVBand="1"/>
      </w:tblPr>
      <w:tblGrid>
        <w:gridCol w:w="750"/>
        <w:gridCol w:w="676"/>
        <w:gridCol w:w="687"/>
        <w:gridCol w:w="9"/>
        <w:gridCol w:w="692"/>
        <w:gridCol w:w="10"/>
        <w:gridCol w:w="573"/>
        <w:gridCol w:w="10"/>
        <w:gridCol w:w="535"/>
        <w:gridCol w:w="10"/>
        <w:gridCol w:w="616"/>
        <w:gridCol w:w="10"/>
        <w:gridCol w:w="625"/>
        <w:gridCol w:w="634"/>
        <w:gridCol w:w="806"/>
        <w:gridCol w:w="7"/>
        <w:gridCol w:w="713"/>
        <w:gridCol w:w="7"/>
        <w:gridCol w:w="802"/>
        <w:gridCol w:w="6"/>
        <w:gridCol w:w="721"/>
        <w:gridCol w:w="7"/>
        <w:gridCol w:w="55"/>
      </w:tblGrid>
      <w:tr w:rsidR="00FC7D59" w:rsidRPr="003B7762" w:rsidTr="00FC7D59">
        <w:trPr>
          <w:gridAfter w:val="1"/>
          <w:wAfter w:w="55" w:type="dxa"/>
          <w:trHeight w:val="125"/>
          <w:jc w:val="center"/>
        </w:trPr>
        <w:tc>
          <w:tcPr>
            <w:tcW w:w="750" w:type="dxa"/>
            <w:vMerge w:val="restart"/>
            <w:tcBorders>
              <w:top w:val="single" w:sz="4" w:space="0" w:color="auto"/>
              <w:left w:val="nil"/>
              <w:bottom w:val="nil"/>
              <w:right w:val="nil"/>
            </w:tcBorders>
            <w:hideMark/>
          </w:tcPr>
          <w:p w:rsidR="00FC7D59" w:rsidRPr="003B7762" w:rsidRDefault="00FC7D59" w:rsidP="00FC7D59">
            <w:pPr>
              <w:spacing w:before="240" w:after="0" w:line="240" w:lineRule="auto"/>
              <w:rPr>
                <w:rFonts w:ascii="Times New Roman" w:eastAsia="Calibri" w:hAnsi="Times New Roman"/>
                <w:b/>
                <w:sz w:val="14"/>
                <w:szCs w:val="16"/>
              </w:rPr>
            </w:pPr>
            <w:r w:rsidRPr="003B7762">
              <w:rPr>
                <w:rFonts w:ascii="Times New Roman" w:eastAsia="Calibri" w:hAnsi="Times New Roman"/>
                <w:b/>
                <w:sz w:val="14"/>
                <w:szCs w:val="16"/>
              </w:rPr>
              <w:t>Location</w:t>
            </w:r>
          </w:p>
        </w:tc>
        <w:tc>
          <w:tcPr>
            <w:tcW w:w="676" w:type="dxa"/>
            <w:vMerge w:val="restart"/>
            <w:tcBorders>
              <w:top w:val="single" w:sz="4" w:space="0" w:color="auto"/>
              <w:left w:val="nil"/>
              <w:bottom w:val="nil"/>
              <w:right w:val="nil"/>
            </w:tcBorders>
            <w:hideMark/>
          </w:tcPr>
          <w:p w:rsidR="00FC7D59" w:rsidRPr="003B7762" w:rsidRDefault="00FC7D59" w:rsidP="00FC7D59">
            <w:pPr>
              <w:spacing w:before="240" w:after="0" w:line="240" w:lineRule="auto"/>
              <w:rPr>
                <w:rFonts w:ascii="Times New Roman" w:eastAsia="Calibri" w:hAnsi="Times New Roman"/>
                <w:b/>
                <w:sz w:val="14"/>
                <w:szCs w:val="16"/>
              </w:rPr>
            </w:pPr>
            <w:r w:rsidRPr="003B7762">
              <w:rPr>
                <w:rFonts w:ascii="Times New Roman" w:eastAsia="Calibri" w:hAnsi="Times New Roman"/>
                <w:b/>
                <w:sz w:val="14"/>
                <w:szCs w:val="16"/>
              </w:rPr>
              <w:t>Station</w:t>
            </w:r>
          </w:p>
        </w:tc>
        <w:tc>
          <w:tcPr>
            <w:tcW w:w="696" w:type="dxa"/>
            <w:gridSpan w:val="2"/>
            <w:vMerge w:val="restart"/>
            <w:tcBorders>
              <w:top w:val="single" w:sz="4" w:space="0" w:color="auto"/>
              <w:left w:val="nil"/>
              <w:bottom w:val="nil"/>
              <w:right w:val="nil"/>
            </w:tcBorders>
            <w:hideMark/>
          </w:tcPr>
          <w:p w:rsidR="00FC7D59" w:rsidRPr="003B7762" w:rsidRDefault="00FC7D59" w:rsidP="00FC7D59">
            <w:pPr>
              <w:spacing w:before="24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Sample</w:t>
            </w:r>
          </w:p>
        </w:tc>
        <w:tc>
          <w:tcPr>
            <w:tcW w:w="702" w:type="dxa"/>
            <w:gridSpan w:val="2"/>
            <w:vMerge w:val="restart"/>
            <w:tcBorders>
              <w:top w:val="single" w:sz="4" w:space="0" w:color="auto"/>
              <w:left w:val="nil"/>
              <w:bottom w:val="nil"/>
              <w:right w:val="nil"/>
            </w:tcBorders>
            <w:hideMark/>
          </w:tcPr>
          <w:p w:rsidR="00FC7D59" w:rsidRPr="003B7762" w:rsidRDefault="00FC7D59" w:rsidP="00FC7D59">
            <w:pPr>
              <w:spacing w:before="18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Length (mm)</w:t>
            </w:r>
          </w:p>
        </w:tc>
        <w:tc>
          <w:tcPr>
            <w:tcW w:w="583" w:type="dxa"/>
            <w:gridSpan w:val="2"/>
            <w:vMerge w:val="restart"/>
            <w:tcBorders>
              <w:top w:val="single" w:sz="4" w:space="0" w:color="auto"/>
              <w:left w:val="nil"/>
              <w:bottom w:val="nil"/>
              <w:right w:val="nil"/>
            </w:tcBorders>
            <w:hideMark/>
          </w:tcPr>
          <w:p w:rsidR="00FC7D59" w:rsidRPr="003B7762" w:rsidRDefault="00FC7D59" w:rsidP="00FC7D59">
            <w:pPr>
              <w:adjustRightInd w:val="0"/>
              <w:spacing w:before="18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Wide (mm)</w:t>
            </w:r>
          </w:p>
        </w:tc>
        <w:tc>
          <w:tcPr>
            <w:tcW w:w="1171" w:type="dxa"/>
            <w:gridSpan w:val="4"/>
            <w:tcBorders>
              <w:top w:val="single" w:sz="4" w:space="0" w:color="auto"/>
              <w:left w:val="nil"/>
              <w:bottom w:val="single" w:sz="4" w:space="0" w:color="auto"/>
              <w:right w:val="nil"/>
            </w:tcBorders>
            <w:hideMark/>
          </w:tcPr>
          <w:p w:rsidR="00FC7D59" w:rsidRPr="003B7762" w:rsidRDefault="00FC7D59" w:rsidP="00FC7D59">
            <w:pPr>
              <w:spacing w:before="6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Stomach</w:t>
            </w:r>
          </w:p>
        </w:tc>
        <w:tc>
          <w:tcPr>
            <w:tcW w:w="1259" w:type="dxa"/>
            <w:gridSpan w:val="2"/>
            <w:tcBorders>
              <w:top w:val="single" w:sz="4" w:space="0" w:color="auto"/>
              <w:left w:val="nil"/>
              <w:bottom w:val="single" w:sz="4" w:space="0" w:color="auto"/>
              <w:right w:val="nil"/>
            </w:tcBorders>
            <w:hideMark/>
          </w:tcPr>
          <w:p w:rsidR="00FC7D59" w:rsidRPr="003B7762" w:rsidRDefault="00FC7D59" w:rsidP="00FC7D59">
            <w:pPr>
              <w:spacing w:before="6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Tissue</w:t>
            </w:r>
          </w:p>
        </w:tc>
        <w:tc>
          <w:tcPr>
            <w:tcW w:w="1533" w:type="dxa"/>
            <w:gridSpan w:val="4"/>
            <w:tcBorders>
              <w:top w:val="single" w:sz="4" w:space="0" w:color="auto"/>
              <w:left w:val="nil"/>
              <w:bottom w:val="single" w:sz="4" w:space="0" w:color="auto"/>
              <w:right w:val="nil"/>
            </w:tcBorders>
            <w:hideMark/>
          </w:tcPr>
          <w:p w:rsidR="00FC7D59" w:rsidRPr="003B7762" w:rsidRDefault="00FC7D59" w:rsidP="00FC7D59">
            <w:pPr>
              <w:spacing w:before="6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 xml:space="preserve">Po-210 in </w:t>
            </w:r>
          </w:p>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Dry Sample</w:t>
            </w:r>
          </w:p>
        </w:tc>
        <w:tc>
          <w:tcPr>
            <w:tcW w:w="1536" w:type="dxa"/>
            <w:gridSpan w:val="4"/>
            <w:tcBorders>
              <w:top w:val="single" w:sz="4" w:space="0" w:color="auto"/>
              <w:left w:val="nil"/>
              <w:bottom w:val="single" w:sz="4" w:space="0" w:color="auto"/>
              <w:right w:val="nil"/>
            </w:tcBorders>
            <w:hideMark/>
          </w:tcPr>
          <w:p w:rsidR="00FC7D59" w:rsidRPr="003B7762" w:rsidRDefault="00FC7D59" w:rsidP="00FC7D59">
            <w:pPr>
              <w:spacing w:before="60"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 xml:space="preserve">Po-210 in </w:t>
            </w:r>
          </w:p>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Wet Sample</w:t>
            </w:r>
          </w:p>
        </w:tc>
      </w:tr>
      <w:tr w:rsidR="00FC7D59" w:rsidRPr="003B7762" w:rsidTr="00CB1B30">
        <w:trPr>
          <w:gridAfter w:val="1"/>
          <w:wAfter w:w="55" w:type="dxa"/>
          <w:trHeight w:val="270"/>
          <w:jc w:val="center"/>
        </w:trPr>
        <w:tc>
          <w:tcPr>
            <w:tcW w:w="750" w:type="dxa"/>
            <w:vMerge/>
            <w:tcBorders>
              <w:top w:val="nil"/>
              <w:left w:val="nil"/>
              <w:bottom w:val="single" w:sz="4" w:space="0" w:color="auto"/>
              <w:right w:val="nil"/>
            </w:tcBorders>
            <w:vAlign w:val="center"/>
            <w:hideMark/>
          </w:tcPr>
          <w:p w:rsidR="00FC7D59" w:rsidRPr="003B7762" w:rsidRDefault="00FC7D59" w:rsidP="00FC7D59">
            <w:pPr>
              <w:spacing w:after="0" w:line="240" w:lineRule="auto"/>
              <w:rPr>
                <w:rFonts w:ascii="Times New Roman" w:eastAsia="Calibri" w:hAnsi="Times New Roman"/>
                <w:b/>
                <w:sz w:val="14"/>
                <w:szCs w:val="16"/>
              </w:rPr>
            </w:pPr>
          </w:p>
        </w:tc>
        <w:tc>
          <w:tcPr>
            <w:tcW w:w="676" w:type="dxa"/>
            <w:vMerge/>
            <w:tcBorders>
              <w:top w:val="nil"/>
              <w:left w:val="nil"/>
              <w:bottom w:val="single" w:sz="4" w:space="0" w:color="auto"/>
              <w:right w:val="nil"/>
            </w:tcBorders>
            <w:vAlign w:val="center"/>
            <w:hideMark/>
          </w:tcPr>
          <w:p w:rsidR="00FC7D59" w:rsidRPr="003B7762" w:rsidRDefault="00FC7D59" w:rsidP="00FC7D59">
            <w:pPr>
              <w:spacing w:after="0" w:line="240" w:lineRule="auto"/>
              <w:rPr>
                <w:rFonts w:ascii="Times New Roman" w:eastAsia="Calibri" w:hAnsi="Times New Roman"/>
                <w:b/>
                <w:sz w:val="14"/>
                <w:szCs w:val="16"/>
              </w:rPr>
            </w:pPr>
          </w:p>
        </w:tc>
        <w:tc>
          <w:tcPr>
            <w:tcW w:w="696" w:type="dxa"/>
            <w:gridSpan w:val="2"/>
            <w:vMerge/>
            <w:tcBorders>
              <w:top w:val="nil"/>
              <w:left w:val="nil"/>
              <w:bottom w:val="single" w:sz="4" w:space="0" w:color="auto"/>
              <w:right w:val="nil"/>
            </w:tcBorders>
            <w:vAlign w:val="center"/>
            <w:hideMark/>
          </w:tcPr>
          <w:p w:rsidR="00FC7D59" w:rsidRPr="003B7762" w:rsidRDefault="00FC7D59" w:rsidP="00FC7D59">
            <w:pPr>
              <w:spacing w:after="0" w:line="240" w:lineRule="auto"/>
              <w:jc w:val="center"/>
              <w:rPr>
                <w:rFonts w:ascii="Times New Roman" w:eastAsia="Calibri" w:hAnsi="Times New Roman"/>
                <w:b/>
                <w:sz w:val="14"/>
                <w:szCs w:val="16"/>
              </w:rPr>
            </w:pPr>
          </w:p>
        </w:tc>
        <w:tc>
          <w:tcPr>
            <w:tcW w:w="702" w:type="dxa"/>
            <w:gridSpan w:val="2"/>
            <w:vMerge/>
            <w:tcBorders>
              <w:top w:val="nil"/>
              <w:left w:val="nil"/>
              <w:bottom w:val="single" w:sz="4" w:space="0" w:color="auto"/>
              <w:right w:val="nil"/>
            </w:tcBorders>
            <w:vAlign w:val="center"/>
            <w:hideMark/>
          </w:tcPr>
          <w:p w:rsidR="00FC7D59" w:rsidRPr="003B7762" w:rsidRDefault="00FC7D59" w:rsidP="00FC7D59">
            <w:pPr>
              <w:spacing w:after="0" w:line="240" w:lineRule="auto"/>
              <w:jc w:val="center"/>
              <w:rPr>
                <w:rFonts w:ascii="Times New Roman" w:eastAsia="Calibri" w:hAnsi="Times New Roman"/>
                <w:b/>
                <w:sz w:val="14"/>
                <w:szCs w:val="16"/>
              </w:rPr>
            </w:pPr>
          </w:p>
        </w:tc>
        <w:tc>
          <w:tcPr>
            <w:tcW w:w="583" w:type="dxa"/>
            <w:gridSpan w:val="2"/>
            <w:vMerge/>
            <w:tcBorders>
              <w:top w:val="nil"/>
              <w:left w:val="nil"/>
              <w:bottom w:val="single" w:sz="4" w:space="0" w:color="auto"/>
              <w:right w:val="nil"/>
            </w:tcBorders>
            <w:vAlign w:val="center"/>
            <w:hideMark/>
          </w:tcPr>
          <w:p w:rsidR="00FC7D59" w:rsidRPr="003B7762" w:rsidRDefault="00FC7D59" w:rsidP="00FC7D59">
            <w:pPr>
              <w:spacing w:after="0" w:line="240" w:lineRule="auto"/>
              <w:jc w:val="center"/>
              <w:rPr>
                <w:rFonts w:ascii="Times New Roman" w:eastAsia="Calibri" w:hAnsi="Times New Roman"/>
                <w:b/>
                <w:sz w:val="14"/>
                <w:szCs w:val="16"/>
              </w:rPr>
            </w:pPr>
          </w:p>
        </w:tc>
        <w:tc>
          <w:tcPr>
            <w:tcW w:w="545" w:type="dxa"/>
            <w:gridSpan w:val="2"/>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Wet (g)</w:t>
            </w:r>
          </w:p>
        </w:tc>
        <w:tc>
          <w:tcPr>
            <w:tcW w:w="626" w:type="dxa"/>
            <w:gridSpan w:val="2"/>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Dry (g)</w:t>
            </w:r>
          </w:p>
        </w:tc>
        <w:tc>
          <w:tcPr>
            <w:tcW w:w="625" w:type="dxa"/>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Wet (g)</w:t>
            </w:r>
          </w:p>
        </w:tc>
        <w:tc>
          <w:tcPr>
            <w:tcW w:w="634" w:type="dxa"/>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Dry (g)</w:t>
            </w:r>
          </w:p>
        </w:tc>
        <w:tc>
          <w:tcPr>
            <w:tcW w:w="813" w:type="dxa"/>
            <w:gridSpan w:val="2"/>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Stomach (Bq/kg)</w:t>
            </w:r>
          </w:p>
        </w:tc>
        <w:tc>
          <w:tcPr>
            <w:tcW w:w="720" w:type="dxa"/>
            <w:gridSpan w:val="2"/>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Tissue</w:t>
            </w:r>
          </w:p>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(Bq/kg)</w:t>
            </w:r>
          </w:p>
        </w:tc>
        <w:tc>
          <w:tcPr>
            <w:tcW w:w="808" w:type="dxa"/>
            <w:gridSpan w:val="2"/>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Stomach (Bq/kg)</w:t>
            </w:r>
          </w:p>
        </w:tc>
        <w:tc>
          <w:tcPr>
            <w:tcW w:w="728" w:type="dxa"/>
            <w:gridSpan w:val="2"/>
            <w:tcBorders>
              <w:top w:val="single" w:sz="4" w:space="0" w:color="auto"/>
              <w:left w:val="nil"/>
              <w:bottom w:val="single" w:sz="4" w:space="0" w:color="auto"/>
              <w:right w:val="nil"/>
            </w:tcBorders>
            <w:hideMark/>
          </w:tcPr>
          <w:p w:rsidR="00FC7D59" w:rsidRPr="003B7762" w:rsidRDefault="00FC7D59" w:rsidP="00FC7D59">
            <w:pPr>
              <w:spacing w:after="0" w:line="240" w:lineRule="auto"/>
              <w:jc w:val="center"/>
              <w:rPr>
                <w:rFonts w:ascii="Times New Roman" w:eastAsia="Calibri" w:hAnsi="Times New Roman"/>
                <w:b/>
                <w:sz w:val="14"/>
                <w:szCs w:val="16"/>
              </w:rPr>
            </w:pPr>
            <w:r w:rsidRPr="003B7762">
              <w:rPr>
                <w:rFonts w:ascii="Times New Roman" w:eastAsia="Calibri" w:hAnsi="Times New Roman"/>
                <w:b/>
                <w:sz w:val="14"/>
                <w:szCs w:val="16"/>
              </w:rPr>
              <w:t>Tissue</w:t>
            </w:r>
          </w:p>
          <w:p w:rsidR="00FC7D59" w:rsidRPr="003B7762" w:rsidRDefault="00FC7D59" w:rsidP="00FC7D59">
            <w:pPr>
              <w:spacing w:after="60" w:line="240" w:lineRule="auto"/>
              <w:jc w:val="center"/>
              <w:rPr>
                <w:rFonts w:ascii="Times New Roman" w:eastAsia="Calibri" w:hAnsi="Times New Roman"/>
                <w:b/>
                <w:sz w:val="14"/>
                <w:szCs w:val="16"/>
              </w:rPr>
            </w:pPr>
            <w:r w:rsidRPr="003B7762">
              <w:rPr>
                <w:rFonts w:ascii="Times New Roman" w:eastAsia="Calibri" w:hAnsi="Times New Roman"/>
                <w:b/>
                <w:sz w:val="14"/>
                <w:szCs w:val="16"/>
              </w:rPr>
              <w:t>(Bq/kg)</w:t>
            </w:r>
          </w:p>
        </w:tc>
      </w:tr>
      <w:tr w:rsidR="00FC7D59" w:rsidRPr="00CB1B30" w:rsidTr="00CB1B30">
        <w:trPr>
          <w:gridAfter w:val="1"/>
          <w:wAfter w:w="55" w:type="dxa"/>
          <w:trHeight w:val="135"/>
          <w:jc w:val="center"/>
        </w:trPr>
        <w:tc>
          <w:tcPr>
            <w:tcW w:w="750" w:type="dxa"/>
            <w:tcBorders>
              <w:top w:val="single" w:sz="4" w:space="0" w:color="000000"/>
              <w:left w:val="nil"/>
              <w:bottom w:val="nil"/>
              <w:right w:val="nil"/>
            </w:tcBorders>
          </w:tcPr>
          <w:p w:rsidR="00FC7D59" w:rsidRPr="00CB1B30" w:rsidRDefault="00FC7D59" w:rsidP="00CB1B30">
            <w:pPr>
              <w:spacing w:after="0" w:line="240" w:lineRule="auto"/>
              <w:rPr>
                <w:rFonts w:ascii="Times New Roman" w:eastAsia="Calibri" w:hAnsi="Times New Roman"/>
                <w:sz w:val="16"/>
                <w:szCs w:val="16"/>
              </w:rPr>
            </w:pPr>
          </w:p>
        </w:tc>
        <w:tc>
          <w:tcPr>
            <w:tcW w:w="676" w:type="dxa"/>
            <w:tcBorders>
              <w:top w:val="single" w:sz="4" w:space="0" w:color="000000"/>
              <w:left w:val="nil"/>
              <w:bottom w:val="nil"/>
              <w:right w:val="nil"/>
            </w:tcBorders>
          </w:tcPr>
          <w:p w:rsidR="00FC7D59" w:rsidRPr="00CB1B30" w:rsidRDefault="00FC7D59" w:rsidP="00CB1B30">
            <w:pPr>
              <w:spacing w:after="0" w:line="240" w:lineRule="auto"/>
              <w:rPr>
                <w:rFonts w:ascii="Times New Roman" w:eastAsia="Calibri" w:hAnsi="Times New Roman"/>
                <w:sz w:val="16"/>
                <w:szCs w:val="16"/>
              </w:rPr>
            </w:pPr>
          </w:p>
        </w:tc>
        <w:tc>
          <w:tcPr>
            <w:tcW w:w="696" w:type="dxa"/>
            <w:gridSpan w:val="2"/>
            <w:tcBorders>
              <w:top w:val="single" w:sz="4" w:space="0" w:color="auto"/>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702" w:type="dxa"/>
            <w:gridSpan w:val="2"/>
            <w:tcBorders>
              <w:top w:val="single" w:sz="4" w:space="0" w:color="auto"/>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583" w:type="dxa"/>
            <w:gridSpan w:val="2"/>
            <w:tcBorders>
              <w:top w:val="single" w:sz="4" w:space="0" w:color="auto"/>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545" w:type="dxa"/>
            <w:gridSpan w:val="2"/>
            <w:tcBorders>
              <w:top w:val="single" w:sz="4" w:space="0" w:color="auto"/>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626" w:type="dxa"/>
            <w:gridSpan w:val="2"/>
            <w:tcBorders>
              <w:top w:val="single" w:sz="4" w:space="0" w:color="auto"/>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625" w:type="dxa"/>
            <w:tcBorders>
              <w:top w:val="single" w:sz="4" w:space="0" w:color="auto"/>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634" w:type="dxa"/>
            <w:tcBorders>
              <w:top w:val="single" w:sz="4" w:space="0" w:color="auto"/>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813" w:type="dxa"/>
            <w:gridSpan w:val="2"/>
            <w:tcBorders>
              <w:top w:val="single" w:sz="4" w:space="0" w:color="000000"/>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720" w:type="dxa"/>
            <w:gridSpan w:val="2"/>
            <w:tcBorders>
              <w:top w:val="single" w:sz="4" w:space="0" w:color="000000"/>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808" w:type="dxa"/>
            <w:gridSpan w:val="2"/>
            <w:tcBorders>
              <w:top w:val="single" w:sz="4" w:space="0" w:color="000000"/>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728" w:type="dxa"/>
            <w:gridSpan w:val="2"/>
            <w:tcBorders>
              <w:top w:val="single" w:sz="4" w:space="0" w:color="000000"/>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r>
      <w:tr w:rsidR="00FC7D59" w:rsidRPr="00CB1B30" w:rsidTr="00CB1B30">
        <w:tblPrEx>
          <w:tblBorders>
            <w:top w:val="single" w:sz="4" w:space="0" w:color="000000"/>
            <w:bottom w:val="single" w:sz="4" w:space="0" w:color="000000"/>
          </w:tblBorders>
        </w:tblPrEx>
        <w:trPr>
          <w:gridAfter w:val="2"/>
          <w:wAfter w:w="62" w:type="dxa"/>
          <w:trHeight w:val="135"/>
          <w:jc w:val="center"/>
        </w:trPr>
        <w:tc>
          <w:tcPr>
            <w:tcW w:w="750" w:type="dxa"/>
            <w:vMerge w:val="restart"/>
            <w:tcBorders>
              <w:top w:val="nil"/>
              <w:left w:val="nil"/>
              <w:bottom w:val="single" w:sz="4" w:space="0" w:color="auto"/>
              <w:right w:val="nil"/>
            </w:tcBorders>
          </w:tcPr>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CB1B30" w:rsidRDefault="00CB1B30" w:rsidP="00CB1B30">
            <w:pPr>
              <w:spacing w:after="0" w:line="240" w:lineRule="auto"/>
              <w:rPr>
                <w:rFonts w:ascii="Times New Roman" w:eastAsia="Calibri" w:hAnsi="Times New Roman"/>
                <w:sz w:val="16"/>
                <w:szCs w:val="16"/>
              </w:rPr>
            </w:pPr>
          </w:p>
          <w:p w:rsidR="00FC7D59" w:rsidRPr="00CB1B30" w:rsidRDefault="00FC7D59" w:rsidP="00CB1B30">
            <w:pPr>
              <w:spacing w:after="0" w:line="240" w:lineRule="auto"/>
              <w:rPr>
                <w:rFonts w:ascii="Times New Roman" w:eastAsia="Calibri" w:hAnsi="Times New Roman"/>
                <w:sz w:val="16"/>
                <w:szCs w:val="16"/>
              </w:rPr>
            </w:pPr>
            <w:r w:rsidRPr="00CB1B30">
              <w:rPr>
                <w:rFonts w:ascii="Times New Roman" w:eastAsia="Calibri" w:hAnsi="Times New Roman"/>
                <w:sz w:val="16"/>
                <w:szCs w:val="16"/>
              </w:rPr>
              <w:t>Wild</w:t>
            </w:r>
          </w:p>
        </w:tc>
        <w:tc>
          <w:tcPr>
            <w:tcW w:w="676" w:type="dxa"/>
            <w:vMerge w:val="restart"/>
            <w:tcBorders>
              <w:top w:val="nil"/>
              <w:left w:val="nil"/>
              <w:bottom w:val="single" w:sz="4" w:space="0" w:color="auto"/>
              <w:right w:val="nil"/>
            </w:tcBorders>
          </w:tcPr>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ST 05</w:t>
            </w:r>
          </w:p>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(n = 7)</w:t>
            </w: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40.30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26.30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0.15</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0.04</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1.21</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0.24</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520.36 ±27.25</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102.41 ±5.21</w:t>
            </w:r>
          </w:p>
        </w:tc>
        <w:tc>
          <w:tcPr>
            <w:tcW w:w="809"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157.59 ±8.25</w:t>
            </w:r>
          </w:p>
        </w:tc>
        <w:tc>
          <w:tcPr>
            <w:tcW w:w="727" w:type="dxa"/>
            <w:gridSpan w:val="2"/>
            <w:tcBorders>
              <w:top w:val="nil"/>
              <w:left w:val="nil"/>
              <w:bottom w:val="nil"/>
              <w:right w:val="nil"/>
            </w:tcBorders>
            <w:hideMark/>
          </w:tcPr>
          <w:p w:rsidR="00FC7D59" w:rsidRPr="00CB1B30" w:rsidRDefault="00FC7D59" w:rsidP="00CB1B30">
            <w:pPr>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20.90 ±1.06</w:t>
            </w:r>
          </w:p>
        </w:tc>
      </w:tr>
      <w:tr w:rsidR="00FC7D59" w:rsidRPr="00CB1B30" w:rsidTr="00FC7D59">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auto"/>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single" w:sz="4" w:space="0" w:color="auto"/>
              <w:left w:val="nil"/>
              <w:bottom w:val="nil"/>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58.20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31.60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0.45</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0.12</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2.35</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0.50</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413.32 ±16.72</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123.46 ±4.60</w:t>
            </w:r>
          </w:p>
        </w:tc>
        <w:tc>
          <w:tcPr>
            <w:tcW w:w="809"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112.78 ±4.56</w:t>
            </w:r>
          </w:p>
        </w:tc>
        <w:tc>
          <w:tcPr>
            <w:tcW w:w="727" w:type="dxa"/>
            <w:gridSpan w:val="2"/>
            <w:tcBorders>
              <w:top w:val="nil"/>
              <w:left w:val="nil"/>
              <w:bottom w:val="nil"/>
              <w:right w:val="nil"/>
            </w:tcBorders>
            <w:hideMark/>
          </w:tcPr>
          <w:p w:rsidR="00FC7D59" w:rsidRPr="00CB1B30" w:rsidRDefault="00FC7D59" w:rsidP="00CB1B30">
            <w:pPr>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26.77 ±1.00</w:t>
            </w:r>
          </w:p>
        </w:tc>
      </w:tr>
      <w:tr w:rsidR="00FC7D59" w:rsidRPr="00CB1B30" w:rsidTr="00FC7D59">
        <w:tblPrEx>
          <w:tblBorders>
            <w:top w:val="single" w:sz="4" w:space="0" w:color="000000"/>
            <w:bottom w:val="single" w:sz="4" w:space="0" w:color="000000"/>
          </w:tblBorders>
        </w:tblPrEx>
        <w:trPr>
          <w:gridAfter w:val="2"/>
          <w:wAfter w:w="62" w:type="dxa"/>
          <w:trHeight w:val="77"/>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60.50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32.70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0.41</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0.11</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2.77</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0.62</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492.71 ±19.97</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154.28 ±5.62</w:t>
            </w:r>
          </w:p>
        </w:tc>
        <w:tc>
          <w:tcPr>
            <w:tcW w:w="809"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138.52 ±5.61</w:t>
            </w:r>
          </w:p>
        </w:tc>
        <w:tc>
          <w:tcPr>
            <w:tcW w:w="727" w:type="dxa"/>
            <w:gridSpan w:val="2"/>
            <w:tcBorders>
              <w:top w:val="nil"/>
              <w:left w:val="nil"/>
              <w:bottom w:val="nil"/>
              <w:right w:val="nil"/>
            </w:tcBorders>
            <w:hideMark/>
          </w:tcPr>
          <w:p w:rsidR="00FC7D59" w:rsidRPr="00CB1B30" w:rsidRDefault="00FC7D59" w:rsidP="00CB1B30">
            <w:pPr>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34.70 ±1.26</w:t>
            </w:r>
          </w:p>
        </w:tc>
      </w:tr>
      <w:tr w:rsidR="00FC7D59" w:rsidRPr="00CB1B30" w:rsidTr="00FC7D59">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48.00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21.60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0.16</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0.04</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0.91</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0.19</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480.79 ±25.34</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139.79 ±6.93</w:t>
            </w:r>
          </w:p>
        </w:tc>
        <w:tc>
          <w:tcPr>
            <w:tcW w:w="809"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129.82 ±6.84</w:t>
            </w:r>
          </w:p>
        </w:tc>
        <w:tc>
          <w:tcPr>
            <w:tcW w:w="727" w:type="dxa"/>
            <w:gridSpan w:val="2"/>
            <w:tcBorders>
              <w:top w:val="nil"/>
              <w:left w:val="nil"/>
              <w:bottom w:val="nil"/>
              <w:right w:val="nil"/>
            </w:tcBorders>
            <w:hideMark/>
          </w:tcPr>
          <w:p w:rsidR="00FC7D59" w:rsidRPr="00CB1B30" w:rsidRDefault="00FC7D59" w:rsidP="00CB1B30">
            <w:pPr>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29.17 ±1.45</w:t>
            </w:r>
          </w:p>
        </w:tc>
      </w:tr>
      <w:tr w:rsidR="00FC7D59" w:rsidRPr="00CB1B30" w:rsidTr="00FC7D59">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49.65</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24.10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0.21</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0.06</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1.48</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0.35</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384.17 ±18.96</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72.99 ±3.64</w:t>
            </w:r>
          </w:p>
        </w:tc>
        <w:tc>
          <w:tcPr>
            <w:tcW w:w="809"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118.79 ±5.86</w:t>
            </w:r>
          </w:p>
        </w:tc>
        <w:tc>
          <w:tcPr>
            <w:tcW w:w="727" w:type="dxa"/>
            <w:gridSpan w:val="2"/>
            <w:tcBorders>
              <w:top w:val="nil"/>
              <w:left w:val="nil"/>
              <w:bottom w:val="nil"/>
              <w:right w:val="nil"/>
            </w:tcBorders>
            <w:hideMark/>
          </w:tcPr>
          <w:p w:rsidR="00FC7D59" w:rsidRPr="00CB1B30" w:rsidRDefault="00FC7D59" w:rsidP="00CB1B30">
            <w:pPr>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17.30 ±0.86</w:t>
            </w:r>
          </w:p>
        </w:tc>
      </w:tr>
      <w:tr w:rsidR="00FC7D59" w:rsidRPr="00CB1B30" w:rsidTr="00FC7D59">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47.60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25.00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0.21</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0.07</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1.12</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0.22</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372.07 ±18.05</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143.28 ±6.84</w:t>
            </w:r>
          </w:p>
        </w:tc>
        <w:tc>
          <w:tcPr>
            <w:tcW w:w="809"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122.03 ±5.92</w:t>
            </w:r>
          </w:p>
        </w:tc>
        <w:tc>
          <w:tcPr>
            <w:tcW w:w="727" w:type="dxa"/>
            <w:gridSpan w:val="2"/>
            <w:tcBorders>
              <w:top w:val="nil"/>
              <w:left w:val="nil"/>
              <w:bottom w:val="nil"/>
              <w:right w:val="nil"/>
            </w:tcBorders>
            <w:hideMark/>
          </w:tcPr>
          <w:p w:rsidR="00FC7D59" w:rsidRPr="00CB1B30" w:rsidRDefault="00FC7D59" w:rsidP="00CB1B30">
            <w:pPr>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28.80 ±1.37</w:t>
            </w:r>
          </w:p>
        </w:tc>
      </w:tr>
      <w:tr w:rsidR="00FC7D59" w:rsidRPr="00CB1B30" w:rsidTr="00FC7D59">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w:t>
            </w:r>
          </w:p>
        </w:tc>
        <w:tc>
          <w:tcPr>
            <w:tcW w:w="701"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53.30</w:t>
            </w:r>
          </w:p>
        </w:tc>
        <w:tc>
          <w:tcPr>
            <w:tcW w:w="583"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32.10</w:t>
            </w:r>
          </w:p>
        </w:tc>
        <w:tc>
          <w:tcPr>
            <w:tcW w:w="545"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0.31</w:t>
            </w:r>
          </w:p>
        </w:tc>
        <w:tc>
          <w:tcPr>
            <w:tcW w:w="626"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0.06</w:t>
            </w:r>
          </w:p>
        </w:tc>
        <w:tc>
          <w:tcPr>
            <w:tcW w:w="635"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1.05</w:t>
            </w:r>
          </w:p>
        </w:tc>
        <w:tc>
          <w:tcPr>
            <w:tcW w:w="634" w:type="dxa"/>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0.21</w:t>
            </w:r>
          </w:p>
        </w:tc>
        <w:tc>
          <w:tcPr>
            <w:tcW w:w="806" w:type="dxa"/>
            <w:tcBorders>
              <w:top w:val="nil"/>
              <w:left w:val="nil"/>
              <w:bottom w:val="single" w:sz="4" w:space="0" w:color="auto"/>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457.32 ±22.89</w:t>
            </w:r>
          </w:p>
        </w:tc>
        <w:tc>
          <w:tcPr>
            <w:tcW w:w="720" w:type="dxa"/>
            <w:gridSpan w:val="2"/>
            <w:tcBorders>
              <w:top w:val="nil"/>
              <w:left w:val="nil"/>
              <w:bottom w:val="single" w:sz="4" w:space="0" w:color="auto"/>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143.53 ±6.64</w:t>
            </w:r>
          </w:p>
        </w:tc>
        <w:tc>
          <w:tcPr>
            <w:tcW w:w="809" w:type="dxa"/>
            <w:gridSpan w:val="2"/>
            <w:tcBorders>
              <w:top w:val="nil"/>
              <w:left w:val="nil"/>
              <w:bottom w:val="single" w:sz="4" w:space="0" w:color="auto"/>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93.16 ±4.66</w:t>
            </w:r>
          </w:p>
        </w:tc>
        <w:tc>
          <w:tcPr>
            <w:tcW w:w="727" w:type="dxa"/>
            <w:gridSpan w:val="2"/>
            <w:tcBorders>
              <w:top w:val="nil"/>
              <w:left w:val="nil"/>
              <w:bottom w:val="single" w:sz="4" w:space="0" w:color="auto"/>
              <w:right w:val="nil"/>
            </w:tcBorders>
            <w:hideMark/>
          </w:tcPr>
          <w:p w:rsidR="00FC7D59" w:rsidRPr="00CB1B30" w:rsidRDefault="00FC7D59" w:rsidP="00CB1B30">
            <w:pPr>
              <w:spacing w:after="60" w:line="240" w:lineRule="auto"/>
              <w:jc w:val="center"/>
              <w:rPr>
                <w:rFonts w:ascii="Times New Roman" w:eastAsia="Calibri" w:hAnsi="Times New Roman"/>
                <w:sz w:val="16"/>
                <w:szCs w:val="16"/>
              </w:rPr>
            </w:pPr>
            <w:r w:rsidRPr="00CB1B30">
              <w:rPr>
                <w:rFonts w:ascii="Times New Roman" w:eastAsia="Calibri" w:hAnsi="Times New Roman"/>
                <w:sz w:val="16"/>
                <w:szCs w:val="16"/>
              </w:rPr>
              <w:t>29.23 ±1.35</w:t>
            </w:r>
          </w:p>
        </w:tc>
      </w:tr>
      <w:tr w:rsidR="00FC7D59" w:rsidTr="00FC7D59">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tcBorders>
              <w:top w:val="nil"/>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687" w:type="dxa"/>
            <w:tcBorders>
              <w:top w:val="nil"/>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701" w:type="dxa"/>
            <w:gridSpan w:val="2"/>
            <w:tcBorders>
              <w:top w:val="nil"/>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583" w:type="dxa"/>
            <w:gridSpan w:val="2"/>
            <w:tcBorders>
              <w:top w:val="nil"/>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545" w:type="dxa"/>
            <w:gridSpan w:val="2"/>
            <w:tcBorders>
              <w:top w:val="nil"/>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626" w:type="dxa"/>
            <w:gridSpan w:val="2"/>
            <w:tcBorders>
              <w:top w:val="nil"/>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635" w:type="dxa"/>
            <w:gridSpan w:val="2"/>
            <w:tcBorders>
              <w:top w:val="nil"/>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634" w:type="dxa"/>
            <w:tcBorders>
              <w:top w:val="nil"/>
              <w:left w:val="nil"/>
              <w:bottom w:val="nil"/>
              <w:right w:val="nil"/>
            </w:tcBorders>
          </w:tcPr>
          <w:p w:rsidR="00FC7D59" w:rsidRPr="00CB1B30" w:rsidRDefault="00FC7D59" w:rsidP="00CB1B30">
            <w:pPr>
              <w:adjustRightInd w:val="0"/>
              <w:spacing w:after="0" w:line="240" w:lineRule="auto"/>
              <w:jc w:val="center"/>
              <w:rPr>
                <w:rFonts w:ascii="Times New Roman" w:eastAsia="Calibri" w:hAnsi="Times New Roman"/>
                <w:sz w:val="16"/>
                <w:szCs w:val="16"/>
              </w:rPr>
            </w:pPr>
          </w:p>
        </w:tc>
        <w:tc>
          <w:tcPr>
            <w:tcW w:w="806" w:type="dxa"/>
            <w:tcBorders>
              <w:top w:val="nil"/>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720" w:type="dxa"/>
            <w:gridSpan w:val="2"/>
            <w:tcBorders>
              <w:top w:val="nil"/>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809" w:type="dxa"/>
            <w:gridSpan w:val="2"/>
            <w:tcBorders>
              <w:top w:val="nil"/>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c>
          <w:tcPr>
            <w:tcW w:w="789" w:type="dxa"/>
            <w:gridSpan w:val="4"/>
            <w:tcBorders>
              <w:top w:val="nil"/>
              <w:left w:val="nil"/>
              <w:bottom w:val="nil"/>
              <w:right w:val="nil"/>
            </w:tcBorders>
          </w:tcPr>
          <w:p w:rsidR="00FC7D59" w:rsidRPr="00CB1B30" w:rsidRDefault="00FC7D59" w:rsidP="00CB1B30">
            <w:pPr>
              <w:spacing w:after="0" w:line="240" w:lineRule="auto"/>
              <w:jc w:val="center"/>
              <w:rPr>
                <w:rFonts w:ascii="Times New Roman" w:eastAsia="Calibri" w:hAnsi="Times New Roman"/>
                <w:sz w:val="16"/>
                <w:szCs w:val="16"/>
              </w:rPr>
            </w:pPr>
          </w:p>
        </w:tc>
      </w:tr>
      <w:tr w:rsidR="00FC7D59" w:rsidTr="00FC7D59">
        <w:tblPrEx>
          <w:tblBorders>
            <w:top w:val="single" w:sz="4" w:space="0" w:color="000000"/>
            <w:bottom w:val="single" w:sz="4" w:space="0" w:color="000000"/>
          </w:tblBorders>
        </w:tblPrEx>
        <w:trPr>
          <w:trHeight w:val="233"/>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val="restart"/>
            <w:tcBorders>
              <w:top w:val="nil"/>
              <w:left w:val="nil"/>
              <w:bottom w:val="single" w:sz="4" w:space="0" w:color="000000"/>
              <w:right w:val="nil"/>
            </w:tcBorders>
          </w:tcPr>
          <w:p w:rsidR="00FC7D59" w:rsidRPr="00CB1B30" w:rsidRDefault="00FC7D59" w:rsidP="00CB1B30">
            <w:pPr>
              <w:spacing w:after="0" w:line="240" w:lineRule="auto"/>
              <w:jc w:val="center"/>
              <w:rPr>
                <w:rFonts w:ascii="Times New Roman" w:eastAsia="Calibri" w:hAnsi="Times New Roman"/>
                <w:sz w:val="16"/>
                <w:szCs w:val="16"/>
              </w:rPr>
            </w:pPr>
          </w:p>
          <w:p w:rsidR="00FC7D59" w:rsidRDefault="00FC7D59" w:rsidP="00CB1B30">
            <w:pPr>
              <w:spacing w:after="0" w:line="240" w:lineRule="auto"/>
              <w:jc w:val="center"/>
              <w:rPr>
                <w:rFonts w:ascii="Times New Roman" w:eastAsia="Calibri" w:hAnsi="Times New Roman"/>
                <w:sz w:val="16"/>
                <w:szCs w:val="16"/>
              </w:rPr>
            </w:pPr>
          </w:p>
          <w:p w:rsidR="00CB1B30" w:rsidRDefault="00CB1B30" w:rsidP="00CB1B30">
            <w:pPr>
              <w:spacing w:after="0" w:line="240" w:lineRule="auto"/>
              <w:jc w:val="center"/>
              <w:rPr>
                <w:rFonts w:ascii="Times New Roman" w:eastAsia="Calibri" w:hAnsi="Times New Roman"/>
                <w:sz w:val="16"/>
                <w:szCs w:val="16"/>
              </w:rPr>
            </w:pPr>
          </w:p>
          <w:p w:rsidR="00CB1B30" w:rsidRDefault="00CB1B30" w:rsidP="00CB1B30">
            <w:pPr>
              <w:spacing w:after="0" w:line="240" w:lineRule="auto"/>
              <w:jc w:val="center"/>
              <w:rPr>
                <w:rFonts w:ascii="Times New Roman" w:eastAsia="Calibri" w:hAnsi="Times New Roman"/>
                <w:sz w:val="16"/>
                <w:szCs w:val="16"/>
              </w:rPr>
            </w:pPr>
          </w:p>
          <w:p w:rsidR="00CB1B30" w:rsidRDefault="00CB1B30" w:rsidP="00CB1B30">
            <w:pPr>
              <w:spacing w:after="0" w:line="240" w:lineRule="auto"/>
              <w:jc w:val="center"/>
              <w:rPr>
                <w:rFonts w:ascii="Times New Roman" w:eastAsia="Calibri" w:hAnsi="Times New Roman"/>
                <w:sz w:val="16"/>
                <w:szCs w:val="16"/>
              </w:rPr>
            </w:pPr>
          </w:p>
          <w:p w:rsidR="00CB1B30" w:rsidRPr="00CB1B30" w:rsidRDefault="00CB1B30" w:rsidP="00CB1B30">
            <w:pPr>
              <w:spacing w:after="0" w:line="240" w:lineRule="auto"/>
              <w:jc w:val="center"/>
              <w:rPr>
                <w:rFonts w:ascii="Times New Roman" w:eastAsia="Calibri" w:hAnsi="Times New Roman"/>
                <w:sz w:val="16"/>
                <w:szCs w:val="16"/>
              </w:rPr>
            </w:pPr>
          </w:p>
          <w:p w:rsidR="00F10EC3" w:rsidRDefault="00F10EC3" w:rsidP="00CB1B30">
            <w:pPr>
              <w:spacing w:after="0" w:line="240" w:lineRule="auto"/>
              <w:jc w:val="center"/>
              <w:rPr>
                <w:rFonts w:ascii="Times New Roman" w:eastAsia="Calibri" w:hAnsi="Times New Roman"/>
                <w:sz w:val="16"/>
                <w:szCs w:val="16"/>
              </w:rPr>
            </w:pPr>
          </w:p>
          <w:p w:rsidR="00F10EC3" w:rsidRDefault="00F10EC3" w:rsidP="00CB1B30">
            <w:pPr>
              <w:spacing w:after="0" w:line="240" w:lineRule="auto"/>
              <w:jc w:val="center"/>
              <w:rPr>
                <w:rFonts w:ascii="Times New Roman" w:eastAsia="Calibri" w:hAnsi="Times New Roman"/>
                <w:sz w:val="16"/>
                <w:szCs w:val="16"/>
              </w:rPr>
            </w:pPr>
          </w:p>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ST 06</w:t>
            </w:r>
          </w:p>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(n = 7)</w:t>
            </w: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60.00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30.50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1.20</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0.24</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3.11</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0.54</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199.11 ±9.33</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70.51 ±3.5</w:t>
            </w:r>
          </w:p>
        </w:tc>
        <w:tc>
          <w:tcPr>
            <w:tcW w:w="809"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40.48 1±.90</w:t>
            </w:r>
          </w:p>
        </w:tc>
        <w:tc>
          <w:tcPr>
            <w:tcW w:w="789" w:type="dxa"/>
            <w:gridSpan w:val="4"/>
            <w:tcBorders>
              <w:top w:val="nil"/>
              <w:left w:val="nil"/>
              <w:bottom w:val="nil"/>
              <w:right w:val="nil"/>
            </w:tcBorders>
            <w:hideMark/>
          </w:tcPr>
          <w:p w:rsidR="00FC7D59" w:rsidRPr="00CB1B30" w:rsidRDefault="00FC7D59" w:rsidP="00CB1B30">
            <w:pPr>
              <w:adjustRightInd w:val="0"/>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12.33 ±0.61</w:t>
            </w:r>
          </w:p>
        </w:tc>
      </w:tr>
      <w:tr w:rsidR="00FC7D59" w:rsidTr="00FC7D59">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61.60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29.40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1.05</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0.21</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3.34</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0.58</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172.29 ±8.32</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55.46 ±2.93</w:t>
            </w:r>
          </w:p>
        </w:tc>
        <w:tc>
          <w:tcPr>
            <w:tcW w:w="809"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34.38 ±1.66</w:t>
            </w:r>
          </w:p>
        </w:tc>
        <w:tc>
          <w:tcPr>
            <w:tcW w:w="789" w:type="dxa"/>
            <w:gridSpan w:val="4"/>
            <w:tcBorders>
              <w:top w:val="nil"/>
              <w:left w:val="nil"/>
              <w:bottom w:val="nil"/>
              <w:right w:val="nil"/>
            </w:tcBorders>
            <w:hideMark/>
          </w:tcPr>
          <w:p w:rsidR="00FC7D59" w:rsidRPr="00CB1B30" w:rsidRDefault="00FC7D59" w:rsidP="00CB1B30">
            <w:pPr>
              <w:adjustRightInd w:val="0"/>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9.66 ±0.51</w:t>
            </w:r>
          </w:p>
        </w:tc>
      </w:tr>
      <w:tr w:rsidR="00FC7D59" w:rsidTr="00FC7D59">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60.30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29.10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1.06</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0.22</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2.80</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0.53</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224.13 ±10.38</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70.89</w:t>
            </w:r>
          </w:p>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±3.45</w:t>
            </w:r>
          </w:p>
        </w:tc>
        <w:tc>
          <w:tcPr>
            <w:tcW w:w="809"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46.99 ±2.18</w:t>
            </w:r>
          </w:p>
        </w:tc>
        <w:tc>
          <w:tcPr>
            <w:tcW w:w="789" w:type="dxa"/>
            <w:gridSpan w:val="4"/>
            <w:tcBorders>
              <w:top w:val="nil"/>
              <w:left w:val="nil"/>
              <w:bottom w:val="nil"/>
              <w:right w:val="nil"/>
            </w:tcBorders>
            <w:hideMark/>
          </w:tcPr>
          <w:p w:rsidR="00FC7D59" w:rsidRPr="00CB1B30" w:rsidRDefault="00FC7D59" w:rsidP="00CB1B30">
            <w:pPr>
              <w:adjustRightInd w:val="0"/>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13.47 ±0.65</w:t>
            </w:r>
          </w:p>
        </w:tc>
      </w:tr>
      <w:tr w:rsidR="00FC7D59" w:rsidTr="00FC7D59">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66.10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30.70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1.21</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0.25</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3.96</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0.72</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188.89 ±8.95</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56.95</w:t>
            </w:r>
          </w:p>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±2.85</w:t>
            </w:r>
          </w:p>
        </w:tc>
        <w:tc>
          <w:tcPr>
            <w:tcW w:w="809"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39.93 ±1.89</w:t>
            </w:r>
          </w:p>
        </w:tc>
        <w:tc>
          <w:tcPr>
            <w:tcW w:w="789" w:type="dxa"/>
            <w:gridSpan w:val="4"/>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10.43</w:t>
            </w:r>
          </w:p>
          <w:p w:rsidR="00FC7D59" w:rsidRPr="00CB1B30" w:rsidRDefault="00FC7D59" w:rsidP="00CB1B30">
            <w:pPr>
              <w:adjustRightInd w:val="0"/>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±0.52</w:t>
            </w:r>
          </w:p>
        </w:tc>
      </w:tr>
      <w:tr w:rsidR="00FC7D59" w:rsidTr="00FC7D59">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66.30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29.40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1.11</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0.23</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3.90</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0.70</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196.22 ±9.13</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65.95 ±3.10</w:t>
            </w:r>
          </w:p>
        </w:tc>
        <w:tc>
          <w:tcPr>
            <w:tcW w:w="809"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42.11 ±1.96</w:t>
            </w:r>
          </w:p>
        </w:tc>
        <w:tc>
          <w:tcPr>
            <w:tcW w:w="789" w:type="dxa"/>
            <w:gridSpan w:val="4"/>
            <w:tcBorders>
              <w:top w:val="nil"/>
              <w:left w:val="nil"/>
              <w:bottom w:val="nil"/>
              <w:right w:val="nil"/>
            </w:tcBorders>
            <w:hideMark/>
          </w:tcPr>
          <w:p w:rsidR="00FC7D59" w:rsidRPr="00CB1B30" w:rsidRDefault="00FC7D59" w:rsidP="00CB1B30">
            <w:pPr>
              <w:adjustRightInd w:val="0"/>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11.98 ±0.56</w:t>
            </w:r>
          </w:p>
        </w:tc>
      </w:tr>
      <w:tr w:rsidR="00FC7D59" w:rsidTr="00FC7D59">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w:t>
            </w:r>
          </w:p>
        </w:tc>
        <w:tc>
          <w:tcPr>
            <w:tcW w:w="701"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64.20</w:t>
            </w:r>
          </w:p>
        </w:tc>
        <w:tc>
          <w:tcPr>
            <w:tcW w:w="583"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27.40</w:t>
            </w:r>
          </w:p>
        </w:tc>
        <w:tc>
          <w:tcPr>
            <w:tcW w:w="54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0.86</w:t>
            </w:r>
          </w:p>
        </w:tc>
        <w:tc>
          <w:tcPr>
            <w:tcW w:w="626"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0.17</w:t>
            </w:r>
          </w:p>
        </w:tc>
        <w:tc>
          <w:tcPr>
            <w:tcW w:w="635"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2.68</w:t>
            </w:r>
          </w:p>
        </w:tc>
        <w:tc>
          <w:tcPr>
            <w:tcW w:w="634" w:type="dxa"/>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0.47</w:t>
            </w:r>
          </w:p>
        </w:tc>
        <w:tc>
          <w:tcPr>
            <w:tcW w:w="806" w:type="dxa"/>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269.57 ±13.04</w:t>
            </w:r>
          </w:p>
        </w:tc>
        <w:tc>
          <w:tcPr>
            <w:tcW w:w="720" w:type="dxa"/>
            <w:gridSpan w:val="2"/>
            <w:tcBorders>
              <w:top w:val="nil"/>
              <w:left w:val="nil"/>
              <w:bottom w:val="nil"/>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79.22 ±4.03</w:t>
            </w:r>
          </w:p>
        </w:tc>
        <w:tc>
          <w:tcPr>
            <w:tcW w:w="809" w:type="dxa"/>
            <w:gridSpan w:val="2"/>
            <w:tcBorders>
              <w:top w:val="nil"/>
              <w:left w:val="nil"/>
              <w:bottom w:val="nil"/>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53.98 ±2.61</w:t>
            </w:r>
          </w:p>
        </w:tc>
        <w:tc>
          <w:tcPr>
            <w:tcW w:w="789" w:type="dxa"/>
            <w:gridSpan w:val="4"/>
            <w:tcBorders>
              <w:top w:val="nil"/>
              <w:left w:val="nil"/>
              <w:bottom w:val="nil"/>
              <w:right w:val="nil"/>
            </w:tcBorders>
            <w:hideMark/>
          </w:tcPr>
          <w:p w:rsidR="00FC7D59" w:rsidRPr="00CB1B30" w:rsidRDefault="00FC7D59" w:rsidP="00CB1B30">
            <w:pPr>
              <w:adjustRightInd w:val="0"/>
              <w:spacing w:after="120" w:line="240" w:lineRule="auto"/>
              <w:jc w:val="center"/>
              <w:rPr>
                <w:rFonts w:ascii="Times New Roman" w:eastAsia="Calibri" w:hAnsi="Times New Roman"/>
                <w:sz w:val="16"/>
                <w:szCs w:val="16"/>
              </w:rPr>
            </w:pPr>
            <w:r w:rsidRPr="00CB1B30">
              <w:rPr>
                <w:rFonts w:ascii="Times New Roman" w:eastAsia="Calibri" w:hAnsi="Times New Roman"/>
                <w:sz w:val="16"/>
                <w:szCs w:val="16"/>
              </w:rPr>
              <w:t>13.95 ±0.71</w:t>
            </w:r>
          </w:p>
        </w:tc>
      </w:tr>
      <w:tr w:rsidR="00FC7D59" w:rsidTr="00047208">
        <w:tblPrEx>
          <w:tblBorders>
            <w:top w:val="single" w:sz="4" w:space="0" w:color="000000"/>
            <w:bottom w:val="single" w:sz="4" w:space="0" w:color="000000"/>
          </w:tblBorders>
        </w:tblPrEx>
        <w:trPr>
          <w:trHeight w:val="413"/>
          <w:jc w:val="center"/>
        </w:trPr>
        <w:tc>
          <w:tcPr>
            <w:tcW w:w="750" w:type="dxa"/>
            <w:vMerge/>
            <w:tcBorders>
              <w:top w:val="single" w:sz="4" w:space="0" w:color="000000"/>
              <w:left w:val="nil"/>
              <w:bottom w:val="single" w:sz="4" w:space="0" w:color="auto"/>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76" w:type="dxa"/>
            <w:vMerge/>
            <w:tcBorders>
              <w:top w:val="nil"/>
              <w:left w:val="nil"/>
              <w:bottom w:val="single" w:sz="4" w:space="0" w:color="auto"/>
              <w:right w:val="nil"/>
            </w:tcBorders>
            <w:vAlign w:val="center"/>
            <w:hideMark/>
          </w:tcPr>
          <w:p w:rsidR="00FC7D59" w:rsidRPr="00CB1B30" w:rsidRDefault="00FC7D59" w:rsidP="00CB1B30">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w:t>
            </w:r>
          </w:p>
        </w:tc>
        <w:tc>
          <w:tcPr>
            <w:tcW w:w="701"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63.8</w:t>
            </w:r>
          </w:p>
        </w:tc>
        <w:tc>
          <w:tcPr>
            <w:tcW w:w="583"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29.10</w:t>
            </w:r>
          </w:p>
        </w:tc>
        <w:tc>
          <w:tcPr>
            <w:tcW w:w="545"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0.83</w:t>
            </w:r>
          </w:p>
        </w:tc>
        <w:tc>
          <w:tcPr>
            <w:tcW w:w="626"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0.16</w:t>
            </w:r>
          </w:p>
        </w:tc>
        <w:tc>
          <w:tcPr>
            <w:tcW w:w="635" w:type="dxa"/>
            <w:gridSpan w:val="2"/>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3.52</w:t>
            </w:r>
          </w:p>
        </w:tc>
        <w:tc>
          <w:tcPr>
            <w:tcW w:w="634" w:type="dxa"/>
            <w:tcBorders>
              <w:top w:val="nil"/>
              <w:left w:val="nil"/>
              <w:bottom w:val="single" w:sz="4" w:space="0" w:color="auto"/>
              <w:right w:val="nil"/>
            </w:tcBorders>
            <w:hideMark/>
          </w:tcPr>
          <w:p w:rsidR="00FC7D59" w:rsidRPr="00CB1B30" w:rsidRDefault="00FC7D59"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0.62</w:t>
            </w:r>
          </w:p>
        </w:tc>
        <w:tc>
          <w:tcPr>
            <w:tcW w:w="806" w:type="dxa"/>
            <w:tcBorders>
              <w:top w:val="nil"/>
              <w:left w:val="nil"/>
              <w:bottom w:val="single" w:sz="4" w:space="0" w:color="auto"/>
              <w:right w:val="nil"/>
            </w:tcBorders>
            <w:hideMark/>
          </w:tcPr>
          <w:p w:rsidR="00FC7D59" w:rsidRPr="00CB1B30" w:rsidRDefault="00FC7D59" w:rsidP="00F10EC3">
            <w:pPr>
              <w:spacing w:after="60" w:line="240" w:lineRule="auto"/>
              <w:jc w:val="center"/>
              <w:rPr>
                <w:rFonts w:ascii="Times New Roman" w:eastAsia="Calibri" w:hAnsi="Times New Roman"/>
                <w:sz w:val="16"/>
                <w:szCs w:val="16"/>
              </w:rPr>
            </w:pPr>
            <w:r w:rsidRPr="00CB1B30">
              <w:rPr>
                <w:rFonts w:ascii="Times New Roman" w:eastAsia="Calibri" w:hAnsi="Times New Roman"/>
                <w:sz w:val="16"/>
                <w:szCs w:val="16"/>
              </w:rPr>
              <w:t>252.12 ±12.79</w:t>
            </w:r>
          </w:p>
        </w:tc>
        <w:tc>
          <w:tcPr>
            <w:tcW w:w="720" w:type="dxa"/>
            <w:gridSpan w:val="2"/>
            <w:tcBorders>
              <w:top w:val="nil"/>
              <w:left w:val="nil"/>
              <w:bottom w:val="single" w:sz="4" w:space="0" w:color="auto"/>
              <w:right w:val="nil"/>
            </w:tcBorders>
            <w:hideMark/>
          </w:tcPr>
          <w:p w:rsidR="00FC7D59" w:rsidRPr="00CB1B30" w:rsidRDefault="00FC7D59"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64.52</w:t>
            </w:r>
          </w:p>
          <w:p w:rsidR="00FC7D59" w:rsidRPr="00CB1B30" w:rsidRDefault="00FC7D59" w:rsidP="00F10EC3">
            <w:pPr>
              <w:spacing w:after="60" w:line="240" w:lineRule="auto"/>
              <w:jc w:val="center"/>
              <w:rPr>
                <w:rFonts w:ascii="Times New Roman" w:eastAsia="Calibri" w:hAnsi="Times New Roman"/>
                <w:sz w:val="16"/>
                <w:szCs w:val="16"/>
              </w:rPr>
            </w:pPr>
            <w:r w:rsidRPr="00CB1B30">
              <w:rPr>
                <w:rFonts w:ascii="Times New Roman" w:eastAsia="Calibri" w:hAnsi="Times New Roman"/>
                <w:sz w:val="16"/>
                <w:szCs w:val="16"/>
              </w:rPr>
              <w:t>±3.08</w:t>
            </w:r>
          </w:p>
        </w:tc>
        <w:tc>
          <w:tcPr>
            <w:tcW w:w="809" w:type="dxa"/>
            <w:gridSpan w:val="2"/>
            <w:tcBorders>
              <w:top w:val="nil"/>
              <w:left w:val="nil"/>
              <w:bottom w:val="single" w:sz="4" w:space="0" w:color="auto"/>
              <w:right w:val="nil"/>
            </w:tcBorders>
            <w:hideMark/>
          </w:tcPr>
          <w:p w:rsidR="00FC7D59" w:rsidRPr="00CB1B30" w:rsidRDefault="00FC7D59" w:rsidP="00F10EC3">
            <w:pPr>
              <w:adjustRightInd w:val="0"/>
              <w:spacing w:after="60" w:line="240" w:lineRule="auto"/>
              <w:jc w:val="center"/>
              <w:rPr>
                <w:rFonts w:ascii="Times New Roman" w:eastAsia="Calibri" w:hAnsi="Times New Roman"/>
                <w:sz w:val="16"/>
                <w:szCs w:val="16"/>
              </w:rPr>
            </w:pPr>
            <w:r w:rsidRPr="00CB1B30">
              <w:rPr>
                <w:rFonts w:ascii="Times New Roman" w:eastAsia="Calibri" w:hAnsi="Times New Roman"/>
                <w:sz w:val="16"/>
                <w:szCs w:val="16"/>
              </w:rPr>
              <w:t>49.89 ±2.53</w:t>
            </w:r>
          </w:p>
        </w:tc>
        <w:tc>
          <w:tcPr>
            <w:tcW w:w="789" w:type="dxa"/>
            <w:gridSpan w:val="4"/>
            <w:tcBorders>
              <w:top w:val="nil"/>
              <w:left w:val="nil"/>
              <w:bottom w:val="single" w:sz="4" w:space="0" w:color="auto"/>
              <w:right w:val="nil"/>
            </w:tcBorders>
            <w:hideMark/>
          </w:tcPr>
          <w:p w:rsidR="00FC7D59" w:rsidRPr="00CB1B30" w:rsidRDefault="00FC7D59" w:rsidP="00CB1B30">
            <w:pPr>
              <w:adjustRightInd w:val="0"/>
              <w:spacing w:after="60" w:line="240" w:lineRule="auto"/>
              <w:jc w:val="center"/>
              <w:rPr>
                <w:rFonts w:ascii="Times New Roman" w:eastAsia="Calibri" w:hAnsi="Times New Roman"/>
                <w:sz w:val="16"/>
                <w:szCs w:val="16"/>
              </w:rPr>
            </w:pPr>
            <w:r w:rsidRPr="00CB1B30">
              <w:rPr>
                <w:rFonts w:ascii="Times New Roman" w:eastAsia="Calibri" w:hAnsi="Times New Roman"/>
                <w:sz w:val="16"/>
                <w:szCs w:val="16"/>
              </w:rPr>
              <w:t>11.42 ±0.55</w:t>
            </w:r>
          </w:p>
        </w:tc>
      </w:tr>
      <w:tr w:rsidR="00CB1B30" w:rsidTr="00EC3207">
        <w:tblPrEx>
          <w:tblBorders>
            <w:top w:val="single" w:sz="4" w:space="0" w:color="000000"/>
            <w:bottom w:val="single" w:sz="4" w:space="0" w:color="000000"/>
          </w:tblBorders>
        </w:tblPrEx>
        <w:trPr>
          <w:trHeight w:val="135"/>
          <w:jc w:val="center"/>
        </w:trPr>
        <w:tc>
          <w:tcPr>
            <w:tcW w:w="750" w:type="dxa"/>
            <w:tcBorders>
              <w:top w:val="single" w:sz="4" w:space="0" w:color="auto"/>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76" w:type="dxa"/>
            <w:tcBorders>
              <w:top w:val="single" w:sz="4" w:space="0" w:color="auto"/>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87" w:type="dxa"/>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w:t>
            </w:r>
          </w:p>
        </w:tc>
        <w:tc>
          <w:tcPr>
            <w:tcW w:w="701" w:type="dxa"/>
            <w:gridSpan w:val="2"/>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78.30</w:t>
            </w:r>
          </w:p>
        </w:tc>
        <w:tc>
          <w:tcPr>
            <w:tcW w:w="583" w:type="dxa"/>
            <w:gridSpan w:val="2"/>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32.2</w:t>
            </w:r>
          </w:p>
        </w:tc>
        <w:tc>
          <w:tcPr>
            <w:tcW w:w="545" w:type="dxa"/>
            <w:gridSpan w:val="2"/>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2.05</w:t>
            </w:r>
          </w:p>
        </w:tc>
        <w:tc>
          <w:tcPr>
            <w:tcW w:w="626" w:type="dxa"/>
            <w:gridSpan w:val="2"/>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0.44</w:t>
            </w:r>
          </w:p>
        </w:tc>
        <w:tc>
          <w:tcPr>
            <w:tcW w:w="635" w:type="dxa"/>
            <w:gridSpan w:val="2"/>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6.50</w:t>
            </w:r>
          </w:p>
        </w:tc>
        <w:tc>
          <w:tcPr>
            <w:tcW w:w="634" w:type="dxa"/>
            <w:tcBorders>
              <w:top w:val="single" w:sz="4" w:space="0" w:color="auto"/>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1.09</w:t>
            </w:r>
          </w:p>
        </w:tc>
        <w:tc>
          <w:tcPr>
            <w:tcW w:w="806" w:type="dxa"/>
            <w:tcBorders>
              <w:top w:val="single" w:sz="4" w:space="0" w:color="auto"/>
              <w:left w:val="nil"/>
              <w:bottom w:val="nil"/>
              <w:right w:val="nil"/>
            </w:tcBorders>
            <w:vAlign w:val="center"/>
          </w:tcPr>
          <w:p w:rsidR="00CB1B30" w:rsidRPr="00CB1B30" w:rsidRDefault="00CB1B30" w:rsidP="00E8191B">
            <w:pPr>
              <w:adjustRightInd w:val="0"/>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101.35 ±4.78</w:t>
            </w:r>
          </w:p>
        </w:tc>
        <w:tc>
          <w:tcPr>
            <w:tcW w:w="720" w:type="dxa"/>
            <w:gridSpan w:val="2"/>
            <w:tcBorders>
              <w:top w:val="single" w:sz="4" w:space="0" w:color="auto"/>
              <w:left w:val="nil"/>
              <w:bottom w:val="nil"/>
              <w:right w:val="nil"/>
            </w:tcBorders>
            <w:vAlign w:val="center"/>
          </w:tcPr>
          <w:p w:rsidR="00CB1B30" w:rsidRPr="00CB1B30" w:rsidRDefault="00CB1B30" w:rsidP="00E8191B">
            <w:pPr>
              <w:adjustRightInd w:val="0"/>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38.15</w:t>
            </w:r>
          </w:p>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±1.78</w:t>
            </w:r>
          </w:p>
        </w:tc>
        <w:tc>
          <w:tcPr>
            <w:tcW w:w="809" w:type="dxa"/>
            <w:gridSpan w:val="2"/>
            <w:tcBorders>
              <w:top w:val="single" w:sz="4" w:space="0" w:color="auto"/>
              <w:left w:val="nil"/>
              <w:bottom w:val="nil"/>
              <w:right w:val="nil"/>
            </w:tcBorders>
            <w:vAlign w:val="center"/>
          </w:tcPr>
          <w:p w:rsidR="00CB1B30" w:rsidRPr="00CB1B30" w:rsidRDefault="00CB1B30" w:rsidP="00E8191B">
            <w:pPr>
              <w:adjustRightInd w:val="0"/>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22.24 ±1.05</w:t>
            </w:r>
          </w:p>
        </w:tc>
        <w:tc>
          <w:tcPr>
            <w:tcW w:w="789" w:type="dxa"/>
            <w:gridSpan w:val="4"/>
            <w:tcBorders>
              <w:top w:val="single" w:sz="4" w:space="0" w:color="auto"/>
              <w:left w:val="nil"/>
              <w:bottom w:val="nil"/>
              <w:right w:val="nil"/>
            </w:tcBorders>
            <w:vAlign w:val="center"/>
          </w:tcPr>
          <w:p w:rsidR="00CB1B30" w:rsidRPr="00CB1B30" w:rsidRDefault="00CB1B30" w:rsidP="00047208">
            <w:pPr>
              <w:adjustRightInd w:val="0"/>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5.03 ±0.30</w:t>
            </w:r>
          </w:p>
        </w:tc>
      </w:tr>
      <w:tr w:rsidR="00CB1B30" w:rsidTr="00EC3207">
        <w:tblPrEx>
          <w:tblBorders>
            <w:top w:val="single" w:sz="4" w:space="0" w:color="000000"/>
            <w:bottom w:val="single" w:sz="4" w:space="0" w:color="000000"/>
          </w:tblBorders>
        </w:tblPrEx>
        <w:trPr>
          <w:trHeight w:val="135"/>
          <w:jc w:val="center"/>
        </w:trPr>
        <w:tc>
          <w:tcPr>
            <w:tcW w:w="750" w:type="dxa"/>
            <w:tcBorders>
              <w:top w:val="nil"/>
              <w:left w:val="nil"/>
              <w:bottom w:val="nil"/>
              <w:right w:val="nil"/>
            </w:tcBorders>
            <w:vAlign w:val="center"/>
          </w:tcPr>
          <w:p w:rsidR="00CB1B30" w:rsidRPr="00CB1B30" w:rsidRDefault="00CB1B30" w:rsidP="00047208">
            <w:pPr>
              <w:spacing w:after="0" w:line="240" w:lineRule="auto"/>
              <w:rPr>
                <w:rFonts w:ascii="Times New Roman" w:eastAsia="Calibri" w:hAnsi="Times New Roman"/>
                <w:sz w:val="16"/>
                <w:szCs w:val="16"/>
              </w:rPr>
            </w:pPr>
          </w:p>
        </w:tc>
        <w:tc>
          <w:tcPr>
            <w:tcW w:w="676" w:type="dxa"/>
            <w:tcBorders>
              <w:top w:val="nil"/>
              <w:left w:val="nil"/>
              <w:bottom w:val="nil"/>
              <w:right w:val="nil"/>
            </w:tcBorders>
            <w:vAlign w:val="center"/>
          </w:tcPr>
          <w:p w:rsidR="00CB1B30" w:rsidRPr="00CB1B30" w:rsidRDefault="00CB1B30" w:rsidP="00047208">
            <w:pPr>
              <w:spacing w:after="0" w:line="240" w:lineRule="auto"/>
              <w:rPr>
                <w:rFonts w:ascii="Times New Roman" w:eastAsia="Calibri" w:hAnsi="Times New Roman"/>
                <w:sz w:val="16"/>
                <w:szCs w:val="16"/>
              </w:rPr>
            </w:pPr>
          </w:p>
        </w:tc>
        <w:tc>
          <w:tcPr>
            <w:tcW w:w="687" w:type="dxa"/>
            <w:tcBorders>
              <w:top w:val="nil"/>
              <w:left w:val="nil"/>
              <w:bottom w:val="nil"/>
              <w:right w:val="nil"/>
            </w:tcBorders>
            <w:vAlign w:val="center"/>
          </w:tcPr>
          <w:p w:rsidR="00CB1B30" w:rsidRPr="00CB1B30" w:rsidRDefault="00CB1B30" w:rsidP="00047208">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w:t>
            </w:r>
          </w:p>
        </w:tc>
        <w:tc>
          <w:tcPr>
            <w:tcW w:w="701" w:type="dxa"/>
            <w:gridSpan w:val="2"/>
            <w:tcBorders>
              <w:top w:val="nil"/>
              <w:left w:val="nil"/>
              <w:bottom w:val="nil"/>
              <w:right w:val="nil"/>
            </w:tcBorders>
            <w:vAlign w:val="center"/>
          </w:tcPr>
          <w:p w:rsidR="00CB1B30" w:rsidRPr="00CB1B30" w:rsidRDefault="00CB1B30" w:rsidP="00047208">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78.30</w:t>
            </w:r>
          </w:p>
        </w:tc>
        <w:tc>
          <w:tcPr>
            <w:tcW w:w="583" w:type="dxa"/>
            <w:gridSpan w:val="2"/>
            <w:tcBorders>
              <w:top w:val="nil"/>
              <w:left w:val="nil"/>
              <w:bottom w:val="nil"/>
              <w:right w:val="nil"/>
            </w:tcBorders>
            <w:vAlign w:val="center"/>
          </w:tcPr>
          <w:p w:rsidR="00CB1B30" w:rsidRPr="00CB1B30" w:rsidRDefault="00CB1B30" w:rsidP="00047208">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32.45</w:t>
            </w:r>
          </w:p>
        </w:tc>
        <w:tc>
          <w:tcPr>
            <w:tcW w:w="545" w:type="dxa"/>
            <w:gridSpan w:val="2"/>
            <w:tcBorders>
              <w:top w:val="nil"/>
              <w:left w:val="nil"/>
              <w:bottom w:val="nil"/>
              <w:right w:val="nil"/>
            </w:tcBorders>
            <w:vAlign w:val="center"/>
          </w:tcPr>
          <w:p w:rsidR="00CB1B30" w:rsidRPr="00CB1B30" w:rsidRDefault="00CB1B30" w:rsidP="00047208">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1.66</w:t>
            </w:r>
          </w:p>
        </w:tc>
        <w:tc>
          <w:tcPr>
            <w:tcW w:w="626" w:type="dxa"/>
            <w:gridSpan w:val="2"/>
            <w:tcBorders>
              <w:top w:val="nil"/>
              <w:left w:val="nil"/>
              <w:bottom w:val="nil"/>
              <w:right w:val="nil"/>
            </w:tcBorders>
            <w:vAlign w:val="center"/>
          </w:tcPr>
          <w:p w:rsidR="00CB1B30" w:rsidRPr="00CB1B30" w:rsidRDefault="00CB1B30" w:rsidP="00047208">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0.36</w:t>
            </w:r>
          </w:p>
        </w:tc>
        <w:tc>
          <w:tcPr>
            <w:tcW w:w="635" w:type="dxa"/>
            <w:gridSpan w:val="2"/>
            <w:tcBorders>
              <w:top w:val="nil"/>
              <w:left w:val="nil"/>
              <w:bottom w:val="nil"/>
              <w:right w:val="nil"/>
            </w:tcBorders>
            <w:vAlign w:val="center"/>
          </w:tcPr>
          <w:p w:rsidR="00CB1B30" w:rsidRPr="00CB1B30" w:rsidRDefault="00CB1B30" w:rsidP="00047208">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8.38</w:t>
            </w:r>
          </w:p>
        </w:tc>
        <w:tc>
          <w:tcPr>
            <w:tcW w:w="634" w:type="dxa"/>
            <w:tcBorders>
              <w:top w:val="nil"/>
              <w:left w:val="nil"/>
              <w:bottom w:val="nil"/>
              <w:right w:val="nil"/>
            </w:tcBorders>
            <w:vAlign w:val="center"/>
          </w:tcPr>
          <w:p w:rsidR="00CB1B30" w:rsidRPr="00CB1B30" w:rsidRDefault="00CB1B30" w:rsidP="00047208">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1.61</w:t>
            </w:r>
          </w:p>
        </w:tc>
        <w:tc>
          <w:tcPr>
            <w:tcW w:w="806" w:type="dxa"/>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88.19 ±4.32</w:t>
            </w:r>
          </w:p>
        </w:tc>
        <w:tc>
          <w:tcPr>
            <w:tcW w:w="720" w:type="dxa"/>
            <w:gridSpan w:val="2"/>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42.02 ±1.79</w:t>
            </w:r>
          </w:p>
        </w:tc>
        <w:tc>
          <w:tcPr>
            <w:tcW w:w="809" w:type="dxa"/>
            <w:gridSpan w:val="2"/>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19.37 ±0.95</w:t>
            </w:r>
          </w:p>
        </w:tc>
        <w:tc>
          <w:tcPr>
            <w:tcW w:w="789" w:type="dxa"/>
            <w:gridSpan w:val="4"/>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7.95 ±0.41</w:t>
            </w:r>
          </w:p>
        </w:tc>
      </w:tr>
      <w:tr w:rsidR="00CB1B30" w:rsidTr="00EC3207">
        <w:tblPrEx>
          <w:tblBorders>
            <w:top w:val="single" w:sz="4" w:space="0" w:color="000000"/>
            <w:bottom w:val="single" w:sz="4" w:space="0" w:color="000000"/>
          </w:tblBorders>
        </w:tblPrEx>
        <w:trPr>
          <w:trHeight w:val="135"/>
          <w:jc w:val="center"/>
        </w:trPr>
        <w:tc>
          <w:tcPr>
            <w:tcW w:w="750"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76"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w:t>
            </w:r>
          </w:p>
        </w:tc>
        <w:tc>
          <w:tcPr>
            <w:tcW w:w="701"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82.80</w:t>
            </w:r>
          </w:p>
        </w:tc>
        <w:tc>
          <w:tcPr>
            <w:tcW w:w="583"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38.30</w:t>
            </w:r>
          </w:p>
        </w:tc>
        <w:tc>
          <w:tcPr>
            <w:tcW w:w="54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1.80</w:t>
            </w:r>
          </w:p>
        </w:tc>
        <w:tc>
          <w:tcPr>
            <w:tcW w:w="626"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0.36</w:t>
            </w:r>
          </w:p>
        </w:tc>
        <w:tc>
          <w:tcPr>
            <w:tcW w:w="63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7.61</w:t>
            </w:r>
          </w:p>
        </w:tc>
        <w:tc>
          <w:tcPr>
            <w:tcW w:w="634"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1.37</w:t>
            </w:r>
          </w:p>
        </w:tc>
        <w:tc>
          <w:tcPr>
            <w:tcW w:w="806" w:type="dxa"/>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114.51 ±5.39</w:t>
            </w:r>
          </w:p>
        </w:tc>
        <w:tc>
          <w:tcPr>
            <w:tcW w:w="720"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30.67 ±1.41</w:t>
            </w:r>
          </w:p>
        </w:tc>
        <w:tc>
          <w:tcPr>
            <w:tcW w:w="809"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23.01 ±1.08</w:t>
            </w:r>
          </w:p>
        </w:tc>
        <w:tc>
          <w:tcPr>
            <w:tcW w:w="789" w:type="dxa"/>
            <w:gridSpan w:val="4"/>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6.43 ±0.36</w:t>
            </w:r>
          </w:p>
        </w:tc>
      </w:tr>
      <w:tr w:rsidR="00CB1B30" w:rsidTr="00EC3207">
        <w:tblPrEx>
          <w:tblBorders>
            <w:top w:val="single" w:sz="4" w:space="0" w:color="000000"/>
            <w:bottom w:val="single" w:sz="4" w:space="0" w:color="000000"/>
          </w:tblBorders>
        </w:tblPrEx>
        <w:trPr>
          <w:trHeight w:val="135"/>
          <w:jc w:val="center"/>
        </w:trPr>
        <w:tc>
          <w:tcPr>
            <w:tcW w:w="750" w:type="dxa"/>
            <w:tcBorders>
              <w:top w:val="nil"/>
              <w:left w:val="nil"/>
              <w:bottom w:val="nil"/>
              <w:right w:val="nil"/>
            </w:tcBorders>
            <w:vAlign w:val="center"/>
          </w:tcPr>
          <w:p w:rsidR="00CB1B30" w:rsidRPr="00CB1B30" w:rsidRDefault="00E8191B" w:rsidP="00CB1B30">
            <w:pPr>
              <w:spacing w:after="0" w:line="240" w:lineRule="auto"/>
              <w:rPr>
                <w:rFonts w:ascii="Times New Roman" w:eastAsia="Calibri" w:hAnsi="Times New Roman"/>
                <w:sz w:val="16"/>
                <w:szCs w:val="16"/>
              </w:rPr>
            </w:pPr>
            <w:r>
              <w:rPr>
                <w:rFonts w:ascii="Times New Roman" w:eastAsia="Calibri" w:hAnsi="Times New Roman"/>
                <w:sz w:val="16"/>
                <w:szCs w:val="16"/>
              </w:rPr>
              <w:t>Culture</w:t>
            </w:r>
          </w:p>
        </w:tc>
        <w:tc>
          <w:tcPr>
            <w:tcW w:w="676"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r w:rsidRPr="00CB1B30">
              <w:rPr>
                <w:rFonts w:ascii="Times New Roman" w:eastAsia="Calibri" w:hAnsi="Times New Roman"/>
                <w:sz w:val="16"/>
                <w:szCs w:val="16"/>
              </w:rPr>
              <w:t>ST 07</w:t>
            </w:r>
          </w:p>
        </w:tc>
        <w:tc>
          <w:tcPr>
            <w:tcW w:w="687"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4</w:t>
            </w:r>
          </w:p>
        </w:tc>
        <w:tc>
          <w:tcPr>
            <w:tcW w:w="701"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73.00</w:t>
            </w:r>
          </w:p>
        </w:tc>
        <w:tc>
          <w:tcPr>
            <w:tcW w:w="583"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32.40</w:t>
            </w:r>
          </w:p>
        </w:tc>
        <w:tc>
          <w:tcPr>
            <w:tcW w:w="54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1.88</w:t>
            </w:r>
          </w:p>
        </w:tc>
        <w:tc>
          <w:tcPr>
            <w:tcW w:w="626"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0.42</w:t>
            </w:r>
          </w:p>
        </w:tc>
        <w:tc>
          <w:tcPr>
            <w:tcW w:w="63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8.08</w:t>
            </w:r>
          </w:p>
        </w:tc>
        <w:tc>
          <w:tcPr>
            <w:tcW w:w="634"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1.49</w:t>
            </w:r>
          </w:p>
        </w:tc>
        <w:tc>
          <w:tcPr>
            <w:tcW w:w="806" w:type="dxa"/>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84.14 ±4.17</w:t>
            </w:r>
          </w:p>
        </w:tc>
        <w:tc>
          <w:tcPr>
            <w:tcW w:w="720"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25.44 ±1.25</w:t>
            </w:r>
          </w:p>
        </w:tc>
        <w:tc>
          <w:tcPr>
            <w:tcW w:w="809"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18.79 ±0.93</w:t>
            </w:r>
          </w:p>
        </w:tc>
        <w:tc>
          <w:tcPr>
            <w:tcW w:w="789" w:type="dxa"/>
            <w:gridSpan w:val="4"/>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6.10 ±0.35</w:t>
            </w:r>
          </w:p>
        </w:tc>
      </w:tr>
      <w:tr w:rsidR="00CB1B30" w:rsidTr="00EC3207">
        <w:tblPrEx>
          <w:tblBorders>
            <w:top w:val="single" w:sz="4" w:space="0" w:color="000000"/>
            <w:bottom w:val="single" w:sz="4" w:space="0" w:color="000000"/>
          </w:tblBorders>
        </w:tblPrEx>
        <w:trPr>
          <w:trHeight w:val="135"/>
          <w:jc w:val="center"/>
        </w:trPr>
        <w:tc>
          <w:tcPr>
            <w:tcW w:w="750"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76"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w:t>
            </w:r>
          </w:p>
        </w:tc>
        <w:tc>
          <w:tcPr>
            <w:tcW w:w="701"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81.20</w:t>
            </w:r>
          </w:p>
        </w:tc>
        <w:tc>
          <w:tcPr>
            <w:tcW w:w="583"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34.40</w:t>
            </w:r>
          </w:p>
        </w:tc>
        <w:tc>
          <w:tcPr>
            <w:tcW w:w="54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1.78</w:t>
            </w:r>
          </w:p>
        </w:tc>
        <w:tc>
          <w:tcPr>
            <w:tcW w:w="626"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0.37</w:t>
            </w:r>
          </w:p>
        </w:tc>
        <w:tc>
          <w:tcPr>
            <w:tcW w:w="63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6.71</w:t>
            </w:r>
          </w:p>
        </w:tc>
        <w:tc>
          <w:tcPr>
            <w:tcW w:w="634"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1.16</w:t>
            </w:r>
          </w:p>
        </w:tc>
        <w:tc>
          <w:tcPr>
            <w:tcW w:w="806" w:type="dxa"/>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130.84 ±6.03</w:t>
            </w:r>
          </w:p>
        </w:tc>
        <w:tc>
          <w:tcPr>
            <w:tcW w:w="720"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35.24 ±1.64</w:t>
            </w:r>
          </w:p>
        </w:tc>
        <w:tc>
          <w:tcPr>
            <w:tcW w:w="809"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27.60 ±1.27</w:t>
            </w:r>
          </w:p>
        </w:tc>
        <w:tc>
          <w:tcPr>
            <w:tcW w:w="789" w:type="dxa"/>
            <w:gridSpan w:val="4"/>
            <w:tcBorders>
              <w:top w:val="nil"/>
              <w:left w:val="nil"/>
              <w:bottom w:val="nil"/>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6.87 ±0.38</w:t>
            </w:r>
          </w:p>
        </w:tc>
      </w:tr>
      <w:tr w:rsidR="00CB1B30" w:rsidTr="00EC3207">
        <w:tblPrEx>
          <w:tblBorders>
            <w:top w:val="single" w:sz="4" w:space="0" w:color="000000"/>
            <w:bottom w:val="single" w:sz="4" w:space="0" w:color="000000"/>
          </w:tblBorders>
        </w:tblPrEx>
        <w:trPr>
          <w:trHeight w:val="135"/>
          <w:jc w:val="center"/>
        </w:trPr>
        <w:tc>
          <w:tcPr>
            <w:tcW w:w="750"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76" w:type="dxa"/>
            <w:tcBorders>
              <w:top w:val="nil"/>
              <w:left w:val="nil"/>
              <w:bottom w:val="nil"/>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87"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w:t>
            </w:r>
          </w:p>
        </w:tc>
        <w:tc>
          <w:tcPr>
            <w:tcW w:w="701"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75.00</w:t>
            </w:r>
          </w:p>
        </w:tc>
        <w:tc>
          <w:tcPr>
            <w:tcW w:w="583" w:type="dxa"/>
            <w:gridSpan w:val="2"/>
            <w:tcBorders>
              <w:top w:val="nil"/>
              <w:left w:val="nil"/>
              <w:bottom w:val="nil"/>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35.50</w:t>
            </w:r>
          </w:p>
        </w:tc>
        <w:tc>
          <w:tcPr>
            <w:tcW w:w="54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1.69</w:t>
            </w:r>
          </w:p>
        </w:tc>
        <w:tc>
          <w:tcPr>
            <w:tcW w:w="626"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0.38</w:t>
            </w:r>
          </w:p>
        </w:tc>
        <w:tc>
          <w:tcPr>
            <w:tcW w:w="635" w:type="dxa"/>
            <w:gridSpan w:val="2"/>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6.65</w:t>
            </w:r>
          </w:p>
        </w:tc>
        <w:tc>
          <w:tcPr>
            <w:tcW w:w="634" w:type="dxa"/>
            <w:tcBorders>
              <w:top w:val="nil"/>
              <w:left w:val="nil"/>
              <w:bottom w:val="nil"/>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1.28</w:t>
            </w:r>
          </w:p>
        </w:tc>
        <w:tc>
          <w:tcPr>
            <w:tcW w:w="806" w:type="dxa"/>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106.18 ±5.09</w:t>
            </w:r>
          </w:p>
        </w:tc>
        <w:tc>
          <w:tcPr>
            <w:tcW w:w="720"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34.76 ±1.63</w:t>
            </w:r>
          </w:p>
        </w:tc>
        <w:tc>
          <w:tcPr>
            <w:tcW w:w="809" w:type="dxa"/>
            <w:gridSpan w:val="2"/>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24.26 ±1.16</w:t>
            </w:r>
          </w:p>
        </w:tc>
        <w:tc>
          <w:tcPr>
            <w:tcW w:w="789" w:type="dxa"/>
            <w:gridSpan w:val="4"/>
            <w:tcBorders>
              <w:top w:val="nil"/>
              <w:left w:val="nil"/>
              <w:bottom w:val="nil"/>
              <w:right w:val="nil"/>
            </w:tcBorders>
            <w:vAlign w:val="center"/>
          </w:tcPr>
          <w:p w:rsidR="00CB1B30" w:rsidRPr="00CB1B30" w:rsidRDefault="00CB1B30" w:rsidP="00F10EC3">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5.54 ±0.30</w:t>
            </w:r>
          </w:p>
        </w:tc>
      </w:tr>
      <w:tr w:rsidR="00CB1B30" w:rsidTr="00EC3207">
        <w:tblPrEx>
          <w:tblBorders>
            <w:top w:val="single" w:sz="4" w:space="0" w:color="000000"/>
            <w:bottom w:val="single" w:sz="4" w:space="0" w:color="000000"/>
          </w:tblBorders>
        </w:tblPrEx>
        <w:trPr>
          <w:trHeight w:val="135"/>
          <w:jc w:val="center"/>
        </w:trPr>
        <w:tc>
          <w:tcPr>
            <w:tcW w:w="750" w:type="dxa"/>
            <w:tcBorders>
              <w:top w:val="nil"/>
              <w:left w:val="nil"/>
              <w:bottom w:val="single" w:sz="4" w:space="0" w:color="auto"/>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76" w:type="dxa"/>
            <w:tcBorders>
              <w:top w:val="nil"/>
              <w:left w:val="nil"/>
              <w:bottom w:val="single" w:sz="4" w:space="0" w:color="auto"/>
              <w:right w:val="nil"/>
            </w:tcBorders>
            <w:vAlign w:val="center"/>
          </w:tcPr>
          <w:p w:rsidR="00CB1B30" w:rsidRPr="00CB1B30" w:rsidRDefault="00CB1B30" w:rsidP="00CB1B30">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w:t>
            </w:r>
          </w:p>
        </w:tc>
        <w:tc>
          <w:tcPr>
            <w:tcW w:w="701" w:type="dxa"/>
            <w:gridSpan w:val="2"/>
            <w:tcBorders>
              <w:top w:val="nil"/>
              <w:left w:val="nil"/>
              <w:bottom w:val="single" w:sz="4" w:space="0" w:color="auto"/>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73.00</w:t>
            </w:r>
          </w:p>
        </w:tc>
        <w:tc>
          <w:tcPr>
            <w:tcW w:w="583" w:type="dxa"/>
            <w:gridSpan w:val="2"/>
            <w:tcBorders>
              <w:top w:val="nil"/>
              <w:left w:val="nil"/>
              <w:bottom w:val="single" w:sz="4" w:space="0" w:color="auto"/>
              <w:right w:val="nil"/>
            </w:tcBorders>
            <w:vAlign w:val="center"/>
          </w:tcPr>
          <w:p w:rsidR="00CB1B30" w:rsidRPr="00CB1B30" w:rsidRDefault="00CB1B30" w:rsidP="00CB1B30">
            <w:pPr>
              <w:adjustRightInd w:val="0"/>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30.00</w:t>
            </w:r>
          </w:p>
        </w:tc>
        <w:tc>
          <w:tcPr>
            <w:tcW w:w="545" w:type="dxa"/>
            <w:gridSpan w:val="2"/>
            <w:tcBorders>
              <w:top w:val="nil"/>
              <w:left w:val="nil"/>
              <w:bottom w:val="single" w:sz="4" w:space="0" w:color="auto"/>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1.69</w:t>
            </w:r>
          </w:p>
        </w:tc>
        <w:tc>
          <w:tcPr>
            <w:tcW w:w="626" w:type="dxa"/>
            <w:gridSpan w:val="2"/>
            <w:tcBorders>
              <w:top w:val="nil"/>
              <w:left w:val="nil"/>
              <w:bottom w:val="single" w:sz="4" w:space="0" w:color="auto"/>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0.36</w:t>
            </w:r>
          </w:p>
        </w:tc>
        <w:tc>
          <w:tcPr>
            <w:tcW w:w="635" w:type="dxa"/>
            <w:gridSpan w:val="2"/>
            <w:tcBorders>
              <w:top w:val="nil"/>
              <w:left w:val="nil"/>
              <w:bottom w:val="single" w:sz="4" w:space="0" w:color="auto"/>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7.43</w:t>
            </w:r>
          </w:p>
        </w:tc>
        <w:tc>
          <w:tcPr>
            <w:tcW w:w="634" w:type="dxa"/>
            <w:tcBorders>
              <w:top w:val="nil"/>
              <w:left w:val="nil"/>
              <w:bottom w:val="single" w:sz="4" w:space="0" w:color="auto"/>
              <w:right w:val="nil"/>
            </w:tcBorders>
            <w:vAlign w:val="center"/>
          </w:tcPr>
          <w:p w:rsidR="00CB1B30" w:rsidRPr="00CB1B30" w:rsidRDefault="00CB1B30" w:rsidP="00CB1B30">
            <w:pPr>
              <w:spacing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1.21</w:t>
            </w:r>
          </w:p>
        </w:tc>
        <w:tc>
          <w:tcPr>
            <w:tcW w:w="806" w:type="dxa"/>
            <w:tcBorders>
              <w:top w:val="nil"/>
              <w:left w:val="nil"/>
              <w:bottom w:val="single" w:sz="4" w:space="0" w:color="auto"/>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98.44 ±4.67</w:t>
            </w:r>
          </w:p>
        </w:tc>
        <w:tc>
          <w:tcPr>
            <w:tcW w:w="720" w:type="dxa"/>
            <w:gridSpan w:val="2"/>
            <w:tcBorders>
              <w:top w:val="nil"/>
              <w:left w:val="nil"/>
              <w:bottom w:val="single" w:sz="4" w:space="0" w:color="auto"/>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25.50 ±1.25</w:t>
            </w:r>
          </w:p>
        </w:tc>
        <w:tc>
          <w:tcPr>
            <w:tcW w:w="809" w:type="dxa"/>
            <w:gridSpan w:val="2"/>
            <w:tcBorders>
              <w:top w:val="nil"/>
              <w:left w:val="nil"/>
              <w:bottom w:val="single" w:sz="4" w:space="0" w:color="auto"/>
              <w:right w:val="nil"/>
            </w:tcBorders>
            <w:vAlign w:val="center"/>
          </w:tcPr>
          <w:p w:rsidR="00CB1B30" w:rsidRPr="00CB1B30" w:rsidRDefault="00CB1B30" w:rsidP="00047208">
            <w:pPr>
              <w:spacing w:before="180" w:after="0" w:line="240" w:lineRule="auto"/>
              <w:jc w:val="center"/>
              <w:rPr>
                <w:rFonts w:ascii="Times New Roman" w:eastAsia="Calibri" w:hAnsi="Times New Roman"/>
                <w:sz w:val="16"/>
                <w:szCs w:val="16"/>
              </w:rPr>
            </w:pPr>
            <w:r w:rsidRPr="00CB1B30">
              <w:rPr>
                <w:rFonts w:ascii="Times New Roman" w:eastAsia="Calibri" w:hAnsi="Times New Roman"/>
                <w:sz w:val="16"/>
                <w:szCs w:val="16"/>
              </w:rPr>
              <w:t>21.15 ±1.00</w:t>
            </w:r>
          </w:p>
        </w:tc>
        <w:tc>
          <w:tcPr>
            <w:tcW w:w="789" w:type="dxa"/>
            <w:gridSpan w:val="4"/>
            <w:tcBorders>
              <w:top w:val="nil"/>
              <w:left w:val="nil"/>
              <w:bottom w:val="single" w:sz="4" w:space="0" w:color="auto"/>
              <w:right w:val="nil"/>
            </w:tcBorders>
            <w:vAlign w:val="center"/>
          </w:tcPr>
          <w:p w:rsidR="00CB1B30" w:rsidRPr="00CB1B30" w:rsidRDefault="00CB1B30" w:rsidP="00047208">
            <w:pPr>
              <w:spacing w:before="180" w:after="60" w:line="240" w:lineRule="auto"/>
              <w:jc w:val="center"/>
              <w:rPr>
                <w:rFonts w:ascii="Times New Roman" w:eastAsia="Calibri" w:hAnsi="Times New Roman"/>
                <w:sz w:val="16"/>
                <w:szCs w:val="16"/>
              </w:rPr>
            </w:pPr>
            <w:r w:rsidRPr="00CB1B30">
              <w:rPr>
                <w:rFonts w:ascii="Times New Roman" w:eastAsia="Calibri" w:hAnsi="Times New Roman"/>
                <w:sz w:val="16"/>
                <w:szCs w:val="16"/>
              </w:rPr>
              <w:t>8.40 ±0.43</w:t>
            </w:r>
          </w:p>
        </w:tc>
      </w:tr>
    </w:tbl>
    <w:p w:rsidR="00F97A81" w:rsidRPr="00F97A81" w:rsidRDefault="00F97A81" w:rsidP="0045262E">
      <w:pPr>
        <w:tabs>
          <w:tab w:val="left" w:pos="11430"/>
        </w:tabs>
        <w:spacing w:after="120" w:line="240" w:lineRule="auto"/>
        <w:jc w:val="center"/>
        <w:rPr>
          <w:rFonts w:ascii="Times New Roman" w:eastAsia="Calibri" w:hAnsi="Times New Roman"/>
          <w:szCs w:val="20"/>
        </w:rPr>
      </w:pPr>
      <w:r w:rsidRPr="00F97A81">
        <w:rPr>
          <w:rFonts w:ascii="Times New Roman" w:eastAsia="Calibri" w:hAnsi="Times New Roman"/>
          <w:szCs w:val="20"/>
        </w:rPr>
        <w:lastRenderedPageBreak/>
        <w:t xml:space="preserve">Table 1 (cont’d).  </w:t>
      </w:r>
      <w:r w:rsidRPr="00F97A81">
        <w:rPr>
          <w:rFonts w:ascii="Times New Roman" w:eastAsia="Calibri" w:hAnsi="Times New Roman"/>
          <w:bCs/>
          <w:szCs w:val="20"/>
          <w:vertAlign w:val="superscript"/>
        </w:rPr>
        <w:t>210</w:t>
      </w:r>
      <w:r w:rsidRPr="00F97A81">
        <w:rPr>
          <w:rFonts w:ascii="Times New Roman" w:eastAsia="Calibri" w:hAnsi="Times New Roman"/>
          <w:bCs/>
          <w:szCs w:val="20"/>
        </w:rPr>
        <w:t>Po activity concentrations in the stomach and tissue of green mussel</w:t>
      </w:r>
    </w:p>
    <w:tbl>
      <w:tblPr>
        <w:tblW w:w="8903" w:type="dxa"/>
        <w:jc w:val="center"/>
        <w:tblBorders>
          <w:top w:val="single" w:sz="4" w:space="0" w:color="auto"/>
          <w:bottom w:val="single" w:sz="4" w:space="0" w:color="auto"/>
        </w:tblBorders>
        <w:tblLayout w:type="fixed"/>
        <w:tblLook w:val="04A0" w:firstRow="1" w:lastRow="0" w:firstColumn="1" w:lastColumn="0" w:noHBand="0" w:noVBand="1"/>
      </w:tblPr>
      <w:tblGrid>
        <w:gridCol w:w="748"/>
        <w:gridCol w:w="674"/>
        <w:gridCol w:w="685"/>
        <w:gridCol w:w="8"/>
        <w:gridCol w:w="692"/>
        <w:gridCol w:w="10"/>
        <w:gridCol w:w="573"/>
        <w:gridCol w:w="10"/>
        <w:gridCol w:w="535"/>
        <w:gridCol w:w="10"/>
        <w:gridCol w:w="616"/>
        <w:gridCol w:w="10"/>
        <w:gridCol w:w="625"/>
        <w:gridCol w:w="621"/>
        <w:gridCol w:w="13"/>
        <w:gridCol w:w="793"/>
        <w:gridCol w:w="13"/>
        <w:gridCol w:w="7"/>
        <w:gridCol w:w="700"/>
        <w:gridCol w:w="13"/>
        <w:gridCol w:w="7"/>
        <w:gridCol w:w="786"/>
        <w:gridCol w:w="16"/>
        <w:gridCol w:w="6"/>
        <w:gridCol w:w="698"/>
        <w:gridCol w:w="16"/>
        <w:gridCol w:w="18"/>
      </w:tblGrid>
      <w:tr w:rsidR="00F97A81" w:rsidRPr="00F97A81" w:rsidTr="00FD63A4">
        <w:trPr>
          <w:trHeight w:val="125"/>
          <w:jc w:val="center"/>
        </w:trPr>
        <w:tc>
          <w:tcPr>
            <w:tcW w:w="748" w:type="dxa"/>
            <w:vMerge w:val="restart"/>
            <w:tcBorders>
              <w:top w:val="single" w:sz="4" w:space="0" w:color="auto"/>
              <w:left w:val="nil"/>
              <w:bottom w:val="nil"/>
              <w:right w:val="nil"/>
            </w:tcBorders>
            <w:hideMark/>
          </w:tcPr>
          <w:p w:rsidR="00F97A81" w:rsidRPr="00F97A81" w:rsidRDefault="00F97A81" w:rsidP="00F97A81">
            <w:pPr>
              <w:spacing w:before="240" w:after="0" w:line="240" w:lineRule="auto"/>
              <w:rPr>
                <w:rFonts w:ascii="Times New Roman" w:eastAsia="Calibri" w:hAnsi="Times New Roman"/>
                <w:b/>
                <w:sz w:val="14"/>
                <w:szCs w:val="16"/>
              </w:rPr>
            </w:pPr>
            <w:r w:rsidRPr="00F97A81">
              <w:rPr>
                <w:rFonts w:ascii="Times New Roman" w:eastAsia="Calibri" w:hAnsi="Times New Roman"/>
                <w:b/>
                <w:sz w:val="14"/>
                <w:szCs w:val="16"/>
              </w:rPr>
              <w:t>Location</w:t>
            </w:r>
          </w:p>
        </w:tc>
        <w:tc>
          <w:tcPr>
            <w:tcW w:w="674" w:type="dxa"/>
            <w:vMerge w:val="restart"/>
            <w:tcBorders>
              <w:top w:val="single" w:sz="4" w:space="0" w:color="auto"/>
              <w:left w:val="nil"/>
              <w:bottom w:val="nil"/>
              <w:right w:val="nil"/>
            </w:tcBorders>
            <w:hideMark/>
          </w:tcPr>
          <w:p w:rsidR="00F97A81" w:rsidRPr="00F97A81" w:rsidRDefault="00F97A81" w:rsidP="00F97A81">
            <w:pPr>
              <w:spacing w:before="240" w:after="0" w:line="240" w:lineRule="auto"/>
              <w:rPr>
                <w:rFonts w:ascii="Times New Roman" w:eastAsia="Calibri" w:hAnsi="Times New Roman"/>
                <w:b/>
                <w:sz w:val="14"/>
                <w:szCs w:val="16"/>
              </w:rPr>
            </w:pPr>
            <w:r w:rsidRPr="00F97A81">
              <w:rPr>
                <w:rFonts w:ascii="Times New Roman" w:eastAsia="Calibri" w:hAnsi="Times New Roman"/>
                <w:b/>
                <w:sz w:val="14"/>
                <w:szCs w:val="16"/>
              </w:rPr>
              <w:t>Station</w:t>
            </w:r>
          </w:p>
        </w:tc>
        <w:tc>
          <w:tcPr>
            <w:tcW w:w="693" w:type="dxa"/>
            <w:gridSpan w:val="2"/>
            <w:vMerge w:val="restart"/>
            <w:tcBorders>
              <w:top w:val="single" w:sz="4" w:space="0" w:color="auto"/>
              <w:left w:val="nil"/>
              <w:bottom w:val="nil"/>
              <w:right w:val="nil"/>
            </w:tcBorders>
            <w:hideMark/>
          </w:tcPr>
          <w:p w:rsidR="00F97A81" w:rsidRPr="00F97A81" w:rsidRDefault="00F97A81" w:rsidP="00F97A81">
            <w:pPr>
              <w:spacing w:before="24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Sample</w:t>
            </w:r>
          </w:p>
        </w:tc>
        <w:tc>
          <w:tcPr>
            <w:tcW w:w="702" w:type="dxa"/>
            <w:gridSpan w:val="2"/>
            <w:vMerge w:val="restart"/>
            <w:tcBorders>
              <w:top w:val="single" w:sz="4" w:space="0" w:color="auto"/>
              <w:left w:val="nil"/>
              <w:bottom w:val="nil"/>
              <w:right w:val="nil"/>
            </w:tcBorders>
            <w:hideMark/>
          </w:tcPr>
          <w:p w:rsidR="00F97A81" w:rsidRPr="00F97A81" w:rsidRDefault="00F97A81" w:rsidP="00F97A81">
            <w:pPr>
              <w:spacing w:before="18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Length (mm)</w:t>
            </w:r>
          </w:p>
        </w:tc>
        <w:tc>
          <w:tcPr>
            <w:tcW w:w="583" w:type="dxa"/>
            <w:gridSpan w:val="2"/>
            <w:vMerge w:val="restart"/>
            <w:tcBorders>
              <w:top w:val="single" w:sz="4" w:space="0" w:color="auto"/>
              <w:left w:val="nil"/>
              <w:bottom w:val="nil"/>
              <w:right w:val="nil"/>
            </w:tcBorders>
            <w:hideMark/>
          </w:tcPr>
          <w:p w:rsidR="00F97A81" w:rsidRPr="00F97A81" w:rsidRDefault="00F97A81" w:rsidP="00F97A81">
            <w:pPr>
              <w:adjustRightInd w:val="0"/>
              <w:spacing w:before="18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Wide (mm)</w:t>
            </w:r>
          </w:p>
        </w:tc>
        <w:tc>
          <w:tcPr>
            <w:tcW w:w="1171" w:type="dxa"/>
            <w:gridSpan w:val="4"/>
            <w:tcBorders>
              <w:top w:val="single" w:sz="4" w:space="0" w:color="auto"/>
              <w:left w:val="nil"/>
              <w:bottom w:val="single" w:sz="4" w:space="0" w:color="auto"/>
              <w:right w:val="nil"/>
            </w:tcBorders>
            <w:hideMark/>
          </w:tcPr>
          <w:p w:rsidR="00F97A81" w:rsidRPr="00F97A81" w:rsidRDefault="00F97A81" w:rsidP="00F97A81">
            <w:pPr>
              <w:spacing w:before="6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Stomach</w:t>
            </w:r>
          </w:p>
        </w:tc>
        <w:tc>
          <w:tcPr>
            <w:tcW w:w="1259" w:type="dxa"/>
            <w:gridSpan w:val="3"/>
            <w:tcBorders>
              <w:top w:val="single" w:sz="4" w:space="0" w:color="auto"/>
              <w:left w:val="nil"/>
              <w:bottom w:val="single" w:sz="4" w:space="0" w:color="auto"/>
              <w:right w:val="nil"/>
            </w:tcBorders>
            <w:hideMark/>
          </w:tcPr>
          <w:p w:rsidR="00F97A81" w:rsidRPr="00F97A81" w:rsidRDefault="00F97A81" w:rsidP="00F97A81">
            <w:pPr>
              <w:spacing w:before="6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Tissue</w:t>
            </w:r>
          </w:p>
        </w:tc>
        <w:tc>
          <w:tcPr>
            <w:tcW w:w="1533" w:type="dxa"/>
            <w:gridSpan w:val="6"/>
            <w:tcBorders>
              <w:top w:val="single" w:sz="4" w:space="0" w:color="auto"/>
              <w:left w:val="nil"/>
              <w:bottom w:val="single" w:sz="4" w:space="0" w:color="auto"/>
              <w:right w:val="nil"/>
            </w:tcBorders>
            <w:hideMark/>
          </w:tcPr>
          <w:p w:rsidR="00F97A81" w:rsidRPr="00F97A81" w:rsidRDefault="00F97A81" w:rsidP="00F97A81">
            <w:pPr>
              <w:spacing w:before="6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 xml:space="preserve">Po-210 in </w:t>
            </w:r>
          </w:p>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Dry Sample</w:t>
            </w:r>
          </w:p>
        </w:tc>
        <w:tc>
          <w:tcPr>
            <w:tcW w:w="1540" w:type="dxa"/>
            <w:gridSpan w:val="6"/>
            <w:tcBorders>
              <w:top w:val="single" w:sz="4" w:space="0" w:color="auto"/>
              <w:left w:val="nil"/>
              <w:bottom w:val="single" w:sz="4" w:space="0" w:color="auto"/>
              <w:right w:val="nil"/>
            </w:tcBorders>
            <w:hideMark/>
          </w:tcPr>
          <w:p w:rsidR="00F97A81" w:rsidRPr="00F97A81" w:rsidRDefault="00F97A81" w:rsidP="00F97A81">
            <w:pPr>
              <w:spacing w:before="60"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 xml:space="preserve">Po-210 in </w:t>
            </w:r>
          </w:p>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Wet Sample</w:t>
            </w:r>
          </w:p>
        </w:tc>
      </w:tr>
      <w:tr w:rsidR="00F97A81" w:rsidRPr="00F97A81" w:rsidTr="00FD63A4">
        <w:trPr>
          <w:trHeight w:val="270"/>
          <w:jc w:val="center"/>
        </w:trPr>
        <w:tc>
          <w:tcPr>
            <w:tcW w:w="748" w:type="dxa"/>
            <w:vMerge/>
            <w:tcBorders>
              <w:top w:val="nil"/>
              <w:left w:val="nil"/>
              <w:bottom w:val="single" w:sz="4" w:space="0" w:color="auto"/>
              <w:right w:val="nil"/>
            </w:tcBorders>
            <w:vAlign w:val="center"/>
            <w:hideMark/>
          </w:tcPr>
          <w:p w:rsidR="00F97A81" w:rsidRPr="00F97A81" w:rsidRDefault="00F97A81" w:rsidP="00F97A81">
            <w:pPr>
              <w:spacing w:after="0" w:line="240" w:lineRule="auto"/>
              <w:rPr>
                <w:rFonts w:ascii="Times New Roman" w:eastAsia="Calibri" w:hAnsi="Times New Roman"/>
                <w:b/>
                <w:sz w:val="14"/>
                <w:szCs w:val="16"/>
              </w:rPr>
            </w:pPr>
          </w:p>
        </w:tc>
        <w:tc>
          <w:tcPr>
            <w:tcW w:w="674" w:type="dxa"/>
            <w:vMerge/>
            <w:tcBorders>
              <w:top w:val="nil"/>
              <w:left w:val="nil"/>
              <w:bottom w:val="single" w:sz="4" w:space="0" w:color="auto"/>
              <w:right w:val="nil"/>
            </w:tcBorders>
            <w:vAlign w:val="center"/>
            <w:hideMark/>
          </w:tcPr>
          <w:p w:rsidR="00F97A81" w:rsidRPr="00F97A81" w:rsidRDefault="00F97A81" w:rsidP="00F97A81">
            <w:pPr>
              <w:spacing w:after="0" w:line="240" w:lineRule="auto"/>
              <w:rPr>
                <w:rFonts w:ascii="Times New Roman" w:eastAsia="Calibri" w:hAnsi="Times New Roman"/>
                <w:b/>
                <w:sz w:val="14"/>
                <w:szCs w:val="16"/>
              </w:rPr>
            </w:pPr>
          </w:p>
        </w:tc>
        <w:tc>
          <w:tcPr>
            <w:tcW w:w="693" w:type="dxa"/>
            <w:gridSpan w:val="2"/>
            <w:vMerge/>
            <w:tcBorders>
              <w:top w:val="nil"/>
              <w:left w:val="nil"/>
              <w:bottom w:val="single" w:sz="4" w:space="0" w:color="auto"/>
              <w:right w:val="nil"/>
            </w:tcBorders>
            <w:vAlign w:val="center"/>
            <w:hideMark/>
          </w:tcPr>
          <w:p w:rsidR="00F97A81" w:rsidRPr="00F97A81" w:rsidRDefault="00F97A81" w:rsidP="00F97A81">
            <w:pPr>
              <w:spacing w:after="0" w:line="240" w:lineRule="auto"/>
              <w:jc w:val="center"/>
              <w:rPr>
                <w:rFonts w:ascii="Times New Roman" w:eastAsia="Calibri" w:hAnsi="Times New Roman"/>
                <w:b/>
                <w:sz w:val="14"/>
                <w:szCs w:val="16"/>
              </w:rPr>
            </w:pPr>
          </w:p>
        </w:tc>
        <w:tc>
          <w:tcPr>
            <w:tcW w:w="702" w:type="dxa"/>
            <w:gridSpan w:val="2"/>
            <w:vMerge/>
            <w:tcBorders>
              <w:top w:val="nil"/>
              <w:left w:val="nil"/>
              <w:bottom w:val="single" w:sz="4" w:space="0" w:color="auto"/>
              <w:right w:val="nil"/>
            </w:tcBorders>
            <w:vAlign w:val="center"/>
            <w:hideMark/>
          </w:tcPr>
          <w:p w:rsidR="00F97A81" w:rsidRPr="00F97A81" w:rsidRDefault="00F97A81" w:rsidP="00F97A81">
            <w:pPr>
              <w:spacing w:after="0" w:line="240" w:lineRule="auto"/>
              <w:jc w:val="center"/>
              <w:rPr>
                <w:rFonts w:ascii="Times New Roman" w:eastAsia="Calibri" w:hAnsi="Times New Roman"/>
                <w:b/>
                <w:sz w:val="14"/>
                <w:szCs w:val="16"/>
              </w:rPr>
            </w:pPr>
          </w:p>
        </w:tc>
        <w:tc>
          <w:tcPr>
            <w:tcW w:w="583" w:type="dxa"/>
            <w:gridSpan w:val="2"/>
            <w:vMerge/>
            <w:tcBorders>
              <w:top w:val="nil"/>
              <w:left w:val="nil"/>
              <w:bottom w:val="single" w:sz="4" w:space="0" w:color="auto"/>
              <w:right w:val="nil"/>
            </w:tcBorders>
            <w:vAlign w:val="center"/>
            <w:hideMark/>
          </w:tcPr>
          <w:p w:rsidR="00F97A81" w:rsidRPr="00F97A81" w:rsidRDefault="00F97A81" w:rsidP="00F97A81">
            <w:pPr>
              <w:spacing w:after="0" w:line="240" w:lineRule="auto"/>
              <w:jc w:val="center"/>
              <w:rPr>
                <w:rFonts w:ascii="Times New Roman" w:eastAsia="Calibri" w:hAnsi="Times New Roman"/>
                <w:b/>
                <w:sz w:val="14"/>
                <w:szCs w:val="16"/>
              </w:rPr>
            </w:pPr>
          </w:p>
        </w:tc>
        <w:tc>
          <w:tcPr>
            <w:tcW w:w="545" w:type="dxa"/>
            <w:gridSpan w:val="2"/>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Wet (g)</w:t>
            </w:r>
          </w:p>
        </w:tc>
        <w:tc>
          <w:tcPr>
            <w:tcW w:w="626" w:type="dxa"/>
            <w:gridSpan w:val="2"/>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Dry (g)</w:t>
            </w:r>
          </w:p>
        </w:tc>
        <w:tc>
          <w:tcPr>
            <w:tcW w:w="625" w:type="dxa"/>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Wet (g)</w:t>
            </w:r>
          </w:p>
        </w:tc>
        <w:tc>
          <w:tcPr>
            <w:tcW w:w="634" w:type="dxa"/>
            <w:gridSpan w:val="2"/>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Dry (g)</w:t>
            </w:r>
          </w:p>
        </w:tc>
        <w:tc>
          <w:tcPr>
            <w:tcW w:w="813" w:type="dxa"/>
            <w:gridSpan w:val="3"/>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Stomach (Bq/kg)</w:t>
            </w:r>
          </w:p>
        </w:tc>
        <w:tc>
          <w:tcPr>
            <w:tcW w:w="720" w:type="dxa"/>
            <w:gridSpan w:val="3"/>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Tissue</w:t>
            </w:r>
          </w:p>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(Bq/kg)</w:t>
            </w:r>
          </w:p>
        </w:tc>
        <w:tc>
          <w:tcPr>
            <w:tcW w:w="808" w:type="dxa"/>
            <w:gridSpan w:val="3"/>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Stomach (Bq/kg)</w:t>
            </w:r>
          </w:p>
        </w:tc>
        <w:tc>
          <w:tcPr>
            <w:tcW w:w="732" w:type="dxa"/>
            <w:gridSpan w:val="3"/>
            <w:tcBorders>
              <w:top w:val="single" w:sz="4" w:space="0" w:color="auto"/>
              <w:left w:val="nil"/>
              <w:bottom w:val="single" w:sz="4" w:space="0" w:color="auto"/>
              <w:right w:val="nil"/>
            </w:tcBorders>
            <w:hideMark/>
          </w:tcPr>
          <w:p w:rsidR="00F97A81" w:rsidRPr="00F97A81" w:rsidRDefault="00F97A81" w:rsidP="00F97A81">
            <w:pPr>
              <w:spacing w:after="0" w:line="240" w:lineRule="auto"/>
              <w:jc w:val="center"/>
              <w:rPr>
                <w:rFonts w:ascii="Times New Roman" w:eastAsia="Calibri" w:hAnsi="Times New Roman"/>
                <w:b/>
                <w:sz w:val="14"/>
                <w:szCs w:val="16"/>
              </w:rPr>
            </w:pPr>
            <w:r w:rsidRPr="00F97A81">
              <w:rPr>
                <w:rFonts w:ascii="Times New Roman" w:eastAsia="Calibri" w:hAnsi="Times New Roman"/>
                <w:b/>
                <w:sz w:val="14"/>
                <w:szCs w:val="16"/>
              </w:rPr>
              <w:t>Tissue</w:t>
            </w:r>
          </w:p>
          <w:p w:rsidR="00F97A81" w:rsidRPr="00F97A81" w:rsidRDefault="00F97A81" w:rsidP="00F97A81">
            <w:pPr>
              <w:spacing w:after="60" w:line="240" w:lineRule="auto"/>
              <w:jc w:val="center"/>
              <w:rPr>
                <w:rFonts w:ascii="Times New Roman" w:eastAsia="Calibri" w:hAnsi="Times New Roman"/>
                <w:b/>
                <w:sz w:val="14"/>
                <w:szCs w:val="16"/>
              </w:rPr>
            </w:pPr>
            <w:r w:rsidRPr="00F97A81">
              <w:rPr>
                <w:rFonts w:ascii="Times New Roman" w:eastAsia="Calibri" w:hAnsi="Times New Roman"/>
                <w:b/>
                <w:sz w:val="14"/>
                <w:szCs w:val="16"/>
              </w:rPr>
              <w:t>(Bq/kg)</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59.10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26.40</w:t>
            </w:r>
          </w:p>
        </w:tc>
        <w:tc>
          <w:tcPr>
            <w:tcW w:w="54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1.14</w:t>
            </w:r>
          </w:p>
        </w:tc>
        <w:tc>
          <w:tcPr>
            <w:tcW w:w="626"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0.27</w:t>
            </w:r>
          </w:p>
        </w:tc>
        <w:tc>
          <w:tcPr>
            <w:tcW w:w="63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3.54</w:t>
            </w:r>
          </w:p>
        </w:tc>
        <w:tc>
          <w:tcPr>
            <w:tcW w:w="634"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0.65</w:t>
            </w:r>
          </w:p>
        </w:tc>
        <w:tc>
          <w:tcPr>
            <w:tcW w:w="806" w:type="dxa"/>
            <w:gridSpan w:val="2"/>
            <w:tcBorders>
              <w:top w:val="nil"/>
              <w:left w:val="nil"/>
              <w:bottom w:val="nil"/>
              <w:right w:val="nil"/>
            </w:tcBorders>
            <w:vAlign w:val="center"/>
          </w:tcPr>
          <w:p w:rsidR="00F97A81" w:rsidRPr="00F97A81" w:rsidRDefault="00F97A81" w:rsidP="0045262E">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92.78 ±4.92</w:t>
            </w:r>
          </w:p>
        </w:tc>
        <w:tc>
          <w:tcPr>
            <w:tcW w:w="720" w:type="dxa"/>
            <w:gridSpan w:val="3"/>
            <w:tcBorders>
              <w:top w:val="nil"/>
              <w:left w:val="nil"/>
              <w:bottom w:val="nil"/>
              <w:right w:val="nil"/>
            </w:tcBorders>
            <w:vAlign w:val="center"/>
          </w:tcPr>
          <w:p w:rsidR="00F97A81" w:rsidRPr="00F97A81" w:rsidRDefault="00F97A81" w:rsidP="00FD63A4">
            <w:pPr>
              <w:adjustRightInd w:val="0"/>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27.10 ±1.64</w:t>
            </w:r>
          </w:p>
        </w:tc>
        <w:tc>
          <w:tcPr>
            <w:tcW w:w="809" w:type="dxa"/>
            <w:gridSpan w:val="3"/>
            <w:tcBorders>
              <w:top w:val="nil"/>
              <w:left w:val="nil"/>
              <w:bottom w:val="nil"/>
              <w:right w:val="nil"/>
            </w:tcBorders>
            <w:vAlign w:val="center"/>
          </w:tcPr>
          <w:p w:rsidR="00F97A81" w:rsidRPr="00F97A81" w:rsidRDefault="00F97A81" w:rsidP="00FD63A4">
            <w:pPr>
              <w:adjustRightInd w:val="0"/>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22.13 ±1.17</w:t>
            </w:r>
          </w:p>
        </w:tc>
        <w:tc>
          <w:tcPr>
            <w:tcW w:w="720" w:type="dxa"/>
            <w:gridSpan w:val="3"/>
            <w:tcBorders>
              <w:top w:val="nil"/>
              <w:left w:val="nil"/>
              <w:bottom w:val="nil"/>
              <w:right w:val="nil"/>
            </w:tcBorders>
            <w:vAlign w:val="center"/>
          </w:tcPr>
          <w:p w:rsidR="00F97A81" w:rsidRPr="00F97A81" w:rsidRDefault="00F97A81" w:rsidP="0045262E">
            <w:pPr>
              <w:adjustRightInd w:val="0"/>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5.03 ±0.30</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62.10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26.10</w:t>
            </w:r>
          </w:p>
        </w:tc>
        <w:tc>
          <w:tcPr>
            <w:tcW w:w="54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1.48</w:t>
            </w:r>
          </w:p>
        </w:tc>
        <w:tc>
          <w:tcPr>
            <w:tcW w:w="626"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0.32</w:t>
            </w:r>
          </w:p>
        </w:tc>
        <w:tc>
          <w:tcPr>
            <w:tcW w:w="63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3.72</w:t>
            </w:r>
          </w:p>
        </w:tc>
        <w:tc>
          <w:tcPr>
            <w:tcW w:w="634"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0.64</w:t>
            </w:r>
          </w:p>
        </w:tc>
        <w:tc>
          <w:tcPr>
            <w:tcW w:w="806" w:type="dxa"/>
            <w:gridSpan w:val="2"/>
            <w:tcBorders>
              <w:top w:val="nil"/>
              <w:left w:val="nil"/>
              <w:bottom w:val="nil"/>
              <w:right w:val="nil"/>
            </w:tcBorders>
            <w:vAlign w:val="center"/>
          </w:tcPr>
          <w:p w:rsidR="00F97A81" w:rsidRPr="00F97A81" w:rsidRDefault="00F97A81" w:rsidP="0045262E">
            <w:pPr>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86.33 ±4.42</w:t>
            </w:r>
          </w:p>
        </w:tc>
        <w:tc>
          <w:tcPr>
            <w:tcW w:w="720" w:type="dxa"/>
            <w:gridSpan w:val="3"/>
            <w:tcBorders>
              <w:top w:val="nil"/>
              <w:left w:val="nil"/>
              <w:bottom w:val="nil"/>
              <w:right w:val="nil"/>
            </w:tcBorders>
            <w:vAlign w:val="center"/>
          </w:tcPr>
          <w:p w:rsidR="00F97A81" w:rsidRPr="00F97A81" w:rsidRDefault="00F97A81" w:rsidP="0045262E">
            <w:pPr>
              <w:spacing w:before="12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45.73 ±2.35</w:t>
            </w:r>
          </w:p>
        </w:tc>
        <w:tc>
          <w:tcPr>
            <w:tcW w:w="809" w:type="dxa"/>
            <w:gridSpan w:val="3"/>
            <w:tcBorders>
              <w:top w:val="nil"/>
              <w:left w:val="nil"/>
              <w:bottom w:val="nil"/>
              <w:right w:val="nil"/>
            </w:tcBorders>
            <w:vAlign w:val="center"/>
          </w:tcPr>
          <w:p w:rsidR="00F97A81" w:rsidRPr="00F97A81" w:rsidRDefault="00F97A81" w:rsidP="0045262E">
            <w:pPr>
              <w:spacing w:before="12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18.98 ±0.97</w:t>
            </w:r>
          </w:p>
        </w:tc>
        <w:tc>
          <w:tcPr>
            <w:tcW w:w="720" w:type="dxa"/>
            <w:gridSpan w:val="3"/>
            <w:tcBorders>
              <w:top w:val="nil"/>
              <w:left w:val="nil"/>
              <w:bottom w:val="nil"/>
              <w:right w:val="nil"/>
            </w:tcBorders>
            <w:vAlign w:val="center"/>
          </w:tcPr>
          <w:p w:rsidR="00F97A81" w:rsidRPr="00F97A81" w:rsidRDefault="00F97A81" w:rsidP="0045262E">
            <w:pPr>
              <w:spacing w:before="12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7.95 ±0.41</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58.30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28.10</w:t>
            </w:r>
          </w:p>
        </w:tc>
        <w:tc>
          <w:tcPr>
            <w:tcW w:w="54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0.83</w:t>
            </w:r>
          </w:p>
        </w:tc>
        <w:tc>
          <w:tcPr>
            <w:tcW w:w="626"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0.18</w:t>
            </w:r>
          </w:p>
        </w:tc>
        <w:tc>
          <w:tcPr>
            <w:tcW w:w="63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3.32</w:t>
            </w:r>
          </w:p>
        </w:tc>
        <w:tc>
          <w:tcPr>
            <w:tcW w:w="634"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0.59</w:t>
            </w:r>
          </w:p>
        </w:tc>
        <w:tc>
          <w:tcPr>
            <w:tcW w:w="806" w:type="dxa"/>
            <w:gridSpan w:val="2"/>
            <w:tcBorders>
              <w:top w:val="nil"/>
              <w:left w:val="nil"/>
              <w:bottom w:val="nil"/>
              <w:right w:val="nil"/>
            </w:tcBorders>
            <w:vAlign w:val="center"/>
          </w:tcPr>
          <w:p w:rsidR="00F97A81" w:rsidRPr="00F97A81" w:rsidRDefault="00F97A81" w:rsidP="0045262E">
            <w:pPr>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156.13</w:t>
            </w:r>
          </w:p>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±8.11</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36.05 ±2.00</w:t>
            </w:r>
          </w:p>
        </w:tc>
        <w:tc>
          <w:tcPr>
            <w:tcW w:w="809"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34.82 ±1.81</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6.43 ±0.36</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D46503" w:rsidRDefault="00D46503" w:rsidP="00F97A81">
            <w:pPr>
              <w:spacing w:after="0" w:line="240" w:lineRule="auto"/>
              <w:rPr>
                <w:rFonts w:ascii="Times New Roman" w:eastAsia="Calibri" w:hAnsi="Times New Roman"/>
                <w:sz w:val="16"/>
                <w:szCs w:val="16"/>
              </w:rPr>
            </w:pPr>
          </w:p>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r w:rsidRPr="00F97A81">
              <w:rPr>
                <w:rFonts w:ascii="Times New Roman" w:eastAsia="Calibri" w:hAnsi="Times New Roman"/>
                <w:sz w:val="16"/>
                <w:szCs w:val="16"/>
              </w:rPr>
              <w:t>ST 08</w:t>
            </w: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59.90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26.60</w:t>
            </w:r>
          </w:p>
        </w:tc>
        <w:tc>
          <w:tcPr>
            <w:tcW w:w="54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1.16</w:t>
            </w:r>
          </w:p>
        </w:tc>
        <w:tc>
          <w:tcPr>
            <w:tcW w:w="626"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0.22</w:t>
            </w:r>
          </w:p>
        </w:tc>
        <w:tc>
          <w:tcPr>
            <w:tcW w:w="63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3.33</w:t>
            </w:r>
          </w:p>
        </w:tc>
        <w:tc>
          <w:tcPr>
            <w:tcW w:w="634"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0.56</w:t>
            </w:r>
          </w:p>
        </w:tc>
        <w:tc>
          <w:tcPr>
            <w:tcW w:w="806" w:type="dxa"/>
            <w:gridSpan w:val="2"/>
            <w:tcBorders>
              <w:top w:val="nil"/>
              <w:left w:val="nil"/>
              <w:bottom w:val="nil"/>
              <w:right w:val="nil"/>
            </w:tcBorders>
            <w:vAlign w:val="center"/>
          </w:tcPr>
          <w:p w:rsidR="00F97A81" w:rsidRPr="00F97A81" w:rsidRDefault="00F97A81" w:rsidP="0045262E">
            <w:pPr>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106.06 ±5.74</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36.23 ±2.08</w:t>
            </w:r>
          </w:p>
        </w:tc>
        <w:tc>
          <w:tcPr>
            <w:tcW w:w="809"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20.55 ±1.11</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6.10 ±0.35</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56.10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25.00</w:t>
            </w:r>
          </w:p>
        </w:tc>
        <w:tc>
          <w:tcPr>
            <w:tcW w:w="54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1.08</w:t>
            </w:r>
          </w:p>
        </w:tc>
        <w:tc>
          <w:tcPr>
            <w:tcW w:w="626"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0.23</w:t>
            </w:r>
          </w:p>
        </w:tc>
        <w:tc>
          <w:tcPr>
            <w:tcW w:w="63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3.22</w:t>
            </w:r>
          </w:p>
        </w:tc>
        <w:tc>
          <w:tcPr>
            <w:tcW w:w="634"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0.50</w:t>
            </w:r>
          </w:p>
        </w:tc>
        <w:tc>
          <w:tcPr>
            <w:tcW w:w="806" w:type="dxa"/>
            <w:gridSpan w:val="2"/>
            <w:tcBorders>
              <w:top w:val="nil"/>
              <w:left w:val="nil"/>
              <w:bottom w:val="nil"/>
              <w:right w:val="nil"/>
            </w:tcBorders>
            <w:vAlign w:val="center"/>
          </w:tcPr>
          <w:p w:rsidR="00F97A81" w:rsidRPr="00F97A81" w:rsidRDefault="00F97A81" w:rsidP="0045262E">
            <w:pPr>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97.35 ±5.35</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43.47 ±2.41</w:t>
            </w:r>
          </w:p>
        </w:tc>
        <w:tc>
          <w:tcPr>
            <w:tcW w:w="809"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20.60 ±1.13</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6.87 ±0.38</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57.10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25.00</w:t>
            </w:r>
          </w:p>
        </w:tc>
        <w:tc>
          <w:tcPr>
            <w:tcW w:w="54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1.04</w:t>
            </w:r>
          </w:p>
        </w:tc>
        <w:tc>
          <w:tcPr>
            <w:tcW w:w="626"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0.23</w:t>
            </w:r>
          </w:p>
        </w:tc>
        <w:tc>
          <w:tcPr>
            <w:tcW w:w="635"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3.89</w:t>
            </w:r>
          </w:p>
        </w:tc>
        <w:tc>
          <w:tcPr>
            <w:tcW w:w="634"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0.70</w:t>
            </w:r>
          </w:p>
        </w:tc>
        <w:tc>
          <w:tcPr>
            <w:tcW w:w="806" w:type="dxa"/>
            <w:gridSpan w:val="2"/>
            <w:tcBorders>
              <w:top w:val="nil"/>
              <w:left w:val="nil"/>
              <w:bottom w:val="nil"/>
              <w:right w:val="nil"/>
            </w:tcBorders>
            <w:vAlign w:val="center"/>
          </w:tcPr>
          <w:p w:rsidR="00F97A81" w:rsidRPr="00F97A81" w:rsidRDefault="00F97A81" w:rsidP="0045262E">
            <w:pPr>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80.35 ±4.75</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30.65 ±1.66</w:t>
            </w:r>
          </w:p>
        </w:tc>
        <w:tc>
          <w:tcPr>
            <w:tcW w:w="809"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18.13 ±1.07</w:t>
            </w:r>
          </w:p>
        </w:tc>
        <w:tc>
          <w:tcPr>
            <w:tcW w:w="720" w:type="dxa"/>
            <w:gridSpan w:val="3"/>
            <w:tcBorders>
              <w:top w:val="nil"/>
              <w:left w:val="nil"/>
              <w:bottom w:val="nil"/>
              <w:right w:val="nil"/>
            </w:tcBorders>
            <w:vAlign w:val="center"/>
          </w:tcPr>
          <w:p w:rsidR="00F97A81" w:rsidRPr="00F97A81" w:rsidRDefault="00F97A81" w:rsidP="0045262E">
            <w:pPr>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5.54 ±0.30</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bookmarkStart w:id="0" w:name="_GoBack"/>
            <w:bookmarkEnd w:id="0"/>
          </w:p>
        </w:tc>
        <w:tc>
          <w:tcPr>
            <w:tcW w:w="685" w:type="dxa"/>
            <w:tcBorders>
              <w:top w:val="nil"/>
              <w:left w:val="nil"/>
              <w:bottom w:val="single" w:sz="4" w:space="0" w:color="auto"/>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60.50</w:t>
            </w:r>
          </w:p>
        </w:tc>
        <w:tc>
          <w:tcPr>
            <w:tcW w:w="583"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30.50</w:t>
            </w:r>
          </w:p>
        </w:tc>
        <w:tc>
          <w:tcPr>
            <w:tcW w:w="545" w:type="dxa"/>
            <w:gridSpan w:val="2"/>
            <w:tcBorders>
              <w:top w:val="nil"/>
              <w:left w:val="nil"/>
              <w:bottom w:val="single" w:sz="4" w:space="0" w:color="auto"/>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1.35</w:t>
            </w:r>
          </w:p>
        </w:tc>
        <w:tc>
          <w:tcPr>
            <w:tcW w:w="626" w:type="dxa"/>
            <w:gridSpan w:val="2"/>
            <w:tcBorders>
              <w:top w:val="nil"/>
              <w:left w:val="nil"/>
              <w:bottom w:val="single" w:sz="4" w:space="0" w:color="auto"/>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0.28</w:t>
            </w:r>
          </w:p>
        </w:tc>
        <w:tc>
          <w:tcPr>
            <w:tcW w:w="635" w:type="dxa"/>
            <w:gridSpan w:val="2"/>
            <w:tcBorders>
              <w:top w:val="nil"/>
              <w:left w:val="nil"/>
              <w:bottom w:val="single" w:sz="4" w:space="0" w:color="auto"/>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3.04</w:t>
            </w:r>
          </w:p>
        </w:tc>
        <w:tc>
          <w:tcPr>
            <w:tcW w:w="634" w:type="dxa"/>
            <w:gridSpan w:val="2"/>
            <w:tcBorders>
              <w:top w:val="nil"/>
              <w:left w:val="nil"/>
              <w:bottom w:val="single" w:sz="4" w:space="0" w:color="auto"/>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0.72</w:t>
            </w:r>
          </w:p>
        </w:tc>
        <w:tc>
          <w:tcPr>
            <w:tcW w:w="806" w:type="dxa"/>
            <w:gridSpan w:val="2"/>
            <w:tcBorders>
              <w:top w:val="nil"/>
              <w:left w:val="nil"/>
              <w:bottom w:val="single" w:sz="4" w:space="0" w:color="auto"/>
              <w:right w:val="nil"/>
            </w:tcBorders>
            <w:vAlign w:val="center"/>
          </w:tcPr>
          <w:p w:rsidR="00F97A81" w:rsidRPr="00F97A81" w:rsidRDefault="00F97A81" w:rsidP="005E501F">
            <w:pPr>
              <w:spacing w:before="24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69.99 ±4.10</w:t>
            </w:r>
          </w:p>
        </w:tc>
        <w:tc>
          <w:tcPr>
            <w:tcW w:w="720" w:type="dxa"/>
            <w:gridSpan w:val="3"/>
            <w:tcBorders>
              <w:top w:val="nil"/>
              <w:left w:val="nil"/>
              <w:bottom w:val="single" w:sz="4" w:space="0" w:color="auto"/>
              <w:right w:val="nil"/>
            </w:tcBorders>
            <w:vAlign w:val="center"/>
          </w:tcPr>
          <w:p w:rsidR="00F97A81" w:rsidRPr="00F97A81" w:rsidRDefault="00F97A81" w:rsidP="005E501F">
            <w:pPr>
              <w:spacing w:before="24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35.07 ±1.79</w:t>
            </w:r>
          </w:p>
        </w:tc>
        <w:tc>
          <w:tcPr>
            <w:tcW w:w="809" w:type="dxa"/>
            <w:gridSpan w:val="3"/>
            <w:tcBorders>
              <w:top w:val="nil"/>
              <w:left w:val="nil"/>
              <w:bottom w:val="single" w:sz="4" w:space="0" w:color="auto"/>
              <w:right w:val="nil"/>
            </w:tcBorders>
            <w:vAlign w:val="center"/>
          </w:tcPr>
          <w:p w:rsidR="00F97A81" w:rsidRPr="00F97A81" w:rsidRDefault="00F97A81" w:rsidP="005E501F">
            <w:pPr>
              <w:spacing w:before="24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14.57 ±0.85</w:t>
            </w:r>
          </w:p>
        </w:tc>
        <w:tc>
          <w:tcPr>
            <w:tcW w:w="720" w:type="dxa"/>
            <w:gridSpan w:val="3"/>
            <w:tcBorders>
              <w:top w:val="nil"/>
              <w:left w:val="nil"/>
              <w:bottom w:val="single" w:sz="4" w:space="0" w:color="auto"/>
              <w:right w:val="nil"/>
            </w:tcBorders>
            <w:vAlign w:val="center"/>
          </w:tcPr>
          <w:p w:rsidR="00F97A81" w:rsidRPr="00F97A81" w:rsidRDefault="00F97A81" w:rsidP="005E501F">
            <w:pPr>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8.40 ±0.43</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D46503" w:rsidP="00F97A81">
            <w:pPr>
              <w:spacing w:after="0" w:line="240" w:lineRule="auto"/>
              <w:rPr>
                <w:rFonts w:ascii="Times New Roman" w:eastAsia="Calibri" w:hAnsi="Times New Roman"/>
                <w:sz w:val="16"/>
                <w:szCs w:val="16"/>
              </w:rPr>
            </w:pPr>
            <w:r>
              <w:rPr>
                <w:rFonts w:ascii="Times New Roman" w:eastAsia="Calibri" w:hAnsi="Times New Roman"/>
                <w:sz w:val="16"/>
                <w:szCs w:val="16"/>
              </w:rPr>
              <w:t>Culture</w:t>
            </w:r>
          </w:p>
        </w:tc>
        <w:tc>
          <w:tcPr>
            <w:tcW w:w="674"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p>
        </w:tc>
        <w:tc>
          <w:tcPr>
            <w:tcW w:w="685" w:type="dxa"/>
            <w:tcBorders>
              <w:top w:val="single" w:sz="4" w:space="0" w:color="auto"/>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w:t>
            </w:r>
          </w:p>
        </w:tc>
        <w:tc>
          <w:tcPr>
            <w:tcW w:w="700" w:type="dxa"/>
            <w:gridSpan w:val="2"/>
            <w:tcBorders>
              <w:top w:val="single" w:sz="4" w:space="0" w:color="auto"/>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62.20</w:t>
            </w:r>
          </w:p>
        </w:tc>
        <w:tc>
          <w:tcPr>
            <w:tcW w:w="583" w:type="dxa"/>
            <w:gridSpan w:val="2"/>
            <w:tcBorders>
              <w:top w:val="single" w:sz="4" w:space="0" w:color="auto"/>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27.10</w:t>
            </w:r>
          </w:p>
        </w:tc>
        <w:tc>
          <w:tcPr>
            <w:tcW w:w="545" w:type="dxa"/>
            <w:gridSpan w:val="2"/>
            <w:tcBorders>
              <w:top w:val="single" w:sz="4" w:space="0" w:color="auto"/>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1.25</w:t>
            </w:r>
          </w:p>
        </w:tc>
        <w:tc>
          <w:tcPr>
            <w:tcW w:w="626" w:type="dxa"/>
            <w:gridSpan w:val="2"/>
            <w:tcBorders>
              <w:top w:val="single" w:sz="4" w:space="0" w:color="auto"/>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0.29</w:t>
            </w:r>
          </w:p>
        </w:tc>
        <w:tc>
          <w:tcPr>
            <w:tcW w:w="635" w:type="dxa"/>
            <w:gridSpan w:val="2"/>
            <w:tcBorders>
              <w:top w:val="single" w:sz="4" w:space="0" w:color="auto"/>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3.37</w:t>
            </w:r>
          </w:p>
        </w:tc>
        <w:tc>
          <w:tcPr>
            <w:tcW w:w="634" w:type="dxa"/>
            <w:gridSpan w:val="2"/>
            <w:tcBorders>
              <w:top w:val="single" w:sz="4" w:space="0" w:color="auto"/>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0.97</w:t>
            </w:r>
          </w:p>
        </w:tc>
        <w:tc>
          <w:tcPr>
            <w:tcW w:w="806" w:type="dxa"/>
            <w:gridSpan w:val="2"/>
            <w:tcBorders>
              <w:top w:val="single" w:sz="4" w:space="0" w:color="auto"/>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81.07 ±4.28</w:t>
            </w:r>
          </w:p>
        </w:tc>
        <w:tc>
          <w:tcPr>
            <w:tcW w:w="720" w:type="dxa"/>
            <w:gridSpan w:val="3"/>
            <w:tcBorders>
              <w:top w:val="single" w:sz="4" w:space="0" w:color="auto"/>
              <w:left w:val="nil"/>
              <w:bottom w:val="nil"/>
              <w:right w:val="nil"/>
            </w:tcBorders>
            <w:vAlign w:val="center"/>
          </w:tcPr>
          <w:p w:rsidR="00F97A81" w:rsidRPr="00F97A81" w:rsidRDefault="00F97A81" w:rsidP="00D46503">
            <w:pPr>
              <w:adjustRightInd w:val="0"/>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36.17 ±1.63</w:t>
            </w:r>
          </w:p>
        </w:tc>
        <w:tc>
          <w:tcPr>
            <w:tcW w:w="809" w:type="dxa"/>
            <w:gridSpan w:val="3"/>
            <w:tcBorders>
              <w:top w:val="single" w:sz="4" w:space="0" w:color="auto"/>
              <w:left w:val="nil"/>
              <w:bottom w:val="nil"/>
              <w:right w:val="nil"/>
            </w:tcBorders>
            <w:vAlign w:val="center"/>
          </w:tcPr>
          <w:p w:rsidR="00F97A81" w:rsidRPr="00F97A81" w:rsidRDefault="00F97A81" w:rsidP="00D46503">
            <w:pPr>
              <w:adjustRightInd w:val="0"/>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19.13 ±1.01</w:t>
            </w:r>
          </w:p>
        </w:tc>
        <w:tc>
          <w:tcPr>
            <w:tcW w:w="720" w:type="dxa"/>
            <w:gridSpan w:val="3"/>
            <w:tcBorders>
              <w:top w:val="single" w:sz="4" w:space="0" w:color="auto"/>
              <w:left w:val="nil"/>
              <w:bottom w:val="nil"/>
              <w:right w:val="nil"/>
            </w:tcBorders>
            <w:vAlign w:val="center"/>
          </w:tcPr>
          <w:p w:rsidR="00F97A81" w:rsidRPr="00F97A81" w:rsidRDefault="00F97A81" w:rsidP="00D46503">
            <w:pPr>
              <w:adjustRightInd w:val="0"/>
              <w:spacing w:before="12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10.49 ±0.47</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69.10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34.00</w:t>
            </w:r>
          </w:p>
        </w:tc>
        <w:tc>
          <w:tcPr>
            <w:tcW w:w="54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1.53</w:t>
            </w:r>
          </w:p>
        </w:tc>
        <w:tc>
          <w:tcPr>
            <w:tcW w:w="626"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0.33</w:t>
            </w:r>
          </w:p>
        </w:tc>
        <w:tc>
          <w:tcPr>
            <w:tcW w:w="63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5.15</w:t>
            </w:r>
          </w:p>
        </w:tc>
        <w:tc>
          <w:tcPr>
            <w:tcW w:w="634"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1.30</w:t>
            </w:r>
          </w:p>
        </w:tc>
        <w:tc>
          <w:tcPr>
            <w:tcW w:w="806" w:type="dxa"/>
            <w:gridSpan w:val="2"/>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90.36 ±4.27</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25.73 ±1.23</w:t>
            </w:r>
          </w:p>
        </w:tc>
        <w:tc>
          <w:tcPr>
            <w:tcW w:w="809"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19.97 ±0.94</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6.49 ±0.31</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70.90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31.40</w:t>
            </w:r>
          </w:p>
        </w:tc>
        <w:tc>
          <w:tcPr>
            <w:tcW w:w="54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1.38</w:t>
            </w:r>
          </w:p>
        </w:tc>
        <w:tc>
          <w:tcPr>
            <w:tcW w:w="626"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0.29</w:t>
            </w:r>
          </w:p>
        </w:tc>
        <w:tc>
          <w:tcPr>
            <w:tcW w:w="63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5.59</w:t>
            </w:r>
          </w:p>
        </w:tc>
        <w:tc>
          <w:tcPr>
            <w:tcW w:w="634"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1.06</w:t>
            </w:r>
          </w:p>
        </w:tc>
        <w:tc>
          <w:tcPr>
            <w:tcW w:w="806" w:type="dxa"/>
            <w:gridSpan w:val="2"/>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102.83 ±4.82</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38.79 ±1.66</w:t>
            </w:r>
          </w:p>
        </w:tc>
        <w:tc>
          <w:tcPr>
            <w:tcW w:w="809"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22.18 ±1.04</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7.37 ±0.32</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r w:rsidRPr="00F97A81">
              <w:rPr>
                <w:rFonts w:ascii="Times New Roman" w:eastAsia="Calibri" w:hAnsi="Times New Roman"/>
                <w:sz w:val="16"/>
                <w:szCs w:val="16"/>
              </w:rPr>
              <w:t>ST 09</w:t>
            </w: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72.20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34.10</w:t>
            </w:r>
          </w:p>
        </w:tc>
        <w:tc>
          <w:tcPr>
            <w:tcW w:w="54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1.31</w:t>
            </w:r>
          </w:p>
        </w:tc>
        <w:tc>
          <w:tcPr>
            <w:tcW w:w="626"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0.29</w:t>
            </w:r>
          </w:p>
        </w:tc>
        <w:tc>
          <w:tcPr>
            <w:tcW w:w="63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5.85</w:t>
            </w:r>
          </w:p>
        </w:tc>
        <w:tc>
          <w:tcPr>
            <w:tcW w:w="634"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1.07</w:t>
            </w:r>
          </w:p>
        </w:tc>
        <w:tc>
          <w:tcPr>
            <w:tcW w:w="806" w:type="dxa"/>
            <w:gridSpan w:val="2"/>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115.13 ±5.46</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30.64 ±1.40</w:t>
            </w:r>
          </w:p>
        </w:tc>
        <w:tc>
          <w:tcPr>
            <w:tcW w:w="809"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25.57 ±1.21</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5.62 ±0.26</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69.40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30.00</w:t>
            </w:r>
          </w:p>
        </w:tc>
        <w:tc>
          <w:tcPr>
            <w:tcW w:w="54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1.33</w:t>
            </w:r>
          </w:p>
        </w:tc>
        <w:tc>
          <w:tcPr>
            <w:tcW w:w="626"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0.31</w:t>
            </w:r>
          </w:p>
        </w:tc>
        <w:tc>
          <w:tcPr>
            <w:tcW w:w="63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4.51</w:t>
            </w:r>
          </w:p>
        </w:tc>
        <w:tc>
          <w:tcPr>
            <w:tcW w:w="634"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0.80</w:t>
            </w:r>
          </w:p>
        </w:tc>
        <w:tc>
          <w:tcPr>
            <w:tcW w:w="806" w:type="dxa"/>
            <w:gridSpan w:val="2"/>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93.62 ±4.59</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32.90 ±1.68</w:t>
            </w:r>
          </w:p>
        </w:tc>
        <w:tc>
          <w:tcPr>
            <w:tcW w:w="809"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21.78 ±1.07</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5.87 ±0.30</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68.10</w:t>
            </w:r>
          </w:p>
        </w:tc>
        <w:tc>
          <w:tcPr>
            <w:tcW w:w="583"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30.50</w:t>
            </w:r>
          </w:p>
        </w:tc>
        <w:tc>
          <w:tcPr>
            <w:tcW w:w="54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1.31</w:t>
            </w:r>
          </w:p>
        </w:tc>
        <w:tc>
          <w:tcPr>
            <w:tcW w:w="626"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0.31</w:t>
            </w:r>
          </w:p>
        </w:tc>
        <w:tc>
          <w:tcPr>
            <w:tcW w:w="635"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5.03</w:t>
            </w:r>
          </w:p>
        </w:tc>
        <w:tc>
          <w:tcPr>
            <w:tcW w:w="634" w:type="dxa"/>
            <w:gridSpan w:val="2"/>
            <w:tcBorders>
              <w:top w:val="nil"/>
              <w:left w:val="nil"/>
              <w:bottom w:val="nil"/>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1.01</w:t>
            </w:r>
          </w:p>
        </w:tc>
        <w:tc>
          <w:tcPr>
            <w:tcW w:w="806" w:type="dxa"/>
            <w:gridSpan w:val="2"/>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108.21 ±5.07</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31.78 ±1.53</w:t>
            </w:r>
          </w:p>
        </w:tc>
        <w:tc>
          <w:tcPr>
            <w:tcW w:w="809"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26.10 ±1.22</w:t>
            </w:r>
          </w:p>
        </w:tc>
        <w:tc>
          <w:tcPr>
            <w:tcW w:w="720" w:type="dxa"/>
            <w:gridSpan w:val="3"/>
            <w:tcBorders>
              <w:top w:val="nil"/>
              <w:left w:val="nil"/>
              <w:bottom w:val="nil"/>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6.38 ±0.31</w:t>
            </w:r>
          </w:p>
        </w:tc>
      </w:tr>
      <w:tr w:rsidR="00F97A81" w:rsidRPr="00F97A81" w:rsidTr="005E7F17">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single" w:sz="4" w:space="0" w:color="auto"/>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74" w:type="dxa"/>
            <w:tcBorders>
              <w:top w:val="nil"/>
              <w:left w:val="nil"/>
              <w:bottom w:val="single" w:sz="4" w:space="0" w:color="auto"/>
              <w:right w:val="nil"/>
            </w:tcBorders>
            <w:vAlign w:val="center"/>
          </w:tcPr>
          <w:p w:rsidR="00F97A81" w:rsidRPr="00F97A81" w:rsidRDefault="00F97A81" w:rsidP="00F97A81">
            <w:pPr>
              <w:spacing w:after="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65.50</w:t>
            </w:r>
          </w:p>
        </w:tc>
        <w:tc>
          <w:tcPr>
            <w:tcW w:w="583"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34.40</w:t>
            </w:r>
          </w:p>
        </w:tc>
        <w:tc>
          <w:tcPr>
            <w:tcW w:w="545"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1.20</w:t>
            </w:r>
          </w:p>
        </w:tc>
        <w:tc>
          <w:tcPr>
            <w:tcW w:w="626"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0.26</w:t>
            </w:r>
          </w:p>
        </w:tc>
        <w:tc>
          <w:tcPr>
            <w:tcW w:w="635"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4.28</w:t>
            </w:r>
          </w:p>
        </w:tc>
        <w:tc>
          <w:tcPr>
            <w:tcW w:w="634" w:type="dxa"/>
            <w:gridSpan w:val="2"/>
            <w:tcBorders>
              <w:top w:val="nil"/>
              <w:left w:val="nil"/>
              <w:bottom w:val="single" w:sz="4" w:space="0" w:color="auto"/>
              <w:right w:val="nil"/>
            </w:tcBorders>
            <w:vAlign w:val="center"/>
          </w:tcPr>
          <w:p w:rsidR="00F97A81" w:rsidRPr="00F97A81" w:rsidRDefault="00F97A81" w:rsidP="00F97A81">
            <w:pPr>
              <w:adjustRightInd w:val="0"/>
              <w:spacing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0.78</w:t>
            </w:r>
          </w:p>
        </w:tc>
        <w:tc>
          <w:tcPr>
            <w:tcW w:w="806" w:type="dxa"/>
            <w:gridSpan w:val="2"/>
            <w:tcBorders>
              <w:top w:val="nil"/>
              <w:left w:val="nil"/>
              <w:bottom w:val="single" w:sz="4" w:space="0" w:color="auto"/>
              <w:right w:val="nil"/>
            </w:tcBorders>
            <w:vAlign w:val="center"/>
          </w:tcPr>
          <w:p w:rsidR="00F97A81" w:rsidRPr="00F97A81" w:rsidRDefault="00F97A81" w:rsidP="00D46503">
            <w:pPr>
              <w:adjustRightInd w:val="0"/>
              <w:spacing w:before="180" w:after="60" w:line="240" w:lineRule="auto"/>
              <w:jc w:val="center"/>
              <w:rPr>
                <w:rFonts w:ascii="Times New Roman" w:eastAsia="Calibri" w:hAnsi="Times New Roman"/>
                <w:sz w:val="16"/>
                <w:szCs w:val="16"/>
              </w:rPr>
            </w:pPr>
            <w:r w:rsidRPr="00F97A81">
              <w:rPr>
                <w:rFonts w:ascii="Times New Roman" w:eastAsia="Calibri" w:hAnsi="Times New Roman"/>
                <w:sz w:val="16"/>
                <w:szCs w:val="16"/>
              </w:rPr>
              <w:t>105.32 ±5.18</w:t>
            </w:r>
          </w:p>
        </w:tc>
        <w:tc>
          <w:tcPr>
            <w:tcW w:w="720" w:type="dxa"/>
            <w:gridSpan w:val="3"/>
            <w:tcBorders>
              <w:top w:val="nil"/>
              <w:left w:val="nil"/>
              <w:bottom w:val="single" w:sz="4" w:space="0" w:color="auto"/>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36.91 ±1.74</w:t>
            </w:r>
          </w:p>
        </w:tc>
        <w:tc>
          <w:tcPr>
            <w:tcW w:w="809" w:type="dxa"/>
            <w:gridSpan w:val="3"/>
            <w:tcBorders>
              <w:top w:val="nil"/>
              <w:left w:val="nil"/>
              <w:bottom w:val="single" w:sz="4" w:space="0" w:color="auto"/>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23.50 ±1.16</w:t>
            </w:r>
          </w:p>
        </w:tc>
        <w:tc>
          <w:tcPr>
            <w:tcW w:w="720" w:type="dxa"/>
            <w:gridSpan w:val="3"/>
            <w:tcBorders>
              <w:top w:val="nil"/>
              <w:left w:val="nil"/>
              <w:bottom w:val="single" w:sz="4" w:space="0" w:color="auto"/>
              <w:right w:val="nil"/>
            </w:tcBorders>
            <w:vAlign w:val="center"/>
          </w:tcPr>
          <w:p w:rsidR="00F97A81" w:rsidRPr="00F97A81" w:rsidRDefault="00F97A81" w:rsidP="00D46503">
            <w:pPr>
              <w:adjustRightInd w:val="0"/>
              <w:spacing w:before="180" w:after="0" w:line="240" w:lineRule="auto"/>
              <w:jc w:val="center"/>
              <w:rPr>
                <w:rFonts w:ascii="Times New Roman" w:eastAsia="Calibri" w:hAnsi="Times New Roman"/>
                <w:sz w:val="16"/>
                <w:szCs w:val="16"/>
              </w:rPr>
            </w:pPr>
            <w:r w:rsidRPr="00F97A81">
              <w:rPr>
                <w:rFonts w:ascii="Times New Roman" w:eastAsia="Calibri" w:hAnsi="Times New Roman"/>
                <w:sz w:val="16"/>
                <w:szCs w:val="16"/>
              </w:rPr>
              <w:t>6.73 ±0.32</w:t>
            </w:r>
          </w:p>
        </w:tc>
      </w:tr>
      <w:tr w:rsidR="00F97A81" w:rsidRPr="00F97A81" w:rsidTr="005E7F17">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bCs/>
                <w:sz w:val="16"/>
                <w:szCs w:val="16"/>
              </w:rPr>
            </w:pPr>
            <w:r w:rsidRPr="00F97A81">
              <w:rPr>
                <w:rFonts w:ascii="Times New Roman" w:eastAsia="Calibri" w:hAnsi="Times New Roman"/>
                <w:bCs/>
                <w:sz w:val="16"/>
                <w:szCs w:val="16"/>
              </w:rPr>
              <w:t xml:space="preserve">Average activity of </w:t>
            </w:r>
            <w:r w:rsidRPr="00F97A81">
              <w:rPr>
                <w:rFonts w:ascii="Times New Roman" w:eastAsia="Calibri" w:hAnsi="Times New Roman"/>
                <w:bCs/>
                <w:sz w:val="16"/>
                <w:szCs w:val="16"/>
                <w:vertAlign w:val="superscript"/>
              </w:rPr>
              <w:t>210</w:t>
            </w:r>
            <w:r w:rsidRPr="00F97A81">
              <w:rPr>
                <w:rFonts w:ascii="Times New Roman" w:eastAsia="Calibri" w:hAnsi="Times New Roman"/>
                <w:bCs/>
                <w:sz w:val="16"/>
                <w:szCs w:val="16"/>
              </w:rPr>
              <w:t>Po at wild area (ST 04, ST 05 &amp; ST 06)</w:t>
            </w:r>
          </w:p>
          <w:p w:rsidR="00F97A81" w:rsidRPr="00F97A81" w:rsidRDefault="00F97A81" w:rsidP="00F97A81">
            <w:pPr>
              <w:spacing w:after="0" w:line="240" w:lineRule="auto"/>
              <w:jc w:val="center"/>
              <w:rPr>
                <w:rFonts w:ascii="Times New Roman" w:eastAsia="Calibri" w:hAnsi="Times New Roman"/>
                <w:sz w:val="16"/>
                <w:szCs w:val="16"/>
              </w:rPr>
            </w:pPr>
          </w:p>
        </w:tc>
        <w:tc>
          <w:tcPr>
            <w:tcW w:w="806" w:type="dxa"/>
            <w:gridSpan w:val="2"/>
            <w:tcBorders>
              <w:top w:val="nil"/>
              <w:left w:val="nil"/>
              <w:bottom w:val="nil"/>
              <w:right w:val="nil"/>
            </w:tcBorders>
            <w:vAlign w:val="center"/>
          </w:tcPr>
          <w:p w:rsidR="00F97A81" w:rsidRPr="00F97A81" w:rsidRDefault="00F97A81" w:rsidP="005E501F">
            <w:pPr>
              <w:spacing w:before="180" w:after="0" w:line="240" w:lineRule="auto"/>
              <w:jc w:val="center"/>
              <w:rPr>
                <w:rFonts w:ascii="Times New Roman" w:eastAsia="Calibri" w:hAnsi="Times New Roman"/>
                <w:bCs/>
                <w:sz w:val="16"/>
                <w:szCs w:val="16"/>
              </w:rPr>
            </w:pPr>
            <w:r w:rsidRPr="00F97A81">
              <w:rPr>
                <w:rFonts w:ascii="Times New Roman" w:eastAsia="Calibri" w:hAnsi="Times New Roman"/>
                <w:bCs/>
                <w:sz w:val="16"/>
                <w:szCs w:val="16"/>
                <w:lang w:val="en-MY"/>
              </w:rPr>
              <w:t>291.72 ±13.77</w:t>
            </w:r>
          </w:p>
          <w:p w:rsidR="00F97A81" w:rsidRPr="00F97A81" w:rsidRDefault="00F97A81" w:rsidP="00F97A81">
            <w:pPr>
              <w:spacing w:after="0" w:line="240" w:lineRule="auto"/>
              <w:rPr>
                <w:rFonts w:ascii="Times New Roman" w:eastAsia="Calibri" w:hAnsi="Times New Roman"/>
                <w:sz w:val="16"/>
                <w:szCs w:val="16"/>
              </w:rPr>
            </w:pPr>
          </w:p>
        </w:tc>
        <w:tc>
          <w:tcPr>
            <w:tcW w:w="720" w:type="dxa"/>
            <w:gridSpan w:val="3"/>
            <w:tcBorders>
              <w:top w:val="nil"/>
              <w:left w:val="nil"/>
              <w:bottom w:val="nil"/>
              <w:right w:val="nil"/>
            </w:tcBorders>
            <w:vAlign w:val="center"/>
          </w:tcPr>
          <w:p w:rsidR="00F97A81" w:rsidRPr="00F97A81" w:rsidRDefault="00F97A81" w:rsidP="005E501F">
            <w:pPr>
              <w:spacing w:before="180"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79.33</w:t>
            </w:r>
          </w:p>
          <w:p w:rsidR="00F97A81" w:rsidRPr="00F97A81" w:rsidRDefault="00F97A81" w:rsidP="00F97A81">
            <w:pPr>
              <w:spacing w:after="0" w:line="240" w:lineRule="auto"/>
              <w:jc w:val="center"/>
              <w:rPr>
                <w:rFonts w:ascii="Times New Roman" w:eastAsia="Calibri" w:hAnsi="Times New Roman"/>
                <w:bCs/>
                <w:sz w:val="16"/>
                <w:szCs w:val="16"/>
              </w:rPr>
            </w:pPr>
            <w:r w:rsidRPr="00F97A81">
              <w:rPr>
                <w:rFonts w:ascii="Times New Roman" w:eastAsia="Calibri" w:hAnsi="Times New Roman"/>
                <w:bCs/>
                <w:sz w:val="16"/>
                <w:szCs w:val="16"/>
                <w:lang w:val="en-MY"/>
              </w:rPr>
              <w:t>±3.80</w:t>
            </w:r>
          </w:p>
          <w:p w:rsidR="00F97A81" w:rsidRPr="00F97A81" w:rsidRDefault="00F97A81" w:rsidP="00F97A81">
            <w:pPr>
              <w:spacing w:after="0" w:line="240" w:lineRule="auto"/>
              <w:jc w:val="center"/>
              <w:rPr>
                <w:rFonts w:ascii="Times New Roman" w:eastAsia="Calibri" w:hAnsi="Times New Roman"/>
                <w:sz w:val="16"/>
                <w:szCs w:val="16"/>
              </w:rPr>
            </w:pPr>
          </w:p>
        </w:tc>
        <w:tc>
          <w:tcPr>
            <w:tcW w:w="806" w:type="dxa"/>
            <w:gridSpan w:val="3"/>
            <w:tcBorders>
              <w:top w:val="nil"/>
              <w:left w:val="nil"/>
              <w:bottom w:val="nil"/>
              <w:right w:val="nil"/>
            </w:tcBorders>
            <w:vAlign w:val="center"/>
          </w:tcPr>
          <w:p w:rsidR="00F97A81" w:rsidRPr="00F97A81" w:rsidRDefault="00F97A81" w:rsidP="00B33DB5">
            <w:pPr>
              <w:spacing w:before="180"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72.39</w:t>
            </w:r>
          </w:p>
          <w:p w:rsidR="00F97A81" w:rsidRPr="00F97A81" w:rsidRDefault="00F97A81" w:rsidP="00F97A81">
            <w:pPr>
              <w:spacing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±3.42</w:t>
            </w:r>
          </w:p>
          <w:p w:rsidR="00F97A81" w:rsidRPr="00F97A81" w:rsidRDefault="00F97A81" w:rsidP="00F97A81">
            <w:pPr>
              <w:spacing w:after="0" w:line="240" w:lineRule="auto"/>
              <w:jc w:val="center"/>
              <w:rPr>
                <w:rFonts w:ascii="Times New Roman" w:eastAsia="Calibri" w:hAnsi="Times New Roman"/>
                <w:sz w:val="16"/>
                <w:szCs w:val="16"/>
              </w:rPr>
            </w:pPr>
          </w:p>
        </w:tc>
        <w:tc>
          <w:tcPr>
            <w:tcW w:w="720" w:type="dxa"/>
            <w:gridSpan w:val="3"/>
            <w:tcBorders>
              <w:top w:val="nil"/>
              <w:left w:val="nil"/>
              <w:bottom w:val="nil"/>
              <w:right w:val="nil"/>
            </w:tcBorders>
            <w:vAlign w:val="center"/>
          </w:tcPr>
          <w:p w:rsidR="00F97A81" w:rsidRPr="00F97A81" w:rsidRDefault="00F97A81" w:rsidP="005E501F">
            <w:pPr>
              <w:spacing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16.43</w:t>
            </w:r>
          </w:p>
          <w:p w:rsidR="00F97A81" w:rsidRPr="00F97A81" w:rsidRDefault="00F97A81" w:rsidP="00F97A81">
            <w:pPr>
              <w:spacing w:after="0" w:line="240" w:lineRule="auto"/>
              <w:jc w:val="center"/>
              <w:rPr>
                <w:rFonts w:ascii="Times New Roman" w:eastAsia="Calibri" w:hAnsi="Times New Roman"/>
                <w:sz w:val="16"/>
                <w:szCs w:val="16"/>
              </w:rPr>
            </w:pPr>
            <w:r w:rsidRPr="00F97A81">
              <w:rPr>
                <w:rFonts w:ascii="Times New Roman" w:eastAsia="Calibri" w:hAnsi="Times New Roman"/>
                <w:bCs/>
                <w:sz w:val="16"/>
                <w:szCs w:val="16"/>
                <w:lang w:val="en-MY"/>
              </w:rPr>
              <w:t>±0.79</w:t>
            </w:r>
          </w:p>
        </w:tc>
      </w:tr>
      <w:tr w:rsidR="00F97A81" w:rsidRPr="00F97A81" w:rsidTr="005E7F17">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nil"/>
              <w:right w:val="nil"/>
            </w:tcBorders>
            <w:vAlign w:val="center"/>
          </w:tcPr>
          <w:p w:rsidR="00F97A81" w:rsidRPr="00F97A81" w:rsidRDefault="00F97A81" w:rsidP="00F97A81">
            <w:pPr>
              <w:spacing w:after="0" w:line="240" w:lineRule="auto"/>
              <w:rPr>
                <w:rFonts w:ascii="Times New Roman" w:eastAsia="Calibri" w:hAnsi="Times New Roman"/>
                <w:bCs/>
                <w:sz w:val="16"/>
                <w:szCs w:val="16"/>
              </w:rPr>
            </w:pPr>
            <w:r w:rsidRPr="00F97A81">
              <w:rPr>
                <w:rFonts w:ascii="Times New Roman" w:eastAsia="Calibri" w:hAnsi="Times New Roman"/>
                <w:bCs/>
                <w:sz w:val="16"/>
                <w:szCs w:val="16"/>
              </w:rPr>
              <w:t xml:space="preserve">Average activity of </w:t>
            </w:r>
            <w:r w:rsidRPr="00F97A81">
              <w:rPr>
                <w:rFonts w:ascii="Times New Roman" w:eastAsia="Calibri" w:hAnsi="Times New Roman"/>
                <w:bCs/>
                <w:sz w:val="16"/>
                <w:szCs w:val="16"/>
                <w:vertAlign w:val="superscript"/>
              </w:rPr>
              <w:t>210</w:t>
            </w:r>
            <w:r w:rsidRPr="00F97A81">
              <w:rPr>
                <w:rFonts w:ascii="Times New Roman" w:eastAsia="Calibri" w:hAnsi="Times New Roman"/>
                <w:bCs/>
                <w:sz w:val="16"/>
                <w:szCs w:val="16"/>
              </w:rPr>
              <w:t>Po at culture area (ST 02, ST 03, ST 07, ST 08 &amp; ST 09)</w:t>
            </w:r>
          </w:p>
          <w:p w:rsidR="00F97A81" w:rsidRPr="00F97A81" w:rsidRDefault="00F97A81" w:rsidP="00F97A81">
            <w:pPr>
              <w:spacing w:after="0" w:line="240" w:lineRule="auto"/>
              <w:jc w:val="center"/>
              <w:rPr>
                <w:rFonts w:ascii="Times New Roman" w:eastAsia="Calibri" w:hAnsi="Times New Roman"/>
                <w:sz w:val="16"/>
                <w:szCs w:val="16"/>
              </w:rPr>
            </w:pPr>
          </w:p>
        </w:tc>
        <w:tc>
          <w:tcPr>
            <w:tcW w:w="806" w:type="dxa"/>
            <w:gridSpan w:val="2"/>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bCs/>
                <w:sz w:val="16"/>
                <w:szCs w:val="16"/>
              </w:rPr>
            </w:pPr>
            <w:r w:rsidRPr="00F97A81">
              <w:rPr>
                <w:rFonts w:ascii="Times New Roman" w:eastAsia="Calibri" w:hAnsi="Times New Roman"/>
                <w:bCs/>
                <w:sz w:val="16"/>
                <w:szCs w:val="16"/>
                <w:lang w:val="en-MY"/>
              </w:rPr>
              <w:t>112.98 ±5.64</w:t>
            </w:r>
          </w:p>
        </w:tc>
        <w:tc>
          <w:tcPr>
            <w:tcW w:w="720" w:type="dxa"/>
            <w:gridSpan w:val="3"/>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41.38</w:t>
            </w:r>
          </w:p>
          <w:p w:rsidR="00F97A81" w:rsidRPr="00F97A81" w:rsidRDefault="00F97A81" w:rsidP="00F97A81">
            <w:pPr>
              <w:spacing w:after="0" w:line="240" w:lineRule="auto"/>
              <w:jc w:val="center"/>
              <w:rPr>
                <w:rFonts w:ascii="Times New Roman" w:eastAsia="Calibri" w:hAnsi="Times New Roman"/>
                <w:bCs/>
                <w:sz w:val="16"/>
                <w:szCs w:val="16"/>
              </w:rPr>
            </w:pPr>
            <w:r w:rsidRPr="00F97A81">
              <w:rPr>
                <w:rFonts w:ascii="Times New Roman" w:eastAsia="Calibri" w:hAnsi="Times New Roman"/>
                <w:bCs/>
                <w:sz w:val="16"/>
                <w:szCs w:val="16"/>
                <w:lang w:val="en-MY"/>
              </w:rPr>
              <w:t>±1.93</w:t>
            </w:r>
          </w:p>
        </w:tc>
        <w:tc>
          <w:tcPr>
            <w:tcW w:w="806" w:type="dxa"/>
            <w:gridSpan w:val="3"/>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27.84</w:t>
            </w:r>
          </w:p>
          <w:p w:rsidR="00F97A81" w:rsidRPr="00F97A81" w:rsidRDefault="00F97A81" w:rsidP="00F97A81">
            <w:pPr>
              <w:spacing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±1.34</w:t>
            </w:r>
          </w:p>
        </w:tc>
        <w:tc>
          <w:tcPr>
            <w:tcW w:w="720" w:type="dxa"/>
            <w:gridSpan w:val="3"/>
            <w:tcBorders>
              <w:top w:val="nil"/>
              <w:left w:val="nil"/>
              <w:bottom w:val="nil"/>
              <w:right w:val="nil"/>
            </w:tcBorders>
            <w:vAlign w:val="center"/>
          </w:tcPr>
          <w:p w:rsidR="00F97A81" w:rsidRPr="00F97A81" w:rsidRDefault="00F97A81" w:rsidP="00F97A81">
            <w:pPr>
              <w:spacing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9.27</w:t>
            </w:r>
          </w:p>
          <w:p w:rsidR="00F97A81" w:rsidRPr="00F97A81" w:rsidRDefault="00F97A81" w:rsidP="00B33DB5">
            <w:pPr>
              <w:spacing w:after="0" w:line="240" w:lineRule="auto"/>
              <w:rPr>
                <w:rFonts w:ascii="Times New Roman" w:eastAsia="Calibri" w:hAnsi="Times New Roman"/>
                <w:sz w:val="16"/>
                <w:szCs w:val="16"/>
              </w:rPr>
            </w:pPr>
            <w:r w:rsidRPr="00F97A81">
              <w:rPr>
                <w:rFonts w:ascii="Times New Roman" w:eastAsia="Calibri" w:hAnsi="Times New Roman"/>
                <w:bCs/>
                <w:sz w:val="16"/>
                <w:szCs w:val="16"/>
                <w:lang w:val="en-MY"/>
              </w:rPr>
              <w:t>±0.44</w:t>
            </w:r>
          </w:p>
        </w:tc>
      </w:tr>
      <w:tr w:rsidR="00F97A81" w:rsidRPr="00F97A81" w:rsidTr="005E7F17">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single" w:sz="4" w:space="0" w:color="000000"/>
              <w:right w:val="nil"/>
            </w:tcBorders>
            <w:vAlign w:val="center"/>
          </w:tcPr>
          <w:p w:rsidR="00F97A81" w:rsidRPr="00F97A81" w:rsidRDefault="00F97A81" w:rsidP="00F97A81">
            <w:pPr>
              <w:spacing w:after="0" w:line="240" w:lineRule="auto"/>
              <w:rPr>
                <w:rFonts w:ascii="Times New Roman" w:eastAsia="Calibri" w:hAnsi="Times New Roman"/>
                <w:sz w:val="16"/>
                <w:szCs w:val="16"/>
              </w:rPr>
            </w:pPr>
            <w:r w:rsidRPr="00F97A81">
              <w:rPr>
                <w:rFonts w:ascii="Times New Roman" w:eastAsia="Calibri" w:hAnsi="Times New Roman"/>
                <w:bCs/>
                <w:sz w:val="16"/>
                <w:szCs w:val="16"/>
              </w:rPr>
              <w:t xml:space="preserve">Average activity of </w:t>
            </w:r>
            <w:r w:rsidRPr="00F97A81">
              <w:rPr>
                <w:rFonts w:ascii="Times New Roman" w:eastAsia="Calibri" w:hAnsi="Times New Roman"/>
                <w:bCs/>
                <w:sz w:val="16"/>
                <w:szCs w:val="16"/>
                <w:vertAlign w:val="superscript"/>
              </w:rPr>
              <w:t>210</w:t>
            </w:r>
            <w:r w:rsidRPr="00F97A81">
              <w:rPr>
                <w:rFonts w:ascii="Times New Roman" w:eastAsia="Calibri" w:hAnsi="Times New Roman"/>
                <w:bCs/>
                <w:sz w:val="16"/>
                <w:szCs w:val="16"/>
              </w:rPr>
              <w:t>Po at local market  area (ST 01)</w:t>
            </w:r>
          </w:p>
        </w:tc>
        <w:tc>
          <w:tcPr>
            <w:tcW w:w="806" w:type="dxa"/>
            <w:gridSpan w:val="2"/>
            <w:tcBorders>
              <w:top w:val="nil"/>
              <w:left w:val="nil"/>
              <w:bottom w:val="single" w:sz="4" w:space="0" w:color="000000"/>
              <w:right w:val="nil"/>
            </w:tcBorders>
            <w:vAlign w:val="center"/>
          </w:tcPr>
          <w:p w:rsidR="00F97A81" w:rsidRPr="00F97A81" w:rsidRDefault="00F97A81" w:rsidP="00B33DB5">
            <w:pPr>
              <w:spacing w:before="180"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71.94</w:t>
            </w:r>
          </w:p>
          <w:p w:rsidR="00F97A81" w:rsidRPr="00F97A81" w:rsidRDefault="00F97A81" w:rsidP="00B33DB5">
            <w:pPr>
              <w:spacing w:after="60" w:line="240" w:lineRule="auto"/>
              <w:jc w:val="center"/>
              <w:rPr>
                <w:rFonts w:ascii="Times New Roman" w:eastAsia="Calibri" w:hAnsi="Times New Roman"/>
                <w:sz w:val="16"/>
                <w:szCs w:val="16"/>
              </w:rPr>
            </w:pPr>
            <w:r w:rsidRPr="00F97A81">
              <w:rPr>
                <w:rFonts w:ascii="Times New Roman" w:eastAsia="Calibri" w:hAnsi="Times New Roman"/>
                <w:bCs/>
                <w:sz w:val="16"/>
                <w:szCs w:val="16"/>
                <w:lang w:val="en-MY"/>
              </w:rPr>
              <w:t>±4.19</w:t>
            </w:r>
          </w:p>
        </w:tc>
        <w:tc>
          <w:tcPr>
            <w:tcW w:w="720" w:type="dxa"/>
            <w:gridSpan w:val="3"/>
            <w:tcBorders>
              <w:top w:val="nil"/>
              <w:left w:val="nil"/>
              <w:bottom w:val="single" w:sz="4" w:space="0" w:color="000000"/>
              <w:right w:val="nil"/>
            </w:tcBorders>
            <w:vAlign w:val="center"/>
          </w:tcPr>
          <w:p w:rsidR="00F97A81" w:rsidRPr="00F97A81" w:rsidRDefault="00F97A81" w:rsidP="00B33DB5">
            <w:pPr>
              <w:spacing w:before="180"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41.97</w:t>
            </w:r>
          </w:p>
          <w:p w:rsidR="00F97A81" w:rsidRPr="00F97A81" w:rsidRDefault="00F97A81" w:rsidP="00B33DB5">
            <w:pPr>
              <w:spacing w:after="60" w:line="240" w:lineRule="auto"/>
              <w:jc w:val="center"/>
              <w:rPr>
                <w:rFonts w:ascii="Times New Roman" w:eastAsia="Calibri" w:hAnsi="Times New Roman"/>
                <w:sz w:val="16"/>
                <w:szCs w:val="16"/>
              </w:rPr>
            </w:pPr>
            <w:r w:rsidRPr="00F97A81">
              <w:rPr>
                <w:rFonts w:ascii="Times New Roman" w:eastAsia="Calibri" w:hAnsi="Times New Roman"/>
                <w:bCs/>
                <w:sz w:val="16"/>
                <w:szCs w:val="16"/>
                <w:lang w:val="en-MY"/>
              </w:rPr>
              <w:t>±2.14</w:t>
            </w:r>
          </w:p>
        </w:tc>
        <w:tc>
          <w:tcPr>
            <w:tcW w:w="806" w:type="dxa"/>
            <w:gridSpan w:val="3"/>
            <w:tcBorders>
              <w:top w:val="nil"/>
              <w:left w:val="nil"/>
              <w:bottom w:val="single" w:sz="4" w:space="0" w:color="000000"/>
              <w:right w:val="nil"/>
            </w:tcBorders>
            <w:vAlign w:val="center"/>
          </w:tcPr>
          <w:p w:rsidR="00F97A81" w:rsidRPr="00F97A81" w:rsidRDefault="00F97A81" w:rsidP="00B33DB5">
            <w:pPr>
              <w:spacing w:before="180"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14.20</w:t>
            </w:r>
          </w:p>
          <w:p w:rsidR="00F97A81" w:rsidRPr="00F97A81" w:rsidRDefault="00F97A81" w:rsidP="00B33DB5">
            <w:pPr>
              <w:spacing w:after="60" w:line="240" w:lineRule="auto"/>
              <w:jc w:val="center"/>
              <w:rPr>
                <w:rFonts w:ascii="Times New Roman" w:eastAsia="Calibri" w:hAnsi="Times New Roman"/>
                <w:sz w:val="16"/>
                <w:szCs w:val="16"/>
              </w:rPr>
            </w:pPr>
            <w:r w:rsidRPr="00F97A81">
              <w:rPr>
                <w:rFonts w:ascii="Times New Roman" w:eastAsia="Calibri" w:hAnsi="Times New Roman"/>
                <w:bCs/>
                <w:sz w:val="16"/>
                <w:szCs w:val="16"/>
                <w:lang w:val="en-MY"/>
              </w:rPr>
              <w:t>±0.83</w:t>
            </w:r>
          </w:p>
        </w:tc>
        <w:tc>
          <w:tcPr>
            <w:tcW w:w="720" w:type="dxa"/>
            <w:gridSpan w:val="3"/>
            <w:tcBorders>
              <w:top w:val="nil"/>
              <w:left w:val="nil"/>
              <w:bottom w:val="single" w:sz="4" w:space="0" w:color="000000"/>
              <w:right w:val="nil"/>
            </w:tcBorders>
            <w:vAlign w:val="center"/>
          </w:tcPr>
          <w:p w:rsidR="00F97A81" w:rsidRPr="00F97A81" w:rsidRDefault="00F97A81" w:rsidP="00B33DB5">
            <w:pPr>
              <w:spacing w:before="180" w:after="0" w:line="240" w:lineRule="auto"/>
              <w:jc w:val="center"/>
              <w:rPr>
                <w:rFonts w:ascii="Times New Roman" w:eastAsia="Calibri" w:hAnsi="Times New Roman"/>
                <w:bCs/>
                <w:sz w:val="16"/>
                <w:szCs w:val="16"/>
                <w:lang w:val="en-MY"/>
              </w:rPr>
            </w:pPr>
            <w:r w:rsidRPr="00F97A81">
              <w:rPr>
                <w:rFonts w:ascii="Times New Roman" w:eastAsia="Calibri" w:hAnsi="Times New Roman"/>
                <w:bCs/>
                <w:sz w:val="16"/>
                <w:szCs w:val="16"/>
                <w:lang w:val="en-MY"/>
              </w:rPr>
              <w:t>7.13</w:t>
            </w:r>
          </w:p>
          <w:p w:rsidR="00F97A81" w:rsidRPr="00F97A81" w:rsidRDefault="00F97A81" w:rsidP="00B33DB5">
            <w:pPr>
              <w:spacing w:after="60" w:line="240" w:lineRule="auto"/>
              <w:jc w:val="center"/>
              <w:rPr>
                <w:rFonts w:ascii="Times New Roman" w:eastAsia="Calibri" w:hAnsi="Times New Roman"/>
                <w:sz w:val="16"/>
                <w:szCs w:val="16"/>
              </w:rPr>
            </w:pPr>
            <w:r w:rsidRPr="00F97A81">
              <w:rPr>
                <w:rFonts w:ascii="Times New Roman" w:eastAsia="Calibri" w:hAnsi="Times New Roman"/>
                <w:bCs/>
                <w:sz w:val="16"/>
                <w:szCs w:val="16"/>
                <w:lang w:val="en-MY"/>
              </w:rPr>
              <w:t>±0.37</w:t>
            </w:r>
          </w:p>
        </w:tc>
      </w:tr>
    </w:tbl>
    <w:p w:rsidR="00E8191B" w:rsidRDefault="00E8191B" w:rsidP="00BE4CC0">
      <w:pPr>
        <w:spacing w:after="0" w:line="240" w:lineRule="auto"/>
        <w:jc w:val="both"/>
        <w:outlineLvl w:val="0"/>
        <w:rPr>
          <w:rFonts w:ascii="Times New Roman" w:hAnsi="Times New Roman"/>
          <w:sz w:val="20"/>
          <w:szCs w:val="20"/>
        </w:rPr>
      </w:pPr>
    </w:p>
    <w:p w:rsidR="00B33DB5" w:rsidRDefault="00B33DB5" w:rsidP="00BE4CC0">
      <w:pPr>
        <w:spacing w:after="0" w:line="240" w:lineRule="auto"/>
        <w:jc w:val="both"/>
        <w:outlineLvl w:val="0"/>
        <w:rPr>
          <w:rFonts w:ascii="Times New Roman" w:hAnsi="Times New Roman"/>
          <w:sz w:val="20"/>
          <w:szCs w:val="20"/>
        </w:rPr>
      </w:pPr>
    </w:p>
    <w:p w:rsidR="00B33DB5" w:rsidRDefault="00B33DB5" w:rsidP="00BE4CC0">
      <w:pPr>
        <w:spacing w:after="0" w:line="240" w:lineRule="auto"/>
        <w:jc w:val="both"/>
        <w:outlineLvl w:val="0"/>
        <w:rPr>
          <w:rFonts w:ascii="Times New Roman" w:hAnsi="Times New Roman"/>
          <w:sz w:val="20"/>
          <w:szCs w:val="20"/>
        </w:rPr>
      </w:pPr>
    </w:p>
    <w:p w:rsidR="00B33DB5" w:rsidRDefault="00B33DB5" w:rsidP="00BE4CC0">
      <w:pPr>
        <w:spacing w:after="0" w:line="240" w:lineRule="auto"/>
        <w:jc w:val="both"/>
        <w:outlineLvl w:val="0"/>
        <w:rPr>
          <w:rFonts w:ascii="Times New Roman" w:hAnsi="Times New Roman"/>
          <w:sz w:val="20"/>
          <w:szCs w:val="20"/>
        </w:rPr>
      </w:pPr>
    </w:p>
    <w:p w:rsidR="00E8191B" w:rsidRPr="00FC7D59" w:rsidRDefault="00E8191B"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vertAlign w:val="superscript"/>
        </w:rPr>
        <w:lastRenderedPageBreak/>
        <w:t>210</w:t>
      </w:r>
      <w:r w:rsidRPr="00E85E69">
        <w:rPr>
          <w:rFonts w:ascii="Times New Roman" w:hAnsi="Times New Roman"/>
          <w:sz w:val="20"/>
          <w:szCs w:val="20"/>
        </w:rPr>
        <w:t xml:space="preserve">Po activity concentrations vary in green mussels regardless of the origin of the samples obtained (Table 1). Although Carvalho and Fowler [21] showed that most dissolved </w:t>
      </w:r>
      <w:r w:rsidRPr="00E85E69">
        <w:rPr>
          <w:rFonts w:ascii="Times New Roman" w:hAnsi="Times New Roman"/>
          <w:sz w:val="20"/>
          <w:szCs w:val="20"/>
          <w:vertAlign w:val="superscript"/>
        </w:rPr>
        <w:t>210</w:t>
      </w:r>
      <w:r w:rsidRPr="00E85E69">
        <w:rPr>
          <w:rFonts w:ascii="Times New Roman" w:hAnsi="Times New Roman"/>
          <w:sz w:val="20"/>
          <w:szCs w:val="20"/>
        </w:rPr>
        <w:t xml:space="preserve">Po in water is absorbed by the outer surface of the organism instead of incorporation in internal tissues, this study found higher </w:t>
      </w:r>
      <w:r w:rsidRPr="00E85E69">
        <w:rPr>
          <w:rFonts w:ascii="Times New Roman" w:hAnsi="Times New Roman"/>
          <w:sz w:val="20"/>
          <w:szCs w:val="20"/>
          <w:vertAlign w:val="superscript"/>
        </w:rPr>
        <w:t>210</w:t>
      </w:r>
      <w:r w:rsidRPr="00E85E69">
        <w:rPr>
          <w:rFonts w:ascii="Times New Roman" w:hAnsi="Times New Roman"/>
          <w:sz w:val="20"/>
          <w:szCs w:val="20"/>
        </w:rPr>
        <w:t xml:space="preserve">Po concentration activity in the stomach which might be because of the filter feeding habits of green mussels. </w:t>
      </w:r>
    </w:p>
    <w:p w:rsidR="00BE4CC0" w:rsidRPr="00E85E69" w:rsidRDefault="00BE4CC0"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b/>
          <w:sz w:val="20"/>
          <w:szCs w:val="20"/>
        </w:rPr>
      </w:pPr>
      <w:r w:rsidRPr="00E85E69">
        <w:rPr>
          <w:rFonts w:ascii="Times New Roman" w:hAnsi="Times New Roman"/>
          <w:b/>
          <w:sz w:val="20"/>
          <w:szCs w:val="20"/>
        </w:rPr>
        <w:t>Green mussels’ diet</w:t>
      </w: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rPr>
        <w:t xml:space="preserve">Radionuclide concentrations of </w:t>
      </w:r>
      <w:r w:rsidRPr="00E85E69">
        <w:rPr>
          <w:rFonts w:ascii="Times New Roman" w:hAnsi="Times New Roman"/>
          <w:sz w:val="20"/>
          <w:szCs w:val="20"/>
          <w:vertAlign w:val="superscript"/>
        </w:rPr>
        <w:t>210</w:t>
      </w:r>
      <w:r w:rsidRPr="00E85E69">
        <w:rPr>
          <w:rFonts w:ascii="Times New Roman" w:hAnsi="Times New Roman"/>
          <w:sz w:val="20"/>
          <w:szCs w:val="20"/>
        </w:rPr>
        <w:t>Po are consistently found in green mussels, though the strength of that concentration varies with sample stations</w:t>
      </w:r>
      <w:r w:rsidRPr="00E85E69">
        <w:rPr>
          <w:rFonts w:ascii="Times New Roman" w:hAnsi="Times New Roman"/>
          <w:sz w:val="20"/>
          <w:szCs w:val="20"/>
          <w:vertAlign w:val="superscript"/>
        </w:rPr>
        <w:t xml:space="preserve"> </w:t>
      </w:r>
      <w:r w:rsidRPr="00E85E69">
        <w:rPr>
          <w:rFonts w:ascii="Times New Roman" w:hAnsi="Times New Roman"/>
          <w:sz w:val="20"/>
          <w:szCs w:val="20"/>
        </w:rPr>
        <w:t>(Table 1).</w:t>
      </w:r>
      <w:r w:rsidRPr="00E85E69">
        <w:rPr>
          <w:rFonts w:ascii="Times New Roman" w:hAnsi="Times New Roman"/>
          <w:sz w:val="20"/>
          <w:szCs w:val="20"/>
          <w:vertAlign w:val="superscript"/>
        </w:rPr>
        <w:t xml:space="preserve">   </w:t>
      </w:r>
      <w:r w:rsidRPr="00E85E69">
        <w:rPr>
          <w:rFonts w:ascii="Times New Roman" w:hAnsi="Times New Roman"/>
          <w:sz w:val="20"/>
          <w:szCs w:val="20"/>
        </w:rPr>
        <w:t xml:space="preserve">Generally, green mussels obtained from wild locations showed higher mean </w:t>
      </w:r>
      <w:r w:rsidRPr="00E85E69">
        <w:rPr>
          <w:rFonts w:ascii="Times New Roman" w:hAnsi="Times New Roman"/>
          <w:sz w:val="20"/>
          <w:szCs w:val="20"/>
          <w:vertAlign w:val="superscript"/>
        </w:rPr>
        <w:t>210</w:t>
      </w:r>
      <w:r w:rsidRPr="00E85E69">
        <w:rPr>
          <w:rFonts w:ascii="Times New Roman" w:hAnsi="Times New Roman"/>
          <w:sz w:val="20"/>
          <w:szCs w:val="20"/>
        </w:rPr>
        <w:t xml:space="preserve">Po levels in the stomach (291.72 ± 13.77 Bq/kg) and tissue (79.33 ±3.80 Bq/kg) compared to samples taken from mussel culture sites and the local market, where the wild green mussels sampled were smaller than both cultured and local market samples. Moreover, the wild mussels were attached to the sub-strata such as on rock and pillars, and because of its attachment in a higher position than the low tide, it stops feeding due to limited water flow. But the cultured mussels maintained the status of physico-chemical parameters and timely food supply for effective muscle growth. Variations in size have also influenced activity concentrations of </w:t>
      </w:r>
      <w:r w:rsidRPr="00E85E69">
        <w:rPr>
          <w:rFonts w:ascii="Times New Roman" w:hAnsi="Times New Roman"/>
          <w:sz w:val="20"/>
          <w:szCs w:val="20"/>
          <w:vertAlign w:val="superscript"/>
        </w:rPr>
        <w:t>210</w:t>
      </w:r>
      <w:r w:rsidRPr="00E85E69">
        <w:rPr>
          <w:rFonts w:ascii="Times New Roman" w:hAnsi="Times New Roman"/>
          <w:sz w:val="20"/>
          <w:szCs w:val="20"/>
        </w:rPr>
        <w:t xml:space="preserve">Po in green mussels. If bioaccumulation and bioconcentration of contaminants occur in one individual, then the level of contaminants will eventually increase as the individual grows. However, this study found that the accumulation of radionuclides is size-dependent and similar results were reported by Theng et al [7], where juvenile green mussels tend to have more frequent feeding rates in order to recoup growth and a faster metabolism rate compared to adult green mussels. This is indicated in the higher accumulation levels of </w:t>
      </w:r>
      <w:r w:rsidRPr="00E85E69">
        <w:rPr>
          <w:rFonts w:ascii="Times New Roman" w:hAnsi="Times New Roman"/>
          <w:sz w:val="20"/>
          <w:szCs w:val="20"/>
          <w:vertAlign w:val="superscript"/>
        </w:rPr>
        <w:t>210</w:t>
      </w:r>
      <w:r w:rsidRPr="00E85E69">
        <w:rPr>
          <w:rFonts w:ascii="Times New Roman" w:hAnsi="Times New Roman"/>
          <w:sz w:val="20"/>
          <w:szCs w:val="20"/>
        </w:rPr>
        <w:t>Po in wild samples.</w:t>
      </w:r>
    </w:p>
    <w:p w:rsidR="00BE4CC0" w:rsidRPr="00E85E69" w:rsidRDefault="00BE4CC0"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rPr>
        <w:t xml:space="preserve">Therefore, precautions should be taken in the consumption of green mussels from the Straits of Johor due to the slightly higher risks of radiation as the levels found in the study are higher than the permitted levels recommended by the USEPA; an estimated effective radiation dose of </w:t>
      </w:r>
      <w:r w:rsidRPr="00E85E69">
        <w:rPr>
          <w:rFonts w:ascii="Times New Roman" w:hAnsi="Times New Roman"/>
          <w:sz w:val="20"/>
          <w:szCs w:val="20"/>
          <w:vertAlign w:val="superscript"/>
        </w:rPr>
        <w:t>210</w:t>
      </w:r>
      <w:r w:rsidRPr="00E85E69">
        <w:rPr>
          <w:rFonts w:ascii="Times New Roman" w:hAnsi="Times New Roman"/>
          <w:sz w:val="20"/>
          <w:szCs w:val="20"/>
        </w:rPr>
        <w:t>Po between 2.61 to 11.54 mSv/year. However, radionuclide content in terms of food safety has not been thoroughly studied. This study determined a negative statistical correlation between the concentration of natural polonium and shell length of green mussels, y = − 7.59x + 6.76E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0.424 (Figure 3A);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dry tissue vs. green mussels length (mm) as y = −1.57x + 1.59E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0.269 (Figure 3B);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wet stomach vs. green mussels length (mm) as y = −2.22x + 1.9E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0.433 (Figure 3C); and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wet tissue vs. green mussels length (mm) as y = −0.34x + 34.24; R</w:t>
      </w:r>
      <w:r w:rsidRPr="00E85E69">
        <w:rPr>
          <w:rFonts w:ascii="Times New Roman" w:hAnsi="Times New Roman"/>
          <w:sz w:val="20"/>
          <w:szCs w:val="20"/>
          <w:vertAlign w:val="superscript"/>
        </w:rPr>
        <w:t>2</w:t>
      </w:r>
      <w:r w:rsidRPr="00E85E69">
        <w:rPr>
          <w:rFonts w:ascii="Times New Roman" w:hAnsi="Times New Roman"/>
          <w:sz w:val="20"/>
          <w:szCs w:val="20"/>
        </w:rPr>
        <w:t xml:space="preserve"> = 0.265 (Figure 3D) [where y and x represents </w:t>
      </w: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(Bg/kg) and length of shell mussels (mm), respectively]. It has been shown that </w:t>
      </w: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concentrations decrease with an increase in shell length. Hence the findings suggest that seafood consumers should select large shells for consumption rather than small shells so as to be less exposed to </w:t>
      </w:r>
      <w:r w:rsidRPr="00E85E69">
        <w:rPr>
          <w:rFonts w:ascii="Times New Roman" w:hAnsi="Times New Roman"/>
          <w:sz w:val="20"/>
          <w:szCs w:val="20"/>
          <w:vertAlign w:val="superscript"/>
        </w:rPr>
        <w:t>210</w:t>
      </w:r>
      <w:r w:rsidRPr="00E85E69">
        <w:rPr>
          <w:rFonts w:ascii="Times New Roman" w:hAnsi="Times New Roman"/>
          <w:sz w:val="20"/>
          <w:szCs w:val="20"/>
        </w:rPr>
        <w:t xml:space="preserve">Po radiation.  </w:t>
      </w:r>
    </w:p>
    <w:p w:rsidR="00BE4CC0" w:rsidRPr="00E85E69" w:rsidRDefault="00BE4CC0" w:rsidP="00BE4CC0">
      <w:pPr>
        <w:spacing w:after="120" w:line="240" w:lineRule="auto"/>
        <w:jc w:val="both"/>
        <w:rPr>
          <w:rFonts w:ascii="Times New Roman" w:eastAsia="Calibri" w:hAnsi="Times New Roman"/>
          <w:noProof/>
          <w:sz w:val="20"/>
          <w:szCs w:val="20"/>
        </w:rPr>
      </w:pPr>
      <w:r>
        <w:rPr>
          <w:rFonts w:ascii="Times New Roman" w:hAnsi="Times New Roman"/>
          <w:noProof/>
          <w:sz w:val="20"/>
          <w:szCs w:val="20"/>
          <w:lang w:val="en-MY" w:eastAsia="en-MY" w:bidi="ar-SA"/>
        </w:rPr>
        <mc:AlternateContent>
          <mc:Choice Requires="wps">
            <w:drawing>
              <wp:anchor distT="0" distB="0" distL="114300" distR="114300" simplePos="0" relativeHeight="251660800" behindDoc="0" locked="0" layoutInCell="1" allowOverlap="1" wp14:anchorId="150AB757" wp14:editId="57284D5C">
                <wp:simplePos x="0" y="0"/>
                <wp:positionH relativeFrom="column">
                  <wp:posOffset>935355</wp:posOffset>
                </wp:positionH>
                <wp:positionV relativeFrom="paragraph">
                  <wp:posOffset>213360</wp:posOffset>
                </wp:positionV>
                <wp:extent cx="4194175" cy="4467860"/>
                <wp:effectExtent l="11430" t="13335" r="1397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4467860"/>
                        </a:xfrm>
                        <a:prstGeom prst="rect">
                          <a:avLst/>
                        </a:prstGeom>
                        <a:solidFill>
                          <a:srgbClr val="FFFFFF"/>
                        </a:solidFill>
                        <a:ln w="9525">
                          <a:solidFill>
                            <a:srgbClr val="000000"/>
                          </a:solidFill>
                          <a:miter lim="800000"/>
                          <a:headEnd/>
                          <a:tailEnd/>
                        </a:ln>
                      </wps:spPr>
                      <wps:txbx>
                        <w:txbxContent>
                          <w:p w:rsidR="00FC7D59" w:rsidRDefault="00FC7D59" w:rsidP="00BE4CC0">
                            <w:pPr>
                              <w:jc w:val="center"/>
                            </w:pPr>
                            <w:r>
                              <w:rPr>
                                <w:noProof/>
                                <w:lang w:val="en-MY" w:eastAsia="en-MY" w:bidi="ar-SA"/>
                              </w:rPr>
                              <w:drawing>
                                <wp:inline distT="0" distB="0" distL="0" distR="0" wp14:anchorId="76CEA5AC" wp14:editId="70B6B609">
                                  <wp:extent cx="4000500"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436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73.65pt;margin-top:16.8pt;width:330.25pt;height:351.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">
                <v:textbox style="mso-fit-shape-to-text:t">
                  <w:txbxContent>
                    <w:p w:rsidR="00FC7D59" w:rsidRDefault="00FC7D59" w:rsidP="00BE4CC0">
                      <w:pPr>
                        <w:jc w:val="center"/>
                      </w:pPr>
                      <w:r>
                        <w:rPr>
                          <w:noProof/>
                          <w:lang w:val="en-MY" w:eastAsia="en-MY" w:bidi="ar-SA"/>
                        </w:rPr>
                        <w:drawing>
                          <wp:inline distT="0" distB="0" distL="0" distR="0" wp14:anchorId="76CEA5AC" wp14:editId="70B6B609">
                            <wp:extent cx="4000500"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4362450"/>
                                    </a:xfrm>
                                    <a:prstGeom prst="rect">
                                      <a:avLst/>
                                    </a:prstGeom>
                                    <a:noFill/>
                                    <a:ln>
                                      <a:noFill/>
                                    </a:ln>
                                  </pic:spPr>
                                </pic:pic>
                              </a:graphicData>
                            </a:graphic>
                          </wp:inline>
                        </w:drawing>
                      </w:r>
                    </w:p>
                  </w:txbxContent>
                </v:textbox>
              </v:shape>
            </w:pict>
          </mc:Fallback>
        </mc:AlternateContent>
      </w: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tabs>
          <w:tab w:val="left" w:pos="990"/>
        </w:tabs>
        <w:spacing w:after="0" w:line="240" w:lineRule="auto"/>
        <w:jc w:val="both"/>
        <w:outlineLvl w:val="0"/>
        <w:rPr>
          <w:rFonts w:ascii="Times New Roman" w:eastAsia="Calibri" w:hAnsi="Times New Roman"/>
          <w:noProof/>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jc w:val="both"/>
        <w:outlineLvl w:val="0"/>
        <w:rPr>
          <w:rFonts w:ascii="Times New Roman" w:hAnsi="Times New Roman"/>
          <w:sz w:val="20"/>
          <w:szCs w:val="20"/>
        </w:rPr>
      </w:pPr>
    </w:p>
    <w:p w:rsidR="00BE4CC0" w:rsidRPr="00E85E69" w:rsidRDefault="00BE4CC0" w:rsidP="00BE4CC0">
      <w:pPr>
        <w:tabs>
          <w:tab w:val="left" w:pos="990"/>
        </w:tabs>
        <w:spacing w:after="0" w:line="240" w:lineRule="auto"/>
        <w:ind w:left="851" w:hanging="851"/>
        <w:jc w:val="both"/>
        <w:outlineLvl w:val="0"/>
        <w:rPr>
          <w:rFonts w:ascii="Times New Roman" w:hAnsi="Times New Roman"/>
          <w:sz w:val="20"/>
          <w:szCs w:val="20"/>
        </w:rPr>
      </w:pPr>
      <w:r w:rsidRPr="00E85E69">
        <w:rPr>
          <w:rFonts w:ascii="Times New Roman" w:hAnsi="Times New Roman"/>
          <w:sz w:val="20"/>
          <w:szCs w:val="20"/>
        </w:rPr>
        <w:t xml:space="preserve">Figure 3.  Correlation between mussel length (mm) and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various organs obtained during this study</w:t>
      </w:r>
    </w:p>
    <w:p w:rsidR="00BE4CC0" w:rsidRPr="00E85E69" w:rsidRDefault="00BE4CC0" w:rsidP="00BE4CC0">
      <w:pPr>
        <w:tabs>
          <w:tab w:val="left" w:pos="990"/>
        </w:tabs>
        <w:spacing w:after="12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rPr>
          <w:rFonts w:ascii="Times New Roman" w:hAnsi="Times New Roman"/>
          <w:b/>
          <w:sz w:val="20"/>
          <w:szCs w:val="20"/>
          <w:lang w:val="en-GB" w:eastAsia="zh-CN"/>
        </w:rPr>
      </w:pPr>
      <w:r w:rsidRPr="00E85E69">
        <w:rPr>
          <w:rFonts w:ascii="Times New Roman" w:hAnsi="Times New Roman"/>
          <w:b/>
          <w:sz w:val="20"/>
          <w:szCs w:val="20"/>
          <w:lang w:val="en-GB" w:eastAsia="zh-CN"/>
        </w:rPr>
        <w:t xml:space="preserve">Risk assessment on the </w:t>
      </w:r>
      <w:r w:rsidRPr="00E85E69">
        <w:rPr>
          <w:rFonts w:ascii="Times New Roman" w:hAnsi="Times New Roman"/>
          <w:b/>
          <w:sz w:val="20"/>
          <w:szCs w:val="20"/>
          <w:vertAlign w:val="superscript"/>
          <w:lang w:val="en-GB" w:eastAsia="zh-CN"/>
        </w:rPr>
        <w:t>210</w:t>
      </w:r>
      <w:r w:rsidRPr="00E85E69">
        <w:rPr>
          <w:rFonts w:ascii="Times New Roman" w:hAnsi="Times New Roman"/>
          <w:b/>
          <w:sz w:val="20"/>
          <w:szCs w:val="20"/>
          <w:lang w:val="en-GB" w:eastAsia="zh-CN"/>
        </w:rPr>
        <w:t>Po contaminant</w:t>
      </w: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samples collected have been classified into several classes and the activities of both </w:t>
      </w:r>
      <w:r w:rsidRPr="00E85E69">
        <w:rPr>
          <w:rFonts w:ascii="Times New Roman" w:hAnsi="Times New Roman"/>
          <w:sz w:val="20"/>
          <w:szCs w:val="20"/>
          <w:vertAlign w:val="superscript"/>
          <w:lang w:eastAsia="zh-CN"/>
        </w:rPr>
        <w:t>210</w:t>
      </w:r>
      <w:r w:rsidRPr="00E85E69">
        <w:rPr>
          <w:rFonts w:ascii="Times New Roman" w:hAnsi="Times New Roman"/>
          <w:sz w:val="20"/>
          <w:szCs w:val="20"/>
          <w:lang w:eastAsia="zh-CN"/>
        </w:rPr>
        <w:t>Po</w:t>
      </w:r>
      <w:r w:rsidRPr="00E85E69">
        <w:rPr>
          <w:rFonts w:ascii="Times New Roman" w:hAnsi="Times New Roman"/>
          <w:sz w:val="20"/>
          <w:szCs w:val="20"/>
          <w:lang w:val="ms-MY" w:eastAsia="zh-CN"/>
        </w:rPr>
        <w:t xml:space="preserve"> are shown in Table 2. Samples of wild origin have the highest activity distribution of </w:t>
      </w:r>
      <w:r w:rsidRPr="00E85E69">
        <w:rPr>
          <w:rFonts w:ascii="Times New Roman" w:hAnsi="Times New Roman"/>
          <w:sz w:val="20"/>
          <w:szCs w:val="20"/>
          <w:vertAlign w:val="superscript"/>
          <w:lang w:eastAsia="zh-CN"/>
        </w:rPr>
        <w:t>210</w:t>
      </w:r>
      <w:r w:rsidRPr="00E85E69">
        <w:rPr>
          <w:rFonts w:ascii="Times New Roman" w:hAnsi="Times New Roman"/>
          <w:sz w:val="20"/>
          <w:szCs w:val="20"/>
          <w:lang w:eastAsia="zh-CN"/>
        </w:rPr>
        <w:t>Po</w:t>
      </w:r>
      <w:r w:rsidRPr="00E85E69">
        <w:rPr>
          <w:rFonts w:ascii="Times New Roman" w:hAnsi="Times New Roman"/>
          <w:sz w:val="20"/>
          <w:szCs w:val="20"/>
          <w:lang w:val="ms-MY" w:eastAsia="zh-CN"/>
        </w:rPr>
        <w:t xml:space="preserve"> </w:t>
      </w:r>
      <w:r w:rsidRPr="00E85E69">
        <w:rPr>
          <w:rFonts w:ascii="Times New Roman" w:hAnsi="Times New Roman"/>
          <w:sz w:val="20"/>
          <w:szCs w:val="20"/>
          <w:lang w:eastAsia="zh-CN"/>
        </w:rPr>
        <w:t xml:space="preserve">(mean: </w:t>
      </w:r>
      <w:r w:rsidRPr="00E85E69">
        <w:rPr>
          <w:rFonts w:ascii="Times New Roman" w:hAnsi="Times New Roman"/>
          <w:sz w:val="20"/>
          <w:szCs w:val="20"/>
          <w:lang w:val="ms-MY" w:eastAsia="zh-CN"/>
        </w:rPr>
        <w:t>310.48 ± 8.49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dry weight</w:t>
      </w:r>
      <w:r w:rsidRPr="00E85E69">
        <w:rPr>
          <w:rFonts w:ascii="Times New Roman" w:hAnsi="Times New Roman"/>
          <w:sz w:val="20"/>
          <w:szCs w:val="20"/>
          <w:lang w:eastAsia="zh-CN"/>
        </w:rPr>
        <w:t>)</w:t>
      </w:r>
      <w:r w:rsidRPr="00E85E69">
        <w:rPr>
          <w:rFonts w:ascii="Times New Roman" w:hAnsi="Times New Roman"/>
          <w:sz w:val="20"/>
          <w:szCs w:val="20"/>
          <w:lang w:val="ms-MY" w:eastAsia="zh-CN"/>
        </w:rPr>
        <w:t>. The results have shown a remarkable decreasing trend in radioactivity as size increases. However, an inconsistent trend was noticed for the cultured  samples. Furthermore it has been proven that radionuclide activity decreases as soft body tissue increases [22].</w:t>
      </w:r>
    </w:p>
    <w:p w:rsidR="00BE4CC0" w:rsidRPr="00E85E69" w:rsidRDefault="00BE4CC0" w:rsidP="00BE4CC0">
      <w:pPr>
        <w:spacing w:after="120" w:line="240" w:lineRule="auto"/>
        <w:jc w:val="both"/>
        <w:rPr>
          <w:rFonts w:ascii="Times New Roman" w:hAnsi="Times New Roman"/>
          <w:sz w:val="20"/>
          <w:szCs w:val="20"/>
          <w:lang w:val="ms-MY" w:eastAsia="zh-CN"/>
        </w:rPr>
      </w:pPr>
    </w:p>
    <w:p w:rsidR="00BE4CC0" w:rsidRPr="00E85E69" w:rsidRDefault="00BE4CC0" w:rsidP="00BE4CC0">
      <w:pPr>
        <w:spacing w:after="12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 xml:space="preserve">Table 2.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Average activities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in samples collected from different origin</w:t>
      </w:r>
    </w:p>
    <w:tbl>
      <w:tblPr>
        <w:tblW w:w="0" w:type="auto"/>
        <w:jc w:val="center"/>
        <w:tblInd w:w="-173" w:type="dxa"/>
        <w:tblBorders>
          <w:top w:val="single" w:sz="4" w:space="0" w:color="000000"/>
          <w:bottom w:val="single" w:sz="4" w:space="0" w:color="000000"/>
        </w:tblBorders>
        <w:tblLook w:val="04A0" w:firstRow="1" w:lastRow="0" w:firstColumn="1" w:lastColumn="0" w:noHBand="0" w:noVBand="1"/>
      </w:tblPr>
      <w:tblGrid>
        <w:gridCol w:w="1308"/>
        <w:gridCol w:w="2168"/>
        <w:gridCol w:w="2081"/>
      </w:tblGrid>
      <w:tr w:rsidR="00BE4CC0" w:rsidRPr="00E85E69" w:rsidTr="00BE4CC0">
        <w:trPr>
          <w:jc w:val="center"/>
        </w:trPr>
        <w:tc>
          <w:tcPr>
            <w:tcW w:w="1308" w:type="dxa"/>
            <w:tcBorders>
              <w:top w:val="single" w:sz="4" w:space="0" w:color="auto"/>
              <w:bottom w:val="single" w:sz="4" w:space="0" w:color="auto"/>
            </w:tcBorders>
            <w:shd w:val="clear" w:color="auto" w:fill="auto"/>
            <w:vAlign w:val="center"/>
          </w:tcPr>
          <w:p w:rsidR="00BE4CC0" w:rsidRPr="00E85E69" w:rsidRDefault="00BE4CC0" w:rsidP="00BE4CC0">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Origin</w:t>
            </w:r>
          </w:p>
        </w:tc>
        <w:tc>
          <w:tcPr>
            <w:tcW w:w="2168" w:type="dxa"/>
            <w:tcBorders>
              <w:top w:val="single" w:sz="4" w:space="0" w:color="auto"/>
              <w:bottom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 xml:space="preserve">Range Size </w:t>
            </w:r>
          </w:p>
          <w:p w:rsidR="00BE4CC0" w:rsidRPr="00E85E69" w:rsidRDefault="00BE4CC0" w:rsidP="00BE4CC0">
            <w:pPr>
              <w:spacing w:after="6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(mm)</w:t>
            </w:r>
          </w:p>
        </w:tc>
        <w:tc>
          <w:tcPr>
            <w:tcW w:w="2081" w:type="dxa"/>
            <w:tcBorders>
              <w:top w:val="single" w:sz="4" w:space="0" w:color="auto"/>
              <w:bottom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b/>
                <w:sz w:val="20"/>
                <w:szCs w:val="20"/>
                <w:lang w:val="ms-MY" w:eastAsia="zh-CN"/>
              </w:rPr>
            </w:pPr>
            <w:r w:rsidRPr="00E85E69">
              <w:rPr>
                <w:rFonts w:ascii="Times New Roman" w:hAnsi="Times New Roman"/>
                <w:b/>
                <w:sz w:val="20"/>
                <w:szCs w:val="20"/>
                <w:vertAlign w:val="superscript"/>
                <w:lang w:val="ms-MY" w:eastAsia="zh-CN"/>
              </w:rPr>
              <w:t>210</w:t>
            </w:r>
            <w:r w:rsidRPr="00E85E69">
              <w:rPr>
                <w:rFonts w:ascii="Times New Roman" w:hAnsi="Times New Roman"/>
                <w:b/>
                <w:sz w:val="20"/>
                <w:szCs w:val="20"/>
                <w:lang w:val="ms-MY" w:eastAsia="zh-CN"/>
              </w:rPr>
              <w:t>Po Activity</w:t>
            </w:r>
          </w:p>
          <w:p w:rsidR="00BE4CC0" w:rsidRPr="00E85E69" w:rsidRDefault="00BE4CC0" w:rsidP="00BE4CC0">
            <w:pPr>
              <w:spacing w:after="6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(Bq kg</w:t>
            </w:r>
            <w:r w:rsidRPr="00E85E69">
              <w:rPr>
                <w:rFonts w:ascii="Times New Roman" w:hAnsi="Times New Roman"/>
                <w:b/>
                <w:sz w:val="20"/>
                <w:szCs w:val="20"/>
                <w:vertAlign w:val="superscript"/>
                <w:lang w:val="ms-MY" w:eastAsia="zh-CN"/>
              </w:rPr>
              <w:t xml:space="preserve">-1 </w:t>
            </w:r>
            <w:r w:rsidRPr="00E85E69">
              <w:rPr>
                <w:rFonts w:ascii="Times New Roman" w:hAnsi="Times New Roman"/>
                <w:b/>
                <w:sz w:val="20"/>
                <w:szCs w:val="20"/>
                <w:lang w:val="ms-MY" w:eastAsia="zh-CN"/>
              </w:rPr>
              <w:t>dry weight)</w:t>
            </w:r>
          </w:p>
        </w:tc>
      </w:tr>
      <w:tr w:rsidR="00BE4CC0" w:rsidRPr="00E85E69" w:rsidTr="00BE4CC0">
        <w:trPr>
          <w:jc w:val="center"/>
        </w:trPr>
        <w:tc>
          <w:tcPr>
            <w:tcW w:w="1308" w:type="dxa"/>
            <w:vMerge w:val="restart"/>
            <w:tcBorders>
              <w:top w:val="single" w:sz="4" w:space="0" w:color="auto"/>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Market</w:t>
            </w:r>
          </w:p>
        </w:tc>
        <w:tc>
          <w:tcPr>
            <w:tcW w:w="2168" w:type="dxa"/>
            <w:tcBorders>
              <w:top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(60-80 mm)</w:t>
            </w:r>
          </w:p>
        </w:tc>
        <w:tc>
          <w:tcPr>
            <w:tcW w:w="2081" w:type="dxa"/>
            <w:tcBorders>
              <w:top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109.77 ± 3.38 (n = 4)</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(&gt;80.1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107.35 ± 2.88 (n = 3)</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108.56 ± 3.13</w:t>
            </w:r>
          </w:p>
        </w:tc>
      </w:tr>
      <w:tr w:rsidR="00BE4CC0" w:rsidRPr="00E85E69" w:rsidTr="00BE4CC0">
        <w:trPr>
          <w:jc w:val="center"/>
        </w:trPr>
        <w:tc>
          <w:tcPr>
            <w:tcW w:w="1308" w:type="dxa"/>
            <w:vMerge w:val="restart"/>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Culture</w:t>
            </w:r>
          </w:p>
        </w:tc>
        <w:tc>
          <w:tcPr>
            <w:tcW w:w="2168" w:type="dxa"/>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(50-60 mm)</w:t>
            </w:r>
          </w:p>
        </w:tc>
        <w:tc>
          <w:tcPr>
            <w:tcW w:w="2081" w:type="dxa"/>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124.76 ± 3.87 (n = 5)</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(60.1-65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122.00 ± 3.43 (n = 5)</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3 (65.1-71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150.26 ± 3.91 (n = 13)</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4 (71.1-80mm)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138.73 ± 3.49 (n = 10)</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5 (&gt;81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144.71 ± 3.62 (n = 2)</w:t>
            </w:r>
          </w:p>
        </w:tc>
      </w:tr>
      <w:tr w:rsidR="00BE4CC0" w:rsidRPr="00E85E69" w:rsidTr="00BE4CC0">
        <w:trPr>
          <w:jc w:val="center"/>
        </w:trPr>
        <w:tc>
          <w:tcPr>
            <w:tcW w:w="1308" w:type="dxa"/>
            <w:vMerge/>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136.09 ± 3.66</w:t>
            </w:r>
          </w:p>
        </w:tc>
      </w:tr>
      <w:tr w:rsidR="00BE4CC0" w:rsidRPr="00E85E69" w:rsidTr="00BE4CC0">
        <w:trPr>
          <w:jc w:val="center"/>
        </w:trPr>
        <w:tc>
          <w:tcPr>
            <w:tcW w:w="1308" w:type="dxa"/>
            <w:vMerge w:val="restart"/>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Wild</w:t>
            </w:r>
          </w:p>
        </w:tc>
        <w:tc>
          <w:tcPr>
            <w:tcW w:w="2168" w:type="dxa"/>
            <w:tcBorders>
              <w:top w:val="nil"/>
              <w:bottom w:val="nil"/>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(40-50 mm)</w:t>
            </w:r>
          </w:p>
        </w:tc>
        <w:tc>
          <w:tcPr>
            <w:tcW w:w="2081" w:type="dxa"/>
            <w:tcBorders>
              <w:top w:val="nil"/>
              <w:bottom w:val="nil"/>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466.25 ± 14.03 (n = 4)</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(50-60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406.04 ± 10.61 (n = 3)</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3 (60.1-65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307.22 ± 7.79 (n = 9)</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4 (65-70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211.49 ± 5.48 (n = 4)</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5 (&gt;70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161.42 ± 4.55 (n = 1)</w:t>
            </w:r>
          </w:p>
        </w:tc>
      </w:tr>
      <w:tr w:rsidR="00BE4CC0" w:rsidRPr="00E85E69" w:rsidTr="00BE4CC0">
        <w:trPr>
          <w:jc w:val="center"/>
        </w:trPr>
        <w:tc>
          <w:tcPr>
            <w:tcW w:w="1308" w:type="dxa"/>
            <w:vMerge/>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p>
        </w:tc>
        <w:tc>
          <w:tcPr>
            <w:tcW w:w="2168" w:type="dxa"/>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310.48 ± 8.49</w:t>
            </w:r>
          </w:p>
        </w:tc>
      </w:tr>
    </w:tbl>
    <w:p w:rsidR="00BE4CC0" w:rsidRPr="00E85E69" w:rsidRDefault="00BE4CC0" w:rsidP="00BE4CC0">
      <w:pPr>
        <w:spacing w:after="12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daily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 xml:space="preserve">Po in green mussels based on green mussel consumption and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accumulation in the human body are calculated with the equation (1):</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spacing w:after="0" w:line="240" w:lineRule="auto"/>
        <w:ind w:firstLine="720"/>
        <w:jc w:val="both"/>
        <w:rPr>
          <w:rFonts w:ascii="Times New Roman" w:hAnsi="Times New Roman"/>
          <w:sz w:val="20"/>
          <w:szCs w:val="20"/>
          <w:lang w:val="ms-MY" w:eastAsia="zh-CN"/>
        </w:rPr>
      </w:pPr>
      <w:r w:rsidRPr="00E85E69">
        <w:rPr>
          <w:rFonts w:ascii="Times New Roman" w:hAnsi="Times New Roman"/>
          <w:sz w:val="20"/>
          <w:szCs w:val="20"/>
          <w:lang w:val="ms-MY" w:eastAsia="zh-CN"/>
        </w:rPr>
        <w:t>Daily intake (mBq day</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person</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 AC x AP x 0.4 / (MP x 365)</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(1)</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where AC is the average concentration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dry weight); AP is green mussel production (2384.97 metric tonnes) reported by the Department of Fisheries Malaysia [23], whereas 0.4 represents the edible portion of green mussels; MP is the Malaysia population (29.3 million) at the time the survey was conducted by Department of Statistics,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lastRenderedPageBreak/>
        <w:t xml:space="preserve">Malaysia [24]; and 365 specifies the </w:t>
      </w:r>
      <w:r w:rsidRPr="00E85E69">
        <w:rPr>
          <w:rFonts w:ascii="Times New Roman" w:hAnsi="Times New Roman"/>
          <w:sz w:val="20"/>
          <w:szCs w:val="20"/>
        </w:rPr>
        <w:t>days in a year</w:t>
      </w:r>
      <w:r w:rsidRPr="00E85E69">
        <w:rPr>
          <w:rFonts w:ascii="Times New Roman" w:hAnsi="Times New Roman"/>
          <w:sz w:val="20"/>
          <w:szCs w:val="20"/>
          <w:lang w:val="ms-MY" w:eastAsia="zh-CN"/>
        </w:rPr>
        <w:t xml:space="preserve">  As seen in the calculations shown below (Table 3), the daily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ranges from 9.70 – 29.12 m Bq day</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person</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regardless of the origin of the green mussels consumed. </w:t>
      </w:r>
    </w:p>
    <w:p w:rsidR="004632AC" w:rsidRPr="00E85E69" w:rsidRDefault="004632AC" w:rsidP="004632AC">
      <w:pPr>
        <w:tabs>
          <w:tab w:val="center" w:pos="4153"/>
        </w:tabs>
        <w:spacing w:after="120" w:line="240" w:lineRule="auto"/>
        <w:jc w:val="both"/>
        <w:rPr>
          <w:rFonts w:ascii="Times New Roman" w:hAnsi="Times New Roman"/>
          <w:sz w:val="20"/>
          <w:szCs w:val="20"/>
          <w:lang w:val="ms-MY" w:eastAsia="zh-CN"/>
        </w:rPr>
      </w:pPr>
    </w:p>
    <w:p w:rsidR="004632AC" w:rsidRPr="00E85E69" w:rsidRDefault="004632AC" w:rsidP="004632AC">
      <w:pPr>
        <w:spacing w:after="120" w:line="240" w:lineRule="auto"/>
        <w:ind w:left="806" w:hanging="806"/>
        <w:jc w:val="center"/>
        <w:rPr>
          <w:rFonts w:ascii="Times New Roman" w:hAnsi="Times New Roman"/>
          <w:sz w:val="20"/>
          <w:szCs w:val="20"/>
          <w:lang w:val="ms-MY" w:eastAsia="zh-CN"/>
        </w:rPr>
      </w:pPr>
      <w:r w:rsidRPr="00E85E69">
        <w:rPr>
          <w:rFonts w:ascii="Times New Roman" w:hAnsi="Times New Roman"/>
          <w:sz w:val="20"/>
          <w:szCs w:val="20"/>
          <w:lang w:val="ms-MY" w:eastAsia="zh-CN"/>
        </w:rPr>
        <w:t xml:space="preserve">Table 3.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Estimation of daily intake, CED and cancer risk</w:t>
      </w:r>
    </w:p>
    <w:tbl>
      <w:tblPr>
        <w:tblW w:w="0" w:type="auto"/>
        <w:jc w:val="center"/>
        <w:tblLook w:val="04A0" w:firstRow="1" w:lastRow="0" w:firstColumn="1" w:lastColumn="0" w:noHBand="0" w:noVBand="1"/>
      </w:tblPr>
      <w:tblGrid>
        <w:gridCol w:w="872"/>
        <w:gridCol w:w="816"/>
        <w:gridCol w:w="1964"/>
        <w:gridCol w:w="1276"/>
        <w:gridCol w:w="2071"/>
        <w:gridCol w:w="2243"/>
      </w:tblGrid>
      <w:tr w:rsidR="004632AC" w:rsidRPr="00E85E69" w:rsidTr="004632AC">
        <w:trPr>
          <w:jc w:val="center"/>
        </w:trPr>
        <w:tc>
          <w:tcPr>
            <w:tcW w:w="0" w:type="auto"/>
            <w:vMerge w:val="restart"/>
            <w:tcBorders>
              <w:top w:val="single" w:sz="4" w:space="0" w:color="auto"/>
            </w:tcBorders>
            <w:shd w:val="clear" w:color="auto" w:fill="auto"/>
          </w:tcPr>
          <w:p w:rsidR="004632AC" w:rsidRPr="00E85E69" w:rsidRDefault="004632AC" w:rsidP="004632AC">
            <w:pPr>
              <w:spacing w:after="0" w:line="240" w:lineRule="auto"/>
              <w:rPr>
                <w:rFonts w:ascii="Times New Roman" w:hAnsi="Times New Roman"/>
                <w:b/>
                <w:sz w:val="20"/>
                <w:szCs w:val="20"/>
                <w:lang w:val="ms-MY" w:eastAsia="zh-CN"/>
              </w:rPr>
            </w:pPr>
          </w:p>
          <w:p w:rsidR="004632AC" w:rsidRPr="00E85E69" w:rsidRDefault="004632AC" w:rsidP="004632AC">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Nuclide</w:t>
            </w:r>
          </w:p>
        </w:tc>
        <w:tc>
          <w:tcPr>
            <w:tcW w:w="0" w:type="auto"/>
            <w:vMerge w:val="restart"/>
            <w:tcBorders>
              <w:top w:val="single" w:sz="4" w:space="0" w:color="auto"/>
            </w:tcBorders>
          </w:tcPr>
          <w:p w:rsidR="004632AC" w:rsidRPr="00E85E69" w:rsidRDefault="004632AC" w:rsidP="004632AC">
            <w:pPr>
              <w:spacing w:after="0" w:line="240" w:lineRule="auto"/>
              <w:rPr>
                <w:rFonts w:ascii="Times New Roman" w:hAnsi="Times New Roman"/>
                <w:b/>
                <w:sz w:val="20"/>
                <w:szCs w:val="20"/>
                <w:lang w:val="ms-MY" w:eastAsia="zh-CN"/>
              </w:rPr>
            </w:pPr>
          </w:p>
          <w:p w:rsidR="004632AC" w:rsidRPr="00E85E69" w:rsidRDefault="004632AC" w:rsidP="004632AC">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Origin</w:t>
            </w:r>
          </w:p>
        </w:tc>
        <w:tc>
          <w:tcPr>
            <w:tcW w:w="1964" w:type="dxa"/>
            <w:vMerge w:val="restart"/>
            <w:tcBorders>
              <w:top w:val="single" w:sz="4" w:space="0" w:color="auto"/>
            </w:tcBorders>
            <w:shd w:val="clear" w:color="auto" w:fill="auto"/>
          </w:tcPr>
          <w:p w:rsidR="004632AC" w:rsidRPr="00E85E69" w:rsidRDefault="004632AC" w:rsidP="004632AC">
            <w:pPr>
              <w:spacing w:before="12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Daily intake</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(mBq day</w:t>
            </w:r>
            <w:r w:rsidRPr="00E85E69">
              <w:rPr>
                <w:rFonts w:ascii="Times New Roman" w:hAnsi="Times New Roman"/>
                <w:b/>
                <w:sz w:val="20"/>
                <w:szCs w:val="20"/>
                <w:vertAlign w:val="superscript"/>
                <w:lang w:val="ms-MY" w:eastAsia="zh-CN"/>
              </w:rPr>
              <w:t xml:space="preserve">-1 </w:t>
            </w:r>
            <w:r w:rsidRPr="00E85E69">
              <w:rPr>
                <w:rFonts w:ascii="Times New Roman" w:hAnsi="Times New Roman"/>
                <w:b/>
                <w:sz w:val="20"/>
                <w:szCs w:val="20"/>
                <w:lang w:val="ms-MY" w:eastAsia="zh-CN"/>
              </w:rPr>
              <w:t>person</w:t>
            </w:r>
            <w:r w:rsidRPr="00E85E69">
              <w:rPr>
                <w:rFonts w:ascii="Times New Roman" w:hAnsi="Times New Roman"/>
                <w:b/>
                <w:sz w:val="20"/>
                <w:szCs w:val="20"/>
                <w:vertAlign w:val="superscript"/>
                <w:lang w:val="ms-MY" w:eastAsia="zh-CN"/>
              </w:rPr>
              <w:t>-1</w:t>
            </w:r>
            <w:r w:rsidRPr="00E85E69">
              <w:rPr>
                <w:rFonts w:ascii="Times New Roman" w:hAnsi="Times New Roman"/>
                <w:b/>
                <w:sz w:val="20"/>
                <w:szCs w:val="20"/>
                <w:lang w:val="ms-MY" w:eastAsia="zh-CN"/>
              </w:rPr>
              <w:t>)</w:t>
            </w:r>
          </w:p>
        </w:tc>
        <w:tc>
          <w:tcPr>
            <w:tcW w:w="1276" w:type="dxa"/>
            <w:vMerge w:val="restart"/>
            <w:tcBorders>
              <w:top w:val="single" w:sz="4" w:space="0" w:color="auto"/>
            </w:tcBorders>
            <w:shd w:val="clear" w:color="auto" w:fill="auto"/>
          </w:tcPr>
          <w:p w:rsidR="004632AC" w:rsidRPr="00E85E69" w:rsidRDefault="004632AC" w:rsidP="004632AC">
            <w:pPr>
              <w:spacing w:before="12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CED</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(mSv year</w:t>
            </w:r>
            <w:r w:rsidRPr="00E85E69">
              <w:rPr>
                <w:rFonts w:ascii="Times New Roman" w:hAnsi="Times New Roman"/>
                <w:b/>
                <w:sz w:val="20"/>
                <w:szCs w:val="20"/>
                <w:vertAlign w:val="superscript"/>
                <w:lang w:val="ms-MY" w:eastAsia="zh-CN"/>
              </w:rPr>
              <w:t>-1</w:t>
            </w:r>
            <w:r w:rsidRPr="00E85E69">
              <w:rPr>
                <w:rFonts w:ascii="Times New Roman" w:hAnsi="Times New Roman"/>
                <w:b/>
                <w:sz w:val="20"/>
                <w:szCs w:val="20"/>
                <w:lang w:val="ms-MY" w:eastAsia="zh-CN"/>
              </w:rPr>
              <w:t>)</w:t>
            </w:r>
          </w:p>
        </w:tc>
        <w:tc>
          <w:tcPr>
            <w:tcW w:w="4314" w:type="dxa"/>
            <w:gridSpan w:val="2"/>
            <w:tcBorders>
              <w:top w:val="single" w:sz="4" w:space="0" w:color="auto"/>
              <w:bottom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Cancer Risk</w:t>
            </w:r>
          </w:p>
        </w:tc>
      </w:tr>
      <w:tr w:rsidR="004632AC" w:rsidRPr="00E85E69" w:rsidTr="004632AC">
        <w:trPr>
          <w:trHeight w:val="127"/>
          <w:jc w:val="center"/>
        </w:trPr>
        <w:tc>
          <w:tcPr>
            <w:tcW w:w="0" w:type="auto"/>
            <w:vMerge/>
            <w:tcBorders>
              <w:bottom w:val="single" w:sz="4" w:space="0" w:color="auto"/>
            </w:tcBorders>
            <w:shd w:val="clear" w:color="auto" w:fill="auto"/>
          </w:tcPr>
          <w:p w:rsidR="004632AC" w:rsidRPr="00E85E69" w:rsidRDefault="004632AC" w:rsidP="004632AC">
            <w:pPr>
              <w:spacing w:after="0" w:line="240" w:lineRule="auto"/>
              <w:rPr>
                <w:rFonts w:ascii="Times New Roman" w:hAnsi="Times New Roman"/>
                <w:b/>
                <w:sz w:val="20"/>
                <w:szCs w:val="20"/>
                <w:lang w:val="ms-MY" w:eastAsia="zh-CN"/>
              </w:rPr>
            </w:pPr>
          </w:p>
        </w:tc>
        <w:tc>
          <w:tcPr>
            <w:tcW w:w="0" w:type="auto"/>
            <w:vMerge/>
            <w:tcBorders>
              <w:bottom w:val="single" w:sz="4" w:space="0" w:color="auto"/>
            </w:tcBorders>
          </w:tcPr>
          <w:p w:rsidR="004632AC" w:rsidRPr="00E85E69" w:rsidRDefault="004632AC" w:rsidP="004632AC">
            <w:pPr>
              <w:spacing w:after="0" w:line="240" w:lineRule="auto"/>
              <w:rPr>
                <w:rFonts w:ascii="Times New Roman" w:hAnsi="Times New Roman"/>
                <w:b/>
                <w:sz w:val="20"/>
                <w:szCs w:val="20"/>
                <w:lang w:val="ms-MY" w:eastAsia="zh-CN"/>
              </w:rPr>
            </w:pPr>
          </w:p>
        </w:tc>
        <w:tc>
          <w:tcPr>
            <w:tcW w:w="1964" w:type="dxa"/>
            <w:vMerge/>
            <w:tcBorders>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p>
        </w:tc>
        <w:tc>
          <w:tcPr>
            <w:tcW w:w="1276" w:type="dxa"/>
            <w:vMerge/>
            <w:tcBorders>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p>
        </w:tc>
        <w:tc>
          <w:tcPr>
            <w:tcW w:w="2071" w:type="dxa"/>
            <w:tcBorders>
              <w:top w:val="single" w:sz="4" w:space="0" w:color="auto"/>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Lifetime</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Mortality Risk</w:t>
            </w:r>
          </w:p>
        </w:tc>
        <w:tc>
          <w:tcPr>
            <w:tcW w:w="0" w:type="auto"/>
            <w:tcBorders>
              <w:top w:val="single" w:sz="4" w:space="0" w:color="auto"/>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Lifetime</w:t>
            </w:r>
          </w:p>
          <w:p w:rsidR="004632AC" w:rsidRPr="00E85E69" w:rsidRDefault="004632AC" w:rsidP="004632AC">
            <w:pPr>
              <w:spacing w:after="6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Morbidity Risk</w:t>
            </w:r>
          </w:p>
        </w:tc>
      </w:tr>
      <w:tr w:rsidR="004632AC" w:rsidRPr="00E85E69" w:rsidTr="004632AC">
        <w:trPr>
          <w:jc w:val="center"/>
        </w:trPr>
        <w:tc>
          <w:tcPr>
            <w:tcW w:w="0" w:type="auto"/>
            <w:vMerge w:val="restart"/>
            <w:tcBorders>
              <w:top w:val="single" w:sz="4" w:space="0" w:color="auto"/>
            </w:tcBorders>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p w:rsidR="004632AC" w:rsidRPr="00E85E69" w:rsidRDefault="004632AC" w:rsidP="004632AC">
            <w:pPr>
              <w:spacing w:before="60" w:after="0" w:line="240" w:lineRule="auto"/>
              <w:rPr>
                <w:rFonts w:ascii="Times New Roman" w:hAnsi="Times New Roman"/>
                <w:sz w:val="20"/>
                <w:szCs w:val="20"/>
                <w:lang w:val="ms-MY" w:eastAsia="zh-CN"/>
              </w:rPr>
            </w:pP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w:t>
            </w:r>
          </w:p>
          <w:p w:rsidR="004632AC" w:rsidRPr="00E85E69" w:rsidRDefault="004632AC" w:rsidP="004632AC">
            <w:pPr>
              <w:spacing w:after="0" w:line="240" w:lineRule="auto"/>
              <w:rPr>
                <w:rFonts w:ascii="Times New Roman" w:hAnsi="Times New Roman"/>
                <w:sz w:val="20"/>
                <w:szCs w:val="20"/>
                <w:lang w:val="ms-MY" w:eastAsia="zh-CN"/>
              </w:rPr>
            </w:pPr>
          </w:p>
        </w:tc>
        <w:tc>
          <w:tcPr>
            <w:tcW w:w="0" w:type="auto"/>
            <w:tcBorders>
              <w:top w:val="single" w:sz="4" w:space="0" w:color="auto"/>
            </w:tcBorders>
          </w:tcPr>
          <w:p w:rsidR="004632AC" w:rsidRPr="00E85E69" w:rsidRDefault="004632AC" w:rsidP="004632AC">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Market</w:t>
            </w:r>
          </w:p>
        </w:tc>
        <w:tc>
          <w:tcPr>
            <w:tcW w:w="1964"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9.70</w:t>
            </w:r>
          </w:p>
        </w:tc>
        <w:tc>
          <w:tcPr>
            <w:tcW w:w="1276"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2.61</w:t>
            </w:r>
          </w:p>
        </w:tc>
        <w:tc>
          <w:tcPr>
            <w:tcW w:w="2071"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1.17 x 10</w:t>
            </w:r>
            <w:r w:rsidRPr="00E85E69">
              <w:rPr>
                <w:rFonts w:ascii="Times New Roman" w:hAnsi="Times New Roman"/>
                <w:sz w:val="20"/>
                <w:szCs w:val="20"/>
                <w:vertAlign w:val="superscript"/>
                <w:lang w:val="ms-MY" w:eastAsia="zh-CN"/>
              </w:rPr>
              <w:t>-5</w:t>
            </w:r>
          </w:p>
        </w:tc>
        <w:tc>
          <w:tcPr>
            <w:tcW w:w="0" w:type="auto"/>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1.61 x 10</w:t>
            </w:r>
            <w:r w:rsidRPr="00E85E69">
              <w:rPr>
                <w:rFonts w:ascii="Times New Roman" w:hAnsi="Times New Roman"/>
                <w:sz w:val="20"/>
                <w:szCs w:val="20"/>
                <w:vertAlign w:val="superscript"/>
                <w:lang w:val="ms-MY" w:eastAsia="zh-CN"/>
              </w:rPr>
              <w:t>-5</w:t>
            </w:r>
          </w:p>
        </w:tc>
      </w:tr>
      <w:tr w:rsidR="004632AC" w:rsidRPr="00E85E69" w:rsidTr="00502464">
        <w:trPr>
          <w:jc w:val="center"/>
        </w:trPr>
        <w:tc>
          <w:tcPr>
            <w:tcW w:w="0" w:type="auto"/>
            <w:vMerge/>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tc>
        <w:tc>
          <w:tcPr>
            <w:tcW w:w="0" w:type="auto"/>
          </w:tcPr>
          <w:p w:rsidR="004632AC" w:rsidRPr="00E85E69" w:rsidRDefault="004632AC" w:rsidP="004632AC">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Culture</w:t>
            </w:r>
          </w:p>
        </w:tc>
        <w:tc>
          <w:tcPr>
            <w:tcW w:w="1964"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12.40</w:t>
            </w:r>
          </w:p>
        </w:tc>
        <w:tc>
          <w:tcPr>
            <w:tcW w:w="1276"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3.34</w:t>
            </w:r>
          </w:p>
        </w:tc>
        <w:tc>
          <w:tcPr>
            <w:tcW w:w="2071"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1.50 x 10</w:t>
            </w:r>
            <w:r w:rsidRPr="00E85E69">
              <w:rPr>
                <w:rFonts w:ascii="Times New Roman" w:hAnsi="Times New Roman"/>
                <w:sz w:val="20"/>
                <w:szCs w:val="20"/>
                <w:vertAlign w:val="superscript"/>
                <w:lang w:val="ms-MY" w:eastAsia="zh-CN"/>
              </w:rPr>
              <w:t>-5</w:t>
            </w:r>
          </w:p>
        </w:tc>
        <w:tc>
          <w:tcPr>
            <w:tcW w:w="0" w:type="auto"/>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2.06 x 10</w:t>
            </w:r>
            <w:r w:rsidRPr="00E85E69">
              <w:rPr>
                <w:rFonts w:ascii="Times New Roman" w:hAnsi="Times New Roman"/>
                <w:sz w:val="20"/>
                <w:szCs w:val="20"/>
                <w:vertAlign w:val="superscript"/>
                <w:lang w:val="ms-MY" w:eastAsia="zh-CN"/>
              </w:rPr>
              <w:t>-5</w:t>
            </w:r>
          </w:p>
        </w:tc>
      </w:tr>
      <w:tr w:rsidR="004632AC" w:rsidRPr="00E85E69" w:rsidTr="00502464">
        <w:trPr>
          <w:jc w:val="center"/>
        </w:trPr>
        <w:tc>
          <w:tcPr>
            <w:tcW w:w="0" w:type="auto"/>
            <w:vMerge/>
            <w:tcBorders>
              <w:bottom w:val="single" w:sz="4" w:space="0" w:color="000000"/>
            </w:tcBorders>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tc>
        <w:tc>
          <w:tcPr>
            <w:tcW w:w="0" w:type="auto"/>
            <w:tcBorders>
              <w:bottom w:val="single" w:sz="4" w:space="0" w:color="000000"/>
            </w:tcBorders>
          </w:tcPr>
          <w:p w:rsidR="004632AC" w:rsidRPr="00E85E69" w:rsidRDefault="004632AC" w:rsidP="004632AC">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Wild</w:t>
            </w:r>
          </w:p>
        </w:tc>
        <w:tc>
          <w:tcPr>
            <w:tcW w:w="1964"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29.12</w:t>
            </w:r>
          </w:p>
        </w:tc>
        <w:tc>
          <w:tcPr>
            <w:tcW w:w="1276"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7.83</w:t>
            </w:r>
          </w:p>
        </w:tc>
        <w:tc>
          <w:tcPr>
            <w:tcW w:w="2071"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3.52 x 10</w:t>
            </w:r>
            <w:r w:rsidRPr="00E85E69">
              <w:rPr>
                <w:rFonts w:ascii="Times New Roman" w:hAnsi="Times New Roman"/>
                <w:sz w:val="20"/>
                <w:szCs w:val="20"/>
                <w:vertAlign w:val="superscript"/>
                <w:lang w:val="ms-MY" w:eastAsia="zh-CN"/>
              </w:rPr>
              <w:t>-5</w:t>
            </w:r>
          </w:p>
        </w:tc>
        <w:tc>
          <w:tcPr>
            <w:tcW w:w="0" w:type="auto"/>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4.83 x 10</w:t>
            </w:r>
            <w:r w:rsidRPr="00E85E69">
              <w:rPr>
                <w:rFonts w:ascii="Times New Roman" w:hAnsi="Times New Roman"/>
                <w:sz w:val="20"/>
                <w:szCs w:val="20"/>
                <w:vertAlign w:val="superscript"/>
                <w:lang w:val="ms-MY" w:eastAsia="zh-CN"/>
              </w:rPr>
              <w:t>-5</w:t>
            </w:r>
          </w:p>
        </w:tc>
      </w:tr>
    </w:tbl>
    <w:p w:rsidR="004632AC" w:rsidRPr="00E85E69" w:rsidRDefault="004632AC" w:rsidP="004632AC">
      <w:pPr>
        <w:spacing w:after="12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committed effective dose (CED)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in green mussels can be calculated by the following equation (2):</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0"/>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b/>
        <w:t>CED (mSv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 A x B x C  </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 (2)</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 is the igestion dose conversion factor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1.2 x 10</w:t>
      </w:r>
      <w:r w:rsidRPr="00E85E69">
        <w:rPr>
          <w:rFonts w:ascii="Times New Roman" w:hAnsi="Times New Roman"/>
          <w:sz w:val="20"/>
          <w:szCs w:val="20"/>
          <w:vertAlign w:val="superscript"/>
          <w:lang w:val="ms-MY" w:eastAsia="zh-CN"/>
        </w:rPr>
        <w:t>-3</w:t>
      </w:r>
      <w:r w:rsidRPr="00E85E69">
        <w:rPr>
          <w:rFonts w:ascii="Times New Roman" w:hAnsi="Times New Roman"/>
          <w:sz w:val="20"/>
          <w:szCs w:val="20"/>
          <w:lang w:val="ms-MY" w:eastAsia="zh-CN"/>
        </w:rPr>
        <w:t xml:space="preserve"> mSv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[25]); B is green mussel consumption per year (20.1 kg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as provided by Statisitics of Agro Food [26]; and C is the average concentration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dry weight). The annual effective dose via the ingestion of green mussels is shown to be very high for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(2.61 – 7.83 m Sv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and exceeds the safe limit recommended by ICRP (1 mSv year</w:t>
      </w:r>
      <w:r w:rsidRPr="00E85E69">
        <w:rPr>
          <w:rFonts w:ascii="Times New Roman" w:hAnsi="Times New Roman"/>
          <w:sz w:val="20"/>
          <w:szCs w:val="20"/>
          <w:vertAlign w:val="superscript"/>
          <w:lang w:val="ms-MY" w:eastAsia="zh-CN"/>
        </w:rPr>
        <w:t>-1 210</w:t>
      </w:r>
      <w:r w:rsidRPr="00E85E69">
        <w:rPr>
          <w:rFonts w:ascii="Times New Roman" w:hAnsi="Times New Roman"/>
          <w:sz w:val="20"/>
          <w:szCs w:val="20"/>
          <w:lang w:val="ms-MY" w:eastAsia="zh-CN"/>
        </w:rPr>
        <w:t xml:space="preserve">Po; [27]). </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The cancer risk related with lifetime mortality risk and lifetime morbidity risk can be calculated with the provided equation (3):</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0"/>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b/>
        <w:t xml:space="preserve">R = r x I </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(3)</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r is the cancer risk coefficient where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is 4.44 x 10</w:t>
      </w:r>
      <w:r w:rsidRPr="00E85E69">
        <w:rPr>
          <w:rFonts w:ascii="Times New Roman" w:hAnsi="Times New Roman"/>
          <w:sz w:val="20"/>
          <w:szCs w:val="20"/>
          <w:vertAlign w:val="superscript"/>
          <w:lang w:val="ms-MY" w:eastAsia="zh-CN"/>
        </w:rPr>
        <w:t>-8</w:t>
      </w:r>
      <w:r w:rsidRPr="00E85E69">
        <w:rPr>
          <w:rFonts w:ascii="Times New Roman" w:hAnsi="Times New Roman"/>
          <w:sz w:val="20"/>
          <w:szCs w:val="20"/>
          <w:lang w:val="ms-MY" w:eastAsia="zh-CN"/>
        </w:rPr>
        <w:t xml:space="preserve"> risk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and 6.09 x 10</w:t>
      </w:r>
      <w:r w:rsidRPr="00E85E69">
        <w:rPr>
          <w:rFonts w:ascii="Times New Roman" w:hAnsi="Times New Roman"/>
          <w:sz w:val="20"/>
          <w:szCs w:val="20"/>
          <w:vertAlign w:val="superscript"/>
          <w:lang w:val="ms-MY" w:eastAsia="zh-CN"/>
        </w:rPr>
        <w:t>-8</w:t>
      </w:r>
      <w:r w:rsidRPr="00E85E69">
        <w:rPr>
          <w:rFonts w:ascii="Times New Roman" w:hAnsi="Times New Roman"/>
          <w:sz w:val="20"/>
          <w:szCs w:val="20"/>
          <w:lang w:val="ms-MY" w:eastAsia="zh-CN"/>
        </w:rPr>
        <w:t xml:space="preserve"> risk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for the lifetime mortality risk and lifetime morbidity risk respectively [28]; and I is the average lifetime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 xml:space="preserve">Po. It can be derived from the multiplication of daily intake with time (365); and Malaysian average life expectancy at birth (74.55) by Department of Statistics, Malaysia [24]. The highest average mortality and morbidity risk taken for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are  3.52 x 10</w:t>
      </w:r>
      <w:r w:rsidRPr="00E85E69">
        <w:rPr>
          <w:rFonts w:ascii="Times New Roman" w:hAnsi="Times New Roman"/>
          <w:sz w:val="20"/>
          <w:szCs w:val="20"/>
          <w:vertAlign w:val="superscript"/>
          <w:lang w:val="ms-MY" w:eastAsia="zh-CN"/>
        </w:rPr>
        <w:t>-5</w:t>
      </w:r>
      <w:r w:rsidRPr="00E85E69">
        <w:rPr>
          <w:rFonts w:ascii="Times New Roman" w:hAnsi="Times New Roman"/>
          <w:sz w:val="20"/>
          <w:szCs w:val="20"/>
          <w:lang w:val="ms-MY" w:eastAsia="zh-CN"/>
        </w:rPr>
        <w:t xml:space="preserve"> and 4.83 x 10</w:t>
      </w:r>
      <w:r w:rsidRPr="00E85E69">
        <w:rPr>
          <w:rFonts w:ascii="Times New Roman" w:hAnsi="Times New Roman"/>
          <w:sz w:val="20"/>
          <w:szCs w:val="20"/>
          <w:vertAlign w:val="superscript"/>
          <w:lang w:val="ms-MY" w:eastAsia="zh-CN"/>
        </w:rPr>
        <w:t>-5</w:t>
      </w:r>
      <w:r w:rsidRPr="00E85E69">
        <w:rPr>
          <w:rFonts w:ascii="Times New Roman" w:hAnsi="Times New Roman"/>
          <w:sz w:val="20"/>
          <w:szCs w:val="20"/>
          <w:lang w:val="ms-MY" w:eastAsia="zh-CN"/>
        </w:rPr>
        <w:t xml:space="preserve"> per individual, respectively. In the opinion of US-EPA, risk values below 1 x 10</w:t>
      </w:r>
      <w:r w:rsidRPr="00E85E69">
        <w:rPr>
          <w:rFonts w:ascii="Times New Roman" w:hAnsi="Times New Roman"/>
          <w:sz w:val="20"/>
          <w:szCs w:val="20"/>
          <w:vertAlign w:val="superscript"/>
          <w:lang w:val="ms-MY" w:eastAsia="zh-CN"/>
        </w:rPr>
        <w:t xml:space="preserve">-6 </w:t>
      </w:r>
      <w:r w:rsidRPr="00E85E69">
        <w:rPr>
          <w:rFonts w:ascii="Times New Roman" w:hAnsi="Times New Roman"/>
          <w:sz w:val="20"/>
          <w:szCs w:val="20"/>
          <w:lang w:val="ms-MY" w:eastAsia="zh-CN"/>
        </w:rPr>
        <w:t>are insignificant. Attention should be given to risk calculations ranging between 1 x 10</w:t>
      </w:r>
      <w:r w:rsidRPr="00E85E69">
        <w:rPr>
          <w:rFonts w:ascii="Times New Roman" w:hAnsi="Times New Roman"/>
          <w:sz w:val="20"/>
          <w:szCs w:val="20"/>
          <w:vertAlign w:val="superscript"/>
          <w:lang w:val="ms-MY" w:eastAsia="zh-CN"/>
        </w:rPr>
        <w:t>-6</w:t>
      </w:r>
      <w:r w:rsidRPr="00E85E69">
        <w:rPr>
          <w:rFonts w:ascii="Times New Roman" w:hAnsi="Times New Roman"/>
          <w:sz w:val="20"/>
          <w:szCs w:val="20"/>
          <w:lang w:val="ms-MY" w:eastAsia="zh-CN"/>
        </w:rPr>
        <w:t xml:space="preserve"> – 1 x 10</w:t>
      </w:r>
      <w:r w:rsidRPr="00E85E69">
        <w:rPr>
          <w:rFonts w:ascii="Times New Roman" w:hAnsi="Times New Roman"/>
          <w:sz w:val="20"/>
          <w:szCs w:val="20"/>
          <w:vertAlign w:val="superscript"/>
          <w:lang w:val="ms-MY" w:eastAsia="zh-CN"/>
        </w:rPr>
        <w:t>-4</w:t>
      </w:r>
      <w:r w:rsidRPr="00E85E69">
        <w:rPr>
          <w:rFonts w:ascii="Times New Roman" w:hAnsi="Times New Roman"/>
          <w:sz w:val="20"/>
          <w:szCs w:val="20"/>
          <w:lang w:val="ms-MY" w:eastAsia="zh-CN"/>
        </w:rPr>
        <w:t xml:space="preserve"> </w:t>
      </w:r>
      <w:r w:rsidRPr="00E85E69">
        <w:rPr>
          <w:rFonts w:ascii="Times New Roman" w:hAnsi="Times New Roman"/>
          <w:sz w:val="20"/>
          <w:szCs w:val="20"/>
        </w:rPr>
        <w:t>as the risk calculation approaches baseline limits and a plan to remedy the situation needs to be framed</w:t>
      </w:r>
      <w:r w:rsidRPr="00E85E69">
        <w:rPr>
          <w:rFonts w:ascii="Times New Roman" w:hAnsi="Times New Roman"/>
          <w:sz w:val="20"/>
          <w:szCs w:val="20"/>
          <w:lang w:val="ms-MY" w:eastAsia="zh-CN"/>
        </w:rPr>
        <w:t xml:space="preserve"> [29]. </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In view of the assessments of risk discussed above, wild green mussels may result in some degree of health problems. This study has shown that smaller-sized green mussels are more likely to exceed suggested safety limits. In addition, most green mussels in the local markets are from both wild and cultured sources. Hence, oversight to sensure a minimum the marketable size of green mussels would minimise radioactivity exposure to the human body. </w:t>
      </w:r>
    </w:p>
    <w:p w:rsidR="00BE4CC0" w:rsidRPr="00426010" w:rsidRDefault="00BE4CC0" w:rsidP="00426010">
      <w:pPr>
        <w:spacing w:after="0" w:line="240" w:lineRule="auto"/>
        <w:jc w:val="both"/>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vary in green mussel body parts (e.g., stomach and tissues) and also vary between the organism’s source (e.g. wild, cultured or market). Samples from the wild showed the highest concentrations of natural polonium activity because it received direct contaminants from industrial and domestic discharges. Moreover, </w:t>
      </w:r>
      <w:r w:rsidRPr="00426010">
        <w:rPr>
          <w:rFonts w:ascii="Times New Roman" w:hAnsi="Times New Roman"/>
          <w:sz w:val="20"/>
          <w:szCs w:val="20"/>
          <w:vertAlign w:val="superscript"/>
        </w:rPr>
        <w:t>210</w:t>
      </w:r>
      <w:r w:rsidRPr="00426010">
        <w:rPr>
          <w:rFonts w:ascii="Times New Roman" w:hAnsi="Times New Roman"/>
          <w:sz w:val="20"/>
          <w:szCs w:val="20"/>
        </w:rPr>
        <w:t xml:space="preserve">Po levels in wild organisms in the Johor Strait were relatively higher than other marine organisms in different areas of Malaysia as well as higher compared to worldwide values. Therefore, it is presumed that consumers of green mussels from the Straits of Johor probably have radiation risks exceeding those recommended by the USEPA. Despite the fact that mortality and morbidity risk were in acceptable range  and no serious health problem will be caused, frequent consumption of green mussels is not recommended. Further analysis of pollutants </w:t>
      </w:r>
      <w:r w:rsidRPr="00426010">
        <w:rPr>
          <w:rFonts w:ascii="Times New Roman" w:hAnsi="Times New Roman"/>
          <w:sz w:val="20"/>
          <w:szCs w:val="20"/>
        </w:rPr>
        <w:lastRenderedPageBreak/>
        <w:t xml:space="preserve">(e.g., </w:t>
      </w:r>
      <w:r w:rsidRPr="00426010">
        <w:rPr>
          <w:rFonts w:ascii="Times New Roman" w:hAnsi="Times New Roman"/>
          <w:sz w:val="20"/>
          <w:szCs w:val="20"/>
          <w:vertAlign w:val="superscript"/>
        </w:rPr>
        <w:t>210</w:t>
      </w:r>
      <w:r w:rsidRPr="00426010">
        <w:rPr>
          <w:rFonts w:ascii="Times New Roman" w:hAnsi="Times New Roman"/>
          <w:sz w:val="20"/>
          <w:szCs w:val="20"/>
        </w:rPr>
        <w:t xml:space="preserve">Po) in green mussels at the Johor Strait needs to continue especially with regards to human consumption of those mussels.  </w:t>
      </w:r>
    </w:p>
    <w:p w:rsidR="00426010" w:rsidRPr="00426010" w:rsidRDefault="00426010" w:rsidP="00426010">
      <w:pPr>
        <w:spacing w:after="0" w:line="240" w:lineRule="auto"/>
        <w:jc w:val="center"/>
        <w:outlineLvl w:val="0"/>
        <w:rPr>
          <w:rFonts w:ascii="Times New Roman" w:hAnsi="Times New Roman"/>
          <w:sz w:val="20"/>
          <w:szCs w:val="20"/>
        </w:rPr>
      </w:pPr>
    </w:p>
    <w:p w:rsidR="00426010" w:rsidRPr="00426010" w:rsidRDefault="00426010" w:rsidP="00426010">
      <w:pPr>
        <w:spacing w:after="0" w:line="240" w:lineRule="auto"/>
        <w:jc w:val="center"/>
        <w:outlineLvl w:val="0"/>
        <w:rPr>
          <w:rFonts w:ascii="Times New Roman" w:hAnsi="Times New Roman"/>
          <w:b/>
          <w:sz w:val="20"/>
          <w:szCs w:val="20"/>
        </w:rPr>
      </w:pPr>
      <w:r w:rsidRPr="00426010">
        <w:rPr>
          <w:rFonts w:ascii="Times New Roman" w:hAnsi="Times New Roman"/>
          <w:b/>
          <w:sz w:val="20"/>
          <w:szCs w:val="20"/>
        </w:rPr>
        <w:t>Acknowledgement</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rPr>
        <w:t>The authors would like to thank the laboratory staff of the Faculty of Science and Technology, Universiti Kebangsaan Malaysia and others for helping during this study. Acknowledgement is also extended to the Ministry of Science, Technology and Innovation (Grant no. 04-01-02-SF0801) and the Ministry of Higher Education, Malaysia (KPT.P.(S)400-7/2/29-4(65)) for providing the grants to conduct this research project.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Worland, J. (2017). The lingering effects of fukushima on fish. 2016. Retrieved from Time Inc. http://time.com/4241443/fukushima-disaster-food-safety/ [Access date 15 September 2017].</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Alonso-Hernandez, C., Diaz-Asencio, M., Munos-Caravaca, A., Suarez-Morell, E. and  Avila-Moreno, R. (2002). </w:t>
      </w:r>
      <w:r w:rsidRPr="004632AC">
        <w:rPr>
          <w:rFonts w:ascii="Times New Roman" w:hAnsi="Times New Roman"/>
          <w:sz w:val="20"/>
          <w:szCs w:val="20"/>
          <w:vertAlign w:val="superscript"/>
        </w:rPr>
        <w:t>137</w:t>
      </w:r>
      <w:r w:rsidRPr="004632AC">
        <w:rPr>
          <w:rFonts w:ascii="Times New Roman" w:hAnsi="Times New Roman"/>
          <w:sz w:val="20"/>
          <w:szCs w:val="20"/>
        </w:rPr>
        <w:t xml:space="preserve">Cs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dose assessment from marine food in Cienfuegos Bay (Cuba).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61(2): 203-11. </w:t>
      </w:r>
    </w:p>
    <w:p w:rsid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Bustamante, P., Germain, P., Leclerc, G. and Miram, P. (2002). Concentration &amp; distribution of  Po-210 in the tissues of the scallop </w:t>
      </w:r>
      <w:r w:rsidRPr="004632AC">
        <w:rPr>
          <w:rFonts w:ascii="Times New Roman" w:hAnsi="Times New Roman"/>
          <w:i/>
          <w:sz w:val="20"/>
          <w:szCs w:val="20"/>
        </w:rPr>
        <w:t>Chlamys varia</w:t>
      </w:r>
      <w:r w:rsidRPr="004632AC">
        <w:rPr>
          <w:rFonts w:ascii="Times New Roman" w:hAnsi="Times New Roman"/>
          <w:sz w:val="20"/>
          <w:szCs w:val="20"/>
        </w:rPr>
        <w:t xml:space="preserve"> &amp; the mussel </w:t>
      </w:r>
      <w:r w:rsidRPr="004632AC">
        <w:rPr>
          <w:rFonts w:ascii="Times New Roman" w:hAnsi="Times New Roman"/>
          <w:i/>
          <w:sz w:val="20"/>
          <w:szCs w:val="20"/>
        </w:rPr>
        <w:t>Mytilus edulis</w:t>
      </w:r>
      <w:r w:rsidRPr="004632AC">
        <w:rPr>
          <w:rFonts w:ascii="Times New Roman" w:hAnsi="Times New Roman"/>
          <w:sz w:val="20"/>
          <w:szCs w:val="20"/>
        </w:rPr>
        <w:t xml:space="preserve"> from the coast of Charente-Maritime (France). </w:t>
      </w:r>
      <w:r w:rsidRPr="004632AC">
        <w:rPr>
          <w:rFonts w:ascii="Times New Roman" w:hAnsi="Times New Roman"/>
          <w:i/>
          <w:sz w:val="20"/>
          <w:szCs w:val="20"/>
        </w:rPr>
        <w:t>Marine Pollution Bulletin</w:t>
      </w:r>
      <w:r w:rsidRPr="004632AC">
        <w:rPr>
          <w:rFonts w:ascii="Times New Roman" w:hAnsi="Times New Roman"/>
          <w:sz w:val="20"/>
          <w:szCs w:val="20"/>
        </w:rPr>
        <w:t xml:space="preserve">, 44(10): 997-1002. </w:t>
      </w:r>
    </w:p>
    <w:p w:rsidR="004632AC" w:rsidRPr="004632AC" w:rsidRDefault="004632AC" w:rsidP="004632AC">
      <w:pPr>
        <w:widowControl w:val="0"/>
        <w:autoSpaceDE w:val="0"/>
        <w:autoSpaceDN w:val="0"/>
        <w:spacing w:after="0" w:line="240" w:lineRule="auto"/>
        <w:jc w:val="both"/>
        <w:outlineLvl w:val="0"/>
        <w:rPr>
          <w:rFonts w:ascii="Times New Roman" w:hAnsi="Times New Roman"/>
          <w:sz w:val="20"/>
          <w:szCs w:val="20"/>
        </w:rPr>
      </w:pP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Al-Masri, M. S., Nashawati, A., Amin,Y. and Al-Akell, B. (2004). Determination of Po-210 in tea, mate and their infusions and its annual intake by Syrians. </w:t>
      </w:r>
      <w:r w:rsidRPr="004632AC">
        <w:rPr>
          <w:rFonts w:ascii="Times New Roman" w:hAnsi="Times New Roman"/>
          <w:i/>
          <w:sz w:val="20"/>
          <w:szCs w:val="20"/>
        </w:rPr>
        <w:t>Journal of Radioanalytical and Nuclear Chemistry</w:t>
      </w:r>
      <w:r w:rsidRPr="004632AC">
        <w:rPr>
          <w:rFonts w:ascii="Times New Roman" w:hAnsi="Times New Roman"/>
          <w:sz w:val="20"/>
          <w:szCs w:val="20"/>
        </w:rPr>
        <w:t xml:space="preserve">,  260(1): 27-34.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Carvalho, F. P. (2011). Polonium (</w:t>
      </w:r>
      <w:r w:rsidRPr="004632AC">
        <w:rPr>
          <w:rFonts w:ascii="Times New Roman" w:hAnsi="Times New Roman"/>
          <w:sz w:val="20"/>
          <w:szCs w:val="20"/>
          <w:vertAlign w:val="superscript"/>
        </w:rPr>
        <w:t>210</w:t>
      </w:r>
      <w:r w:rsidRPr="004632AC">
        <w:rPr>
          <w:rFonts w:ascii="Times New Roman" w:hAnsi="Times New Roman"/>
          <w:sz w:val="20"/>
          <w:szCs w:val="20"/>
        </w:rPr>
        <w:t>Po) and lead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marine organisms and their transfer in marine food chains. </w:t>
      </w:r>
      <w:r w:rsidRPr="004632AC">
        <w:rPr>
          <w:rFonts w:ascii="Times New Roman" w:hAnsi="Times New Roman"/>
          <w:i/>
          <w:sz w:val="20"/>
          <w:szCs w:val="20"/>
        </w:rPr>
        <w:t>Journal of Environmental Radioactivity</w:t>
      </w:r>
      <w:r w:rsidRPr="004632AC">
        <w:rPr>
          <w:rFonts w:ascii="Times New Roman" w:hAnsi="Times New Roman"/>
          <w:sz w:val="20"/>
          <w:szCs w:val="20"/>
        </w:rPr>
        <w:t>, 102(5): 462-72.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Alam, L. and Mohamed, C. A. R. (2011). Natural radionuclide of Po-210 in the edible seafood affected by coal-fired power plant industry in Kapar coastal area of Malaysia. </w:t>
      </w:r>
      <w:r w:rsidRPr="004632AC">
        <w:rPr>
          <w:rFonts w:ascii="Times New Roman" w:hAnsi="Times New Roman"/>
          <w:i/>
          <w:sz w:val="20"/>
          <w:szCs w:val="20"/>
        </w:rPr>
        <w:t>Environmental Health,</w:t>
      </w:r>
      <w:r w:rsidRPr="004632AC">
        <w:rPr>
          <w:rFonts w:ascii="Times New Roman" w:hAnsi="Times New Roman"/>
          <w:sz w:val="20"/>
          <w:szCs w:val="20"/>
        </w:rPr>
        <w:t xml:space="preserve"> 10(1):43.</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Theng, T., Ahmad, Z. and  Mohamed, C. A. R. (2004). Activity concentrations of </w:t>
      </w:r>
      <w:r w:rsidRPr="004632AC">
        <w:rPr>
          <w:rFonts w:ascii="Times New Roman" w:hAnsi="Times New Roman"/>
          <w:sz w:val="20"/>
          <w:szCs w:val="20"/>
          <w:vertAlign w:val="superscript"/>
        </w:rPr>
        <w:t>210</w:t>
      </w:r>
      <w:r w:rsidRPr="004632AC">
        <w:rPr>
          <w:rFonts w:ascii="Times New Roman" w:hAnsi="Times New Roman"/>
          <w:sz w:val="20"/>
          <w:szCs w:val="20"/>
        </w:rPr>
        <w:t>Po in the soft parts of cockle (</w:t>
      </w:r>
      <w:r w:rsidRPr="004632AC">
        <w:rPr>
          <w:rFonts w:ascii="Times New Roman" w:hAnsi="Times New Roman"/>
          <w:i/>
          <w:sz w:val="20"/>
          <w:szCs w:val="20"/>
        </w:rPr>
        <w:t>Anadara granosa</w:t>
      </w:r>
      <w:r w:rsidRPr="004632AC">
        <w:rPr>
          <w:rFonts w:ascii="Times New Roman" w:hAnsi="Times New Roman"/>
          <w:sz w:val="20"/>
          <w:szCs w:val="20"/>
        </w:rPr>
        <w:t xml:space="preserve">) at Kuala Selangor, Malaysia. </w:t>
      </w:r>
      <w:r w:rsidRPr="004632AC">
        <w:rPr>
          <w:rFonts w:ascii="Times New Roman" w:hAnsi="Times New Roman"/>
          <w:i/>
          <w:sz w:val="20"/>
          <w:szCs w:val="20"/>
        </w:rPr>
        <w:t>Journal of Radioanalytical and Nuclear Chemistry</w:t>
      </w:r>
      <w:r w:rsidRPr="004632AC">
        <w:rPr>
          <w:rFonts w:ascii="Times New Roman" w:hAnsi="Times New Roman"/>
          <w:sz w:val="20"/>
          <w:szCs w:val="20"/>
        </w:rPr>
        <w:t xml:space="preserve">, 262(2): 485-488.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Zakaria, N., Sarimin, A. S., Sabuti, A. A. and Mohamed, C. A. R. (2013). Assessment activity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Pb in the edible tissues of cultured seabass (</w:t>
      </w:r>
      <w:r w:rsidRPr="004632AC">
        <w:rPr>
          <w:rFonts w:ascii="Times New Roman" w:hAnsi="Times New Roman"/>
          <w:i/>
          <w:sz w:val="20"/>
          <w:szCs w:val="20"/>
        </w:rPr>
        <w:t>Lates calcarifer</w:t>
      </w:r>
      <w:r w:rsidRPr="004632AC">
        <w:rPr>
          <w:rFonts w:ascii="Times New Roman" w:hAnsi="Times New Roman"/>
          <w:sz w:val="20"/>
          <w:szCs w:val="20"/>
        </w:rPr>
        <w:t xml:space="preserve">) at Peninsular Malaysia. </w:t>
      </w:r>
      <w:r w:rsidRPr="004632AC">
        <w:rPr>
          <w:rFonts w:ascii="Times New Roman" w:hAnsi="Times New Roman"/>
          <w:i/>
          <w:sz w:val="20"/>
          <w:szCs w:val="20"/>
        </w:rPr>
        <w:t>EnvironmentAsia</w:t>
      </w:r>
      <w:r w:rsidRPr="004632AC">
        <w:rPr>
          <w:rFonts w:ascii="Times New Roman" w:hAnsi="Times New Roman"/>
          <w:sz w:val="20"/>
          <w:szCs w:val="20"/>
        </w:rPr>
        <w:t>, 6(1): 66-73.</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Ariffin, N. A. N. and Mohamed, C. A. R. (2014). Natural isotope radium in marine biota at Kapar, Klang coastal area. </w:t>
      </w:r>
      <w:r w:rsidRPr="004632AC">
        <w:rPr>
          <w:rFonts w:ascii="Times New Roman" w:hAnsi="Times New Roman"/>
          <w:i/>
          <w:sz w:val="20"/>
          <w:szCs w:val="20"/>
        </w:rPr>
        <w:t>Malaysian Journal of Analytical Sciences</w:t>
      </w:r>
      <w:r w:rsidRPr="004632AC">
        <w:rPr>
          <w:rFonts w:ascii="Times New Roman" w:hAnsi="Times New Roman"/>
          <w:sz w:val="20"/>
          <w:szCs w:val="20"/>
        </w:rPr>
        <w:t xml:space="preserve">, 18(1): 127-139.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Zakri, N. and  Mohamed, C. A. R. (2016). Po-210 as an Indicator of Safe Radiation Levels in Cockles (</w:t>
      </w:r>
      <w:r w:rsidRPr="004632AC">
        <w:rPr>
          <w:rFonts w:ascii="Times New Roman" w:hAnsi="Times New Roman"/>
          <w:i/>
          <w:sz w:val="20"/>
          <w:szCs w:val="20"/>
        </w:rPr>
        <w:t>Anadara granosa</w:t>
      </w:r>
      <w:r w:rsidRPr="004632AC">
        <w:rPr>
          <w:rFonts w:ascii="Times New Roman" w:hAnsi="Times New Roman"/>
          <w:sz w:val="20"/>
          <w:szCs w:val="20"/>
        </w:rPr>
        <w:t xml:space="preserve">) in Peninsular Malaysia. </w:t>
      </w:r>
      <w:r w:rsidRPr="004632AC">
        <w:rPr>
          <w:rFonts w:ascii="Times New Roman" w:hAnsi="Times New Roman"/>
          <w:i/>
          <w:sz w:val="20"/>
          <w:szCs w:val="20"/>
        </w:rPr>
        <w:t>EnvironmentAsia</w:t>
      </w:r>
      <w:r w:rsidRPr="004632AC">
        <w:rPr>
          <w:rFonts w:ascii="Times New Roman" w:hAnsi="Times New Roman"/>
          <w:sz w:val="20"/>
          <w:szCs w:val="20"/>
        </w:rPr>
        <w:t xml:space="preserve">, 9(1): 99-106.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(1988). </w:t>
      </w:r>
      <w:r w:rsidRPr="004632AC">
        <w:rPr>
          <w:rFonts w:ascii="Times New Roman" w:hAnsi="Times New Roman"/>
          <w:sz w:val="20"/>
          <w:szCs w:val="20"/>
          <w:vertAlign w:val="superscript"/>
        </w:rPr>
        <w:t>210</w:t>
      </w:r>
      <w:r w:rsidRPr="004632AC">
        <w:rPr>
          <w:rFonts w:ascii="Times New Roman" w:hAnsi="Times New Roman"/>
          <w:sz w:val="20"/>
          <w:szCs w:val="20"/>
        </w:rPr>
        <w:t>Po in marine organisms: a wide range of natural radiation dose domains</w:t>
      </w:r>
      <w:r w:rsidRPr="004632AC">
        <w:rPr>
          <w:rFonts w:ascii="Times New Roman" w:hAnsi="Times New Roman"/>
          <w:i/>
          <w:sz w:val="20"/>
          <w:szCs w:val="20"/>
        </w:rPr>
        <w:t>.   Radiation Protection Dosimetry</w:t>
      </w:r>
      <w:r w:rsidRPr="004632AC">
        <w:rPr>
          <w:rFonts w:ascii="Times New Roman" w:hAnsi="Times New Roman"/>
          <w:sz w:val="20"/>
          <w:szCs w:val="20"/>
        </w:rPr>
        <w:t>, 24(1-4):113-117.</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Cherry, R. and Heyraud, M. (1982). Evidence of high natural radiation doses in certain mid-water oceanic organisms. </w:t>
      </w:r>
      <w:r w:rsidRPr="004632AC">
        <w:rPr>
          <w:rFonts w:ascii="Times New Roman" w:hAnsi="Times New Roman"/>
          <w:i/>
          <w:sz w:val="20"/>
          <w:szCs w:val="20"/>
        </w:rPr>
        <w:t>Science</w:t>
      </w:r>
      <w:r w:rsidRPr="004632AC">
        <w:rPr>
          <w:rFonts w:ascii="Times New Roman" w:hAnsi="Times New Roman"/>
          <w:sz w:val="20"/>
          <w:szCs w:val="20"/>
        </w:rPr>
        <w:t>, 218(4567):54-56.</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McDonald, P., Baxter, M., and Scott, E. (1996). Technological enhancement of natural radionuclides in the marine environment.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32(1-2):67-90.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Waska, H., Kim, S., Kim, G., Kang, M. R. and Kim, G. B. (2008). Distribution patterns of chalcogens (S, Se, Te,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in various tissues of a squid, </w:t>
      </w:r>
      <w:r w:rsidRPr="004632AC">
        <w:rPr>
          <w:rFonts w:ascii="Times New Roman" w:hAnsi="Times New Roman"/>
          <w:i/>
          <w:sz w:val="20"/>
          <w:szCs w:val="20"/>
        </w:rPr>
        <w:t>Todarodes pacificus</w:t>
      </w:r>
      <w:r w:rsidRPr="004632AC">
        <w:rPr>
          <w:rFonts w:ascii="Times New Roman" w:hAnsi="Times New Roman"/>
          <w:sz w:val="20"/>
          <w:szCs w:val="20"/>
        </w:rPr>
        <w:t xml:space="preserve">. </w:t>
      </w:r>
      <w:r w:rsidRPr="004632AC">
        <w:rPr>
          <w:rFonts w:ascii="Times New Roman" w:hAnsi="Times New Roman"/>
          <w:i/>
          <w:sz w:val="20"/>
          <w:szCs w:val="20"/>
        </w:rPr>
        <w:t>Science of The Total Environment</w:t>
      </w:r>
      <w:r w:rsidRPr="004632AC">
        <w:rPr>
          <w:rFonts w:ascii="Times New Roman" w:hAnsi="Times New Roman"/>
          <w:sz w:val="20"/>
          <w:szCs w:val="20"/>
        </w:rPr>
        <w:t xml:space="preserve">, 392(2): 218-224.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Bayne, B. L. (1976). Marine mussels: their ecology and physiology, (Vol. 10): Cambridge University Press.</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Jørgensen, C. B. (1996). Bivalve filter feeding revisited. Marine Ecology Progress Series, pp. 287-302.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Preiss, N., Mélières, M-A, and Pourchet, M. (1996). A compilation of data on lead 210 concentration in surface air and fluxes at the air-surface and water-sediment interfaces. </w:t>
      </w:r>
      <w:r w:rsidRPr="004632AC">
        <w:rPr>
          <w:rFonts w:ascii="Times New Roman" w:hAnsi="Times New Roman"/>
          <w:i/>
          <w:sz w:val="20"/>
          <w:szCs w:val="20"/>
        </w:rPr>
        <w:t>Journal of Geophysical Research</w:t>
      </w:r>
      <w:r w:rsidRPr="004632AC">
        <w:rPr>
          <w:rFonts w:ascii="Times New Roman" w:hAnsi="Times New Roman"/>
          <w:sz w:val="20"/>
          <w:szCs w:val="20"/>
        </w:rPr>
        <w:t xml:space="preserve">: </w:t>
      </w:r>
      <w:r w:rsidRPr="004632AC">
        <w:rPr>
          <w:rFonts w:ascii="Times New Roman" w:hAnsi="Times New Roman"/>
          <w:i/>
          <w:sz w:val="20"/>
          <w:szCs w:val="20"/>
        </w:rPr>
        <w:t>Atmospheres</w:t>
      </w:r>
      <w:r w:rsidRPr="004632AC">
        <w:rPr>
          <w:rFonts w:ascii="Times New Roman" w:hAnsi="Times New Roman"/>
          <w:sz w:val="20"/>
          <w:szCs w:val="20"/>
        </w:rPr>
        <w:t>, 101(D22):28847-28862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(1979). Limits for intakes of radionuclides by workers. Pergamon Press, New York, ICRP Publication 30.</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Gosling, E. (2008).  Bivalve molluscs: Biology, ecology and culture. Oxford,  Blackwell.</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lastRenderedPageBreak/>
        <w:t xml:space="preserve">Hawkins, A., Bayne, B., and Clarke, K. (1983). Coordinated rhythms of digestion, absorption and excretion in </w:t>
      </w:r>
      <w:r w:rsidRPr="004632AC">
        <w:rPr>
          <w:rFonts w:ascii="Times New Roman" w:hAnsi="Times New Roman"/>
          <w:i/>
          <w:sz w:val="20"/>
          <w:szCs w:val="20"/>
        </w:rPr>
        <w:t>Mytilus edulis</w:t>
      </w:r>
      <w:r w:rsidRPr="004632AC">
        <w:rPr>
          <w:rFonts w:ascii="Times New Roman" w:hAnsi="Times New Roman"/>
          <w:sz w:val="20"/>
          <w:szCs w:val="20"/>
        </w:rPr>
        <w:t xml:space="preserve"> (Bivalvia: Mollusca). </w:t>
      </w:r>
      <w:r w:rsidRPr="004632AC">
        <w:rPr>
          <w:rFonts w:ascii="Times New Roman" w:hAnsi="Times New Roman"/>
          <w:i/>
          <w:sz w:val="20"/>
          <w:szCs w:val="20"/>
        </w:rPr>
        <w:t>Marine Biology</w:t>
      </w:r>
      <w:r w:rsidRPr="004632AC">
        <w:rPr>
          <w:rFonts w:ascii="Times New Roman" w:hAnsi="Times New Roman"/>
          <w:sz w:val="20"/>
          <w:szCs w:val="20"/>
        </w:rPr>
        <w:t xml:space="preserve">, 74(1): 41-48.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P, and Fowler, S. W. (1994). A double-tracer technique to determine the relative importance of water and food as sources of polonium-210 to marine prawns and fish. </w:t>
      </w:r>
      <w:r w:rsidRPr="004632AC">
        <w:rPr>
          <w:rFonts w:ascii="Times New Roman" w:hAnsi="Times New Roman"/>
          <w:i/>
          <w:sz w:val="20"/>
          <w:szCs w:val="20"/>
        </w:rPr>
        <w:t>Marine Ecology Progress Series</w:t>
      </w:r>
      <w:r w:rsidRPr="004632AC">
        <w:rPr>
          <w:rFonts w:ascii="Times New Roman" w:hAnsi="Times New Roman"/>
          <w:sz w:val="20"/>
          <w:szCs w:val="20"/>
        </w:rPr>
        <w:t xml:space="preserve">, 251-264.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P., Oliveira, J. M., Alberto, G. and  Vives, I. and Batlle, J.   (2010).   Allometric relationships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mussels and their application to environmental monitoring. </w:t>
      </w:r>
      <w:r w:rsidRPr="004632AC">
        <w:rPr>
          <w:rFonts w:ascii="Times New Roman" w:hAnsi="Times New Roman"/>
          <w:i/>
          <w:sz w:val="20"/>
          <w:szCs w:val="20"/>
        </w:rPr>
        <w:t>Marine Pollution Bulletin</w:t>
      </w:r>
      <w:r w:rsidRPr="004632AC">
        <w:rPr>
          <w:rFonts w:ascii="Times New Roman" w:hAnsi="Times New Roman"/>
          <w:sz w:val="20"/>
          <w:szCs w:val="20"/>
        </w:rPr>
        <w:t xml:space="preserve">  60(10): 1734-1742.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Fisheries Malaysia (2012). The fisheries statistics of year.   Retrieved from http:// www.dof.gov.my/web/guest/perangkaan-perikanan-tahunan-2012 [Access date 30 June 2014].</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Social Statistics Bulletin Malaysia 2012. Retrieved from https://www.dosm.gov.my/v1/portal/download_Labour/files/BPS/Buletin_Perangkaan_Sosial2012.pdf?</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(1996). Age-dependent doses to the members of the public from intake of radionuclides. Compilation of Ingestion and Inhalation Coefficients 72.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Abridged Life Tables 2009-2011. Retrieved from</w:t>
      </w:r>
      <w:r w:rsidRPr="004632AC">
        <w:rPr>
          <w:sz w:val="20"/>
          <w:szCs w:val="20"/>
        </w:rPr>
        <w:t xml:space="preserve"> </w:t>
      </w:r>
      <w:r w:rsidRPr="004632AC">
        <w:rPr>
          <w:rFonts w:ascii="Times New Roman" w:hAnsi="Times New Roman"/>
          <w:sz w:val="20"/>
          <w:szCs w:val="20"/>
        </w:rPr>
        <w:t>https://www.dosm.gov.my/v1/index.php</w:t>
      </w:r>
    </w:p>
    <w:p w:rsid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(2007). Recommendations of International Commission on Radiological Protection ICRP Publication 103. Annals ICRP 2007(37): 2-4.</w:t>
      </w:r>
    </w:p>
    <w:p w:rsidR="004632AC" w:rsidRDefault="004632AC" w:rsidP="004632AC">
      <w:pPr>
        <w:widowControl w:val="0"/>
        <w:autoSpaceDE w:val="0"/>
        <w:autoSpaceDN w:val="0"/>
        <w:spacing w:after="0" w:line="240" w:lineRule="auto"/>
        <w:jc w:val="both"/>
        <w:outlineLvl w:val="0"/>
        <w:rPr>
          <w:rFonts w:ascii="Times New Roman" w:hAnsi="Times New Roman"/>
          <w:sz w:val="20"/>
          <w:szCs w:val="20"/>
        </w:rPr>
      </w:pPr>
    </w:p>
    <w:p w:rsidR="004632AC" w:rsidRPr="004632AC" w:rsidRDefault="004632AC" w:rsidP="004632AC">
      <w:pPr>
        <w:widowControl w:val="0"/>
        <w:autoSpaceDE w:val="0"/>
        <w:autoSpaceDN w:val="0"/>
        <w:spacing w:after="0" w:line="240" w:lineRule="auto"/>
        <w:jc w:val="both"/>
        <w:outlineLvl w:val="0"/>
        <w:rPr>
          <w:rFonts w:ascii="Times New Roman" w:hAnsi="Times New Roman"/>
          <w:sz w:val="20"/>
          <w:szCs w:val="20"/>
        </w:rPr>
      </w:pP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Environmental Protection Agency (1988). Limiting values of radionuclide intake and air concentration and dose conversion factors for inhalation, submersion and ingestion. Oal Ridge National Laboratory, Oask Ridge, TN; US, EPA, Washington, DC. Federal Guidance report No. 11, EPA-520/1-88-020.</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Environmental Protection Agency (1991). Role of the baseline risk assessment in superfund remedy selection decisions. US Environmental Protection Agency, Washington DC, </w:t>
      </w:r>
    </w:p>
    <w:p w:rsidR="00A74A7E" w:rsidRPr="004632AC" w:rsidRDefault="00A74A7E" w:rsidP="004632AC">
      <w:pPr>
        <w:spacing w:after="0" w:line="240" w:lineRule="auto"/>
        <w:ind w:left="360" w:hanging="360"/>
        <w:jc w:val="both"/>
        <w:rPr>
          <w:rFonts w:ascii="Times New Roman" w:hAnsi="Times New Roman"/>
          <w:noProof/>
          <w:sz w:val="20"/>
          <w:szCs w:val="20"/>
          <w:lang w:bidi="ar-SA"/>
        </w:rPr>
      </w:pPr>
    </w:p>
    <w:sectPr w:rsidR="00A74A7E" w:rsidRPr="004632AC" w:rsidSect="00A74A7E">
      <w:headerReference w:type="even" r:id="rId14"/>
      <w:headerReference w:type="default" r:id="rId15"/>
      <w:footerReference w:type="even" r:id="rId16"/>
      <w:footerReference w:type="default" r:id="rId17"/>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59" w:rsidRDefault="00FC7D59" w:rsidP="00FB4C59">
      <w:pPr>
        <w:spacing w:after="0" w:line="240" w:lineRule="auto"/>
      </w:pPr>
      <w:r>
        <w:separator/>
      </w:r>
    </w:p>
  </w:endnote>
  <w:endnote w:type="continuationSeparator" w:id="0">
    <w:p w:rsidR="00FC7D59" w:rsidRDefault="00FC7D5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FC7D59" w:rsidRDefault="00FC7D59">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33DB5">
          <w:rPr>
            <w:rFonts w:ascii="Times New Roman" w:hAnsi="Times New Roman"/>
            <w:noProof/>
          </w:rPr>
          <w:t>6</w:t>
        </w:r>
        <w:r w:rsidRPr="00C0756D">
          <w:rPr>
            <w:rFonts w:ascii="Times New Roman" w:hAnsi="Times New Roman"/>
            <w:noProof/>
          </w:rPr>
          <w:fldChar w:fldCharType="end"/>
        </w:r>
      </w:p>
      <w:p w:rsidR="00FC7D59" w:rsidRPr="00C0756D" w:rsidRDefault="00FC7D59">
        <w:pPr>
          <w:pStyle w:val="Footer"/>
          <w:jc w:val="right"/>
          <w:rPr>
            <w:rFonts w:ascii="Times New Roman" w:hAnsi="Times New Roman"/>
          </w:rPr>
        </w:pPr>
      </w:p>
    </w:sdtContent>
  </w:sdt>
  <w:p w:rsidR="00FC7D59" w:rsidRDefault="00FC7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FC7D59" w:rsidRDefault="00FC7D59">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33DB5">
          <w:rPr>
            <w:rFonts w:ascii="Times New Roman" w:hAnsi="Times New Roman"/>
            <w:noProof/>
          </w:rPr>
          <w:t>11</w:t>
        </w:r>
        <w:r w:rsidRPr="00C0756D">
          <w:rPr>
            <w:rFonts w:ascii="Times New Roman" w:hAnsi="Times New Roman"/>
            <w:noProof/>
          </w:rPr>
          <w:fldChar w:fldCharType="end"/>
        </w:r>
      </w:p>
      <w:p w:rsidR="00FC7D59" w:rsidRPr="00C0756D" w:rsidRDefault="00FC7D59">
        <w:pPr>
          <w:pStyle w:val="Footer"/>
          <w:rPr>
            <w:rFonts w:ascii="Times New Roman" w:hAnsi="Times New Roman"/>
          </w:rPr>
        </w:pPr>
      </w:p>
    </w:sdtContent>
  </w:sdt>
  <w:p w:rsidR="00FC7D59" w:rsidRPr="004B43FF" w:rsidRDefault="00FC7D59">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59" w:rsidRDefault="00FC7D59" w:rsidP="00FB4C59">
      <w:pPr>
        <w:spacing w:after="0" w:line="240" w:lineRule="auto"/>
      </w:pPr>
      <w:r>
        <w:separator/>
      </w:r>
    </w:p>
  </w:footnote>
  <w:footnote w:type="continuationSeparator" w:id="0">
    <w:p w:rsidR="00FC7D59" w:rsidRDefault="00FC7D5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59" w:rsidRDefault="00FC7D59"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Pr>
        <w:rFonts w:ascii="Times New Roman" w:hAnsi="Times New Roman"/>
        <w:i/>
        <w:lang w:val="en-US"/>
      </w:rPr>
      <w:t>xxx - xxx</w:t>
    </w:r>
  </w:p>
  <w:p w:rsidR="00FC7D59" w:rsidRPr="004B43FF" w:rsidRDefault="00FC7D59" w:rsidP="006A3A0F">
    <w:pPr>
      <w:pStyle w:val="Header"/>
      <w:jc w:val="right"/>
      <w:rPr>
        <w:rFonts w:ascii="Times New Roman" w:hAnsi="Times New Roman"/>
        <w:i/>
        <w:lang w:val="en-US"/>
      </w:rPr>
    </w:pPr>
    <w:r>
      <w:rPr>
        <w:rFonts w:ascii="Times New Roman" w:hAnsi="Times New Roman"/>
        <w:i/>
        <w:lang w:val="en-US"/>
      </w:rPr>
      <w:t>DOI: https://doi.org/10.17576/mjas-2019-2306-zz</w:t>
    </w:r>
  </w:p>
  <w:p w:rsidR="00FC7D59" w:rsidRDefault="00FC7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59" w:rsidRPr="00426010" w:rsidRDefault="00FC7D59" w:rsidP="00426010">
    <w:pPr>
      <w:spacing w:after="0" w:line="240" w:lineRule="auto"/>
      <w:ind w:left="2160" w:hanging="2160"/>
      <w:outlineLvl w:val="0"/>
      <w:rPr>
        <w:rFonts w:ascii="Times New Roman" w:hAnsi="Times New Roman"/>
        <w:caps/>
        <w:sz w:val="20"/>
        <w:szCs w:val="20"/>
      </w:rPr>
    </w:pPr>
    <w:r>
      <w:rPr>
        <w:rFonts w:ascii="Times New Roman" w:hAnsi="Times New Roman"/>
        <w:sz w:val="20"/>
        <w:szCs w:val="20"/>
      </w:rPr>
      <w:t>Lim &amp; Che Abd Rahim</w:t>
    </w:r>
    <w:r w:rsidRPr="00426010">
      <w:rPr>
        <w:rFonts w:ascii="Times New Roman" w:hAnsi="Times New Roman"/>
        <w:sz w:val="20"/>
        <w:szCs w:val="20"/>
      </w:rPr>
      <w:t xml:space="preserve">:   </w:t>
    </w:r>
    <w:r>
      <w:rPr>
        <w:rFonts w:ascii="Times New Roman" w:hAnsi="Times New Roman"/>
        <w:sz w:val="20"/>
        <w:szCs w:val="20"/>
      </w:rPr>
      <w:tab/>
    </w:r>
    <w:r w:rsidRPr="00426010">
      <w:rPr>
        <w:rFonts w:ascii="Times New Roman" w:hAnsi="Times New Roman"/>
        <w:caps/>
        <w:sz w:val="20"/>
        <w:szCs w:val="20"/>
      </w:rPr>
      <w:t xml:space="preserve">Radioactivity of </w:t>
    </w:r>
    <w:r w:rsidRPr="00426010">
      <w:rPr>
        <w:rFonts w:ascii="Times New Roman" w:hAnsi="Times New Roman"/>
        <w:caps/>
        <w:sz w:val="20"/>
        <w:szCs w:val="20"/>
        <w:vertAlign w:val="superscript"/>
      </w:rPr>
      <w:t>210</w:t>
    </w:r>
    <w:r w:rsidRPr="00426010">
      <w:rPr>
        <w:rFonts w:ascii="Times New Roman" w:hAnsi="Times New Roman"/>
        <w:caps/>
        <w:sz w:val="20"/>
        <w:szCs w:val="20"/>
      </w:rPr>
      <w:t>P</w:t>
    </w:r>
    <w:r w:rsidRPr="00426010">
      <w:rPr>
        <w:rFonts w:ascii="Times New Roman" w:hAnsi="Times New Roman"/>
        <w:sz w:val="20"/>
        <w:szCs w:val="20"/>
      </w:rPr>
      <w:t>o</w:t>
    </w:r>
    <w:r w:rsidRPr="00426010">
      <w:rPr>
        <w:rFonts w:ascii="Times New Roman" w:hAnsi="Times New Roman"/>
        <w:caps/>
        <w:sz w:val="20"/>
        <w:szCs w:val="20"/>
      </w:rPr>
      <w:t xml:space="preserve"> in Green Mussels (</w:t>
    </w:r>
    <w:r w:rsidRPr="00426010">
      <w:rPr>
        <w:rFonts w:ascii="Times New Roman" w:hAnsi="Times New Roman"/>
        <w:i/>
        <w:sz w:val="20"/>
        <w:szCs w:val="20"/>
      </w:rPr>
      <w:t>Perna viridis</w:t>
    </w:r>
    <w:r w:rsidRPr="00426010">
      <w:rPr>
        <w:rFonts w:ascii="Times New Roman" w:hAnsi="Times New Roman"/>
        <w:caps/>
        <w:sz w:val="20"/>
        <w:szCs w:val="20"/>
      </w:rPr>
      <w:t>)</w:t>
    </w:r>
    <w:r>
      <w:rPr>
        <w:rFonts w:ascii="Times New Roman" w:hAnsi="Times New Roman"/>
        <w:caps/>
        <w:sz w:val="20"/>
        <w:szCs w:val="20"/>
      </w:rPr>
      <w:t xml:space="preserve"> </w:t>
    </w:r>
    <w:r w:rsidRPr="00426010">
      <w:rPr>
        <w:rFonts w:ascii="Times New Roman" w:hAnsi="Times New Roman"/>
        <w:caps/>
        <w:sz w:val="20"/>
        <w:szCs w:val="20"/>
      </w:rPr>
      <w:t>at the West Coast of Johore Straits, Malaysia</w:t>
    </w:r>
  </w:p>
  <w:p w:rsidR="00FC7D59" w:rsidRPr="00B75BF6" w:rsidRDefault="00FC7D59"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F9536E"/>
    <w:multiLevelType w:val="hybridMultilevel"/>
    <w:tmpl w:val="78A6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7208"/>
    <w:rsid w:val="00070690"/>
    <w:rsid w:val="00084936"/>
    <w:rsid w:val="000C49FF"/>
    <w:rsid w:val="000C5261"/>
    <w:rsid w:val="000D3A91"/>
    <w:rsid w:val="000E5AF1"/>
    <w:rsid w:val="000F77DA"/>
    <w:rsid w:val="001068E8"/>
    <w:rsid w:val="00117BCD"/>
    <w:rsid w:val="001D035A"/>
    <w:rsid w:val="001D3855"/>
    <w:rsid w:val="001D6F2C"/>
    <w:rsid w:val="001F72B9"/>
    <w:rsid w:val="00221D39"/>
    <w:rsid w:val="002B188F"/>
    <w:rsid w:val="002B3BD8"/>
    <w:rsid w:val="002F3F91"/>
    <w:rsid w:val="00304767"/>
    <w:rsid w:val="00304B34"/>
    <w:rsid w:val="00312C0E"/>
    <w:rsid w:val="00361BAF"/>
    <w:rsid w:val="00367D1F"/>
    <w:rsid w:val="00373A9B"/>
    <w:rsid w:val="0038323C"/>
    <w:rsid w:val="00383F26"/>
    <w:rsid w:val="0039005B"/>
    <w:rsid w:val="003D585B"/>
    <w:rsid w:val="003E7DA6"/>
    <w:rsid w:val="003F12FF"/>
    <w:rsid w:val="00426010"/>
    <w:rsid w:val="0045262E"/>
    <w:rsid w:val="004632AC"/>
    <w:rsid w:val="004760D4"/>
    <w:rsid w:val="00494C46"/>
    <w:rsid w:val="004B43FF"/>
    <w:rsid w:val="004D3AB4"/>
    <w:rsid w:val="004F01F1"/>
    <w:rsid w:val="00502464"/>
    <w:rsid w:val="00502641"/>
    <w:rsid w:val="00534441"/>
    <w:rsid w:val="00545363"/>
    <w:rsid w:val="00583C85"/>
    <w:rsid w:val="00584156"/>
    <w:rsid w:val="005C6768"/>
    <w:rsid w:val="005E501F"/>
    <w:rsid w:val="005F69C0"/>
    <w:rsid w:val="00624C7C"/>
    <w:rsid w:val="00634C25"/>
    <w:rsid w:val="00635A0A"/>
    <w:rsid w:val="006416AB"/>
    <w:rsid w:val="00672075"/>
    <w:rsid w:val="006768E9"/>
    <w:rsid w:val="00687982"/>
    <w:rsid w:val="00695D0E"/>
    <w:rsid w:val="006A3A0F"/>
    <w:rsid w:val="006B3EC8"/>
    <w:rsid w:val="006D695E"/>
    <w:rsid w:val="00725A6A"/>
    <w:rsid w:val="00730CB3"/>
    <w:rsid w:val="007703FE"/>
    <w:rsid w:val="007734EB"/>
    <w:rsid w:val="007859BE"/>
    <w:rsid w:val="007943F3"/>
    <w:rsid w:val="007A738C"/>
    <w:rsid w:val="007B1349"/>
    <w:rsid w:val="007E25BD"/>
    <w:rsid w:val="007F4ECC"/>
    <w:rsid w:val="00801E18"/>
    <w:rsid w:val="00802C35"/>
    <w:rsid w:val="00803024"/>
    <w:rsid w:val="0082181A"/>
    <w:rsid w:val="008B470E"/>
    <w:rsid w:val="008C14D6"/>
    <w:rsid w:val="008E1211"/>
    <w:rsid w:val="008E5BBF"/>
    <w:rsid w:val="008E6968"/>
    <w:rsid w:val="00A14DB9"/>
    <w:rsid w:val="00A4762A"/>
    <w:rsid w:val="00A74A7E"/>
    <w:rsid w:val="00A87399"/>
    <w:rsid w:val="00AD1B8A"/>
    <w:rsid w:val="00AD76AF"/>
    <w:rsid w:val="00AE713F"/>
    <w:rsid w:val="00B1121C"/>
    <w:rsid w:val="00B25B65"/>
    <w:rsid w:val="00B2770A"/>
    <w:rsid w:val="00B314AD"/>
    <w:rsid w:val="00B33DB5"/>
    <w:rsid w:val="00B36193"/>
    <w:rsid w:val="00B7255A"/>
    <w:rsid w:val="00B75BF6"/>
    <w:rsid w:val="00BA1F7B"/>
    <w:rsid w:val="00BB58AF"/>
    <w:rsid w:val="00BD2480"/>
    <w:rsid w:val="00BE2D36"/>
    <w:rsid w:val="00BE4CC0"/>
    <w:rsid w:val="00BE7C30"/>
    <w:rsid w:val="00C055BF"/>
    <w:rsid w:val="00C0756D"/>
    <w:rsid w:val="00C2226A"/>
    <w:rsid w:val="00C94D92"/>
    <w:rsid w:val="00C97340"/>
    <w:rsid w:val="00CA513F"/>
    <w:rsid w:val="00CB1B30"/>
    <w:rsid w:val="00CF05FF"/>
    <w:rsid w:val="00D340BB"/>
    <w:rsid w:val="00D46503"/>
    <w:rsid w:val="00D505D5"/>
    <w:rsid w:val="00D63C28"/>
    <w:rsid w:val="00D75B35"/>
    <w:rsid w:val="00D76E09"/>
    <w:rsid w:val="00D9736F"/>
    <w:rsid w:val="00D9792A"/>
    <w:rsid w:val="00DD377F"/>
    <w:rsid w:val="00E25547"/>
    <w:rsid w:val="00E2773B"/>
    <w:rsid w:val="00E3287E"/>
    <w:rsid w:val="00E66197"/>
    <w:rsid w:val="00E8191B"/>
    <w:rsid w:val="00EB5BA5"/>
    <w:rsid w:val="00EC3207"/>
    <w:rsid w:val="00EF4195"/>
    <w:rsid w:val="00F10EC3"/>
    <w:rsid w:val="00F202C3"/>
    <w:rsid w:val="00F23D94"/>
    <w:rsid w:val="00F31093"/>
    <w:rsid w:val="00F412AF"/>
    <w:rsid w:val="00F43667"/>
    <w:rsid w:val="00F447A7"/>
    <w:rsid w:val="00F467A2"/>
    <w:rsid w:val="00F97A81"/>
    <w:rsid w:val="00FB4C59"/>
    <w:rsid w:val="00FB4F34"/>
    <w:rsid w:val="00FC7D59"/>
    <w:rsid w:val="00FD63A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20F1-C714-455E-A820-A5F214E2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11</cp:revision>
  <dcterms:created xsi:type="dcterms:W3CDTF">2019-11-23T10:08:00Z</dcterms:created>
  <dcterms:modified xsi:type="dcterms:W3CDTF">2019-11-25T00:56:00Z</dcterms:modified>
</cp:coreProperties>
</file>