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A1278" w:rsidRDefault="006A1278" w:rsidP="006A1278">
      <w:pPr>
        <w:spacing w:after="0" w:line="240" w:lineRule="auto"/>
        <w:jc w:val="center"/>
        <w:rPr>
          <w:rFonts w:ascii="Times New Roman" w:hAnsi="Times New Roman"/>
          <w:sz w:val="28"/>
          <w:szCs w:val="28"/>
        </w:rPr>
      </w:pPr>
      <w:r w:rsidRPr="007200B8">
        <w:rPr>
          <w:rFonts w:ascii="Times New Roman" w:hAnsi="Times New Roman"/>
          <w:sz w:val="28"/>
          <w:szCs w:val="28"/>
        </w:rPr>
        <w:t>SOURCES AND COMPOSITION OF POLYCYCLIC AROMATIC HYDROCARBONS</w:t>
      </w:r>
      <w:r>
        <w:rPr>
          <w:rFonts w:ascii="Times New Roman" w:hAnsi="Times New Roman"/>
          <w:sz w:val="28"/>
          <w:szCs w:val="28"/>
        </w:rPr>
        <w:t xml:space="preserve"> </w:t>
      </w:r>
      <w:r w:rsidRPr="007200B8">
        <w:rPr>
          <w:rFonts w:ascii="Times New Roman" w:hAnsi="Times New Roman"/>
          <w:sz w:val="28"/>
          <w:szCs w:val="28"/>
        </w:rPr>
        <w:t xml:space="preserve">IN THE RIVER AND ESTUARIAL SEDIMENT </w:t>
      </w:r>
    </w:p>
    <w:p w:rsidR="006A1278" w:rsidRPr="007200B8" w:rsidRDefault="006A1278" w:rsidP="006A1278">
      <w:pPr>
        <w:spacing w:after="0" w:line="240" w:lineRule="auto"/>
        <w:jc w:val="center"/>
        <w:rPr>
          <w:rFonts w:ascii="Times New Roman" w:hAnsi="Times New Roman"/>
        </w:rPr>
      </w:pPr>
      <w:r w:rsidRPr="007200B8">
        <w:rPr>
          <w:rFonts w:ascii="Times New Roman" w:hAnsi="Times New Roman"/>
          <w:sz w:val="28"/>
          <w:szCs w:val="28"/>
        </w:rPr>
        <w:t>ALONG THE VICINITY OF KUALA KEDAH, MALAYSIA</w:t>
      </w:r>
    </w:p>
    <w:p w:rsidR="006A1278" w:rsidRPr="007200B8" w:rsidRDefault="006A1278" w:rsidP="006A1278">
      <w:pPr>
        <w:spacing w:after="0" w:line="240" w:lineRule="auto"/>
        <w:jc w:val="center"/>
        <w:rPr>
          <w:rFonts w:ascii="Times New Roman" w:hAnsi="Times New Roman"/>
          <w:b/>
          <w:sz w:val="24"/>
          <w:szCs w:val="24"/>
        </w:rPr>
      </w:pPr>
    </w:p>
    <w:p w:rsidR="006A1278" w:rsidRDefault="006A1278" w:rsidP="006A1278">
      <w:pPr>
        <w:spacing w:after="0" w:line="240" w:lineRule="auto"/>
        <w:jc w:val="center"/>
        <w:rPr>
          <w:rFonts w:ascii="Times New Roman" w:hAnsi="Times New Roman"/>
          <w:sz w:val="24"/>
          <w:szCs w:val="24"/>
          <w:lang w:val="ms-MY"/>
        </w:rPr>
      </w:pPr>
      <w:r w:rsidRPr="007200B8">
        <w:rPr>
          <w:rFonts w:ascii="Times New Roman" w:hAnsi="Times New Roman"/>
          <w:sz w:val="24"/>
          <w:szCs w:val="24"/>
        </w:rPr>
        <w:t>(</w:t>
      </w:r>
      <w:r w:rsidRPr="007200B8">
        <w:rPr>
          <w:rFonts w:ascii="Times New Roman" w:hAnsi="Times New Roman"/>
          <w:sz w:val="24"/>
          <w:szCs w:val="24"/>
          <w:lang w:val="ms-MY"/>
        </w:rPr>
        <w:t>Sumber dan Komposisi Hidrokarbon Aromatik Polisiklik</w:t>
      </w:r>
      <w:r>
        <w:rPr>
          <w:rFonts w:ascii="Times New Roman" w:hAnsi="Times New Roman"/>
          <w:sz w:val="24"/>
          <w:szCs w:val="24"/>
          <w:lang w:val="ms-MY"/>
        </w:rPr>
        <w:t xml:space="preserve"> </w:t>
      </w:r>
      <w:r w:rsidRPr="007200B8">
        <w:rPr>
          <w:rFonts w:ascii="Times New Roman" w:hAnsi="Times New Roman"/>
          <w:sz w:val="24"/>
          <w:szCs w:val="24"/>
          <w:lang w:val="ms-MY"/>
        </w:rPr>
        <w:t xml:space="preserve">dalam Sedimen Sungai dan Muara </w:t>
      </w:r>
    </w:p>
    <w:p w:rsidR="006A1278" w:rsidRPr="006A1278" w:rsidRDefault="006A1278" w:rsidP="006A1278">
      <w:pPr>
        <w:spacing w:after="0" w:line="240" w:lineRule="auto"/>
        <w:jc w:val="center"/>
        <w:rPr>
          <w:rFonts w:ascii="Times New Roman" w:hAnsi="Times New Roman"/>
          <w:sz w:val="24"/>
          <w:szCs w:val="24"/>
          <w:lang w:val="ms-MY"/>
        </w:rPr>
      </w:pPr>
      <w:r w:rsidRPr="007200B8">
        <w:rPr>
          <w:rFonts w:ascii="Times New Roman" w:hAnsi="Times New Roman"/>
          <w:sz w:val="24"/>
          <w:szCs w:val="24"/>
          <w:lang w:val="ms-MY"/>
        </w:rPr>
        <w:t>di Sepanjang Persekitaran Kuala Kedah, Malaysia</w:t>
      </w:r>
      <w:r w:rsidRPr="007200B8">
        <w:rPr>
          <w:rFonts w:ascii="Times New Roman" w:hAnsi="Times New Roman"/>
          <w:sz w:val="24"/>
          <w:szCs w:val="24"/>
        </w:rPr>
        <w:t>)</w:t>
      </w:r>
    </w:p>
    <w:p w:rsidR="006A1278" w:rsidRPr="006A1278" w:rsidRDefault="006A1278" w:rsidP="006A1278">
      <w:pPr>
        <w:spacing w:after="0" w:line="240" w:lineRule="auto"/>
        <w:jc w:val="center"/>
        <w:rPr>
          <w:rFonts w:ascii="Times New Roman" w:hAnsi="Times New Roman"/>
          <w:b/>
          <w:sz w:val="20"/>
          <w:szCs w:val="20"/>
        </w:rPr>
      </w:pPr>
    </w:p>
    <w:p w:rsidR="006A1278" w:rsidRPr="006A1278" w:rsidRDefault="006A1278" w:rsidP="006A1278">
      <w:pPr>
        <w:spacing w:after="0" w:line="240" w:lineRule="auto"/>
        <w:jc w:val="center"/>
        <w:rPr>
          <w:rFonts w:ascii="Times New Roman" w:hAnsi="Times New Roman"/>
          <w:sz w:val="20"/>
          <w:szCs w:val="20"/>
        </w:rPr>
      </w:pPr>
      <w:r w:rsidRPr="006A1278">
        <w:rPr>
          <w:rFonts w:ascii="Times New Roman" w:hAnsi="Times New Roman"/>
          <w:sz w:val="20"/>
          <w:szCs w:val="20"/>
        </w:rPr>
        <w:t>Terence Ricky Chiu</w:t>
      </w:r>
      <w:r w:rsidRPr="006A1278">
        <w:rPr>
          <w:rFonts w:ascii="Times New Roman" w:hAnsi="Times New Roman"/>
          <w:sz w:val="20"/>
          <w:szCs w:val="20"/>
          <w:vertAlign w:val="superscript"/>
        </w:rPr>
        <w:t>1</w:t>
      </w:r>
      <w:r w:rsidRPr="006A1278">
        <w:rPr>
          <w:rFonts w:ascii="Times New Roman" w:hAnsi="Times New Roman"/>
          <w:sz w:val="20"/>
          <w:szCs w:val="20"/>
        </w:rPr>
        <w:t xml:space="preserve"> and Masni Mohd Ali</w:t>
      </w:r>
      <w:r w:rsidRPr="006A1278">
        <w:rPr>
          <w:rFonts w:ascii="Times New Roman" w:hAnsi="Times New Roman"/>
          <w:sz w:val="20"/>
          <w:szCs w:val="20"/>
          <w:vertAlign w:val="superscript"/>
        </w:rPr>
        <w:t>1,2</w:t>
      </w:r>
      <w:r w:rsidRPr="006A1278">
        <w:rPr>
          <w:rFonts w:ascii="Times New Roman" w:hAnsi="Times New Roman"/>
          <w:sz w:val="20"/>
          <w:szCs w:val="20"/>
        </w:rPr>
        <w:t>*</w:t>
      </w:r>
    </w:p>
    <w:p w:rsidR="006A1278" w:rsidRPr="006A1278" w:rsidRDefault="006A1278" w:rsidP="006A1278">
      <w:pPr>
        <w:spacing w:after="0" w:line="240" w:lineRule="auto"/>
        <w:jc w:val="center"/>
        <w:rPr>
          <w:rFonts w:ascii="Times New Roman" w:hAnsi="Times New Roman"/>
          <w:b/>
          <w:sz w:val="18"/>
          <w:szCs w:val="18"/>
        </w:rPr>
      </w:pPr>
    </w:p>
    <w:p w:rsidR="006A1278" w:rsidRDefault="006A1278" w:rsidP="006A1278">
      <w:pPr>
        <w:spacing w:after="0" w:line="240" w:lineRule="auto"/>
        <w:jc w:val="center"/>
        <w:rPr>
          <w:rFonts w:ascii="Times New Roman" w:hAnsi="Times New Roman"/>
          <w:i/>
          <w:sz w:val="18"/>
          <w:szCs w:val="18"/>
        </w:rPr>
      </w:pPr>
      <w:r w:rsidRPr="006A1278">
        <w:rPr>
          <w:rFonts w:ascii="Times New Roman" w:hAnsi="Times New Roman"/>
          <w:i/>
          <w:sz w:val="18"/>
          <w:szCs w:val="18"/>
          <w:vertAlign w:val="superscript"/>
        </w:rPr>
        <w:t>1</w:t>
      </w:r>
      <w:r w:rsidRPr="006A1278">
        <w:rPr>
          <w:rFonts w:ascii="Times New Roman" w:hAnsi="Times New Roman"/>
          <w:i/>
          <w:sz w:val="18"/>
          <w:szCs w:val="18"/>
        </w:rPr>
        <w:t>School of Environmental and Natural Resource Sciences</w:t>
      </w:r>
      <w:r w:rsidRPr="006A1278">
        <w:rPr>
          <w:rFonts w:ascii="Times New Roman" w:hAnsi="Times New Roman"/>
          <w:sz w:val="18"/>
          <w:szCs w:val="18"/>
        </w:rPr>
        <w:t>,</w:t>
      </w:r>
      <w:r w:rsidRPr="006A1278">
        <w:rPr>
          <w:rFonts w:ascii="Times New Roman" w:hAnsi="Times New Roman"/>
          <w:i/>
          <w:sz w:val="18"/>
          <w:szCs w:val="18"/>
        </w:rPr>
        <w:t xml:space="preserve"> Faculty of Science and Technology, </w:t>
      </w:r>
    </w:p>
    <w:p w:rsidR="006A1278" w:rsidRPr="006A1278" w:rsidRDefault="006A1278" w:rsidP="006A1278">
      <w:pPr>
        <w:spacing w:after="0" w:line="240" w:lineRule="auto"/>
        <w:jc w:val="center"/>
        <w:rPr>
          <w:rFonts w:ascii="Times New Roman" w:hAnsi="Times New Roman"/>
          <w:i/>
          <w:sz w:val="18"/>
          <w:szCs w:val="18"/>
        </w:rPr>
      </w:pPr>
      <w:r w:rsidRPr="006A1278">
        <w:rPr>
          <w:rFonts w:ascii="Times New Roman" w:hAnsi="Times New Roman"/>
          <w:i/>
          <w:sz w:val="18"/>
          <w:szCs w:val="18"/>
        </w:rPr>
        <w:t>Universiti Kebangsaan Malaysia, 43600 UKM Bangi, Selangor, Malaysia</w:t>
      </w:r>
    </w:p>
    <w:p w:rsidR="006A1278" w:rsidRPr="006A1278" w:rsidRDefault="006A1278" w:rsidP="006A1278">
      <w:pPr>
        <w:spacing w:after="0" w:line="240" w:lineRule="auto"/>
        <w:jc w:val="center"/>
        <w:rPr>
          <w:rFonts w:ascii="Times New Roman" w:hAnsi="Times New Roman"/>
          <w:i/>
          <w:sz w:val="18"/>
          <w:szCs w:val="18"/>
        </w:rPr>
      </w:pPr>
      <w:r w:rsidRPr="006A1278">
        <w:rPr>
          <w:rFonts w:ascii="Times New Roman" w:hAnsi="Times New Roman"/>
          <w:i/>
          <w:sz w:val="18"/>
          <w:szCs w:val="18"/>
          <w:vertAlign w:val="superscript"/>
        </w:rPr>
        <w:t>2</w:t>
      </w:r>
      <w:r w:rsidRPr="006A1278">
        <w:rPr>
          <w:rFonts w:ascii="Times New Roman" w:hAnsi="Times New Roman"/>
          <w:i/>
          <w:sz w:val="18"/>
          <w:szCs w:val="18"/>
        </w:rPr>
        <w:t xml:space="preserve">Institute of Oceanography and Environment, </w:t>
      </w:r>
    </w:p>
    <w:p w:rsidR="006A1278" w:rsidRPr="006A1278" w:rsidRDefault="006A1278" w:rsidP="006A1278">
      <w:pPr>
        <w:spacing w:after="0" w:line="240" w:lineRule="auto"/>
        <w:jc w:val="center"/>
        <w:rPr>
          <w:rFonts w:ascii="Times New Roman" w:hAnsi="Times New Roman"/>
          <w:i/>
          <w:sz w:val="18"/>
          <w:szCs w:val="18"/>
        </w:rPr>
      </w:pPr>
      <w:r w:rsidRPr="006A1278">
        <w:rPr>
          <w:rFonts w:ascii="Times New Roman" w:hAnsi="Times New Roman"/>
          <w:i/>
          <w:sz w:val="18"/>
          <w:szCs w:val="18"/>
        </w:rPr>
        <w:t>Universiti Malaysia Terengganu,</w:t>
      </w:r>
      <w:r>
        <w:rPr>
          <w:rFonts w:ascii="Times New Roman" w:hAnsi="Times New Roman"/>
          <w:i/>
          <w:sz w:val="18"/>
          <w:szCs w:val="18"/>
        </w:rPr>
        <w:t xml:space="preserve"> </w:t>
      </w:r>
      <w:r w:rsidRPr="006A1278">
        <w:rPr>
          <w:rFonts w:ascii="Times New Roman" w:hAnsi="Times New Roman"/>
          <w:i/>
          <w:sz w:val="18"/>
          <w:szCs w:val="18"/>
        </w:rPr>
        <w:t>21030 Kuala Nerus, Terengganu, Malaysia</w:t>
      </w:r>
    </w:p>
    <w:p w:rsidR="006A1278" w:rsidRPr="006A1278" w:rsidRDefault="006A1278" w:rsidP="006A1278">
      <w:pPr>
        <w:spacing w:after="0" w:line="240" w:lineRule="auto"/>
        <w:jc w:val="center"/>
        <w:rPr>
          <w:rFonts w:ascii="Times New Roman" w:hAnsi="Times New Roman"/>
          <w:b/>
          <w:sz w:val="18"/>
          <w:szCs w:val="18"/>
        </w:rPr>
      </w:pPr>
    </w:p>
    <w:p w:rsidR="006A1278" w:rsidRPr="006A1278" w:rsidRDefault="006A1278" w:rsidP="006A1278">
      <w:pPr>
        <w:spacing w:after="0" w:line="240" w:lineRule="auto"/>
        <w:jc w:val="center"/>
        <w:rPr>
          <w:rFonts w:ascii="Times New Roman" w:hAnsi="Times New Roman"/>
          <w:i/>
          <w:sz w:val="18"/>
          <w:szCs w:val="18"/>
        </w:rPr>
      </w:pPr>
      <w:r w:rsidRPr="006A1278">
        <w:rPr>
          <w:rFonts w:ascii="Times New Roman" w:hAnsi="Times New Roman"/>
          <w:i/>
          <w:sz w:val="18"/>
          <w:szCs w:val="18"/>
        </w:rPr>
        <w:t>*Corresponding author: masni@ukm.edu.my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648DF">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A648DF">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A1278" w:rsidRPr="007200B8" w:rsidRDefault="006A1278" w:rsidP="006A1278">
      <w:pPr>
        <w:spacing w:after="0" w:line="240" w:lineRule="auto"/>
        <w:jc w:val="both"/>
        <w:rPr>
          <w:rFonts w:ascii="Times New Roman" w:hAnsi="Times New Roman"/>
          <w:sz w:val="18"/>
          <w:szCs w:val="18"/>
        </w:rPr>
      </w:pPr>
      <w:r w:rsidRPr="007200B8">
        <w:rPr>
          <w:rFonts w:ascii="Times New Roman" w:hAnsi="Times New Roman"/>
          <w:sz w:val="18"/>
          <w:szCs w:val="18"/>
        </w:rPr>
        <w:t>Sixteen surface sediment samples were taken along the vicinity of Kuala Kedah, especially the Kedah River and estuary areas. The surface sediments taken were identified and quantified by gas chromatography coupled with mass spectrometry (GC-MS). The knowledge and information gained from the study show that the concentration of individual Polycyclic Aromatic Hydrocarbon (PAH) compounds was known to be between 1.09 ng/g to 59.01 ng/g dry weight sediment. The river mouth sampling point was found to have the highest total PAHs concentration of 226.03 ng/g sediment dry weight. On the contrary, the S2 sampling point was found to have the lowest concentration of total PAHs with 7.20 ng/g sediment dry weight. Among all the incorporated sampling points, the highest number of an individual compound of PAHs found was that of benzo[ghi]perylene. On the other hand, acenaphthylene, which is another individual compound of PAHs, showed the lowest concentration. Apart from the estimation of the total and individual PAHs concentrations, the molecular indices and the Low Molecular Weight (LMW)/High Molecular Weight (HMW)</w:t>
      </w:r>
      <w:r>
        <w:rPr>
          <w:rFonts w:ascii="Times New Roman" w:hAnsi="Times New Roman"/>
          <w:sz w:val="18"/>
          <w:szCs w:val="18"/>
        </w:rPr>
        <w:t xml:space="preserve"> </w:t>
      </w:r>
      <w:r w:rsidRPr="007200B8">
        <w:rPr>
          <w:rFonts w:ascii="Times New Roman" w:hAnsi="Times New Roman"/>
          <w:sz w:val="18"/>
          <w:szCs w:val="18"/>
        </w:rPr>
        <w:t>of</w:t>
      </w:r>
      <w:r>
        <w:rPr>
          <w:rFonts w:ascii="Times New Roman" w:hAnsi="Times New Roman"/>
          <w:sz w:val="18"/>
          <w:szCs w:val="18"/>
        </w:rPr>
        <w:t xml:space="preserve"> </w:t>
      </w:r>
      <w:r w:rsidRPr="007200B8">
        <w:rPr>
          <w:rFonts w:ascii="Times New Roman" w:hAnsi="Times New Roman"/>
          <w:sz w:val="18"/>
          <w:szCs w:val="18"/>
        </w:rPr>
        <w:t>phenanthrene/anthracene and fluoranthene/pyrene were analyzed in this study to establish whether the sediment sources were pyrolytic or pyrogenic based. Lastly, based on the study of the sources of the PAHs, it was established that the study site’s sources consisted of mixed PAHs sources with a dominance of pyrogenic sources of fossil fuel combustion, vehicle engine combustion, open wood combustion and charcoal combustion; which were the main causes that contributed towards the diversity of sources in the sediments along the vicinity of Kuala Kedah river and estuary areas.</w:t>
      </w:r>
    </w:p>
    <w:p w:rsidR="006A1278" w:rsidRPr="007200B8" w:rsidRDefault="006A1278" w:rsidP="006A1278">
      <w:pPr>
        <w:spacing w:after="0" w:line="240" w:lineRule="auto"/>
        <w:jc w:val="both"/>
        <w:rPr>
          <w:rFonts w:ascii="Times New Roman" w:hAnsi="Times New Roman"/>
          <w:sz w:val="18"/>
          <w:szCs w:val="18"/>
        </w:rPr>
      </w:pPr>
    </w:p>
    <w:p w:rsidR="006A1278" w:rsidRPr="007200B8" w:rsidRDefault="006A1278" w:rsidP="006A1278">
      <w:pPr>
        <w:spacing w:after="0" w:line="240" w:lineRule="auto"/>
        <w:jc w:val="both"/>
        <w:rPr>
          <w:rFonts w:ascii="Times New Roman" w:hAnsi="Times New Roman"/>
          <w:sz w:val="18"/>
          <w:szCs w:val="18"/>
        </w:rPr>
      </w:pPr>
      <w:r w:rsidRPr="007200B8">
        <w:rPr>
          <w:rFonts w:ascii="Times New Roman" w:hAnsi="Times New Roman"/>
          <w:b/>
          <w:sz w:val="18"/>
          <w:szCs w:val="18"/>
        </w:rPr>
        <w:t>Keywords</w:t>
      </w:r>
      <w:r w:rsidRPr="007200B8">
        <w:rPr>
          <w:rFonts w:ascii="Times New Roman" w:hAnsi="Times New Roman"/>
          <w:sz w:val="18"/>
          <w:szCs w:val="18"/>
        </w:rPr>
        <w:t xml:space="preserve">: </w:t>
      </w:r>
      <w:r>
        <w:rPr>
          <w:rFonts w:ascii="Times New Roman" w:hAnsi="Times New Roman"/>
          <w:sz w:val="18"/>
          <w:szCs w:val="18"/>
        </w:rPr>
        <w:t xml:space="preserve"> </w:t>
      </w:r>
      <w:r w:rsidRPr="007200B8">
        <w:rPr>
          <w:rFonts w:ascii="Times New Roman" w:hAnsi="Times New Roman"/>
          <w:sz w:val="18"/>
          <w:szCs w:val="18"/>
        </w:rPr>
        <w:t>PAH</w:t>
      </w:r>
      <w:r>
        <w:rPr>
          <w:rFonts w:ascii="Times New Roman" w:hAnsi="Times New Roman"/>
          <w:sz w:val="18"/>
          <w:szCs w:val="18"/>
        </w:rPr>
        <w:t>s,</w:t>
      </w:r>
      <w:r w:rsidRPr="007200B8">
        <w:rPr>
          <w:rFonts w:ascii="Times New Roman" w:hAnsi="Times New Roman"/>
          <w:sz w:val="18"/>
          <w:szCs w:val="18"/>
        </w:rPr>
        <w:t xml:space="preserve"> surface sediments</w:t>
      </w:r>
      <w:r>
        <w:rPr>
          <w:rFonts w:ascii="Times New Roman" w:hAnsi="Times New Roman"/>
          <w:sz w:val="18"/>
          <w:szCs w:val="18"/>
        </w:rPr>
        <w:t>,</w:t>
      </w:r>
      <w:r w:rsidRPr="007200B8">
        <w:rPr>
          <w:rFonts w:ascii="Times New Roman" w:hAnsi="Times New Roman"/>
          <w:sz w:val="18"/>
          <w:szCs w:val="18"/>
        </w:rPr>
        <w:t xml:space="preserve"> molecular indices</w:t>
      </w:r>
      <w:r>
        <w:rPr>
          <w:rFonts w:ascii="Times New Roman" w:hAnsi="Times New Roman"/>
          <w:sz w:val="18"/>
          <w:szCs w:val="18"/>
        </w:rPr>
        <w:t>,</w:t>
      </w:r>
      <w:r w:rsidRPr="007200B8">
        <w:rPr>
          <w:rFonts w:ascii="Times New Roman" w:hAnsi="Times New Roman"/>
          <w:sz w:val="18"/>
          <w:szCs w:val="18"/>
        </w:rPr>
        <w:t xml:space="preserve"> pyrogenic, pyrolytic</w:t>
      </w:r>
      <w:r w:rsidRPr="007200B8">
        <w:rPr>
          <w:rFonts w:ascii="Times New Roman" w:hAnsi="Times New Roman"/>
          <w:b/>
          <w:sz w:val="18"/>
          <w:szCs w:val="18"/>
        </w:rPr>
        <w:t xml:space="preserve"> </w:t>
      </w:r>
    </w:p>
    <w:p w:rsidR="006A1278" w:rsidRPr="007200B8" w:rsidRDefault="006A1278" w:rsidP="006A1278">
      <w:pPr>
        <w:spacing w:after="0" w:line="240" w:lineRule="auto"/>
        <w:jc w:val="center"/>
        <w:rPr>
          <w:rFonts w:ascii="Times New Roman" w:hAnsi="Times New Roman"/>
          <w:b/>
          <w:sz w:val="18"/>
          <w:szCs w:val="18"/>
        </w:rPr>
      </w:pPr>
    </w:p>
    <w:p w:rsidR="006A1278" w:rsidRPr="007200B8" w:rsidRDefault="006A1278" w:rsidP="006A1278">
      <w:pPr>
        <w:spacing w:after="0" w:line="240" w:lineRule="auto"/>
        <w:jc w:val="center"/>
        <w:rPr>
          <w:rFonts w:ascii="Times New Roman" w:hAnsi="Times New Roman"/>
          <w:b/>
          <w:sz w:val="18"/>
          <w:szCs w:val="18"/>
          <w:lang w:val="ms-MY"/>
        </w:rPr>
      </w:pPr>
      <w:r w:rsidRPr="007200B8">
        <w:rPr>
          <w:rFonts w:ascii="Times New Roman" w:hAnsi="Times New Roman"/>
          <w:b/>
          <w:sz w:val="18"/>
          <w:szCs w:val="18"/>
          <w:lang w:val="ms-MY"/>
        </w:rPr>
        <w:t>Abstrak</w:t>
      </w:r>
    </w:p>
    <w:p w:rsidR="006A1278" w:rsidRPr="007200B8" w:rsidRDefault="006A1278" w:rsidP="006A1278">
      <w:pPr>
        <w:spacing w:after="0" w:line="240" w:lineRule="auto"/>
        <w:jc w:val="both"/>
        <w:rPr>
          <w:rFonts w:ascii="Times New Roman" w:hAnsi="Times New Roman"/>
          <w:sz w:val="18"/>
          <w:szCs w:val="18"/>
          <w:lang w:val="ms-MY"/>
        </w:rPr>
      </w:pPr>
      <w:r w:rsidRPr="007200B8">
        <w:rPr>
          <w:rFonts w:ascii="Times New Roman" w:hAnsi="Times New Roman"/>
          <w:sz w:val="18"/>
          <w:szCs w:val="18"/>
          <w:lang w:val="ms-MY"/>
        </w:rPr>
        <w:t>Enam belas sampel sedimen permukaan telah diambil di sekitar kawasan Kuala Kedah terutama di kawasan sungai dan muara. Sedimen permukaan yang di</w:t>
      </w:r>
      <w:r>
        <w:rPr>
          <w:rFonts w:ascii="Times New Roman" w:hAnsi="Times New Roman"/>
          <w:sz w:val="18"/>
          <w:szCs w:val="18"/>
          <w:lang w:val="ms-MY"/>
        </w:rPr>
        <w:t xml:space="preserve"> </w:t>
      </w:r>
      <w:r w:rsidRPr="007200B8">
        <w:rPr>
          <w:rFonts w:ascii="Times New Roman" w:hAnsi="Times New Roman"/>
          <w:sz w:val="18"/>
          <w:szCs w:val="18"/>
          <w:lang w:val="ms-MY"/>
        </w:rPr>
        <w:t>ambil ditentu dan dikuantifikasi oleh kromatografi gas</w:t>
      </w:r>
      <w:r>
        <w:rPr>
          <w:rFonts w:ascii="Times New Roman" w:hAnsi="Times New Roman"/>
          <w:sz w:val="18"/>
          <w:szCs w:val="18"/>
          <w:lang w:val="ms-MY"/>
        </w:rPr>
        <w:t>-</w:t>
      </w:r>
      <w:r w:rsidRPr="007200B8">
        <w:rPr>
          <w:rFonts w:ascii="Times New Roman" w:hAnsi="Times New Roman"/>
          <w:sz w:val="18"/>
          <w:szCs w:val="18"/>
          <w:lang w:val="ms-MY"/>
        </w:rPr>
        <w:t xml:space="preserve">spektrometri jisim (GC-MS). Maklumat yang diperoleh daripada kajian menunjukkan bahawa kepekatan individu sebatian </w:t>
      </w:r>
      <w:r>
        <w:rPr>
          <w:rFonts w:ascii="Times New Roman" w:hAnsi="Times New Roman"/>
          <w:sz w:val="18"/>
          <w:szCs w:val="18"/>
          <w:lang w:val="ms-MY"/>
        </w:rPr>
        <w:t>HAP</w:t>
      </w:r>
      <w:r w:rsidRPr="007200B8">
        <w:rPr>
          <w:rFonts w:ascii="Times New Roman" w:hAnsi="Times New Roman"/>
          <w:sz w:val="18"/>
          <w:szCs w:val="18"/>
          <w:lang w:val="ms-MY"/>
        </w:rPr>
        <w:t xml:space="preserve"> adalah antara 1.09 ng/g hingga 59.01 ng/g berat kering sedimen. Kawasan persampelan di mu</w:t>
      </w:r>
      <w:r>
        <w:rPr>
          <w:rFonts w:ascii="Times New Roman" w:hAnsi="Times New Roman"/>
          <w:sz w:val="18"/>
          <w:szCs w:val="18"/>
          <w:lang w:val="ms-MY"/>
        </w:rPr>
        <w:t>ara</w:t>
      </w:r>
      <w:r w:rsidRPr="007200B8">
        <w:rPr>
          <w:rFonts w:ascii="Times New Roman" w:hAnsi="Times New Roman"/>
          <w:sz w:val="18"/>
          <w:szCs w:val="18"/>
          <w:lang w:val="ms-MY"/>
        </w:rPr>
        <w:t xml:space="preserve"> sungai didapati mempunyai jumlah kepekatan tertinggi HAP iaitu 226.03 ng/g berat kering sedimen. Sebaliknya, titik pensampelan S2 mempunyai kepekatan HAP terendah dengan 7.20 ng/g berat kering sedimen. Bilangan tertinggi individu HAP yang dijumpai adalah benzo[ghi]perilena untuk keseluruhan titik pensampelan. Sebaliknya, </w:t>
      </w:r>
      <w:r>
        <w:rPr>
          <w:rFonts w:ascii="Times New Roman" w:hAnsi="Times New Roman"/>
          <w:sz w:val="18"/>
          <w:szCs w:val="18"/>
          <w:lang w:val="ms-MY"/>
        </w:rPr>
        <w:t xml:space="preserve">asenaftilena </w:t>
      </w:r>
      <w:r w:rsidRPr="007200B8">
        <w:rPr>
          <w:rFonts w:ascii="Times New Roman" w:hAnsi="Times New Roman"/>
          <w:sz w:val="18"/>
          <w:szCs w:val="18"/>
          <w:lang w:val="ms-MY"/>
        </w:rPr>
        <w:t>menunjukkan kepekatan yang paling rendah. Selain daripada anggaran jumlah dan kepekatan individu PAH, indeks molekul fenantrena/antrasena, benzo[a]antrasena/krisena,</w:t>
      </w:r>
      <w:r>
        <w:rPr>
          <w:rFonts w:ascii="Times New Roman" w:hAnsi="Times New Roman"/>
          <w:sz w:val="18"/>
          <w:szCs w:val="18"/>
          <w:lang w:val="ms-MY"/>
        </w:rPr>
        <w:t xml:space="preserve"> </w:t>
      </w:r>
      <w:r w:rsidRPr="007200B8">
        <w:rPr>
          <w:rFonts w:ascii="Times New Roman" w:hAnsi="Times New Roman"/>
          <w:sz w:val="18"/>
          <w:szCs w:val="18"/>
          <w:lang w:val="ms-MY"/>
        </w:rPr>
        <w:t>fluoranthen</w:t>
      </w:r>
      <w:r>
        <w:rPr>
          <w:rFonts w:ascii="Times New Roman" w:hAnsi="Times New Roman"/>
          <w:sz w:val="18"/>
          <w:szCs w:val="18"/>
          <w:lang w:val="ms-MY"/>
        </w:rPr>
        <w:t>a</w:t>
      </w:r>
      <w:r w:rsidRPr="007200B8">
        <w:rPr>
          <w:rFonts w:ascii="Times New Roman" w:hAnsi="Times New Roman"/>
          <w:sz w:val="18"/>
          <w:szCs w:val="18"/>
          <w:lang w:val="ms-MY"/>
        </w:rPr>
        <w:t xml:space="preserve">/pirena dan berat molekul rendah (BMR)/berat molekul tinggi (BMT) juga dianalisis dalam kajian ini untuk menentukan sama ada sumber sedimen adalah pirolitik atau pirogenik. Akhir sekali, berdasarkan penemuan sumber-sumber HAP, terbukti bahawa  sumber di kawasan kajian </w:t>
      </w:r>
      <w:r w:rsidRPr="007200B8">
        <w:rPr>
          <w:rFonts w:ascii="Times New Roman" w:hAnsi="Times New Roman"/>
          <w:sz w:val="18"/>
          <w:szCs w:val="18"/>
          <w:lang w:val="ms-MY"/>
        </w:rPr>
        <w:lastRenderedPageBreak/>
        <w:t>adalah sumber bercampur yang didominasi oleh sumber pirogenik oleh pembakaran bahan bakar fosil, pembakaran enjin kenderaan, pembakaran kayu terbuka dan pembakaran arang adalah penyebab yang menyumbang ke arah kepelbagaian sumber di sedimen di sepanjang kawasan sekitaran dan sungai muara Kuala Kedah.</w:t>
      </w:r>
    </w:p>
    <w:p w:rsidR="006A1278" w:rsidRPr="007200B8" w:rsidRDefault="006A1278" w:rsidP="006A1278">
      <w:pPr>
        <w:spacing w:after="0" w:line="240" w:lineRule="auto"/>
        <w:jc w:val="both"/>
        <w:rPr>
          <w:rFonts w:ascii="Times New Roman" w:hAnsi="Times New Roman"/>
          <w:sz w:val="18"/>
          <w:szCs w:val="18"/>
          <w:lang w:val="ms-MY"/>
        </w:rPr>
      </w:pPr>
    </w:p>
    <w:p w:rsidR="006A1278" w:rsidRPr="007200B8" w:rsidRDefault="006A1278" w:rsidP="006A1278">
      <w:pPr>
        <w:spacing w:after="0" w:line="240" w:lineRule="auto"/>
        <w:jc w:val="both"/>
        <w:rPr>
          <w:rFonts w:ascii="Times New Roman" w:hAnsi="Times New Roman"/>
          <w:sz w:val="18"/>
          <w:szCs w:val="18"/>
          <w:lang w:val="ms-MY"/>
        </w:rPr>
      </w:pPr>
      <w:r w:rsidRPr="007200B8">
        <w:rPr>
          <w:rFonts w:ascii="Times New Roman" w:hAnsi="Times New Roman"/>
          <w:b/>
          <w:sz w:val="18"/>
          <w:szCs w:val="18"/>
          <w:lang w:val="ms-MY"/>
        </w:rPr>
        <w:t>Kata kunci:</w:t>
      </w:r>
      <w:r w:rsidRPr="007200B8">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HAP,</w:t>
      </w:r>
      <w:r w:rsidRPr="007200B8">
        <w:rPr>
          <w:rFonts w:ascii="Times New Roman" w:hAnsi="Times New Roman"/>
          <w:sz w:val="18"/>
          <w:szCs w:val="18"/>
          <w:lang w:val="ms-MY"/>
        </w:rPr>
        <w:t xml:space="preserve"> sedimen permukaan</w:t>
      </w:r>
      <w:r>
        <w:rPr>
          <w:rFonts w:ascii="Times New Roman" w:hAnsi="Times New Roman"/>
          <w:sz w:val="18"/>
          <w:szCs w:val="18"/>
          <w:lang w:val="ms-MY"/>
        </w:rPr>
        <w:t>,</w:t>
      </w:r>
      <w:r w:rsidRPr="007200B8">
        <w:rPr>
          <w:rFonts w:ascii="Times New Roman" w:hAnsi="Times New Roman"/>
          <w:sz w:val="18"/>
          <w:szCs w:val="18"/>
          <w:lang w:val="ms-MY"/>
        </w:rPr>
        <w:t xml:space="preserve"> indeks molekular</w:t>
      </w:r>
      <w:r>
        <w:rPr>
          <w:rFonts w:ascii="Times New Roman" w:hAnsi="Times New Roman"/>
          <w:sz w:val="18"/>
          <w:szCs w:val="18"/>
          <w:lang w:val="ms-MY"/>
        </w:rPr>
        <w:t xml:space="preserve">, </w:t>
      </w:r>
      <w:r w:rsidRPr="007200B8">
        <w:rPr>
          <w:rFonts w:ascii="Times New Roman" w:hAnsi="Times New Roman"/>
          <w:sz w:val="18"/>
          <w:szCs w:val="18"/>
          <w:lang w:val="ms-MY"/>
        </w:rPr>
        <w:t>pirogenik</w:t>
      </w:r>
      <w:r>
        <w:rPr>
          <w:rFonts w:ascii="Times New Roman" w:hAnsi="Times New Roman"/>
          <w:sz w:val="18"/>
          <w:szCs w:val="18"/>
          <w:lang w:val="ms-MY"/>
        </w:rPr>
        <w:t>,</w:t>
      </w:r>
      <w:r w:rsidRPr="007200B8">
        <w:rPr>
          <w:rFonts w:ascii="Times New Roman" w:hAnsi="Times New Roman"/>
          <w:sz w:val="18"/>
          <w:szCs w:val="18"/>
          <w:lang w:val="ms-MY"/>
        </w:rPr>
        <w:t xml:space="preserve"> pirolitik</w:t>
      </w:r>
    </w:p>
    <w:p w:rsidR="006768E9" w:rsidRDefault="006768E9" w:rsidP="006A1278">
      <w:pPr>
        <w:spacing w:after="0" w:line="240" w:lineRule="auto"/>
        <w:jc w:val="center"/>
        <w:rPr>
          <w:rFonts w:ascii="Times New Roman" w:hAnsi="Times New Roman"/>
          <w:noProof/>
          <w:sz w:val="20"/>
          <w:szCs w:val="20"/>
          <w:lang w:bidi="ar-SA"/>
        </w:rPr>
      </w:pPr>
    </w:p>
    <w:p w:rsidR="00494C46" w:rsidRPr="00BE7C30" w:rsidRDefault="006A1278" w:rsidP="00F447A7">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 </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A1278" w:rsidRPr="006A1278" w:rsidRDefault="006A1278" w:rsidP="006A1278">
      <w:pPr>
        <w:spacing w:after="0" w:line="240" w:lineRule="auto"/>
        <w:jc w:val="both"/>
        <w:rPr>
          <w:rFonts w:ascii="Times New Roman" w:hAnsi="Times New Roman"/>
          <w:sz w:val="20"/>
          <w:szCs w:val="20"/>
        </w:rPr>
      </w:pPr>
      <w:r w:rsidRPr="006A1278">
        <w:rPr>
          <w:rFonts w:ascii="Times New Roman" w:hAnsi="Times New Roman"/>
          <w:sz w:val="20"/>
          <w:szCs w:val="20"/>
        </w:rPr>
        <w:t>Polycyclic Aromatic Hydrocarbons (PAHs) are pollutants of marine coastal sediments [1]. The US EPA Priority and European Union Pollutant List have included polycyclic aromatic hydrocarbons (PAHs) because they represent the major group of compounds that are carcinogenic, mutagenic and teratogenic [2, 3]. Petrogenic and pyrolytic are the most widely known anthropogenic sources and are usually widely distributed in marine environments [1]. Additionally, a lower molecular weight friction characterizes petrogenic pollution while the higher molecular weight of PAHs characterizes pyrolytic pollution [1]. Many studies have demonstrated that the sources of PAHs can be distinguished by the ratio of low molecular weight (LMW) PAHs to high molecular weight (HMW) PAHs [4-7].</w:t>
      </w:r>
    </w:p>
    <w:p w:rsidR="006A1278" w:rsidRPr="006A1278" w:rsidRDefault="006A1278" w:rsidP="006A1278">
      <w:pPr>
        <w:spacing w:after="0" w:line="240" w:lineRule="auto"/>
        <w:jc w:val="both"/>
        <w:rPr>
          <w:rFonts w:ascii="Times New Roman" w:hAnsi="Times New Roman"/>
          <w:sz w:val="20"/>
          <w:szCs w:val="20"/>
        </w:rPr>
      </w:pPr>
    </w:p>
    <w:p w:rsidR="006A1278" w:rsidRPr="006A1278" w:rsidRDefault="006A1278" w:rsidP="006A1278">
      <w:pPr>
        <w:spacing w:after="0" w:line="240" w:lineRule="auto"/>
        <w:jc w:val="both"/>
        <w:rPr>
          <w:rFonts w:ascii="Times New Roman" w:hAnsi="Times New Roman"/>
          <w:sz w:val="20"/>
          <w:szCs w:val="20"/>
        </w:rPr>
      </w:pPr>
      <w:r w:rsidRPr="006A1278">
        <w:rPr>
          <w:rFonts w:ascii="Times New Roman" w:hAnsi="Times New Roman"/>
          <w:sz w:val="20"/>
          <w:szCs w:val="20"/>
        </w:rPr>
        <w:t>In Malaysia, the marine environment is rapidly being exposed to threats from spills and grease contaminations [7, 8]. Previous studies that investigated the concentrations of PAHs around Malaysia, found PAHs that ranged from the lowest value of 2.1 ng/g in the Straits of Malacca near Port Dickson to the highest value of 1689 ng/g in the east coastal sea around Kelantan, Besut and Terengganu rivers [6, 7, 9]. Kuala Kedah’s estuary faces outwards towards the Straits of Malacca, which is the main route for large ships travelling from the east to the west or vice versa. Hence, the objectives of this study are to determine the characteristics and possible sources of PAH compounds in Sungai Kedah, Kuala Kedah, Malaysia. Kuala Kedah is a district and parliamentary constituency in Kota Setar District, Kedah, Malaysia. It is a fishing port, located at the mouth of the Kedah River, and serves as a terminus for ferries to the tourist island of Langkawi. It is home to a fort, Kota Kuala Kedah, which was built in 1770.</w:t>
      </w:r>
    </w:p>
    <w:p w:rsidR="006A1278" w:rsidRPr="006A1278" w:rsidRDefault="006A1278" w:rsidP="00C81BFE">
      <w:pPr>
        <w:spacing w:after="0" w:line="240" w:lineRule="auto"/>
        <w:jc w:val="center"/>
        <w:rPr>
          <w:rFonts w:ascii="Times New Roman" w:hAnsi="Times New Roman"/>
          <w:sz w:val="20"/>
          <w:szCs w:val="20"/>
        </w:rPr>
      </w:pPr>
    </w:p>
    <w:p w:rsidR="006A1278" w:rsidRPr="006A1278" w:rsidRDefault="006A1278" w:rsidP="00C81BFE">
      <w:pPr>
        <w:spacing w:after="0" w:line="240" w:lineRule="auto"/>
        <w:jc w:val="center"/>
        <w:rPr>
          <w:rFonts w:ascii="Times New Roman" w:hAnsi="Times New Roman"/>
          <w:b/>
          <w:sz w:val="20"/>
          <w:szCs w:val="20"/>
        </w:rPr>
      </w:pPr>
      <w:r w:rsidRPr="006A1278">
        <w:rPr>
          <w:rFonts w:ascii="Times New Roman" w:hAnsi="Times New Roman"/>
          <w:b/>
          <w:sz w:val="20"/>
          <w:szCs w:val="20"/>
        </w:rPr>
        <w:t>Materials and Methods</w:t>
      </w:r>
    </w:p>
    <w:p w:rsidR="006A1278" w:rsidRPr="006A1278" w:rsidRDefault="006A1278" w:rsidP="006A1278">
      <w:pPr>
        <w:spacing w:after="0" w:line="240" w:lineRule="auto"/>
        <w:jc w:val="both"/>
        <w:rPr>
          <w:rFonts w:ascii="Times New Roman" w:hAnsi="Times New Roman"/>
          <w:b/>
          <w:sz w:val="20"/>
          <w:szCs w:val="20"/>
        </w:rPr>
      </w:pPr>
      <w:r w:rsidRPr="006A1278">
        <w:rPr>
          <w:rFonts w:ascii="Times New Roman" w:hAnsi="Times New Roman"/>
          <w:b/>
          <w:sz w:val="20"/>
          <w:szCs w:val="20"/>
        </w:rPr>
        <w:t xml:space="preserve">Study area </w:t>
      </w:r>
    </w:p>
    <w:p w:rsidR="006A1278" w:rsidRPr="006A1278" w:rsidRDefault="006A1278" w:rsidP="006A1278">
      <w:pPr>
        <w:spacing w:after="0" w:line="240" w:lineRule="auto"/>
        <w:jc w:val="both"/>
        <w:rPr>
          <w:rFonts w:ascii="Times New Roman" w:hAnsi="Times New Roman"/>
          <w:sz w:val="20"/>
          <w:szCs w:val="20"/>
        </w:rPr>
      </w:pPr>
      <w:r w:rsidRPr="006A1278">
        <w:rPr>
          <w:rFonts w:ascii="Times New Roman" w:hAnsi="Times New Roman"/>
          <w:sz w:val="20"/>
          <w:szCs w:val="20"/>
        </w:rPr>
        <w:t xml:space="preserve">A total of sixteen sampling stations were established along the Kedah River from Kuala Kedah, Kedah to the area near the capital city of Alor Setar, Kedah (Figure 1 and Table 1). Surface sediment was collected from each of these sampling stations using a PONAR grab. All the samples were then preserved in pre-cleaned glass jars. All the samples were frozen at 4 °C prior to analysis. </w:t>
      </w:r>
    </w:p>
    <w:p w:rsidR="006A1278" w:rsidRPr="006A1278" w:rsidRDefault="006A1278" w:rsidP="00C81BFE">
      <w:pPr>
        <w:spacing w:after="120" w:line="240" w:lineRule="auto"/>
        <w:jc w:val="both"/>
        <w:rPr>
          <w:rFonts w:ascii="Times New Roman" w:hAnsi="Times New Roman"/>
          <w:sz w:val="20"/>
          <w:szCs w:val="20"/>
        </w:rPr>
      </w:pPr>
    </w:p>
    <w:p w:rsidR="006A1278" w:rsidRPr="006A1278" w:rsidRDefault="006A1278" w:rsidP="00C81BFE">
      <w:pPr>
        <w:spacing w:after="120" w:line="240" w:lineRule="auto"/>
        <w:jc w:val="center"/>
        <w:rPr>
          <w:rFonts w:ascii="Times New Roman" w:hAnsi="Times New Roman"/>
          <w:b/>
          <w:sz w:val="20"/>
          <w:szCs w:val="20"/>
        </w:rPr>
      </w:pPr>
      <w:r w:rsidRPr="006A1278">
        <w:rPr>
          <w:rFonts w:ascii="Times New Roman" w:hAnsi="Times New Roman"/>
          <w:b/>
          <w:noProof/>
          <w:sz w:val="20"/>
          <w:szCs w:val="20"/>
          <w:lang w:val="en-MY" w:eastAsia="en-MY" w:bidi="ar-SA"/>
        </w:rPr>
        <w:drawing>
          <wp:inline distT="0" distB="0" distL="0" distR="0" wp14:anchorId="7C238363" wp14:editId="79746B4A">
            <wp:extent cx="4320000" cy="2700000"/>
            <wp:effectExtent l="19050" t="19050" r="23495" b="24765"/>
            <wp:docPr id="13" name="image1.png" descr="C:\Users\trc9292\Dropbox\Documents\Research\Terence's PhD Thesis\Figures &amp; Maps\sg kedah kuala kedah-bi (S10 fixed).jpg"/>
            <wp:cNvGraphicFramePr/>
            <a:graphic xmlns:a="http://schemas.openxmlformats.org/drawingml/2006/main">
              <a:graphicData uri="http://schemas.openxmlformats.org/drawingml/2006/picture">
                <pic:pic xmlns:pic="http://schemas.openxmlformats.org/drawingml/2006/picture">
                  <pic:nvPicPr>
                    <pic:cNvPr id="0" name="image1.png" descr="C:\Users\trc9292\Dropbox\Documents\Research\Terence's PhD Thesis\Figures &amp; Maps\sg kedah kuala kedah-bi (S10 fixed).jpg"/>
                    <pic:cNvPicPr preferRelativeResize="0"/>
                  </pic:nvPicPr>
                  <pic:blipFill>
                    <a:blip r:embed="rId11"/>
                    <a:srcRect/>
                    <a:stretch>
                      <a:fillRect/>
                    </a:stretch>
                  </pic:blipFill>
                  <pic:spPr>
                    <a:xfrm>
                      <a:off x="0" y="0"/>
                      <a:ext cx="4320000" cy="2700000"/>
                    </a:xfrm>
                    <a:prstGeom prst="rect">
                      <a:avLst/>
                    </a:prstGeom>
                    <a:ln w="6350">
                      <a:solidFill>
                        <a:schemeClr val="tx1"/>
                      </a:solidFill>
                    </a:ln>
                  </pic:spPr>
                </pic:pic>
              </a:graphicData>
            </a:graphic>
          </wp:inline>
        </w:drawing>
      </w:r>
    </w:p>
    <w:p w:rsidR="006A1278" w:rsidRPr="006A1278" w:rsidRDefault="006A1278" w:rsidP="00C81BFE">
      <w:pPr>
        <w:spacing w:after="0" w:line="240" w:lineRule="auto"/>
        <w:jc w:val="center"/>
        <w:rPr>
          <w:rFonts w:ascii="Times New Roman" w:hAnsi="Times New Roman"/>
          <w:sz w:val="20"/>
          <w:szCs w:val="20"/>
        </w:rPr>
      </w:pPr>
      <w:r w:rsidRPr="006A1278">
        <w:rPr>
          <w:rFonts w:ascii="Times New Roman" w:hAnsi="Times New Roman"/>
          <w:sz w:val="20"/>
          <w:szCs w:val="20"/>
        </w:rPr>
        <w:t xml:space="preserve">Figure 1. </w:t>
      </w:r>
      <w:r w:rsidR="00C81BFE">
        <w:rPr>
          <w:rFonts w:ascii="Times New Roman" w:hAnsi="Times New Roman"/>
          <w:sz w:val="20"/>
          <w:szCs w:val="20"/>
        </w:rPr>
        <w:t xml:space="preserve"> </w:t>
      </w:r>
      <w:r w:rsidRPr="006A1278">
        <w:rPr>
          <w:rFonts w:ascii="Times New Roman" w:hAnsi="Times New Roman"/>
          <w:sz w:val="20"/>
          <w:szCs w:val="20"/>
        </w:rPr>
        <w:t>Sampling stations at the study area</w:t>
      </w:r>
    </w:p>
    <w:p w:rsidR="006A1278" w:rsidRPr="006A1278" w:rsidRDefault="006A1278" w:rsidP="00C81BFE">
      <w:pPr>
        <w:spacing w:after="120" w:line="240" w:lineRule="auto"/>
        <w:jc w:val="center"/>
        <w:rPr>
          <w:rFonts w:ascii="Times New Roman" w:hAnsi="Times New Roman"/>
          <w:sz w:val="20"/>
          <w:szCs w:val="20"/>
        </w:rPr>
      </w:pPr>
      <w:r w:rsidRPr="006A1278">
        <w:rPr>
          <w:rFonts w:ascii="Times New Roman" w:hAnsi="Times New Roman"/>
          <w:sz w:val="20"/>
          <w:szCs w:val="20"/>
        </w:rPr>
        <w:lastRenderedPageBreak/>
        <w:t xml:space="preserve">Table 1.  </w:t>
      </w:r>
      <w:r w:rsidR="00C81BFE">
        <w:rPr>
          <w:rFonts w:ascii="Times New Roman" w:hAnsi="Times New Roman"/>
          <w:sz w:val="20"/>
          <w:szCs w:val="20"/>
        </w:rPr>
        <w:t xml:space="preserve"> </w:t>
      </w:r>
      <w:r w:rsidRPr="006A1278">
        <w:rPr>
          <w:rFonts w:ascii="Times New Roman" w:hAnsi="Times New Roman"/>
          <w:sz w:val="20"/>
          <w:szCs w:val="20"/>
        </w:rPr>
        <w:t>Description of sampling stations around Kuala Kedah, Kedah</w:t>
      </w:r>
    </w:p>
    <w:tbl>
      <w:tblPr>
        <w:tblW w:w="0" w:type="auto"/>
        <w:jc w:val="center"/>
        <w:tblLook w:val="0400" w:firstRow="0" w:lastRow="0" w:firstColumn="0" w:lastColumn="0" w:noHBand="0" w:noVBand="1"/>
      </w:tblPr>
      <w:tblGrid>
        <w:gridCol w:w="742"/>
        <w:gridCol w:w="2244"/>
        <w:gridCol w:w="2289"/>
        <w:gridCol w:w="1045"/>
        <w:gridCol w:w="1245"/>
      </w:tblGrid>
      <w:tr w:rsidR="006A1278" w:rsidRPr="006A1278" w:rsidTr="00C81BFE">
        <w:trPr>
          <w:trHeight w:val="360"/>
          <w:jc w:val="center"/>
        </w:trPr>
        <w:tc>
          <w:tcPr>
            <w:tcW w:w="0" w:type="auto"/>
            <w:tcBorders>
              <w:top w:val="single" w:sz="4" w:space="0" w:color="auto"/>
              <w:left w:val="nil"/>
              <w:bottom w:val="single" w:sz="4" w:space="0" w:color="auto"/>
              <w:right w:val="nil"/>
            </w:tcBorders>
            <w:shd w:val="clear" w:color="auto" w:fill="auto"/>
            <w:vAlign w:val="bottom"/>
          </w:tcPr>
          <w:p w:rsidR="006A1278" w:rsidRPr="006A1278" w:rsidRDefault="006A1278" w:rsidP="00C81BFE">
            <w:pPr>
              <w:spacing w:after="180" w:line="240" w:lineRule="auto"/>
              <w:ind w:right="-86"/>
              <w:rPr>
                <w:rFonts w:ascii="Times New Roman" w:hAnsi="Times New Roman"/>
                <w:b/>
                <w:sz w:val="20"/>
                <w:szCs w:val="20"/>
              </w:rPr>
            </w:pPr>
            <w:r w:rsidRPr="006A1278">
              <w:rPr>
                <w:rFonts w:ascii="Times New Roman" w:hAnsi="Times New Roman"/>
                <w:b/>
                <w:sz w:val="20"/>
                <w:szCs w:val="20"/>
              </w:rPr>
              <w:t xml:space="preserve">Station </w:t>
            </w:r>
          </w:p>
        </w:tc>
        <w:tc>
          <w:tcPr>
            <w:tcW w:w="0" w:type="auto"/>
            <w:tcBorders>
              <w:top w:val="single" w:sz="4" w:space="0" w:color="auto"/>
              <w:left w:val="nil"/>
              <w:bottom w:val="single" w:sz="4" w:space="0" w:color="auto"/>
              <w:right w:val="nil"/>
            </w:tcBorders>
            <w:shd w:val="clear" w:color="auto" w:fill="auto"/>
            <w:vAlign w:val="bottom"/>
          </w:tcPr>
          <w:p w:rsidR="006A1278" w:rsidRPr="006A1278" w:rsidRDefault="006A1278" w:rsidP="00C81BFE">
            <w:pPr>
              <w:spacing w:before="60" w:after="0" w:line="240" w:lineRule="auto"/>
              <w:rPr>
                <w:rFonts w:ascii="Times New Roman" w:hAnsi="Times New Roman"/>
                <w:b/>
                <w:sz w:val="20"/>
                <w:szCs w:val="20"/>
              </w:rPr>
            </w:pPr>
            <w:r w:rsidRPr="006A1278">
              <w:rPr>
                <w:rFonts w:ascii="Times New Roman" w:hAnsi="Times New Roman"/>
                <w:b/>
                <w:sz w:val="20"/>
                <w:szCs w:val="20"/>
              </w:rPr>
              <w:t xml:space="preserve">Descriptions </w:t>
            </w:r>
          </w:p>
          <w:p w:rsidR="006A1278" w:rsidRPr="006A1278" w:rsidRDefault="006A1278" w:rsidP="00C81BFE">
            <w:pPr>
              <w:spacing w:after="60" w:line="240" w:lineRule="auto"/>
              <w:rPr>
                <w:rFonts w:ascii="Times New Roman" w:hAnsi="Times New Roman"/>
                <w:b/>
                <w:sz w:val="20"/>
                <w:szCs w:val="20"/>
              </w:rPr>
            </w:pPr>
            <w:r w:rsidRPr="006A1278">
              <w:rPr>
                <w:rFonts w:ascii="Times New Roman" w:hAnsi="Times New Roman"/>
                <w:b/>
                <w:sz w:val="20"/>
                <w:szCs w:val="20"/>
              </w:rPr>
              <w:t>of Sampling Stations</w:t>
            </w:r>
          </w:p>
        </w:tc>
        <w:tc>
          <w:tcPr>
            <w:tcW w:w="0" w:type="auto"/>
            <w:tcBorders>
              <w:top w:val="single" w:sz="4" w:space="0" w:color="auto"/>
              <w:left w:val="nil"/>
              <w:bottom w:val="single" w:sz="4" w:space="0" w:color="auto"/>
              <w:right w:val="nil"/>
            </w:tcBorders>
            <w:shd w:val="clear" w:color="auto" w:fill="auto"/>
            <w:vAlign w:val="bottom"/>
          </w:tcPr>
          <w:p w:rsidR="006A1278" w:rsidRPr="006A1278" w:rsidRDefault="006A1278" w:rsidP="00C81BFE">
            <w:pPr>
              <w:spacing w:after="0" w:line="240" w:lineRule="auto"/>
              <w:jc w:val="center"/>
              <w:rPr>
                <w:rFonts w:ascii="Times New Roman" w:hAnsi="Times New Roman"/>
                <w:b/>
                <w:sz w:val="20"/>
                <w:szCs w:val="20"/>
              </w:rPr>
            </w:pPr>
            <w:r w:rsidRPr="006A1278">
              <w:rPr>
                <w:rFonts w:ascii="Times New Roman" w:hAnsi="Times New Roman"/>
                <w:b/>
                <w:sz w:val="20"/>
                <w:szCs w:val="20"/>
              </w:rPr>
              <w:t>Depth of Water Column</w:t>
            </w:r>
          </w:p>
          <w:p w:rsidR="006A1278" w:rsidRPr="006A1278" w:rsidRDefault="006A1278" w:rsidP="00C81BFE">
            <w:pPr>
              <w:spacing w:after="60" w:line="240" w:lineRule="auto"/>
              <w:jc w:val="center"/>
              <w:rPr>
                <w:rFonts w:ascii="Times New Roman" w:hAnsi="Times New Roman"/>
                <w:b/>
                <w:sz w:val="20"/>
                <w:szCs w:val="20"/>
              </w:rPr>
            </w:pPr>
            <w:r w:rsidRPr="006A1278">
              <w:rPr>
                <w:rFonts w:ascii="Times New Roman" w:hAnsi="Times New Roman"/>
                <w:b/>
                <w:sz w:val="20"/>
                <w:szCs w:val="20"/>
              </w:rPr>
              <w:t>(m)</w:t>
            </w:r>
          </w:p>
        </w:tc>
        <w:tc>
          <w:tcPr>
            <w:tcW w:w="0" w:type="auto"/>
            <w:tcBorders>
              <w:top w:val="single" w:sz="4" w:space="0" w:color="auto"/>
              <w:left w:val="nil"/>
              <w:bottom w:val="single" w:sz="4" w:space="0" w:color="auto"/>
              <w:right w:val="nil"/>
            </w:tcBorders>
            <w:shd w:val="clear" w:color="auto" w:fill="auto"/>
            <w:vAlign w:val="bottom"/>
          </w:tcPr>
          <w:p w:rsidR="006A1278" w:rsidRPr="006A1278" w:rsidRDefault="006A1278" w:rsidP="00C81BFE">
            <w:pPr>
              <w:spacing w:after="0" w:line="240" w:lineRule="auto"/>
              <w:jc w:val="center"/>
              <w:rPr>
                <w:rFonts w:ascii="Times New Roman" w:hAnsi="Times New Roman"/>
                <w:b/>
                <w:sz w:val="20"/>
                <w:szCs w:val="20"/>
              </w:rPr>
            </w:pPr>
            <w:r w:rsidRPr="006A1278">
              <w:rPr>
                <w:rFonts w:ascii="Times New Roman" w:hAnsi="Times New Roman"/>
                <w:b/>
                <w:sz w:val="20"/>
                <w:szCs w:val="20"/>
              </w:rPr>
              <w:t>Latitude</w:t>
            </w:r>
          </w:p>
          <w:p w:rsidR="006A1278" w:rsidRPr="006A1278" w:rsidRDefault="006A1278" w:rsidP="00C81BFE">
            <w:pPr>
              <w:spacing w:after="60" w:line="240" w:lineRule="auto"/>
              <w:jc w:val="center"/>
              <w:rPr>
                <w:rFonts w:ascii="Times New Roman" w:hAnsi="Times New Roman"/>
                <w:b/>
                <w:sz w:val="20"/>
                <w:szCs w:val="20"/>
              </w:rPr>
            </w:pPr>
            <w:r w:rsidRPr="006A1278">
              <w:rPr>
                <w:rFonts w:ascii="Times New Roman" w:hAnsi="Times New Roman"/>
                <w:b/>
                <w:sz w:val="20"/>
                <w:szCs w:val="20"/>
              </w:rPr>
              <w:t>(N)</w:t>
            </w:r>
          </w:p>
        </w:tc>
        <w:tc>
          <w:tcPr>
            <w:tcW w:w="0" w:type="auto"/>
            <w:tcBorders>
              <w:top w:val="single" w:sz="4" w:space="0" w:color="auto"/>
              <w:left w:val="nil"/>
              <w:bottom w:val="single" w:sz="4" w:space="0" w:color="auto"/>
              <w:right w:val="nil"/>
            </w:tcBorders>
            <w:shd w:val="clear" w:color="auto" w:fill="auto"/>
            <w:vAlign w:val="bottom"/>
          </w:tcPr>
          <w:p w:rsidR="006A1278" w:rsidRPr="006A1278" w:rsidRDefault="006A1278" w:rsidP="00C81BFE">
            <w:pPr>
              <w:spacing w:after="0" w:line="240" w:lineRule="auto"/>
              <w:jc w:val="center"/>
              <w:rPr>
                <w:rFonts w:ascii="Times New Roman" w:hAnsi="Times New Roman"/>
                <w:b/>
                <w:sz w:val="20"/>
                <w:szCs w:val="20"/>
              </w:rPr>
            </w:pPr>
            <w:r w:rsidRPr="006A1278">
              <w:rPr>
                <w:rFonts w:ascii="Times New Roman" w:hAnsi="Times New Roman"/>
                <w:b/>
                <w:sz w:val="20"/>
                <w:szCs w:val="20"/>
              </w:rPr>
              <w:t>Longitude</w:t>
            </w:r>
          </w:p>
          <w:p w:rsidR="006A1278" w:rsidRPr="006A1278" w:rsidRDefault="006A1278" w:rsidP="00C81BFE">
            <w:pPr>
              <w:spacing w:after="60" w:line="240" w:lineRule="auto"/>
              <w:jc w:val="center"/>
              <w:rPr>
                <w:rFonts w:ascii="Times New Roman" w:hAnsi="Times New Roman"/>
                <w:b/>
                <w:sz w:val="20"/>
                <w:szCs w:val="20"/>
              </w:rPr>
            </w:pPr>
            <w:r w:rsidRPr="006A1278">
              <w:rPr>
                <w:rFonts w:ascii="Times New Roman" w:hAnsi="Times New Roman"/>
                <w:b/>
                <w:sz w:val="20"/>
                <w:szCs w:val="20"/>
              </w:rPr>
              <w:t>(E )</w:t>
            </w:r>
          </w:p>
        </w:tc>
      </w:tr>
      <w:tr w:rsidR="006A1278" w:rsidRPr="006A1278" w:rsidTr="00C81BFE">
        <w:trPr>
          <w:trHeight w:val="70"/>
          <w:jc w:val="center"/>
        </w:trPr>
        <w:tc>
          <w:tcPr>
            <w:tcW w:w="0" w:type="auto"/>
            <w:tcBorders>
              <w:top w:val="single" w:sz="4" w:space="0" w:color="auto"/>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w:t>
            </w:r>
          </w:p>
        </w:tc>
        <w:tc>
          <w:tcPr>
            <w:tcW w:w="0" w:type="auto"/>
            <w:tcBorders>
              <w:top w:val="single" w:sz="4" w:space="0" w:color="auto"/>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Residential Area</w:t>
            </w:r>
          </w:p>
        </w:tc>
        <w:tc>
          <w:tcPr>
            <w:tcW w:w="0" w:type="auto"/>
            <w:tcBorders>
              <w:top w:val="single" w:sz="4" w:space="0" w:color="auto"/>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5.8</w:t>
            </w:r>
          </w:p>
        </w:tc>
        <w:tc>
          <w:tcPr>
            <w:tcW w:w="0" w:type="auto"/>
            <w:tcBorders>
              <w:top w:val="single" w:sz="4" w:space="0" w:color="auto"/>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7.007’</w:t>
            </w:r>
          </w:p>
        </w:tc>
        <w:tc>
          <w:tcPr>
            <w:tcW w:w="0" w:type="auto"/>
            <w:tcBorders>
              <w:top w:val="single" w:sz="4" w:space="0" w:color="auto"/>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100º20.876’</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2</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Residential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3.6</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7.154’</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100º19.687’</w:t>
            </w:r>
          </w:p>
        </w:tc>
      </w:tr>
      <w:tr w:rsidR="006A1278" w:rsidRPr="006A1278" w:rsidTr="008C3619">
        <w:trPr>
          <w:trHeight w:val="62"/>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3</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Residential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2.8</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6.043’</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100º18.958’</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4</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Residential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4.9</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6.659’</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100º18.708’</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5</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Residential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4.7</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6.529’</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100º17.580’</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6</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River Mouth (Jetty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3.0</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6.382’</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100º17.123’</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7</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Coastal Area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0.8</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7.385’</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100º16.019’</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8</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6.6</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7.657’</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100º14.546’</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9</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11.6</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7.094’</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13.313’</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10</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2.4</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5.686’</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14.802’</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11</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13.7</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5.239’</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13.323’</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12</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12.1</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3.413’</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14.378’</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13</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4.7</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4.521’</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15.764’</w:t>
            </w:r>
          </w:p>
        </w:tc>
      </w:tr>
      <w:tr w:rsidR="006A1278" w:rsidRPr="006A1278" w:rsidTr="008C3619">
        <w:trPr>
          <w:trHeight w:val="45"/>
          <w:jc w:val="center"/>
        </w:trPr>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14</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Open Sea</w:t>
            </w:r>
          </w:p>
        </w:tc>
        <w:tc>
          <w:tcPr>
            <w:tcW w:w="0" w:type="auto"/>
            <w:tcBorders>
              <w:top w:val="nil"/>
              <w:left w:val="nil"/>
              <w:bottom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8.5</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3.121’</w:t>
            </w:r>
          </w:p>
        </w:tc>
        <w:tc>
          <w:tcPr>
            <w:tcW w:w="0" w:type="auto"/>
            <w:tcBorders>
              <w:top w:val="nil"/>
              <w:left w:val="nil"/>
              <w:bottom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16.486’</w:t>
            </w:r>
          </w:p>
        </w:tc>
      </w:tr>
      <w:tr w:rsidR="006A1278" w:rsidRPr="006A1278" w:rsidTr="00C81BFE">
        <w:trPr>
          <w:trHeight w:val="45"/>
          <w:jc w:val="center"/>
        </w:trPr>
        <w:tc>
          <w:tcPr>
            <w:tcW w:w="0" w:type="auto"/>
            <w:tcBorders>
              <w:top w:val="nil"/>
              <w:left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15</w:t>
            </w:r>
          </w:p>
        </w:tc>
        <w:tc>
          <w:tcPr>
            <w:tcW w:w="0" w:type="auto"/>
            <w:tcBorders>
              <w:top w:val="nil"/>
              <w:left w:val="nil"/>
              <w:right w:val="nil"/>
            </w:tcBorders>
            <w:shd w:val="clear" w:color="auto" w:fill="auto"/>
            <w:vAlign w:val="bottom"/>
          </w:tcPr>
          <w:p w:rsidR="006A1278" w:rsidRPr="00C81BFE" w:rsidRDefault="006A1278" w:rsidP="00C81BFE">
            <w:pPr>
              <w:spacing w:before="60" w:after="0" w:line="240" w:lineRule="auto"/>
              <w:rPr>
                <w:rFonts w:ascii="Times New Roman" w:hAnsi="Times New Roman"/>
                <w:sz w:val="20"/>
                <w:szCs w:val="20"/>
              </w:rPr>
            </w:pPr>
            <w:r w:rsidRPr="00C81BFE">
              <w:rPr>
                <w:rFonts w:ascii="Times New Roman" w:hAnsi="Times New Roman"/>
                <w:sz w:val="20"/>
                <w:szCs w:val="20"/>
              </w:rPr>
              <w:t>Coastal Area</w:t>
            </w:r>
          </w:p>
        </w:tc>
        <w:tc>
          <w:tcPr>
            <w:tcW w:w="0" w:type="auto"/>
            <w:tcBorders>
              <w:top w:val="nil"/>
              <w:left w:val="nil"/>
              <w:right w:val="nil"/>
            </w:tcBorders>
            <w:shd w:val="clear" w:color="auto" w:fill="auto"/>
            <w:vAlign w:val="bottom"/>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2.6</w:t>
            </w:r>
          </w:p>
        </w:tc>
        <w:tc>
          <w:tcPr>
            <w:tcW w:w="0" w:type="auto"/>
            <w:tcBorders>
              <w:top w:val="nil"/>
              <w:left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06º 4.681’</w:t>
            </w:r>
          </w:p>
        </w:tc>
        <w:tc>
          <w:tcPr>
            <w:tcW w:w="0" w:type="auto"/>
            <w:tcBorders>
              <w:top w:val="nil"/>
              <w:left w:val="nil"/>
              <w:right w:val="nil"/>
            </w:tcBorders>
            <w:shd w:val="clear" w:color="auto" w:fill="auto"/>
            <w:vAlign w:val="center"/>
          </w:tcPr>
          <w:p w:rsidR="006A1278" w:rsidRPr="00C81BFE" w:rsidRDefault="006A1278" w:rsidP="00C81BFE">
            <w:pPr>
              <w:spacing w:before="60" w:after="0" w:line="240" w:lineRule="auto"/>
              <w:jc w:val="center"/>
              <w:rPr>
                <w:rFonts w:ascii="Times New Roman" w:hAnsi="Times New Roman"/>
                <w:sz w:val="20"/>
                <w:szCs w:val="20"/>
              </w:rPr>
            </w:pPr>
            <w:r w:rsidRPr="00C81BFE">
              <w:rPr>
                <w:rFonts w:ascii="Times New Roman" w:hAnsi="Times New Roman"/>
                <w:sz w:val="20"/>
                <w:szCs w:val="20"/>
              </w:rPr>
              <w:t>100º 17.278’</w:t>
            </w:r>
          </w:p>
        </w:tc>
      </w:tr>
      <w:tr w:rsidR="006A1278" w:rsidRPr="006A1278" w:rsidTr="00C81BFE">
        <w:trPr>
          <w:trHeight w:val="45"/>
          <w:jc w:val="center"/>
        </w:trPr>
        <w:tc>
          <w:tcPr>
            <w:tcW w:w="0" w:type="auto"/>
            <w:tcBorders>
              <w:top w:val="nil"/>
              <w:left w:val="nil"/>
              <w:bottom w:val="single" w:sz="4" w:space="0" w:color="auto"/>
              <w:right w:val="nil"/>
            </w:tcBorders>
            <w:shd w:val="clear" w:color="auto" w:fill="auto"/>
            <w:vAlign w:val="bottom"/>
          </w:tcPr>
          <w:p w:rsidR="006A1278" w:rsidRPr="00C81BFE" w:rsidRDefault="006A1278" w:rsidP="00C81BFE">
            <w:pPr>
              <w:spacing w:before="60" w:after="60" w:line="240" w:lineRule="auto"/>
              <w:rPr>
                <w:rFonts w:ascii="Times New Roman" w:hAnsi="Times New Roman"/>
                <w:sz w:val="20"/>
                <w:szCs w:val="20"/>
              </w:rPr>
            </w:pPr>
            <w:r w:rsidRPr="00C81BFE">
              <w:rPr>
                <w:rFonts w:ascii="Times New Roman" w:hAnsi="Times New Roman"/>
                <w:sz w:val="20"/>
                <w:szCs w:val="20"/>
              </w:rPr>
              <w:t>16</w:t>
            </w:r>
          </w:p>
        </w:tc>
        <w:tc>
          <w:tcPr>
            <w:tcW w:w="0" w:type="auto"/>
            <w:tcBorders>
              <w:top w:val="nil"/>
              <w:left w:val="nil"/>
              <w:bottom w:val="single" w:sz="4" w:space="0" w:color="auto"/>
              <w:right w:val="nil"/>
            </w:tcBorders>
            <w:shd w:val="clear" w:color="auto" w:fill="auto"/>
            <w:vAlign w:val="bottom"/>
          </w:tcPr>
          <w:p w:rsidR="006A1278" w:rsidRPr="00C81BFE" w:rsidRDefault="006A1278" w:rsidP="00C81BFE">
            <w:pPr>
              <w:spacing w:before="60" w:after="60" w:line="240" w:lineRule="auto"/>
              <w:rPr>
                <w:rFonts w:ascii="Times New Roman" w:hAnsi="Times New Roman"/>
                <w:sz w:val="20"/>
                <w:szCs w:val="20"/>
              </w:rPr>
            </w:pPr>
            <w:r w:rsidRPr="00C81BFE">
              <w:rPr>
                <w:rFonts w:ascii="Times New Roman" w:hAnsi="Times New Roman"/>
                <w:sz w:val="20"/>
                <w:szCs w:val="20"/>
              </w:rPr>
              <w:t>River Mouth</w:t>
            </w:r>
          </w:p>
        </w:tc>
        <w:tc>
          <w:tcPr>
            <w:tcW w:w="0" w:type="auto"/>
            <w:tcBorders>
              <w:top w:val="nil"/>
              <w:left w:val="nil"/>
              <w:bottom w:val="single" w:sz="4" w:space="0" w:color="auto"/>
              <w:right w:val="nil"/>
            </w:tcBorders>
            <w:shd w:val="clear" w:color="auto" w:fill="auto"/>
            <w:vAlign w:val="bottom"/>
          </w:tcPr>
          <w:p w:rsidR="006A1278" w:rsidRPr="00C81BFE" w:rsidRDefault="006A1278" w:rsidP="00C81BFE">
            <w:pPr>
              <w:spacing w:before="60" w:after="60" w:line="240" w:lineRule="auto"/>
              <w:jc w:val="center"/>
              <w:rPr>
                <w:rFonts w:ascii="Times New Roman" w:hAnsi="Times New Roman"/>
                <w:sz w:val="20"/>
                <w:szCs w:val="20"/>
              </w:rPr>
            </w:pPr>
            <w:r w:rsidRPr="00C81BFE">
              <w:rPr>
                <w:rFonts w:ascii="Times New Roman" w:hAnsi="Times New Roman"/>
                <w:sz w:val="20"/>
                <w:szCs w:val="20"/>
              </w:rPr>
              <w:t>1.7</w:t>
            </w:r>
          </w:p>
        </w:tc>
        <w:tc>
          <w:tcPr>
            <w:tcW w:w="0" w:type="auto"/>
            <w:tcBorders>
              <w:top w:val="nil"/>
              <w:left w:val="nil"/>
              <w:bottom w:val="single" w:sz="4" w:space="0" w:color="auto"/>
              <w:right w:val="nil"/>
            </w:tcBorders>
            <w:shd w:val="clear" w:color="auto" w:fill="auto"/>
            <w:vAlign w:val="center"/>
          </w:tcPr>
          <w:p w:rsidR="006A1278" w:rsidRPr="00C81BFE" w:rsidRDefault="006A1278" w:rsidP="00C81BFE">
            <w:pPr>
              <w:spacing w:before="60" w:after="60" w:line="240" w:lineRule="auto"/>
              <w:jc w:val="center"/>
              <w:rPr>
                <w:rFonts w:ascii="Times New Roman" w:hAnsi="Times New Roman"/>
                <w:sz w:val="20"/>
                <w:szCs w:val="20"/>
              </w:rPr>
            </w:pPr>
            <w:r w:rsidRPr="00C81BFE">
              <w:rPr>
                <w:rFonts w:ascii="Times New Roman" w:hAnsi="Times New Roman"/>
                <w:sz w:val="20"/>
                <w:szCs w:val="20"/>
              </w:rPr>
              <w:t>06º 6.043’</w:t>
            </w:r>
          </w:p>
        </w:tc>
        <w:tc>
          <w:tcPr>
            <w:tcW w:w="0" w:type="auto"/>
            <w:tcBorders>
              <w:top w:val="nil"/>
              <w:left w:val="nil"/>
              <w:bottom w:val="single" w:sz="4" w:space="0" w:color="auto"/>
              <w:right w:val="nil"/>
            </w:tcBorders>
            <w:shd w:val="clear" w:color="auto" w:fill="auto"/>
            <w:vAlign w:val="center"/>
          </w:tcPr>
          <w:p w:rsidR="006A1278" w:rsidRPr="00C81BFE" w:rsidRDefault="006A1278" w:rsidP="00C81BFE">
            <w:pPr>
              <w:spacing w:before="60" w:after="60" w:line="240" w:lineRule="auto"/>
              <w:jc w:val="center"/>
              <w:rPr>
                <w:rFonts w:ascii="Times New Roman" w:hAnsi="Times New Roman"/>
                <w:sz w:val="20"/>
                <w:szCs w:val="20"/>
              </w:rPr>
            </w:pPr>
            <w:r w:rsidRPr="00C81BFE">
              <w:rPr>
                <w:rFonts w:ascii="Times New Roman" w:hAnsi="Times New Roman"/>
                <w:sz w:val="20"/>
                <w:szCs w:val="20"/>
              </w:rPr>
              <w:t>100º18.958’</w:t>
            </w:r>
          </w:p>
        </w:tc>
      </w:tr>
    </w:tbl>
    <w:p w:rsidR="006A1278" w:rsidRPr="006A1278" w:rsidRDefault="006A1278" w:rsidP="00C81BFE">
      <w:pPr>
        <w:pBdr>
          <w:top w:val="nil"/>
          <w:left w:val="nil"/>
          <w:bottom w:val="nil"/>
          <w:right w:val="nil"/>
          <w:between w:val="nil"/>
        </w:pBdr>
        <w:spacing w:after="120" w:line="240" w:lineRule="auto"/>
        <w:jc w:val="both"/>
        <w:rPr>
          <w:rFonts w:ascii="Times New Roman" w:hAnsi="Times New Roman"/>
          <w:b/>
          <w:sz w:val="20"/>
          <w:szCs w:val="20"/>
        </w:rPr>
      </w:pPr>
    </w:p>
    <w:p w:rsidR="006A1278" w:rsidRPr="006A1278" w:rsidRDefault="006A1278" w:rsidP="006A1278">
      <w:pPr>
        <w:pBdr>
          <w:top w:val="nil"/>
          <w:left w:val="nil"/>
          <w:bottom w:val="nil"/>
          <w:right w:val="nil"/>
          <w:between w:val="nil"/>
        </w:pBdr>
        <w:spacing w:after="0" w:line="240" w:lineRule="auto"/>
        <w:jc w:val="both"/>
        <w:rPr>
          <w:rFonts w:ascii="Times New Roman" w:hAnsi="Times New Roman"/>
          <w:b/>
          <w:sz w:val="20"/>
          <w:szCs w:val="20"/>
        </w:rPr>
      </w:pPr>
      <w:r w:rsidRPr="006A1278">
        <w:rPr>
          <w:rFonts w:ascii="Times New Roman" w:hAnsi="Times New Roman"/>
          <w:b/>
          <w:sz w:val="20"/>
          <w:szCs w:val="20"/>
        </w:rPr>
        <w:t>PAHs extraction</w:t>
      </w:r>
    </w:p>
    <w:p w:rsidR="006A1278" w:rsidRPr="006A1278" w:rsidRDefault="006A1278" w:rsidP="006A1278">
      <w:pPr>
        <w:pBdr>
          <w:top w:val="nil"/>
          <w:left w:val="nil"/>
          <w:bottom w:val="nil"/>
          <w:right w:val="nil"/>
          <w:between w:val="nil"/>
        </w:pBdr>
        <w:spacing w:after="0" w:line="240" w:lineRule="auto"/>
        <w:jc w:val="both"/>
        <w:rPr>
          <w:rFonts w:ascii="Times New Roman" w:hAnsi="Times New Roman"/>
          <w:b/>
          <w:sz w:val="20"/>
          <w:szCs w:val="20"/>
        </w:rPr>
      </w:pPr>
      <w:r w:rsidRPr="006A1278">
        <w:rPr>
          <w:rFonts w:ascii="Times New Roman" w:hAnsi="Times New Roman"/>
          <w:sz w:val="20"/>
          <w:szCs w:val="20"/>
        </w:rPr>
        <w:t xml:space="preserve">A total of 20 g of sediment sample was taken from each station and mixed with sodium anhydrous to eliminate the water content. The dried sample was put into a thimble extractor (30 mm x 150 mm) and extracted with dichloromethane for about 10 hours. About 250 mL of dichloromethane was put into a round bottom flask and was heated to 60 </w:t>
      </w:r>
      <w:r w:rsidRPr="006A1278">
        <w:rPr>
          <w:rFonts w:ascii="Times New Roman" w:hAnsi="Times New Roman"/>
          <w:sz w:val="20"/>
          <w:szCs w:val="20"/>
          <w:vertAlign w:val="superscript"/>
        </w:rPr>
        <w:t>o</w:t>
      </w:r>
      <w:r w:rsidRPr="006A1278">
        <w:rPr>
          <w:rFonts w:ascii="Times New Roman" w:hAnsi="Times New Roman"/>
          <w:sz w:val="20"/>
          <w:szCs w:val="20"/>
        </w:rPr>
        <w:t xml:space="preserve">C using a heater. After 10 hours, the extract was evaporated to near dryness by using a rotary evaporator. The residue was later diluted with dichloromethane and was transferred into a 5 mL vial. This residue is known as the Total Extractable Lipid (TEL). The TEL extracts were divided through two stages of silica gel column chromatography. The concentrated sample was then transferred into the silica gel column and washed with 2 mL (0.4 mL, 0.3 mL, 0.3 mL, 0.5 mL and 0.5 mL) hexane/dichloromethane (3:1), subsequently followed by 18 mL hexane/dichloromethane (3:1). </w:t>
      </w:r>
    </w:p>
    <w:p w:rsidR="006A1278" w:rsidRPr="006A1278" w:rsidRDefault="006A1278" w:rsidP="006A1278">
      <w:pPr>
        <w:spacing w:after="0" w:line="240" w:lineRule="auto"/>
        <w:jc w:val="both"/>
        <w:rPr>
          <w:rFonts w:ascii="Times New Roman" w:hAnsi="Times New Roman"/>
          <w:sz w:val="20"/>
          <w:szCs w:val="20"/>
        </w:rPr>
      </w:pPr>
    </w:p>
    <w:p w:rsidR="006A1278" w:rsidRPr="006A1278" w:rsidRDefault="006A1278" w:rsidP="006A1278">
      <w:pPr>
        <w:spacing w:after="0" w:line="240" w:lineRule="auto"/>
        <w:jc w:val="both"/>
        <w:rPr>
          <w:rFonts w:ascii="Times New Roman" w:hAnsi="Times New Roman"/>
          <w:sz w:val="20"/>
          <w:szCs w:val="20"/>
        </w:rPr>
      </w:pPr>
      <w:r w:rsidRPr="006A1278">
        <w:rPr>
          <w:rFonts w:ascii="Times New Roman" w:hAnsi="Times New Roman"/>
          <w:sz w:val="20"/>
          <w:szCs w:val="20"/>
        </w:rPr>
        <w:t xml:space="preserve">Hydrocarbons that ranged from n-alkanes to PAHs were then collected into a conical flask. Eluent from the first step chromatography was then concentrated by the rotary evaporator, and the PAH fraction was collected with 14 mL mixture of hexane/dichloromethane (3:1). The PAH fraction was labeled and stored in the freezer for further analysis. The PAH sample was then transferred to a 1 mL vial and injected to determine the concentration of PAH compounds. It then underwent the process of nitrogen blowdown evaporation and was refilled with distilled n-hexane prior to injection into the GC-MS (GC, 6890N coupled with 5975C MSD, Agilent, USA). The carrier gas used was helium at a fixed rate of 1 mL/min with a pressure of 158 kpa. An HP-5 fused silica capillary column (30 m × 0.25 mm i.d. and 0.25 um thickness) was used to separate the compounds in split-less mode at 270 °C. It was found that the GC temperature gradient was at 40 °C, then had increased at 8 °C/min to 150 °C, then at 5 °C/min to 310 °C, and finally had held for about 10 minutes. The GC-MS operating conditions were 70eV ionization potential with an MS source at 230 °C for 1.4 scans/sec, and an electron multiplier at 1400 V with the dwell time set to 40 sec. The interface temperature was 280 °C, while the injector temperature was maintained at 250 °C. The 18 PAHs were quantified based on their retention time and the ion m/z ratio of the native standard PAHs. </w:t>
      </w:r>
    </w:p>
    <w:p w:rsidR="006A1278" w:rsidRDefault="006A1278" w:rsidP="006A1278">
      <w:pPr>
        <w:spacing w:after="0" w:line="240" w:lineRule="auto"/>
        <w:jc w:val="both"/>
        <w:rPr>
          <w:rFonts w:ascii="Times New Roman" w:hAnsi="Times New Roman"/>
          <w:sz w:val="20"/>
          <w:szCs w:val="20"/>
        </w:rPr>
      </w:pPr>
    </w:p>
    <w:p w:rsidR="00C81BFE" w:rsidRDefault="00C81BFE" w:rsidP="006A1278">
      <w:pPr>
        <w:spacing w:after="0" w:line="240" w:lineRule="auto"/>
        <w:jc w:val="both"/>
        <w:rPr>
          <w:rFonts w:ascii="Times New Roman" w:hAnsi="Times New Roman"/>
          <w:sz w:val="20"/>
          <w:szCs w:val="20"/>
        </w:rPr>
      </w:pPr>
    </w:p>
    <w:p w:rsidR="00C81BFE" w:rsidRPr="006A1278" w:rsidRDefault="00C81BFE" w:rsidP="006A1278">
      <w:pPr>
        <w:spacing w:after="0" w:line="240" w:lineRule="auto"/>
        <w:jc w:val="both"/>
        <w:rPr>
          <w:rFonts w:ascii="Times New Roman" w:hAnsi="Times New Roman"/>
          <w:sz w:val="20"/>
          <w:szCs w:val="20"/>
        </w:rPr>
      </w:pPr>
    </w:p>
    <w:p w:rsidR="006A1278" w:rsidRPr="006A1278" w:rsidRDefault="006A1278" w:rsidP="006A1278">
      <w:pPr>
        <w:spacing w:after="0" w:line="240" w:lineRule="auto"/>
        <w:jc w:val="both"/>
        <w:rPr>
          <w:rFonts w:ascii="Times New Roman" w:hAnsi="Times New Roman"/>
          <w:b/>
          <w:sz w:val="20"/>
          <w:szCs w:val="20"/>
        </w:rPr>
      </w:pPr>
      <w:r w:rsidRPr="006A1278">
        <w:rPr>
          <w:rFonts w:ascii="Times New Roman" w:hAnsi="Times New Roman"/>
          <w:b/>
          <w:sz w:val="20"/>
          <w:szCs w:val="20"/>
        </w:rPr>
        <w:lastRenderedPageBreak/>
        <w:t>Quality control and assurance</w:t>
      </w:r>
    </w:p>
    <w:p w:rsidR="006A1278" w:rsidRPr="006A1278" w:rsidRDefault="006A1278" w:rsidP="006A1278">
      <w:pPr>
        <w:spacing w:after="0" w:line="240" w:lineRule="auto"/>
        <w:jc w:val="both"/>
        <w:rPr>
          <w:rFonts w:ascii="Times New Roman" w:hAnsi="Times New Roman"/>
          <w:sz w:val="20"/>
          <w:szCs w:val="20"/>
        </w:rPr>
      </w:pPr>
      <w:r w:rsidRPr="006A1278">
        <w:rPr>
          <w:rFonts w:ascii="Times New Roman" w:hAnsi="Times New Roman"/>
          <w:sz w:val="20"/>
          <w:szCs w:val="20"/>
        </w:rPr>
        <w:t>To confidently confirm the precision of the sample analyses, several pre-detection steps were applied. Firstly, any cross-contamination that might have happened during the research was eradicated. This simultaneously involved the processing of blank and environmental samples. The validation of PAH peaks was determined based on the compatibility of the retention time of each and the abundance of quantification ions of individual PAHs with the 18 PAHs mixture, coupled with the surrogate standard. Apart from that, 5 points of external standard calibration curves (L20950018AL, Dr. Ehrenstorfer GmbH, Germany) were conducted in the range of 0.1 ppm-1.0 ppm, with a correlation coefficient higher than 0.990. The method detection limit (MDL) was also obtained to ensure the limit detection for each PAH. The MDL for naphthalene, acenaphthene, fluorene, phenanthrene, anthracene, fluoranthene, pyrene, benzo[k]fluoranthene, benzo[e] pyrene, indeno[1,2,3-cd]pyrene and benzo[ghi]perylene were 0.72, 1.22, 0.06, 2.08, 1.17, 1.05, 0.88, 1.11, 1.12, 1.17 and 0.72, respectively. The recoveries for phenanthrene and chrysene were 68.66% and 87.00%, respectively.</w:t>
      </w:r>
    </w:p>
    <w:p w:rsidR="006768E9" w:rsidRPr="00F447A7" w:rsidRDefault="006768E9" w:rsidP="006A12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81BFE" w:rsidRPr="00C81BFE" w:rsidRDefault="00C81BFE" w:rsidP="00C81BFE">
      <w:pPr>
        <w:spacing w:after="0" w:line="240" w:lineRule="auto"/>
        <w:jc w:val="both"/>
        <w:rPr>
          <w:rFonts w:ascii="Times New Roman" w:hAnsi="Times New Roman"/>
          <w:b/>
          <w:sz w:val="20"/>
          <w:szCs w:val="20"/>
        </w:rPr>
      </w:pPr>
      <w:r w:rsidRPr="00C81BFE">
        <w:rPr>
          <w:rFonts w:ascii="Times New Roman" w:hAnsi="Times New Roman"/>
          <w:b/>
          <w:sz w:val="20"/>
          <w:szCs w:val="20"/>
        </w:rPr>
        <w:t>Composition of PAHs</w:t>
      </w:r>
    </w:p>
    <w:p w:rsidR="00C81BFE" w:rsidRPr="00C81BFE" w:rsidRDefault="00C81BFE" w:rsidP="00C81BFE">
      <w:pPr>
        <w:spacing w:after="0" w:line="240" w:lineRule="auto"/>
        <w:jc w:val="both"/>
        <w:rPr>
          <w:rFonts w:ascii="Times New Roman" w:hAnsi="Times New Roman"/>
          <w:sz w:val="20"/>
          <w:szCs w:val="20"/>
        </w:rPr>
      </w:pPr>
      <w:r w:rsidRPr="00C81BFE">
        <w:rPr>
          <w:rFonts w:ascii="Times New Roman" w:hAnsi="Times New Roman"/>
          <w:sz w:val="20"/>
          <w:szCs w:val="20"/>
        </w:rPr>
        <w:t>Concentration of individual compounds ranged from 1.09 ng/g to 59.01 ng/g dry weight sediment as seen in Table</w:t>
      </w:r>
      <w:r w:rsidR="0044193C">
        <w:rPr>
          <w:rFonts w:ascii="Times New Roman" w:hAnsi="Times New Roman"/>
          <w:sz w:val="20"/>
          <w:szCs w:val="20"/>
        </w:rPr>
        <w:t>s</w:t>
      </w:r>
      <w:r w:rsidRPr="00C81BFE">
        <w:rPr>
          <w:rFonts w:ascii="Times New Roman" w:hAnsi="Times New Roman"/>
          <w:sz w:val="20"/>
          <w:szCs w:val="20"/>
        </w:rPr>
        <w:t xml:space="preserve"> 2 and 3. The highest total PAH concentration was detected in S6, which was 226.03 ng/g dry weight sediment; while the lowest concentration was detected in S3, which was 7.20 ng/g dry weight sediment. This is because S6 is located at the river’s estuary where all the sediments are transported </w:t>
      </w:r>
      <w:r w:rsidRPr="00C81BFE">
        <w:rPr>
          <w:rFonts w:ascii="Times New Roman" w:hAnsi="Times New Roman"/>
          <w:i/>
          <w:sz w:val="20"/>
          <w:szCs w:val="20"/>
        </w:rPr>
        <w:t>via</w:t>
      </w:r>
      <w:r w:rsidRPr="00C81BFE">
        <w:rPr>
          <w:rFonts w:ascii="Times New Roman" w:hAnsi="Times New Roman"/>
          <w:sz w:val="20"/>
          <w:szCs w:val="20"/>
        </w:rPr>
        <w:t xml:space="preserve"> the river, which flows to the sea and as such the sediments are deposited here. Based on Figure 2, it was also observed that the total concentration of PAHs was lower in the residential areas in S1, S2, S3, S4 and S5, with the concentration value ranging from 7.20 ng/g-39.35 ng/g, compared to the jetty areas and the open sea, where the concentration value ranged from 13.91 ng/g-226.04 ng/g. This result is supported by Claudine et al. [10], who reported in their findings that PAHs in the residential areas are often lower than the jetty areas, which usually experience a high traffic of water vehicle activities. </w:t>
      </w:r>
    </w:p>
    <w:p w:rsidR="00C81BFE" w:rsidRPr="00C81BFE" w:rsidRDefault="00C81BFE" w:rsidP="000F40A8">
      <w:pPr>
        <w:spacing w:after="120" w:line="240" w:lineRule="auto"/>
        <w:jc w:val="both"/>
        <w:rPr>
          <w:rFonts w:ascii="Times New Roman" w:hAnsi="Times New Roman"/>
          <w:sz w:val="20"/>
          <w:szCs w:val="20"/>
        </w:rPr>
      </w:pPr>
    </w:p>
    <w:p w:rsidR="00C81BFE" w:rsidRPr="00C81BFE" w:rsidRDefault="00C81BFE" w:rsidP="000F40A8">
      <w:pPr>
        <w:tabs>
          <w:tab w:val="left" w:pos="1232"/>
        </w:tabs>
        <w:spacing w:after="120" w:line="240" w:lineRule="auto"/>
        <w:jc w:val="center"/>
        <w:rPr>
          <w:rFonts w:ascii="Times New Roman" w:hAnsi="Times New Roman"/>
          <w:sz w:val="20"/>
          <w:szCs w:val="20"/>
        </w:rPr>
      </w:pPr>
      <w:r w:rsidRPr="00C81BFE">
        <w:rPr>
          <w:rFonts w:ascii="Times New Roman" w:hAnsi="Times New Roman"/>
          <w:sz w:val="20"/>
          <w:szCs w:val="20"/>
        </w:rPr>
        <w:t>Table 2</w:t>
      </w:r>
      <w:r>
        <w:rPr>
          <w:rFonts w:ascii="Times New Roman" w:hAnsi="Times New Roman"/>
          <w:sz w:val="20"/>
          <w:szCs w:val="20"/>
        </w:rPr>
        <w:t xml:space="preserve">.  </w:t>
      </w:r>
      <w:r w:rsidRPr="00C81BFE">
        <w:rPr>
          <w:rFonts w:ascii="Times New Roman" w:hAnsi="Times New Roman"/>
          <w:sz w:val="20"/>
          <w:szCs w:val="20"/>
        </w:rPr>
        <w:t>The concentration of individual PAHs found in sediment samples of Kuala Kedah</w:t>
      </w:r>
    </w:p>
    <w:tbl>
      <w:tblPr>
        <w:tblW w:w="8517" w:type="dxa"/>
        <w:jc w:val="center"/>
        <w:tblInd w:w="-528" w:type="dxa"/>
        <w:tblLook w:val="04A0" w:firstRow="1" w:lastRow="0" w:firstColumn="1" w:lastColumn="0" w:noHBand="0" w:noVBand="1"/>
      </w:tblPr>
      <w:tblGrid>
        <w:gridCol w:w="2117"/>
        <w:gridCol w:w="90"/>
        <w:gridCol w:w="864"/>
        <w:gridCol w:w="857"/>
        <w:gridCol w:w="793"/>
        <w:gridCol w:w="780"/>
        <w:gridCol w:w="768"/>
        <w:gridCol w:w="808"/>
        <w:gridCol w:w="720"/>
        <w:gridCol w:w="552"/>
        <w:gridCol w:w="168"/>
      </w:tblGrid>
      <w:tr w:rsidR="000F40A8" w:rsidRPr="00C81BFE" w:rsidTr="000F40A8">
        <w:trPr>
          <w:gridAfter w:val="1"/>
          <w:wAfter w:w="168" w:type="dxa"/>
          <w:trHeight w:val="315"/>
          <w:jc w:val="center"/>
        </w:trPr>
        <w:tc>
          <w:tcPr>
            <w:tcW w:w="2117" w:type="dxa"/>
            <w:tcBorders>
              <w:top w:val="single" w:sz="4" w:space="0" w:color="auto"/>
              <w:left w:val="nil"/>
              <w:right w:val="nil"/>
            </w:tcBorders>
            <w:shd w:val="clear" w:color="auto" w:fill="auto"/>
            <w:vAlign w:val="center"/>
            <w:hideMark/>
          </w:tcPr>
          <w:p w:rsidR="00C81BFE" w:rsidRPr="00C81BFE" w:rsidRDefault="00C81BFE" w:rsidP="00C81BFE">
            <w:pPr>
              <w:spacing w:after="0" w:line="240" w:lineRule="auto"/>
              <w:rPr>
                <w:rFonts w:ascii="Times New Roman" w:hAnsi="Times New Roman"/>
                <w:b/>
                <w:bCs/>
                <w:sz w:val="20"/>
                <w:szCs w:val="20"/>
                <w:lang w:val="en-MY" w:eastAsia="en-MY"/>
              </w:rPr>
            </w:pPr>
            <w:r w:rsidRPr="00C81BFE">
              <w:rPr>
                <w:rFonts w:ascii="Times New Roman" w:hAnsi="Times New Roman"/>
                <w:b/>
                <w:bCs/>
                <w:sz w:val="20"/>
                <w:szCs w:val="20"/>
                <w:lang w:eastAsia="en-MY"/>
              </w:rPr>
              <w:t>Compounds</w:t>
            </w:r>
          </w:p>
        </w:tc>
        <w:tc>
          <w:tcPr>
            <w:tcW w:w="6232" w:type="dxa"/>
            <w:gridSpan w:val="9"/>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Concentrations (ng/g)</w:t>
            </w:r>
          </w:p>
        </w:tc>
      </w:tr>
      <w:tr w:rsidR="000F40A8" w:rsidRPr="00C81BFE" w:rsidTr="000F40A8">
        <w:trPr>
          <w:trHeight w:val="315"/>
          <w:jc w:val="center"/>
        </w:trPr>
        <w:tc>
          <w:tcPr>
            <w:tcW w:w="2207" w:type="dxa"/>
            <w:gridSpan w:val="2"/>
            <w:tcBorders>
              <w:left w:val="nil"/>
              <w:bottom w:val="single" w:sz="4" w:space="0" w:color="auto"/>
              <w:right w:val="nil"/>
            </w:tcBorders>
            <w:vAlign w:val="center"/>
            <w:hideMark/>
          </w:tcPr>
          <w:p w:rsidR="00C81BFE" w:rsidRPr="00C81BFE" w:rsidRDefault="00C81BFE" w:rsidP="00C81BFE">
            <w:pPr>
              <w:spacing w:after="0" w:line="240" w:lineRule="auto"/>
              <w:rPr>
                <w:rFonts w:ascii="Times New Roman" w:hAnsi="Times New Roman"/>
                <w:b/>
                <w:bCs/>
                <w:sz w:val="20"/>
                <w:szCs w:val="20"/>
                <w:lang w:val="en-MY" w:eastAsia="en-MY"/>
              </w:rPr>
            </w:pPr>
          </w:p>
        </w:tc>
        <w:tc>
          <w:tcPr>
            <w:tcW w:w="864"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S1</w:t>
            </w:r>
          </w:p>
        </w:tc>
        <w:tc>
          <w:tcPr>
            <w:tcW w:w="857"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S2</w:t>
            </w:r>
          </w:p>
        </w:tc>
        <w:tc>
          <w:tcPr>
            <w:tcW w:w="793"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S3</w:t>
            </w:r>
          </w:p>
        </w:tc>
        <w:tc>
          <w:tcPr>
            <w:tcW w:w="780"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S4</w:t>
            </w:r>
          </w:p>
        </w:tc>
        <w:tc>
          <w:tcPr>
            <w:tcW w:w="768"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S5</w:t>
            </w:r>
          </w:p>
        </w:tc>
        <w:tc>
          <w:tcPr>
            <w:tcW w:w="808"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S6</w:t>
            </w:r>
          </w:p>
        </w:tc>
        <w:tc>
          <w:tcPr>
            <w:tcW w:w="720" w:type="dxa"/>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S7</w:t>
            </w:r>
          </w:p>
        </w:tc>
        <w:tc>
          <w:tcPr>
            <w:tcW w:w="720" w:type="dxa"/>
            <w:gridSpan w:val="2"/>
            <w:tcBorders>
              <w:top w:val="single" w:sz="4" w:space="0" w:color="auto"/>
              <w:left w:val="nil"/>
              <w:bottom w:val="single" w:sz="4" w:space="0" w:color="auto"/>
              <w:right w:val="nil"/>
            </w:tcBorders>
            <w:shd w:val="clear" w:color="auto" w:fill="auto"/>
            <w:vAlign w:val="center"/>
            <w:hideMark/>
          </w:tcPr>
          <w:p w:rsidR="00C81BFE" w:rsidRPr="00C81BFE" w:rsidRDefault="00C81BFE" w:rsidP="00C81BFE">
            <w:pPr>
              <w:spacing w:after="0" w:line="240" w:lineRule="auto"/>
              <w:jc w:val="center"/>
              <w:rPr>
                <w:rFonts w:ascii="Times New Roman" w:hAnsi="Times New Roman"/>
                <w:b/>
                <w:bCs/>
                <w:sz w:val="20"/>
                <w:szCs w:val="20"/>
                <w:lang w:val="en-MY" w:eastAsia="en-MY"/>
              </w:rPr>
            </w:pPr>
            <w:r w:rsidRPr="00C81BFE">
              <w:rPr>
                <w:rFonts w:ascii="Times New Roman" w:hAnsi="Times New Roman"/>
                <w:b/>
                <w:bCs/>
                <w:sz w:val="20"/>
                <w:szCs w:val="20"/>
                <w:lang w:eastAsia="en-MY"/>
              </w:rPr>
              <w:t>S8</w:t>
            </w:r>
          </w:p>
        </w:tc>
      </w:tr>
      <w:tr w:rsidR="000F40A8" w:rsidRPr="00C81BFE" w:rsidTr="000F40A8">
        <w:trPr>
          <w:trHeight w:val="25"/>
          <w:jc w:val="center"/>
        </w:trPr>
        <w:tc>
          <w:tcPr>
            <w:tcW w:w="2207" w:type="dxa"/>
            <w:gridSpan w:val="2"/>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Naphthalene</w:t>
            </w:r>
          </w:p>
        </w:tc>
        <w:tc>
          <w:tcPr>
            <w:tcW w:w="864"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1.9</w:t>
            </w:r>
          </w:p>
        </w:tc>
        <w:tc>
          <w:tcPr>
            <w:tcW w:w="857"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1.59</w:t>
            </w:r>
          </w:p>
        </w:tc>
        <w:tc>
          <w:tcPr>
            <w:tcW w:w="793"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2.49</w:t>
            </w:r>
          </w:p>
        </w:tc>
        <w:tc>
          <w:tcPr>
            <w:tcW w:w="768"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5.92</w:t>
            </w:r>
          </w:p>
        </w:tc>
        <w:tc>
          <w:tcPr>
            <w:tcW w:w="808"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4.27</w:t>
            </w:r>
          </w:p>
        </w:tc>
        <w:tc>
          <w:tcPr>
            <w:tcW w:w="720" w:type="dxa"/>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1.12</w:t>
            </w:r>
          </w:p>
        </w:tc>
        <w:tc>
          <w:tcPr>
            <w:tcW w:w="720" w:type="dxa"/>
            <w:gridSpan w:val="2"/>
            <w:tcBorders>
              <w:top w:val="single" w:sz="4" w:space="0" w:color="auto"/>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2.26</w:t>
            </w:r>
          </w:p>
        </w:tc>
      </w:tr>
      <w:tr w:rsidR="000F40A8" w:rsidRPr="00C81BFE" w:rsidTr="000F40A8">
        <w:trPr>
          <w:trHeight w:val="46"/>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Acenaphthene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2.18</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2.08</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Fluorene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1.26</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1.14</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3.55</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3.73</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Phenanthrene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5.83</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4.05</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4.78</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5.39</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9.55</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10.56</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2.59</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4.40</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Anthracene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4.67</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6.21</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11.01</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1.52</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2.99</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Fluoranthene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1.83</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1.14</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1.32</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2.75</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20.81</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1.83</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3.99</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Pyrene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1.46</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1.28</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1.26</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3.03</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23.19</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3.14</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6.59</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Benzo[k]fluoranthene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39.4</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Benzo[e]pyrene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3.23</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1.21</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12.5</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Indeno[1,2,3-cd]pyrene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59.01</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Benzo[ghi]perylene</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1.36</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48.96</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1.69</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eastAsia="Calibri" w:hAnsi="Times New Roman"/>
                <w:sz w:val="20"/>
                <w:szCs w:val="20"/>
                <w:lang w:eastAsia="en-MY"/>
              </w:rPr>
              <w:t>3.41</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a) Total PAHs</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15.51</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11.52</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7.2</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17.81</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39.35</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226.03</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13.91</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20.64</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b) Total LMW PAHs</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9.12</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8.72</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7.2</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14.19</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26.33</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56.09</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10.56</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14.98</w:t>
            </w:r>
          </w:p>
        </w:tc>
      </w:tr>
      <w:tr w:rsidR="000F40A8" w:rsidRPr="00C81BFE" w:rsidTr="000F40A8">
        <w:trPr>
          <w:trHeight w:val="45"/>
          <w:jc w:val="center"/>
        </w:trPr>
        <w:tc>
          <w:tcPr>
            <w:tcW w:w="2207"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c) Total HMW PAHs</w:t>
            </w:r>
          </w:p>
        </w:tc>
        <w:tc>
          <w:tcPr>
            <w:tcW w:w="864"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3.23</w:t>
            </w:r>
          </w:p>
        </w:tc>
        <w:tc>
          <w:tcPr>
            <w:tcW w:w="857"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1.21</w:t>
            </w:r>
          </w:p>
        </w:tc>
        <w:tc>
          <w:tcPr>
            <w:tcW w:w="793"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1.36</w:t>
            </w:r>
          </w:p>
        </w:tc>
        <w:tc>
          <w:tcPr>
            <w:tcW w:w="808"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159.86</w:t>
            </w:r>
          </w:p>
        </w:tc>
        <w:tc>
          <w:tcPr>
            <w:tcW w:w="720" w:type="dxa"/>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1.77</w:t>
            </w:r>
          </w:p>
        </w:tc>
        <w:tc>
          <w:tcPr>
            <w:tcW w:w="720" w:type="dxa"/>
            <w:gridSpan w:val="2"/>
            <w:tcBorders>
              <w:top w:val="nil"/>
              <w:left w:val="nil"/>
              <w:bottom w:val="nil"/>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3.41</w:t>
            </w:r>
          </w:p>
        </w:tc>
      </w:tr>
      <w:tr w:rsidR="000F40A8" w:rsidRPr="00C81BFE" w:rsidTr="000F40A8">
        <w:trPr>
          <w:trHeight w:val="45"/>
          <w:jc w:val="center"/>
        </w:trPr>
        <w:tc>
          <w:tcPr>
            <w:tcW w:w="2207" w:type="dxa"/>
            <w:gridSpan w:val="2"/>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rPr>
                <w:rFonts w:ascii="Times New Roman" w:hAnsi="Times New Roman"/>
                <w:sz w:val="20"/>
                <w:szCs w:val="20"/>
                <w:lang w:val="en-MY" w:eastAsia="en-MY"/>
              </w:rPr>
            </w:pPr>
            <w:r w:rsidRPr="00C81BFE">
              <w:rPr>
                <w:rFonts w:ascii="Times New Roman" w:hAnsi="Times New Roman"/>
                <w:sz w:val="20"/>
                <w:szCs w:val="20"/>
                <w:lang w:eastAsia="en-MY"/>
              </w:rPr>
              <w:t>LMW/HMW</w:t>
            </w:r>
          </w:p>
        </w:tc>
        <w:tc>
          <w:tcPr>
            <w:tcW w:w="864"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2.82</w:t>
            </w:r>
          </w:p>
        </w:tc>
        <w:tc>
          <w:tcPr>
            <w:tcW w:w="857"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7.19</w:t>
            </w:r>
          </w:p>
        </w:tc>
        <w:tc>
          <w:tcPr>
            <w:tcW w:w="793"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80"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ND</w:t>
            </w:r>
          </w:p>
        </w:tc>
        <w:tc>
          <w:tcPr>
            <w:tcW w:w="768"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19.31</w:t>
            </w:r>
          </w:p>
        </w:tc>
        <w:tc>
          <w:tcPr>
            <w:tcW w:w="808"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0.35</w:t>
            </w:r>
          </w:p>
        </w:tc>
        <w:tc>
          <w:tcPr>
            <w:tcW w:w="720" w:type="dxa"/>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5.96</w:t>
            </w:r>
          </w:p>
        </w:tc>
        <w:tc>
          <w:tcPr>
            <w:tcW w:w="720" w:type="dxa"/>
            <w:gridSpan w:val="2"/>
            <w:tcBorders>
              <w:top w:val="nil"/>
              <w:left w:val="nil"/>
              <w:bottom w:val="single" w:sz="4" w:space="0" w:color="000000"/>
              <w:right w:val="nil"/>
            </w:tcBorders>
            <w:shd w:val="clear" w:color="auto" w:fill="auto"/>
            <w:vAlign w:val="center"/>
            <w:hideMark/>
          </w:tcPr>
          <w:p w:rsidR="00C81BFE" w:rsidRPr="00C81BFE" w:rsidRDefault="00C81BFE" w:rsidP="000F40A8">
            <w:pPr>
              <w:spacing w:before="60" w:after="0" w:line="240" w:lineRule="auto"/>
              <w:jc w:val="center"/>
              <w:rPr>
                <w:rFonts w:ascii="Times New Roman" w:hAnsi="Times New Roman"/>
                <w:sz w:val="20"/>
                <w:szCs w:val="20"/>
                <w:lang w:val="en-MY" w:eastAsia="en-MY"/>
              </w:rPr>
            </w:pPr>
            <w:r w:rsidRPr="00C81BFE">
              <w:rPr>
                <w:rFonts w:ascii="Times New Roman" w:hAnsi="Times New Roman"/>
                <w:sz w:val="20"/>
                <w:szCs w:val="20"/>
                <w:lang w:eastAsia="en-MY"/>
              </w:rPr>
              <w:t>4.39</w:t>
            </w:r>
          </w:p>
        </w:tc>
      </w:tr>
    </w:tbl>
    <w:p w:rsidR="0044193C" w:rsidRDefault="00C81BFE" w:rsidP="0044193C">
      <w:pPr>
        <w:spacing w:before="60" w:after="0" w:line="240" w:lineRule="auto"/>
        <w:ind w:left="446" w:right="418"/>
        <w:jc w:val="both"/>
        <w:rPr>
          <w:rFonts w:ascii="Times New Roman" w:hAnsi="Times New Roman"/>
          <w:sz w:val="18"/>
          <w:szCs w:val="18"/>
        </w:rPr>
      </w:pPr>
      <w:r w:rsidRPr="0044193C">
        <w:rPr>
          <w:rFonts w:ascii="Times New Roman" w:hAnsi="Times New Roman"/>
          <w:sz w:val="18"/>
          <w:szCs w:val="18"/>
        </w:rPr>
        <w:t xml:space="preserve">a) Total PAHs ranging from naphthalene to benzo[ghi]perylene, </w:t>
      </w:r>
    </w:p>
    <w:p w:rsidR="0044193C" w:rsidRDefault="00C81BFE" w:rsidP="0044193C">
      <w:pPr>
        <w:spacing w:after="0" w:line="240" w:lineRule="auto"/>
        <w:ind w:left="450" w:right="421"/>
        <w:jc w:val="both"/>
        <w:rPr>
          <w:rFonts w:ascii="Times New Roman" w:hAnsi="Times New Roman"/>
          <w:sz w:val="18"/>
          <w:szCs w:val="18"/>
        </w:rPr>
      </w:pPr>
      <w:r w:rsidRPr="0044193C">
        <w:rPr>
          <w:rFonts w:ascii="Times New Roman" w:hAnsi="Times New Roman"/>
          <w:sz w:val="18"/>
          <w:szCs w:val="18"/>
        </w:rPr>
        <w:t xml:space="preserve">b) Total of penanthrene, anthracene, fluorenthene and pyrene, </w:t>
      </w:r>
    </w:p>
    <w:p w:rsidR="00C81BFE" w:rsidRPr="0044193C" w:rsidRDefault="00C81BFE" w:rsidP="0044193C">
      <w:pPr>
        <w:spacing w:after="0" w:line="240" w:lineRule="auto"/>
        <w:ind w:left="450" w:right="421"/>
        <w:jc w:val="both"/>
        <w:rPr>
          <w:rFonts w:ascii="Times New Roman" w:hAnsi="Times New Roman"/>
          <w:sz w:val="18"/>
          <w:szCs w:val="18"/>
        </w:rPr>
      </w:pPr>
      <w:r w:rsidRPr="0044193C">
        <w:rPr>
          <w:rFonts w:ascii="Times New Roman" w:hAnsi="Times New Roman"/>
          <w:sz w:val="18"/>
          <w:szCs w:val="18"/>
        </w:rPr>
        <w:t>c) Total of benzo[k]fluoranthene, indeno-1,2,2-cd]pyrene, benzo[g,h,i]perylene, ND is not detected</w:t>
      </w:r>
    </w:p>
    <w:p w:rsidR="0044193C" w:rsidRDefault="0044193C" w:rsidP="000F40A8">
      <w:pPr>
        <w:spacing w:after="0" w:line="240" w:lineRule="auto"/>
        <w:jc w:val="both"/>
        <w:rPr>
          <w:rFonts w:ascii="Times New Roman" w:hAnsi="Times New Roman"/>
          <w:sz w:val="20"/>
          <w:szCs w:val="20"/>
        </w:rPr>
      </w:pPr>
    </w:p>
    <w:p w:rsidR="0044193C" w:rsidRPr="0044193C" w:rsidRDefault="0044193C" w:rsidP="0044193C">
      <w:pPr>
        <w:spacing w:after="120" w:line="240" w:lineRule="auto"/>
        <w:jc w:val="center"/>
        <w:rPr>
          <w:rFonts w:ascii="Times New Roman" w:hAnsi="Times New Roman"/>
          <w:sz w:val="20"/>
          <w:szCs w:val="20"/>
        </w:rPr>
      </w:pPr>
      <w:r w:rsidRPr="0044193C">
        <w:rPr>
          <w:rFonts w:ascii="Times New Roman" w:hAnsi="Times New Roman"/>
          <w:sz w:val="20"/>
          <w:szCs w:val="20"/>
        </w:rPr>
        <w:lastRenderedPageBreak/>
        <w:t>Table 3.  The concentration of individual PAHs found in sediment samples of Kuala Kedah</w:t>
      </w:r>
    </w:p>
    <w:tbl>
      <w:tblPr>
        <w:tblW w:w="0" w:type="auto"/>
        <w:jc w:val="center"/>
        <w:tblLook w:val="04A0" w:firstRow="1" w:lastRow="0" w:firstColumn="1" w:lastColumn="0" w:noHBand="0" w:noVBand="1"/>
      </w:tblPr>
      <w:tblGrid>
        <w:gridCol w:w="2105"/>
        <w:gridCol w:w="666"/>
        <w:gridCol w:w="666"/>
        <w:gridCol w:w="666"/>
        <w:gridCol w:w="666"/>
        <w:gridCol w:w="666"/>
        <w:gridCol w:w="666"/>
        <w:gridCol w:w="666"/>
        <w:gridCol w:w="766"/>
      </w:tblGrid>
      <w:tr w:rsidR="0044193C" w:rsidRPr="0044193C" w:rsidTr="0044193C">
        <w:trPr>
          <w:trHeight w:val="199"/>
          <w:jc w:val="center"/>
        </w:trPr>
        <w:tc>
          <w:tcPr>
            <w:tcW w:w="0" w:type="auto"/>
            <w:vMerge w:val="restart"/>
            <w:tcBorders>
              <w:top w:val="single" w:sz="4" w:space="0" w:color="auto"/>
              <w:left w:val="nil"/>
              <w:right w:val="nil"/>
            </w:tcBorders>
            <w:shd w:val="clear" w:color="auto" w:fill="auto"/>
            <w:vAlign w:val="center"/>
            <w:hideMark/>
          </w:tcPr>
          <w:p w:rsidR="0044193C" w:rsidRPr="0044193C" w:rsidRDefault="0044193C" w:rsidP="0044193C">
            <w:pPr>
              <w:spacing w:after="0" w:line="240" w:lineRule="auto"/>
              <w:jc w:val="both"/>
              <w:rPr>
                <w:rFonts w:ascii="Times New Roman" w:hAnsi="Times New Roman"/>
                <w:b/>
                <w:bCs/>
                <w:sz w:val="20"/>
                <w:szCs w:val="20"/>
                <w:lang w:val="en-MY" w:eastAsia="en-MY"/>
              </w:rPr>
            </w:pPr>
            <w:r w:rsidRPr="0044193C">
              <w:rPr>
                <w:rFonts w:ascii="Times New Roman" w:hAnsi="Times New Roman"/>
                <w:b/>
                <w:bCs/>
                <w:sz w:val="20"/>
                <w:szCs w:val="20"/>
                <w:lang w:eastAsia="en-MY"/>
              </w:rPr>
              <w:t>Compounds</w:t>
            </w:r>
          </w:p>
        </w:tc>
        <w:tc>
          <w:tcPr>
            <w:tcW w:w="0" w:type="auto"/>
            <w:gridSpan w:val="8"/>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Concentrations (ng/g)</w:t>
            </w:r>
          </w:p>
        </w:tc>
      </w:tr>
      <w:tr w:rsidR="0044193C" w:rsidRPr="0044193C" w:rsidTr="0044193C">
        <w:trPr>
          <w:trHeight w:val="25"/>
          <w:jc w:val="center"/>
        </w:trPr>
        <w:tc>
          <w:tcPr>
            <w:tcW w:w="0" w:type="auto"/>
            <w:vMerge/>
            <w:tcBorders>
              <w:left w:val="nil"/>
              <w:bottom w:val="single" w:sz="4" w:space="0" w:color="auto"/>
              <w:right w:val="nil"/>
            </w:tcBorders>
            <w:vAlign w:val="center"/>
            <w:hideMark/>
          </w:tcPr>
          <w:p w:rsidR="0044193C" w:rsidRPr="0044193C" w:rsidRDefault="0044193C" w:rsidP="0044193C">
            <w:pPr>
              <w:spacing w:after="0" w:line="240" w:lineRule="auto"/>
              <w:jc w:val="both"/>
              <w:rPr>
                <w:rFonts w:ascii="Times New Roman" w:hAnsi="Times New Roman"/>
                <w:b/>
                <w:bCs/>
                <w:sz w:val="20"/>
                <w:szCs w:val="20"/>
                <w:lang w:val="en-MY" w:eastAsia="en-MY"/>
              </w:rPr>
            </w:pP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S9</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S10</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S11</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S12</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S13</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S14</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S15</w:t>
            </w:r>
          </w:p>
        </w:tc>
        <w:tc>
          <w:tcPr>
            <w:tcW w:w="0" w:type="auto"/>
            <w:tcBorders>
              <w:top w:val="single" w:sz="4" w:space="0" w:color="auto"/>
              <w:left w:val="nil"/>
              <w:bottom w:val="single" w:sz="4" w:space="0" w:color="auto"/>
              <w:right w:val="nil"/>
            </w:tcBorders>
            <w:shd w:val="clear" w:color="auto" w:fill="auto"/>
            <w:vAlign w:val="center"/>
            <w:hideMark/>
          </w:tcPr>
          <w:p w:rsidR="0044193C" w:rsidRPr="0044193C" w:rsidRDefault="0044193C" w:rsidP="0044193C">
            <w:pPr>
              <w:spacing w:after="60" w:line="240" w:lineRule="auto"/>
              <w:jc w:val="center"/>
              <w:rPr>
                <w:rFonts w:ascii="Times New Roman" w:hAnsi="Times New Roman"/>
                <w:b/>
                <w:bCs/>
                <w:sz w:val="20"/>
                <w:szCs w:val="20"/>
                <w:lang w:val="en-MY" w:eastAsia="en-MY"/>
              </w:rPr>
            </w:pPr>
            <w:r w:rsidRPr="0044193C">
              <w:rPr>
                <w:rFonts w:ascii="Times New Roman" w:hAnsi="Times New Roman"/>
                <w:b/>
                <w:bCs/>
                <w:sz w:val="20"/>
                <w:szCs w:val="20"/>
                <w:lang w:eastAsia="en-MY"/>
              </w:rPr>
              <w:t>S16</w:t>
            </w:r>
          </w:p>
        </w:tc>
      </w:tr>
      <w:tr w:rsidR="0044193C" w:rsidRPr="0044193C" w:rsidTr="0044193C">
        <w:trPr>
          <w:trHeight w:val="25"/>
          <w:jc w:val="center"/>
        </w:trPr>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Naphthalene</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3.97</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4.93</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8.21</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7.64</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2.84</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4.27</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3.97</w:t>
            </w:r>
          </w:p>
        </w:tc>
        <w:tc>
          <w:tcPr>
            <w:tcW w:w="0" w:type="auto"/>
            <w:tcBorders>
              <w:top w:val="single" w:sz="4" w:space="0" w:color="auto"/>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1.09</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Acenaphthene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1.32</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2.55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2.59</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2.82</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1.91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1.72</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Fluorene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1.78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2.64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2.11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1.13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2.03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1.65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Phenanthrene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5.01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8.04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12.36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6.49</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6.28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10.21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7.18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3.46</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Anthracene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5.78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9.27</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7.24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11.77</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8.28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3.99</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Fluoranthene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3.91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4.51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3.35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1.91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2.73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1.44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1.79</w:t>
            </w:r>
          </w:p>
        </w:tc>
      </w:tr>
      <w:tr w:rsidR="0044193C" w:rsidRPr="0044193C" w:rsidTr="008C3619">
        <w:trPr>
          <w:trHeight w:val="78"/>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Pyrene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5.29</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5.73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8.41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4.26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2.56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3.34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1.55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3.79</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Benzo[k]fluoranthene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1.25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1.26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27.17</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Benzo[e]pyrene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Indeno[1,2,3-cd]pyrene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1.34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14.51</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Benzo[ghi]perylene</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3.38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5.24</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15.59</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15.17</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13.28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6.23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eastAsia="Calibri" w:hAnsi="Times New Roman"/>
                <w:sz w:val="20"/>
                <w:szCs w:val="20"/>
                <w:lang w:eastAsia="en-MY"/>
              </w:rPr>
              <w:t>75.83</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a) Total PAHs</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22.03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39.6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46.55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43.79</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37.13</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49.55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32.02</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131.63</w:t>
            </w:r>
          </w:p>
        </w:tc>
      </w:tr>
      <w:tr w:rsidR="0044193C" w:rsidRPr="0044193C" w:rsidTr="008C3619">
        <w:trPr>
          <w:trHeight w:val="45"/>
          <w:jc w:val="center"/>
        </w:trPr>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b) Total LMW PAHs</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16.08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26.96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25.28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14.11</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17.98</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28.06</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18.45</w:t>
            </w:r>
          </w:p>
        </w:tc>
        <w:tc>
          <w:tcPr>
            <w:tcW w:w="0" w:type="auto"/>
            <w:tcBorders>
              <w:top w:val="nil"/>
              <w:left w:val="nil"/>
              <w:bottom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13.03</w:t>
            </w:r>
          </w:p>
        </w:tc>
      </w:tr>
      <w:tr w:rsidR="0044193C" w:rsidRPr="0044193C" w:rsidTr="0044193C">
        <w:trPr>
          <w:trHeight w:val="45"/>
          <w:jc w:val="center"/>
        </w:trPr>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c) Total HMW PAHs</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val="en-MY" w:eastAsia="en-MY"/>
              </w:rPr>
              <w:t>ND</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3.38</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7.83</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17.11</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15.17</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13.28</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6.23</w:t>
            </w:r>
          </w:p>
        </w:tc>
        <w:tc>
          <w:tcPr>
            <w:tcW w:w="0" w:type="auto"/>
            <w:tcBorders>
              <w:top w:val="nil"/>
              <w:left w:val="nil"/>
              <w:right w:val="nil"/>
            </w:tcBorders>
            <w:shd w:val="clear" w:color="auto" w:fill="auto"/>
            <w:vAlign w:val="center"/>
            <w:hideMark/>
          </w:tcPr>
          <w:p w:rsidR="0044193C" w:rsidRPr="0044193C" w:rsidRDefault="0044193C" w:rsidP="0044193C">
            <w:pPr>
              <w:spacing w:before="60" w:after="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117.51</w:t>
            </w:r>
          </w:p>
        </w:tc>
      </w:tr>
      <w:tr w:rsidR="0044193C" w:rsidRPr="0044193C" w:rsidTr="0044193C">
        <w:trPr>
          <w:trHeight w:val="45"/>
          <w:jc w:val="center"/>
        </w:trPr>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both"/>
              <w:rPr>
                <w:rFonts w:ascii="Times New Roman" w:hAnsi="Times New Roman"/>
                <w:sz w:val="20"/>
                <w:szCs w:val="20"/>
                <w:lang w:val="en-MY" w:eastAsia="en-MY"/>
              </w:rPr>
            </w:pPr>
            <w:r w:rsidRPr="0044193C">
              <w:rPr>
                <w:rFonts w:ascii="Times New Roman" w:hAnsi="Times New Roman"/>
                <w:sz w:val="20"/>
                <w:szCs w:val="20"/>
                <w:lang w:eastAsia="en-MY"/>
              </w:rPr>
              <w:t>LMW/HMW</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ND</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7.97</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3.23</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0.82</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1.18</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2.11</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2.96</w:t>
            </w:r>
          </w:p>
        </w:tc>
        <w:tc>
          <w:tcPr>
            <w:tcW w:w="0" w:type="auto"/>
            <w:tcBorders>
              <w:top w:val="nil"/>
              <w:left w:val="nil"/>
              <w:bottom w:val="single" w:sz="4" w:space="0" w:color="auto"/>
              <w:right w:val="nil"/>
            </w:tcBorders>
            <w:shd w:val="clear" w:color="auto" w:fill="auto"/>
            <w:vAlign w:val="center"/>
            <w:hideMark/>
          </w:tcPr>
          <w:p w:rsidR="0044193C" w:rsidRPr="0044193C" w:rsidRDefault="0044193C" w:rsidP="0044193C">
            <w:pPr>
              <w:spacing w:before="60" w:after="60" w:line="240" w:lineRule="auto"/>
              <w:jc w:val="center"/>
              <w:rPr>
                <w:rFonts w:ascii="Times New Roman" w:hAnsi="Times New Roman"/>
                <w:sz w:val="20"/>
                <w:szCs w:val="20"/>
                <w:lang w:val="en-MY" w:eastAsia="en-MY"/>
              </w:rPr>
            </w:pPr>
            <w:r w:rsidRPr="0044193C">
              <w:rPr>
                <w:rFonts w:ascii="Times New Roman" w:hAnsi="Times New Roman"/>
                <w:sz w:val="20"/>
                <w:szCs w:val="20"/>
                <w:lang w:eastAsia="en-MY"/>
              </w:rPr>
              <w:t>0.11</w:t>
            </w:r>
          </w:p>
        </w:tc>
      </w:tr>
    </w:tbl>
    <w:p w:rsidR="0044193C" w:rsidRDefault="0044193C" w:rsidP="0044193C">
      <w:pPr>
        <w:spacing w:before="60" w:after="0" w:line="240" w:lineRule="auto"/>
        <w:ind w:left="994" w:right="864"/>
        <w:jc w:val="both"/>
        <w:rPr>
          <w:rFonts w:ascii="Times New Roman" w:hAnsi="Times New Roman"/>
          <w:sz w:val="18"/>
          <w:szCs w:val="18"/>
        </w:rPr>
      </w:pPr>
      <w:r w:rsidRPr="0044193C">
        <w:rPr>
          <w:rFonts w:ascii="Times New Roman" w:hAnsi="Times New Roman"/>
          <w:sz w:val="18"/>
          <w:szCs w:val="18"/>
        </w:rPr>
        <w:t xml:space="preserve">a) Total PAHs ranging from naphthalene to benzo[ghi]perylene, </w:t>
      </w:r>
    </w:p>
    <w:p w:rsidR="0044193C" w:rsidRDefault="0044193C" w:rsidP="0044193C">
      <w:pPr>
        <w:spacing w:after="0" w:line="240" w:lineRule="auto"/>
        <w:ind w:left="994" w:right="864"/>
        <w:jc w:val="both"/>
        <w:rPr>
          <w:rFonts w:ascii="Times New Roman" w:hAnsi="Times New Roman"/>
          <w:sz w:val="18"/>
          <w:szCs w:val="18"/>
        </w:rPr>
      </w:pPr>
      <w:r w:rsidRPr="0044193C">
        <w:rPr>
          <w:rFonts w:ascii="Times New Roman" w:hAnsi="Times New Roman"/>
          <w:sz w:val="18"/>
          <w:szCs w:val="18"/>
        </w:rPr>
        <w:t xml:space="preserve">b) Total of penanthrene, anthracene, fluorenthene and pyrene, </w:t>
      </w:r>
    </w:p>
    <w:p w:rsidR="0044193C" w:rsidRDefault="0044193C" w:rsidP="0044193C">
      <w:pPr>
        <w:spacing w:after="0" w:line="240" w:lineRule="auto"/>
        <w:ind w:left="994" w:right="864"/>
        <w:jc w:val="both"/>
        <w:rPr>
          <w:rFonts w:ascii="Times New Roman" w:hAnsi="Times New Roman"/>
          <w:sz w:val="18"/>
          <w:szCs w:val="18"/>
        </w:rPr>
      </w:pPr>
      <w:r w:rsidRPr="0044193C">
        <w:rPr>
          <w:rFonts w:ascii="Times New Roman" w:hAnsi="Times New Roman"/>
          <w:sz w:val="18"/>
          <w:szCs w:val="18"/>
        </w:rPr>
        <w:t xml:space="preserve">c) Total of benzo[k]fluoranthene, indeno-1,2,2-cd]pyrene, benzo[g,h,i]perylene, </w:t>
      </w:r>
    </w:p>
    <w:p w:rsidR="0044193C" w:rsidRPr="0044193C" w:rsidRDefault="0044193C" w:rsidP="0044193C">
      <w:pPr>
        <w:spacing w:after="0" w:line="240" w:lineRule="auto"/>
        <w:ind w:left="994" w:right="864"/>
        <w:jc w:val="both"/>
        <w:rPr>
          <w:rFonts w:ascii="Times New Roman" w:hAnsi="Times New Roman"/>
          <w:sz w:val="18"/>
          <w:szCs w:val="18"/>
        </w:rPr>
      </w:pPr>
      <w:r w:rsidRPr="0044193C">
        <w:rPr>
          <w:rFonts w:ascii="Times New Roman" w:hAnsi="Times New Roman"/>
          <w:sz w:val="18"/>
          <w:szCs w:val="18"/>
        </w:rPr>
        <w:t>ND is not detected</w:t>
      </w:r>
    </w:p>
    <w:p w:rsidR="00C81BFE" w:rsidRPr="0044193C" w:rsidRDefault="00C81BFE" w:rsidP="008F2D15">
      <w:pPr>
        <w:spacing w:after="120" w:line="240" w:lineRule="auto"/>
        <w:jc w:val="both"/>
        <w:rPr>
          <w:rFonts w:ascii="Times New Roman" w:hAnsi="Times New Roman"/>
          <w:sz w:val="20"/>
          <w:szCs w:val="20"/>
        </w:rPr>
      </w:pPr>
    </w:p>
    <w:p w:rsidR="0044193C" w:rsidRPr="0044193C" w:rsidRDefault="0044193C" w:rsidP="008F2D15">
      <w:pPr>
        <w:tabs>
          <w:tab w:val="left" w:pos="0"/>
        </w:tabs>
        <w:spacing w:after="120" w:line="240" w:lineRule="auto"/>
        <w:jc w:val="center"/>
        <w:rPr>
          <w:rFonts w:ascii="Times New Roman" w:hAnsi="Times New Roman"/>
          <w:b/>
          <w:sz w:val="20"/>
          <w:szCs w:val="20"/>
        </w:rPr>
      </w:pPr>
      <w:r w:rsidRPr="0044193C">
        <w:rPr>
          <w:noProof/>
          <w:sz w:val="20"/>
          <w:szCs w:val="20"/>
          <w:lang w:val="en-MY" w:eastAsia="en-MY" w:bidi="ar-SA"/>
        </w:rPr>
        <w:drawing>
          <wp:inline distT="0" distB="0" distL="0" distR="0" wp14:anchorId="03887FA4" wp14:editId="26956124">
            <wp:extent cx="3600000" cy="1800000"/>
            <wp:effectExtent l="0" t="0" r="635"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193C" w:rsidRPr="0044193C" w:rsidRDefault="008F2D15" w:rsidP="008F2D15">
      <w:pPr>
        <w:tabs>
          <w:tab w:val="left" w:pos="1232"/>
        </w:tabs>
        <w:spacing w:after="0" w:line="240" w:lineRule="auto"/>
        <w:jc w:val="center"/>
        <w:rPr>
          <w:rFonts w:ascii="Times New Roman" w:hAnsi="Times New Roman"/>
          <w:sz w:val="20"/>
          <w:szCs w:val="20"/>
        </w:rPr>
      </w:pPr>
      <w:r>
        <w:rPr>
          <w:rFonts w:ascii="Times New Roman" w:hAnsi="Times New Roman"/>
          <w:sz w:val="20"/>
          <w:szCs w:val="20"/>
        </w:rPr>
        <w:t xml:space="preserve">Figure 2.  </w:t>
      </w:r>
      <w:r w:rsidR="0044193C" w:rsidRPr="0044193C">
        <w:rPr>
          <w:rFonts w:ascii="Times New Roman" w:hAnsi="Times New Roman"/>
          <w:sz w:val="20"/>
          <w:szCs w:val="20"/>
        </w:rPr>
        <w:t>Total PAHs concentration (ng/g) for all sampling stations in Kuala Kedah</w:t>
      </w:r>
    </w:p>
    <w:p w:rsidR="008F2D15" w:rsidRDefault="008F2D15" w:rsidP="008F2D15">
      <w:pPr>
        <w:spacing w:after="120" w:line="240" w:lineRule="auto"/>
        <w:jc w:val="both"/>
        <w:rPr>
          <w:rFonts w:ascii="Times New Roman" w:hAnsi="Times New Roman"/>
          <w:sz w:val="20"/>
          <w:szCs w:val="20"/>
        </w:rPr>
      </w:pPr>
    </w:p>
    <w:p w:rsidR="008F2D15" w:rsidRDefault="008F2D15" w:rsidP="008F2D15">
      <w:pPr>
        <w:spacing w:after="0" w:line="240" w:lineRule="auto"/>
        <w:jc w:val="both"/>
        <w:rPr>
          <w:rFonts w:ascii="Times New Roman" w:hAnsi="Times New Roman"/>
          <w:sz w:val="20"/>
          <w:szCs w:val="20"/>
        </w:rPr>
      </w:pPr>
      <w:r w:rsidRPr="00C81BFE">
        <w:rPr>
          <w:rFonts w:ascii="Times New Roman" w:hAnsi="Times New Roman"/>
          <w:sz w:val="20"/>
          <w:szCs w:val="20"/>
        </w:rPr>
        <w:t xml:space="preserve">According to Baumard et al. [11], the four pollution levels based on total PAHs can be defined as: 0 ng/g-100 ng/g PAHs in the sediment which is classified as low, 100 ng/g-1000 ng/g classified as being moderate, 1000 ng/g-5000 ng/g classified as high, and a concentration of &gt;5000 ng/g, which is classified as very high. Based on these levels, the range concentration of PAHs detected in the area of research in Kedah River can be considered as being in the low to moderately polluted range (11.16 ng/g-338.04 ng/g). The surface sediment samples from these sampling points were dominated by benzo[ghi]perylene and phenanthrene, with the values of 25% and 14% respectively (Figure 3). The lowest occurring compound was benzo[e]pyrene, with a total occurrence of 2% and a total concentration of 16.94 ng/g dry weight sediment. </w:t>
      </w:r>
    </w:p>
    <w:p w:rsidR="0044193C" w:rsidRDefault="0044193C" w:rsidP="0044193C">
      <w:pPr>
        <w:tabs>
          <w:tab w:val="left" w:pos="1232"/>
        </w:tabs>
        <w:spacing w:after="0" w:line="240" w:lineRule="auto"/>
        <w:jc w:val="both"/>
        <w:rPr>
          <w:rFonts w:ascii="Times New Roman" w:hAnsi="Times New Roman"/>
          <w:sz w:val="20"/>
          <w:szCs w:val="20"/>
        </w:rPr>
      </w:pPr>
    </w:p>
    <w:p w:rsidR="00392478" w:rsidRPr="0044193C" w:rsidRDefault="00392478" w:rsidP="0044193C">
      <w:pPr>
        <w:tabs>
          <w:tab w:val="left" w:pos="1232"/>
        </w:tabs>
        <w:spacing w:after="0" w:line="240" w:lineRule="auto"/>
        <w:jc w:val="both"/>
        <w:rPr>
          <w:rFonts w:ascii="Times New Roman" w:hAnsi="Times New Roman"/>
          <w:sz w:val="20"/>
          <w:szCs w:val="20"/>
        </w:rPr>
      </w:pPr>
    </w:p>
    <w:p w:rsidR="0044193C" w:rsidRPr="0044193C" w:rsidRDefault="0044193C" w:rsidP="008F2D15">
      <w:pPr>
        <w:tabs>
          <w:tab w:val="left" w:pos="1232"/>
        </w:tabs>
        <w:spacing w:after="120" w:line="240" w:lineRule="auto"/>
        <w:jc w:val="center"/>
        <w:rPr>
          <w:sz w:val="20"/>
          <w:szCs w:val="20"/>
        </w:rPr>
      </w:pPr>
      <w:r w:rsidRPr="0044193C">
        <w:rPr>
          <w:noProof/>
          <w:sz w:val="20"/>
          <w:szCs w:val="20"/>
          <w:lang w:val="en-MY" w:eastAsia="en-MY" w:bidi="ar-SA"/>
        </w:rPr>
        <w:drawing>
          <wp:inline distT="0" distB="0" distL="0" distR="0" wp14:anchorId="4BBC5C26" wp14:editId="1427EEE1">
            <wp:extent cx="3600000" cy="1800000"/>
            <wp:effectExtent l="0" t="0" r="635"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193C" w:rsidRPr="0044193C" w:rsidRDefault="0044193C" w:rsidP="008F2D15">
      <w:pPr>
        <w:spacing w:after="0" w:line="240" w:lineRule="auto"/>
        <w:jc w:val="center"/>
        <w:rPr>
          <w:rFonts w:ascii="Times New Roman" w:hAnsi="Times New Roman"/>
          <w:b/>
          <w:sz w:val="20"/>
          <w:szCs w:val="20"/>
        </w:rPr>
      </w:pPr>
      <w:r w:rsidRPr="0044193C">
        <w:rPr>
          <w:rFonts w:ascii="Times New Roman" w:hAnsi="Times New Roman"/>
          <w:sz w:val="20"/>
          <w:szCs w:val="20"/>
        </w:rPr>
        <w:t>Figure 3.</w:t>
      </w:r>
      <w:r w:rsidR="008F2D15">
        <w:rPr>
          <w:rFonts w:ascii="Times New Roman" w:hAnsi="Times New Roman"/>
          <w:b/>
          <w:sz w:val="20"/>
          <w:szCs w:val="20"/>
        </w:rPr>
        <w:t xml:space="preserve">  </w:t>
      </w:r>
      <w:r w:rsidRPr="0044193C">
        <w:rPr>
          <w:rFonts w:ascii="Times New Roman" w:hAnsi="Times New Roman"/>
          <w:sz w:val="20"/>
          <w:szCs w:val="20"/>
        </w:rPr>
        <w:t>Percentage of individual compounds of PAHs found in Kuala Kedah sediment samples</w:t>
      </w:r>
    </w:p>
    <w:p w:rsidR="0044193C" w:rsidRPr="0044193C" w:rsidRDefault="0044193C" w:rsidP="00014BE2">
      <w:pPr>
        <w:spacing w:after="0" w:line="240" w:lineRule="auto"/>
        <w:jc w:val="both"/>
        <w:rPr>
          <w:rFonts w:ascii="Times New Roman" w:hAnsi="Times New Roman"/>
          <w:b/>
          <w:sz w:val="20"/>
          <w:szCs w:val="20"/>
        </w:rPr>
      </w:pPr>
    </w:p>
    <w:p w:rsidR="0044193C" w:rsidRPr="0044193C" w:rsidRDefault="0044193C" w:rsidP="0044193C">
      <w:pPr>
        <w:spacing w:after="0" w:line="240" w:lineRule="auto"/>
        <w:jc w:val="both"/>
        <w:rPr>
          <w:rFonts w:ascii="Times New Roman" w:hAnsi="Times New Roman"/>
          <w:b/>
          <w:sz w:val="20"/>
          <w:szCs w:val="20"/>
        </w:rPr>
      </w:pPr>
      <w:r w:rsidRPr="0044193C">
        <w:rPr>
          <w:rFonts w:ascii="Times New Roman" w:hAnsi="Times New Roman"/>
          <w:b/>
          <w:sz w:val="20"/>
          <w:szCs w:val="20"/>
        </w:rPr>
        <w:t>Molecular ratio index</w:t>
      </w:r>
    </w:p>
    <w:p w:rsidR="0044193C" w:rsidRPr="0044193C" w:rsidRDefault="0044193C" w:rsidP="0044193C">
      <w:pPr>
        <w:tabs>
          <w:tab w:val="left" w:pos="1232"/>
        </w:tabs>
        <w:spacing w:after="0" w:line="240" w:lineRule="auto"/>
        <w:jc w:val="both"/>
        <w:rPr>
          <w:rFonts w:ascii="Times New Roman" w:hAnsi="Times New Roman"/>
          <w:sz w:val="20"/>
          <w:szCs w:val="20"/>
        </w:rPr>
      </w:pPr>
      <w:r w:rsidRPr="0044193C">
        <w:rPr>
          <w:rFonts w:ascii="Times New Roman" w:hAnsi="Times New Roman"/>
          <w:sz w:val="20"/>
          <w:szCs w:val="20"/>
        </w:rPr>
        <w:t xml:space="preserve">Figure 4 illustrates the general molecular index of fluoranthene/pyrene against phenanthrene/anthracene. Molecular ratios of Phenanthrene/Anthracene and Fluoranthene/Pyrene were determined in order to differentiate between PAHs of dissimilar origin, where the Phenanthrene/Anthracene ratio is temperature-dependent and consists of approximately 3 of the emissions from the combustion of various fuels [12]. Phenanthere/Anthracene ratios of less than10 are related to the combustion processes, while values more than 10 are derived from petroleum sources or are diagenetic [11]. From our research, S1 indicated a petroleum source while S3, S8, S11 and S12 indicated mixed sources, while other stations indicated combustion sources, which makes pyrolytic source the dominant source based on this ratio. LMW/HMW ratios greater than 1 indicate dominance of petrogenic inputs, and LMW/HMW lesser than 1 indicate pyrogenic inputs [13, 14]. Figure 5, on the other hand, shows that for the Low Molecular Weight (LMW)/High Molecular Weight (HMW) index, the stations that obtained values less than 1 (pyrolytic) are S3, S4, S6, S9, S12 and S16, while the rest attained values of more than 1 (petrogenic). Low molecular PAHs can be observed in Table 2, which comprise of 2-3 fused aromatic benzene rings, compared to high molecular weight of PAHs with 4-6 fused aromatic benzene rings, which suggest that the source of sediment is petrogenic [3, 15]. Based on all the molecular ratio indices used, it can be clearly seen that the major sources of PAHs in the sediment were mixed sources, which were dominated by both petrogenic and pyrolytic sources. </w:t>
      </w:r>
    </w:p>
    <w:p w:rsidR="0044193C" w:rsidRPr="0044193C" w:rsidRDefault="0044193C" w:rsidP="00014BE2">
      <w:pPr>
        <w:tabs>
          <w:tab w:val="left" w:pos="1232"/>
        </w:tabs>
        <w:spacing w:after="0" w:line="240" w:lineRule="auto"/>
        <w:jc w:val="both"/>
        <w:rPr>
          <w:rFonts w:ascii="Times New Roman" w:hAnsi="Times New Roman"/>
          <w:sz w:val="20"/>
          <w:szCs w:val="20"/>
        </w:rPr>
      </w:pPr>
    </w:p>
    <w:p w:rsidR="0044193C" w:rsidRPr="0044193C" w:rsidRDefault="0044193C" w:rsidP="008F2D15">
      <w:pPr>
        <w:spacing w:after="120" w:line="240" w:lineRule="auto"/>
        <w:jc w:val="center"/>
        <w:rPr>
          <w:rFonts w:ascii="Times New Roman" w:hAnsi="Times New Roman"/>
          <w:sz w:val="20"/>
          <w:szCs w:val="20"/>
          <w:highlight w:val="yellow"/>
        </w:rPr>
      </w:pPr>
      <w:r w:rsidRPr="0044193C">
        <w:rPr>
          <w:rFonts w:eastAsia="Calibri"/>
          <w:noProof/>
          <w:sz w:val="20"/>
          <w:szCs w:val="20"/>
          <w:lang w:val="en-MY" w:eastAsia="en-MY" w:bidi="ar-SA"/>
        </w:rPr>
        <w:drawing>
          <wp:inline distT="0" distB="0" distL="0" distR="0" wp14:anchorId="3F2093D0" wp14:editId="5FD36CB3">
            <wp:extent cx="4558030" cy="2747645"/>
            <wp:effectExtent l="0" t="0" r="13970" b="146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193C" w:rsidRPr="008F2D15" w:rsidRDefault="008F2D15" w:rsidP="008F2D15">
      <w:pPr>
        <w:tabs>
          <w:tab w:val="left" w:pos="1232"/>
        </w:tabs>
        <w:spacing w:after="0" w:line="240" w:lineRule="auto"/>
        <w:jc w:val="center"/>
        <w:rPr>
          <w:rFonts w:ascii="Times New Roman" w:hAnsi="Times New Roman"/>
          <w:sz w:val="20"/>
          <w:szCs w:val="20"/>
        </w:rPr>
      </w:pPr>
      <w:r>
        <w:rPr>
          <w:rFonts w:ascii="Times New Roman" w:hAnsi="Times New Roman"/>
          <w:sz w:val="20"/>
          <w:szCs w:val="20"/>
        </w:rPr>
        <w:t xml:space="preserve">Figure 4.  </w:t>
      </w:r>
      <w:r w:rsidR="0044193C" w:rsidRPr="0044193C">
        <w:rPr>
          <w:rFonts w:ascii="Times New Roman" w:hAnsi="Times New Roman"/>
          <w:sz w:val="20"/>
          <w:szCs w:val="20"/>
        </w:rPr>
        <w:t>Fluoranthene/Pyrene against Phenanthrene/Anthracene molecular index</w:t>
      </w:r>
    </w:p>
    <w:p w:rsidR="008F2D15" w:rsidRPr="0044193C" w:rsidRDefault="008F2D15" w:rsidP="0044193C">
      <w:pPr>
        <w:tabs>
          <w:tab w:val="left" w:pos="1232"/>
        </w:tabs>
        <w:spacing w:after="0" w:line="240" w:lineRule="auto"/>
        <w:jc w:val="both"/>
        <w:rPr>
          <w:rFonts w:ascii="Times New Roman" w:hAnsi="Times New Roman"/>
          <w:sz w:val="20"/>
          <w:szCs w:val="20"/>
          <w:highlight w:val="yellow"/>
        </w:rPr>
      </w:pPr>
    </w:p>
    <w:p w:rsidR="0044193C" w:rsidRPr="0044193C" w:rsidRDefault="001A3202" w:rsidP="008F2D15">
      <w:pPr>
        <w:tabs>
          <w:tab w:val="left" w:pos="1232"/>
        </w:tabs>
        <w:spacing w:after="120" w:line="240" w:lineRule="auto"/>
        <w:jc w:val="center"/>
        <w:rPr>
          <w:rFonts w:ascii="Times New Roman" w:hAnsi="Times New Roman"/>
          <w:sz w:val="20"/>
          <w:szCs w:val="20"/>
          <w:highlight w:val="yellow"/>
        </w:rPr>
      </w:pPr>
      <w:r>
        <w:rPr>
          <w:noProof/>
          <w:lang w:val="en-MY" w:eastAsia="en-MY" w:bidi="ar-SA"/>
        </w:rPr>
        <w:drawing>
          <wp:inline distT="0" distB="0" distL="0" distR="0">
            <wp:extent cx="4162425" cy="2400300"/>
            <wp:effectExtent l="0" t="0" r="9525"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193C" w:rsidRPr="0044193C" w:rsidRDefault="0044193C" w:rsidP="008F2D15">
      <w:pPr>
        <w:tabs>
          <w:tab w:val="left" w:pos="1232"/>
        </w:tabs>
        <w:spacing w:after="0" w:line="240" w:lineRule="auto"/>
        <w:jc w:val="center"/>
        <w:rPr>
          <w:rFonts w:ascii="Times New Roman" w:hAnsi="Times New Roman"/>
          <w:sz w:val="20"/>
          <w:szCs w:val="20"/>
          <w:highlight w:val="yellow"/>
        </w:rPr>
      </w:pPr>
      <w:r w:rsidRPr="0044193C">
        <w:rPr>
          <w:rFonts w:ascii="Times New Roman" w:hAnsi="Times New Roman"/>
          <w:sz w:val="20"/>
          <w:szCs w:val="20"/>
        </w:rPr>
        <w:t>Figure 5.  LMW/HMW molecular index</w:t>
      </w:r>
    </w:p>
    <w:p w:rsidR="008F2D15" w:rsidRDefault="008F2D15" w:rsidP="008F2D15">
      <w:pPr>
        <w:tabs>
          <w:tab w:val="left" w:pos="1232"/>
        </w:tabs>
        <w:spacing w:after="120" w:line="240" w:lineRule="auto"/>
        <w:jc w:val="both"/>
        <w:rPr>
          <w:rFonts w:ascii="Times New Roman" w:hAnsi="Times New Roman"/>
          <w:sz w:val="20"/>
          <w:szCs w:val="20"/>
        </w:rPr>
      </w:pPr>
    </w:p>
    <w:p w:rsidR="0044193C" w:rsidRPr="008F2D15" w:rsidRDefault="008F2D15" w:rsidP="008F2D15">
      <w:pPr>
        <w:tabs>
          <w:tab w:val="left" w:pos="1232"/>
        </w:tabs>
        <w:spacing w:after="0" w:line="240" w:lineRule="auto"/>
        <w:jc w:val="both"/>
        <w:rPr>
          <w:rFonts w:ascii="Times New Roman" w:hAnsi="Times New Roman"/>
          <w:sz w:val="20"/>
          <w:szCs w:val="20"/>
        </w:rPr>
      </w:pPr>
      <w:r w:rsidRPr="0044193C">
        <w:rPr>
          <w:rFonts w:ascii="Times New Roman" w:hAnsi="Times New Roman"/>
          <w:sz w:val="20"/>
          <w:szCs w:val="20"/>
        </w:rPr>
        <w:t xml:space="preserve">A pyrolytic source is a source that originates from anthropogenic contamination, coming from the combustion of trees, woods, vehicle’s engine as well as organic combustion [15]. The sampling locations along the river of Sungai Kedah which originated from the Alor Setar area to the Kuala Kedah area, are primarily residential areas. However, there is also an industrial area known as </w:t>
      </w:r>
      <w:r w:rsidRPr="0044193C">
        <w:rPr>
          <w:rFonts w:ascii="Times New Roman" w:hAnsi="Times New Roman"/>
          <w:i/>
          <w:sz w:val="20"/>
          <w:szCs w:val="20"/>
        </w:rPr>
        <w:t>Kawasan Perusahaan</w:t>
      </w:r>
      <w:r w:rsidRPr="0044193C">
        <w:rPr>
          <w:rFonts w:ascii="Times New Roman" w:hAnsi="Times New Roman"/>
          <w:sz w:val="20"/>
          <w:szCs w:val="20"/>
        </w:rPr>
        <w:t xml:space="preserve"> Mergong Barrage that could have contributed to the combustion source in the sediment. Apart from that, the road system network that circulates around Kuala Kedah and the Alor Setar area also caters to a significant number of vehicles that emit petroleum combustions to the atmosphere. These can be deposited into the water column and form the sediments at the bottom [17, 18]. A petrogenic source is that which originates from petroleum contamination sources [19].</w:t>
      </w:r>
    </w:p>
    <w:p w:rsidR="008F2D15" w:rsidRPr="0044193C" w:rsidRDefault="008F2D15" w:rsidP="008F2D15">
      <w:pPr>
        <w:spacing w:after="0" w:line="240" w:lineRule="auto"/>
        <w:jc w:val="center"/>
        <w:rPr>
          <w:rFonts w:ascii="Times New Roman" w:hAnsi="Times New Roman"/>
          <w:b/>
          <w:sz w:val="20"/>
          <w:szCs w:val="20"/>
        </w:rPr>
      </w:pPr>
    </w:p>
    <w:p w:rsidR="0044193C" w:rsidRPr="0044193C" w:rsidRDefault="0044193C" w:rsidP="008F2D15">
      <w:pPr>
        <w:spacing w:after="0" w:line="240" w:lineRule="auto"/>
        <w:jc w:val="center"/>
        <w:rPr>
          <w:rFonts w:ascii="Times New Roman" w:hAnsi="Times New Roman"/>
          <w:b/>
          <w:sz w:val="20"/>
          <w:szCs w:val="20"/>
        </w:rPr>
      </w:pPr>
      <w:r w:rsidRPr="0044193C">
        <w:rPr>
          <w:rFonts w:ascii="Times New Roman" w:hAnsi="Times New Roman"/>
          <w:b/>
          <w:sz w:val="20"/>
          <w:szCs w:val="20"/>
        </w:rPr>
        <w:t>Conclusion</w:t>
      </w:r>
    </w:p>
    <w:p w:rsidR="0044193C" w:rsidRPr="0044193C" w:rsidRDefault="0044193C" w:rsidP="0044193C">
      <w:pPr>
        <w:spacing w:after="0" w:line="240" w:lineRule="auto"/>
        <w:jc w:val="both"/>
        <w:rPr>
          <w:rFonts w:ascii="Times New Roman" w:hAnsi="Times New Roman"/>
          <w:sz w:val="20"/>
          <w:szCs w:val="20"/>
        </w:rPr>
      </w:pPr>
      <w:bookmarkStart w:id="0" w:name="_gjdgxs" w:colFirst="0" w:colLast="0"/>
      <w:bookmarkEnd w:id="0"/>
      <w:r w:rsidRPr="0044193C">
        <w:rPr>
          <w:rFonts w:ascii="Times New Roman" w:hAnsi="Times New Roman"/>
          <w:sz w:val="20"/>
          <w:szCs w:val="20"/>
        </w:rPr>
        <w:t xml:space="preserve">The total concentrations of all the PAHs in this study ranged from 7.02 ng/g to 226.03 ng/g, which can be categorized under low to moderate pollution levels [11]. Based on the molecular index calculations of Fluoranthene/Pyrene, Phenanthere/Anthracene and LMW/HMW, the PAH concentrations and their possible sources found in this study mostly originated from PAH contaminations that were caused by the combustion of trees, woods, vehicle engine combustions and organic combustions. </w:t>
      </w:r>
    </w:p>
    <w:p w:rsidR="0044193C" w:rsidRPr="0044193C" w:rsidRDefault="0044193C" w:rsidP="008F2D15">
      <w:pPr>
        <w:spacing w:after="0" w:line="240" w:lineRule="auto"/>
        <w:jc w:val="center"/>
        <w:rPr>
          <w:rFonts w:ascii="Times New Roman" w:hAnsi="Times New Roman"/>
          <w:b/>
          <w:sz w:val="20"/>
          <w:szCs w:val="20"/>
        </w:rPr>
      </w:pPr>
    </w:p>
    <w:p w:rsidR="0044193C" w:rsidRPr="0044193C" w:rsidRDefault="0044193C" w:rsidP="008F2D15">
      <w:pPr>
        <w:spacing w:after="0" w:line="240" w:lineRule="auto"/>
        <w:jc w:val="center"/>
        <w:rPr>
          <w:rFonts w:ascii="Times New Roman" w:hAnsi="Times New Roman"/>
          <w:b/>
          <w:sz w:val="20"/>
          <w:szCs w:val="20"/>
        </w:rPr>
      </w:pPr>
      <w:r w:rsidRPr="0044193C">
        <w:rPr>
          <w:rFonts w:ascii="Times New Roman" w:hAnsi="Times New Roman"/>
          <w:b/>
          <w:sz w:val="20"/>
          <w:szCs w:val="20"/>
        </w:rPr>
        <w:t>Acknowledgement</w:t>
      </w:r>
    </w:p>
    <w:p w:rsidR="0044193C" w:rsidRPr="0044193C" w:rsidRDefault="0044193C" w:rsidP="0044193C">
      <w:pPr>
        <w:spacing w:after="0" w:line="240" w:lineRule="auto"/>
        <w:jc w:val="both"/>
        <w:rPr>
          <w:rFonts w:ascii="Times New Roman" w:hAnsi="Times New Roman"/>
          <w:b/>
          <w:sz w:val="20"/>
          <w:szCs w:val="20"/>
        </w:rPr>
      </w:pPr>
      <w:r w:rsidRPr="0044193C">
        <w:rPr>
          <w:rFonts w:ascii="Times New Roman" w:hAnsi="Times New Roman"/>
          <w:sz w:val="20"/>
          <w:szCs w:val="20"/>
        </w:rPr>
        <w:t xml:space="preserve">The authors would like to thank the Ministry of Science, Technology and Innovation of Malaysia (MOSTI) and Universiti Kebangsaan Malaysia for the E-science Fund 04-01-02-SF0698 and DPP-2014-162 research grants. </w:t>
      </w:r>
    </w:p>
    <w:p w:rsidR="0044193C" w:rsidRPr="0044193C" w:rsidRDefault="0044193C" w:rsidP="008F2D15">
      <w:pPr>
        <w:spacing w:after="0" w:line="240" w:lineRule="auto"/>
        <w:jc w:val="center"/>
        <w:rPr>
          <w:rFonts w:ascii="Times New Roman" w:hAnsi="Times New Roman"/>
          <w:b/>
          <w:sz w:val="20"/>
          <w:szCs w:val="20"/>
        </w:rPr>
      </w:pPr>
    </w:p>
    <w:p w:rsidR="0044193C" w:rsidRPr="0044193C" w:rsidRDefault="0044193C" w:rsidP="008F2D15">
      <w:pPr>
        <w:spacing w:after="0" w:line="240" w:lineRule="auto"/>
        <w:jc w:val="center"/>
        <w:rPr>
          <w:rFonts w:ascii="Times New Roman" w:hAnsi="Times New Roman"/>
          <w:b/>
          <w:sz w:val="20"/>
          <w:szCs w:val="20"/>
        </w:rPr>
      </w:pPr>
      <w:r w:rsidRPr="0044193C">
        <w:rPr>
          <w:rFonts w:ascii="Times New Roman" w:hAnsi="Times New Roman"/>
          <w:b/>
          <w:sz w:val="20"/>
          <w:szCs w:val="20"/>
        </w:rPr>
        <w:t>References</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Luca, G. D., Furesi, A., Micera, G., Panzanelli, A., Piu, P. C., Pilo, M. I., Spano, N. and Sanna, G. (2005). Nature, distribution and origin of polycyclic aromatic hydrocarbons (PAHs) in the sediments of Olbia harbor (Northern Sardinia, Italy). </w:t>
      </w:r>
      <w:r w:rsidRPr="0044193C">
        <w:rPr>
          <w:rFonts w:ascii="Times New Roman" w:hAnsi="Times New Roman"/>
          <w:i/>
          <w:sz w:val="20"/>
          <w:szCs w:val="20"/>
        </w:rPr>
        <w:t>Marine Pollution Bulletin</w:t>
      </w:r>
      <w:r w:rsidRPr="0044193C">
        <w:rPr>
          <w:rFonts w:ascii="Times New Roman" w:hAnsi="Times New Roman"/>
          <w:sz w:val="20"/>
          <w:szCs w:val="20"/>
        </w:rPr>
        <w:t>, 50: 1223-1232.</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Chiu, W. C. and Chih, F. C. (2011). Distribution, origin, and potential toxicology significance of polycyclic aromatic hydrocarbon (PAHs) in sediments of Kaohsiung Harbor, Taiwan. </w:t>
      </w:r>
      <w:r w:rsidRPr="0044193C">
        <w:rPr>
          <w:rFonts w:ascii="Times New Roman" w:hAnsi="Times New Roman"/>
          <w:i/>
          <w:sz w:val="20"/>
          <w:szCs w:val="20"/>
        </w:rPr>
        <w:t>Marine Pollution Bulletin</w:t>
      </w:r>
      <w:r w:rsidRPr="0044193C">
        <w:rPr>
          <w:rFonts w:ascii="Times New Roman" w:hAnsi="Times New Roman"/>
          <w:sz w:val="20"/>
          <w:szCs w:val="20"/>
        </w:rPr>
        <w:t xml:space="preserve"> 63: 417-423.</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Qiao, M. W., Huang, S., Wang, D. and Wang, Z. (2006). Composition, sources, and potential toxicological significance of PAHs in the surface sediments of the Meiliang Bay, Taihu Lake, China. </w:t>
      </w:r>
      <w:r w:rsidRPr="0044193C">
        <w:rPr>
          <w:rFonts w:ascii="Times New Roman" w:hAnsi="Times New Roman"/>
          <w:i/>
          <w:sz w:val="20"/>
          <w:szCs w:val="20"/>
        </w:rPr>
        <w:t>Environmental International</w:t>
      </w:r>
      <w:r w:rsidRPr="0044193C">
        <w:rPr>
          <w:rFonts w:ascii="Times New Roman" w:hAnsi="Times New Roman"/>
          <w:sz w:val="20"/>
          <w:szCs w:val="20"/>
        </w:rPr>
        <w:t>, 32: 28-33.</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Keshavarzifard, M., Zakaria, M. P. and Hwai, T. S. (2017). Bioavailability of polycyclic aromatic hydrocarbons (PAHs) to short neck clam (</w:t>
      </w:r>
      <w:r w:rsidRPr="0044193C">
        <w:rPr>
          <w:rFonts w:ascii="Times New Roman" w:hAnsi="Times New Roman"/>
          <w:i/>
          <w:sz w:val="20"/>
          <w:szCs w:val="20"/>
        </w:rPr>
        <w:t>Paphia undulata</w:t>
      </w:r>
      <w:r w:rsidRPr="0044193C">
        <w:rPr>
          <w:rFonts w:ascii="Times New Roman" w:hAnsi="Times New Roman"/>
          <w:sz w:val="20"/>
          <w:szCs w:val="20"/>
        </w:rPr>
        <w:t xml:space="preserve">) from sediment matrices in mudflat areas of West coast of Peninsular Malaysia. </w:t>
      </w:r>
      <w:r w:rsidRPr="0044193C">
        <w:rPr>
          <w:rFonts w:ascii="Times New Roman" w:hAnsi="Times New Roman"/>
          <w:i/>
          <w:sz w:val="20"/>
          <w:szCs w:val="20"/>
        </w:rPr>
        <w:t>Environmental Geochemistry and Health</w:t>
      </w:r>
      <w:r w:rsidRPr="0044193C">
        <w:rPr>
          <w:rFonts w:ascii="Times New Roman" w:hAnsi="Times New Roman"/>
          <w:sz w:val="20"/>
          <w:szCs w:val="20"/>
        </w:rPr>
        <w:t>, 39(3): 591-610.</w:t>
      </w:r>
    </w:p>
    <w:p w:rsidR="008F2D15" w:rsidRPr="00284892" w:rsidRDefault="0044193C" w:rsidP="00284892">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lastRenderedPageBreak/>
        <w:t xml:space="preserve">Vaezzadeh, V., Zakaria, M. P., Mustafa, S., Ibrahim, Z. Z., Shau-Hwai, A. T. and Keshavarzifard, M. (2015). Source type evaluation of polycyclic aromatic hydrocarbons (PAHs) in surface sediments from the Muar River and Pulau Merambong, Peninsular Malaysia. </w:t>
      </w:r>
      <w:r w:rsidRPr="0044193C">
        <w:rPr>
          <w:rFonts w:ascii="Times New Roman" w:hAnsi="Times New Roman"/>
          <w:i/>
          <w:sz w:val="20"/>
          <w:szCs w:val="20"/>
        </w:rPr>
        <w:t>Environmental Forensics</w:t>
      </w:r>
      <w:r w:rsidRPr="0044193C">
        <w:rPr>
          <w:rFonts w:ascii="Times New Roman" w:hAnsi="Times New Roman"/>
          <w:sz w:val="20"/>
          <w:szCs w:val="20"/>
        </w:rPr>
        <w:t>, 16: 135-142.</w:t>
      </w:r>
      <w:bookmarkStart w:id="1" w:name="_GoBack"/>
      <w:bookmarkEnd w:id="1"/>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Sakari, M., Zakaria, M. P., Lajis, N., Mohamed, C. A. R., Chandru, K. and Sahpoury. (2011). Polycyclic aromatic hydrocarbons and hopane in Malacca coastal water: 130 years of evidence for their land-based sources. </w:t>
      </w:r>
      <w:r w:rsidRPr="0044193C">
        <w:rPr>
          <w:rFonts w:ascii="Times New Roman" w:hAnsi="Times New Roman"/>
          <w:i/>
          <w:sz w:val="20"/>
          <w:szCs w:val="20"/>
        </w:rPr>
        <w:t>Environmental Forensics</w:t>
      </w:r>
      <w:r w:rsidRPr="0044193C">
        <w:rPr>
          <w:rFonts w:ascii="Times New Roman" w:hAnsi="Times New Roman"/>
          <w:sz w:val="20"/>
          <w:szCs w:val="20"/>
        </w:rPr>
        <w:t>, 12: 1-16.</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Zakaria, M. P., Takada, H., Tsutsumi, S., Ohno, K., Yamada, J., Kuono, E. and Ku Mata, H. (2002). Distribution of polycyclic aromatic hydrocarbons (PAHs) in rivers and estuaries in Malaysia: A widespread input of petrogenic PAHs. </w:t>
      </w:r>
      <w:r w:rsidRPr="0044193C">
        <w:rPr>
          <w:rFonts w:ascii="Times New Roman" w:hAnsi="Times New Roman"/>
          <w:i/>
          <w:sz w:val="20"/>
          <w:szCs w:val="20"/>
        </w:rPr>
        <w:t>Environmental Science and Technology</w:t>
      </w:r>
      <w:r w:rsidRPr="0044193C">
        <w:rPr>
          <w:rFonts w:ascii="Times New Roman" w:hAnsi="Times New Roman"/>
          <w:sz w:val="20"/>
          <w:szCs w:val="20"/>
        </w:rPr>
        <w:t>, 36: 1907-1918.</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Mohd Tahir, N., Rani Abdullah, A., Tong, S. L. and Wang, C. W. (1999). Oil and grease pollution in Malaysian coastal waters: current status and future considerations. In: Assessment and monitoring of marine system. Universiti Putra Malaysia Terengganu, Kuala Terengganu, Malaysia: pp. 115-123. </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Sakari M., Zakaria, P. and Lajis, N. H. (2008). Distribution, characterisation and origins of polycyclic aromatic hydrocarbons (PAHs) in major rivers from the east coast of Peninsular Malaysia. </w:t>
      </w:r>
      <w:r w:rsidRPr="0044193C">
        <w:rPr>
          <w:rFonts w:ascii="Times New Roman" w:hAnsi="Times New Roman"/>
          <w:i/>
          <w:sz w:val="20"/>
          <w:szCs w:val="20"/>
        </w:rPr>
        <w:t>Coastal Marine Science Journal</w:t>
      </w:r>
      <w:r w:rsidRPr="0044193C">
        <w:rPr>
          <w:rFonts w:ascii="Times New Roman" w:hAnsi="Times New Roman"/>
          <w:sz w:val="20"/>
          <w:szCs w:val="20"/>
        </w:rPr>
        <w:t>, 32(1): 9-18.</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Claudine, N., Rialet, P., Laura, P. Q., Henrik, K. and Anders R. (2011). Polycyclic aromatic hydrocarbons (PAHs) in soil and sediment from industrial, residential, and agricultural areas in central South Africa: An initial assessment. </w:t>
      </w:r>
      <w:r w:rsidRPr="0044193C">
        <w:rPr>
          <w:rFonts w:ascii="Times New Roman" w:hAnsi="Times New Roman"/>
          <w:i/>
          <w:sz w:val="20"/>
          <w:szCs w:val="20"/>
        </w:rPr>
        <w:t>Soil and Sediment Contamination: An International Journal</w:t>
      </w:r>
      <w:r w:rsidRPr="0044193C">
        <w:rPr>
          <w:rFonts w:ascii="Times New Roman" w:hAnsi="Times New Roman"/>
          <w:sz w:val="20"/>
          <w:szCs w:val="20"/>
        </w:rPr>
        <w:t>, 20: 199-204.</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Baumard, P., Budzinski, H., Michon, Q., Garrigues, P., Burgeot, T. and Bellocq, J. (2008). Origin and bioavailability of PAHs in the Mediterranean Sea from mussel and sediment records. </w:t>
      </w:r>
      <w:r w:rsidRPr="0044193C">
        <w:rPr>
          <w:rFonts w:ascii="Times New Roman" w:hAnsi="Times New Roman"/>
          <w:i/>
          <w:sz w:val="20"/>
          <w:szCs w:val="20"/>
        </w:rPr>
        <w:t>Estuarine, Coastal and Shelf Science</w:t>
      </w:r>
      <w:r w:rsidRPr="0044193C">
        <w:rPr>
          <w:rFonts w:ascii="Times New Roman" w:hAnsi="Times New Roman"/>
          <w:sz w:val="20"/>
          <w:szCs w:val="20"/>
        </w:rPr>
        <w:t>, 47: 77-90.</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Gscwend, P. M. and Hites, R. A. (1981). Fluxes of polycyclic aromatic hydrocarbons to marine and lacustrine sediments in the northeastern United States. </w:t>
      </w:r>
      <w:r w:rsidRPr="0044193C">
        <w:rPr>
          <w:rFonts w:ascii="Times New Roman" w:hAnsi="Times New Roman"/>
          <w:i/>
          <w:sz w:val="20"/>
          <w:szCs w:val="20"/>
        </w:rPr>
        <w:t>Geochimica et Cosmochima Acta</w:t>
      </w:r>
      <w:r w:rsidRPr="0044193C">
        <w:rPr>
          <w:rFonts w:ascii="Times New Roman" w:hAnsi="Times New Roman"/>
          <w:sz w:val="20"/>
          <w:szCs w:val="20"/>
        </w:rPr>
        <w:t>, 45: 2359-2367.</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Magi, E., Bianco, R., Ianni, C. and Carro, M. D. (2002). Distribution of polycyclic aromatic hydrocarbons in the sediments of the Adriatic Sea. </w:t>
      </w:r>
      <w:r w:rsidRPr="0044193C">
        <w:rPr>
          <w:rFonts w:ascii="Times New Roman" w:hAnsi="Times New Roman"/>
          <w:i/>
          <w:sz w:val="20"/>
          <w:szCs w:val="20"/>
        </w:rPr>
        <w:t>Environmental Pollution</w:t>
      </w:r>
      <w:r w:rsidRPr="0044193C">
        <w:rPr>
          <w:rFonts w:ascii="Times New Roman" w:hAnsi="Times New Roman"/>
          <w:sz w:val="20"/>
          <w:szCs w:val="20"/>
        </w:rPr>
        <w:t>, 119: 91-98.</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Soclo, H. H., Garrigues, P. and Ewald, M. (2000). Origin of polycyclic aromatic hydrocarbons (PAHs) in coastal marine sediments: Case studies in Cotonou (Benin) and Aquataine (France) areas. </w:t>
      </w:r>
      <w:r w:rsidRPr="0044193C">
        <w:rPr>
          <w:rFonts w:ascii="Times New Roman" w:hAnsi="Times New Roman"/>
          <w:i/>
          <w:sz w:val="20"/>
          <w:szCs w:val="20"/>
        </w:rPr>
        <w:t>Marine Pollution Bulletin</w:t>
      </w:r>
      <w:r w:rsidRPr="0044193C">
        <w:rPr>
          <w:rFonts w:ascii="Times New Roman" w:hAnsi="Times New Roman"/>
          <w:sz w:val="20"/>
          <w:szCs w:val="20"/>
        </w:rPr>
        <w:t>, 40 (5): 387-396.</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Sanders, M., Sivetsen, S. and Scott, G. (2002). Origin and distribution of polycyclic aromatic hydrocarbons in surficial sediments from the Savannah River. </w:t>
      </w:r>
      <w:r w:rsidRPr="0044193C">
        <w:rPr>
          <w:rFonts w:ascii="Times New Roman" w:hAnsi="Times New Roman"/>
          <w:i/>
          <w:sz w:val="20"/>
          <w:szCs w:val="20"/>
        </w:rPr>
        <w:t>Archives of Environmental Contamination and Toxicology</w:t>
      </w:r>
      <w:r w:rsidRPr="0044193C">
        <w:rPr>
          <w:rFonts w:ascii="Times New Roman" w:hAnsi="Times New Roman"/>
          <w:sz w:val="20"/>
          <w:szCs w:val="20"/>
        </w:rPr>
        <w:t>, 43: 438-448.</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Yunker, M. B., Macdonald, R. W, Vingarzan, R., Mitchell, R. H, Goyette, D. and Sylvestre, S. (2002). PAHs in the Fraser river basin: a critical appraisal of PAH ratios as indicators of PAH source and composition. </w:t>
      </w:r>
      <w:r w:rsidRPr="0044193C">
        <w:rPr>
          <w:rFonts w:ascii="Times New Roman" w:hAnsi="Times New Roman"/>
          <w:i/>
          <w:sz w:val="20"/>
          <w:szCs w:val="20"/>
        </w:rPr>
        <w:t>Organic Geochemistry</w:t>
      </w:r>
      <w:r w:rsidRPr="0044193C">
        <w:rPr>
          <w:rFonts w:ascii="Times New Roman" w:hAnsi="Times New Roman"/>
          <w:sz w:val="20"/>
          <w:szCs w:val="20"/>
        </w:rPr>
        <w:t>, 33: 489-515.</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Luo, X. S., Yu, S., Zhu, Y. G. and Li, X. D. (2011). Trace metal contamination in urban soils of China. </w:t>
      </w:r>
      <w:r w:rsidRPr="0044193C">
        <w:rPr>
          <w:rFonts w:ascii="Times New Roman" w:hAnsi="Times New Roman"/>
          <w:i/>
          <w:sz w:val="20"/>
          <w:szCs w:val="20"/>
        </w:rPr>
        <w:t>Science of the Total Environment</w:t>
      </w:r>
      <w:r w:rsidRPr="0044193C">
        <w:rPr>
          <w:rFonts w:ascii="Times New Roman" w:hAnsi="Times New Roman"/>
          <w:sz w:val="20"/>
          <w:szCs w:val="20"/>
        </w:rPr>
        <w:t>, 421-422: 17-30.</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Harrison, R. M., Smith, D. J. T., Pio, C. A. and Castro, L. M. (1996). Source apportionment of atmospheric polycyclic aromatic hydrocarbons collected from an urban location in Birmingham, UK. </w:t>
      </w:r>
      <w:r w:rsidRPr="0044193C">
        <w:rPr>
          <w:rFonts w:ascii="Times New Roman" w:hAnsi="Times New Roman"/>
          <w:i/>
          <w:sz w:val="20"/>
          <w:szCs w:val="20"/>
        </w:rPr>
        <w:t>Environmental Science &amp; Technology</w:t>
      </w:r>
      <w:r w:rsidRPr="0044193C">
        <w:rPr>
          <w:rFonts w:ascii="Times New Roman" w:hAnsi="Times New Roman"/>
          <w:sz w:val="20"/>
          <w:szCs w:val="20"/>
        </w:rPr>
        <w:t>, 30(3): 825-832.</w:t>
      </w:r>
    </w:p>
    <w:p w:rsidR="0044193C" w:rsidRPr="0044193C" w:rsidRDefault="0044193C" w:rsidP="008F2D15">
      <w:pPr>
        <w:widowControl w:val="0"/>
        <w:numPr>
          <w:ilvl w:val="0"/>
          <w:numId w:val="2"/>
        </w:numPr>
        <w:pBdr>
          <w:top w:val="nil"/>
          <w:left w:val="nil"/>
          <w:bottom w:val="nil"/>
          <w:right w:val="nil"/>
          <w:between w:val="nil"/>
        </w:pBdr>
        <w:autoSpaceDE w:val="0"/>
        <w:autoSpaceDN w:val="0"/>
        <w:spacing w:after="0" w:line="240" w:lineRule="auto"/>
        <w:ind w:left="360"/>
        <w:jc w:val="both"/>
        <w:rPr>
          <w:rFonts w:ascii="Times New Roman" w:hAnsi="Times New Roman"/>
          <w:sz w:val="20"/>
          <w:szCs w:val="20"/>
        </w:rPr>
      </w:pPr>
      <w:r w:rsidRPr="0044193C">
        <w:rPr>
          <w:rFonts w:ascii="Times New Roman" w:hAnsi="Times New Roman"/>
          <w:sz w:val="20"/>
          <w:szCs w:val="20"/>
        </w:rPr>
        <w:t xml:space="preserve">Zhang, J., Cai, L. Z., Yuan, D. X. and Chen, M. (2004). Distribution and sources of polynuclear aromatic hydrocarbons in mangrove surficial sediments of deep bay, China. </w:t>
      </w:r>
      <w:r w:rsidRPr="0044193C">
        <w:rPr>
          <w:rFonts w:ascii="Times New Roman" w:hAnsi="Times New Roman"/>
          <w:i/>
          <w:sz w:val="20"/>
          <w:szCs w:val="20"/>
        </w:rPr>
        <w:t>Marine Pollution Bulletin</w:t>
      </w:r>
      <w:r w:rsidRPr="0044193C">
        <w:rPr>
          <w:rFonts w:ascii="Times New Roman" w:hAnsi="Times New Roman"/>
          <w:sz w:val="20"/>
          <w:szCs w:val="20"/>
        </w:rPr>
        <w:t>, 49: 479-486.</w:t>
      </w:r>
    </w:p>
    <w:p w:rsidR="0044193C" w:rsidRPr="00C81BFE" w:rsidRDefault="0044193C" w:rsidP="00C81BFE">
      <w:pPr>
        <w:spacing w:after="0" w:line="240" w:lineRule="auto"/>
        <w:jc w:val="both"/>
        <w:rPr>
          <w:rFonts w:ascii="Times New Roman" w:hAnsi="Times New Roman"/>
          <w:sz w:val="20"/>
          <w:szCs w:val="20"/>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6A1278" w:rsidRDefault="006A1278" w:rsidP="006A1278">
      <w:pPr>
        <w:jc w:val="center"/>
        <w:rPr>
          <w:rFonts w:ascii="Times New Roman" w:hAnsi="Times New Roman"/>
          <w:b/>
          <w:sz w:val="18"/>
          <w:szCs w:val="18"/>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7D24E7">
      <w:headerReference w:type="even" r:id="rId16"/>
      <w:headerReference w:type="default" r:id="rId17"/>
      <w:footerReference w:type="even" r:id="rId18"/>
      <w:footerReference w:type="default" r:id="rId19"/>
      <w:pgSz w:w="12240" w:h="15840" w:code="1"/>
      <w:pgMar w:top="1800" w:right="1469" w:bottom="1699" w:left="1440" w:header="706" w:footer="706" w:gutter="0"/>
      <w:pgNumType w:start="10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08E">
      <w:rPr>
        <w:rFonts w:ascii="Times New Roman" w:hAnsi="Times New Roman"/>
        <w:noProof/>
      </w:rPr>
      <w:t>1008</w:t>
    </w:r>
    <w:r w:rsidRPr="008B5904">
      <w:rPr>
        <w:rFonts w:ascii="Times New Roman" w:hAnsi="Times New Roman"/>
        <w:noProof/>
      </w:rPr>
      <w:fldChar w:fldCharType="end"/>
    </w:r>
  </w:p>
  <w:p w:rsidR="000620D9" w:rsidRPr="008C680A" w:rsidRDefault="000620D9">
    <w:pPr>
      <w:rPr>
        <w:lang w:val="en-M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0A" w:rsidRPr="008C680A" w:rsidRDefault="008B5904" w:rsidP="008C680A">
    <w:pPr>
      <w:pStyle w:val="Footer"/>
      <w:jc w:val="right"/>
      <w:rPr>
        <w:rFonts w:ascii="Times New Roman" w:hAnsi="Times New Roman"/>
        <w:noProof/>
        <w:lang w:val="en-MY"/>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08E">
      <w:rPr>
        <w:rFonts w:ascii="Times New Roman" w:hAnsi="Times New Roman"/>
        <w:noProof/>
      </w:rPr>
      <w:t>1007</w:t>
    </w:r>
    <w:r w:rsidRPr="008B5904">
      <w:rPr>
        <w:rFonts w:ascii="Times New Roman" w:hAnsi="Times New Roman"/>
        <w:noProof/>
      </w:rPr>
      <w:fldChar w:fldCharType="end"/>
    </w:r>
  </w:p>
  <w:p w:rsidR="000620D9" w:rsidRDefault="00062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0A" w:rsidRPr="006A1278" w:rsidRDefault="006A1278" w:rsidP="006A1278">
    <w:pPr>
      <w:spacing w:after="0" w:line="240" w:lineRule="auto"/>
      <w:ind w:left="1260" w:hanging="1260"/>
      <w:rPr>
        <w:rFonts w:ascii="Times New Roman" w:hAnsi="Times New Roman"/>
        <w:sz w:val="20"/>
        <w:szCs w:val="20"/>
      </w:rPr>
    </w:pPr>
    <w:r>
      <w:rPr>
        <w:rFonts w:ascii="Times New Roman" w:hAnsi="Times New Roman"/>
        <w:sz w:val="20"/>
        <w:szCs w:val="20"/>
      </w:rPr>
      <w:t>Chiu &amp; Masri</w:t>
    </w:r>
    <w:r w:rsidR="006B72B0" w:rsidRPr="006A1278">
      <w:rPr>
        <w:rFonts w:ascii="Times New Roman" w:hAnsi="Times New Roman"/>
        <w:sz w:val="20"/>
        <w:szCs w:val="20"/>
      </w:rPr>
      <w:t xml:space="preserve">: </w:t>
    </w:r>
    <w:r w:rsidRPr="006A1278">
      <w:rPr>
        <w:rFonts w:ascii="Times New Roman" w:hAnsi="Times New Roman"/>
        <w:sz w:val="20"/>
        <w:szCs w:val="20"/>
      </w:rPr>
      <w:t xml:space="preserve"> SOURCES AND COMPOSITION OF POLYCYCLIC AROMATIC HYDROCARBONS IN THE RIVER AND ESTUARIAL SEDIMENT ALONG THE VICINITY OF KUALA KEDAH,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7D24E7">
      <w:rPr>
        <w:rFonts w:ascii="Times New Roman" w:hAnsi="Times New Roman"/>
        <w:i/>
        <w:lang w:val="en-US"/>
      </w:rPr>
      <w:t>1001</w:t>
    </w:r>
    <w:r>
      <w:rPr>
        <w:rFonts w:ascii="Times New Roman" w:hAnsi="Times New Roman"/>
        <w:i/>
        <w:lang w:val="en-US"/>
      </w:rPr>
      <w:t xml:space="preserve"> </w:t>
    </w:r>
    <w:r w:rsidR="007A0583">
      <w:rPr>
        <w:rFonts w:ascii="Times New Roman" w:hAnsi="Times New Roman"/>
        <w:i/>
        <w:lang w:val="en-US"/>
      </w:rPr>
      <w:t>-</w:t>
    </w:r>
    <w:r w:rsidR="007D24E7">
      <w:rPr>
        <w:rFonts w:ascii="Times New Roman" w:hAnsi="Times New Roman"/>
        <w:i/>
        <w:lang w:val="en-US"/>
      </w:rPr>
      <w:t xml:space="preserve"> 1008</w:t>
    </w:r>
  </w:p>
  <w:p w:rsidR="000620D9" w:rsidRPr="008C680A" w:rsidRDefault="00F4760B" w:rsidP="008C680A">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7D24E7">
      <w:rPr>
        <w:rFonts w:ascii="Times New Roman" w:hAnsi="Times New Roman"/>
        <w:i/>
        <w:lang w:val="en-US"/>
      </w:rPr>
      <w:t>-08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82B"/>
    <w:multiLevelType w:val="multilevel"/>
    <w:tmpl w:val="BE86C878"/>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4BE2"/>
    <w:rsid w:val="00016385"/>
    <w:rsid w:val="00041111"/>
    <w:rsid w:val="000620D9"/>
    <w:rsid w:val="00084936"/>
    <w:rsid w:val="000C49FF"/>
    <w:rsid w:val="000D16A1"/>
    <w:rsid w:val="000D2B0C"/>
    <w:rsid w:val="000F40A8"/>
    <w:rsid w:val="000F77DA"/>
    <w:rsid w:val="001068E8"/>
    <w:rsid w:val="001106D8"/>
    <w:rsid w:val="00117BCD"/>
    <w:rsid w:val="001A3202"/>
    <w:rsid w:val="001A3275"/>
    <w:rsid w:val="001D035A"/>
    <w:rsid w:val="001D3855"/>
    <w:rsid w:val="001D6F2C"/>
    <w:rsid w:val="002627A2"/>
    <w:rsid w:val="00277498"/>
    <w:rsid w:val="00284892"/>
    <w:rsid w:val="002860B7"/>
    <w:rsid w:val="00290F4D"/>
    <w:rsid w:val="002A2FC0"/>
    <w:rsid w:val="002B188F"/>
    <w:rsid w:val="002B3BD8"/>
    <w:rsid w:val="002F3F91"/>
    <w:rsid w:val="00304767"/>
    <w:rsid w:val="00304B34"/>
    <w:rsid w:val="00312A6F"/>
    <w:rsid w:val="00352D57"/>
    <w:rsid w:val="00361BAF"/>
    <w:rsid w:val="00362FCE"/>
    <w:rsid w:val="00367D1F"/>
    <w:rsid w:val="00392478"/>
    <w:rsid w:val="003B4FC1"/>
    <w:rsid w:val="003B6019"/>
    <w:rsid w:val="003D585B"/>
    <w:rsid w:val="003E7DA6"/>
    <w:rsid w:val="003F12FF"/>
    <w:rsid w:val="0044193C"/>
    <w:rsid w:val="004760D4"/>
    <w:rsid w:val="00482180"/>
    <w:rsid w:val="00494C46"/>
    <w:rsid w:val="004B43FF"/>
    <w:rsid w:val="004C7089"/>
    <w:rsid w:val="004D7E25"/>
    <w:rsid w:val="004F265B"/>
    <w:rsid w:val="00502641"/>
    <w:rsid w:val="00506DFE"/>
    <w:rsid w:val="0054578F"/>
    <w:rsid w:val="005C6768"/>
    <w:rsid w:val="005E4871"/>
    <w:rsid w:val="00601C8A"/>
    <w:rsid w:val="00617AA2"/>
    <w:rsid w:val="006257E5"/>
    <w:rsid w:val="006263F9"/>
    <w:rsid w:val="006279EB"/>
    <w:rsid w:val="00634C25"/>
    <w:rsid w:val="0063542E"/>
    <w:rsid w:val="00637469"/>
    <w:rsid w:val="006416AB"/>
    <w:rsid w:val="00660445"/>
    <w:rsid w:val="00666974"/>
    <w:rsid w:val="006768E9"/>
    <w:rsid w:val="00687982"/>
    <w:rsid w:val="006A1278"/>
    <w:rsid w:val="006B3EC8"/>
    <w:rsid w:val="006B72B0"/>
    <w:rsid w:val="006D286E"/>
    <w:rsid w:val="006D695E"/>
    <w:rsid w:val="00725A6A"/>
    <w:rsid w:val="007706A6"/>
    <w:rsid w:val="00781AA4"/>
    <w:rsid w:val="007943F3"/>
    <w:rsid w:val="007A0583"/>
    <w:rsid w:val="007A738C"/>
    <w:rsid w:val="007B008E"/>
    <w:rsid w:val="007B1349"/>
    <w:rsid w:val="007D24E7"/>
    <w:rsid w:val="007D45AC"/>
    <w:rsid w:val="007E25BD"/>
    <w:rsid w:val="00802C35"/>
    <w:rsid w:val="00821698"/>
    <w:rsid w:val="0082181A"/>
    <w:rsid w:val="0082457A"/>
    <w:rsid w:val="00825624"/>
    <w:rsid w:val="0083587A"/>
    <w:rsid w:val="00883CC3"/>
    <w:rsid w:val="008B470E"/>
    <w:rsid w:val="008B5904"/>
    <w:rsid w:val="008C680A"/>
    <w:rsid w:val="008D1880"/>
    <w:rsid w:val="008D29BF"/>
    <w:rsid w:val="008E1211"/>
    <w:rsid w:val="008E5BBF"/>
    <w:rsid w:val="008E6968"/>
    <w:rsid w:val="008F2D15"/>
    <w:rsid w:val="009018DD"/>
    <w:rsid w:val="009211AF"/>
    <w:rsid w:val="00921742"/>
    <w:rsid w:val="009357B8"/>
    <w:rsid w:val="009866F6"/>
    <w:rsid w:val="009B3139"/>
    <w:rsid w:val="009D030D"/>
    <w:rsid w:val="00A049C6"/>
    <w:rsid w:val="00A14DB9"/>
    <w:rsid w:val="00A4762A"/>
    <w:rsid w:val="00A64690"/>
    <w:rsid w:val="00A648DF"/>
    <w:rsid w:val="00A74A7E"/>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81BFE"/>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F121A0"/>
    <w:rsid w:val="00F31093"/>
    <w:rsid w:val="00F33AB1"/>
    <w:rsid w:val="00F412AF"/>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rc9292\Dropbox\Documents\Research\Terence's%20PhD%20Thesis\Raw%20Data%20&amp;%20Calculations\Excel%20Calculations\PAH%20KUALA%20KEDAH.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trc9292\Dropbox\Documents\Research\Terence's%20PhD%20Thesis\Raw%20Data%20&amp;%20Calculations\Excel%20Calculations\PAH%20KUALA%20KEDAH.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trc9292\Dropbox\Documents\Research\Terence's%20PhD%20Thesis\Raw%20Data%20&amp;%20Calculations\Excel%20Calculations\PAH%20KUALA%20KEDAH.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rc9292\Dropbox\Documents\Research\Terence's%20PhD%20Thesis\PhD%20Paper%20Writting\MJAS%202019\separated%20table.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val>
            <c:numRef>
              <c:f>Sheet2!$A$4:$P$4</c:f>
              <c:numCache>
                <c:formatCode>General</c:formatCode>
                <c:ptCount val="16"/>
                <c:pt idx="0">
                  <c:v>17.614361901900399</c:v>
                </c:pt>
                <c:pt idx="1">
                  <c:v>14.878116632472095</c:v>
                </c:pt>
                <c:pt idx="2">
                  <c:v>11.15970432741746</c:v>
                </c:pt>
                <c:pt idx="3">
                  <c:v>20.02251391189839</c:v>
                </c:pt>
                <c:pt idx="4">
                  <c:v>41.243321315320784</c:v>
                </c:pt>
                <c:pt idx="5">
                  <c:v>338.04076698241698</c:v>
                </c:pt>
                <c:pt idx="6">
                  <c:v>14.949029701629017</c:v>
                </c:pt>
                <c:pt idx="7">
                  <c:v>24.511865770269495</c:v>
                </c:pt>
                <c:pt idx="8">
                  <c:v>23.930133120147296</c:v>
                </c:pt>
                <c:pt idx="9">
                  <c:v>42.374167751649075</c:v>
                </c:pt>
                <c:pt idx="10">
                  <c:v>50.410380942044711</c:v>
                </c:pt>
                <c:pt idx="11">
                  <c:v>58.201232723439198</c:v>
                </c:pt>
                <c:pt idx="12">
                  <c:v>40.233473701845099</c:v>
                </c:pt>
                <c:pt idx="13">
                  <c:v>52.675790179523915</c:v>
                </c:pt>
                <c:pt idx="14">
                  <c:v>33.025772112893065</c:v>
                </c:pt>
                <c:pt idx="15">
                  <c:v>144.06836439113786</c:v>
                </c:pt>
              </c:numCache>
            </c:numRef>
          </c:val>
          <c:extLst xmlns:c16r2="http://schemas.microsoft.com/office/drawing/2015/06/chart">
            <c:ext xmlns:c16="http://schemas.microsoft.com/office/drawing/2014/chart" uri="{C3380CC4-5D6E-409C-BE32-E72D297353CC}">
              <c16:uniqueId val="{00000000-95BB-474C-B95C-CC80ABB11BDD}"/>
            </c:ext>
          </c:extLst>
        </c:ser>
        <c:dLbls>
          <c:showLegendKey val="0"/>
          <c:showVal val="0"/>
          <c:showCatName val="0"/>
          <c:showSerName val="0"/>
          <c:showPercent val="0"/>
          <c:showBubbleSize val="0"/>
        </c:dLbls>
        <c:gapWidth val="150"/>
        <c:axId val="209271040"/>
        <c:axId val="209273216"/>
      </c:barChart>
      <c:catAx>
        <c:axId val="209271040"/>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MY" sz="900" b="1"/>
                  <a:t>Sampling Stations</a:t>
                </a:r>
              </a:p>
            </c:rich>
          </c:tx>
          <c:layout/>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9273216"/>
        <c:crosses val="autoZero"/>
        <c:auto val="1"/>
        <c:lblAlgn val="ctr"/>
        <c:lblOffset val="100"/>
        <c:noMultiLvlLbl val="0"/>
      </c:catAx>
      <c:valAx>
        <c:axId val="209273216"/>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MY" sz="900" b="1"/>
                  <a:t>Total PAHs (ng/g)</a:t>
                </a:r>
              </a:p>
            </c:rich>
          </c:tx>
          <c:layout/>
          <c:overlay val="0"/>
        </c:title>
        <c:numFmt formatCode="General" sourceLinked="1"/>
        <c:majorTickMark val="out"/>
        <c:minorTickMark val="none"/>
        <c:tickLblPos val="nextTo"/>
        <c:spPr>
          <a:ln>
            <a:solidFill>
              <a:schemeClr val="tx1"/>
            </a:solidFill>
          </a:ln>
        </c:spPr>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09271040"/>
        <c:crosses val="autoZero"/>
        <c:crossBetween val="between"/>
      </c:valAx>
    </c:plotArea>
    <c:plotVisOnly val="1"/>
    <c:dispBlanksAs val="gap"/>
    <c:showDLblsOverMax val="0"/>
  </c:chart>
  <c:spPr>
    <a:ln w="6350">
      <a:solidFill>
        <a:sysClr val="windowText" lastClr="000000"/>
      </a:solidFill>
    </a:ln>
  </c:spPr>
  <c:txPr>
    <a:bodyPr/>
    <a:lstStyle/>
    <a:p>
      <a:pPr algn="just">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w="19050">
              <a:solidFill>
                <a:schemeClr val="tx1"/>
              </a:solidFill>
            </a:ln>
          </c:spPr>
          <c:explosion val="25"/>
          <c:dPt>
            <c:idx val="0"/>
            <c:bubble3D val="0"/>
            <c:spPr>
              <a:pattFill prst="dkVert">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1-B2C8-4087-822E-3E71A44024DC}"/>
              </c:ext>
            </c:extLst>
          </c:dPt>
          <c:dPt>
            <c:idx val="1"/>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03-B2C8-4087-822E-3E71A44024DC}"/>
              </c:ext>
            </c:extLst>
          </c:dPt>
          <c:dPt>
            <c:idx val="2"/>
            <c:bubble3D val="0"/>
            <c:spPr>
              <a:pattFill prst="ltHorz">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5-B2C8-4087-822E-3E71A44024DC}"/>
              </c:ext>
            </c:extLst>
          </c:dPt>
          <c:dPt>
            <c:idx val="3"/>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07-B2C8-4087-822E-3E71A44024DC}"/>
              </c:ext>
            </c:extLst>
          </c:dPt>
          <c:dPt>
            <c:idx val="4"/>
            <c:bubble3D val="0"/>
            <c:spPr>
              <a:pattFill prst="smGrid">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9-B2C8-4087-822E-3E71A44024DC}"/>
              </c:ext>
            </c:extLst>
          </c:dPt>
          <c:dPt>
            <c:idx val="5"/>
            <c:bubble3D val="0"/>
            <c:spPr>
              <a:pattFill prst="narHorz">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B-B2C8-4087-822E-3E71A44024DC}"/>
              </c:ext>
            </c:extLst>
          </c:dPt>
          <c:dPt>
            <c:idx val="6"/>
            <c:bubble3D val="0"/>
            <c:spPr>
              <a:pattFill prst="lgCheck">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D-B2C8-4087-822E-3E71A44024DC}"/>
              </c:ext>
            </c:extLst>
          </c:dPt>
          <c:dPt>
            <c:idx val="7"/>
            <c:bubble3D val="0"/>
            <c:spPr>
              <a:pattFill prst="ltVert">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0F-B2C8-4087-822E-3E71A44024DC}"/>
              </c:ext>
            </c:extLst>
          </c:dPt>
          <c:dPt>
            <c:idx val="8"/>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11-B2C8-4087-822E-3E71A44024DC}"/>
              </c:ext>
            </c:extLst>
          </c:dPt>
          <c:dPt>
            <c:idx val="9"/>
            <c:bubble3D val="0"/>
            <c:spPr>
              <a:pattFill prst="smGrid">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13-B2C8-4087-822E-3E71A44024DC}"/>
              </c:ext>
            </c:extLst>
          </c:dPt>
          <c:dPt>
            <c:idx val="10"/>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15-B2C8-4087-822E-3E71A44024DC}"/>
              </c:ext>
            </c:extLst>
          </c:dPt>
          <c:dPt>
            <c:idx val="11"/>
            <c:bubble3D val="0"/>
            <c:spPr>
              <a:pattFill prst="diagBrick">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17-B2C8-4087-822E-3E71A44024DC}"/>
              </c:ext>
            </c:extLst>
          </c:dPt>
          <c:dPt>
            <c:idx val="12"/>
            <c:bubble3D val="0"/>
            <c:spPr>
              <a:pattFill prst="wave">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19-B2C8-4087-822E-3E71A44024DC}"/>
              </c:ext>
            </c:extLst>
          </c:dPt>
          <c:dPt>
            <c:idx val="13"/>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1B-B2C8-4087-822E-3E71A44024DC}"/>
              </c:ext>
            </c:extLst>
          </c:dPt>
          <c:dPt>
            <c:idx val="14"/>
            <c:bubble3D val="0"/>
            <c:spPr>
              <a:pattFill prst="horzBrick">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1D-B2C8-4087-822E-3E71A44024DC}"/>
              </c:ext>
            </c:extLst>
          </c:dPt>
          <c:dPt>
            <c:idx val="15"/>
            <c:bubble3D val="0"/>
            <c:spPr>
              <a:solidFill>
                <a:schemeClr val="tx1"/>
              </a:solidFill>
              <a:ln w="19050">
                <a:solidFill>
                  <a:schemeClr val="tx1"/>
                </a:solidFill>
              </a:ln>
            </c:spPr>
            <c:extLst xmlns:c16r2="http://schemas.microsoft.com/office/drawing/2015/06/chart">
              <c:ext xmlns:c16="http://schemas.microsoft.com/office/drawing/2014/chart" uri="{C3380CC4-5D6E-409C-BE32-E72D297353CC}">
                <c16:uniqueId val="{0000001F-B2C8-4087-822E-3E71A44024DC}"/>
              </c:ext>
            </c:extLst>
          </c:dPt>
          <c:dPt>
            <c:idx val="16"/>
            <c:bubble3D val="0"/>
            <c:spPr>
              <a:pattFill prst="horzBrick">
                <a:fgClr>
                  <a:schemeClr val="tx1"/>
                </a:fgClr>
                <a:bgClr>
                  <a:schemeClr val="bg1"/>
                </a:bgClr>
              </a:pattFill>
              <a:ln w="19050">
                <a:solidFill>
                  <a:schemeClr val="tx1"/>
                </a:solidFill>
              </a:ln>
            </c:spPr>
            <c:extLst xmlns:c16r2="http://schemas.microsoft.com/office/drawing/2015/06/chart">
              <c:ext xmlns:c16="http://schemas.microsoft.com/office/drawing/2014/chart" uri="{C3380CC4-5D6E-409C-BE32-E72D297353CC}">
                <c16:uniqueId val="{00000021-B2C8-4087-822E-3E71A44024DC}"/>
              </c:ext>
            </c:extLst>
          </c:dPt>
          <c:dLbls>
            <c:dLbl>
              <c:idx val="3"/>
              <c:layout>
                <c:manualLayout>
                  <c:x val="3.4657149631256476E-2"/>
                  <c:y val="9.0028807374687922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2C8-4087-822E-3E71A44024DC}"/>
                </c:ext>
              </c:extLst>
            </c:dLbl>
            <c:dLbl>
              <c:idx val="4"/>
              <c:layout>
                <c:manualLayout>
                  <c:x val="7.0970591544287698E-2"/>
                  <c:y val="3.066754093988075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2C8-4087-822E-3E71A44024DC}"/>
                </c:ext>
              </c:extLst>
            </c:dLbl>
            <c:dLbl>
              <c:idx val="5"/>
              <c:layout>
                <c:manualLayout>
                  <c:x val="3.3135505446922148E-2"/>
                  <c:y val="-1.7749951987708852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2C8-4087-822E-3E71A44024DC}"/>
                </c:ext>
              </c:extLst>
            </c:dLbl>
            <c:dLbl>
              <c:idx val="6"/>
              <c:layout>
                <c:manualLayout>
                  <c:x val="9.4221395859590454E-2"/>
                  <c:y val="-1.8024710325843418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2C8-4087-822E-3E71A44024DC}"/>
                </c:ext>
              </c:extLst>
            </c:dLbl>
            <c:dLbl>
              <c:idx val="7"/>
              <c:layout>
                <c:manualLayout>
                  <c:x val="4.1273326836506523E-2"/>
                  <c:y val="-1.8948594840279231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6528474379933409"/>
                      <c:h val="0.19160197600564574"/>
                    </c:manualLayout>
                  </c15:layout>
                </c:ext>
                <c:ext xmlns:c16="http://schemas.microsoft.com/office/drawing/2014/chart" uri="{C3380CC4-5D6E-409C-BE32-E72D297353CC}">
                  <c16:uniqueId val="{0000000F-B2C8-4087-822E-3E71A44024DC}"/>
                </c:ext>
              </c:extLst>
            </c:dLbl>
            <c:dLbl>
              <c:idx val="8"/>
              <c:layout>
                <c:manualLayout>
                  <c:x val="-7.4087140589169168E-2"/>
                  <c:y val="-3.516384287532160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3019932968777562"/>
                      <c:h val="0.13761467889908255"/>
                    </c:manualLayout>
                  </c15:layout>
                </c:ext>
                <c:ext xmlns:c16="http://schemas.microsoft.com/office/drawing/2014/chart" uri="{C3380CC4-5D6E-409C-BE32-E72D297353CC}">
                  <c16:uniqueId val="{00000011-B2C8-4087-822E-3E71A44024DC}"/>
                </c:ext>
              </c:extLst>
            </c:dLbl>
            <c:dLbl>
              <c:idx val="9"/>
              <c:layout>
                <c:manualLayout>
                  <c:x val="-3.0908810591655407E-2"/>
                  <c:y val="-0.121368756216693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6140398881609195"/>
                      <c:h val="0.19160197600564574"/>
                    </c:manualLayout>
                  </c15:layout>
                </c:ext>
                <c:ext xmlns:c16="http://schemas.microsoft.com/office/drawing/2014/chart" uri="{C3380CC4-5D6E-409C-BE32-E72D297353CC}">
                  <c16:uniqueId val="{00000013-B2C8-4087-822E-3E71A44024DC}"/>
                </c:ext>
              </c:extLst>
            </c:dLbl>
            <c:dLbl>
              <c:idx val="10"/>
              <c:layout>
                <c:manualLayout>
                  <c:x val="-4.2762348225650115E-2"/>
                  <c:y val="9.7632417898982138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3979537837361087"/>
                      <c:h val="0.19160197600564574"/>
                    </c:manualLayout>
                  </c15:layout>
                </c:ext>
                <c:ext xmlns:c16="http://schemas.microsoft.com/office/drawing/2014/chart" uri="{C3380CC4-5D6E-409C-BE32-E72D297353CC}">
                  <c16:uniqueId val="{00000015-B2C8-4087-822E-3E71A44024DC}"/>
                </c:ext>
              </c:extLst>
            </c:dLbl>
            <c:dLbl>
              <c:idx val="16"/>
              <c:layout>
                <c:manualLayout>
                  <c:x val="-5.5475997354530369E-2"/>
                  <c:y val="8.9368670379617182E-2"/>
                </c:manualLayout>
              </c:layout>
              <c:spPr>
                <a:noFill/>
                <a:ln w="25400">
                  <a:noFill/>
                </a:ln>
              </c:spPr>
              <c:txPr>
                <a:bodyPr/>
                <a:lstStyle/>
                <a:p>
                  <a:pPr>
                    <a:defRPr sz="700" b="0" i="0" u="none" strike="noStrike" baseline="0">
                      <a:solidFill>
                        <a:srgbClr val="000000"/>
                      </a:solidFill>
                      <a:latin typeface="Times New Roman"/>
                      <a:ea typeface="Times New Roman"/>
                      <a:cs typeface="Times New Roman"/>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B2C8-4087-822E-3E71A44024DC}"/>
                </c:ext>
              </c:extLst>
            </c:dLbl>
            <c:spPr>
              <a:noFill/>
              <a:ln w="25400">
                <a:noFill/>
              </a:ln>
            </c:spPr>
            <c:txPr>
              <a:bodyPr wrap="square" lIns="38100" tIns="19050" rIns="38100" bIns="19050" anchor="ctr">
                <a:spAutoFit/>
              </a:bodyPr>
              <a:lstStyle/>
              <a:p>
                <a:pPr>
                  <a:defRPr sz="700"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Percentage!$A$2:$A$12</c:f>
              <c:strCache>
                <c:ptCount val="11"/>
                <c:pt idx="0">
                  <c:v>Naphthalene                 </c:v>
                </c:pt>
                <c:pt idx="1">
                  <c:v>Acenaphthene            </c:v>
                </c:pt>
                <c:pt idx="2">
                  <c:v>Fluorene                   </c:v>
                </c:pt>
                <c:pt idx="3">
                  <c:v>Phenanthrene            </c:v>
                </c:pt>
                <c:pt idx="4">
                  <c:v>Anthracene                 </c:v>
                </c:pt>
                <c:pt idx="5">
                  <c:v>Fluoranthene               </c:v>
                </c:pt>
                <c:pt idx="6">
                  <c:v>Pyrene                   </c:v>
                </c:pt>
                <c:pt idx="7">
                  <c:v>Benzo[k]fluoranthene     </c:v>
                </c:pt>
                <c:pt idx="8">
                  <c:v>Benzo[e]pyrene       </c:v>
                </c:pt>
                <c:pt idx="9">
                  <c:v>Indeno[1,2,3-cd]pyrene     </c:v>
                </c:pt>
                <c:pt idx="10">
                  <c:v>Benzo[ghi]perylene        </c:v>
                </c:pt>
              </c:strCache>
            </c:strRef>
          </c:cat>
          <c:val>
            <c:numRef>
              <c:f>Percentage!$B$2:$B$12</c:f>
              <c:numCache>
                <c:formatCode>General</c:formatCode>
                <c:ptCount val="11"/>
                <c:pt idx="0">
                  <c:v>56.473874470100377</c:v>
                </c:pt>
                <c:pt idx="1">
                  <c:v>17.18050537204919</c:v>
                </c:pt>
                <c:pt idx="2">
                  <c:v>21.007586438551886</c:v>
                </c:pt>
                <c:pt idx="3">
                  <c:v>106.19570904018653</c:v>
                </c:pt>
                <c:pt idx="4">
                  <c:v>72.716998821803358</c:v>
                </c:pt>
                <c:pt idx="5">
                  <c:v>53.327326250230428</c:v>
                </c:pt>
                <c:pt idx="6">
                  <c:v>74.883162980236492</c:v>
                </c:pt>
                <c:pt idx="7">
                  <c:v>69.08472106631281</c:v>
                </c:pt>
                <c:pt idx="8">
                  <c:v>16.942792473496908</c:v>
                </c:pt>
                <c:pt idx="9">
                  <c:v>75.196778611155821</c:v>
                </c:pt>
                <c:pt idx="10">
                  <c:v>190.14862100486522</c:v>
                </c:pt>
              </c:numCache>
            </c:numRef>
          </c:val>
          <c:extLst xmlns:c16r2="http://schemas.microsoft.com/office/drawing/2015/06/chart">
            <c:ext xmlns:c16="http://schemas.microsoft.com/office/drawing/2014/chart" uri="{C3380CC4-5D6E-409C-BE32-E72D297353CC}">
              <c16:uniqueId val="{00000022-B2C8-4087-822E-3E71A44024DC}"/>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noFill/>
    <a:ln w="635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cap="rnd">
              <a:noFill/>
              <a:round/>
            </a:ln>
            <a:effectLst/>
          </c:spPr>
          <c:marker>
            <c:symbol val="circle"/>
            <c:size val="5"/>
            <c:spPr>
              <a:solidFill>
                <a:schemeClr val="tx1">
                  <a:alpha val="94000"/>
                </a:schemeClr>
              </a:solidFill>
              <a:ln w="9525">
                <a:solidFill>
                  <a:schemeClr val="tx1">
                    <a:alpha val="96000"/>
                  </a:schemeClr>
                </a:solidFill>
              </a:ln>
              <a:effectLst/>
            </c:spPr>
          </c:marker>
          <c:xVal>
            <c:numRef>
              <c:f>'PA-FP'!$B$4:$Q$4</c:f>
              <c:numCache>
                <c:formatCode>0.00</c:formatCode>
                <c:ptCount val="16"/>
                <c:pt idx="0">
                  <c:v>25.494949494949491</c:v>
                </c:pt>
                <c:pt idx="1">
                  <c:v>0.86764340700273146</c:v>
                </c:pt>
                <c:pt idx="2">
                  <c:v>21.411924119241192</c:v>
                </c:pt>
                <c:pt idx="3">
                  <c:v>0.86757288193553905</c:v>
                </c:pt>
                <c:pt idx="4">
                  <c:v>0.86752516281823577</c:v>
                </c:pt>
                <c:pt idx="5">
                  <c:v>6.9346733668341711</c:v>
                </c:pt>
                <c:pt idx="6">
                  <c:v>0.86751860239404721</c:v>
                </c:pt>
                <c:pt idx="7">
                  <c:v>15.313999999999998</c:v>
                </c:pt>
                <c:pt idx="8">
                  <c:v>0.86755453020134221</c:v>
                </c:pt>
                <c:pt idx="9">
                  <c:v>0.8675276261483158</c:v>
                </c:pt>
                <c:pt idx="10">
                  <c:v>19.834602829162133</c:v>
                </c:pt>
                <c:pt idx="11">
                  <c:v>11.925178147268408</c:v>
                </c:pt>
                <c:pt idx="12">
                  <c:v>0.86760681961692276</c:v>
                </c:pt>
                <c:pt idx="13">
                  <c:v>0.86758156395649921</c:v>
                </c:pt>
                <c:pt idx="14">
                  <c:v>0.86758280479210703</c:v>
                </c:pt>
                <c:pt idx="15">
                  <c:v>0.8675234799802275</c:v>
                </c:pt>
              </c:numCache>
            </c:numRef>
          </c:xVal>
          <c:yVal>
            <c:numRef>
              <c:f>'PA-FP'!$B$5:$Q$5</c:f>
              <c:numCache>
                <c:formatCode>0.00</c:formatCode>
                <c:ptCount val="16"/>
                <c:pt idx="0">
                  <c:v>1.2574375247917493</c:v>
                </c:pt>
                <c:pt idx="1">
                  <c:v>0.98465643762508337</c:v>
                </c:pt>
                <c:pt idx="2">
                  <c:v>0.89710763394973936</c:v>
                </c:pt>
                <c:pt idx="3">
                  <c:v>1.0466386554621849</c:v>
                </c:pt>
                <c:pt idx="4">
                  <c:v>0.90977578475336307</c:v>
                </c:pt>
                <c:pt idx="5">
                  <c:v>0.89727518638252957</c:v>
                </c:pt>
                <c:pt idx="6">
                  <c:v>0.5818965517241379</c:v>
                </c:pt>
                <c:pt idx="7">
                  <c:v>0.60470793374019172</c:v>
                </c:pt>
                <c:pt idx="8">
                  <c:v>0.10234688036634229</c:v>
                </c:pt>
                <c:pt idx="9">
                  <c:v>0.68173014848289215</c:v>
                </c:pt>
                <c:pt idx="10">
                  <c:v>0.536500766314431</c:v>
                </c:pt>
                <c:pt idx="11">
                  <c:v>0.78652708238507063</c:v>
                </c:pt>
                <c:pt idx="12">
                  <c:v>0.74791418355184736</c:v>
                </c:pt>
                <c:pt idx="13">
                  <c:v>0.81803248768023362</c:v>
                </c:pt>
                <c:pt idx="14">
                  <c:v>0.92797888386123673</c:v>
                </c:pt>
                <c:pt idx="15">
                  <c:v>0.47331947331947338</c:v>
                </c:pt>
              </c:numCache>
            </c:numRef>
          </c:yVal>
          <c:smooth val="0"/>
          <c:extLst xmlns:c16r2="http://schemas.microsoft.com/office/drawing/2015/06/chart">
            <c:ext xmlns:c16="http://schemas.microsoft.com/office/drawing/2014/chart" uri="{C3380CC4-5D6E-409C-BE32-E72D297353CC}">
              <c16:uniqueId val="{00000000-46F6-4CF4-83BF-AE58B96EEBD5}"/>
            </c:ext>
          </c:extLst>
        </c:ser>
        <c:dLbls>
          <c:showLegendKey val="0"/>
          <c:showVal val="0"/>
          <c:showCatName val="0"/>
          <c:showSerName val="0"/>
          <c:showPercent val="0"/>
          <c:showBubbleSize val="0"/>
        </c:dLbls>
        <c:axId val="242758784"/>
        <c:axId val="242761088"/>
      </c:scatterChart>
      <c:valAx>
        <c:axId val="242758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solidFill>
                      <a:schemeClr val="tx1"/>
                    </a:solidFill>
                    <a:latin typeface="Times New Roman" panose="02020603050405020304" pitchFamily="18" charset="0"/>
                    <a:cs typeface="Times New Roman" panose="02020603050405020304" pitchFamily="18" charset="0"/>
                  </a:rPr>
                  <a:t>Phe/Ant</a:t>
                </a:r>
              </a:p>
            </c:rich>
          </c:tx>
          <c:layout/>
          <c:overlay val="0"/>
          <c:spPr>
            <a:noFill/>
            <a:ln>
              <a:noFill/>
            </a:ln>
            <a:effectLst/>
          </c:sp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761088"/>
        <c:crosses val="autoZero"/>
        <c:crossBetween val="midCat"/>
      </c:valAx>
      <c:valAx>
        <c:axId val="24276108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solidFill>
                      <a:schemeClr val="tx1"/>
                    </a:solidFill>
                    <a:latin typeface="Times New Roman" panose="02020603050405020304" pitchFamily="18" charset="0"/>
                    <a:cs typeface="Times New Roman" panose="02020603050405020304" pitchFamily="18" charset="0"/>
                  </a:rPr>
                  <a:t>Flu/Pyr</a:t>
                </a:r>
              </a:p>
            </c:rich>
          </c:tx>
          <c:layout/>
          <c:overlay val="0"/>
          <c:spPr>
            <a:noFill/>
            <a:ln>
              <a:noFill/>
            </a:ln>
            <a:effectLst/>
          </c:spPr>
        </c:title>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758784"/>
        <c:crosses val="autoZero"/>
        <c:crossBetween val="midCat"/>
      </c:valAx>
      <c:spPr>
        <a:noFill/>
        <a:ln>
          <a:solidFill>
            <a:schemeClr val="tx1"/>
          </a:solid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Sheet2!$B$10</c:f>
              <c:strCache>
                <c:ptCount val="1"/>
                <c:pt idx="0">
                  <c:v>LMW/HMW</c:v>
                </c:pt>
              </c:strCache>
            </c:strRef>
          </c:tx>
          <c:spPr>
            <a:pattFill prst="wdDnDiag">
              <a:fgClr>
                <a:schemeClr val="tx1"/>
              </a:fgClr>
              <a:bgClr>
                <a:schemeClr val="bg1"/>
              </a:bgClr>
            </a:pattFill>
            <a:ln>
              <a:solidFill>
                <a:schemeClr val="tx1"/>
              </a:solidFill>
            </a:ln>
            <a:effectLst/>
          </c:spPr>
          <c:invertIfNegative val="0"/>
          <c:val>
            <c:numRef>
              <c:f>Sheet2!$C$10:$R$10</c:f>
              <c:numCache>
                <c:formatCode>General</c:formatCode>
                <c:ptCount val="16"/>
                <c:pt idx="0">
                  <c:v>2.82</c:v>
                </c:pt>
                <c:pt idx="1">
                  <c:v>7.19</c:v>
                </c:pt>
                <c:pt idx="2">
                  <c:v>0</c:v>
                </c:pt>
                <c:pt idx="3">
                  <c:v>0</c:v>
                </c:pt>
                <c:pt idx="4">
                  <c:v>19.309999999999999</c:v>
                </c:pt>
                <c:pt idx="5">
                  <c:v>0.35</c:v>
                </c:pt>
                <c:pt idx="6">
                  <c:v>5.96</c:v>
                </c:pt>
                <c:pt idx="7">
                  <c:v>4.3899999999999997</c:v>
                </c:pt>
                <c:pt idx="8">
                  <c:v>0</c:v>
                </c:pt>
                <c:pt idx="9">
                  <c:v>7.97</c:v>
                </c:pt>
                <c:pt idx="10">
                  <c:v>3.23</c:v>
                </c:pt>
                <c:pt idx="11">
                  <c:v>0.82</c:v>
                </c:pt>
                <c:pt idx="12">
                  <c:v>1.18</c:v>
                </c:pt>
                <c:pt idx="13">
                  <c:v>2.11</c:v>
                </c:pt>
                <c:pt idx="14">
                  <c:v>2.96</c:v>
                </c:pt>
                <c:pt idx="15">
                  <c:v>0.11</c:v>
                </c:pt>
              </c:numCache>
            </c:numRef>
          </c:val>
        </c:ser>
        <c:dLbls>
          <c:showLegendKey val="0"/>
          <c:showVal val="0"/>
          <c:showCatName val="0"/>
          <c:showSerName val="0"/>
          <c:showPercent val="0"/>
          <c:showBubbleSize val="0"/>
        </c:dLbls>
        <c:gapWidth val="219"/>
        <c:overlap val="-27"/>
        <c:axId val="134494080"/>
        <c:axId val="151823488"/>
      </c:barChart>
      <c:catAx>
        <c:axId val="1344940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1200" b="1">
                    <a:solidFill>
                      <a:schemeClr val="tx1"/>
                    </a:solidFill>
                    <a:latin typeface="Times New Roman" panose="02020603050405020304" pitchFamily="18" charset="0"/>
                    <a:cs typeface="Times New Roman" panose="02020603050405020304" pitchFamily="18" charset="0"/>
                  </a:rPr>
                  <a:t>Sampling Stations</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1823488"/>
        <c:crosses val="autoZero"/>
        <c:auto val="1"/>
        <c:lblAlgn val="ctr"/>
        <c:lblOffset val="100"/>
        <c:noMultiLvlLbl val="0"/>
      </c:catAx>
      <c:valAx>
        <c:axId val="151823488"/>
        <c:scaling>
          <c:orientation val="minMax"/>
          <c:max val="25"/>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MY" sz="1200" b="1">
                    <a:solidFill>
                      <a:schemeClr val="tx1"/>
                    </a:solidFill>
                    <a:latin typeface="Times New Roman" panose="02020603050405020304" pitchFamily="18" charset="0"/>
                    <a:cs typeface="Times New Roman" panose="02020603050405020304" pitchFamily="18" charset="0"/>
                  </a:rPr>
                  <a:t>LMW/HMW Molecular Index</a:t>
                </a:r>
              </a:p>
            </c:rich>
          </c:tx>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449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0.12604</cdr:x>
      <cdr:y>0.26736</cdr:y>
    </cdr:from>
    <cdr:to>
      <cdr:x>0.95729</cdr:x>
      <cdr:y>0.26736</cdr:y>
    </cdr:to>
    <cdr:cxnSp macro="">
      <cdr:nvCxnSpPr>
        <cdr:cNvPr id="3" name="Straight Connector 2"/>
        <cdr:cNvCxnSpPr/>
      </cdr:nvCxnSpPr>
      <cdr:spPr>
        <a:xfrm xmlns:a="http://schemas.openxmlformats.org/drawingml/2006/main">
          <a:off x="576263" y="733425"/>
          <a:ext cx="380047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0.40104</cdr:x>
      <cdr:y>0.05556</cdr:y>
    </cdr:from>
    <cdr:to>
      <cdr:x>0.40521</cdr:x>
      <cdr:y>0.79167</cdr:y>
    </cdr:to>
    <cdr:cxnSp macro="">
      <cdr:nvCxnSpPr>
        <cdr:cNvPr id="5" name="Straight Connector 4"/>
        <cdr:cNvCxnSpPr/>
      </cdr:nvCxnSpPr>
      <cdr:spPr>
        <a:xfrm xmlns:a="http://schemas.openxmlformats.org/drawingml/2006/main" flipH="1" flipV="1">
          <a:off x="1833563" y="152400"/>
          <a:ext cx="19050" cy="20193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0.53611</cdr:x>
      <cdr:y>0.05324</cdr:y>
    </cdr:from>
    <cdr:to>
      <cdr:x>0.54028</cdr:x>
      <cdr:y>0.78935</cdr:y>
    </cdr:to>
    <cdr:cxnSp macro="">
      <cdr:nvCxnSpPr>
        <cdr:cNvPr id="6" name="Straight Connector 5"/>
        <cdr:cNvCxnSpPr/>
      </cdr:nvCxnSpPr>
      <cdr:spPr>
        <a:xfrm xmlns:a="http://schemas.openxmlformats.org/drawingml/2006/main" flipH="1" flipV="1">
          <a:off x="2451100" y="146050"/>
          <a:ext cx="19050" cy="20193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0.18438</cdr:x>
      <cdr:y>0.03472</cdr:y>
    </cdr:from>
    <cdr:to>
      <cdr:x>0.37813</cdr:x>
      <cdr:y>0.09028</cdr:y>
    </cdr:to>
    <cdr:sp macro="" textlink="">
      <cdr:nvSpPr>
        <cdr:cNvPr id="7" name="Rectangle 6"/>
        <cdr:cNvSpPr/>
      </cdr:nvSpPr>
      <cdr:spPr>
        <a:xfrm xmlns:a="http://schemas.openxmlformats.org/drawingml/2006/main">
          <a:off x="842963" y="95250"/>
          <a:ext cx="885825" cy="1524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Combustion</a:t>
          </a:r>
        </a:p>
      </cdr:txBody>
    </cdr:sp>
  </cdr:relSizeAnchor>
  <cdr:relSizeAnchor xmlns:cdr="http://schemas.openxmlformats.org/drawingml/2006/chartDrawing">
    <cdr:from>
      <cdr:x>0.40938</cdr:x>
      <cdr:y>0.03125</cdr:y>
    </cdr:from>
    <cdr:to>
      <cdr:x>0.54271</cdr:x>
      <cdr:y>0.17708</cdr:y>
    </cdr:to>
    <cdr:sp macro="" textlink="">
      <cdr:nvSpPr>
        <cdr:cNvPr id="8" name="TextBox 7"/>
        <cdr:cNvSpPr txBox="1"/>
      </cdr:nvSpPr>
      <cdr:spPr>
        <a:xfrm xmlns:a="http://schemas.openxmlformats.org/drawingml/2006/main">
          <a:off x="1871663" y="85725"/>
          <a:ext cx="609600"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Mixed</a:t>
          </a:r>
          <a:r>
            <a:rPr lang="en-MY" sz="900" b="1" baseline="0">
              <a:latin typeface="Times New Roman" panose="02020603050405020304" pitchFamily="18" charset="0"/>
              <a:cs typeface="Times New Roman" panose="02020603050405020304" pitchFamily="18" charset="0"/>
            </a:rPr>
            <a:t> Source</a:t>
          </a:r>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0.64544</cdr:x>
      <cdr:y>0.0352</cdr:y>
    </cdr:from>
    <cdr:to>
      <cdr:x>0.83085</cdr:x>
      <cdr:y>0.09422</cdr:y>
    </cdr:to>
    <cdr:sp macro="" textlink="">
      <cdr:nvSpPr>
        <cdr:cNvPr id="9" name="TextBox 8"/>
        <cdr:cNvSpPr txBox="1"/>
      </cdr:nvSpPr>
      <cdr:spPr>
        <a:xfrm xmlns:a="http://schemas.openxmlformats.org/drawingml/2006/main">
          <a:off x="2941926" y="96726"/>
          <a:ext cx="845105" cy="162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Petroleum</a:t>
          </a:r>
        </a:p>
      </cdr:txBody>
    </cdr:sp>
  </cdr:relSizeAnchor>
  <cdr:relSizeAnchor xmlns:cdr="http://schemas.openxmlformats.org/drawingml/2006/chartDrawing">
    <cdr:from>
      <cdr:x>0.70884</cdr:x>
      <cdr:y>0.62327</cdr:y>
    </cdr:from>
    <cdr:to>
      <cdr:x>0.92598</cdr:x>
      <cdr:y>0.69598</cdr:y>
    </cdr:to>
    <cdr:sp macro="" textlink="">
      <cdr:nvSpPr>
        <cdr:cNvPr id="11" name="TextBox 10"/>
        <cdr:cNvSpPr txBox="1"/>
      </cdr:nvSpPr>
      <cdr:spPr>
        <a:xfrm xmlns:a="http://schemas.openxmlformats.org/drawingml/2006/main">
          <a:off x="3233737" y="1714500"/>
          <a:ext cx="9906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Combustion</a:t>
          </a:r>
        </a:p>
      </cdr:txBody>
    </cdr:sp>
  </cdr:relSizeAnchor>
  <cdr:relSizeAnchor xmlns:cdr="http://schemas.openxmlformats.org/drawingml/2006/chartDrawing">
    <cdr:from>
      <cdr:x>0.82368</cdr:x>
      <cdr:y>0.08657</cdr:y>
    </cdr:from>
    <cdr:to>
      <cdr:x>0.89072</cdr:x>
      <cdr:y>0.18006</cdr:y>
    </cdr:to>
    <cdr:sp macro="" textlink="">
      <cdr:nvSpPr>
        <cdr:cNvPr id="12" name="TextBox 11"/>
        <cdr:cNvSpPr txBox="1"/>
      </cdr:nvSpPr>
      <cdr:spPr>
        <a:xfrm xmlns:a="http://schemas.openxmlformats.org/drawingml/2006/main">
          <a:off x="3754358" y="237864"/>
          <a:ext cx="305578" cy="2568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a:t>
          </a:r>
        </a:p>
      </cdr:txBody>
    </cdr:sp>
  </cdr:relSizeAnchor>
  <cdr:relSizeAnchor xmlns:cdr="http://schemas.openxmlformats.org/drawingml/2006/chartDrawing">
    <cdr:from>
      <cdr:x>0.71719</cdr:x>
      <cdr:y>0.28047</cdr:y>
    </cdr:from>
    <cdr:to>
      <cdr:x>0.80111</cdr:x>
      <cdr:y>0.40157</cdr:y>
    </cdr:to>
    <cdr:sp macro="" textlink="">
      <cdr:nvSpPr>
        <cdr:cNvPr id="13" name="TextBox 12"/>
        <cdr:cNvSpPr txBox="1"/>
      </cdr:nvSpPr>
      <cdr:spPr>
        <a:xfrm xmlns:a="http://schemas.openxmlformats.org/drawingml/2006/main">
          <a:off x="3268974" y="770632"/>
          <a:ext cx="382530" cy="3327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S3</a:t>
          </a:r>
        </a:p>
      </cdr:txBody>
    </cdr:sp>
  </cdr:relSizeAnchor>
  <cdr:relSizeAnchor xmlns:cdr="http://schemas.openxmlformats.org/drawingml/2006/chartDrawing">
    <cdr:from>
      <cdr:x>0.67544</cdr:x>
      <cdr:y>0.47784</cdr:y>
    </cdr:from>
    <cdr:to>
      <cdr:x>0.75686</cdr:x>
      <cdr:y>0.56094</cdr:y>
    </cdr:to>
    <cdr:sp macro="" textlink="">
      <cdr:nvSpPr>
        <cdr:cNvPr id="14" name="TextBox 13"/>
        <cdr:cNvSpPr txBox="1"/>
      </cdr:nvSpPr>
      <cdr:spPr>
        <a:xfrm xmlns:a="http://schemas.openxmlformats.org/drawingml/2006/main">
          <a:off x="3081337" y="1314450"/>
          <a:ext cx="37147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S11</a:t>
          </a:r>
        </a:p>
      </cdr:txBody>
    </cdr:sp>
  </cdr:relSizeAnchor>
  <cdr:relSizeAnchor xmlns:cdr="http://schemas.openxmlformats.org/drawingml/2006/chartDrawing">
    <cdr:from>
      <cdr:x>0.71302</cdr:x>
      <cdr:y>0.51247</cdr:y>
    </cdr:from>
    <cdr:to>
      <cdr:x>0.91346</cdr:x>
      <cdr:y>0.84488</cdr:y>
    </cdr:to>
    <cdr:sp macro="" textlink="">
      <cdr:nvSpPr>
        <cdr:cNvPr id="15" name="TextBox 14"/>
        <cdr:cNvSpPr txBox="1"/>
      </cdr:nvSpPr>
      <cdr:spPr>
        <a:xfrm xmlns:a="http://schemas.openxmlformats.org/drawingml/2006/main">
          <a:off x="3252787" y="14097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0.54834</cdr:x>
      <cdr:y>0.46053</cdr:y>
    </cdr:from>
    <cdr:to>
      <cdr:x>0.62533</cdr:x>
      <cdr:y>0.54363</cdr:y>
    </cdr:to>
    <cdr:sp macro="" textlink="">
      <cdr:nvSpPr>
        <cdr:cNvPr id="16" name="TextBox 15"/>
        <cdr:cNvSpPr txBox="1"/>
      </cdr:nvSpPr>
      <cdr:spPr>
        <a:xfrm xmlns:a="http://schemas.openxmlformats.org/drawingml/2006/main">
          <a:off x="2499360" y="1265373"/>
          <a:ext cx="350913" cy="228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S8</a:t>
          </a:r>
        </a:p>
      </cdr:txBody>
    </cdr:sp>
  </cdr:relSizeAnchor>
  <cdr:relSizeAnchor xmlns:cdr="http://schemas.openxmlformats.org/drawingml/2006/chartDrawing">
    <cdr:from>
      <cdr:x>0.43741</cdr:x>
      <cdr:y>0.40859</cdr:y>
    </cdr:from>
    <cdr:to>
      <cdr:x>0.52302</cdr:x>
      <cdr:y>0.49861</cdr:y>
    </cdr:to>
    <cdr:sp macro="" textlink="">
      <cdr:nvSpPr>
        <cdr:cNvPr id="17" name="TextBox 16"/>
        <cdr:cNvSpPr txBox="1"/>
      </cdr:nvSpPr>
      <cdr:spPr>
        <a:xfrm xmlns:a="http://schemas.openxmlformats.org/drawingml/2006/main">
          <a:off x="1995486" y="1123950"/>
          <a:ext cx="3905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S12</a:t>
          </a:r>
        </a:p>
      </cdr:txBody>
    </cdr:sp>
  </cdr:relSizeAnchor>
  <cdr:relSizeAnchor xmlns:cdr="http://schemas.openxmlformats.org/drawingml/2006/chartDrawing">
    <cdr:from>
      <cdr:x>0.30379</cdr:x>
      <cdr:y>0.34626</cdr:y>
    </cdr:from>
    <cdr:to>
      <cdr:x>0.37448</cdr:x>
      <cdr:y>0.42936</cdr:y>
    </cdr:to>
    <cdr:sp macro="" textlink="">
      <cdr:nvSpPr>
        <cdr:cNvPr id="18" name="TextBox 17"/>
        <cdr:cNvSpPr txBox="1"/>
      </cdr:nvSpPr>
      <cdr:spPr>
        <a:xfrm xmlns:a="http://schemas.openxmlformats.org/drawingml/2006/main">
          <a:off x="1384684" y="951400"/>
          <a:ext cx="322196" cy="228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S6</a:t>
          </a:r>
        </a:p>
      </cdr:txBody>
    </cdr:sp>
  </cdr:relSizeAnchor>
  <cdr:relSizeAnchor xmlns:cdr="http://schemas.openxmlformats.org/drawingml/2006/chartDrawing">
    <cdr:from>
      <cdr:x>0.15137</cdr:x>
      <cdr:y>0.70983</cdr:y>
    </cdr:from>
    <cdr:to>
      <cdr:x>0.22151</cdr:x>
      <cdr:y>0.79732</cdr:y>
    </cdr:to>
    <cdr:sp macro="" textlink="">
      <cdr:nvSpPr>
        <cdr:cNvPr id="19" name="TextBox 18"/>
        <cdr:cNvSpPr txBox="1"/>
      </cdr:nvSpPr>
      <cdr:spPr>
        <a:xfrm xmlns:a="http://schemas.openxmlformats.org/drawingml/2006/main">
          <a:off x="689949" y="1950361"/>
          <a:ext cx="319701" cy="24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S9</a:t>
          </a:r>
        </a:p>
      </cdr:txBody>
    </cdr:sp>
  </cdr:relSizeAnchor>
  <cdr:relSizeAnchor xmlns:cdr="http://schemas.openxmlformats.org/drawingml/2006/chartDrawing">
    <cdr:from>
      <cdr:x>0.14511</cdr:x>
      <cdr:y>0.17657</cdr:y>
    </cdr:from>
    <cdr:to>
      <cdr:x>0.21457</cdr:x>
      <cdr:y>0.52629</cdr:y>
    </cdr:to>
    <cdr:sp macro="" textlink="">
      <cdr:nvSpPr>
        <cdr:cNvPr id="20" name="TextBox 19"/>
        <cdr:cNvSpPr txBox="1"/>
      </cdr:nvSpPr>
      <cdr:spPr>
        <a:xfrm xmlns:a="http://schemas.openxmlformats.org/drawingml/2006/main">
          <a:off x="661417" y="485153"/>
          <a:ext cx="316601" cy="9609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S7S5</a:t>
          </a:r>
        </a:p>
        <a:p xmlns:a="http://schemas.openxmlformats.org/drawingml/2006/main">
          <a:r>
            <a:rPr lang="en-MY" sz="900" b="1">
              <a:latin typeface="Times New Roman" panose="02020603050405020304" pitchFamily="18" charset="0"/>
              <a:cs typeface="Times New Roman" panose="02020603050405020304" pitchFamily="18" charset="0"/>
            </a:rPr>
            <a:t>S4</a:t>
          </a:r>
        </a:p>
        <a:p xmlns:a="http://schemas.openxmlformats.org/drawingml/2006/main">
          <a:r>
            <a:rPr lang="en-MY" sz="900" b="1">
              <a:latin typeface="Times New Roman" panose="02020603050405020304" pitchFamily="18" charset="0"/>
              <a:cs typeface="Times New Roman" panose="02020603050405020304" pitchFamily="18" charset="0"/>
            </a:rPr>
            <a:t>S2</a:t>
          </a:r>
        </a:p>
      </cdr:txBody>
    </cdr:sp>
  </cdr:relSizeAnchor>
  <cdr:relSizeAnchor xmlns:cdr="http://schemas.openxmlformats.org/drawingml/2006/chartDrawing">
    <cdr:from>
      <cdr:x>0.14227</cdr:x>
      <cdr:y>0.36242</cdr:y>
    </cdr:from>
    <cdr:to>
      <cdr:x>0.24592</cdr:x>
      <cdr:y>0.64826</cdr:y>
    </cdr:to>
    <cdr:sp macro="" textlink="">
      <cdr:nvSpPr>
        <cdr:cNvPr id="21" name="TextBox 20"/>
        <cdr:cNvSpPr txBox="1"/>
      </cdr:nvSpPr>
      <cdr:spPr>
        <a:xfrm xmlns:a="http://schemas.openxmlformats.org/drawingml/2006/main">
          <a:off x="648473" y="995793"/>
          <a:ext cx="472440" cy="785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900" b="1">
              <a:latin typeface="Times New Roman" panose="02020603050405020304" pitchFamily="18" charset="0"/>
              <a:cs typeface="Times New Roman" panose="02020603050405020304" pitchFamily="18" charset="0"/>
            </a:rPr>
            <a:t>S10</a:t>
          </a:r>
        </a:p>
        <a:p xmlns:a="http://schemas.openxmlformats.org/drawingml/2006/main">
          <a:r>
            <a:rPr lang="en-MY" sz="900" b="1">
              <a:latin typeface="Times New Roman" panose="02020603050405020304" pitchFamily="18" charset="0"/>
              <a:cs typeface="Times New Roman" panose="02020603050405020304" pitchFamily="18" charset="0"/>
            </a:rPr>
            <a:t>S13</a:t>
          </a:r>
        </a:p>
        <a:p xmlns:a="http://schemas.openxmlformats.org/drawingml/2006/main">
          <a:r>
            <a:rPr lang="en-MY" sz="900" b="1">
              <a:latin typeface="Times New Roman" panose="02020603050405020304" pitchFamily="18" charset="0"/>
              <a:cs typeface="Times New Roman" panose="02020603050405020304" pitchFamily="18" charset="0"/>
            </a:rPr>
            <a:t>S14</a:t>
          </a:r>
        </a:p>
        <a:p xmlns:a="http://schemas.openxmlformats.org/drawingml/2006/main">
          <a:r>
            <a:rPr lang="en-MY" sz="900" b="1">
              <a:latin typeface="Times New Roman" panose="02020603050405020304" pitchFamily="18" charset="0"/>
              <a:cs typeface="Times New Roman" panose="02020603050405020304" pitchFamily="18" charset="0"/>
            </a:rPr>
            <a:t>S15</a:t>
          </a:r>
        </a:p>
        <a:p xmlns:a="http://schemas.openxmlformats.org/drawingml/2006/main">
          <a:endParaRPr lang="en-MY"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0.16252</cdr:x>
      <cdr:y>0.72832</cdr:y>
    </cdr:from>
    <cdr:to>
      <cdr:x>0.23266</cdr:x>
      <cdr:y>0.81581</cdr:y>
    </cdr:to>
    <cdr:sp macro="" textlink="">
      <cdr:nvSpPr>
        <cdr:cNvPr id="22" name="TextBox 18"/>
        <cdr:cNvSpPr txBox="1"/>
      </cdr:nvSpPr>
      <cdr:spPr>
        <a:xfrm xmlns:a="http://schemas.openxmlformats.org/drawingml/2006/main">
          <a:off x="740749" y="2001161"/>
          <a:ext cx="319701" cy="240389"/>
        </a:xfrm>
        <a:prstGeom xmlns:a="http://schemas.openxmlformats.org/drawingml/2006/main" prst="rect">
          <a:avLst/>
        </a:prstGeom>
      </cdr:spPr>
    </cdr:sp>
  </cdr:relSizeAnchor>
  <cdr:relSizeAnchor xmlns:cdr="http://schemas.openxmlformats.org/drawingml/2006/chartDrawing">
    <cdr:from>
      <cdr:x>0.16252</cdr:x>
      <cdr:y>0.72832</cdr:y>
    </cdr:from>
    <cdr:to>
      <cdr:x>0.25286</cdr:x>
      <cdr:y>0.81581</cdr:y>
    </cdr:to>
    <cdr:sp macro="" textlink="">
      <cdr:nvSpPr>
        <cdr:cNvPr id="23" name="TextBox 18"/>
        <cdr:cNvSpPr txBox="1"/>
      </cdr:nvSpPr>
      <cdr:spPr>
        <a:xfrm xmlns:a="http://schemas.openxmlformats.org/drawingml/2006/main">
          <a:off x="740749" y="2001161"/>
          <a:ext cx="411776" cy="240389"/>
        </a:xfrm>
        <a:prstGeom xmlns:a="http://schemas.openxmlformats.org/drawingml/2006/main" prst="rect">
          <a:avLst/>
        </a:prstGeom>
      </cdr:spPr>
    </cdr:sp>
  </cdr:relSizeAnchor>
  <cdr:relSizeAnchor xmlns:cdr="http://schemas.openxmlformats.org/drawingml/2006/chartDrawing">
    <cdr:from>
      <cdr:x>0.11027</cdr:x>
      <cdr:y>0.29499</cdr:y>
    </cdr:from>
    <cdr:to>
      <cdr:x>0.20479</cdr:x>
      <cdr:y>0.37439</cdr:y>
    </cdr:to>
    <cdr:sp macro="" textlink="">
      <cdr:nvSpPr>
        <cdr:cNvPr id="24" name="TextBox 18"/>
        <cdr:cNvSpPr txBox="1"/>
      </cdr:nvSpPr>
      <cdr:spPr>
        <a:xfrm xmlns:a="http://schemas.openxmlformats.org/drawingml/2006/main">
          <a:off x="502624" y="810537"/>
          <a:ext cx="430826" cy="21816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MY" sz="1000" b="1">
              <a:latin typeface="Times New Roman" panose="02020603050405020304" pitchFamily="18" charset="0"/>
              <a:cs typeface="Times New Roman" panose="02020603050405020304" pitchFamily="18" charset="0"/>
            </a:rPr>
            <a:t>S16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4493-6A04-4C0B-B811-204F3752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3579</Words>
  <Characters>19649</Characters>
  <Application>Microsoft Office Word</Application>
  <DocSecurity>0</DocSecurity>
  <Lines>653</Lines>
  <Paragraphs>455</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16</cp:revision>
  <cp:lastPrinted>2019-12-16T16:02:00Z</cp:lastPrinted>
  <dcterms:created xsi:type="dcterms:W3CDTF">2019-11-25T15:23:00Z</dcterms:created>
  <dcterms:modified xsi:type="dcterms:W3CDTF">2019-12-16T16:02:00Z</dcterms:modified>
</cp:coreProperties>
</file>