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F5FB0" w:rsidRPr="00EA07D7" w:rsidRDefault="006F5FB0" w:rsidP="006F5FB0">
      <w:pPr>
        <w:keepNext/>
        <w:keepLines/>
        <w:spacing w:after="0" w:line="240" w:lineRule="auto"/>
        <w:jc w:val="center"/>
        <w:rPr>
          <w:rFonts w:ascii="Times New Roman" w:hAnsi="Times New Roman"/>
          <w:smallCaps/>
          <w:sz w:val="28"/>
          <w:szCs w:val="28"/>
        </w:rPr>
      </w:pPr>
      <w:r w:rsidRPr="00EA07D7">
        <w:rPr>
          <w:rFonts w:ascii="Times New Roman" w:hAnsi="Times New Roman"/>
          <w:smallCaps/>
          <w:sz w:val="28"/>
          <w:szCs w:val="28"/>
        </w:rPr>
        <w:t>DISTRIBUTION OF NUTRIENTS CONCENTRATION IN THE UPWELLING AREA OFF THE EAST COAST OF PENINSULAR MALAYSIA DURING THE SOUTHWEST MONSOON</w:t>
      </w:r>
    </w:p>
    <w:p w:rsidR="006F5FB0" w:rsidRPr="00EA07D7" w:rsidRDefault="006F5FB0" w:rsidP="006F5FB0">
      <w:pPr>
        <w:spacing w:after="0" w:line="240" w:lineRule="auto"/>
        <w:jc w:val="center"/>
        <w:rPr>
          <w:rFonts w:ascii="Times New Roman" w:hAnsi="Times New Roman"/>
          <w:sz w:val="24"/>
          <w:szCs w:val="24"/>
        </w:rPr>
      </w:pPr>
    </w:p>
    <w:p w:rsidR="006F5FB0" w:rsidRPr="00EA07D7" w:rsidRDefault="006F5FB0" w:rsidP="006F5FB0">
      <w:pPr>
        <w:spacing w:after="0" w:line="240" w:lineRule="auto"/>
        <w:jc w:val="center"/>
        <w:rPr>
          <w:rFonts w:ascii="Times New Roman" w:hAnsi="Times New Roman"/>
          <w:sz w:val="24"/>
          <w:szCs w:val="24"/>
          <w:lang w:val="ms-MY"/>
        </w:rPr>
      </w:pPr>
      <w:r w:rsidRPr="00EA07D7">
        <w:rPr>
          <w:rFonts w:ascii="Times New Roman" w:hAnsi="Times New Roman"/>
          <w:smallCaps/>
          <w:sz w:val="24"/>
          <w:szCs w:val="24"/>
        </w:rPr>
        <w:t>(</w:t>
      </w:r>
      <w:r w:rsidRPr="00EA07D7">
        <w:rPr>
          <w:rFonts w:ascii="Times New Roman" w:hAnsi="Times New Roman"/>
          <w:smallCaps/>
          <w:sz w:val="24"/>
          <w:szCs w:val="24"/>
          <w:lang w:val="ms-MY"/>
        </w:rPr>
        <w:t>T</w:t>
      </w:r>
      <w:r w:rsidRPr="00EA07D7">
        <w:rPr>
          <w:rFonts w:ascii="Times New Roman" w:hAnsi="Times New Roman"/>
          <w:sz w:val="24"/>
          <w:szCs w:val="24"/>
          <w:lang w:val="ms-MY"/>
        </w:rPr>
        <w:t>aburan Kepekatan Nutrien di Kawasan Julang Air di Pantai Timur Semenanjung Malaysia</w:t>
      </w:r>
      <w:r>
        <w:rPr>
          <w:rFonts w:ascii="Times New Roman" w:hAnsi="Times New Roman"/>
          <w:sz w:val="24"/>
          <w:szCs w:val="24"/>
          <w:lang w:val="ms-MY"/>
        </w:rPr>
        <w:t xml:space="preserve"> </w:t>
      </w:r>
      <w:r w:rsidRPr="00EA07D7">
        <w:rPr>
          <w:rFonts w:ascii="Times New Roman" w:hAnsi="Times New Roman"/>
          <w:sz w:val="24"/>
          <w:szCs w:val="24"/>
          <w:lang w:val="ms-MY"/>
        </w:rPr>
        <w:t>Semasa Monsun Barat Daya</w:t>
      </w:r>
      <w:r w:rsidRPr="00EA07D7">
        <w:rPr>
          <w:rFonts w:ascii="Times New Roman" w:hAnsi="Times New Roman"/>
          <w:sz w:val="24"/>
          <w:szCs w:val="24"/>
        </w:rPr>
        <w:t>)</w:t>
      </w:r>
    </w:p>
    <w:p w:rsidR="006F5FB0" w:rsidRPr="00EA07D7" w:rsidRDefault="006F5FB0" w:rsidP="006F5FB0">
      <w:pPr>
        <w:spacing w:after="0" w:line="240" w:lineRule="auto"/>
        <w:jc w:val="center"/>
        <w:rPr>
          <w:rFonts w:ascii="Times New Roman" w:hAnsi="Times New Roman"/>
          <w:sz w:val="20"/>
          <w:szCs w:val="20"/>
        </w:rPr>
      </w:pPr>
    </w:p>
    <w:p w:rsidR="006F5FB0" w:rsidRPr="00EA07D7" w:rsidRDefault="006F5FB0" w:rsidP="006F5FB0">
      <w:pPr>
        <w:spacing w:after="0" w:line="240" w:lineRule="auto"/>
        <w:jc w:val="center"/>
        <w:rPr>
          <w:rFonts w:ascii="Times New Roman" w:hAnsi="Times New Roman"/>
          <w:sz w:val="20"/>
          <w:szCs w:val="20"/>
          <w:vertAlign w:val="superscript"/>
        </w:rPr>
      </w:pPr>
      <w:r w:rsidRPr="00EA07D7">
        <w:rPr>
          <w:rFonts w:ascii="Times New Roman" w:hAnsi="Times New Roman"/>
          <w:sz w:val="20"/>
          <w:szCs w:val="20"/>
        </w:rPr>
        <w:t>Azyyati Abdul Aziz</w:t>
      </w:r>
      <w:r w:rsidRPr="00EA07D7">
        <w:rPr>
          <w:rFonts w:ascii="Times New Roman" w:hAnsi="Times New Roman"/>
          <w:sz w:val="20"/>
          <w:szCs w:val="20"/>
          <w:vertAlign w:val="superscript"/>
        </w:rPr>
        <w:t>1</w:t>
      </w:r>
      <w:r w:rsidRPr="00EA07D7">
        <w:rPr>
          <w:rFonts w:ascii="Times New Roman" w:hAnsi="Times New Roman"/>
          <w:sz w:val="20"/>
          <w:szCs w:val="20"/>
          <w:vertAlign w:val="subscript"/>
        </w:rPr>
        <w:t>,</w:t>
      </w:r>
      <w:r w:rsidRPr="00EA07D7">
        <w:rPr>
          <w:rFonts w:ascii="Times New Roman" w:hAnsi="Times New Roman"/>
          <w:sz w:val="20"/>
          <w:szCs w:val="20"/>
        </w:rPr>
        <w:t xml:space="preserve"> Suhaimi Suratman</w:t>
      </w:r>
      <w:r w:rsidRPr="00EA07D7">
        <w:rPr>
          <w:rFonts w:ascii="Times New Roman" w:hAnsi="Times New Roman"/>
          <w:sz w:val="20"/>
          <w:szCs w:val="20"/>
          <w:vertAlign w:val="superscript"/>
        </w:rPr>
        <w:t>1,2</w:t>
      </w:r>
      <w:r w:rsidRPr="006F5FB0">
        <w:rPr>
          <w:rFonts w:ascii="Times New Roman" w:hAnsi="Times New Roman"/>
          <w:sz w:val="20"/>
          <w:szCs w:val="20"/>
        </w:rPr>
        <w:t>*</w:t>
      </w:r>
      <w:r w:rsidRPr="00EA07D7">
        <w:rPr>
          <w:rFonts w:ascii="Times New Roman" w:hAnsi="Times New Roman"/>
          <w:sz w:val="20"/>
          <w:szCs w:val="20"/>
        </w:rPr>
        <w:t>, Poh Heng Kok</w:t>
      </w:r>
      <w:r w:rsidRPr="00EA07D7">
        <w:rPr>
          <w:rFonts w:ascii="Times New Roman" w:hAnsi="Times New Roman"/>
          <w:sz w:val="20"/>
          <w:szCs w:val="20"/>
          <w:vertAlign w:val="superscript"/>
        </w:rPr>
        <w:t>1</w:t>
      </w:r>
      <w:r w:rsidRPr="00EA07D7">
        <w:rPr>
          <w:rFonts w:ascii="Times New Roman" w:hAnsi="Times New Roman"/>
          <w:sz w:val="20"/>
          <w:szCs w:val="20"/>
        </w:rPr>
        <w:t>, Mohd Fadzil Akhir</w:t>
      </w:r>
      <w:r w:rsidRPr="00EA07D7">
        <w:rPr>
          <w:rFonts w:ascii="Times New Roman" w:hAnsi="Times New Roman"/>
          <w:sz w:val="20"/>
          <w:szCs w:val="20"/>
          <w:vertAlign w:val="superscript"/>
        </w:rPr>
        <w:t>1</w:t>
      </w:r>
    </w:p>
    <w:p w:rsidR="006F5FB0" w:rsidRPr="00EA07D7" w:rsidRDefault="006F5FB0" w:rsidP="006F5FB0">
      <w:pPr>
        <w:spacing w:after="0" w:line="240" w:lineRule="auto"/>
        <w:jc w:val="center"/>
        <w:rPr>
          <w:rFonts w:ascii="Times New Roman" w:hAnsi="Times New Roman"/>
          <w:sz w:val="20"/>
          <w:szCs w:val="20"/>
        </w:rPr>
      </w:pPr>
    </w:p>
    <w:p w:rsidR="006F5FB0" w:rsidRPr="00EA07D7" w:rsidRDefault="006F5FB0" w:rsidP="006F5FB0">
      <w:pPr>
        <w:spacing w:after="0" w:line="240" w:lineRule="auto"/>
        <w:jc w:val="center"/>
        <w:rPr>
          <w:rFonts w:ascii="Times New Roman" w:hAnsi="Times New Roman"/>
          <w:i/>
          <w:sz w:val="18"/>
          <w:szCs w:val="18"/>
        </w:rPr>
      </w:pPr>
      <w:r w:rsidRPr="00EA07D7">
        <w:rPr>
          <w:rFonts w:ascii="Times New Roman" w:hAnsi="Times New Roman"/>
          <w:i/>
          <w:sz w:val="18"/>
          <w:szCs w:val="18"/>
          <w:vertAlign w:val="superscript"/>
        </w:rPr>
        <w:t>1</w:t>
      </w:r>
      <w:r w:rsidRPr="00EA07D7">
        <w:rPr>
          <w:rFonts w:ascii="Times New Roman" w:hAnsi="Times New Roman"/>
          <w:i/>
          <w:sz w:val="18"/>
          <w:szCs w:val="18"/>
        </w:rPr>
        <w:t>Institute of Oceanography and Environment</w:t>
      </w:r>
    </w:p>
    <w:p w:rsidR="006F5FB0" w:rsidRPr="00EA07D7" w:rsidRDefault="006F5FB0" w:rsidP="006F5FB0">
      <w:pPr>
        <w:spacing w:after="0" w:line="240" w:lineRule="auto"/>
        <w:jc w:val="center"/>
        <w:rPr>
          <w:rFonts w:ascii="Times New Roman" w:hAnsi="Times New Roman"/>
          <w:i/>
          <w:sz w:val="18"/>
          <w:szCs w:val="18"/>
        </w:rPr>
      </w:pPr>
      <w:r w:rsidRPr="00EA07D7">
        <w:rPr>
          <w:rFonts w:ascii="Times New Roman" w:hAnsi="Times New Roman"/>
          <w:i/>
          <w:sz w:val="18"/>
          <w:szCs w:val="18"/>
        </w:rPr>
        <w:t xml:space="preserve"> </w:t>
      </w:r>
      <w:r w:rsidRPr="00EA07D7">
        <w:rPr>
          <w:rFonts w:ascii="Times New Roman" w:hAnsi="Times New Roman"/>
          <w:i/>
          <w:sz w:val="18"/>
          <w:szCs w:val="18"/>
          <w:vertAlign w:val="superscript"/>
        </w:rPr>
        <w:t>2</w:t>
      </w:r>
      <w:r w:rsidRPr="00EA07D7">
        <w:rPr>
          <w:rFonts w:ascii="Times New Roman" w:hAnsi="Times New Roman"/>
          <w:i/>
          <w:sz w:val="18"/>
          <w:szCs w:val="18"/>
        </w:rPr>
        <w:t xml:space="preserve">Institute of Tropical Biodiversity and Sustainable Development </w:t>
      </w:r>
    </w:p>
    <w:p w:rsidR="006F5FB0" w:rsidRPr="00EA07D7" w:rsidRDefault="006F5FB0" w:rsidP="006F5FB0">
      <w:pPr>
        <w:spacing w:after="0" w:line="240" w:lineRule="auto"/>
        <w:jc w:val="center"/>
        <w:rPr>
          <w:rFonts w:ascii="Times New Roman" w:hAnsi="Times New Roman"/>
          <w:i/>
          <w:sz w:val="18"/>
          <w:szCs w:val="18"/>
        </w:rPr>
      </w:pPr>
      <w:r w:rsidRPr="00EA07D7">
        <w:rPr>
          <w:rFonts w:ascii="Times New Roman" w:hAnsi="Times New Roman"/>
          <w:i/>
          <w:sz w:val="18"/>
          <w:szCs w:val="18"/>
        </w:rPr>
        <w:t>Universiti Malaysia Terengganu, 21030 Kuala Nerus, Terengganu, Malaysia</w:t>
      </w:r>
    </w:p>
    <w:p w:rsidR="006F5FB0" w:rsidRPr="00EA07D7" w:rsidRDefault="006F5FB0" w:rsidP="006F5FB0">
      <w:pPr>
        <w:spacing w:after="0" w:line="240" w:lineRule="auto"/>
        <w:jc w:val="center"/>
        <w:rPr>
          <w:rFonts w:ascii="Times New Roman" w:hAnsi="Times New Roman"/>
          <w:i/>
          <w:sz w:val="18"/>
          <w:szCs w:val="18"/>
        </w:rPr>
      </w:pPr>
    </w:p>
    <w:p w:rsidR="006F5FB0" w:rsidRPr="00EA07D7" w:rsidRDefault="006F5FB0" w:rsidP="006F5FB0">
      <w:pPr>
        <w:spacing w:after="0" w:line="240" w:lineRule="auto"/>
        <w:jc w:val="center"/>
        <w:rPr>
          <w:rFonts w:ascii="Times New Roman" w:hAnsi="Times New Roman"/>
          <w:i/>
          <w:sz w:val="18"/>
          <w:szCs w:val="18"/>
        </w:rPr>
      </w:pPr>
      <w:r w:rsidRPr="00EA07D7">
        <w:rPr>
          <w:rFonts w:ascii="Times New Roman" w:hAnsi="Times New Roman"/>
          <w:i/>
          <w:sz w:val="18"/>
          <w:szCs w:val="18"/>
        </w:rPr>
        <w:t xml:space="preserve">*Corresponding author: </w:t>
      </w:r>
      <w:r>
        <w:rPr>
          <w:rFonts w:ascii="Times New Roman" w:hAnsi="Times New Roman"/>
          <w:i/>
          <w:sz w:val="18"/>
          <w:szCs w:val="18"/>
        </w:rPr>
        <w:t xml:space="preserve"> </w:t>
      </w:r>
      <w:r w:rsidRPr="00EA07D7">
        <w:rPr>
          <w:rFonts w:ascii="Times New Roman" w:hAnsi="Times New Roman"/>
          <w:i/>
          <w:sz w:val="18"/>
          <w:szCs w:val="18"/>
        </w:rPr>
        <w:t>miman@umt.edu.my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F5FB0"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 </w:t>
      </w: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860D9">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5860D9">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F5FB0" w:rsidRPr="00EA07D7" w:rsidRDefault="006F5FB0" w:rsidP="006F5FB0">
      <w:pPr>
        <w:spacing w:after="0" w:line="240" w:lineRule="auto"/>
        <w:jc w:val="both"/>
        <w:rPr>
          <w:rFonts w:ascii="Times New Roman" w:hAnsi="Times New Roman"/>
          <w:sz w:val="18"/>
          <w:szCs w:val="18"/>
        </w:rPr>
      </w:pPr>
      <w:r w:rsidRPr="00EA07D7">
        <w:rPr>
          <w:rFonts w:ascii="Times New Roman" w:hAnsi="Times New Roman"/>
          <w:sz w:val="18"/>
          <w:szCs w:val="18"/>
        </w:rPr>
        <w:t>An oceanographic survey was conducted with RV Discovery at the east coast of Peninsular Malaysia (ECPM) (i.e. Kelantan and Terengganu) facing the South China Sea during the southwest monsoon in July 2017, to understand the variations in the distribution of phosphate, silicate, dissolved organic carbon (DOC), and chlorophyll-a (chl-a) in response to coastal upwelling events. Seawater samples were collected from five transects, consisting of 27 sampling stations within the area from 4.0ºN - 6.5ºN and 102.3ºE - 106.0ºE. The data collection was organized into horizontal and vertical distributions. Physico-chemical parameters like temperature and salinity were also studied. We found that the horizontal distribution of phosphate and chl-a was significantly higher in the coastal area as compared to the offshore area. An irregular distribution pattern of DOC and silicate was also observed. Additionally, higher concentrations of phosphate, silicate, DOC and chl-a were observed at the northern area (nearby Gulf of Thailand) as compared to the southern area. It is possible that the northern area received a high input of nutrients from the Gulf of Thailand. Generally, the vertical distributions of nutrients show a tendency to be lower in surface water areas and increase towards deep water areas. An upwelling event was observed in Terengganu waters as a sudden decrease in temperature (from 29.85</w:t>
      </w:r>
      <w:r>
        <w:rPr>
          <w:rFonts w:ascii="Times New Roman" w:hAnsi="Times New Roman"/>
          <w:sz w:val="18"/>
          <w:szCs w:val="18"/>
        </w:rPr>
        <w:t xml:space="preserve"> </w:t>
      </w:r>
      <w:r w:rsidRPr="00EA07D7">
        <w:rPr>
          <w:rFonts w:ascii="Times New Roman" w:hAnsi="Times New Roman"/>
          <w:sz w:val="18"/>
          <w:szCs w:val="18"/>
        </w:rPr>
        <w:t>to 24.89</w:t>
      </w:r>
      <w:r>
        <w:rPr>
          <w:rFonts w:ascii="Times New Roman" w:hAnsi="Times New Roman"/>
          <w:sz w:val="18"/>
          <w:szCs w:val="18"/>
        </w:rPr>
        <w:t xml:space="preserve"> </w:t>
      </w:r>
      <w:r w:rsidRPr="00EA07D7">
        <w:rPr>
          <w:rFonts w:ascii="Times New Roman" w:hAnsi="Times New Roman"/>
          <w:sz w:val="18"/>
          <w:szCs w:val="18"/>
        </w:rPr>
        <w:t>ºC) was found at 4.0ºN -5.0ºN here, as compared to other areas in the ECPM. The results from this study can be used in comparisons as there is no baseline of nutrient concentrations available for this area at the moment.</w:t>
      </w:r>
    </w:p>
    <w:p w:rsidR="006F5FB0" w:rsidRPr="00EA07D7" w:rsidRDefault="006F5FB0" w:rsidP="006F5FB0">
      <w:pPr>
        <w:spacing w:after="0" w:line="240" w:lineRule="auto"/>
        <w:jc w:val="both"/>
        <w:rPr>
          <w:rFonts w:ascii="Times New Roman" w:hAnsi="Times New Roman"/>
          <w:sz w:val="18"/>
          <w:szCs w:val="18"/>
        </w:rPr>
      </w:pPr>
    </w:p>
    <w:p w:rsidR="006F5FB0" w:rsidRPr="00EA07D7" w:rsidRDefault="006F5FB0" w:rsidP="006F5FB0">
      <w:pPr>
        <w:spacing w:after="0" w:line="240" w:lineRule="auto"/>
        <w:jc w:val="both"/>
        <w:rPr>
          <w:rFonts w:ascii="Times New Roman" w:hAnsi="Times New Roman"/>
          <w:sz w:val="18"/>
          <w:szCs w:val="18"/>
        </w:rPr>
      </w:pPr>
      <w:r w:rsidRPr="00EA07D7">
        <w:rPr>
          <w:rFonts w:ascii="Times New Roman" w:hAnsi="Times New Roman"/>
          <w:b/>
          <w:sz w:val="18"/>
          <w:szCs w:val="18"/>
        </w:rPr>
        <w:t>Keyword:</w:t>
      </w:r>
      <w:r w:rsidRPr="006F5FB0">
        <w:rPr>
          <w:rFonts w:ascii="Times New Roman" w:hAnsi="Times New Roman"/>
          <w:sz w:val="18"/>
          <w:szCs w:val="18"/>
        </w:rPr>
        <w:t xml:space="preserve"> </w:t>
      </w:r>
      <w:r>
        <w:rPr>
          <w:rFonts w:ascii="Times New Roman" w:hAnsi="Times New Roman"/>
          <w:sz w:val="18"/>
          <w:szCs w:val="18"/>
        </w:rPr>
        <w:t xml:space="preserve"> </w:t>
      </w:r>
      <w:r w:rsidRPr="00EA07D7">
        <w:rPr>
          <w:rFonts w:ascii="Times New Roman" w:hAnsi="Times New Roman"/>
          <w:sz w:val="18"/>
          <w:szCs w:val="18"/>
        </w:rPr>
        <w:t>phosphate, silicate, dissolved organic carbon, upwelling, vertical and horizontal distribution</w:t>
      </w:r>
    </w:p>
    <w:p w:rsidR="006F5FB0" w:rsidRPr="00EA07D7" w:rsidRDefault="006F5FB0" w:rsidP="006F5FB0">
      <w:pPr>
        <w:spacing w:after="0" w:line="240" w:lineRule="auto"/>
        <w:jc w:val="center"/>
        <w:rPr>
          <w:rFonts w:ascii="Times New Roman" w:hAnsi="Times New Roman"/>
          <w:sz w:val="18"/>
          <w:szCs w:val="18"/>
        </w:rPr>
      </w:pPr>
    </w:p>
    <w:p w:rsidR="006F5FB0" w:rsidRPr="00EA07D7" w:rsidRDefault="006F5FB0" w:rsidP="006F5FB0">
      <w:pPr>
        <w:keepNext/>
        <w:keepLines/>
        <w:spacing w:after="0" w:line="240" w:lineRule="auto"/>
        <w:jc w:val="center"/>
        <w:rPr>
          <w:rFonts w:ascii="Times New Roman" w:hAnsi="Times New Roman"/>
          <w:b/>
          <w:sz w:val="18"/>
          <w:szCs w:val="18"/>
          <w:lang w:val="ms-MY"/>
        </w:rPr>
      </w:pPr>
      <w:r w:rsidRPr="00EA07D7">
        <w:rPr>
          <w:rFonts w:ascii="Times New Roman" w:hAnsi="Times New Roman"/>
          <w:b/>
          <w:sz w:val="18"/>
          <w:szCs w:val="18"/>
          <w:lang w:val="ms-MY"/>
        </w:rPr>
        <w:t>Abstrak</w:t>
      </w:r>
    </w:p>
    <w:p w:rsidR="006F5FB0" w:rsidRDefault="006F5FB0" w:rsidP="006F5FB0">
      <w:pPr>
        <w:spacing w:after="0" w:line="240" w:lineRule="auto"/>
        <w:jc w:val="both"/>
        <w:rPr>
          <w:rFonts w:ascii="Times New Roman" w:hAnsi="Times New Roman"/>
          <w:sz w:val="18"/>
          <w:szCs w:val="18"/>
          <w:lang w:val="ms-MY"/>
        </w:rPr>
      </w:pPr>
      <w:r w:rsidRPr="00EA07D7">
        <w:rPr>
          <w:rFonts w:ascii="Times New Roman" w:hAnsi="Times New Roman"/>
          <w:sz w:val="18"/>
          <w:szCs w:val="18"/>
          <w:lang w:val="ms-MY"/>
        </w:rPr>
        <w:t>Kajian oseanografi telah dijalankan dengan RV Discovery di Pantai Timur Semenanjung Malaysia (ECPM) (iaitu Kelantan dan Terengganu) yang menghadap ke Laut China Selatan semasa monsun barat daya pada bulan Julai 2017 untuk memahami taburan variasi fosfat, silikat</w:t>
      </w:r>
      <w:r>
        <w:rPr>
          <w:rFonts w:ascii="Times New Roman" w:hAnsi="Times New Roman"/>
          <w:sz w:val="18"/>
          <w:szCs w:val="18"/>
          <w:lang w:val="ms-MY"/>
        </w:rPr>
        <w:t>,</w:t>
      </w:r>
      <w:r w:rsidRPr="00EA07D7">
        <w:rPr>
          <w:rFonts w:ascii="Times New Roman" w:hAnsi="Times New Roman"/>
          <w:sz w:val="18"/>
          <w:szCs w:val="18"/>
          <w:lang w:val="ms-MY"/>
        </w:rPr>
        <w:t xml:space="preserve"> karbon organik terlarut (DOC) dan klorofil-a (chl-a) yang bertindak balas terhadap julang air pantai. Sampel-sampel air laut diambil dari lima transek yang terdiri daripada 27 stesen pe</w:t>
      </w:r>
      <w:r>
        <w:rPr>
          <w:rFonts w:ascii="Times New Roman" w:hAnsi="Times New Roman"/>
          <w:sz w:val="18"/>
          <w:szCs w:val="18"/>
          <w:lang w:val="ms-MY"/>
        </w:rPr>
        <w:t>n</w:t>
      </w:r>
      <w:r w:rsidRPr="00EA07D7">
        <w:rPr>
          <w:rFonts w:ascii="Times New Roman" w:hAnsi="Times New Roman"/>
          <w:sz w:val="18"/>
          <w:szCs w:val="18"/>
          <w:lang w:val="ms-MY"/>
        </w:rPr>
        <w:t xml:space="preserve">sampelan yang merangkumi kawasan dari 4.0 - 6.5 ºN dan 102.3 -106.0 ºE. Himpunan data telah disusun secara taburan mendatar dan menegak. Parameter fiziko-kimia seperti suhu dan saliniti turut dikaji. Kami mendapati taburan mendatar fosfat dan klorofil-a adalah secara signifikan lebih tinggi di kawasan pantai berbanding kawasan luar pesisir, dan diperhatikan corak taburan tidak teratur untuk DOC dan silikat. Di samping itu, kepekatan fosfat, silikat, DOC dan chl-a adalah tinggi di kawasan utara (berhampiran Teluk Thailand) berbanding dengan kawasan selatan. Adalah kemungkinan kawasan utara menerima kemasukan nutrien yang tinggi dari Teluk Thailand. Umumnya, taburan nutrien di permukaan air secara menegak menunjukkan kecenderungan untuk menurun dan meningkat ke arah air dalam. Julang air diperhatikan di perairan Terengganu apabila terdapatnya penurunan suhu secara mendadak (dari 29.85 </w:t>
      </w:r>
      <w:r w:rsidRPr="00EA07D7">
        <w:rPr>
          <w:rFonts w:ascii="Times New Roman" w:hAnsi="Times New Roman"/>
          <w:sz w:val="18"/>
          <w:szCs w:val="18"/>
          <w:lang w:val="ms-MY"/>
        </w:rPr>
        <w:lastRenderedPageBreak/>
        <w:t>hingga 24.89 ºC) yang ditemui di 4.0-5.0 ºN berbanding dengan kawasan lain di ECPM. Hasil dari kajian ini boleh digunakan sebagai perbandingan kerana setakat ini tiada kepekatan dasar mengenai nutrien di kawasan ini.</w:t>
      </w:r>
    </w:p>
    <w:p w:rsidR="006F5FB0" w:rsidRPr="00EA07D7" w:rsidRDefault="006F5FB0" w:rsidP="006F5FB0">
      <w:pPr>
        <w:spacing w:after="0" w:line="240" w:lineRule="auto"/>
        <w:jc w:val="both"/>
        <w:rPr>
          <w:rFonts w:ascii="Times New Roman" w:hAnsi="Times New Roman"/>
          <w:sz w:val="18"/>
          <w:szCs w:val="18"/>
          <w:lang w:val="ms-MY"/>
        </w:rPr>
      </w:pPr>
    </w:p>
    <w:p w:rsidR="006768E9" w:rsidRDefault="006F5FB0" w:rsidP="006F5FB0">
      <w:pPr>
        <w:spacing w:after="0" w:line="240" w:lineRule="auto"/>
        <w:jc w:val="both"/>
        <w:rPr>
          <w:rFonts w:ascii="Times New Roman" w:hAnsi="Times New Roman"/>
          <w:noProof/>
          <w:sz w:val="20"/>
          <w:szCs w:val="20"/>
          <w:lang w:bidi="ar-SA"/>
        </w:rPr>
      </w:pPr>
      <w:r w:rsidRPr="00EA07D7">
        <w:rPr>
          <w:rFonts w:ascii="Times New Roman" w:hAnsi="Times New Roman"/>
          <w:b/>
          <w:sz w:val="18"/>
          <w:szCs w:val="18"/>
          <w:lang w:val="ms-MY"/>
        </w:rPr>
        <w:t>Kata kunci:</w:t>
      </w:r>
      <w:r w:rsidRPr="00EA07D7">
        <w:rPr>
          <w:rFonts w:ascii="Times New Roman" w:hAnsi="Times New Roman"/>
          <w:sz w:val="18"/>
          <w:szCs w:val="18"/>
          <w:lang w:val="ms-MY"/>
        </w:rPr>
        <w:t xml:space="preserve"> </w:t>
      </w:r>
      <w:r>
        <w:rPr>
          <w:rFonts w:ascii="Times New Roman" w:hAnsi="Times New Roman"/>
          <w:sz w:val="18"/>
          <w:szCs w:val="18"/>
          <w:lang w:val="ms-MY"/>
        </w:rPr>
        <w:t xml:space="preserve"> </w:t>
      </w:r>
      <w:r w:rsidRPr="00EA07D7">
        <w:rPr>
          <w:rFonts w:ascii="Times New Roman" w:hAnsi="Times New Roman"/>
          <w:sz w:val="18"/>
          <w:szCs w:val="18"/>
          <w:lang w:val="ms-MY"/>
        </w:rPr>
        <w:t>fosfat, silikat, karbon organik terlarut, julang air, taburan menegak dan mendatar</w:t>
      </w:r>
    </w:p>
    <w:p w:rsidR="00494C46" w:rsidRDefault="00494C46" w:rsidP="00F447A7">
      <w:pPr>
        <w:spacing w:after="0" w:line="240" w:lineRule="auto"/>
        <w:jc w:val="center"/>
        <w:rPr>
          <w:rFonts w:ascii="Times New Roman" w:hAnsi="Times New Roman"/>
          <w:noProof/>
          <w:sz w:val="20"/>
          <w:szCs w:val="20"/>
          <w:lang w:bidi="ar-SA"/>
        </w:rPr>
      </w:pPr>
    </w:p>
    <w:p w:rsidR="006F5FB0" w:rsidRPr="00BE7C30" w:rsidRDefault="006F5FB0"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6F5FB0" w:rsidRPr="00EA07D7" w:rsidRDefault="006F5FB0" w:rsidP="006F5FB0">
      <w:pPr>
        <w:spacing w:after="0" w:line="240" w:lineRule="auto"/>
        <w:jc w:val="both"/>
        <w:rPr>
          <w:rFonts w:ascii="Times New Roman" w:hAnsi="Times New Roman"/>
          <w:sz w:val="20"/>
          <w:szCs w:val="20"/>
        </w:rPr>
      </w:pPr>
      <w:r w:rsidRPr="00EA07D7">
        <w:rPr>
          <w:rFonts w:ascii="Times New Roman" w:hAnsi="Times New Roman"/>
          <w:sz w:val="20"/>
          <w:szCs w:val="20"/>
        </w:rPr>
        <w:t>The east coast of Peninsular Malaysia (ECPM) is situated in the southwestern part of the South China Sea (SCS) and it lies within the shallow continental shelf of the Sunda shelf. The SCS is one of the largest semi-enclosed marginal seas in the tropical northwest Pacific Ocean, with a total area of about 3.8 million km</w:t>
      </w:r>
      <w:r w:rsidRPr="00EA07D7">
        <w:rPr>
          <w:rFonts w:ascii="Times New Roman" w:hAnsi="Times New Roman"/>
          <w:sz w:val="20"/>
          <w:szCs w:val="20"/>
          <w:vertAlign w:val="superscript"/>
        </w:rPr>
        <w:t>2</w:t>
      </w:r>
      <w:r w:rsidRPr="00EA07D7">
        <w:rPr>
          <w:rFonts w:ascii="Times New Roman" w:hAnsi="Times New Roman"/>
          <w:sz w:val="20"/>
          <w:szCs w:val="20"/>
        </w:rPr>
        <w:t xml:space="preserve"> and an average depth of about 200 m. The SCS is regulated by the East Asian monsoon [1]. In boreal winter, north-easterly winds prevail over the SCS (termed as northeast monsoon), whereas in boreal summer, the prevailing winds reverse their courses into south-westerly (termed as southwest monsoon) [2, 3]. The prevailing winds during the southwest monsoon with the north-south orientation of the coastline induced offshore Ekman transport, thus being favourable for upwelling along the ECPM [4, 5]. The upwelling area along the ECPM was represented by an elongated cooler water spread, from the southern tip of Johor until Dungun, between June to September during the southwest monsoon [4</w:t>
      </w:r>
      <w:r>
        <w:rPr>
          <w:rFonts w:ascii="Times New Roman" w:hAnsi="Times New Roman"/>
          <w:sz w:val="20"/>
          <w:szCs w:val="20"/>
        </w:rPr>
        <w:t>-</w:t>
      </w:r>
      <w:r w:rsidRPr="00EA07D7">
        <w:rPr>
          <w:rFonts w:ascii="Times New Roman" w:hAnsi="Times New Roman"/>
          <w:sz w:val="20"/>
          <w:szCs w:val="20"/>
        </w:rPr>
        <w:t>6]. This cooler upwelling water deviated offshore at about 5°N and continued to flow north-eastward before joining the cooler upwelling water in the Vietnamese coast [6].</w:t>
      </w:r>
    </w:p>
    <w:p w:rsidR="006F5FB0" w:rsidRPr="00EA07D7" w:rsidRDefault="006F5FB0" w:rsidP="006F5FB0">
      <w:pPr>
        <w:spacing w:after="0" w:line="240" w:lineRule="auto"/>
        <w:jc w:val="both"/>
        <w:rPr>
          <w:rFonts w:ascii="Times New Roman" w:hAnsi="Times New Roman"/>
          <w:sz w:val="20"/>
          <w:szCs w:val="20"/>
        </w:rPr>
      </w:pPr>
    </w:p>
    <w:p w:rsidR="006F5FB0" w:rsidRPr="00EA07D7" w:rsidRDefault="006F5FB0" w:rsidP="006F5FB0">
      <w:pPr>
        <w:spacing w:after="0" w:line="240" w:lineRule="auto"/>
        <w:jc w:val="both"/>
        <w:rPr>
          <w:rFonts w:ascii="Times New Roman" w:hAnsi="Times New Roman"/>
          <w:sz w:val="20"/>
          <w:szCs w:val="20"/>
        </w:rPr>
      </w:pPr>
      <w:r w:rsidRPr="00EA07D7">
        <w:rPr>
          <w:rFonts w:ascii="Times New Roman" w:hAnsi="Times New Roman"/>
          <w:sz w:val="20"/>
          <w:szCs w:val="20"/>
        </w:rPr>
        <w:t xml:space="preserve">Nutrients are the essential elements which strongly influence primary production in aquatic environments. Nitrogen (N), phosphorus (P) and silicon (Si) are examples of elements that play a key role in marine primary productivity [7, 8]. Nitrogen and phosphorus have been the subject of much research due to their major impact on net primary productivity and as a limiting nutrient in the marine environment. Previous studies in East China [9] and South China Sea [10] have shown that nitrogen had short supply for phytoplankton growth. Meanwhile, phosphorus occasionally replaces nitrogen as the limiting nutrient in marine environments such as in the North Sea [11] and the Mediterranean Sea [12]. However, the study on Si has received little attention, even though this nutrient is also important </w:t>
      </w:r>
      <w:r w:rsidRPr="00EA07D7">
        <w:rPr>
          <w:rFonts w:ascii="Times New Roman" w:hAnsi="Times New Roman"/>
          <w:sz w:val="20"/>
          <w:szCs w:val="20"/>
          <w:highlight w:val="white"/>
        </w:rPr>
        <w:t xml:space="preserve">as the potential limiting nutrient for diatomaceous algae </w:t>
      </w:r>
      <w:r w:rsidRPr="00EA07D7">
        <w:rPr>
          <w:rFonts w:ascii="Times New Roman" w:hAnsi="Times New Roman"/>
          <w:sz w:val="20"/>
          <w:szCs w:val="20"/>
        </w:rPr>
        <w:t>[13, 14]</w:t>
      </w:r>
      <w:r w:rsidRPr="00EA07D7">
        <w:rPr>
          <w:rFonts w:ascii="Times New Roman" w:hAnsi="Times New Roman"/>
          <w:sz w:val="20"/>
          <w:szCs w:val="20"/>
          <w:highlight w:val="white"/>
        </w:rPr>
        <w:t>.</w:t>
      </w:r>
      <w:r w:rsidRPr="00EA07D7">
        <w:rPr>
          <w:rFonts w:ascii="Times New Roman" w:hAnsi="Times New Roman"/>
          <w:sz w:val="20"/>
          <w:szCs w:val="20"/>
        </w:rPr>
        <w:t xml:space="preserve"> As nutrients strongly influence phytoplankton growth and have an indirect impact on food web dynamics, the study of variations in nutrient distributions is important for understanding this marine ecosystem.</w:t>
      </w:r>
    </w:p>
    <w:p w:rsidR="006F5FB0" w:rsidRPr="00EA07D7" w:rsidRDefault="006F5FB0" w:rsidP="006F5FB0">
      <w:pPr>
        <w:spacing w:after="0" w:line="240" w:lineRule="auto"/>
        <w:jc w:val="both"/>
        <w:rPr>
          <w:rFonts w:ascii="Times New Roman" w:hAnsi="Times New Roman"/>
          <w:sz w:val="20"/>
          <w:szCs w:val="20"/>
        </w:rPr>
      </w:pPr>
    </w:p>
    <w:p w:rsidR="006F5FB0" w:rsidRPr="00EA07D7" w:rsidRDefault="006F5FB0" w:rsidP="006F5FB0">
      <w:pPr>
        <w:spacing w:after="0" w:line="240" w:lineRule="auto"/>
        <w:jc w:val="both"/>
        <w:rPr>
          <w:rFonts w:ascii="Times New Roman" w:hAnsi="Times New Roman"/>
          <w:sz w:val="20"/>
          <w:szCs w:val="20"/>
        </w:rPr>
      </w:pPr>
      <w:r w:rsidRPr="00EA07D7">
        <w:rPr>
          <w:rFonts w:ascii="Times New Roman" w:hAnsi="Times New Roman"/>
          <w:sz w:val="20"/>
          <w:szCs w:val="20"/>
        </w:rPr>
        <w:t>The distributions of nutrients in the ocean in response to upwelling events is a well-known phenomenon in oceanography [15, 16] and the nutrients have also been used as tracers for upwelling identification in the continental shelf [17]. Upwelling is a term used to describe a natural process in the marine environment involving the transport of cold and nutrient-rich water from the deeper layer to replace the warm and nutrient-depleted surface water [18, 19]. Upwelling usually possesses a significant impact on fishery production since it sustains a higher level of primary productivity. The information on nutrients in the upwelling system of the ECPM is still poorly understood</w:t>
      </w:r>
      <w:r w:rsidRPr="00EA07D7">
        <w:rPr>
          <w:rFonts w:ascii="Times New Roman" w:hAnsi="Times New Roman"/>
          <w:sz w:val="20"/>
          <w:szCs w:val="20"/>
          <w:highlight w:val="white"/>
        </w:rPr>
        <w:t xml:space="preserve"> due to the lack of nutrient data for vertical distribution</w:t>
      </w:r>
      <w:r w:rsidRPr="00EA07D7">
        <w:rPr>
          <w:rFonts w:ascii="Times New Roman" w:hAnsi="Times New Roman"/>
          <w:sz w:val="20"/>
          <w:szCs w:val="20"/>
        </w:rPr>
        <w:t>. Zainol &amp; Akhir [20] did find that the nutrient and chlorophyll-a (chl-a) concentration was slightly higher during upwelling, but their study only focuses on surface water at the ECPM coast.</w:t>
      </w:r>
      <w:r w:rsidRPr="00EA07D7">
        <w:t xml:space="preserve"> </w:t>
      </w:r>
      <w:r w:rsidRPr="00EA07D7">
        <w:rPr>
          <w:rFonts w:ascii="Times New Roman" w:hAnsi="Times New Roman"/>
          <w:sz w:val="20"/>
          <w:szCs w:val="20"/>
        </w:rPr>
        <w:t>Coastal upwelling is a well-known phenomenon to induce a higher concentration of nutrients in the surface water, and hence it often results in the increase of biological productivity [21, 22]. These nutrient waters are considered as ‘new’ nutrients and they can be recycled within the water column [23]. This greatly enhances phytoplankton biomass and also contributes ~11% to global new production [24]. However, coastal upwelling waters do not necessarily contain higher nutrients or chlorophyll-a, as the upwelling events have different consequences on the environment depending on physical processes, ecosystem types and basin scale [25]</w:t>
      </w:r>
      <w:r w:rsidRPr="00EA07D7">
        <w:rPr>
          <w:rFonts w:ascii="Times New Roman" w:hAnsi="Times New Roman"/>
          <w:b/>
          <w:sz w:val="20"/>
          <w:szCs w:val="20"/>
        </w:rPr>
        <w:t xml:space="preserve">. </w:t>
      </w:r>
      <w:r w:rsidRPr="00EA07D7">
        <w:rPr>
          <w:rFonts w:ascii="Times New Roman" w:hAnsi="Times New Roman"/>
          <w:sz w:val="20"/>
          <w:szCs w:val="20"/>
        </w:rPr>
        <w:t>For example, in Makassar, Indonesia [26], southern Taiwan Strait [27], and Nanwan Bay, Taiwan [28], they found low concentrations of nutrients during the upwelling event.</w:t>
      </w:r>
    </w:p>
    <w:p w:rsidR="006F5FB0" w:rsidRPr="00EA07D7" w:rsidRDefault="006F5FB0" w:rsidP="006F5FB0">
      <w:pPr>
        <w:spacing w:after="0" w:line="240" w:lineRule="auto"/>
        <w:jc w:val="both"/>
        <w:rPr>
          <w:rFonts w:ascii="Times New Roman" w:hAnsi="Times New Roman"/>
          <w:sz w:val="20"/>
          <w:szCs w:val="20"/>
        </w:rPr>
      </w:pPr>
    </w:p>
    <w:p w:rsidR="006F5FB0" w:rsidRPr="00EA07D7" w:rsidRDefault="006F5FB0" w:rsidP="006F5FB0">
      <w:pPr>
        <w:spacing w:after="0" w:line="240" w:lineRule="auto"/>
        <w:jc w:val="both"/>
        <w:rPr>
          <w:rFonts w:ascii="Times New Roman" w:hAnsi="Times New Roman"/>
          <w:sz w:val="20"/>
          <w:szCs w:val="20"/>
        </w:rPr>
      </w:pPr>
      <w:r w:rsidRPr="00EA07D7">
        <w:rPr>
          <w:rFonts w:ascii="Times New Roman" w:hAnsi="Times New Roman"/>
          <w:sz w:val="20"/>
          <w:szCs w:val="20"/>
        </w:rPr>
        <w:t>This study is the first attempt to understand both, the chemical and the physical interaction based on in-situ data from the ECPM upwelling region. The main aim of this study was to investigate the distribution of nutrients, focusing on phosphate, silicate and dissolved organic carbon (DOC), and also to relate this to phytoplankton biomass and to understand the relationship between physical governing factors of the upwelling and nutrients availability.</w:t>
      </w:r>
    </w:p>
    <w:p w:rsidR="006F5FB0" w:rsidRDefault="006F5FB0" w:rsidP="006F5FB0">
      <w:pPr>
        <w:spacing w:after="0" w:line="240" w:lineRule="auto"/>
        <w:jc w:val="both"/>
        <w:rPr>
          <w:rFonts w:ascii="Times New Roman" w:hAnsi="Times New Roman"/>
          <w:sz w:val="20"/>
          <w:szCs w:val="20"/>
        </w:rPr>
      </w:pPr>
    </w:p>
    <w:p w:rsidR="006F5FB0" w:rsidRPr="00EA07D7" w:rsidRDefault="006F5FB0" w:rsidP="006F5FB0">
      <w:pPr>
        <w:spacing w:after="0" w:line="240" w:lineRule="auto"/>
        <w:jc w:val="both"/>
        <w:rPr>
          <w:rFonts w:ascii="Times New Roman" w:hAnsi="Times New Roman"/>
          <w:sz w:val="20"/>
          <w:szCs w:val="20"/>
        </w:rPr>
      </w:pPr>
    </w:p>
    <w:p w:rsidR="006F5FB0" w:rsidRPr="00EA07D7" w:rsidRDefault="006F5FB0" w:rsidP="006F5FB0">
      <w:pPr>
        <w:keepNext/>
        <w:keepLines/>
        <w:spacing w:before="40" w:after="0" w:line="240" w:lineRule="auto"/>
        <w:jc w:val="center"/>
        <w:rPr>
          <w:rFonts w:ascii="Times New Roman" w:hAnsi="Times New Roman"/>
          <w:b/>
          <w:sz w:val="20"/>
          <w:szCs w:val="20"/>
        </w:rPr>
      </w:pPr>
      <w:r w:rsidRPr="00EA07D7">
        <w:rPr>
          <w:rFonts w:ascii="Times New Roman" w:hAnsi="Times New Roman"/>
          <w:b/>
          <w:sz w:val="20"/>
          <w:szCs w:val="20"/>
        </w:rPr>
        <w:t>Materials and Methods</w:t>
      </w:r>
    </w:p>
    <w:p w:rsidR="006F5FB0" w:rsidRPr="00EA07D7" w:rsidRDefault="006F5FB0" w:rsidP="006F5FB0">
      <w:pPr>
        <w:keepNext/>
        <w:keepLines/>
        <w:spacing w:after="0" w:line="240" w:lineRule="auto"/>
        <w:jc w:val="both"/>
        <w:rPr>
          <w:rFonts w:ascii="Times New Roman" w:hAnsi="Times New Roman"/>
          <w:b/>
          <w:sz w:val="20"/>
          <w:szCs w:val="20"/>
        </w:rPr>
      </w:pPr>
      <w:r w:rsidRPr="00EA07D7">
        <w:rPr>
          <w:rFonts w:ascii="Times New Roman" w:hAnsi="Times New Roman"/>
          <w:b/>
          <w:sz w:val="20"/>
          <w:szCs w:val="20"/>
        </w:rPr>
        <w:t>Oceanographic sampling</w:t>
      </w:r>
    </w:p>
    <w:p w:rsidR="00136EC3" w:rsidRDefault="006F5FB0" w:rsidP="00136EC3">
      <w:pPr>
        <w:spacing w:after="0" w:line="240" w:lineRule="auto"/>
        <w:jc w:val="both"/>
        <w:rPr>
          <w:rFonts w:ascii="Times New Roman" w:hAnsi="Times New Roman"/>
          <w:sz w:val="20"/>
          <w:szCs w:val="20"/>
        </w:rPr>
      </w:pPr>
      <w:r w:rsidRPr="00EA07D7">
        <w:rPr>
          <w:rFonts w:ascii="Times New Roman" w:hAnsi="Times New Roman"/>
          <w:sz w:val="20"/>
          <w:szCs w:val="20"/>
        </w:rPr>
        <w:t xml:space="preserve">A cruise survey with RV Discovery was carried out between 4/7/2017 and 8/7/2017 during the southwest monsoon. </w:t>
      </w:r>
      <w:r w:rsidR="00136EC3">
        <w:rPr>
          <w:rFonts w:ascii="Times New Roman" w:hAnsi="Times New Roman"/>
          <w:sz w:val="20"/>
          <w:szCs w:val="20"/>
        </w:rPr>
        <w:t xml:space="preserve"> </w:t>
      </w:r>
      <w:r w:rsidR="00136EC3" w:rsidRPr="00EA07D7">
        <w:rPr>
          <w:rFonts w:ascii="Times New Roman" w:hAnsi="Times New Roman"/>
          <w:sz w:val="20"/>
          <w:szCs w:val="20"/>
        </w:rPr>
        <w:t>The sampling area is at the east coast of Peninsular Malaysia (Kelantan and Terengganu). The area spans from approximately 4.0ºN – 6.5ºN to 102.3ºE -106.0ºE. Sampling activities were organized into five transects covering 27 stations which range from near coast to about 290 km offshore (Figure 1). At each sampling station, surface water samples (~ 0.5 m) were collected for horizontal distribution. Vertical distribution at a different depth was performed only at two transects (Transects A and D). Transect A is located at the Kelantan waters and transect D was within a smaller area of reported upwelling activity (104ºE - 105ºE, out to 100 km from the coast) in Terengganu waters [6]. For both transects, water samples were collected from the depths of 0.5, 5, 10, 20, 30, 45 and 60 m (depending on the bottom depth). For both surface and vertical water, samples were collected using a Niskin bottle (20 L). Vertical distributions of temperature and salinity were measured by calibrated Sea-Bird conductivity-temperature-depth (CTD). The samples for phosphate, DOC, and chl-a analyses were filtered onboard, through pre-combusted (5 h</w:t>
      </w:r>
      <w:r w:rsidR="00136EC3">
        <w:rPr>
          <w:rFonts w:ascii="Times New Roman" w:hAnsi="Times New Roman"/>
          <w:sz w:val="20"/>
          <w:szCs w:val="20"/>
        </w:rPr>
        <w:t>ours</w:t>
      </w:r>
      <w:r w:rsidR="00136EC3" w:rsidRPr="00EA07D7">
        <w:rPr>
          <w:rFonts w:ascii="Times New Roman" w:hAnsi="Times New Roman"/>
          <w:sz w:val="20"/>
          <w:szCs w:val="20"/>
        </w:rPr>
        <w:t xml:space="preserve"> at 450 ºC) and pre-weighed Whatman GF/F filters (nominal pore size 0.7 µm), while samples for silicate were filtered through a cellulose membrane filter. The filtered samples were stored in acid-washed polyethylene bottles and frozen at –20 °C until analysis. Filter paper for chlorophyll-a was folded, wrapped in foil squares and immediately preserved in the dark under low temperature and returned to the laboratory for analysis.</w:t>
      </w:r>
    </w:p>
    <w:p w:rsidR="00136EC3" w:rsidRDefault="00136EC3" w:rsidP="00136EC3">
      <w:pPr>
        <w:spacing w:after="120" w:line="240" w:lineRule="auto"/>
        <w:jc w:val="both"/>
        <w:rPr>
          <w:rFonts w:ascii="Times New Roman" w:hAnsi="Times New Roman"/>
          <w:sz w:val="20"/>
          <w:szCs w:val="20"/>
        </w:rPr>
      </w:pPr>
    </w:p>
    <w:p w:rsidR="00136EC3" w:rsidRDefault="00136EC3" w:rsidP="00136EC3">
      <w:pPr>
        <w:spacing w:after="120" w:line="240" w:lineRule="auto"/>
        <w:jc w:val="center"/>
        <w:rPr>
          <w:rFonts w:ascii="Times New Roman" w:hAnsi="Times New Roman"/>
          <w:sz w:val="20"/>
          <w:szCs w:val="20"/>
        </w:rPr>
      </w:pPr>
      <w:r>
        <w:rPr>
          <w:noProof/>
          <w:lang w:val="en-MY" w:eastAsia="en-MY" w:bidi="ar-SA"/>
        </w:rPr>
        <w:drawing>
          <wp:inline distT="0" distB="0" distL="0" distR="0" wp14:anchorId="7190AE4A" wp14:editId="567B3854">
            <wp:extent cx="5714007" cy="3840480"/>
            <wp:effectExtent l="19050" t="19050" r="2032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p2.jpg"/>
                    <pic:cNvPicPr/>
                  </pic:nvPicPr>
                  <pic:blipFill rotWithShape="1">
                    <a:blip r:embed="rId11">
                      <a:extLst/>
                    </a:blip>
                    <a:srcRect l="10782" t="2626" r="17011" b="3839"/>
                    <a:stretch/>
                  </pic:blipFill>
                  <pic:spPr bwMode="auto">
                    <a:xfrm>
                      <a:off x="0" y="0"/>
                      <a:ext cx="5714007" cy="3840480"/>
                    </a:xfrm>
                    <a:prstGeom prst="rect">
                      <a:avLst/>
                    </a:prstGeom>
                    <a:ln>
                      <a:solidFill>
                        <a:schemeClr val="accent1"/>
                      </a:solidFill>
                    </a:ln>
                    <a:extLst/>
                  </pic:spPr>
                </pic:pic>
              </a:graphicData>
            </a:graphic>
          </wp:inline>
        </w:drawing>
      </w:r>
    </w:p>
    <w:p w:rsidR="00136EC3" w:rsidRPr="00EA07D7" w:rsidRDefault="00136EC3" w:rsidP="00136EC3">
      <w:pPr>
        <w:spacing w:after="0" w:line="240" w:lineRule="auto"/>
        <w:jc w:val="center"/>
        <w:rPr>
          <w:rFonts w:ascii="Times New Roman" w:hAnsi="Times New Roman"/>
          <w:sz w:val="20"/>
          <w:szCs w:val="20"/>
        </w:rPr>
      </w:pPr>
      <w:r w:rsidRPr="00EA07D7">
        <w:rPr>
          <w:rFonts w:ascii="Times New Roman" w:hAnsi="Times New Roman"/>
          <w:sz w:val="20"/>
          <w:szCs w:val="20"/>
        </w:rPr>
        <w:t xml:space="preserve">Figure </w:t>
      </w:r>
      <w:r>
        <w:rPr>
          <w:rFonts w:ascii="Times New Roman" w:hAnsi="Times New Roman"/>
          <w:sz w:val="20"/>
          <w:szCs w:val="20"/>
        </w:rPr>
        <w:t xml:space="preserve">1.  </w:t>
      </w:r>
      <w:r w:rsidRPr="00EA07D7">
        <w:rPr>
          <w:rFonts w:ascii="Times New Roman" w:hAnsi="Times New Roman"/>
          <w:sz w:val="20"/>
          <w:szCs w:val="20"/>
        </w:rPr>
        <w:t>Map of the study area. Transect and stations are shown in the inset</w:t>
      </w:r>
    </w:p>
    <w:p w:rsidR="00136EC3" w:rsidRDefault="00136EC3" w:rsidP="00136EC3">
      <w:pPr>
        <w:spacing w:before="120" w:after="0" w:line="240" w:lineRule="auto"/>
        <w:jc w:val="both"/>
        <w:rPr>
          <w:rFonts w:ascii="Times New Roman" w:hAnsi="Times New Roman"/>
          <w:sz w:val="20"/>
          <w:szCs w:val="20"/>
        </w:rPr>
      </w:pPr>
    </w:p>
    <w:p w:rsidR="00136EC3" w:rsidRDefault="00136EC3" w:rsidP="00136EC3">
      <w:pPr>
        <w:spacing w:after="0" w:line="240" w:lineRule="auto"/>
        <w:jc w:val="both"/>
        <w:rPr>
          <w:rFonts w:ascii="Times New Roman" w:hAnsi="Times New Roman"/>
          <w:sz w:val="20"/>
          <w:szCs w:val="20"/>
        </w:rPr>
      </w:pPr>
    </w:p>
    <w:p w:rsidR="00136EC3" w:rsidRDefault="00136EC3" w:rsidP="00136EC3">
      <w:pPr>
        <w:spacing w:after="0" w:line="240" w:lineRule="auto"/>
        <w:jc w:val="both"/>
        <w:rPr>
          <w:rFonts w:ascii="Times New Roman" w:hAnsi="Times New Roman"/>
          <w:sz w:val="20"/>
          <w:szCs w:val="20"/>
        </w:rPr>
      </w:pPr>
    </w:p>
    <w:p w:rsidR="00136EC3" w:rsidRPr="00395E9E" w:rsidRDefault="00136EC3" w:rsidP="00136EC3">
      <w:pPr>
        <w:keepNext/>
        <w:keepLines/>
        <w:spacing w:after="0" w:line="240" w:lineRule="auto"/>
        <w:jc w:val="both"/>
        <w:rPr>
          <w:rFonts w:ascii="Times New Roman" w:hAnsi="Times New Roman"/>
          <w:b/>
          <w:sz w:val="20"/>
          <w:szCs w:val="20"/>
        </w:rPr>
      </w:pPr>
      <w:r w:rsidRPr="00395E9E">
        <w:rPr>
          <w:rFonts w:ascii="Times New Roman" w:hAnsi="Times New Roman"/>
          <w:b/>
          <w:sz w:val="20"/>
          <w:szCs w:val="20"/>
        </w:rPr>
        <w:lastRenderedPageBreak/>
        <w:t>Upwelling signature (Ekman transport)</w:t>
      </w:r>
    </w:p>
    <w:p w:rsidR="00136EC3" w:rsidRPr="00395E9E" w:rsidRDefault="00136EC3" w:rsidP="00136EC3">
      <w:pPr>
        <w:spacing w:after="0" w:line="240" w:lineRule="auto"/>
        <w:jc w:val="both"/>
        <w:rPr>
          <w:rFonts w:ascii="Times New Roman" w:hAnsi="Times New Roman"/>
          <w:b/>
          <w:sz w:val="20"/>
          <w:szCs w:val="20"/>
        </w:rPr>
      </w:pPr>
      <w:r w:rsidRPr="00395E9E">
        <w:rPr>
          <w:rFonts w:ascii="Times New Roman" w:hAnsi="Times New Roman"/>
          <w:sz w:val="20"/>
          <w:szCs w:val="20"/>
        </w:rPr>
        <w:t>Average wind data at 10 m height with a resolution of 0.125° × 0.125° within the period of study were obtained from the European Centre for Medium-range Weather Forecast (ECMWF) Interim Reanalysis (ERA-Interim) (</w:t>
      </w:r>
      <w:hyperlink r:id="rId12">
        <w:r w:rsidRPr="00395E9E">
          <w:rPr>
            <w:rFonts w:ascii="Times New Roman" w:hAnsi="Times New Roman"/>
            <w:sz w:val="20"/>
            <w:szCs w:val="20"/>
            <w:u w:val="single"/>
          </w:rPr>
          <w:t>https://www.ecmwf.int</w:t>
        </w:r>
      </w:hyperlink>
      <w:r w:rsidRPr="00395E9E">
        <w:rPr>
          <w:rFonts w:ascii="Times New Roman" w:hAnsi="Times New Roman"/>
          <w:sz w:val="20"/>
          <w:szCs w:val="20"/>
        </w:rPr>
        <w:t xml:space="preserve">) and further analysis were conducted to obtain Ekman transport, as such, to provide knowledge </w:t>
      </w:r>
    </w:p>
    <w:p w:rsidR="00136EC3" w:rsidRPr="00395E9E" w:rsidRDefault="00136EC3" w:rsidP="00136EC3">
      <w:pPr>
        <w:spacing w:after="0" w:line="240" w:lineRule="auto"/>
        <w:jc w:val="both"/>
        <w:rPr>
          <w:rFonts w:ascii="Times New Roman" w:hAnsi="Times New Roman"/>
          <w:sz w:val="20"/>
          <w:szCs w:val="20"/>
        </w:rPr>
      </w:pPr>
      <w:r w:rsidRPr="00395E9E">
        <w:rPr>
          <w:rFonts w:ascii="Times New Roman" w:hAnsi="Times New Roman"/>
          <w:sz w:val="20"/>
          <w:szCs w:val="20"/>
        </w:rPr>
        <w:t>on the upwelling-driven mechanism. The Ekman transport are calculated by the mean of:</w:t>
      </w:r>
    </w:p>
    <w:p w:rsidR="00136EC3" w:rsidRPr="00395E9E" w:rsidRDefault="00136EC3" w:rsidP="00136EC3">
      <w:pPr>
        <w:spacing w:after="0" w:line="240" w:lineRule="auto"/>
        <w:jc w:val="both"/>
        <w:rPr>
          <w:rFonts w:ascii="Times New Roman" w:hAnsi="Times New Roman"/>
          <w:sz w:val="20"/>
          <w:szCs w:val="20"/>
        </w:rPr>
      </w:pPr>
    </w:p>
    <w:p w:rsidR="00136EC3" w:rsidRPr="00395E9E" w:rsidRDefault="00C607A2" w:rsidP="00136EC3">
      <w:pPr>
        <w:spacing w:after="0" w:line="240" w:lineRule="auto"/>
        <w:ind w:left="720" w:firstLine="720"/>
        <w:jc w:val="both"/>
        <w:rPr>
          <w:rFonts w:ascii="Times New Roman" w:hAnsi="Times New Roman"/>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Q</m:t>
            </m:r>
          </m:e>
          <m:sub>
            <m:r>
              <w:rPr>
                <w:rFonts w:ascii="Cambria Math" w:eastAsia="Cambria Math" w:hAnsi="Cambria Math"/>
                <w:sz w:val="20"/>
                <w:szCs w:val="20"/>
              </w:rPr>
              <m:t>x</m:t>
            </m:r>
          </m:sub>
        </m:sSub>
        <m:r>
          <w:rPr>
            <w:rFonts w:ascii="Cambria Math" w:eastAsia="Cambria Math" w:hAnsi="Cambria Math"/>
            <w:sz w:val="20"/>
            <w:szCs w:val="20"/>
          </w:rPr>
          <m:t>=</m:t>
        </m:r>
        <m:f>
          <m:fPr>
            <m:ctrlPr>
              <w:rPr>
                <w:rFonts w:ascii="Cambria Math" w:eastAsia="Cambria Math" w:hAnsi="Cambria Math"/>
                <w:sz w:val="20"/>
                <w:szCs w:val="20"/>
              </w:rPr>
            </m:ctrlPr>
          </m:fPr>
          <m:num>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ρ</m:t>
                    </m:r>
                  </m:e>
                  <m:sub>
                    <m:r>
                      <w:rPr>
                        <w:rFonts w:ascii="Cambria Math" w:eastAsia="Cambria Math" w:hAnsi="Cambria Math"/>
                        <w:sz w:val="20"/>
                        <w:szCs w:val="20"/>
                      </w:rPr>
                      <m:t>a</m:t>
                    </m:r>
                  </m:sub>
                </m:sSub>
                <m:sSub>
                  <m:sSubPr>
                    <m:ctrlPr>
                      <w:rPr>
                        <w:rFonts w:ascii="Cambria Math" w:eastAsia="Cambria Math" w:hAnsi="Cambria Math"/>
                        <w:sz w:val="20"/>
                        <w:szCs w:val="20"/>
                      </w:rPr>
                    </m:ctrlPr>
                  </m:sSubPr>
                  <m:e>
                    <m:r>
                      <w:rPr>
                        <w:rFonts w:ascii="Cambria Math" w:eastAsia="Cambria Math" w:hAnsi="Cambria Math"/>
                        <w:sz w:val="20"/>
                        <w:szCs w:val="20"/>
                      </w:rPr>
                      <m:t>C</m:t>
                    </m:r>
                  </m:e>
                  <m:sub>
                    <m:r>
                      <w:rPr>
                        <w:rFonts w:ascii="Cambria Math" w:eastAsia="Cambria Math" w:hAnsi="Cambria Math"/>
                        <w:sz w:val="20"/>
                        <w:szCs w:val="20"/>
                      </w:rPr>
                      <m:t>d</m:t>
                    </m:r>
                  </m:sub>
                </m:sSub>
                <m:r>
                  <w:rPr>
                    <w:rFonts w:ascii="Cambria Math" w:eastAsia="Cambria Math" w:hAnsi="Cambria Math"/>
                    <w:sz w:val="20"/>
                    <w:szCs w:val="20"/>
                  </w:rPr>
                  <m:t>(</m:t>
                </m:r>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x</m:t>
                        </m:r>
                      </m:sub>
                    </m:sSub>
                  </m:e>
                  <m:sup>
                    <m:r>
                      <w:rPr>
                        <w:rFonts w:ascii="Cambria Math" w:eastAsia="Cambria Math" w:hAnsi="Cambria Math"/>
                        <w:sz w:val="20"/>
                        <w:szCs w:val="20"/>
                      </w:rPr>
                      <m:t>2</m:t>
                    </m:r>
                  </m:sup>
                </m:sSup>
                <m:r>
                  <w:rPr>
                    <w:rFonts w:ascii="Cambria Math" w:eastAsia="Cambria Math" w:hAnsi="Cambria Math"/>
                    <w:sz w:val="20"/>
                    <w:szCs w:val="20"/>
                  </w:rPr>
                  <m:t>+</m:t>
                </m:r>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y</m:t>
                        </m:r>
                      </m:sub>
                    </m:sSub>
                  </m:e>
                  <m:sup>
                    <m:r>
                      <w:rPr>
                        <w:rFonts w:ascii="Cambria Math" w:eastAsia="Cambria Math" w:hAnsi="Cambria Math"/>
                        <w:sz w:val="20"/>
                        <w:szCs w:val="20"/>
                      </w:rPr>
                      <m:t>2</m:t>
                    </m:r>
                  </m:sup>
                </m:sSup>
                <m:r>
                  <w:rPr>
                    <w:rFonts w:ascii="Cambria Math" w:eastAsia="Cambria Math" w:hAnsi="Cambria Math"/>
                    <w:sz w:val="20"/>
                    <w:szCs w:val="20"/>
                  </w:rPr>
                  <m:t>)</m:t>
                </m:r>
              </m:e>
              <m:sup>
                <m:r>
                  <w:rPr>
                    <w:rFonts w:ascii="Cambria Math" w:eastAsia="Cambria Math" w:hAnsi="Cambria Math"/>
                    <w:sz w:val="20"/>
                    <w:szCs w:val="20"/>
                  </w:rPr>
                  <m:t>1/2</m:t>
                </m:r>
              </m:sup>
            </m:sSup>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x</m:t>
                </m:r>
              </m:sub>
            </m:sSub>
          </m:num>
          <m:den>
            <m:sSub>
              <m:sSubPr>
                <m:ctrlPr>
                  <w:rPr>
                    <w:rFonts w:ascii="Cambria Math" w:eastAsia="Cambria Math" w:hAnsi="Cambria Math"/>
                    <w:sz w:val="20"/>
                    <w:szCs w:val="20"/>
                  </w:rPr>
                </m:ctrlPr>
              </m:sSubPr>
              <m:e>
                <m:r>
                  <w:rPr>
                    <w:rFonts w:ascii="Cambria Math" w:eastAsia="Cambria Math" w:hAnsi="Cambria Math"/>
                    <w:sz w:val="20"/>
                    <w:szCs w:val="20"/>
                  </w:rPr>
                  <m:t>ρ</m:t>
                </m:r>
              </m:e>
              <m:sub>
                <m:r>
                  <w:rPr>
                    <w:rFonts w:ascii="Cambria Math" w:eastAsia="Cambria Math" w:hAnsi="Cambria Math"/>
                    <w:sz w:val="20"/>
                    <w:szCs w:val="20"/>
                  </w:rPr>
                  <m:t>w</m:t>
                </m:r>
              </m:sub>
            </m:sSub>
            <m:r>
              <w:rPr>
                <w:rFonts w:ascii="Cambria Math" w:eastAsia="Cambria Math" w:hAnsi="Cambria Math"/>
                <w:sz w:val="20"/>
                <w:szCs w:val="20"/>
              </w:rPr>
              <m:t>f</m:t>
            </m:r>
          </m:den>
        </m:f>
      </m:oMath>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t xml:space="preserve">  </w:t>
      </w:r>
      <w:r w:rsidR="00136EC3">
        <w:rPr>
          <w:rFonts w:ascii="Times New Roman" w:hAnsi="Times New Roman"/>
          <w:sz w:val="20"/>
          <w:szCs w:val="20"/>
        </w:rPr>
        <w:t xml:space="preserve">      </w:t>
      </w:r>
      <w:r w:rsidR="00136EC3" w:rsidRPr="00395E9E">
        <w:rPr>
          <w:rFonts w:ascii="Times New Roman" w:hAnsi="Times New Roman"/>
          <w:sz w:val="20"/>
          <w:szCs w:val="20"/>
        </w:rPr>
        <w:t xml:space="preserve"> (1)</w:t>
      </w:r>
    </w:p>
    <w:p w:rsidR="00136EC3" w:rsidRPr="00395E9E" w:rsidRDefault="00136EC3" w:rsidP="00136EC3">
      <w:pPr>
        <w:spacing w:after="0" w:line="240" w:lineRule="auto"/>
        <w:ind w:left="720" w:firstLine="720"/>
        <w:jc w:val="both"/>
        <w:rPr>
          <w:rFonts w:ascii="Times New Roman" w:hAnsi="Times New Roman"/>
          <w:sz w:val="20"/>
          <w:szCs w:val="20"/>
        </w:rPr>
      </w:pPr>
    </w:p>
    <w:p w:rsidR="00136EC3" w:rsidRPr="00395E9E" w:rsidRDefault="00C607A2" w:rsidP="00136EC3">
      <w:pPr>
        <w:spacing w:after="0" w:line="240" w:lineRule="auto"/>
        <w:ind w:left="720" w:firstLine="720"/>
        <w:jc w:val="both"/>
        <w:rPr>
          <w:rFonts w:ascii="Times New Roman" w:hAnsi="Times New Roman"/>
          <w:sz w:val="20"/>
          <w:szCs w:val="20"/>
        </w:rPr>
      </w:pPr>
      <m:oMath>
        <m:sSub>
          <m:sSubPr>
            <m:ctrlPr>
              <w:rPr>
                <w:rFonts w:ascii="Cambria Math" w:eastAsia="Cambria Math" w:hAnsi="Cambria Math"/>
                <w:sz w:val="20"/>
                <w:szCs w:val="20"/>
              </w:rPr>
            </m:ctrlPr>
          </m:sSubPr>
          <m:e>
            <m:r>
              <w:rPr>
                <w:rFonts w:ascii="Cambria Math" w:eastAsia="Cambria Math" w:hAnsi="Cambria Math"/>
                <w:sz w:val="20"/>
                <w:szCs w:val="20"/>
              </w:rPr>
              <m:t>Q</m:t>
            </m:r>
          </m:e>
          <m:sub>
            <m:r>
              <w:rPr>
                <w:rFonts w:ascii="Cambria Math" w:eastAsia="Cambria Math" w:hAnsi="Cambria Math"/>
                <w:sz w:val="20"/>
                <w:szCs w:val="20"/>
              </w:rPr>
              <m:t>y</m:t>
            </m:r>
          </m:sub>
        </m:sSub>
        <m:r>
          <w:rPr>
            <w:rFonts w:ascii="Cambria Math" w:eastAsia="Cambria Math" w:hAnsi="Cambria Math"/>
            <w:sz w:val="20"/>
            <w:szCs w:val="20"/>
          </w:rPr>
          <m:t>=-</m:t>
        </m:r>
        <m:f>
          <m:fPr>
            <m:ctrlPr>
              <w:rPr>
                <w:rFonts w:ascii="Cambria Math" w:eastAsia="Cambria Math" w:hAnsi="Cambria Math"/>
                <w:sz w:val="20"/>
                <w:szCs w:val="20"/>
              </w:rPr>
            </m:ctrlPr>
          </m:fPr>
          <m:num>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ρ</m:t>
                    </m:r>
                  </m:e>
                  <m:sub>
                    <m:r>
                      <w:rPr>
                        <w:rFonts w:ascii="Cambria Math" w:eastAsia="Cambria Math" w:hAnsi="Cambria Math"/>
                        <w:sz w:val="20"/>
                        <w:szCs w:val="20"/>
                      </w:rPr>
                      <m:t>a</m:t>
                    </m:r>
                  </m:sub>
                </m:sSub>
                <m:sSub>
                  <m:sSubPr>
                    <m:ctrlPr>
                      <w:rPr>
                        <w:rFonts w:ascii="Cambria Math" w:eastAsia="Cambria Math" w:hAnsi="Cambria Math"/>
                        <w:sz w:val="20"/>
                        <w:szCs w:val="20"/>
                      </w:rPr>
                    </m:ctrlPr>
                  </m:sSubPr>
                  <m:e>
                    <m:r>
                      <w:rPr>
                        <w:rFonts w:ascii="Cambria Math" w:eastAsia="Cambria Math" w:hAnsi="Cambria Math"/>
                        <w:sz w:val="20"/>
                        <w:szCs w:val="20"/>
                      </w:rPr>
                      <m:t>C</m:t>
                    </m:r>
                  </m:e>
                  <m:sub>
                    <m:r>
                      <w:rPr>
                        <w:rFonts w:ascii="Cambria Math" w:eastAsia="Cambria Math" w:hAnsi="Cambria Math"/>
                        <w:sz w:val="20"/>
                        <w:szCs w:val="20"/>
                      </w:rPr>
                      <m:t>d</m:t>
                    </m:r>
                  </m:sub>
                </m:sSub>
                <m:r>
                  <w:rPr>
                    <w:rFonts w:ascii="Cambria Math" w:eastAsia="Cambria Math" w:hAnsi="Cambria Math"/>
                    <w:sz w:val="20"/>
                    <w:szCs w:val="20"/>
                  </w:rPr>
                  <m:t>(</m:t>
                </m:r>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x</m:t>
                        </m:r>
                      </m:sub>
                    </m:sSub>
                  </m:e>
                  <m:sup>
                    <m:r>
                      <w:rPr>
                        <w:rFonts w:ascii="Cambria Math" w:eastAsia="Cambria Math" w:hAnsi="Cambria Math"/>
                        <w:sz w:val="20"/>
                        <w:szCs w:val="20"/>
                      </w:rPr>
                      <m:t>2</m:t>
                    </m:r>
                  </m:sup>
                </m:sSup>
                <m:r>
                  <w:rPr>
                    <w:rFonts w:ascii="Cambria Math" w:eastAsia="Cambria Math" w:hAnsi="Cambria Math"/>
                    <w:sz w:val="20"/>
                    <w:szCs w:val="20"/>
                  </w:rPr>
                  <m:t>+</m:t>
                </m:r>
                <m:sSup>
                  <m:sSupPr>
                    <m:ctrlPr>
                      <w:rPr>
                        <w:rFonts w:ascii="Cambria Math" w:eastAsia="Cambria Math" w:hAnsi="Cambria Math"/>
                        <w:sz w:val="20"/>
                        <w:szCs w:val="20"/>
                      </w:rPr>
                    </m:ctrlPr>
                  </m:sSupPr>
                  <m:e>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y</m:t>
                        </m:r>
                      </m:sub>
                    </m:sSub>
                  </m:e>
                  <m:sup>
                    <m:r>
                      <w:rPr>
                        <w:rFonts w:ascii="Cambria Math" w:eastAsia="Cambria Math" w:hAnsi="Cambria Math"/>
                        <w:sz w:val="20"/>
                        <w:szCs w:val="20"/>
                      </w:rPr>
                      <m:t>2</m:t>
                    </m:r>
                  </m:sup>
                </m:sSup>
                <m:r>
                  <w:rPr>
                    <w:rFonts w:ascii="Cambria Math" w:eastAsia="Cambria Math" w:hAnsi="Cambria Math"/>
                    <w:sz w:val="20"/>
                    <w:szCs w:val="20"/>
                  </w:rPr>
                  <m:t>)</m:t>
                </m:r>
              </m:e>
              <m:sup>
                <m:r>
                  <w:rPr>
                    <w:rFonts w:ascii="Cambria Math" w:eastAsia="Cambria Math" w:hAnsi="Cambria Math"/>
                    <w:sz w:val="20"/>
                    <w:szCs w:val="20"/>
                  </w:rPr>
                  <m:t>1/2</m:t>
                </m:r>
              </m:sup>
            </m:sSup>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y</m:t>
                </m:r>
              </m:sub>
            </m:sSub>
          </m:num>
          <m:den>
            <m:sSub>
              <m:sSubPr>
                <m:ctrlPr>
                  <w:rPr>
                    <w:rFonts w:ascii="Cambria Math" w:eastAsia="Cambria Math" w:hAnsi="Cambria Math"/>
                    <w:sz w:val="20"/>
                    <w:szCs w:val="20"/>
                  </w:rPr>
                </m:ctrlPr>
              </m:sSubPr>
              <m:e>
                <m:r>
                  <w:rPr>
                    <w:rFonts w:ascii="Cambria Math" w:eastAsia="Cambria Math" w:hAnsi="Cambria Math"/>
                    <w:sz w:val="20"/>
                    <w:szCs w:val="20"/>
                  </w:rPr>
                  <m:t>ρ</m:t>
                </m:r>
              </m:e>
              <m:sub>
                <m:r>
                  <w:rPr>
                    <w:rFonts w:ascii="Cambria Math" w:eastAsia="Cambria Math" w:hAnsi="Cambria Math"/>
                    <w:sz w:val="20"/>
                    <w:szCs w:val="20"/>
                  </w:rPr>
                  <m:t>w</m:t>
                </m:r>
              </m:sub>
            </m:sSub>
            <m:r>
              <w:rPr>
                <w:rFonts w:ascii="Cambria Math" w:eastAsia="Cambria Math" w:hAnsi="Cambria Math"/>
                <w:sz w:val="20"/>
                <w:szCs w:val="20"/>
              </w:rPr>
              <m:t>f</m:t>
            </m:r>
          </m:den>
        </m:f>
      </m:oMath>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r>
      <w:r w:rsidR="00136EC3" w:rsidRPr="00395E9E">
        <w:rPr>
          <w:rFonts w:ascii="Times New Roman" w:hAnsi="Times New Roman"/>
          <w:sz w:val="20"/>
          <w:szCs w:val="20"/>
        </w:rPr>
        <w:tab/>
        <w:t xml:space="preserve">   </w:t>
      </w:r>
      <w:r w:rsidR="00136EC3">
        <w:rPr>
          <w:rFonts w:ascii="Times New Roman" w:hAnsi="Times New Roman"/>
          <w:sz w:val="20"/>
          <w:szCs w:val="20"/>
        </w:rPr>
        <w:t xml:space="preserve">      </w:t>
      </w:r>
      <w:r w:rsidR="00136EC3" w:rsidRPr="00395E9E">
        <w:rPr>
          <w:rFonts w:ascii="Times New Roman" w:hAnsi="Times New Roman"/>
          <w:sz w:val="20"/>
          <w:szCs w:val="20"/>
        </w:rPr>
        <w:t>(2)</w:t>
      </w:r>
    </w:p>
    <w:p w:rsidR="00136EC3" w:rsidRPr="00395E9E" w:rsidRDefault="00136EC3" w:rsidP="00136EC3">
      <w:pPr>
        <w:spacing w:after="0" w:line="240" w:lineRule="auto"/>
        <w:jc w:val="both"/>
        <w:rPr>
          <w:rFonts w:ascii="Times New Roman" w:hAnsi="Times New Roman"/>
          <w:sz w:val="20"/>
          <w:szCs w:val="20"/>
        </w:rPr>
      </w:pPr>
    </w:p>
    <w:p w:rsidR="00136EC3" w:rsidRPr="00395E9E" w:rsidRDefault="00136EC3" w:rsidP="00136EC3">
      <w:pPr>
        <w:spacing w:after="0" w:line="240" w:lineRule="auto"/>
        <w:jc w:val="both"/>
        <w:rPr>
          <w:rFonts w:ascii="Times New Roman" w:hAnsi="Times New Roman"/>
          <w:sz w:val="20"/>
          <w:szCs w:val="20"/>
        </w:rPr>
      </w:pPr>
      <w:r w:rsidRPr="00395E9E">
        <w:rPr>
          <w:rFonts w:ascii="Times New Roman" w:hAnsi="Times New Roman"/>
          <w:sz w:val="20"/>
          <w:szCs w:val="20"/>
        </w:rPr>
        <w:t xml:space="preserve">where </w:t>
      </w:r>
      <m:oMath>
        <m:sSub>
          <m:sSubPr>
            <m:ctrlPr>
              <w:rPr>
                <w:rFonts w:ascii="Cambria Math" w:eastAsia="Cambria Math" w:hAnsi="Cambria Math"/>
                <w:sz w:val="20"/>
                <w:szCs w:val="20"/>
              </w:rPr>
            </m:ctrlPr>
          </m:sSubPr>
          <m:e>
            <m:r>
              <w:rPr>
                <w:rFonts w:ascii="Cambria Math" w:hAnsi="Cambria Math"/>
                <w:sz w:val="20"/>
                <w:szCs w:val="20"/>
              </w:rPr>
              <m:t>ρ</m:t>
            </m:r>
          </m:e>
          <m:sub>
            <m:r>
              <w:rPr>
                <w:rFonts w:ascii="Cambria Math" w:eastAsia="Cambria Math" w:hAnsi="Cambria Math"/>
                <w:sz w:val="20"/>
                <w:szCs w:val="20"/>
              </w:rPr>
              <m:t>a</m:t>
            </m:r>
          </m:sub>
        </m:sSub>
      </m:oMath>
      <w:r w:rsidRPr="00395E9E">
        <w:rPr>
          <w:rFonts w:ascii="Times New Roman" w:hAnsi="Times New Roman"/>
          <w:sz w:val="20"/>
          <w:szCs w:val="20"/>
        </w:rPr>
        <w:t xml:space="preserve"> is the density of air (1.22 kg m</w:t>
      </w:r>
      <w:r w:rsidRPr="00395E9E">
        <w:rPr>
          <w:rFonts w:ascii="Times New Roman" w:hAnsi="Times New Roman"/>
          <w:sz w:val="20"/>
          <w:szCs w:val="20"/>
          <w:vertAlign w:val="superscript"/>
        </w:rPr>
        <w:t>-3</w:t>
      </w:r>
      <w:r w:rsidRPr="00395E9E">
        <w:rPr>
          <w:rFonts w:ascii="Times New Roman" w:hAnsi="Times New Roman"/>
          <w:sz w:val="20"/>
          <w:szCs w:val="20"/>
        </w:rPr>
        <w:t xml:space="preserve">), </w:t>
      </w:r>
      <m:oMath>
        <m:sSub>
          <m:sSubPr>
            <m:ctrlPr>
              <w:rPr>
                <w:rFonts w:ascii="Cambria Math" w:eastAsia="Cambria Math" w:hAnsi="Cambria Math"/>
                <w:sz w:val="20"/>
                <w:szCs w:val="20"/>
              </w:rPr>
            </m:ctrlPr>
          </m:sSubPr>
          <m:e>
            <m:r>
              <w:rPr>
                <w:rFonts w:ascii="Cambria Math" w:eastAsia="Cambria Math" w:hAnsi="Cambria Math"/>
                <w:sz w:val="20"/>
                <w:szCs w:val="20"/>
              </w:rPr>
              <m:t>C</m:t>
            </m:r>
          </m:e>
          <m:sub>
            <m:r>
              <w:rPr>
                <w:rFonts w:ascii="Cambria Math" w:eastAsia="Cambria Math" w:hAnsi="Cambria Math"/>
                <w:sz w:val="20"/>
                <w:szCs w:val="20"/>
              </w:rPr>
              <m:t>d</m:t>
            </m:r>
          </m:sub>
        </m:sSub>
      </m:oMath>
      <w:r w:rsidRPr="00395E9E">
        <w:rPr>
          <w:rFonts w:ascii="Times New Roman" w:hAnsi="Times New Roman"/>
          <w:sz w:val="20"/>
          <w:szCs w:val="20"/>
        </w:rPr>
        <w:t xml:space="preserve"> is the dimensionless drag coefficient (1.3 × 10</w:t>
      </w:r>
      <w:r w:rsidRPr="00395E9E">
        <w:rPr>
          <w:rFonts w:ascii="Times New Roman" w:hAnsi="Times New Roman"/>
          <w:sz w:val="20"/>
          <w:szCs w:val="20"/>
          <w:vertAlign w:val="superscript"/>
        </w:rPr>
        <w:t>-3</w:t>
      </w:r>
      <w:r w:rsidRPr="00395E9E">
        <w:rPr>
          <w:rFonts w:ascii="Times New Roman" w:hAnsi="Times New Roman"/>
          <w:sz w:val="20"/>
          <w:szCs w:val="20"/>
        </w:rPr>
        <w:t xml:space="preserve">), W is the wind speed at 10m height, </w:t>
      </w:r>
      <m:oMath>
        <m:sSub>
          <m:sSubPr>
            <m:ctrlPr>
              <w:rPr>
                <w:rFonts w:ascii="Cambria Math" w:eastAsia="Cambria Math" w:hAnsi="Cambria Math"/>
                <w:sz w:val="20"/>
                <w:szCs w:val="20"/>
              </w:rPr>
            </m:ctrlPr>
          </m:sSubPr>
          <m:e>
            <m:r>
              <w:rPr>
                <w:rFonts w:ascii="Cambria Math" w:hAnsi="Cambria Math"/>
                <w:sz w:val="20"/>
                <w:szCs w:val="20"/>
              </w:rPr>
              <m:t>ρ</m:t>
            </m:r>
          </m:e>
          <m:sub>
            <m:r>
              <w:rPr>
                <w:rFonts w:ascii="Cambria Math" w:eastAsia="Cambria Math" w:hAnsi="Cambria Math"/>
                <w:sz w:val="20"/>
                <w:szCs w:val="20"/>
              </w:rPr>
              <m:t>w</m:t>
            </m:r>
          </m:sub>
        </m:sSub>
      </m:oMath>
      <w:r w:rsidRPr="00395E9E">
        <w:rPr>
          <w:rFonts w:ascii="Times New Roman" w:hAnsi="Times New Roman"/>
          <w:sz w:val="20"/>
          <w:szCs w:val="20"/>
        </w:rPr>
        <w:t xml:space="preserve"> is the density of seawater (1025 kg m</w:t>
      </w:r>
      <w:r w:rsidRPr="00395E9E">
        <w:rPr>
          <w:rFonts w:ascii="Times New Roman" w:hAnsi="Times New Roman"/>
          <w:sz w:val="20"/>
          <w:szCs w:val="20"/>
          <w:vertAlign w:val="superscript"/>
        </w:rPr>
        <w:t>-3</w:t>
      </w:r>
      <w:r w:rsidRPr="00395E9E">
        <w:rPr>
          <w:rFonts w:ascii="Times New Roman" w:hAnsi="Times New Roman"/>
          <w:sz w:val="20"/>
          <w:szCs w:val="20"/>
        </w:rPr>
        <w:t xml:space="preserve">), </w:t>
      </w:r>
      <m:oMath>
        <m:r>
          <w:rPr>
            <w:rFonts w:ascii="Cambria Math" w:eastAsia="Cambria Math" w:hAnsi="Cambria Math"/>
            <w:sz w:val="20"/>
            <w:szCs w:val="20"/>
          </w:rPr>
          <m:t>f=2Ωsinθ</m:t>
        </m:r>
      </m:oMath>
      <w:r w:rsidRPr="00395E9E">
        <w:rPr>
          <w:rFonts w:ascii="Times New Roman" w:hAnsi="Times New Roman"/>
          <w:sz w:val="20"/>
          <w:szCs w:val="20"/>
        </w:rPr>
        <w:t xml:space="preserve"> is the Coriolis parameter, where </w:t>
      </w:r>
      <m:oMath>
        <m:r>
          <w:rPr>
            <w:rFonts w:ascii="Cambria Math" w:hAnsi="Cambria Math"/>
            <w:sz w:val="20"/>
            <w:szCs w:val="20"/>
          </w:rPr>
          <m:t>Ω</m:t>
        </m:r>
      </m:oMath>
      <w:r w:rsidRPr="00395E9E">
        <w:rPr>
          <w:rFonts w:ascii="Times New Roman" w:hAnsi="Times New Roman"/>
          <w:sz w:val="20"/>
          <w:szCs w:val="20"/>
        </w:rPr>
        <w:t xml:space="preserve"> is the Earth’s angular velocity (7.292 × 10</w:t>
      </w:r>
      <w:r w:rsidRPr="00395E9E">
        <w:rPr>
          <w:rFonts w:ascii="Times New Roman" w:hAnsi="Times New Roman"/>
          <w:sz w:val="20"/>
          <w:szCs w:val="20"/>
          <w:vertAlign w:val="superscript"/>
        </w:rPr>
        <w:t>-5</w:t>
      </w:r>
      <w:r w:rsidRPr="00395E9E">
        <w:rPr>
          <w:rFonts w:ascii="Times New Roman" w:hAnsi="Times New Roman"/>
          <w:sz w:val="20"/>
          <w:szCs w:val="20"/>
        </w:rPr>
        <w:t xml:space="preserve"> rad s</w:t>
      </w:r>
      <w:r w:rsidRPr="00395E9E">
        <w:rPr>
          <w:rFonts w:ascii="Times New Roman" w:hAnsi="Times New Roman"/>
          <w:sz w:val="20"/>
          <w:szCs w:val="20"/>
          <w:vertAlign w:val="superscript"/>
        </w:rPr>
        <w:t>-1</w:t>
      </w:r>
      <w:r w:rsidRPr="00395E9E">
        <w:rPr>
          <w:rFonts w:ascii="Times New Roman" w:hAnsi="Times New Roman"/>
          <w:sz w:val="20"/>
          <w:szCs w:val="20"/>
        </w:rPr>
        <w:t xml:space="preserve">), </w:t>
      </w:r>
      <m:oMath>
        <m:r>
          <w:rPr>
            <w:rFonts w:ascii="Cambria Math" w:hAnsi="Cambria Math"/>
            <w:sz w:val="20"/>
            <w:szCs w:val="20"/>
          </w:rPr>
          <m:t>θ</m:t>
        </m:r>
      </m:oMath>
      <w:r w:rsidRPr="00395E9E">
        <w:rPr>
          <w:rFonts w:ascii="Times New Roman" w:hAnsi="Times New Roman"/>
          <w:sz w:val="20"/>
          <w:szCs w:val="20"/>
        </w:rPr>
        <w:t xml:space="preserve"> is the latitude, x and y subscripts are zonal and meridional components, respectively.</w:t>
      </w:r>
    </w:p>
    <w:p w:rsidR="00136EC3" w:rsidRPr="00395E9E" w:rsidRDefault="00136EC3" w:rsidP="00136EC3">
      <w:pPr>
        <w:spacing w:after="0" w:line="240" w:lineRule="auto"/>
        <w:jc w:val="both"/>
        <w:rPr>
          <w:rFonts w:ascii="Times New Roman" w:hAnsi="Times New Roman"/>
          <w:sz w:val="20"/>
          <w:szCs w:val="20"/>
        </w:rPr>
      </w:pPr>
      <w:r w:rsidRPr="00395E9E">
        <w:rPr>
          <w:rFonts w:ascii="Times New Roman" w:hAnsi="Times New Roman"/>
          <w:sz w:val="20"/>
          <w:szCs w:val="20"/>
        </w:rPr>
        <w:t xml:space="preserve"> </w:t>
      </w:r>
    </w:p>
    <w:p w:rsidR="00136EC3" w:rsidRPr="00395E9E" w:rsidRDefault="00136EC3" w:rsidP="00136EC3">
      <w:pPr>
        <w:keepNext/>
        <w:keepLines/>
        <w:spacing w:after="0" w:line="240" w:lineRule="auto"/>
        <w:jc w:val="both"/>
        <w:rPr>
          <w:rFonts w:ascii="Times New Roman" w:hAnsi="Times New Roman"/>
          <w:b/>
          <w:sz w:val="20"/>
          <w:szCs w:val="20"/>
        </w:rPr>
      </w:pPr>
      <w:r w:rsidRPr="00395E9E">
        <w:rPr>
          <w:rFonts w:ascii="Times New Roman" w:hAnsi="Times New Roman"/>
          <w:b/>
          <w:sz w:val="20"/>
          <w:szCs w:val="20"/>
        </w:rPr>
        <w:t>Laboratory analysis of phosphate, silicate, DOC and chlorophyll-a</w:t>
      </w:r>
    </w:p>
    <w:p w:rsidR="002E6806" w:rsidRPr="00EA07D7" w:rsidRDefault="00136EC3" w:rsidP="00136EC3">
      <w:pPr>
        <w:spacing w:after="0" w:line="240" w:lineRule="auto"/>
        <w:jc w:val="both"/>
        <w:rPr>
          <w:rFonts w:ascii="Times New Roman" w:hAnsi="Times New Roman"/>
          <w:sz w:val="20"/>
          <w:szCs w:val="20"/>
        </w:rPr>
      </w:pPr>
      <w:r w:rsidRPr="00395E9E">
        <w:rPr>
          <w:rFonts w:ascii="Times New Roman" w:hAnsi="Times New Roman"/>
          <w:sz w:val="20"/>
          <w:szCs w:val="20"/>
        </w:rPr>
        <w:t xml:space="preserve">Dissolved phosphate and silicate were analysed based on standard colorimetric methods described by EPA [29] using a SmartChem 200 discrete autoanalyzer (AMS Alliance) and detected spectrophotometrically as a colored complex. DOC analyses were made by high temperature catalytic oxidation (HTCO) using a Shimadzu TOC-L analyser (furnace temperature: 680 ± 10 </w:t>
      </w:r>
      <w:r w:rsidRPr="00395E9E">
        <w:rPr>
          <w:rFonts w:ascii="Times New Roman" w:hAnsi="Times New Roman"/>
          <w:sz w:val="20"/>
          <w:szCs w:val="20"/>
          <w:vertAlign w:val="superscript"/>
        </w:rPr>
        <w:t>o</w:t>
      </w:r>
      <w:r w:rsidRPr="00395E9E">
        <w:rPr>
          <w:rFonts w:ascii="Times New Roman" w:hAnsi="Times New Roman"/>
          <w:sz w:val="20"/>
          <w:szCs w:val="20"/>
        </w:rPr>
        <w:t>C, catalyst: 0.5% Pt/Al</w:t>
      </w:r>
      <w:r w:rsidRPr="00395E9E">
        <w:rPr>
          <w:rFonts w:ascii="Times New Roman" w:hAnsi="Times New Roman"/>
          <w:sz w:val="20"/>
          <w:szCs w:val="20"/>
          <w:vertAlign w:val="subscript"/>
        </w:rPr>
        <w:t>2</w:t>
      </w:r>
      <w:r w:rsidRPr="00395E9E">
        <w:rPr>
          <w:rFonts w:ascii="Times New Roman" w:hAnsi="Times New Roman"/>
          <w:sz w:val="20"/>
          <w:szCs w:val="20"/>
        </w:rPr>
        <w:t>O</w:t>
      </w:r>
      <w:r w:rsidRPr="00395E9E">
        <w:rPr>
          <w:rFonts w:ascii="Times New Roman" w:hAnsi="Times New Roman"/>
          <w:sz w:val="20"/>
          <w:szCs w:val="20"/>
          <w:vertAlign w:val="subscript"/>
        </w:rPr>
        <w:t>3</w:t>
      </w:r>
      <w:r w:rsidRPr="00395E9E">
        <w:rPr>
          <w:rFonts w:ascii="Times New Roman" w:hAnsi="Times New Roman"/>
          <w:sz w:val="20"/>
          <w:szCs w:val="20"/>
        </w:rPr>
        <w:t>) coupled to a non-dispersive infrared (NDIR) detector for CO</w:t>
      </w:r>
      <w:r w:rsidRPr="00395E9E">
        <w:rPr>
          <w:rFonts w:ascii="Times New Roman" w:hAnsi="Times New Roman"/>
          <w:sz w:val="20"/>
          <w:szCs w:val="20"/>
          <w:vertAlign w:val="subscript"/>
        </w:rPr>
        <w:t>2</w:t>
      </w:r>
      <w:r w:rsidRPr="00395E9E">
        <w:rPr>
          <w:rFonts w:ascii="Times New Roman" w:hAnsi="Times New Roman"/>
          <w:sz w:val="20"/>
          <w:szCs w:val="20"/>
        </w:rPr>
        <w:t xml:space="preserve"> analysis arising from DOC oxidation [30, 31]. Before analysis, acidification and sparging of samples was carried out to eliminate inorganic C by adding 10% HCl to a sample and sparged with high purity N</w:t>
      </w:r>
      <w:r w:rsidRPr="00395E9E">
        <w:rPr>
          <w:rFonts w:ascii="Times New Roman" w:hAnsi="Times New Roman"/>
          <w:sz w:val="20"/>
          <w:szCs w:val="20"/>
          <w:vertAlign w:val="subscript"/>
        </w:rPr>
        <w:t>2</w:t>
      </w:r>
      <w:r w:rsidRPr="00395E9E">
        <w:rPr>
          <w:rFonts w:ascii="Times New Roman" w:hAnsi="Times New Roman"/>
          <w:sz w:val="20"/>
          <w:szCs w:val="20"/>
        </w:rPr>
        <w:t xml:space="preserve"> to eliminate all inorganic C. DOC concentration was determined by subtracting system blank area from the average peak area and dividing by the slope of the calibration curve [32]. The certified reference material (CRM) of deep seawater from the Sargasso Sea was obtained from the Hansell’s laboratory, University of Miami, in order to monitor analytical accuracy. The DOC concentrations obtained for the CRM were between 45-52 µM (mean 47 ± 3 µM, n=8) after blank correction, close to the agreed value of the CRM (43-44 µM). The chl-a was determined using a Shimadzu 1201 spectrophotometer after 20-24 hours extraction into 90% acetone following Parsons et al. [33] method and calculated according to Jeffrey and Humphrey [34].</w:t>
      </w:r>
    </w:p>
    <w:p w:rsidR="006768E9" w:rsidRPr="00F447A7" w:rsidRDefault="006768E9" w:rsidP="006F5FB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E6806" w:rsidRPr="00EA07D7" w:rsidRDefault="002E6806" w:rsidP="002E6806">
      <w:pPr>
        <w:keepNext/>
        <w:keepLines/>
        <w:spacing w:after="0" w:line="240" w:lineRule="auto"/>
        <w:jc w:val="both"/>
        <w:rPr>
          <w:rFonts w:ascii="Times New Roman" w:hAnsi="Times New Roman"/>
          <w:sz w:val="20"/>
          <w:szCs w:val="20"/>
        </w:rPr>
      </w:pPr>
      <w:r w:rsidRPr="00EA07D7">
        <w:rPr>
          <w:rFonts w:ascii="Times New Roman" w:hAnsi="Times New Roman"/>
          <w:b/>
          <w:sz w:val="20"/>
          <w:szCs w:val="20"/>
        </w:rPr>
        <w:t>Horizontal distribution</w:t>
      </w:r>
    </w:p>
    <w:p w:rsidR="002E6806" w:rsidRDefault="002E6806" w:rsidP="002E6806">
      <w:pPr>
        <w:spacing w:after="0" w:line="240" w:lineRule="auto"/>
        <w:jc w:val="both"/>
        <w:rPr>
          <w:rFonts w:ascii="Times New Roman" w:hAnsi="Times New Roman"/>
          <w:sz w:val="20"/>
          <w:szCs w:val="20"/>
        </w:rPr>
      </w:pPr>
      <w:r w:rsidRPr="00EA07D7">
        <w:rPr>
          <w:rFonts w:ascii="Times New Roman" w:hAnsi="Times New Roman"/>
          <w:sz w:val="20"/>
          <w:szCs w:val="20"/>
        </w:rPr>
        <w:t>The horizontal distributions of temperature, salinity, phosphate, silicate, DOC and chl-a in Kelantan and Terengganu waters are shown in Figure 2. The surface temperature is typically warm with very slight variation between 29.39 ºC and 30.70 ºC (mean 30.00 ± 0.29 ºC) (Figure 2a). The surface salinity ranged from 29.68 psu to 33.39 psu (mean 32.95 ± 0.76 psu) with lower salinity found in the northern compared to the southern area (Figure 2b). Among the nutrients measured, DOC recorded higher concentrations, ranging from 1.55 µM to 14.22 µM (mean 11.33  ± 2.44 µM) (Figure 2e), followed by silicate and phosphate where the concentration varied from 0.57 µM to 15.90 µM (mean 4.83 ± 3.80 µM) (Figure 2d) and 0.03 µM to 0.32 µM (mean 0.14 ± 0.08 µM) (Figure 2c), respectively. Additionally, the chl-a concentration in the study area varied from 0.01 µgL</w:t>
      </w:r>
      <w:r w:rsidRPr="00EA07D7">
        <w:rPr>
          <w:rFonts w:ascii="Times New Roman" w:hAnsi="Times New Roman"/>
          <w:sz w:val="20"/>
          <w:szCs w:val="20"/>
          <w:vertAlign w:val="superscript"/>
        </w:rPr>
        <w:t>-1</w:t>
      </w:r>
      <w:r w:rsidRPr="00EA07D7">
        <w:rPr>
          <w:rFonts w:ascii="Times New Roman" w:hAnsi="Times New Roman"/>
          <w:sz w:val="20"/>
          <w:szCs w:val="20"/>
        </w:rPr>
        <w:t xml:space="preserve">  to 0.14 µgL</w:t>
      </w:r>
      <w:r w:rsidRPr="00EA07D7">
        <w:rPr>
          <w:rFonts w:ascii="Times New Roman" w:hAnsi="Times New Roman"/>
          <w:sz w:val="20"/>
          <w:szCs w:val="20"/>
          <w:vertAlign w:val="superscript"/>
        </w:rPr>
        <w:t>-1</w:t>
      </w:r>
      <w:r w:rsidRPr="00EA07D7">
        <w:rPr>
          <w:rFonts w:ascii="Times New Roman" w:hAnsi="Times New Roman"/>
          <w:sz w:val="20"/>
          <w:szCs w:val="20"/>
        </w:rPr>
        <w:t xml:space="preserve"> (mean 0.06  ± 0.03 µgL</w:t>
      </w:r>
      <w:r w:rsidRPr="00EA07D7">
        <w:rPr>
          <w:rFonts w:ascii="Times New Roman" w:hAnsi="Times New Roman"/>
          <w:sz w:val="20"/>
          <w:szCs w:val="20"/>
          <w:vertAlign w:val="superscript"/>
        </w:rPr>
        <w:t>-1</w:t>
      </w:r>
      <w:r w:rsidRPr="00EA07D7">
        <w:rPr>
          <w:rFonts w:ascii="Times New Roman" w:hAnsi="Times New Roman"/>
          <w:sz w:val="20"/>
          <w:szCs w:val="20"/>
        </w:rPr>
        <w:t xml:space="preserve">). </w:t>
      </w:r>
    </w:p>
    <w:p w:rsidR="002E6806" w:rsidRDefault="002E6806" w:rsidP="002E6806">
      <w:pPr>
        <w:spacing w:after="0" w:line="240" w:lineRule="auto"/>
        <w:jc w:val="both"/>
        <w:rPr>
          <w:rFonts w:ascii="Times New Roman" w:hAnsi="Times New Roman"/>
          <w:sz w:val="20"/>
          <w:szCs w:val="20"/>
        </w:rPr>
      </w:pPr>
    </w:p>
    <w:p w:rsidR="002E6806" w:rsidRPr="00EA07D7" w:rsidRDefault="002E6806" w:rsidP="002E6806">
      <w:pPr>
        <w:spacing w:after="0" w:line="240" w:lineRule="auto"/>
        <w:jc w:val="both"/>
        <w:rPr>
          <w:rFonts w:ascii="Times New Roman" w:hAnsi="Times New Roman"/>
          <w:sz w:val="20"/>
          <w:szCs w:val="20"/>
        </w:rPr>
      </w:pPr>
    </w:p>
    <w:p w:rsidR="002E6806" w:rsidRDefault="002E6806" w:rsidP="00F447A7">
      <w:pPr>
        <w:spacing w:after="0" w:line="240" w:lineRule="auto"/>
        <w:jc w:val="center"/>
        <w:rPr>
          <w:rFonts w:ascii="Times New Roman" w:hAnsi="Times New Roman"/>
          <w:noProof/>
          <w:sz w:val="20"/>
          <w:szCs w:val="20"/>
          <w:lang w:bidi="ar-SA"/>
        </w:rPr>
      </w:pPr>
    </w:p>
    <w:p w:rsidR="002E6806" w:rsidRDefault="002E6806" w:rsidP="00F447A7">
      <w:pPr>
        <w:spacing w:after="0" w:line="240" w:lineRule="auto"/>
        <w:jc w:val="center"/>
        <w:rPr>
          <w:rFonts w:ascii="Times New Roman" w:hAnsi="Times New Roman"/>
          <w:noProof/>
          <w:sz w:val="20"/>
          <w:szCs w:val="20"/>
          <w:lang w:bidi="ar-SA"/>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6"/>
        <w:gridCol w:w="4201"/>
      </w:tblGrid>
      <w:tr w:rsidR="002E6806" w:rsidRPr="00EA07D7" w:rsidTr="002E6806">
        <w:trPr>
          <w:trHeight w:val="2640"/>
          <w:jc w:val="center"/>
        </w:trPr>
        <w:tc>
          <w:tcPr>
            <w:tcW w:w="4866" w:type="dxa"/>
          </w:tcPr>
          <w:p w:rsidR="002E6806" w:rsidRPr="00EA07D7" w:rsidRDefault="002E6806" w:rsidP="00587C77">
            <w:pPr>
              <w:jc w:val="both"/>
              <w:rPr>
                <w:rFonts w:ascii="Times New Roman" w:hAnsi="Times New Roman"/>
                <w:sz w:val="20"/>
                <w:szCs w:val="20"/>
              </w:rPr>
            </w:pPr>
            <w:r w:rsidRPr="00EA07D7">
              <w:rPr>
                <w:noProof/>
                <w:lang w:val="en-MY" w:eastAsia="en-MY" w:bidi="ar-SA"/>
              </w:rPr>
              <w:lastRenderedPageBreak/>
              <w:drawing>
                <wp:anchor distT="0" distB="0" distL="114300" distR="114300" simplePos="0" relativeHeight="251660800" behindDoc="0" locked="0" layoutInCell="1" hidden="0" allowOverlap="1" wp14:anchorId="66D48392" wp14:editId="01C86391">
                  <wp:simplePos x="0" y="0"/>
                  <wp:positionH relativeFrom="column">
                    <wp:posOffset>64135</wp:posOffset>
                  </wp:positionH>
                  <wp:positionV relativeFrom="paragraph">
                    <wp:posOffset>1270</wp:posOffset>
                  </wp:positionV>
                  <wp:extent cx="2579370" cy="1629410"/>
                  <wp:effectExtent l="0" t="0" r="0" b="8890"/>
                  <wp:wrapSquare wrapText="bothSides" distT="0" distB="0" distL="114300" distR="114300"/>
                  <wp:docPr id="2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2579370" cy="1629410"/>
                          </a:xfrm>
                          <a:prstGeom prst="rect">
                            <a:avLst/>
                          </a:prstGeom>
                          <a:ln/>
                        </pic:spPr>
                      </pic:pic>
                    </a:graphicData>
                  </a:graphic>
                  <wp14:sizeRelH relativeFrom="margin">
                    <wp14:pctWidth>0</wp14:pctWidth>
                  </wp14:sizeRelH>
                  <wp14:sizeRelV relativeFrom="margin">
                    <wp14:pctHeight>0</wp14:pctHeight>
                  </wp14:sizeRelV>
                </wp:anchor>
              </w:drawing>
            </w:r>
            <w:r w:rsidRPr="00EA07D7">
              <w:rPr>
                <w:noProof/>
                <w:lang w:val="en-MY" w:eastAsia="en-MY" w:bidi="ar-SA"/>
              </w:rPr>
              <mc:AlternateContent>
                <mc:Choice Requires="wps">
                  <w:drawing>
                    <wp:anchor distT="0" distB="0" distL="114300" distR="114300" simplePos="0" relativeHeight="251661824" behindDoc="0" locked="0" layoutInCell="1" hidden="0" allowOverlap="1" wp14:anchorId="7FA057E3" wp14:editId="455891BC">
                      <wp:simplePos x="0" y="0"/>
                      <wp:positionH relativeFrom="column">
                        <wp:posOffset>-134835</wp:posOffset>
                      </wp:positionH>
                      <wp:positionV relativeFrom="paragraph">
                        <wp:posOffset>126820</wp:posOffset>
                      </wp:positionV>
                      <wp:extent cx="422695" cy="301625"/>
                      <wp:effectExtent l="0" t="0" r="0" b="317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(a)</w:t>
                                  </w:r>
                                </w:p>
                              </w:txbxContent>
                            </wps:txbx>
                            <wps:bodyPr rot="0" vert="horz" wrap="square" lIns="91440" tIns="45720" rIns="91440" bIns="45720" anchor="t" anchorCtr="0">
                              <a:noAutofit/>
                            </wps:bodyPr>
                          </wps:wsp>
                        </a:graphicData>
                      </a:graphic>
                    </wp:anchor>
                  </w:drawing>
                </mc:Choice>
                <mc:Fallback>
                  <w:pict>
                    <v:shape id="Text Box 234" o:spid="_x0000_s1027" type="#_x0000_t202" style="position:absolute;left:0;text-align:left;margin-left:-10.6pt;margin-top:10pt;width:33.3pt;height:23.7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(a)</w:t>
                            </w:r>
                          </w:p>
                        </w:txbxContent>
                      </v:textbox>
                    </v:shape>
                  </w:pict>
                </mc:Fallback>
              </mc:AlternateContent>
            </w:r>
          </w:p>
        </w:tc>
        <w:tc>
          <w:tcPr>
            <w:tcW w:w="4201" w:type="dxa"/>
          </w:tcPr>
          <w:p w:rsidR="002E6806" w:rsidRPr="00EA07D7" w:rsidRDefault="002E6806" w:rsidP="00587C77">
            <w:pPr>
              <w:jc w:val="center"/>
              <w:rPr>
                <w:rFonts w:ascii="Times New Roman" w:hAnsi="Times New Roman"/>
                <w:sz w:val="20"/>
                <w:szCs w:val="20"/>
              </w:rPr>
            </w:pPr>
            <w:r w:rsidRPr="00EA07D7">
              <w:rPr>
                <w:noProof/>
                <w:lang w:val="en-MY" w:eastAsia="en-MY" w:bidi="ar-SA"/>
              </w:rPr>
              <w:drawing>
                <wp:anchor distT="0" distB="0" distL="114300" distR="114300" simplePos="0" relativeHeight="251662848" behindDoc="0" locked="0" layoutInCell="1" hidden="0" allowOverlap="1" wp14:anchorId="71DBA3D9" wp14:editId="1229B1C6">
                  <wp:simplePos x="0" y="0"/>
                  <wp:positionH relativeFrom="column">
                    <wp:posOffset>-64135</wp:posOffset>
                  </wp:positionH>
                  <wp:positionV relativeFrom="paragraph">
                    <wp:posOffset>1270</wp:posOffset>
                  </wp:positionV>
                  <wp:extent cx="2463165" cy="1629410"/>
                  <wp:effectExtent l="0" t="0" r="0" b="8890"/>
                  <wp:wrapSquare wrapText="bothSides" distT="0" distB="0" distL="114300" distR="114300"/>
                  <wp:docPr id="25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2463165" cy="1629410"/>
                          </a:xfrm>
                          <a:prstGeom prst="rect">
                            <a:avLst/>
                          </a:prstGeom>
                          <a:ln/>
                        </pic:spPr>
                      </pic:pic>
                    </a:graphicData>
                  </a:graphic>
                  <wp14:sizeRelH relativeFrom="margin">
                    <wp14:pctWidth>0</wp14:pctWidth>
                  </wp14:sizeRelH>
                </wp:anchor>
              </w:drawing>
            </w:r>
            <w:r w:rsidRPr="00EA07D7">
              <w:rPr>
                <w:noProof/>
                <w:lang w:val="en-MY" w:eastAsia="en-MY" w:bidi="ar-SA"/>
              </w:rPr>
              <mc:AlternateContent>
                <mc:Choice Requires="wps">
                  <w:drawing>
                    <wp:anchor distT="0" distB="0" distL="114300" distR="114300" simplePos="0" relativeHeight="251663872" behindDoc="0" locked="0" layoutInCell="1" hidden="0" allowOverlap="1" wp14:anchorId="6495A8A8" wp14:editId="5C7429EB">
                      <wp:simplePos x="0" y="0"/>
                      <wp:positionH relativeFrom="column">
                        <wp:posOffset>-152459</wp:posOffset>
                      </wp:positionH>
                      <wp:positionV relativeFrom="paragraph">
                        <wp:posOffset>126928</wp:posOffset>
                      </wp:positionV>
                      <wp:extent cx="422695" cy="301625"/>
                      <wp:effectExtent l="0" t="0" r="0" b="317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(b)</w:t>
                                  </w:r>
                                </w:p>
                              </w:txbxContent>
                            </wps:txbx>
                            <wps:bodyPr rot="0" vert="horz" wrap="square" lIns="91440" tIns="45720" rIns="91440" bIns="45720" anchor="t" anchorCtr="0">
                              <a:noAutofit/>
                            </wps:bodyPr>
                          </wps:wsp>
                        </a:graphicData>
                      </a:graphic>
                    </wp:anchor>
                  </w:drawing>
                </mc:Choice>
                <mc:Fallback>
                  <w:pict>
                    <v:shape id="Text Box 222" o:spid="_x0000_s1028" type="#_x0000_t202" style="position:absolute;left:0;text-align:left;margin-left:-12pt;margin-top:10pt;width:33.3pt;height:23.7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(b)</w:t>
                            </w:r>
                          </w:p>
                        </w:txbxContent>
                      </v:textbox>
                    </v:shape>
                  </w:pict>
                </mc:Fallback>
              </mc:AlternateContent>
            </w:r>
          </w:p>
        </w:tc>
      </w:tr>
      <w:tr w:rsidR="002E6806" w:rsidRPr="00EA07D7" w:rsidTr="002E6806">
        <w:trPr>
          <w:jc w:val="center"/>
        </w:trPr>
        <w:tc>
          <w:tcPr>
            <w:tcW w:w="4866" w:type="dxa"/>
          </w:tcPr>
          <w:p w:rsidR="002E6806" w:rsidRPr="00EA07D7" w:rsidRDefault="002E6806" w:rsidP="00587C77">
            <w:pPr>
              <w:jc w:val="center"/>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67968" behindDoc="0" locked="0" layoutInCell="1" hidden="0" allowOverlap="1" wp14:anchorId="7D58F6A9" wp14:editId="58FBB0B2">
                      <wp:simplePos x="0" y="0"/>
                      <wp:positionH relativeFrom="column">
                        <wp:posOffset>2966720</wp:posOffset>
                      </wp:positionH>
                      <wp:positionV relativeFrom="paragraph">
                        <wp:posOffset>132080</wp:posOffset>
                      </wp:positionV>
                      <wp:extent cx="422275" cy="301625"/>
                      <wp:effectExtent l="0" t="0" r="0" b="317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(d)</w:t>
                                  </w:r>
                                </w:p>
                              </w:txbxContent>
                            </wps:txbx>
                            <wps:bodyPr rot="0" vert="horz" wrap="square" lIns="91440" tIns="45720" rIns="91440" bIns="45720" anchor="t" anchorCtr="0">
                              <a:noAutofit/>
                            </wps:bodyPr>
                          </wps:wsp>
                        </a:graphicData>
                      </a:graphic>
                    </wp:anchor>
                  </w:drawing>
                </mc:Choice>
                <mc:Fallback>
                  <w:pict>
                    <v:shape id="Text Box 224" o:spid="_x0000_s1029" type="#_x0000_t202" style="position:absolute;left:0;text-align:left;margin-left:233.6pt;margin-top:10.4pt;width:33.25pt;height:23.7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(d)</w:t>
                            </w:r>
                          </w:p>
                        </w:txbxContent>
                      </v:textbox>
                    </v:shape>
                  </w:pict>
                </mc:Fallback>
              </mc:AlternateContent>
            </w:r>
            <w:r w:rsidRPr="00EA07D7">
              <w:rPr>
                <w:noProof/>
                <w:lang w:val="en-MY" w:eastAsia="en-MY" w:bidi="ar-SA"/>
              </w:rPr>
              <w:drawing>
                <wp:anchor distT="0" distB="0" distL="114300" distR="114300" simplePos="0" relativeHeight="251664896" behindDoc="0" locked="0" layoutInCell="1" hidden="0" allowOverlap="1" wp14:anchorId="45DFC94A" wp14:editId="3539E2FE">
                  <wp:simplePos x="0" y="0"/>
                  <wp:positionH relativeFrom="column">
                    <wp:posOffset>112395</wp:posOffset>
                  </wp:positionH>
                  <wp:positionV relativeFrom="paragraph">
                    <wp:posOffset>10795</wp:posOffset>
                  </wp:positionV>
                  <wp:extent cx="2531110" cy="1655445"/>
                  <wp:effectExtent l="0" t="0" r="2540" b="1905"/>
                  <wp:wrapSquare wrapText="bothSides" distT="0" distB="0" distL="114300" distR="114300"/>
                  <wp:docPr id="25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2531110" cy="1655445"/>
                          </a:xfrm>
                          <a:prstGeom prst="rect">
                            <a:avLst/>
                          </a:prstGeom>
                          <a:ln/>
                        </pic:spPr>
                      </pic:pic>
                    </a:graphicData>
                  </a:graphic>
                  <wp14:sizeRelH relativeFrom="margin">
                    <wp14:pctWidth>0</wp14:pctWidth>
                  </wp14:sizeRelH>
                </wp:anchor>
              </w:drawing>
            </w:r>
            <w:r w:rsidRPr="00EA07D7">
              <w:rPr>
                <w:noProof/>
                <w:lang w:val="en-MY" w:eastAsia="en-MY" w:bidi="ar-SA"/>
              </w:rPr>
              <mc:AlternateContent>
                <mc:Choice Requires="wps">
                  <w:drawing>
                    <wp:anchor distT="0" distB="0" distL="114300" distR="114300" simplePos="0" relativeHeight="251665920" behindDoc="0" locked="0" layoutInCell="1" hidden="0" allowOverlap="1" wp14:anchorId="08C5EC37" wp14:editId="2C03A777">
                      <wp:simplePos x="0" y="0"/>
                      <wp:positionH relativeFrom="column">
                        <wp:posOffset>-143461</wp:posOffset>
                      </wp:positionH>
                      <wp:positionV relativeFrom="paragraph">
                        <wp:posOffset>138094</wp:posOffset>
                      </wp:positionV>
                      <wp:extent cx="422695" cy="301625"/>
                      <wp:effectExtent l="0" t="0" r="0" b="317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(c)</w:t>
                                  </w:r>
                                </w:p>
                              </w:txbxContent>
                            </wps:txbx>
                            <wps:bodyPr rot="0" vert="horz" wrap="square" lIns="91440" tIns="45720" rIns="91440" bIns="45720" anchor="t" anchorCtr="0">
                              <a:noAutofit/>
                            </wps:bodyPr>
                          </wps:wsp>
                        </a:graphicData>
                      </a:graphic>
                    </wp:anchor>
                  </w:drawing>
                </mc:Choice>
                <mc:Fallback>
                  <w:pict>
                    <v:shape id="Text Box 227" o:spid="_x0000_s1030" type="#_x0000_t202" style="position:absolute;left:0;text-align:left;margin-left:-11.3pt;margin-top:10.85pt;width:33.3pt;height:23.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(c)</w:t>
                            </w:r>
                          </w:p>
                        </w:txbxContent>
                      </v:textbox>
                    </v:shape>
                  </w:pict>
                </mc:Fallback>
              </mc:AlternateContent>
            </w:r>
          </w:p>
        </w:tc>
        <w:tc>
          <w:tcPr>
            <w:tcW w:w="4201" w:type="dxa"/>
          </w:tcPr>
          <w:p w:rsidR="002E6806" w:rsidRPr="00EA07D7" w:rsidRDefault="002E6806" w:rsidP="00587C77">
            <w:pPr>
              <w:jc w:val="center"/>
              <w:rPr>
                <w:rFonts w:ascii="Times New Roman" w:hAnsi="Times New Roman"/>
                <w:sz w:val="20"/>
                <w:szCs w:val="20"/>
              </w:rPr>
            </w:pPr>
            <w:r w:rsidRPr="00EA07D7">
              <w:rPr>
                <w:noProof/>
                <w:lang w:val="en-MY" w:eastAsia="en-MY" w:bidi="ar-SA"/>
              </w:rPr>
              <w:drawing>
                <wp:anchor distT="0" distB="0" distL="114300" distR="114300" simplePos="0" relativeHeight="251666944" behindDoc="0" locked="0" layoutInCell="1" hidden="0" allowOverlap="1" wp14:anchorId="233C3D86" wp14:editId="5911077C">
                  <wp:simplePos x="0" y="0"/>
                  <wp:positionH relativeFrom="column">
                    <wp:posOffset>-65405</wp:posOffset>
                  </wp:positionH>
                  <wp:positionV relativeFrom="paragraph">
                    <wp:posOffset>11430</wp:posOffset>
                  </wp:positionV>
                  <wp:extent cx="2520000" cy="1656080"/>
                  <wp:effectExtent l="0" t="0" r="0" b="1270"/>
                  <wp:wrapSquare wrapText="bothSides" distT="0" distB="0" distL="114300" distR="114300"/>
                  <wp:docPr id="26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2520000" cy="1656080"/>
                          </a:xfrm>
                          <a:prstGeom prst="rect">
                            <a:avLst/>
                          </a:prstGeom>
                          <a:ln/>
                        </pic:spPr>
                      </pic:pic>
                    </a:graphicData>
                  </a:graphic>
                  <wp14:sizeRelH relativeFrom="margin">
                    <wp14:pctWidth>0</wp14:pctWidth>
                  </wp14:sizeRelH>
                </wp:anchor>
              </w:drawing>
            </w:r>
          </w:p>
        </w:tc>
      </w:tr>
      <w:tr w:rsidR="002E6806" w:rsidRPr="00EA07D7" w:rsidTr="002E6806">
        <w:trPr>
          <w:jc w:val="center"/>
        </w:trPr>
        <w:tc>
          <w:tcPr>
            <w:tcW w:w="4866" w:type="dxa"/>
          </w:tcPr>
          <w:p w:rsidR="002E6806" w:rsidRPr="00EA07D7" w:rsidRDefault="002E6806" w:rsidP="00587C77">
            <w:pPr>
              <w:jc w:val="center"/>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72064" behindDoc="0" locked="0" layoutInCell="1" hidden="0" allowOverlap="1" wp14:anchorId="44BE0A0F" wp14:editId="4994C33B">
                      <wp:simplePos x="0" y="0"/>
                      <wp:positionH relativeFrom="column">
                        <wp:posOffset>2957830</wp:posOffset>
                      </wp:positionH>
                      <wp:positionV relativeFrom="paragraph">
                        <wp:posOffset>118745</wp:posOffset>
                      </wp:positionV>
                      <wp:extent cx="422275" cy="301625"/>
                      <wp:effectExtent l="0" t="0" r="0" b="317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(f)</w:t>
                                  </w:r>
                                </w:p>
                              </w:txbxContent>
                            </wps:txbx>
                            <wps:bodyPr rot="0" vert="horz" wrap="square" lIns="91440" tIns="45720" rIns="91440" bIns="45720" anchor="t" anchorCtr="0">
                              <a:noAutofit/>
                            </wps:bodyPr>
                          </wps:wsp>
                        </a:graphicData>
                      </a:graphic>
                    </wp:anchor>
                  </w:drawing>
                </mc:Choice>
                <mc:Fallback>
                  <w:pict>
                    <v:shape id="Text Box 229" o:spid="_x0000_s1031" type="#_x0000_t202" style="position:absolute;left:0;text-align:left;margin-left:232.9pt;margin-top:9.35pt;width:33.25pt;height:23.7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(f)</w:t>
                            </w:r>
                          </w:p>
                        </w:txbxContent>
                      </v:textbox>
                    </v:shape>
                  </w:pict>
                </mc:Fallback>
              </mc:AlternateContent>
            </w:r>
            <w:r w:rsidRPr="00EA07D7">
              <w:rPr>
                <w:noProof/>
                <w:lang w:val="en-MY" w:eastAsia="en-MY" w:bidi="ar-SA"/>
              </w:rPr>
              <w:drawing>
                <wp:anchor distT="0" distB="0" distL="114300" distR="114300" simplePos="0" relativeHeight="251668992" behindDoc="0" locked="0" layoutInCell="1" hidden="0" allowOverlap="1" wp14:anchorId="4E9B4CC4" wp14:editId="36DCD38B">
                  <wp:simplePos x="0" y="0"/>
                  <wp:positionH relativeFrom="column">
                    <wp:posOffset>132715</wp:posOffset>
                  </wp:positionH>
                  <wp:positionV relativeFrom="paragraph">
                    <wp:posOffset>0</wp:posOffset>
                  </wp:positionV>
                  <wp:extent cx="2490470" cy="1681480"/>
                  <wp:effectExtent l="0" t="0" r="5080" b="0"/>
                  <wp:wrapSquare wrapText="bothSides" distT="0" distB="0" distL="114300" distR="114300"/>
                  <wp:docPr id="2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490470" cy="1681480"/>
                          </a:xfrm>
                          <a:prstGeom prst="rect">
                            <a:avLst/>
                          </a:prstGeom>
                          <a:ln/>
                        </pic:spPr>
                      </pic:pic>
                    </a:graphicData>
                  </a:graphic>
                  <wp14:sizeRelH relativeFrom="margin">
                    <wp14:pctWidth>0</wp14:pctWidth>
                  </wp14:sizeRelH>
                </wp:anchor>
              </w:drawing>
            </w:r>
            <w:r w:rsidRPr="00EA07D7">
              <w:rPr>
                <w:noProof/>
                <w:lang w:val="en-MY" w:eastAsia="en-MY" w:bidi="ar-SA"/>
              </w:rPr>
              <mc:AlternateContent>
                <mc:Choice Requires="wps">
                  <w:drawing>
                    <wp:anchor distT="0" distB="0" distL="114300" distR="114300" simplePos="0" relativeHeight="251670016" behindDoc="0" locked="0" layoutInCell="1" hidden="0" allowOverlap="1" wp14:anchorId="50AC5B41" wp14:editId="7F35ABB2">
                      <wp:simplePos x="0" y="0"/>
                      <wp:positionH relativeFrom="column">
                        <wp:posOffset>-100329</wp:posOffset>
                      </wp:positionH>
                      <wp:positionV relativeFrom="paragraph">
                        <wp:posOffset>193028</wp:posOffset>
                      </wp:positionV>
                      <wp:extent cx="422695" cy="301625"/>
                      <wp:effectExtent l="0" t="0" r="0" b="31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(e)</w:t>
                                  </w:r>
                                </w:p>
                              </w:txbxContent>
                            </wps:txbx>
                            <wps:bodyPr rot="0" vert="horz" wrap="square" lIns="91440" tIns="45720" rIns="91440" bIns="45720" anchor="t" anchorCtr="0">
                              <a:noAutofit/>
                            </wps:bodyPr>
                          </wps:wsp>
                        </a:graphicData>
                      </a:graphic>
                    </wp:anchor>
                  </w:drawing>
                </mc:Choice>
                <mc:Fallback>
                  <w:pict>
                    <v:shape id="Text Box 236" o:spid="_x0000_s1032" type="#_x0000_t202" style="position:absolute;left:0;text-align:left;margin-left:-7.9pt;margin-top:15.2pt;width:33.3pt;height:23.7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" filled="f" stroked="f">
                      <v:textbox>
                        <w:txbxContent>
                          <w:p w:rsidR="002E6806" w:rsidRPr="002E6806" w:rsidRDefault="002E6806" w:rsidP="002E6806">
                            <w:pPr>
                              <w:rPr>
                                <w:rFonts w:ascii="Times New Roman" w:hAnsi="Times New Roman"/>
                                <w:b/>
                                <w:sz w:val="20"/>
                                <w:szCs w:val="20"/>
                              </w:rPr>
                            </w:pPr>
                            <w:r w:rsidRPr="002E6806">
                              <w:rPr>
                                <w:rFonts w:ascii="Times New Roman" w:hAnsi="Times New Roman"/>
                                <w:b/>
                                <w:sz w:val="20"/>
                                <w:szCs w:val="20"/>
                              </w:rPr>
                              <w:t>(e)</w:t>
                            </w:r>
                          </w:p>
                        </w:txbxContent>
                      </v:textbox>
                    </v:shape>
                  </w:pict>
                </mc:Fallback>
              </mc:AlternateContent>
            </w:r>
          </w:p>
        </w:tc>
        <w:tc>
          <w:tcPr>
            <w:tcW w:w="4201" w:type="dxa"/>
          </w:tcPr>
          <w:p w:rsidR="002E6806" w:rsidRPr="00EA07D7" w:rsidRDefault="002E6806" w:rsidP="00587C77">
            <w:pPr>
              <w:jc w:val="center"/>
              <w:rPr>
                <w:rFonts w:ascii="Times New Roman" w:hAnsi="Times New Roman"/>
                <w:sz w:val="20"/>
                <w:szCs w:val="20"/>
              </w:rPr>
            </w:pPr>
            <w:r w:rsidRPr="00EA07D7">
              <w:rPr>
                <w:noProof/>
                <w:lang w:val="en-MY" w:eastAsia="en-MY" w:bidi="ar-SA"/>
              </w:rPr>
              <w:drawing>
                <wp:anchor distT="0" distB="0" distL="114300" distR="114300" simplePos="0" relativeHeight="251671040" behindDoc="0" locked="0" layoutInCell="1" hidden="0" allowOverlap="1" wp14:anchorId="4908B8C2" wp14:editId="6EA4D64C">
                  <wp:simplePos x="0" y="0"/>
                  <wp:positionH relativeFrom="column">
                    <wp:posOffset>-65405</wp:posOffset>
                  </wp:positionH>
                  <wp:positionV relativeFrom="paragraph">
                    <wp:posOffset>0</wp:posOffset>
                  </wp:positionV>
                  <wp:extent cx="2520000" cy="1682115"/>
                  <wp:effectExtent l="0" t="0" r="0" b="0"/>
                  <wp:wrapSquare wrapText="bothSides" distT="0" distB="0" distL="114300" distR="114300"/>
                  <wp:docPr id="2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2520000" cy="1682115"/>
                          </a:xfrm>
                          <a:prstGeom prst="rect">
                            <a:avLst/>
                          </a:prstGeom>
                          <a:ln/>
                        </pic:spPr>
                      </pic:pic>
                    </a:graphicData>
                  </a:graphic>
                  <wp14:sizeRelH relativeFrom="margin">
                    <wp14:pctWidth>0</wp14:pctWidth>
                  </wp14:sizeRelH>
                </wp:anchor>
              </w:drawing>
            </w:r>
          </w:p>
        </w:tc>
      </w:tr>
    </w:tbl>
    <w:p w:rsidR="002E6806" w:rsidRDefault="002E6806" w:rsidP="00F447A7">
      <w:pPr>
        <w:spacing w:after="0" w:line="240" w:lineRule="auto"/>
        <w:jc w:val="center"/>
        <w:rPr>
          <w:rFonts w:ascii="Times New Roman" w:hAnsi="Times New Roman"/>
          <w:noProof/>
          <w:sz w:val="20"/>
          <w:szCs w:val="20"/>
          <w:lang w:bidi="ar-SA"/>
        </w:rPr>
      </w:pPr>
    </w:p>
    <w:p w:rsidR="002E6806" w:rsidRPr="00EA07D7" w:rsidRDefault="002E6806" w:rsidP="002E6806">
      <w:pPr>
        <w:spacing w:after="0" w:line="240" w:lineRule="auto"/>
        <w:ind w:left="900" w:hanging="900"/>
        <w:jc w:val="both"/>
        <w:rPr>
          <w:rFonts w:ascii="Times New Roman" w:hAnsi="Times New Roman"/>
          <w:sz w:val="20"/>
          <w:szCs w:val="20"/>
        </w:rPr>
      </w:pPr>
      <w:r w:rsidRPr="00EA07D7">
        <w:rPr>
          <w:rFonts w:ascii="Times New Roman" w:hAnsi="Times New Roman"/>
          <w:sz w:val="20"/>
          <w:szCs w:val="20"/>
        </w:rPr>
        <w:t>Figure 2.  The horizontal distribution of (a) temperature (ºC); (b) salinity (psu); (c) phosphate (µM); (d) silicate (µM);</w:t>
      </w:r>
      <w:r>
        <w:rPr>
          <w:rFonts w:ascii="Times New Roman" w:hAnsi="Times New Roman"/>
          <w:sz w:val="20"/>
          <w:szCs w:val="20"/>
        </w:rPr>
        <w:t xml:space="preserve"> </w:t>
      </w:r>
      <w:r w:rsidRPr="00EA07D7">
        <w:rPr>
          <w:rFonts w:ascii="Times New Roman" w:hAnsi="Times New Roman"/>
          <w:sz w:val="20"/>
          <w:szCs w:val="20"/>
        </w:rPr>
        <w:t>(e) DOC (µM); (f) chl-a (µgL</w:t>
      </w:r>
      <w:r w:rsidRPr="00EA07D7">
        <w:rPr>
          <w:rFonts w:ascii="Times New Roman" w:hAnsi="Times New Roman"/>
          <w:sz w:val="20"/>
          <w:szCs w:val="20"/>
          <w:vertAlign w:val="superscript"/>
        </w:rPr>
        <w:t>-1</w:t>
      </w:r>
      <w:r w:rsidRPr="00EA07D7">
        <w:rPr>
          <w:rFonts w:ascii="Times New Roman" w:hAnsi="Times New Roman"/>
          <w:sz w:val="20"/>
          <w:szCs w:val="20"/>
        </w:rPr>
        <w:t>) along Kelantan and Terengganu waters</w:t>
      </w:r>
    </w:p>
    <w:p w:rsidR="002E6806" w:rsidRDefault="002E6806" w:rsidP="002E6806">
      <w:pPr>
        <w:spacing w:after="120" w:line="240" w:lineRule="auto"/>
        <w:jc w:val="both"/>
        <w:rPr>
          <w:rFonts w:ascii="Times New Roman" w:hAnsi="Times New Roman"/>
          <w:noProof/>
          <w:sz w:val="20"/>
          <w:szCs w:val="20"/>
          <w:lang w:bidi="ar-SA"/>
        </w:rPr>
      </w:pPr>
    </w:p>
    <w:p w:rsidR="002E6806" w:rsidRPr="00EA07D7" w:rsidRDefault="002E6806" w:rsidP="002E6806">
      <w:pPr>
        <w:spacing w:after="0" w:line="240" w:lineRule="auto"/>
        <w:jc w:val="both"/>
        <w:rPr>
          <w:rFonts w:ascii="Times New Roman" w:hAnsi="Times New Roman"/>
          <w:sz w:val="20"/>
          <w:szCs w:val="20"/>
        </w:rPr>
      </w:pPr>
      <w:r w:rsidRPr="00EA07D7">
        <w:rPr>
          <w:rFonts w:ascii="Times New Roman" w:hAnsi="Times New Roman"/>
          <w:sz w:val="20"/>
          <w:szCs w:val="20"/>
        </w:rPr>
        <w:t>In general, the observed nutrients demonstrated a higher concentration in the northern area and were identified associated with low salinity waters (6 – 6.5 latitude), probably attributed to the higher input from Kelantan River and/ or Gulf of Thailand (GoT), associated with the effluent from untreated domestic sewage, industrial activities and agriculture activities. The distribution of surface phosphate was somewhat similar to chl-a (Figures 2(c) and 2(f)), especially in the southern part until about 5°N. This pattern may be due to two possible reasons; (a) chl-a distribution was influenced by phosphate, where chl-a was found to be strongly correlated with phosphate (Figure 3 (R</w:t>
      </w:r>
      <w:r w:rsidRPr="00EA07D7">
        <w:rPr>
          <w:rFonts w:ascii="Times New Roman" w:hAnsi="Times New Roman"/>
          <w:sz w:val="20"/>
          <w:szCs w:val="20"/>
          <w:vertAlign w:val="superscript"/>
        </w:rPr>
        <w:t>2</w:t>
      </w:r>
      <w:r w:rsidRPr="00EA07D7">
        <w:rPr>
          <w:rFonts w:ascii="Times New Roman" w:hAnsi="Times New Roman"/>
          <w:sz w:val="20"/>
          <w:szCs w:val="20"/>
        </w:rPr>
        <w:t>=0.4457; R=0.6676)) as compared to silicate (R</w:t>
      </w:r>
      <w:r w:rsidRPr="00EA07D7">
        <w:rPr>
          <w:rFonts w:ascii="Times New Roman" w:hAnsi="Times New Roman"/>
          <w:sz w:val="20"/>
          <w:szCs w:val="20"/>
          <w:vertAlign w:val="superscript"/>
        </w:rPr>
        <w:t>2</w:t>
      </w:r>
      <w:r w:rsidRPr="00EA07D7">
        <w:rPr>
          <w:rFonts w:ascii="Times New Roman" w:hAnsi="Times New Roman"/>
          <w:sz w:val="20"/>
          <w:szCs w:val="20"/>
        </w:rPr>
        <w:t>=0.0554; R=0.2353) and DOC (R</w:t>
      </w:r>
      <w:r w:rsidRPr="00EA07D7">
        <w:rPr>
          <w:rFonts w:ascii="Times New Roman" w:hAnsi="Times New Roman"/>
          <w:sz w:val="20"/>
          <w:szCs w:val="20"/>
          <w:vertAlign w:val="superscript"/>
        </w:rPr>
        <w:t>2</w:t>
      </w:r>
      <w:r w:rsidRPr="00EA07D7">
        <w:rPr>
          <w:rFonts w:ascii="Times New Roman" w:hAnsi="Times New Roman"/>
          <w:sz w:val="20"/>
          <w:szCs w:val="20"/>
        </w:rPr>
        <w:t xml:space="preserve">=0.008; R=0.089). The result </w:t>
      </w:r>
      <w:r w:rsidRPr="00EA07D7">
        <w:rPr>
          <w:rFonts w:ascii="Times New Roman" w:hAnsi="Times New Roman"/>
          <w:sz w:val="20"/>
          <w:szCs w:val="20"/>
        </w:rPr>
        <w:lastRenderedPageBreak/>
        <w:t xml:space="preserve">implying that phosphate is an important nutrient regulating the phytoplankton biomass, (b) higher phosphate and chl-a also appears in the area that was categorised with cooler water and high salinity, which was located at transect D near Dungun. This is probably due to the presence of coastal upwelling in this particular area. The coastal upwelling eventually transports high phosphate concentrations from the deeper layer (i.e. indicated by cool and high salinity water) to the surface, which encourages the phytoplankton growth, concurrently leading to the high chl-a concentrations.  </w:t>
      </w:r>
    </w:p>
    <w:p w:rsidR="002E6806" w:rsidRDefault="002E6806" w:rsidP="002E6806">
      <w:pPr>
        <w:spacing w:after="0" w:line="240" w:lineRule="auto"/>
        <w:jc w:val="both"/>
        <w:rPr>
          <w:rFonts w:ascii="Times New Roman" w:hAnsi="Times New Roman"/>
          <w:noProof/>
          <w:sz w:val="20"/>
          <w:szCs w:val="20"/>
          <w:lang w:bidi="ar-SA"/>
        </w:rPr>
      </w:pPr>
    </w:p>
    <w:p w:rsidR="002E6806" w:rsidRDefault="00E626F5" w:rsidP="00E626F5">
      <w:pPr>
        <w:spacing w:after="0" w:line="240" w:lineRule="auto"/>
        <w:jc w:val="center"/>
        <w:rPr>
          <w:rFonts w:ascii="Times New Roman" w:hAnsi="Times New Roman"/>
          <w:noProof/>
          <w:sz w:val="20"/>
          <w:szCs w:val="20"/>
          <w:lang w:bidi="ar-SA"/>
        </w:rPr>
      </w:pPr>
      <w:r w:rsidRPr="00EA07D7">
        <w:rPr>
          <w:noProof/>
          <w:lang w:val="en-MY" w:eastAsia="en-MY" w:bidi="ar-SA"/>
        </w:rPr>
        <mc:AlternateContent>
          <mc:Choice Requires="wps">
            <w:drawing>
              <wp:anchor distT="0" distB="0" distL="114300" distR="114300" simplePos="0" relativeHeight="251674112" behindDoc="0" locked="0" layoutInCell="1" hidden="0" allowOverlap="1" wp14:anchorId="47D5410C" wp14:editId="5B2D4DC3">
                <wp:simplePos x="0" y="0"/>
                <wp:positionH relativeFrom="column">
                  <wp:posOffset>696595</wp:posOffset>
                </wp:positionH>
                <wp:positionV relativeFrom="paragraph">
                  <wp:posOffset>-4445</wp:posOffset>
                </wp:positionV>
                <wp:extent cx="342900" cy="283845"/>
                <wp:effectExtent l="0" t="0" r="0" b="190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3845"/>
                        </a:xfrm>
                        <a:prstGeom prst="rect">
                          <a:avLst/>
                        </a:prstGeom>
                        <a:noFill/>
                        <a:ln w="9525">
                          <a:noFill/>
                          <a:miter lim="800000"/>
                          <a:headEnd/>
                          <a:tailEnd/>
                        </a:ln>
                      </wps:spPr>
                      <wps:txbx>
                        <w:txbxContent>
                          <w:p w:rsidR="00E626F5" w:rsidRPr="00E626F5" w:rsidRDefault="00E626F5" w:rsidP="00E626F5">
                            <w:pPr>
                              <w:jc w:val="both"/>
                              <w:rPr>
                                <w:rFonts w:ascii="Times New Roman" w:hAnsi="Times New Roman"/>
                                <w:b/>
                                <w:sz w:val="20"/>
                              </w:rPr>
                            </w:pPr>
                            <w:r w:rsidRPr="00E626F5">
                              <w:rPr>
                                <w:rFonts w:ascii="Times New Roman" w:hAnsi="Times New Roman"/>
                                <w:b/>
                                <w:sz w:val="20"/>
                              </w:rPr>
                              <w:t>(a)</w:t>
                            </w:r>
                          </w:p>
                        </w:txbxContent>
                      </wps:txbx>
                      <wps:bodyPr rot="0" vert="horz" wrap="square" lIns="91440" tIns="45720" rIns="91440" bIns="45720" anchor="t" anchorCtr="0">
                        <a:noAutofit/>
                      </wps:bodyPr>
                    </wps:wsp>
                  </a:graphicData>
                </a:graphic>
              </wp:anchor>
            </w:drawing>
          </mc:Choice>
          <mc:Fallback>
            <w:pict>
              <v:shape id="Text Box 230" o:spid="_x0000_s1033" type="#_x0000_t202" style="position:absolute;left:0;text-align:left;margin-left:54.85pt;margin-top:-.35pt;width:27pt;height:22.3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" filled="f" stroked="f">
                <v:textbox>
                  <w:txbxContent>
                    <w:p w:rsidR="00E626F5" w:rsidRPr="00E626F5" w:rsidRDefault="00E626F5" w:rsidP="00E626F5">
                      <w:pPr>
                        <w:jc w:val="both"/>
                        <w:rPr>
                          <w:rFonts w:ascii="Times New Roman" w:hAnsi="Times New Roman"/>
                          <w:b/>
                          <w:sz w:val="20"/>
                        </w:rPr>
                      </w:pPr>
                      <w:r w:rsidRPr="00E626F5">
                        <w:rPr>
                          <w:rFonts w:ascii="Times New Roman" w:hAnsi="Times New Roman"/>
                          <w:b/>
                          <w:sz w:val="20"/>
                        </w:rPr>
                        <w:t>(a)</w:t>
                      </w:r>
                    </w:p>
                  </w:txbxContent>
                </v:textbox>
              </v:shape>
            </w:pict>
          </mc:Fallback>
        </mc:AlternateContent>
      </w:r>
      <w:r w:rsidRPr="00EA07D7">
        <w:rPr>
          <w:rFonts w:ascii="Times New Roman" w:hAnsi="Times New Roman"/>
          <w:noProof/>
          <w:sz w:val="20"/>
          <w:szCs w:val="20"/>
          <w:lang w:val="en-MY" w:eastAsia="en-MY" w:bidi="ar-SA"/>
        </w:rPr>
        <w:drawing>
          <wp:inline distT="0" distB="0" distL="0" distR="0" wp14:anchorId="740D1AF6" wp14:editId="35D04980">
            <wp:extent cx="2000885" cy="1783080"/>
            <wp:effectExtent l="0" t="0" r="18415" b="2667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noProof/>
          <w:sz w:val="20"/>
          <w:szCs w:val="20"/>
          <w:lang w:bidi="ar-SA"/>
        </w:rPr>
        <w:t xml:space="preserve">            </w:t>
      </w:r>
      <w:r w:rsidRPr="00EA07D7">
        <w:rPr>
          <w:rFonts w:ascii="Times New Roman" w:hAnsi="Times New Roman"/>
          <w:noProof/>
          <w:sz w:val="20"/>
          <w:szCs w:val="20"/>
          <w:lang w:val="en-MY" w:eastAsia="en-MY" w:bidi="ar-SA"/>
        </w:rPr>
        <w:drawing>
          <wp:inline distT="0" distB="0" distL="0" distR="0" wp14:anchorId="5C49B271" wp14:editId="124F7A50">
            <wp:extent cx="2000885" cy="1783080"/>
            <wp:effectExtent l="0" t="0" r="18415" b="2667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noProof/>
          <w:sz w:val="20"/>
          <w:szCs w:val="20"/>
          <w:lang w:bidi="ar-SA"/>
        </w:rPr>
        <w:t xml:space="preserve">    </w:t>
      </w:r>
    </w:p>
    <w:p w:rsidR="00E626F5" w:rsidRDefault="00E626F5" w:rsidP="00E626F5">
      <w:pPr>
        <w:spacing w:after="0" w:line="240" w:lineRule="auto"/>
        <w:jc w:val="center"/>
        <w:rPr>
          <w:rFonts w:ascii="Times New Roman" w:hAnsi="Times New Roman"/>
          <w:noProof/>
          <w:sz w:val="20"/>
          <w:szCs w:val="20"/>
          <w:lang w:bidi="ar-SA"/>
        </w:rPr>
      </w:pPr>
    </w:p>
    <w:p w:rsidR="002E6806" w:rsidRDefault="00E626F5" w:rsidP="00F447A7">
      <w:pPr>
        <w:spacing w:after="0" w:line="240" w:lineRule="auto"/>
        <w:jc w:val="center"/>
        <w:rPr>
          <w:rFonts w:ascii="Times New Roman" w:hAnsi="Times New Roman"/>
          <w:noProof/>
          <w:sz w:val="20"/>
          <w:szCs w:val="20"/>
          <w:lang w:bidi="ar-SA"/>
        </w:rPr>
      </w:pPr>
      <w:r w:rsidRPr="00EA07D7">
        <w:rPr>
          <w:rFonts w:ascii="Times New Roman" w:hAnsi="Times New Roman"/>
          <w:noProof/>
          <w:sz w:val="20"/>
          <w:szCs w:val="20"/>
          <w:lang w:val="en-MY" w:eastAsia="en-MY" w:bidi="ar-SA"/>
        </w:rPr>
        <w:drawing>
          <wp:inline distT="0" distB="0" distL="0" distR="0" wp14:anchorId="0488A9CB" wp14:editId="09E6741E">
            <wp:extent cx="2011680" cy="1783080"/>
            <wp:effectExtent l="0" t="0" r="26670" b="2667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26F5" w:rsidRDefault="00E626F5" w:rsidP="00E626F5">
      <w:pPr>
        <w:spacing w:before="120" w:after="0" w:line="240" w:lineRule="auto"/>
        <w:jc w:val="center"/>
        <w:rPr>
          <w:rFonts w:ascii="Times New Roman" w:hAnsi="Times New Roman"/>
          <w:noProof/>
          <w:sz w:val="20"/>
          <w:szCs w:val="20"/>
          <w:lang w:bidi="ar-SA"/>
        </w:rPr>
      </w:pPr>
      <w:r>
        <w:rPr>
          <w:rFonts w:ascii="Times New Roman" w:hAnsi="Times New Roman"/>
          <w:sz w:val="20"/>
          <w:szCs w:val="20"/>
        </w:rPr>
        <w:t xml:space="preserve">Figure 3.  </w:t>
      </w:r>
      <w:r w:rsidRPr="00EA07D7">
        <w:rPr>
          <w:rFonts w:ascii="Times New Roman" w:hAnsi="Times New Roman"/>
          <w:sz w:val="20"/>
          <w:szCs w:val="20"/>
        </w:rPr>
        <w:t>The relationship between chl-a and phosphate (a) silicate (b) and DOC (c) for horizontal distribution</w:t>
      </w:r>
    </w:p>
    <w:p w:rsidR="00E626F5" w:rsidRDefault="00E626F5" w:rsidP="00E626F5">
      <w:pPr>
        <w:spacing w:after="120" w:line="240" w:lineRule="auto"/>
        <w:jc w:val="both"/>
        <w:rPr>
          <w:rFonts w:ascii="Times New Roman" w:hAnsi="Times New Roman"/>
          <w:noProof/>
          <w:sz w:val="20"/>
          <w:szCs w:val="20"/>
          <w:lang w:bidi="ar-SA"/>
        </w:rPr>
      </w:pPr>
    </w:p>
    <w:p w:rsidR="00E626F5" w:rsidRPr="00EA07D7" w:rsidRDefault="00E626F5" w:rsidP="00E626F5">
      <w:pPr>
        <w:spacing w:after="0" w:line="240" w:lineRule="auto"/>
        <w:jc w:val="both"/>
        <w:rPr>
          <w:rFonts w:ascii="Times New Roman" w:hAnsi="Times New Roman"/>
          <w:b/>
          <w:sz w:val="20"/>
          <w:szCs w:val="20"/>
        </w:rPr>
      </w:pPr>
      <w:r w:rsidRPr="00EA07D7">
        <w:rPr>
          <w:rFonts w:ascii="Times New Roman" w:hAnsi="Times New Roman"/>
          <w:b/>
          <w:sz w:val="20"/>
          <w:szCs w:val="20"/>
        </w:rPr>
        <w:t>Evidence of upwelling</w:t>
      </w:r>
    </w:p>
    <w:p w:rsidR="00E626F5" w:rsidRDefault="00E626F5" w:rsidP="00E626F5">
      <w:pPr>
        <w:spacing w:after="0" w:line="240" w:lineRule="auto"/>
        <w:jc w:val="both"/>
        <w:rPr>
          <w:rFonts w:eastAsia="Cambria" w:cs="Cambria"/>
          <w:sz w:val="20"/>
          <w:szCs w:val="20"/>
        </w:rPr>
      </w:pPr>
      <w:r w:rsidRPr="00EA07D7">
        <w:rPr>
          <w:rFonts w:ascii="Times New Roman" w:hAnsi="Times New Roman"/>
          <w:sz w:val="20"/>
          <w:szCs w:val="20"/>
        </w:rPr>
        <w:t>The Ekman transport was calculated based on the surface wind data obtained from the ECMWF (Figure 4). Based on the figure, there is an evident of upwelling occurred along the ECPM as observed by previous studies [4</w:t>
      </w:r>
      <w:r>
        <w:rPr>
          <w:rFonts w:ascii="Times New Roman" w:hAnsi="Times New Roman"/>
          <w:sz w:val="20"/>
          <w:szCs w:val="20"/>
        </w:rPr>
        <w:t>-</w:t>
      </w:r>
      <w:r w:rsidRPr="00EA07D7">
        <w:rPr>
          <w:rFonts w:ascii="Times New Roman" w:hAnsi="Times New Roman"/>
          <w:sz w:val="20"/>
          <w:szCs w:val="20"/>
        </w:rPr>
        <w:t>6]. The upwelling was driven by offshore Ekman transport that was roughly perpendicular to the coastline in the Terengganu waters from the southern part up to until about 5°N. Consequently, the coastal water was pushed away from the coast and replaced by the underneath cooler and saltier waters in the inshore region (Figure 2a and 2b). A contradictory situation occurred at the north of 5°N, where the Ekman transport in this region was orientated roughly parallel to the coast, which was less favourable for upwelling and hence pronounced slightly warmer and fresher water. Additionally, this region (i.e. north of 5°N) is located near to the GoT where it was predominantly influenced by the riverine runoff that carried warmer and fresher waters [6].</w:t>
      </w:r>
      <w:r w:rsidRPr="00EA07D7">
        <w:rPr>
          <w:rFonts w:eastAsia="Cambria" w:cs="Cambria"/>
          <w:sz w:val="20"/>
          <w:szCs w:val="20"/>
        </w:rPr>
        <w:t xml:space="preserve"> </w:t>
      </w:r>
    </w:p>
    <w:p w:rsidR="00E626F5" w:rsidRPr="00EA07D7" w:rsidRDefault="00E626F5" w:rsidP="00E626F5">
      <w:pPr>
        <w:spacing w:after="0" w:line="240" w:lineRule="auto"/>
        <w:jc w:val="both"/>
        <w:rPr>
          <w:rFonts w:eastAsia="Cambria" w:cs="Cambria"/>
          <w:sz w:val="20"/>
          <w:szCs w:val="20"/>
        </w:rPr>
      </w:pPr>
    </w:p>
    <w:p w:rsidR="00E626F5" w:rsidRPr="00EA07D7" w:rsidRDefault="00E626F5" w:rsidP="00E626F5">
      <w:pPr>
        <w:spacing w:after="0" w:line="240" w:lineRule="auto"/>
        <w:jc w:val="center"/>
        <w:rPr>
          <w:rFonts w:ascii="Times New Roman" w:hAnsi="Times New Roman"/>
          <w:sz w:val="20"/>
          <w:szCs w:val="20"/>
        </w:rPr>
      </w:pPr>
      <w:r w:rsidRPr="00EA07D7">
        <w:rPr>
          <w:rFonts w:ascii="Times New Roman" w:hAnsi="Times New Roman"/>
          <w:noProof/>
          <w:sz w:val="20"/>
          <w:szCs w:val="20"/>
          <w:lang w:val="en-MY" w:eastAsia="en-MY" w:bidi="ar-SA"/>
        </w:rPr>
        <w:lastRenderedPageBreak/>
        <w:drawing>
          <wp:inline distT="0" distB="0" distL="0" distR="0" wp14:anchorId="0F2F73B7" wp14:editId="2A76F68B">
            <wp:extent cx="3577136" cy="2826508"/>
            <wp:effectExtent l="19050" t="19050" r="23495" b="12065"/>
            <wp:docPr id="242" name="Picture 242"/>
            <wp:cNvGraphicFramePr/>
            <a:graphic xmlns:a="http://schemas.openxmlformats.org/drawingml/2006/main">
              <a:graphicData uri="http://schemas.openxmlformats.org/drawingml/2006/picture">
                <pic:pic xmlns:pic="http://schemas.openxmlformats.org/drawingml/2006/picture">
                  <pic:nvPicPr>
                    <pic:cNvPr id="63" name="meanek.tif"/>
                    <pic:cNvPicPr/>
                  </pic:nvPicPr>
                  <pic:blipFill>
                    <a:blip r:embed="rId22" cstate="print">
                      <a:extLst/>
                    </a:blip>
                    <a:stretch>
                      <a:fillRect/>
                    </a:stretch>
                  </pic:blipFill>
                  <pic:spPr>
                    <a:xfrm>
                      <a:off x="0" y="0"/>
                      <a:ext cx="3634173" cy="2871576"/>
                    </a:xfrm>
                    <a:prstGeom prst="rect">
                      <a:avLst/>
                    </a:prstGeom>
                    <a:ln w="3175">
                      <a:solidFill>
                        <a:schemeClr val="tx1"/>
                      </a:solidFill>
                    </a:ln>
                  </pic:spPr>
                </pic:pic>
              </a:graphicData>
            </a:graphic>
          </wp:inline>
        </w:drawing>
      </w:r>
    </w:p>
    <w:p w:rsidR="00E626F5" w:rsidRPr="00EA07D7" w:rsidRDefault="00E626F5" w:rsidP="0046201E">
      <w:pPr>
        <w:spacing w:before="120" w:after="0" w:line="240" w:lineRule="auto"/>
        <w:jc w:val="center"/>
        <w:rPr>
          <w:rFonts w:ascii="Times New Roman" w:hAnsi="Times New Roman"/>
          <w:sz w:val="20"/>
          <w:szCs w:val="20"/>
        </w:rPr>
      </w:pPr>
      <w:r w:rsidRPr="00EA07D7">
        <w:rPr>
          <w:rFonts w:ascii="Times New Roman" w:hAnsi="Times New Roman"/>
          <w:sz w:val="20"/>
          <w:szCs w:val="20"/>
        </w:rPr>
        <w:t>Figure 4.  Ekman transport (m</w:t>
      </w:r>
      <w:r w:rsidRPr="00EA07D7">
        <w:rPr>
          <w:rFonts w:ascii="Times New Roman" w:hAnsi="Times New Roman"/>
          <w:sz w:val="20"/>
          <w:szCs w:val="20"/>
          <w:vertAlign w:val="superscript"/>
        </w:rPr>
        <w:t xml:space="preserve">3 </w:t>
      </w:r>
      <w:r w:rsidRPr="00EA07D7">
        <w:rPr>
          <w:rFonts w:ascii="Times New Roman" w:hAnsi="Times New Roman"/>
          <w:sz w:val="20"/>
          <w:szCs w:val="20"/>
        </w:rPr>
        <w:t>s</w:t>
      </w:r>
      <w:r w:rsidRPr="00EA07D7">
        <w:rPr>
          <w:rFonts w:ascii="Times New Roman" w:hAnsi="Times New Roman"/>
          <w:sz w:val="20"/>
          <w:szCs w:val="20"/>
          <w:vertAlign w:val="superscript"/>
        </w:rPr>
        <w:t>-1</w:t>
      </w:r>
      <w:r w:rsidRPr="00EA07D7">
        <w:rPr>
          <w:rFonts w:ascii="Times New Roman" w:hAnsi="Times New Roman"/>
          <w:sz w:val="20"/>
          <w:szCs w:val="20"/>
        </w:rPr>
        <w:t xml:space="preserve"> m</w:t>
      </w:r>
      <w:r w:rsidRPr="00EA07D7">
        <w:rPr>
          <w:rFonts w:ascii="Times New Roman" w:hAnsi="Times New Roman"/>
          <w:sz w:val="20"/>
          <w:szCs w:val="20"/>
          <w:vertAlign w:val="superscript"/>
        </w:rPr>
        <w:t>-1</w:t>
      </w:r>
      <w:r w:rsidRPr="00EA07D7">
        <w:rPr>
          <w:rFonts w:ascii="Times New Roman" w:hAnsi="Times New Roman"/>
          <w:sz w:val="20"/>
          <w:szCs w:val="20"/>
        </w:rPr>
        <w:t xml:space="preserve">) along the Terengganu and Kelantan waters </w:t>
      </w:r>
    </w:p>
    <w:p w:rsidR="0046201E" w:rsidRPr="0046201E" w:rsidRDefault="0046201E" w:rsidP="0046201E">
      <w:pPr>
        <w:keepNext/>
        <w:keepLines/>
        <w:spacing w:after="120" w:line="240" w:lineRule="auto"/>
        <w:jc w:val="both"/>
        <w:rPr>
          <w:rFonts w:ascii="Times New Roman" w:hAnsi="Times New Roman"/>
          <w:sz w:val="20"/>
          <w:szCs w:val="20"/>
        </w:rPr>
      </w:pPr>
      <w:bookmarkStart w:id="0" w:name="_gjdgxs" w:colFirst="0" w:colLast="0"/>
      <w:bookmarkEnd w:id="0"/>
    </w:p>
    <w:p w:rsidR="00E626F5" w:rsidRPr="00EA07D7" w:rsidRDefault="00E626F5" w:rsidP="00E626F5">
      <w:pPr>
        <w:keepNext/>
        <w:keepLines/>
        <w:spacing w:after="0" w:line="240" w:lineRule="auto"/>
        <w:jc w:val="both"/>
        <w:rPr>
          <w:rFonts w:ascii="Times New Roman" w:hAnsi="Times New Roman"/>
          <w:b/>
          <w:sz w:val="20"/>
          <w:szCs w:val="20"/>
        </w:rPr>
      </w:pPr>
      <w:r w:rsidRPr="00EA07D7">
        <w:rPr>
          <w:rFonts w:ascii="Times New Roman" w:hAnsi="Times New Roman"/>
          <w:b/>
          <w:sz w:val="20"/>
          <w:szCs w:val="20"/>
        </w:rPr>
        <w:t>Vertical distribution</w:t>
      </w:r>
    </w:p>
    <w:p w:rsidR="00E626F5" w:rsidRPr="00EA07D7" w:rsidRDefault="00E626F5" w:rsidP="00E626F5">
      <w:pPr>
        <w:spacing w:after="0" w:line="240" w:lineRule="auto"/>
        <w:jc w:val="both"/>
        <w:rPr>
          <w:rFonts w:ascii="Times New Roman" w:hAnsi="Times New Roman"/>
          <w:sz w:val="20"/>
          <w:szCs w:val="20"/>
        </w:rPr>
      </w:pPr>
      <w:r w:rsidRPr="00EA07D7">
        <w:rPr>
          <w:rFonts w:ascii="Times New Roman" w:hAnsi="Times New Roman"/>
          <w:sz w:val="20"/>
          <w:szCs w:val="20"/>
        </w:rPr>
        <w:t xml:space="preserve">The two vertical profiles (transects A and D) for temperature, salinity, phosphate, silicate, DOC and chl-a are illustrated in Figure 5. Both transects showed variation in their spatial distribution in the water column. In transect A, the temperature ranged from 25.91 °C to 30.70 °C, with an average of 29.07 ± 1.19 ºC. Besides this, isotherm of 29.5 °C was shoaled until 10 m in the region of 103°E, and it bent downward as it approached the coast (Figure 5a). The salinity recorded was from 29.6 psu to 34.5 psu (33.38 ± 0.59 psu).  The isohaline of 32.5 psu displayed the similar onshore shoaling tendency with the isotherm. There was a freshwater lens with warmer water (&gt; 30 °C) and fresher water (31.1 psu – 33.3 psu) located at above 10 m into Transect A, which showed a typical feature of riverine outflow from the GoT as discussed in the previous section (horizontal distribution).This feature was also observed by Kok et al. [6], where freshwater lens had played an important role to restrict the water underneath from reaching the surface. Moreover, this region was less favourable for upwelling since the Ekman transport was roughly parallel to the coast (Figure 4), which also explained why the underneath water did not reach the surface. </w:t>
      </w:r>
    </w:p>
    <w:p w:rsidR="00E626F5" w:rsidRPr="00EA07D7" w:rsidRDefault="00E626F5" w:rsidP="00E626F5">
      <w:pPr>
        <w:spacing w:after="0" w:line="240" w:lineRule="auto"/>
        <w:jc w:val="both"/>
        <w:rPr>
          <w:rFonts w:ascii="Times New Roman" w:hAnsi="Times New Roman"/>
          <w:sz w:val="20"/>
          <w:szCs w:val="20"/>
        </w:rPr>
      </w:pPr>
    </w:p>
    <w:p w:rsidR="00E626F5" w:rsidRPr="00EA07D7" w:rsidRDefault="00E626F5" w:rsidP="00E626F5">
      <w:pPr>
        <w:spacing w:after="0" w:line="240" w:lineRule="auto"/>
        <w:jc w:val="both"/>
        <w:rPr>
          <w:rFonts w:ascii="Times New Roman" w:hAnsi="Times New Roman"/>
          <w:sz w:val="20"/>
          <w:szCs w:val="20"/>
        </w:rPr>
      </w:pPr>
      <w:r w:rsidRPr="00EA07D7">
        <w:rPr>
          <w:rFonts w:ascii="Times New Roman" w:hAnsi="Times New Roman"/>
          <w:sz w:val="20"/>
          <w:szCs w:val="20"/>
        </w:rPr>
        <w:t>Nutrients and chl-a in Transect A varied remarkably from the surface to the bottom. The vertical profile of phosphate (0.03 µM to 0.45 µM (mean 0.20 ± 0.12 µM)) in Figure 5e shows that the concentrations are fairly enriched in the area near the coast and depleted in areas beyond the continental shelf. The phenomenon of high phosphate concentration in the coastal area in Transect A indicates that the riverine input from Kelantan River estuary or GoT is the main source for phosphate. This is further supported by less saline water observed (Figure 5c) in the area as evidence of the riverine plume. In contrast to the pattern of phosphate, the vertical profiles of silicate (Figure 5g) displayed a maximum concentration close to the bottom, followed by a rapid decrease towards the surface, with concentrations varying between 1.07 µM to 39.00 µM (mean 7.32 ± 9.57 µM). In the case of DOC, there was no clear trend; DOC fluctuated with a concentration in the range of 6.80 µM to 14.30 µM (mean 11.01 ± 1.57 µM). The trend of chl-a (Figure 5k) was similar, with highest concentrations at the bottom water areas, especially at the middle of the transect. The chl-a concentrations in Transect A were in the range of 0.01 µgL</w:t>
      </w:r>
      <w:r w:rsidRPr="00EA07D7">
        <w:rPr>
          <w:rFonts w:ascii="Times New Roman" w:hAnsi="Times New Roman"/>
          <w:sz w:val="20"/>
          <w:szCs w:val="20"/>
          <w:vertAlign w:val="superscript"/>
        </w:rPr>
        <w:t>-1</w:t>
      </w:r>
      <w:r w:rsidRPr="00EA07D7">
        <w:rPr>
          <w:rFonts w:ascii="Times New Roman" w:hAnsi="Times New Roman"/>
          <w:sz w:val="20"/>
          <w:szCs w:val="20"/>
        </w:rPr>
        <w:t xml:space="preserve"> to 0.63 µgL</w:t>
      </w:r>
      <w:r w:rsidRPr="00EA07D7">
        <w:rPr>
          <w:rFonts w:ascii="Times New Roman" w:hAnsi="Times New Roman"/>
          <w:sz w:val="20"/>
          <w:szCs w:val="20"/>
          <w:vertAlign w:val="superscript"/>
        </w:rPr>
        <w:t>-1</w:t>
      </w:r>
      <w:r w:rsidRPr="00EA07D7">
        <w:rPr>
          <w:rFonts w:ascii="Times New Roman" w:hAnsi="Times New Roman"/>
          <w:sz w:val="20"/>
          <w:szCs w:val="20"/>
        </w:rPr>
        <w:t xml:space="preserve"> (mean 0.16 ± 0.16 µgL</w:t>
      </w:r>
      <w:r w:rsidRPr="00EA07D7">
        <w:rPr>
          <w:rFonts w:ascii="Times New Roman" w:hAnsi="Times New Roman"/>
          <w:sz w:val="20"/>
          <w:szCs w:val="20"/>
          <w:vertAlign w:val="superscript"/>
        </w:rPr>
        <w:t>-1</w:t>
      </w:r>
      <w:r w:rsidRPr="00EA07D7">
        <w:rPr>
          <w:rFonts w:ascii="Times New Roman" w:hAnsi="Times New Roman"/>
          <w:sz w:val="20"/>
          <w:szCs w:val="20"/>
        </w:rPr>
        <w:t xml:space="preserve">). </w:t>
      </w:r>
    </w:p>
    <w:p w:rsidR="00E626F5" w:rsidRDefault="00E626F5" w:rsidP="00E626F5">
      <w:pPr>
        <w:spacing w:after="0" w:line="240" w:lineRule="auto"/>
        <w:jc w:val="both"/>
        <w:rPr>
          <w:rFonts w:ascii="Times New Roman" w:hAnsi="Times New Roman"/>
          <w:sz w:val="20"/>
          <w:szCs w:val="20"/>
        </w:rPr>
      </w:pPr>
    </w:p>
    <w:p w:rsidR="00F018A9" w:rsidRDefault="00F018A9" w:rsidP="00E626F5">
      <w:pPr>
        <w:spacing w:after="0" w:line="240" w:lineRule="auto"/>
        <w:jc w:val="both"/>
        <w:rPr>
          <w:rFonts w:ascii="Times New Roman" w:hAnsi="Times New Roman"/>
          <w:sz w:val="20"/>
          <w:szCs w:val="20"/>
        </w:rPr>
      </w:pPr>
    </w:p>
    <w:p w:rsidR="00F018A9" w:rsidRPr="00EA07D7" w:rsidRDefault="00F018A9" w:rsidP="00E626F5">
      <w:pPr>
        <w:spacing w:after="0" w:line="240" w:lineRule="auto"/>
        <w:jc w:val="both"/>
        <w:rPr>
          <w:rFonts w:ascii="Times New Roman" w:hAnsi="Times New Roman"/>
          <w:sz w:val="20"/>
          <w:szCs w:val="20"/>
        </w:rPr>
      </w:pPr>
    </w:p>
    <w:p w:rsidR="00E626F5" w:rsidRDefault="00E626F5" w:rsidP="00E626F5">
      <w:pPr>
        <w:spacing w:after="0" w:line="240" w:lineRule="auto"/>
        <w:jc w:val="both"/>
        <w:rPr>
          <w:rFonts w:ascii="Times New Roman" w:hAnsi="Times New Roman"/>
          <w:sz w:val="20"/>
          <w:szCs w:val="20"/>
        </w:rPr>
      </w:pPr>
    </w:p>
    <w:p w:rsidR="00E626F5" w:rsidRPr="00EA07D7" w:rsidRDefault="00E626F5" w:rsidP="00E626F5">
      <w:pPr>
        <w:spacing w:after="0" w:line="240" w:lineRule="auto"/>
        <w:jc w:val="both"/>
      </w:pPr>
    </w:p>
    <w:tbl>
      <w:tblPr>
        <w:tblW w:w="9097" w:type="dxa"/>
        <w:jc w:val="center"/>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3"/>
        <w:gridCol w:w="4394"/>
      </w:tblGrid>
      <w:tr w:rsidR="00E626F5" w:rsidRPr="00EA07D7" w:rsidTr="0046201E">
        <w:trPr>
          <w:trHeight w:val="2100"/>
          <w:jc w:val="center"/>
        </w:trPr>
        <w:tc>
          <w:tcPr>
            <w:tcW w:w="4703" w:type="dxa"/>
          </w:tcPr>
          <w:p w:rsidR="00E626F5" w:rsidRPr="00EA07D7" w:rsidRDefault="0046201E"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91520" behindDoc="0" locked="0" layoutInCell="1" hidden="0" allowOverlap="1" wp14:anchorId="382E2F62" wp14:editId="5EDC9DA3">
                      <wp:simplePos x="0" y="0"/>
                      <wp:positionH relativeFrom="column">
                        <wp:posOffset>2863850</wp:posOffset>
                      </wp:positionH>
                      <wp:positionV relativeFrom="paragraph">
                        <wp:posOffset>10795</wp:posOffset>
                      </wp:positionV>
                      <wp:extent cx="422275" cy="301625"/>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46201E" w:rsidRPr="00CD2E40" w:rsidRDefault="0046201E" w:rsidP="0046201E">
                                  <w:pPr>
                                    <w:rPr>
                                      <w:rFonts w:ascii="Times New Roman" w:hAnsi="Times New Roman"/>
                                      <w:b/>
                                      <w:sz w:val="20"/>
                                    </w:rPr>
                                  </w:pPr>
                                  <w:r>
                                    <w:rPr>
                                      <w:rFonts w:ascii="Times New Roman" w:hAnsi="Times New Roman"/>
                                      <w:b/>
                                      <w:sz w:val="20"/>
                                    </w:rPr>
                                    <w:t>(b</w:t>
                                  </w:r>
                                  <w:r w:rsidRPr="00CD2E40">
                                    <w:rPr>
                                      <w:rFonts w:ascii="Times New Roman" w:hAnsi="Times New Roman"/>
                                      <w:b/>
                                      <w:sz w:val="20"/>
                                    </w:rPr>
                                    <w:t>)</w:t>
                                  </w:r>
                                </w:p>
                              </w:txbxContent>
                            </wps:txbx>
                            <wps:bodyPr rot="0" vert="horz" wrap="square" lIns="91440" tIns="45720" rIns="91440" bIns="45720" anchor="t" anchorCtr="0">
                              <a:noAutofit/>
                            </wps:bodyPr>
                          </wps:wsp>
                        </a:graphicData>
                      </a:graphic>
                    </wp:anchor>
                  </w:drawing>
                </mc:Choice>
                <mc:Fallback>
                  <w:pict>
                    <v:shape id="Text Box 4" o:spid="_x0000_s1034" type="#_x0000_t202" style="position:absolute;left:0;text-align:left;margin-left:225.5pt;margin-top:.85pt;width:33.25pt;height:23.7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" filled="f" stroked="f">
                      <v:textbox>
                        <w:txbxContent>
                          <w:p w:rsidR="0046201E" w:rsidRPr="00CD2E40" w:rsidRDefault="0046201E" w:rsidP="0046201E">
                            <w:pPr>
                              <w:rPr>
                                <w:rFonts w:ascii="Times New Roman" w:hAnsi="Times New Roman"/>
                                <w:b/>
                                <w:sz w:val="20"/>
                              </w:rPr>
                            </w:pPr>
                            <w:r>
                              <w:rPr>
                                <w:rFonts w:ascii="Times New Roman" w:hAnsi="Times New Roman"/>
                                <w:b/>
                                <w:sz w:val="20"/>
                              </w:rPr>
                              <w:t>(b</w:t>
                            </w:r>
                            <w:r w:rsidRPr="00CD2E40">
                              <w:rPr>
                                <w:rFonts w:ascii="Times New Roman" w:hAnsi="Times New Roman"/>
                                <w:b/>
                                <w:sz w:val="20"/>
                              </w:rPr>
                              <w:t>)</w:t>
                            </w:r>
                          </w:p>
                        </w:txbxContent>
                      </v:textbox>
                    </v:shape>
                  </w:pict>
                </mc:Fallback>
              </mc:AlternateContent>
            </w:r>
            <w:r w:rsidRPr="00EA07D7">
              <w:rPr>
                <w:noProof/>
                <w:lang w:val="en-MY" w:eastAsia="en-MY" w:bidi="ar-SA"/>
              </w:rPr>
              <mc:AlternateContent>
                <mc:Choice Requires="wps">
                  <w:drawing>
                    <wp:anchor distT="0" distB="0" distL="114300" distR="114300" simplePos="0" relativeHeight="251689472" behindDoc="0" locked="0" layoutInCell="1" hidden="0" allowOverlap="1" wp14:anchorId="39DE7068" wp14:editId="258B240B">
                      <wp:simplePos x="0" y="0"/>
                      <wp:positionH relativeFrom="column">
                        <wp:posOffset>-155575</wp:posOffset>
                      </wp:positionH>
                      <wp:positionV relativeFrom="paragraph">
                        <wp:posOffset>1270</wp:posOffset>
                      </wp:positionV>
                      <wp:extent cx="422275" cy="30162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46201E" w:rsidRPr="00CD2E40" w:rsidRDefault="0046201E" w:rsidP="0046201E">
                                  <w:pPr>
                                    <w:rPr>
                                      <w:rFonts w:ascii="Times New Roman" w:hAnsi="Times New Roman"/>
                                      <w:b/>
                                      <w:sz w:val="20"/>
                                    </w:rPr>
                                  </w:pPr>
                                  <w:r w:rsidRPr="00CD2E40">
                                    <w:rPr>
                                      <w:rFonts w:ascii="Times New Roman" w:hAnsi="Times New Roman"/>
                                      <w:b/>
                                      <w:sz w:val="20"/>
                                    </w:rPr>
                                    <w:t>(a)</w:t>
                                  </w:r>
                                </w:p>
                              </w:txbxContent>
                            </wps:txbx>
                            <wps:bodyPr rot="0" vert="horz" wrap="square" lIns="91440" tIns="45720" rIns="91440" bIns="45720" anchor="t" anchorCtr="0">
                              <a:noAutofit/>
                            </wps:bodyPr>
                          </wps:wsp>
                        </a:graphicData>
                      </a:graphic>
                    </wp:anchor>
                  </w:drawing>
                </mc:Choice>
                <mc:Fallback>
                  <w:pict>
                    <v:shape id="Text Box 2" o:spid="_x0000_s1035" type="#_x0000_t202" style="position:absolute;left:0;text-align:left;margin-left:-12.25pt;margin-top:.1pt;width:33.25pt;height:23.7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" filled="f" stroked="f">
                      <v:textbox>
                        <w:txbxContent>
                          <w:p w:rsidR="0046201E" w:rsidRPr="00CD2E40" w:rsidRDefault="0046201E" w:rsidP="0046201E">
                            <w:pPr>
                              <w:rPr>
                                <w:rFonts w:ascii="Times New Roman" w:hAnsi="Times New Roman"/>
                                <w:b/>
                                <w:sz w:val="20"/>
                              </w:rPr>
                            </w:pPr>
                            <w:r w:rsidRPr="00CD2E40">
                              <w:rPr>
                                <w:rFonts w:ascii="Times New Roman" w:hAnsi="Times New Roman"/>
                                <w:b/>
                                <w:sz w:val="20"/>
                              </w:rPr>
                              <w:t>(a)</w:t>
                            </w:r>
                          </w:p>
                        </w:txbxContent>
                      </v:textbox>
                    </v:shape>
                  </w:pict>
                </mc:Fallback>
              </mc:AlternateContent>
            </w:r>
            <w:r w:rsidR="00E626F5" w:rsidRPr="00EA07D7">
              <w:br w:type="page"/>
            </w:r>
            <w:r w:rsidR="00E626F5" w:rsidRPr="00EA07D7">
              <w:rPr>
                <w:rFonts w:eastAsia="Cambria" w:cs="Cambria"/>
                <w:noProof/>
                <w:sz w:val="20"/>
                <w:szCs w:val="20"/>
                <w:lang w:val="en-MY" w:eastAsia="en-MY" w:bidi="ar-SA"/>
              </w:rPr>
              <w:drawing>
                <wp:inline distT="0" distB="0" distL="0" distR="0" wp14:anchorId="6B5E75A2" wp14:editId="21D3B2ED">
                  <wp:extent cx="2520000" cy="1257300"/>
                  <wp:effectExtent l="0" t="0" r="0" b="0"/>
                  <wp:docPr id="256" name="image27.png" descr="A Temp"/>
                  <wp:cNvGraphicFramePr/>
                  <a:graphic xmlns:a="http://schemas.openxmlformats.org/drawingml/2006/main">
                    <a:graphicData uri="http://schemas.openxmlformats.org/drawingml/2006/picture">
                      <pic:pic xmlns:pic="http://schemas.openxmlformats.org/drawingml/2006/picture">
                        <pic:nvPicPr>
                          <pic:cNvPr id="0" name="image27.png" descr="A Temp"/>
                          <pic:cNvPicPr preferRelativeResize="0"/>
                        </pic:nvPicPr>
                        <pic:blipFill>
                          <a:blip r:embed="rId23"/>
                          <a:srcRect/>
                          <a:stretch>
                            <a:fillRect/>
                          </a:stretch>
                        </pic:blipFill>
                        <pic:spPr>
                          <a:xfrm>
                            <a:off x="0" y="0"/>
                            <a:ext cx="2520000" cy="1257300"/>
                          </a:xfrm>
                          <a:prstGeom prst="rect">
                            <a:avLst/>
                          </a:prstGeom>
                          <a:ln/>
                        </pic:spPr>
                      </pic:pic>
                    </a:graphicData>
                  </a:graphic>
                </wp:inline>
              </w:drawing>
            </w:r>
          </w:p>
        </w:tc>
        <w:tc>
          <w:tcPr>
            <w:tcW w:w="4394" w:type="dxa"/>
          </w:tcPr>
          <w:p w:rsidR="00E626F5" w:rsidRPr="00EA07D7" w:rsidRDefault="00E626F5" w:rsidP="00587C77">
            <w:pPr>
              <w:jc w:val="both"/>
              <w:rPr>
                <w:rFonts w:ascii="Times New Roman" w:hAnsi="Times New Roman"/>
                <w:sz w:val="20"/>
                <w:szCs w:val="20"/>
              </w:rPr>
            </w:pPr>
            <w:r w:rsidRPr="00EA07D7">
              <w:rPr>
                <w:rFonts w:eastAsia="Cambria" w:cs="Cambria"/>
                <w:noProof/>
                <w:sz w:val="20"/>
                <w:szCs w:val="20"/>
                <w:lang w:val="en-MY" w:eastAsia="en-MY" w:bidi="ar-SA"/>
              </w:rPr>
              <w:drawing>
                <wp:inline distT="0" distB="0" distL="0" distR="0" wp14:anchorId="5183F74D" wp14:editId="4EB33092">
                  <wp:extent cx="2520000" cy="1247775"/>
                  <wp:effectExtent l="0" t="0" r="0" b="0"/>
                  <wp:docPr id="257" name="image28.png" descr="D Temp"/>
                  <wp:cNvGraphicFramePr/>
                  <a:graphic xmlns:a="http://schemas.openxmlformats.org/drawingml/2006/main">
                    <a:graphicData uri="http://schemas.openxmlformats.org/drawingml/2006/picture">
                      <pic:pic xmlns:pic="http://schemas.openxmlformats.org/drawingml/2006/picture">
                        <pic:nvPicPr>
                          <pic:cNvPr id="0" name="image28.png" descr="D Temp"/>
                          <pic:cNvPicPr preferRelativeResize="0"/>
                        </pic:nvPicPr>
                        <pic:blipFill>
                          <a:blip r:embed="rId24"/>
                          <a:srcRect/>
                          <a:stretch>
                            <a:fillRect/>
                          </a:stretch>
                        </pic:blipFill>
                        <pic:spPr>
                          <a:xfrm>
                            <a:off x="0" y="0"/>
                            <a:ext cx="2520000" cy="1247775"/>
                          </a:xfrm>
                          <a:prstGeom prst="rect">
                            <a:avLst/>
                          </a:prstGeom>
                          <a:ln/>
                        </pic:spPr>
                      </pic:pic>
                    </a:graphicData>
                  </a:graphic>
                </wp:inline>
              </w:drawing>
            </w:r>
          </w:p>
        </w:tc>
      </w:tr>
      <w:tr w:rsidR="00E626F5" w:rsidRPr="00EA07D7" w:rsidTr="0046201E">
        <w:trPr>
          <w:trHeight w:val="2100"/>
          <w:jc w:val="center"/>
        </w:trPr>
        <w:tc>
          <w:tcPr>
            <w:tcW w:w="4703" w:type="dxa"/>
          </w:tcPr>
          <w:p w:rsidR="00E626F5" w:rsidRPr="00EA07D7" w:rsidRDefault="0046201E"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80256" behindDoc="0" locked="0" layoutInCell="1" hidden="0" allowOverlap="1" wp14:anchorId="0F5FA0F2" wp14:editId="62AE1358">
                      <wp:simplePos x="0" y="0"/>
                      <wp:positionH relativeFrom="column">
                        <wp:posOffset>-147320</wp:posOffset>
                      </wp:positionH>
                      <wp:positionV relativeFrom="paragraph">
                        <wp:posOffset>1464310</wp:posOffset>
                      </wp:positionV>
                      <wp:extent cx="422275" cy="301625"/>
                      <wp:effectExtent l="0" t="0" r="0" b="317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(e)</w:t>
                                  </w:r>
                                </w:p>
                              </w:txbxContent>
                            </wps:txbx>
                            <wps:bodyPr rot="0" vert="horz" wrap="square" lIns="91440" tIns="45720" rIns="91440" bIns="45720" anchor="t" anchorCtr="0">
                              <a:noAutofit/>
                            </wps:bodyPr>
                          </wps:wsp>
                        </a:graphicData>
                      </a:graphic>
                    </wp:anchor>
                  </w:drawing>
                </mc:Choice>
                <mc:Fallback>
                  <w:pict>
                    <v:shape id="Text Box 238" o:spid="_x0000_s1036" type="#_x0000_t202" style="position:absolute;left:0;text-align:left;margin-left:-11.6pt;margin-top:115.3pt;width:33.25pt;height:23.7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(e)</w:t>
                            </w:r>
                          </w:p>
                        </w:txbxContent>
                      </v:textbox>
                    </v:shape>
                  </w:pict>
                </mc:Fallback>
              </mc:AlternateContent>
            </w:r>
            <w:r w:rsidRPr="00EA07D7">
              <w:rPr>
                <w:noProof/>
                <w:lang w:val="en-MY" w:eastAsia="en-MY" w:bidi="ar-SA"/>
              </w:rPr>
              <mc:AlternateContent>
                <mc:Choice Requires="wps">
                  <w:drawing>
                    <wp:anchor distT="0" distB="0" distL="114300" distR="114300" simplePos="0" relativeHeight="251677184" behindDoc="0" locked="0" layoutInCell="1" hidden="0" allowOverlap="1" wp14:anchorId="10ACB525" wp14:editId="4CADF92C">
                      <wp:simplePos x="0" y="0"/>
                      <wp:positionH relativeFrom="column">
                        <wp:posOffset>-132715</wp:posOffset>
                      </wp:positionH>
                      <wp:positionV relativeFrom="paragraph">
                        <wp:posOffset>6350</wp:posOffset>
                      </wp:positionV>
                      <wp:extent cx="422275" cy="301625"/>
                      <wp:effectExtent l="0" t="0" r="0" b="317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(c)</w:t>
                                  </w:r>
                                </w:p>
                              </w:txbxContent>
                            </wps:txbx>
                            <wps:bodyPr rot="0" vert="horz" wrap="square" lIns="91440" tIns="45720" rIns="91440" bIns="45720" anchor="t" anchorCtr="0">
                              <a:noAutofit/>
                            </wps:bodyPr>
                          </wps:wsp>
                        </a:graphicData>
                      </a:graphic>
                    </wp:anchor>
                  </w:drawing>
                </mc:Choice>
                <mc:Fallback>
                  <w:pict>
                    <v:shape id="Text Box 219" o:spid="_x0000_s1037" type="#_x0000_t202" style="position:absolute;left:0;text-align:left;margin-left:-10.45pt;margin-top:.5pt;width:33.25pt;height:23.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(c)</w:t>
                            </w:r>
                          </w:p>
                        </w:txbxContent>
                      </v:textbox>
                    </v:shape>
                  </w:pict>
                </mc:Fallback>
              </mc:AlternateContent>
            </w:r>
            <w:r w:rsidR="00E626F5" w:rsidRPr="00EA07D7">
              <w:rPr>
                <w:rFonts w:eastAsia="Cambria" w:cs="Cambria"/>
                <w:noProof/>
                <w:sz w:val="20"/>
                <w:szCs w:val="20"/>
                <w:lang w:val="en-MY" w:eastAsia="en-MY" w:bidi="ar-SA"/>
              </w:rPr>
              <w:drawing>
                <wp:inline distT="0" distB="0" distL="0" distR="0" wp14:anchorId="493CF7AF" wp14:editId="42F6C13A">
                  <wp:extent cx="2520000" cy="1333500"/>
                  <wp:effectExtent l="0" t="0" r="0" b="0"/>
                  <wp:docPr id="258" name="image29.png" descr="A Sal"/>
                  <wp:cNvGraphicFramePr/>
                  <a:graphic xmlns:a="http://schemas.openxmlformats.org/drawingml/2006/main">
                    <a:graphicData uri="http://schemas.openxmlformats.org/drawingml/2006/picture">
                      <pic:pic xmlns:pic="http://schemas.openxmlformats.org/drawingml/2006/picture">
                        <pic:nvPicPr>
                          <pic:cNvPr id="0" name="image29.png" descr="A Sal"/>
                          <pic:cNvPicPr preferRelativeResize="0"/>
                        </pic:nvPicPr>
                        <pic:blipFill>
                          <a:blip r:embed="rId25"/>
                          <a:srcRect/>
                          <a:stretch>
                            <a:fillRect/>
                          </a:stretch>
                        </pic:blipFill>
                        <pic:spPr>
                          <a:xfrm>
                            <a:off x="0" y="0"/>
                            <a:ext cx="2520000" cy="1333500"/>
                          </a:xfrm>
                          <a:prstGeom prst="rect">
                            <a:avLst/>
                          </a:prstGeom>
                          <a:ln/>
                        </pic:spPr>
                      </pic:pic>
                    </a:graphicData>
                  </a:graphic>
                </wp:inline>
              </w:drawing>
            </w:r>
          </w:p>
        </w:tc>
        <w:tc>
          <w:tcPr>
            <w:tcW w:w="4394" w:type="dxa"/>
          </w:tcPr>
          <w:p w:rsidR="00E626F5" w:rsidRPr="00EA07D7" w:rsidRDefault="00E626F5"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78208" behindDoc="0" locked="0" layoutInCell="1" hidden="0" allowOverlap="1" wp14:anchorId="185858C6" wp14:editId="10526C8A">
                      <wp:simplePos x="0" y="0"/>
                      <wp:positionH relativeFrom="column">
                        <wp:posOffset>-135549</wp:posOffset>
                      </wp:positionH>
                      <wp:positionV relativeFrom="paragraph">
                        <wp:posOffset>13809</wp:posOffset>
                      </wp:positionV>
                      <wp:extent cx="422275" cy="301625"/>
                      <wp:effectExtent l="0" t="0" r="0" b="317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(d)</w:t>
                                  </w:r>
                                </w:p>
                              </w:txbxContent>
                            </wps:txbx>
                            <wps:bodyPr rot="0" vert="horz" wrap="square" lIns="91440" tIns="45720" rIns="91440" bIns="45720" anchor="t" anchorCtr="0">
                              <a:noAutofit/>
                            </wps:bodyPr>
                          </wps:wsp>
                        </a:graphicData>
                      </a:graphic>
                    </wp:anchor>
                  </w:drawing>
                </mc:Choice>
                <mc:Fallback>
                  <w:pict>
                    <v:shape id="Text Box 235" o:spid="_x0000_s1038" type="#_x0000_t202" style="position:absolute;left:0;text-align:left;margin-left:-10.65pt;margin-top:1.1pt;width:33.25pt;height:23.7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(d)</w:t>
                            </w:r>
                          </w:p>
                        </w:txbxContent>
                      </v:textbox>
                    </v:shape>
                  </w:pict>
                </mc:Fallback>
              </mc:AlternateContent>
            </w:r>
            <w:r w:rsidRPr="00EA07D7">
              <w:rPr>
                <w:rFonts w:eastAsia="Cambria" w:cs="Cambria"/>
                <w:noProof/>
                <w:sz w:val="20"/>
                <w:szCs w:val="20"/>
                <w:lang w:val="en-MY" w:eastAsia="en-MY" w:bidi="ar-SA"/>
              </w:rPr>
              <w:drawing>
                <wp:inline distT="0" distB="0" distL="0" distR="0" wp14:anchorId="451A9DFC" wp14:editId="292B9AB3">
                  <wp:extent cx="2520000" cy="1238250"/>
                  <wp:effectExtent l="0" t="0" r="0" b="0"/>
                  <wp:docPr id="259" name="image30.png" descr="D Salt"/>
                  <wp:cNvGraphicFramePr/>
                  <a:graphic xmlns:a="http://schemas.openxmlformats.org/drawingml/2006/main">
                    <a:graphicData uri="http://schemas.openxmlformats.org/drawingml/2006/picture">
                      <pic:pic xmlns:pic="http://schemas.openxmlformats.org/drawingml/2006/picture">
                        <pic:nvPicPr>
                          <pic:cNvPr id="0" name="image30.png" descr="D Salt"/>
                          <pic:cNvPicPr preferRelativeResize="0"/>
                        </pic:nvPicPr>
                        <pic:blipFill>
                          <a:blip r:embed="rId26"/>
                          <a:srcRect/>
                          <a:stretch>
                            <a:fillRect/>
                          </a:stretch>
                        </pic:blipFill>
                        <pic:spPr>
                          <a:xfrm>
                            <a:off x="0" y="0"/>
                            <a:ext cx="2520000" cy="1238250"/>
                          </a:xfrm>
                          <a:prstGeom prst="rect">
                            <a:avLst/>
                          </a:prstGeom>
                          <a:ln/>
                        </pic:spPr>
                      </pic:pic>
                    </a:graphicData>
                  </a:graphic>
                </wp:inline>
              </w:drawing>
            </w:r>
          </w:p>
        </w:tc>
      </w:tr>
      <w:tr w:rsidR="00E626F5" w:rsidRPr="00EA07D7" w:rsidTr="0046201E">
        <w:trPr>
          <w:trHeight w:val="2000"/>
          <w:jc w:val="center"/>
        </w:trPr>
        <w:tc>
          <w:tcPr>
            <w:tcW w:w="4703" w:type="dxa"/>
          </w:tcPr>
          <w:p w:rsidR="00E626F5" w:rsidRPr="00EA07D7" w:rsidRDefault="0046201E"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79232" behindDoc="0" locked="0" layoutInCell="1" hidden="0" allowOverlap="1" wp14:anchorId="47640A81" wp14:editId="63F3DDBD">
                      <wp:simplePos x="0" y="0"/>
                      <wp:positionH relativeFrom="column">
                        <wp:posOffset>2870835</wp:posOffset>
                      </wp:positionH>
                      <wp:positionV relativeFrom="paragraph">
                        <wp:posOffset>-1905</wp:posOffset>
                      </wp:positionV>
                      <wp:extent cx="422275" cy="301625"/>
                      <wp:effectExtent l="0" t="0" r="0" b="317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(f)</w:t>
                                  </w:r>
                                </w:p>
                              </w:txbxContent>
                            </wps:txbx>
                            <wps:bodyPr rot="0" vert="horz" wrap="square" lIns="91440" tIns="45720" rIns="91440" bIns="45720" anchor="t" anchorCtr="0">
                              <a:noAutofit/>
                            </wps:bodyPr>
                          </wps:wsp>
                        </a:graphicData>
                      </a:graphic>
                    </wp:anchor>
                  </w:drawing>
                </mc:Choice>
                <mc:Fallback>
                  <w:pict>
                    <v:shape id="Text Box 225" o:spid="_x0000_s1039" type="#_x0000_t202" style="position:absolute;left:0;text-align:left;margin-left:226.05pt;margin-top:-.15pt;width:33.25pt;height:23.7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(f)</w:t>
                            </w:r>
                          </w:p>
                        </w:txbxContent>
                      </v:textbox>
                    </v:shape>
                  </w:pict>
                </mc:Fallback>
              </mc:AlternateContent>
            </w:r>
            <w:r w:rsidR="00E626F5" w:rsidRPr="00EA07D7">
              <w:rPr>
                <w:rFonts w:ascii="Times New Roman" w:hAnsi="Times New Roman"/>
                <w:noProof/>
                <w:sz w:val="20"/>
                <w:szCs w:val="20"/>
                <w:lang w:val="en-MY" w:eastAsia="en-MY" w:bidi="ar-SA"/>
              </w:rPr>
              <w:drawing>
                <wp:inline distT="0" distB="0" distL="0" distR="0" wp14:anchorId="5067A7D5" wp14:editId="339E6894">
                  <wp:extent cx="2520000" cy="1295400"/>
                  <wp:effectExtent l="0" t="0" r="0" b="0"/>
                  <wp:docPr id="260" name="image32.png" descr="Phosphate transect A_new"/>
                  <wp:cNvGraphicFramePr/>
                  <a:graphic xmlns:a="http://schemas.openxmlformats.org/drawingml/2006/main">
                    <a:graphicData uri="http://schemas.openxmlformats.org/drawingml/2006/picture">
                      <pic:pic xmlns:pic="http://schemas.openxmlformats.org/drawingml/2006/picture">
                        <pic:nvPicPr>
                          <pic:cNvPr id="0" name="image32.png" descr="Phosphate transect A_new"/>
                          <pic:cNvPicPr preferRelativeResize="0"/>
                        </pic:nvPicPr>
                        <pic:blipFill>
                          <a:blip r:embed="rId27"/>
                          <a:srcRect/>
                          <a:stretch>
                            <a:fillRect/>
                          </a:stretch>
                        </pic:blipFill>
                        <pic:spPr>
                          <a:xfrm>
                            <a:off x="0" y="0"/>
                            <a:ext cx="2520000" cy="1295400"/>
                          </a:xfrm>
                          <a:prstGeom prst="rect">
                            <a:avLst/>
                          </a:prstGeom>
                          <a:ln/>
                        </pic:spPr>
                      </pic:pic>
                    </a:graphicData>
                  </a:graphic>
                </wp:inline>
              </w:drawing>
            </w:r>
          </w:p>
        </w:tc>
        <w:tc>
          <w:tcPr>
            <w:tcW w:w="4394" w:type="dxa"/>
          </w:tcPr>
          <w:p w:rsidR="00E626F5" w:rsidRPr="00EA07D7" w:rsidRDefault="00E626F5" w:rsidP="00587C77">
            <w:pPr>
              <w:jc w:val="both"/>
              <w:rPr>
                <w:rFonts w:ascii="Times New Roman" w:hAnsi="Times New Roman"/>
                <w:sz w:val="20"/>
                <w:szCs w:val="20"/>
              </w:rPr>
            </w:pPr>
            <w:r w:rsidRPr="00EA07D7">
              <w:rPr>
                <w:rFonts w:ascii="Times New Roman" w:hAnsi="Times New Roman"/>
                <w:noProof/>
                <w:sz w:val="20"/>
                <w:szCs w:val="20"/>
                <w:lang w:val="en-MY" w:eastAsia="en-MY" w:bidi="ar-SA"/>
              </w:rPr>
              <w:drawing>
                <wp:inline distT="0" distB="0" distL="0" distR="0" wp14:anchorId="5F1EB335" wp14:editId="37CDCFFF">
                  <wp:extent cx="2520000" cy="1304925"/>
                  <wp:effectExtent l="0" t="0" r="0" b="0"/>
                  <wp:docPr id="247" name="image11.png" descr="Phosphate_JULY_TD"/>
                  <wp:cNvGraphicFramePr/>
                  <a:graphic xmlns:a="http://schemas.openxmlformats.org/drawingml/2006/main">
                    <a:graphicData uri="http://schemas.openxmlformats.org/drawingml/2006/picture">
                      <pic:pic xmlns:pic="http://schemas.openxmlformats.org/drawingml/2006/picture">
                        <pic:nvPicPr>
                          <pic:cNvPr id="0" name="image11.png" descr="Phosphate_JULY_TD"/>
                          <pic:cNvPicPr preferRelativeResize="0"/>
                        </pic:nvPicPr>
                        <pic:blipFill>
                          <a:blip r:embed="rId28"/>
                          <a:srcRect/>
                          <a:stretch>
                            <a:fillRect/>
                          </a:stretch>
                        </pic:blipFill>
                        <pic:spPr>
                          <a:xfrm>
                            <a:off x="0" y="0"/>
                            <a:ext cx="2520000" cy="1304925"/>
                          </a:xfrm>
                          <a:prstGeom prst="rect">
                            <a:avLst/>
                          </a:prstGeom>
                          <a:ln/>
                        </pic:spPr>
                      </pic:pic>
                    </a:graphicData>
                  </a:graphic>
                </wp:inline>
              </w:drawing>
            </w:r>
          </w:p>
        </w:tc>
      </w:tr>
      <w:tr w:rsidR="00E626F5" w:rsidRPr="00EA07D7" w:rsidTr="0046201E">
        <w:trPr>
          <w:jc w:val="center"/>
        </w:trPr>
        <w:tc>
          <w:tcPr>
            <w:tcW w:w="4703" w:type="dxa"/>
          </w:tcPr>
          <w:p w:rsidR="00E626F5" w:rsidRPr="00EA07D7" w:rsidRDefault="0046201E"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81280" behindDoc="0" locked="0" layoutInCell="1" hidden="0" allowOverlap="1" wp14:anchorId="3B754D53" wp14:editId="1E244C23">
                      <wp:simplePos x="0" y="0"/>
                      <wp:positionH relativeFrom="column">
                        <wp:posOffset>2877185</wp:posOffset>
                      </wp:positionH>
                      <wp:positionV relativeFrom="paragraph">
                        <wp:posOffset>-1270</wp:posOffset>
                      </wp:positionV>
                      <wp:extent cx="422275" cy="301625"/>
                      <wp:effectExtent l="0" t="0" r="0" b="317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(h)</w:t>
                                  </w:r>
                                </w:p>
                              </w:txbxContent>
                            </wps:txbx>
                            <wps:bodyPr rot="0" vert="horz" wrap="square" lIns="91440" tIns="45720" rIns="91440" bIns="45720" anchor="t" anchorCtr="0">
                              <a:noAutofit/>
                            </wps:bodyPr>
                          </wps:wsp>
                        </a:graphicData>
                      </a:graphic>
                    </wp:anchor>
                  </w:drawing>
                </mc:Choice>
                <mc:Fallback>
                  <w:pict>
                    <v:shape id="Text Box 220" o:spid="_x0000_s1040" type="#_x0000_t202" style="position:absolute;left:0;text-align:left;margin-left:226.55pt;margin-top:-.1pt;width:33.25pt;height:23.7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(h)</w:t>
                            </w:r>
                          </w:p>
                        </w:txbxContent>
                      </v:textbox>
                    </v:shape>
                  </w:pict>
                </mc:Fallback>
              </mc:AlternateContent>
            </w:r>
            <w:r w:rsidR="00E626F5" w:rsidRPr="00EA07D7">
              <w:rPr>
                <w:noProof/>
                <w:lang w:val="en-MY" w:eastAsia="en-MY" w:bidi="ar-SA"/>
              </w:rPr>
              <mc:AlternateContent>
                <mc:Choice Requires="wps">
                  <w:drawing>
                    <wp:anchor distT="0" distB="0" distL="114300" distR="114300" simplePos="0" relativeHeight="251682304" behindDoc="0" locked="0" layoutInCell="1" hidden="0" allowOverlap="1" wp14:anchorId="2F1996E9" wp14:editId="03BF3321">
                      <wp:simplePos x="0" y="0"/>
                      <wp:positionH relativeFrom="column">
                        <wp:posOffset>-124147</wp:posOffset>
                      </wp:positionH>
                      <wp:positionV relativeFrom="paragraph">
                        <wp:posOffset>-7791</wp:posOffset>
                      </wp:positionV>
                      <wp:extent cx="422695" cy="301625"/>
                      <wp:effectExtent l="0" t="0" r="0" b="317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(g)</w:t>
                                  </w:r>
                                </w:p>
                              </w:txbxContent>
                            </wps:txbx>
                            <wps:bodyPr rot="0" vert="horz" wrap="square" lIns="91440" tIns="45720" rIns="91440" bIns="45720" anchor="t" anchorCtr="0">
                              <a:noAutofit/>
                            </wps:bodyPr>
                          </wps:wsp>
                        </a:graphicData>
                      </a:graphic>
                    </wp:anchor>
                  </w:drawing>
                </mc:Choice>
                <mc:Fallback>
                  <w:pict>
                    <v:shape id="Text Box 226" o:spid="_x0000_s1041" type="#_x0000_t202" style="position:absolute;left:0;text-align:left;margin-left:-9.8pt;margin-top:-.6pt;width:33.3pt;height:23.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(g)</w:t>
                            </w:r>
                          </w:p>
                        </w:txbxContent>
                      </v:textbox>
                    </v:shape>
                  </w:pict>
                </mc:Fallback>
              </mc:AlternateContent>
            </w:r>
            <w:r w:rsidR="00E626F5" w:rsidRPr="00EA07D7">
              <w:rPr>
                <w:rFonts w:ascii="Times New Roman" w:hAnsi="Times New Roman"/>
                <w:noProof/>
                <w:sz w:val="20"/>
                <w:szCs w:val="20"/>
                <w:lang w:val="en-MY" w:eastAsia="en-MY" w:bidi="ar-SA"/>
              </w:rPr>
              <w:drawing>
                <wp:inline distT="0" distB="0" distL="0" distR="0" wp14:anchorId="5919323B" wp14:editId="36A8F8F2">
                  <wp:extent cx="2520000" cy="1228725"/>
                  <wp:effectExtent l="0" t="0" r="0" b="0"/>
                  <wp:docPr id="248" name="image13.png" descr="Untitled"/>
                  <wp:cNvGraphicFramePr/>
                  <a:graphic xmlns:a="http://schemas.openxmlformats.org/drawingml/2006/main">
                    <a:graphicData uri="http://schemas.openxmlformats.org/drawingml/2006/picture">
                      <pic:pic xmlns:pic="http://schemas.openxmlformats.org/drawingml/2006/picture">
                        <pic:nvPicPr>
                          <pic:cNvPr id="0" name="image13.png" descr="Untitled"/>
                          <pic:cNvPicPr preferRelativeResize="0"/>
                        </pic:nvPicPr>
                        <pic:blipFill>
                          <a:blip r:embed="rId29"/>
                          <a:srcRect/>
                          <a:stretch>
                            <a:fillRect/>
                          </a:stretch>
                        </pic:blipFill>
                        <pic:spPr>
                          <a:xfrm>
                            <a:off x="0" y="0"/>
                            <a:ext cx="2520000" cy="1228725"/>
                          </a:xfrm>
                          <a:prstGeom prst="rect">
                            <a:avLst/>
                          </a:prstGeom>
                          <a:ln/>
                        </pic:spPr>
                      </pic:pic>
                    </a:graphicData>
                  </a:graphic>
                </wp:inline>
              </w:drawing>
            </w:r>
          </w:p>
        </w:tc>
        <w:tc>
          <w:tcPr>
            <w:tcW w:w="4394" w:type="dxa"/>
          </w:tcPr>
          <w:p w:rsidR="00E626F5" w:rsidRPr="00EA07D7" w:rsidRDefault="00E626F5" w:rsidP="00587C77">
            <w:pPr>
              <w:jc w:val="both"/>
              <w:rPr>
                <w:rFonts w:ascii="Times New Roman" w:hAnsi="Times New Roman"/>
                <w:sz w:val="20"/>
                <w:szCs w:val="20"/>
              </w:rPr>
            </w:pPr>
            <w:r w:rsidRPr="00EA07D7">
              <w:rPr>
                <w:rFonts w:ascii="Times New Roman" w:hAnsi="Times New Roman"/>
                <w:noProof/>
                <w:sz w:val="20"/>
                <w:szCs w:val="20"/>
                <w:lang w:val="en-MY" w:eastAsia="en-MY" w:bidi="ar-SA"/>
              </w:rPr>
              <w:drawing>
                <wp:inline distT="0" distB="0" distL="0" distR="0" wp14:anchorId="608341E7" wp14:editId="2684168F">
                  <wp:extent cx="2520000" cy="1285875"/>
                  <wp:effectExtent l="0" t="0" r="0" b="0"/>
                  <wp:docPr id="249" name="image14.png" descr="Silicate_JULY_TD"/>
                  <wp:cNvGraphicFramePr/>
                  <a:graphic xmlns:a="http://schemas.openxmlformats.org/drawingml/2006/main">
                    <a:graphicData uri="http://schemas.openxmlformats.org/drawingml/2006/picture">
                      <pic:pic xmlns:pic="http://schemas.openxmlformats.org/drawingml/2006/picture">
                        <pic:nvPicPr>
                          <pic:cNvPr id="0" name="image14.png" descr="Silicate_JULY_TD"/>
                          <pic:cNvPicPr preferRelativeResize="0"/>
                        </pic:nvPicPr>
                        <pic:blipFill>
                          <a:blip r:embed="rId30"/>
                          <a:srcRect/>
                          <a:stretch>
                            <a:fillRect/>
                          </a:stretch>
                        </pic:blipFill>
                        <pic:spPr>
                          <a:xfrm>
                            <a:off x="0" y="0"/>
                            <a:ext cx="2520000" cy="1285875"/>
                          </a:xfrm>
                          <a:prstGeom prst="rect">
                            <a:avLst/>
                          </a:prstGeom>
                          <a:ln/>
                        </pic:spPr>
                      </pic:pic>
                    </a:graphicData>
                  </a:graphic>
                </wp:inline>
              </w:drawing>
            </w:r>
          </w:p>
        </w:tc>
      </w:tr>
      <w:tr w:rsidR="00E626F5" w:rsidRPr="00EA07D7" w:rsidTr="0046201E">
        <w:trPr>
          <w:jc w:val="center"/>
        </w:trPr>
        <w:tc>
          <w:tcPr>
            <w:tcW w:w="4703" w:type="dxa"/>
          </w:tcPr>
          <w:p w:rsidR="00E626F5" w:rsidRPr="00EA07D7" w:rsidRDefault="0046201E" w:rsidP="00587C77">
            <w:pPr>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83328" behindDoc="0" locked="0" layoutInCell="1" hidden="0" allowOverlap="1" wp14:anchorId="0434001F" wp14:editId="59F559EF">
                      <wp:simplePos x="0" y="0"/>
                      <wp:positionH relativeFrom="column">
                        <wp:posOffset>-128270</wp:posOffset>
                      </wp:positionH>
                      <wp:positionV relativeFrom="paragraph">
                        <wp:posOffset>1905</wp:posOffset>
                      </wp:positionV>
                      <wp:extent cx="422275" cy="301625"/>
                      <wp:effectExtent l="0" t="0" r="0" b="317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(i)</w:t>
                                  </w:r>
                                </w:p>
                              </w:txbxContent>
                            </wps:txbx>
                            <wps:bodyPr rot="0" vert="horz" wrap="square" lIns="91440" tIns="45720" rIns="91440" bIns="45720" anchor="t" anchorCtr="0">
                              <a:noAutofit/>
                            </wps:bodyPr>
                          </wps:wsp>
                        </a:graphicData>
                      </a:graphic>
                    </wp:anchor>
                  </w:drawing>
                </mc:Choice>
                <mc:Fallback>
                  <w:pict>
                    <v:shape id="Text Box 231" o:spid="_x0000_s1042" type="#_x0000_t202" style="position:absolute;left:0;text-align:left;margin-left:-10.1pt;margin-top:.15pt;width:33.25pt;height:23.7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(i)</w:t>
                            </w:r>
                          </w:p>
                        </w:txbxContent>
                      </v:textbox>
                    </v:shape>
                  </w:pict>
                </mc:Fallback>
              </mc:AlternateContent>
            </w:r>
            <w:r w:rsidRPr="00EA07D7">
              <w:rPr>
                <w:noProof/>
                <w:lang w:val="en-MY" w:eastAsia="en-MY" w:bidi="ar-SA"/>
              </w:rPr>
              <mc:AlternateContent>
                <mc:Choice Requires="wps">
                  <w:drawing>
                    <wp:anchor distT="0" distB="0" distL="114300" distR="114300" simplePos="0" relativeHeight="251684352" behindDoc="0" locked="0" layoutInCell="1" hidden="0" allowOverlap="1" wp14:anchorId="6C58FC7B" wp14:editId="2CDAECCD">
                      <wp:simplePos x="0" y="0"/>
                      <wp:positionH relativeFrom="column">
                        <wp:posOffset>2870835</wp:posOffset>
                      </wp:positionH>
                      <wp:positionV relativeFrom="paragraph">
                        <wp:posOffset>-1270</wp:posOffset>
                      </wp:positionV>
                      <wp:extent cx="422275" cy="301625"/>
                      <wp:effectExtent l="0" t="0" r="0" b="317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0F5F27" w:rsidRDefault="00E626F5" w:rsidP="00E626F5">
                                  <w:pPr>
                                    <w:rPr>
                                      <w:rFonts w:ascii="Times New Roman" w:hAnsi="Times New Roman"/>
                                      <w:b/>
                                      <w:sz w:val="20"/>
                                    </w:rPr>
                                  </w:pPr>
                                  <w:r w:rsidRPr="000F5F27">
                                    <w:rPr>
                                      <w:rFonts w:ascii="Times New Roman" w:hAnsi="Times New Roman"/>
                                      <w:b/>
                                      <w:sz w:val="20"/>
                                    </w:rPr>
                                    <w:t>(j)</w:t>
                                  </w:r>
                                </w:p>
                              </w:txbxContent>
                            </wps:txbx>
                            <wps:bodyPr rot="0" vert="horz" wrap="square" lIns="91440" tIns="45720" rIns="91440" bIns="45720" anchor="t" anchorCtr="0">
                              <a:noAutofit/>
                            </wps:bodyPr>
                          </wps:wsp>
                        </a:graphicData>
                      </a:graphic>
                    </wp:anchor>
                  </w:drawing>
                </mc:Choice>
                <mc:Fallback>
                  <w:pict>
                    <v:shape id="Text Box 239" o:spid="_x0000_s1043" type="#_x0000_t202" style="position:absolute;left:0;text-align:left;margin-left:226.05pt;margin-top:-.1pt;width:33.25pt;height:23.7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" filled="f" stroked="f">
                      <v:textbox>
                        <w:txbxContent>
                          <w:p w:rsidR="00E626F5" w:rsidRPr="000F5F27" w:rsidRDefault="00E626F5" w:rsidP="00E626F5">
                            <w:pPr>
                              <w:rPr>
                                <w:rFonts w:ascii="Times New Roman" w:hAnsi="Times New Roman"/>
                                <w:b/>
                                <w:sz w:val="20"/>
                              </w:rPr>
                            </w:pPr>
                            <w:r w:rsidRPr="000F5F27">
                              <w:rPr>
                                <w:rFonts w:ascii="Times New Roman" w:hAnsi="Times New Roman"/>
                                <w:b/>
                                <w:sz w:val="20"/>
                              </w:rPr>
                              <w:t>(j)</w:t>
                            </w:r>
                          </w:p>
                        </w:txbxContent>
                      </v:textbox>
                    </v:shape>
                  </w:pict>
                </mc:Fallback>
              </mc:AlternateContent>
            </w:r>
            <w:r w:rsidR="00E626F5" w:rsidRPr="00EA07D7">
              <w:rPr>
                <w:rFonts w:ascii="Times New Roman" w:hAnsi="Times New Roman"/>
                <w:noProof/>
                <w:sz w:val="20"/>
                <w:szCs w:val="20"/>
                <w:lang w:val="en-MY" w:eastAsia="en-MY" w:bidi="ar-SA"/>
              </w:rPr>
              <w:drawing>
                <wp:inline distT="0" distB="0" distL="0" distR="0" wp14:anchorId="54FAAB96" wp14:editId="2F958398">
                  <wp:extent cx="2520000" cy="1143000"/>
                  <wp:effectExtent l="0" t="0" r="0" b="0"/>
                  <wp:docPr id="250" name="image15.png" descr="DOC_A1"/>
                  <wp:cNvGraphicFramePr/>
                  <a:graphic xmlns:a="http://schemas.openxmlformats.org/drawingml/2006/main">
                    <a:graphicData uri="http://schemas.openxmlformats.org/drawingml/2006/picture">
                      <pic:pic xmlns:pic="http://schemas.openxmlformats.org/drawingml/2006/picture">
                        <pic:nvPicPr>
                          <pic:cNvPr id="0" name="image15.png" descr="DOC_A1"/>
                          <pic:cNvPicPr preferRelativeResize="0"/>
                        </pic:nvPicPr>
                        <pic:blipFill>
                          <a:blip r:embed="rId31"/>
                          <a:srcRect/>
                          <a:stretch>
                            <a:fillRect/>
                          </a:stretch>
                        </pic:blipFill>
                        <pic:spPr>
                          <a:xfrm>
                            <a:off x="0" y="0"/>
                            <a:ext cx="2520000" cy="1143000"/>
                          </a:xfrm>
                          <a:prstGeom prst="rect">
                            <a:avLst/>
                          </a:prstGeom>
                          <a:ln/>
                        </pic:spPr>
                      </pic:pic>
                    </a:graphicData>
                  </a:graphic>
                </wp:inline>
              </w:drawing>
            </w:r>
          </w:p>
        </w:tc>
        <w:tc>
          <w:tcPr>
            <w:tcW w:w="4394" w:type="dxa"/>
          </w:tcPr>
          <w:p w:rsidR="00E626F5" w:rsidRPr="00EA07D7" w:rsidRDefault="00E626F5" w:rsidP="00587C77">
            <w:pPr>
              <w:jc w:val="both"/>
              <w:rPr>
                <w:rFonts w:ascii="Times New Roman" w:hAnsi="Times New Roman"/>
                <w:sz w:val="20"/>
                <w:szCs w:val="20"/>
              </w:rPr>
            </w:pPr>
            <w:r w:rsidRPr="00EA07D7">
              <w:rPr>
                <w:rFonts w:ascii="Times New Roman" w:hAnsi="Times New Roman"/>
                <w:noProof/>
                <w:sz w:val="20"/>
                <w:szCs w:val="20"/>
                <w:lang w:val="en-MY" w:eastAsia="en-MY" w:bidi="ar-SA"/>
              </w:rPr>
              <w:drawing>
                <wp:inline distT="0" distB="0" distL="0" distR="0" wp14:anchorId="7BA2C2CB" wp14:editId="2E17EAF8">
                  <wp:extent cx="2520000" cy="1143000"/>
                  <wp:effectExtent l="0" t="0" r="0" b="0"/>
                  <wp:docPr id="251" name="image16.png" descr="DOC_JULY_TD"/>
                  <wp:cNvGraphicFramePr/>
                  <a:graphic xmlns:a="http://schemas.openxmlformats.org/drawingml/2006/main">
                    <a:graphicData uri="http://schemas.openxmlformats.org/drawingml/2006/picture">
                      <pic:pic xmlns:pic="http://schemas.openxmlformats.org/drawingml/2006/picture">
                        <pic:nvPicPr>
                          <pic:cNvPr id="0" name="image16.png" descr="DOC_JULY_TD"/>
                          <pic:cNvPicPr preferRelativeResize="0"/>
                        </pic:nvPicPr>
                        <pic:blipFill>
                          <a:blip r:embed="rId32"/>
                          <a:srcRect/>
                          <a:stretch>
                            <a:fillRect/>
                          </a:stretch>
                        </pic:blipFill>
                        <pic:spPr>
                          <a:xfrm>
                            <a:off x="0" y="0"/>
                            <a:ext cx="2520000" cy="1143000"/>
                          </a:xfrm>
                          <a:prstGeom prst="rect">
                            <a:avLst/>
                          </a:prstGeom>
                          <a:ln/>
                        </pic:spPr>
                      </pic:pic>
                    </a:graphicData>
                  </a:graphic>
                </wp:inline>
              </w:drawing>
            </w:r>
          </w:p>
        </w:tc>
      </w:tr>
      <w:tr w:rsidR="00E626F5" w:rsidRPr="00EA07D7" w:rsidTr="0046201E">
        <w:trPr>
          <w:jc w:val="center"/>
        </w:trPr>
        <w:tc>
          <w:tcPr>
            <w:tcW w:w="4703" w:type="dxa"/>
            <w:tcBorders>
              <w:bottom w:val="single" w:sz="4" w:space="0" w:color="000000"/>
            </w:tcBorders>
          </w:tcPr>
          <w:p w:rsidR="00E626F5" w:rsidRPr="00EA07D7" w:rsidRDefault="0046201E" w:rsidP="00587C77">
            <w:pPr>
              <w:jc w:val="both"/>
              <w:rPr>
                <w:rFonts w:ascii="Times New Roman" w:hAnsi="Times New Roman"/>
                <w:sz w:val="20"/>
                <w:szCs w:val="20"/>
              </w:rPr>
            </w:pPr>
            <w:r w:rsidRPr="00EA07D7">
              <w:rPr>
                <w:noProof/>
                <w:lang w:val="en-MY" w:eastAsia="en-MY" w:bidi="ar-SA"/>
              </w:rPr>
              <w:lastRenderedPageBreak/>
              <mc:AlternateContent>
                <mc:Choice Requires="wps">
                  <w:drawing>
                    <wp:anchor distT="0" distB="0" distL="114300" distR="114300" simplePos="0" relativeHeight="251686400" behindDoc="0" locked="0" layoutInCell="1" hidden="0" allowOverlap="1" wp14:anchorId="53E28EB4" wp14:editId="3589682E">
                      <wp:simplePos x="0" y="0"/>
                      <wp:positionH relativeFrom="column">
                        <wp:posOffset>2870835</wp:posOffset>
                      </wp:positionH>
                      <wp:positionV relativeFrom="paragraph">
                        <wp:posOffset>6985</wp:posOffset>
                      </wp:positionV>
                      <wp:extent cx="422275" cy="301625"/>
                      <wp:effectExtent l="0" t="0" r="0" b="317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0F5F27" w:rsidRDefault="00E626F5" w:rsidP="00E626F5">
                                  <w:pPr>
                                    <w:rPr>
                                      <w:rFonts w:ascii="Times New Roman" w:hAnsi="Times New Roman"/>
                                      <w:b/>
                                      <w:sz w:val="20"/>
                                    </w:rPr>
                                  </w:pPr>
                                  <w:r w:rsidRPr="000F5F27">
                                    <w:rPr>
                                      <w:rFonts w:ascii="Times New Roman" w:hAnsi="Times New Roman"/>
                                      <w:b/>
                                      <w:sz w:val="20"/>
                                    </w:rPr>
                                    <w:t>(l)</w:t>
                                  </w:r>
                                </w:p>
                              </w:txbxContent>
                            </wps:txbx>
                            <wps:bodyPr rot="0" vert="horz" wrap="square" lIns="91440" tIns="45720" rIns="91440" bIns="45720" anchor="t" anchorCtr="0">
                              <a:noAutofit/>
                            </wps:bodyPr>
                          </wps:wsp>
                        </a:graphicData>
                      </a:graphic>
                    </wp:anchor>
                  </w:drawing>
                </mc:Choice>
                <mc:Fallback>
                  <w:pict>
                    <v:shape id="Text Box 221" o:spid="_x0000_s1044" type="#_x0000_t202" style="position:absolute;left:0;text-align:left;margin-left:226.05pt;margin-top:.55pt;width:33.25pt;height:23.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" filled="f" stroked="f">
                      <v:textbox>
                        <w:txbxContent>
                          <w:p w:rsidR="00E626F5" w:rsidRPr="000F5F27" w:rsidRDefault="00E626F5" w:rsidP="00E626F5">
                            <w:pPr>
                              <w:rPr>
                                <w:rFonts w:ascii="Times New Roman" w:hAnsi="Times New Roman"/>
                                <w:b/>
                                <w:sz w:val="20"/>
                              </w:rPr>
                            </w:pPr>
                            <w:r w:rsidRPr="000F5F27">
                              <w:rPr>
                                <w:rFonts w:ascii="Times New Roman" w:hAnsi="Times New Roman"/>
                                <w:b/>
                                <w:sz w:val="20"/>
                              </w:rPr>
                              <w:t>(l)</w:t>
                            </w:r>
                          </w:p>
                        </w:txbxContent>
                      </v:textbox>
                    </v:shape>
                  </w:pict>
                </mc:Fallback>
              </mc:AlternateContent>
            </w:r>
            <w:r w:rsidRPr="00EA07D7">
              <w:rPr>
                <w:noProof/>
                <w:lang w:val="en-MY" w:eastAsia="en-MY" w:bidi="ar-SA"/>
              </w:rPr>
              <mc:AlternateContent>
                <mc:Choice Requires="wps">
                  <w:drawing>
                    <wp:anchor distT="0" distB="0" distL="114300" distR="114300" simplePos="0" relativeHeight="251685376" behindDoc="0" locked="0" layoutInCell="1" hidden="0" allowOverlap="1" wp14:anchorId="2A52B2E6" wp14:editId="41A5F579">
                      <wp:simplePos x="0" y="0"/>
                      <wp:positionH relativeFrom="column">
                        <wp:posOffset>-137795</wp:posOffset>
                      </wp:positionH>
                      <wp:positionV relativeFrom="paragraph">
                        <wp:posOffset>6985</wp:posOffset>
                      </wp:positionV>
                      <wp:extent cx="422275" cy="301625"/>
                      <wp:effectExtent l="0" t="0" r="0" b="317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01625"/>
                              </a:xfrm>
                              <a:prstGeom prst="rect">
                                <a:avLst/>
                              </a:prstGeom>
                              <a:noFill/>
                              <a:ln w="9525">
                                <a:noFill/>
                                <a:miter lim="800000"/>
                                <a:headEnd/>
                                <a:tailEnd/>
                              </a:ln>
                            </wps:spPr>
                            <wps:txbx>
                              <w:txbxContent>
                                <w:p w:rsidR="00E626F5" w:rsidRPr="000F5F27" w:rsidRDefault="00E626F5" w:rsidP="00E626F5">
                                  <w:pPr>
                                    <w:rPr>
                                      <w:rFonts w:ascii="Times New Roman" w:hAnsi="Times New Roman"/>
                                      <w:b/>
                                      <w:sz w:val="20"/>
                                    </w:rPr>
                                  </w:pPr>
                                  <w:r w:rsidRPr="000F5F27">
                                    <w:rPr>
                                      <w:rFonts w:ascii="Times New Roman" w:hAnsi="Times New Roman"/>
                                      <w:b/>
                                      <w:sz w:val="20"/>
                                    </w:rPr>
                                    <w:t>(k)</w:t>
                                  </w:r>
                                </w:p>
                              </w:txbxContent>
                            </wps:txbx>
                            <wps:bodyPr rot="0" vert="horz" wrap="square" lIns="91440" tIns="45720" rIns="91440" bIns="45720" anchor="t" anchorCtr="0">
                              <a:noAutofit/>
                            </wps:bodyPr>
                          </wps:wsp>
                        </a:graphicData>
                      </a:graphic>
                    </wp:anchor>
                  </w:drawing>
                </mc:Choice>
                <mc:Fallback>
                  <w:pict>
                    <v:shape id="Text Box 228" o:spid="_x0000_s1045" type="#_x0000_t202" style="position:absolute;left:0;text-align:left;margin-left:-10.85pt;margin-top:.55pt;width:33.25pt;height:23.7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" filled="f" stroked="f">
                      <v:textbox>
                        <w:txbxContent>
                          <w:p w:rsidR="00E626F5" w:rsidRPr="000F5F27" w:rsidRDefault="00E626F5" w:rsidP="00E626F5">
                            <w:pPr>
                              <w:rPr>
                                <w:rFonts w:ascii="Times New Roman" w:hAnsi="Times New Roman"/>
                                <w:b/>
                                <w:sz w:val="20"/>
                              </w:rPr>
                            </w:pPr>
                            <w:r w:rsidRPr="000F5F27">
                              <w:rPr>
                                <w:rFonts w:ascii="Times New Roman" w:hAnsi="Times New Roman"/>
                                <w:b/>
                                <w:sz w:val="20"/>
                              </w:rPr>
                              <w:t>(k)</w:t>
                            </w:r>
                          </w:p>
                        </w:txbxContent>
                      </v:textbox>
                    </v:shape>
                  </w:pict>
                </mc:Fallback>
              </mc:AlternateContent>
            </w:r>
            <w:r w:rsidR="00E626F5" w:rsidRPr="00EA07D7">
              <w:rPr>
                <w:rFonts w:ascii="Times New Roman" w:hAnsi="Times New Roman"/>
                <w:noProof/>
                <w:sz w:val="20"/>
                <w:szCs w:val="20"/>
                <w:lang w:val="en-MY" w:eastAsia="en-MY" w:bidi="ar-SA"/>
              </w:rPr>
              <w:drawing>
                <wp:inline distT="0" distB="0" distL="0" distR="0" wp14:anchorId="479372B2" wp14:editId="7EA3E602">
                  <wp:extent cx="2520000" cy="1238250"/>
                  <wp:effectExtent l="0" t="0" r="0" b="0"/>
                  <wp:docPr id="244" name="image3.png" descr="CHL-A_A1"/>
                  <wp:cNvGraphicFramePr/>
                  <a:graphic xmlns:a="http://schemas.openxmlformats.org/drawingml/2006/main">
                    <a:graphicData uri="http://schemas.openxmlformats.org/drawingml/2006/picture">
                      <pic:pic xmlns:pic="http://schemas.openxmlformats.org/drawingml/2006/picture">
                        <pic:nvPicPr>
                          <pic:cNvPr id="0" name="image3.png" descr="CHL-A_A1"/>
                          <pic:cNvPicPr preferRelativeResize="0"/>
                        </pic:nvPicPr>
                        <pic:blipFill>
                          <a:blip r:embed="rId33"/>
                          <a:srcRect/>
                          <a:stretch>
                            <a:fillRect/>
                          </a:stretch>
                        </pic:blipFill>
                        <pic:spPr>
                          <a:xfrm>
                            <a:off x="0" y="0"/>
                            <a:ext cx="2520000" cy="1238250"/>
                          </a:xfrm>
                          <a:prstGeom prst="rect">
                            <a:avLst/>
                          </a:prstGeom>
                          <a:ln/>
                        </pic:spPr>
                      </pic:pic>
                    </a:graphicData>
                  </a:graphic>
                </wp:inline>
              </w:drawing>
            </w:r>
          </w:p>
        </w:tc>
        <w:tc>
          <w:tcPr>
            <w:tcW w:w="4394" w:type="dxa"/>
            <w:tcBorders>
              <w:bottom w:val="single" w:sz="4" w:space="0" w:color="000000"/>
            </w:tcBorders>
          </w:tcPr>
          <w:p w:rsidR="00E626F5" w:rsidRPr="00EA07D7" w:rsidRDefault="00E626F5" w:rsidP="00587C77">
            <w:pPr>
              <w:jc w:val="both"/>
              <w:rPr>
                <w:rFonts w:ascii="Times New Roman" w:hAnsi="Times New Roman"/>
                <w:sz w:val="20"/>
                <w:szCs w:val="20"/>
              </w:rPr>
            </w:pPr>
            <w:r w:rsidRPr="00EA07D7">
              <w:rPr>
                <w:rFonts w:ascii="Times New Roman" w:hAnsi="Times New Roman"/>
                <w:noProof/>
                <w:sz w:val="20"/>
                <w:szCs w:val="20"/>
                <w:lang w:val="en-MY" w:eastAsia="en-MY" w:bidi="ar-SA"/>
              </w:rPr>
              <w:drawing>
                <wp:inline distT="0" distB="0" distL="0" distR="0" wp14:anchorId="70BBE8A3" wp14:editId="73D8B677">
                  <wp:extent cx="2520000" cy="1314450"/>
                  <wp:effectExtent l="0" t="0" r="0" b="0"/>
                  <wp:docPr id="245" name="image4.png" descr="chl-a_JULY_TD"/>
                  <wp:cNvGraphicFramePr/>
                  <a:graphic xmlns:a="http://schemas.openxmlformats.org/drawingml/2006/main">
                    <a:graphicData uri="http://schemas.openxmlformats.org/drawingml/2006/picture">
                      <pic:pic xmlns:pic="http://schemas.openxmlformats.org/drawingml/2006/picture">
                        <pic:nvPicPr>
                          <pic:cNvPr id="0" name="image4.png" descr="chl-a_JULY_TD"/>
                          <pic:cNvPicPr preferRelativeResize="0"/>
                        </pic:nvPicPr>
                        <pic:blipFill>
                          <a:blip r:embed="rId34"/>
                          <a:srcRect/>
                          <a:stretch>
                            <a:fillRect/>
                          </a:stretch>
                        </pic:blipFill>
                        <pic:spPr>
                          <a:xfrm>
                            <a:off x="0" y="0"/>
                            <a:ext cx="2520000" cy="1314450"/>
                          </a:xfrm>
                          <a:prstGeom prst="rect">
                            <a:avLst/>
                          </a:prstGeom>
                          <a:ln/>
                        </pic:spPr>
                      </pic:pic>
                    </a:graphicData>
                  </a:graphic>
                </wp:inline>
              </w:drawing>
            </w:r>
          </w:p>
        </w:tc>
      </w:tr>
      <w:tr w:rsidR="00E626F5" w:rsidRPr="00EA07D7" w:rsidTr="0046201E">
        <w:trPr>
          <w:jc w:val="center"/>
        </w:trPr>
        <w:tc>
          <w:tcPr>
            <w:tcW w:w="4703" w:type="dxa"/>
            <w:tcBorders>
              <w:top w:val="single" w:sz="4" w:space="0" w:color="000000"/>
              <w:left w:val="nil"/>
              <w:bottom w:val="nil"/>
              <w:right w:val="nil"/>
            </w:tcBorders>
          </w:tcPr>
          <w:p w:rsidR="00E626F5" w:rsidRPr="00EA07D7" w:rsidRDefault="00E626F5" w:rsidP="0046201E">
            <w:pPr>
              <w:spacing w:after="120" w:line="240" w:lineRule="auto"/>
              <w:jc w:val="center"/>
              <w:rPr>
                <w:rFonts w:ascii="Times New Roman" w:hAnsi="Times New Roman"/>
                <w:b/>
                <w:sz w:val="20"/>
                <w:szCs w:val="20"/>
              </w:rPr>
            </w:pPr>
            <w:r w:rsidRPr="00EA07D7">
              <w:rPr>
                <w:rFonts w:ascii="Times New Roman" w:hAnsi="Times New Roman"/>
                <w:b/>
                <w:sz w:val="20"/>
                <w:szCs w:val="20"/>
              </w:rPr>
              <w:t>Transect A</w:t>
            </w:r>
          </w:p>
        </w:tc>
        <w:tc>
          <w:tcPr>
            <w:tcW w:w="4394" w:type="dxa"/>
            <w:tcBorders>
              <w:top w:val="single" w:sz="4" w:space="0" w:color="000000"/>
              <w:left w:val="nil"/>
              <w:bottom w:val="nil"/>
              <w:right w:val="nil"/>
            </w:tcBorders>
          </w:tcPr>
          <w:p w:rsidR="00E626F5" w:rsidRPr="00EA07D7" w:rsidRDefault="00E626F5" w:rsidP="0046201E">
            <w:pPr>
              <w:spacing w:after="0" w:line="240" w:lineRule="auto"/>
              <w:jc w:val="center"/>
              <w:rPr>
                <w:rFonts w:ascii="Times New Roman" w:hAnsi="Times New Roman"/>
                <w:b/>
                <w:sz w:val="20"/>
                <w:szCs w:val="20"/>
              </w:rPr>
            </w:pPr>
            <w:r w:rsidRPr="00EA07D7">
              <w:rPr>
                <w:rFonts w:ascii="Times New Roman" w:hAnsi="Times New Roman"/>
                <w:b/>
                <w:sz w:val="20"/>
                <w:szCs w:val="20"/>
              </w:rPr>
              <w:t>Transect D</w:t>
            </w:r>
          </w:p>
        </w:tc>
      </w:tr>
    </w:tbl>
    <w:p w:rsidR="00E626F5" w:rsidRDefault="00E626F5" w:rsidP="0046201E">
      <w:pPr>
        <w:spacing w:after="0" w:line="240" w:lineRule="auto"/>
        <w:ind w:left="850" w:hanging="850"/>
        <w:jc w:val="both"/>
        <w:rPr>
          <w:rFonts w:ascii="Times New Roman" w:hAnsi="Times New Roman"/>
          <w:sz w:val="20"/>
          <w:szCs w:val="20"/>
        </w:rPr>
      </w:pPr>
      <w:r w:rsidRPr="00EA07D7">
        <w:rPr>
          <w:noProof/>
          <w:lang w:val="en-MY" w:eastAsia="en-MY" w:bidi="ar-SA"/>
        </w:rPr>
        <mc:AlternateContent>
          <mc:Choice Requires="wps">
            <w:drawing>
              <wp:anchor distT="0" distB="0" distL="114300" distR="114300" simplePos="0" relativeHeight="251676160" behindDoc="0" locked="0" layoutInCell="1" hidden="0" allowOverlap="1" wp14:anchorId="5BDCD9CE" wp14:editId="429CA74D">
                <wp:simplePos x="0" y="0"/>
                <wp:positionH relativeFrom="column">
                  <wp:posOffset>-79546</wp:posOffset>
                </wp:positionH>
                <wp:positionV relativeFrom="paragraph">
                  <wp:posOffset>-7918460</wp:posOffset>
                </wp:positionV>
                <wp:extent cx="422695" cy="301625"/>
                <wp:effectExtent l="0" t="0" r="0" b="317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(a)</w:t>
                            </w:r>
                          </w:p>
                        </w:txbxContent>
                      </wps:txbx>
                      <wps:bodyPr rot="0" vert="horz" wrap="square" lIns="91440" tIns="45720" rIns="91440" bIns="45720" anchor="t" anchorCtr="0">
                        <a:noAutofit/>
                      </wps:bodyPr>
                    </wps:wsp>
                  </a:graphicData>
                </a:graphic>
              </wp:anchor>
            </w:drawing>
          </mc:Choice>
          <mc:Fallback>
            <w:pict>
              <v:shape id="Text Box 233" o:spid="_x0000_s1046" type="#_x0000_t202" style="position:absolute;left:0;text-align:left;margin-left:-6.25pt;margin-top:-623.5pt;width:33.3pt;height:23.7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(a)</w:t>
                      </w:r>
                    </w:p>
                  </w:txbxContent>
                </v:textbox>
              </v:shape>
            </w:pict>
          </mc:Fallback>
        </mc:AlternateContent>
      </w:r>
      <w:r w:rsidRPr="00EA07D7">
        <w:rPr>
          <w:noProof/>
          <w:lang w:val="en-MY" w:eastAsia="en-MY" w:bidi="ar-SA"/>
        </w:rPr>
        <mc:AlternateContent>
          <mc:Choice Requires="wps">
            <w:drawing>
              <wp:anchor distT="0" distB="0" distL="114300" distR="114300" simplePos="0" relativeHeight="251687424" behindDoc="0" locked="0" layoutInCell="1" hidden="0" allowOverlap="1" wp14:anchorId="0ECB0B4B" wp14:editId="1E7CF951">
                <wp:simplePos x="0" y="0"/>
                <wp:positionH relativeFrom="column">
                  <wp:posOffset>2906167</wp:posOffset>
                </wp:positionH>
                <wp:positionV relativeFrom="paragraph">
                  <wp:posOffset>-7908868</wp:posOffset>
                </wp:positionV>
                <wp:extent cx="422695" cy="301625"/>
                <wp:effectExtent l="0" t="0" r="0" b="317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95" cy="301625"/>
                        </a:xfrm>
                        <a:prstGeom prst="rect">
                          <a:avLst/>
                        </a:prstGeom>
                        <a:noFill/>
                        <a:ln w="9525">
                          <a:noFill/>
                          <a:miter lim="800000"/>
                          <a:headEnd/>
                          <a:tailEnd/>
                        </a:ln>
                      </wps:spPr>
                      <wps:txbx>
                        <w:txbxContent>
                          <w:p w:rsidR="00E626F5" w:rsidRPr="00CD2E40" w:rsidRDefault="00E626F5" w:rsidP="00E626F5">
                            <w:pPr>
                              <w:rPr>
                                <w:rFonts w:ascii="Times New Roman" w:hAnsi="Times New Roman"/>
                                <w:b/>
                                <w:sz w:val="20"/>
                              </w:rPr>
                            </w:pPr>
                            <w:r w:rsidRPr="00CD2E40">
                              <w:rPr>
                                <w:rFonts w:ascii="Times New Roman" w:hAnsi="Times New Roman"/>
                                <w:b/>
                                <w:sz w:val="20"/>
                              </w:rPr>
                              <w:t>(b)</w:t>
                            </w:r>
                          </w:p>
                        </w:txbxContent>
                      </wps:txbx>
                      <wps:bodyPr rot="0" vert="horz" wrap="square" lIns="91440" tIns="45720" rIns="91440" bIns="45720" anchor="t" anchorCtr="0">
                        <a:noAutofit/>
                      </wps:bodyPr>
                    </wps:wsp>
                  </a:graphicData>
                </a:graphic>
              </wp:anchor>
            </w:drawing>
          </mc:Choice>
          <mc:Fallback>
            <w:pict>
              <v:shape id="Text Box 243" o:spid="_x0000_s1047" type="#_x0000_t202" style="position:absolute;left:0;text-align:left;margin-left:228.85pt;margin-top:-622.75pt;width:33.3pt;height:23.7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" filled="f" stroked="f">
                <v:textbox>
                  <w:txbxContent>
                    <w:p w:rsidR="00E626F5" w:rsidRPr="00CD2E40" w:rsidRDefault="00E626F5" w:rsidP="00E626F5">
                      <w:pPr>
                        <w:rPr>
                          <w:rFonts w:ascii="Times New Roman" w:hAnsi="Times New Roman"/>
                          <w:b/>
                          <w:sz w:val="20"/>
                        </w:rPr>
                      </w:pPr>
                      <w:r w:rsidRPr="00CD2E40">
                        <w:rPr>
                          <w:rFonts w:ascii="Times New Roman" w:hAnsi="Times New Roman"/>
                          <w:b/>
                          <w:sz w:val="20"/>
                        </w:rPr>
                        <w:t>(b)</w:t>
                      </w:r>
                    </w:p>
                  </w:txbxContent>
                </v:textbox>
              </v:shape>
            </w:pict>
          </mc:Fallback>
        </mc:AlternateContent>
      </w:r>
      <w:r w:rsidRPr="00EA07D7">
        <w:rPr>
          <w:rFonts w:ascii="Times New Roman" w:hAnsi="Times New Roman"/>
          <w:sz w:val="20"/>
          <w:szCs w:val="20"/>
        </w:rPr>
        <w:t xml:space="preserve">Figure 5.  Cross-sectional for transect A; (a) temperature (c) salinity (e) phosphate (g) silicate (i) DOC (k) chl-a and </w:t>
      </w:r>
      <w:r>
        <w:rPr>
          <w:rFonts w:ascii="Times New Roman" w:hAnsi="Times New Roman"/>
          <w:sz w:val="20"/>
          <w:szCs w:val="20"/>
        </w:rPr>
        <w:t>t</w:t>
      </w:r>
      <w:r w:rsidRPr="00EA07D7">
        <w:rPr>
          <w:rFonts w:ascii="Times New Roman" w:hAnsi="Times New Roman"/>
          <w:sz w:val="20"/>
          <w:szCs w:val="20"/>
        </w:rPr>
        <w:t>ransect D; (b) temperature (d) salinity (f) phosphate (h) silicate (j) DOC (l) chl-a</w:t>
      </w:r>
    </w:p>
    <w:p w:rsidR="00E626F5" w:rsidRPr="00EA07D7" w:rsidRDefault="00E626F5" w:rsidP="00F018A9">
      <w:pPr>
        <w:spacing w:after="120" w:line="240" w:lineRule="auto"/>
        <w:jc w:val="both"/>
        <w:rPr>
          <w:rFonts w:ascii="Times New Roman" w:hAnsi="Times New Roman"/>
          <w:sz w:val="20"/>
          <w:szCs w:val="20"/>
        </w:rPr>
      </w:pPr>
    </w:p>
    <w:p w:rsidR="00F018A9" w:rsidRPr="00EA07D7" w:rsidRDefault="00F018A9" w:rsidP="00F018A9">
      <w:pPr>
        <w:spacing w:after="0" w:line="240" w:lineRule="auto"/>
        <w:jc w:val="both"/>
        <w:rPr>
          <w:rFonts w:ascii="Times New Roman" w:hAnsi="Times New Roman"/>
          <w:sz w:val="20"/>
          <w:szCs w:val="20"/>
        </w:rPr>
      </w:pPr>
      <w:r w:rsidRPr="00EA07D7">
        <w:rPr>
          <w:rFonts w:ascii="Times New Roman" w:hAnsi="Times New Roman"/>
          <w:sz w:val="20"/>
          <w:szCs w:val="20"/>
        </w:rPr>
        <w:t>For Transect D, the temperature varied from 24.95 ºC to 29.95 ºC, with an average of 28.85 ± 1.64 ºC, where the isotherm of 29.5 °C was shoaled towards the coast and surface, which typically showed the classical sign of upwelling. Astonishingly, cross-sectional distribution of salinity (33.22 psu - 34.91 psu (mean 33.59 ± 0.51 psu)) showed that the isohaline of 33.4 psu was only shoaled until about 13 m, which was probably due to the sparse spatial coverage or due to the small amount of freshwater discharge from the Dungun River, which was indicated by the freshwater lens floating between surface and 30 m into the region between the coastal area and 104.2°E, which restricted isohaline from reaching the surface. Both features of abnormal temperature and salinity in this transect indicate the existence of coastal upwelling in this study area. With the exception of DOC, nutrient concentrations decreased with distance for all depths, with high concentrations at the coastal and low concentrations at offshore stations. The results are consistent with the observation at the horizontal water distribution. Concentration of phosphate ranged from 0.025 µM to 0.294 µM (mean 0.149 ± 0.07 µM). A maximum was found between 30 m and 40 m depth in the region between 104.2°E and 104.8°E and was not rigidly predictable. In contrast, silicate recorded the highest concentration at 40 m to 50 m, with a wide range of 0.35 µM to 16.79 µM, with a mean of 4.75 µM ± 3.90 µM. For DOC, patchy trends of high and low concentrations were found in this transect with values ranging from 1.81 µM to 14.91 µM (mean 9.83 ± 2.83 µM). Additionally, concentrations of chl-a in this transect were found to vary between 0.03 µgL</w:t>
      </w:r>
      <w:r w:rsidRPr="00EA07D7">
        <w:rPr>
          <w:rFonts w:ascii="Times New Roman" w:hAnsi="Times New Roman"/>
          <w:sz w:val="20"/>
          <w:szCs w:val="20"/>
          <w:vertAlign w:val="superscript"/>
        </w:rPr>
        <w:t>-1</w:t>
      </w:r>
      <w:r w:rsidRPr="00EA07D7">
        <w:rPr>
          <w:rFonts w:ascii="Times New Roman" w:hAnsi="Times New Roman"/>
          <w:sz w:val="20"/>
          <w:szCs w:val="20"/>
        </w:rPr>
        <w:t xml:space="preserve"> and 0.40 µgL</w:t>
      </w:r>
      <w:r w:rsidRPr="00EA07D7">
        <w:rPr>
          <w:rFonts w:ascii="Times New Roman" w:hAnsi="Times New Roman"/>
          <w:sz w:val="20"/>
          <w:szCs w:val="20"/>
          <w:vertAlign w:val="superscript"/>
        </w:rPr>
        <w:t>-1</w:t>
      </w:r>
      <w:r w:rsidRPr="00EA07D7">
        <w:rPr>
          <w:rFonts w:ascii="Times New Roman" w:hAnsi="Times New Roman"/>
          <w:sz w:val="20"/>
          <w:szCs w:val="20"/>
        </w:rPr>
        <w:t xml:space="preserve"> (mean 0.15 ± 0.10 µgL</w:t>
      </w:r>
      <w:r w:rsidRPr="00EA07D7">
        <w:rPr>
          <w:rFonts w:ascii="Times New Roman" w:hAnsi="Times New Roman"/>
          <w:sz w:val="20"/>
          <w:szCs w:val="20"/>
          <w:vertAlign w:val="superscript"/>
        </w:rPr>
        <w:t>-1</w:t>
      </w:r>
      <w:r w:rsidRPr="00EA07D7">
        <w:rPr>
          <w:rFonts w:ascii="Times New Roman" w:hAnsi="Times New Roman"/>
          <w:sz w:val="20"/>
          <w:szCs w:val="20"/>
        </w:rPr>
        <w:t xml:space="preserve">). </w:t>
      </w:r>
    </w:p>
    <w:p w:rsidR="00F018A9" w:rsidRDefault="00F018A9" w:rsidP="00F018A9">
      <w:pPr>
        <w:spacing w:after="0" w:line="240" w:lineRule="auto"/>
        <w:jc w:val="both"/>
        <w:rPr>
          <w:rFonts w:ascii="Times New Roman" w:hAnsi="Times New Roman"/>
          <w:sz w:val="20"/>
          <w:szCs w:val="20"/>
        </w:rPr>
      </w:pPr>
    </w:p>
    <w:p w:rsidR="00F018A9" w:rsidRPr="00EA07D7" w:rsidRDefault="00F018A9" w:rsidP="00F018A9">
      <w:pPr>
        <w:spacing w:after="0" w:line="240" w:lineRule="auto"/>
        <w:jc w:val="both"/>
        <w:rPr>
          <w:rFonts w:ascii="Times New Roman" w:hAnsi="Times New Roman"/>
          <w:sz w:val="18"/>
          <w:szCs w:val="18"/>
        </w:rPr>
      </w:pPr>
      <w:r w:rsidRPr="00EA07D7">
        <w:rPr>
          <w:rFonts w:ascii="Times New Roman" w:hAnsi="Times New Roman"/>
          <w:sz w:val="20"/>
          <w:szCs w:val="20"/>
        </w:rPr>
        <w:t xml:space="preserve">The relationship between nutrients and chl-a is presented in Figure 6. For both transects, no correlation occurred between nutrients and chl-a. Supposedly, high nutrients are expected to increase the phytoplankton growth (i.e. high chl-a concentration) and </w:t>
      </w:r>
      <w:r w:rsidRPr="00EA07D7">
        <w:rPr>
          <w:rFonts w:ascii="Times New Roman" w:hAnsi="Times New Roman"/>
          <w:i/>
          <w:sz w:val="20"/>
          <w:szCs w:val="20"/>
        </w:rPr>
        <w:t>vice versa</w:t>
      </w:r>
      <w:r w:rsidRPr="00EA07D7">
        <w:rPr>
          <w:rFonts w:ascii="Times New Roman" w:hAnsi="Times New Roman"/>
          <w:sz w:val="20"/>
          <w:szCs w:val="20"/>
        </w:rPr>
        <w:t xml:space="preserve"> [35</w:t>
      </w:r>
      <w:r>
        <w:rPr>
          <w:rFonts w:ascii="Times New Roman" w:hAnsi="Times New Roman"/>
          <w:sz w:val="20"/>
          <w:szCs w:val="20"/>
        </w:rPr>
        <w:t>-</w:t>
      </w:r>
      <w:r w:rsidRPr="00EA07D7">
        <w:rPr>
          <w:rFonts w:ascii="Times New Roman" w:hAnsi="Times New Roman"/>
          <w:sz w:val="20"/>
          <w:szCs w:val="20"/>
        </w:rPr>
        <w:t>37]. Polat and Terbiyik [31] found that chl-a increased with increasing nitrate and silicate, and enhanced phytoplankton growth in the North-eastern Mediterranean Sea. Similarly, chl-a concentrations were strongly associated with the high silicate concentrations in in the southwest of East China Sea, where high chl-a concentrations were observed at the area that contained high concentrations of silicate, and these resulted in diatoms or chain-forming phytoplankton capable of more rapid growth [36, 37]. However, this was not observed in the present study, probably due to the consumption or exhaustion of nutrients for the growth of phytoplankton. This is consistent with Kang et al. [38], who found that nutrients in the deeper water were quickly absorbed by phytoplankton and caused nutrient</w:t>
      </w:r>
      <w:r w:rsidRPr="00EA07D7">
        <w:rPr>
          <w:rFonts w:ascii="Times New Roman" w:hAnsi="Times New Roman"/>
          <w:sz w:val="18"/>
          <w:szCs w:val="18"/>
        </w:rPr>
        <w:t xml:space="preserve"> </w:t>
      </w:r>
      <w:r w:rsidRPr="00EA07D7">
        <w:rPr>
          <w:rFonts w:ascii="Times New Roman" w:hAnsi="Times New Roman"/>
          <w:sz w:val="20"/>
          <w:szCs w:val="20"/>
        </w:rPr>
        <w:t>concentrations to rapidly decrease.</w:t>
      </w:r>
      <w:r w:rsidRPr="00EA07D7">
        <w:rPr>
          <w:rFonts w:ascii="Times New Roman" w:hAnsi="Times New Roman"/>
          <w:sz w:val="18"/>
          <w:szCs w:val="18"/>
        </w:rPr>
        <w:t xml:space="preserve"> </w:t>
      </w:r>
    </w:p>
    <w:p w:rsidR="00F018A9" w:rsidRPr="00EA07D7" w:rsidRDefault="00F018A9" w:rsidP="00F018A9">
      <w:pPr>
        <w:spacing w:after="0" w:line="240" w:lineRule="auto"/>
        <w:jc w:val="both"/>
        <w:rPr>
          <w:rFonts w:ascii="Times New Roman" w:hAnsi="Times New Roman"/>
          <w:sz w:val="18"/>
          <w:szCs w:val="18"/>
        </w:rPr>
      </w:pPr>
    </w:p>
    <w:p w:rsidR="00F018A9" w:rsidRPr="00EA07D7" w:rsidRDefault="00F018A9" w:rsidP="00F018A9">
      <w:pPr>
        <w:spacing w:after="0" w:line="240" w:lineRule="auto"/>
        <w:jc w:val="both"/>
        <w:rPr>
          <w:rFonts w:ascii="Times New Roman" w:hAnsi="Times New Roman"/>
          <w:sz w:val="20"/>
          <w:szCs w:val="20"/>
        </w:rPr>
      </w:pPr>
      <w:r w:rsidRPr="00EA07D7">
        <w:rPr>
          <w:rFonts w:ascii="Times New Roman" w:hAnsi="Times New Roman"/>
          <w:sz w:val="20"/>
          <w:szCs w:val="20"/>
        </w:rPr>
        <w:t>The nutrient distributions in this present study during the upwelling event might, not be so obvious as compared to the typical coastal upwelling systems such as Oregon upwelling [39], Peru upwelling [40] and California upwelling [41] which recorded high concentrations of nutrients and chl-a. It is difficult to explain as this is a unique phenomenon and it is rarely found, because upwelling had been synonymous with triggering nutrients to the surface layer. In this study, there was an increase in nutrients, especially phosphate near the shore of Transect D (Dungun), which corresponds with lower temperature (27.0</w:t>
      </w:r>
      <w:r w:rsidRPr="00EA07D7">
        <w:rPr>
          <w:rFonts w:ascii="Times New Roman" w:hAnsi="Times New Roman"/>
          <w:sz w:val="20"/>
          <w:szCs w:val="20"/>
          <w:vertAlign w:val="superscript"/>
        </w:rPr>
        <w:t xml:space="preserve"> o</w:t>
      </w:r>
      <w:r w:rsidRPr="00EA07D7">
        <w:rPr>
          <w:rFonts w:ascii="Times New Roman" w:hAnsi="Times New Roman"/>
          <w:sz w:val="20"/>
          <w:szCs w:val="20"/>
        </w:rPr>
        <w:t xml:space="preserve">C - 29.5 </w:t>
      </w:r>
      <w:r w:rsidRPr="00EA07D7">
        <w:rPr>
          <w:rFonts w:ascii="Times New Roman" w:hAnsi="Times New Roman"/>
          <w:sz w:val="20"/>
          <w:szCs w:val="20"/>
          <w:vertAlign w:val="superscript"/>
        </w:rPr>
        <w:t>o</w:t>
      </w:r>
      <w:r w:rsidRPr="00EA07D7">
        <w:rPr>
          <w:rFonts w:ascii="Times New Roman" w:hAnsi="Times New Roman"/>
          <w:sz w:val="20"/>
          <w:szCs w:val="20"/>
        </w:rPr>
        <w:t>C) and high salinity (33.4 psu - 34.0 psu). Higher concentrations of chl-a (0.2 µgL</w:t>
      </w:r>
      <w:r w:rsidRPr="00EA07D7">
        <w:rPr>
          <w:rFonts w:ascii="Times New Roman" w:hAnsi="Times New Roman"/>
          <w:sz w:val="20"/>
          <w:szCs w:val="20"/>
          <w:vertAlign w:val="superscript"/>
        </w:rPr>
        <w:t xml:space="preserve">-1 </w:t>
      </w:r>
      <w:r w:rsidRPr="00EA07D7">
        <w:rPr>
          <w:rFonts w:ascii="Times New Roman" w:hAnsi="Times New Roman"/>
          <w:sz w:val="20"/>
          <w:szCs w:val="20"/>
        </w:rPr>
        <w:t>- 0.4 µgL</w:t>
      </w:r>
      <w:r w:rsidRPr="00EA07D7">
        <w:rPr>
          <w:rFonts w:ascii="Times New Roman" w:hAnsi="Times New Roman"/>
          <w:sz w:val="20"/>
          <w:szCs w:val="20"/>
          <w:vertAlign w:val="superscript"/>
        </w:rPr>
        <w:t>-1</w:t>
      </w:r>
      <w:r w:rsidRPr="00EA07D7">
        <w:rPr>
          <w:rFonts w:ascii="Times New Roman" w:hAnsi="Times New Roman"/>
          <w:sz w:val="20"/>
          <w:szCs w:val="20"/>
        </w:rPr>
        <w:t xml:space="preserve">) were also recorded at this particular section. Kok et al. [6] revealed that upwelling intensity increased from June and reached its peak in August before declining in September. Thus, </w:t>
      </w:r>
      <w:r w:rsidRPr="00EA07D7">
        <w:rPr>
          <w:rFonts w:ascii="Times New Roman" w:hAnsi="Times New Roman"/>
          <w:sz w:val="20"/>
          <w:szCs w:val="20"/>
        </w:rPr>
        <w:lastRenderedPageBreak/>
        <w:t>the present study suggests that the low strength of the upwelling could be due to the sampling period which was carried out in early July 2017, as this period was considered as a preliminary stage of upwelling.</w:t>
      </w:r>
    </w:p>
    <w:p w:rsidR="00F018A9" w:rsidRDefault="00F018A9"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r>
        <w:rPr>
          <w:noProof/>
          <w:lang w:val="en-MY" w:eastAsia="en-MY" w:bidi="ar-SA"/>
        </w:rPr>
        <w:drawing>
          <wp:anchor distT="0" distB="0" distL="114300" distR="114300" simplePos="0" relativeHeight="251695616" behindDoc="0" locked="0" layoutInCell="1" allowOverlap="1" wp14:anchorId="677964D9" wp14:editId="371EC268">
            <wp:simplePos x="0" y="0"/>
            <wp:positionH relativeFrom="column">
              <wp:posOffset>3061970</wp:posOffset>
            </wp:positionH>
            <wp:positionV relativeFrom="paragraph">
              <wp:posOffset>6985</wp:posOffset>
            </wp:positionV>
            <wp:extent cx="3049270" cy="1632585"/>
            <wp:effectExtent l="0" t="0" r="17780" b="24765"/>
            <wp:wrapNone/>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noProof/>
          <w:lang w:val="en-MY" w:eastAsia="en-MY" w:bidi="ar-SA"/>
        </w:rPr>
        <w:drawing>
          <wp:anchor distT="0" distB="0" distL="114300" distR="114300" simplePos="0" relativeHeight="251693568" behindDoc="0" locked="0" layoutInCell="1" allowOverlap="1" wp14:anchorId="123E5246" wp14:editId="7BE6FCB3">
            <wp:simplePos x="0" y="0"/>
            <wp:positionH relativeFrom="column">
              <wp:posOffset>-31115</wp:posOffset>
            </wp:positionH>
            <wp:positionV relativeFrom="paragraph">
              <wp:posOffset>6985</wp:posOffset>
            </wp:positionV>
            <wp:extent cx="2960370" cy="1632585"/>
            <wp:effectExtent l="0" t="0" r="11430" b="24765"/>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ED702F" w:rsidRDefault="00011DCA" w:rsidP="00F018A9">
      <w:pPr>
        <w:spacing w:after="0" w:line="240" w:lineRule="auto"/>
        <w:jc w:val="both"/>
        <w:rPr>
          <w:rFonts w:ascii="Times New Roman" w:hAnsi="Times New Roman"/>
          <w:sz w:val="20"/>
          <w:szCs w:val="20"/>
        </w:rPr>
      </w:pPr>
      <w:r>
        <w:rPr>
          <w:noProof/>
          <w:lang w:val="en-MY" w:eastAsia="en-MY" w:bidi="ar-SA"/>
        </w:rPr>
        <w:drawing>
          <wp:anchor distT="0" distB="0" distL="114300" distR="114300" simplePos="0" relativeHeight="251699712" behindDoc="0" locked="0" layoutInCell="1" allowOverlap="1" wp14:anchorId="4D3E3673" wp14:editId="66BBC154">
            <wp:simplePos x="0" y="0"/>
            <wp:positionH relativeFrom="column">
              <wp:posOffset>3071495</wp:posOffset>
            </wp:positionH>
            <wp:positionV relativeFrom="paragraph">
              <wp:posOffset>19050</wp:posOffset>
            </wp:positionV>
            <wp:extent cx="3040380" cy="1476375"/>
            <wp:effectExtent l="0" t="0" r="26670" b="9525"/>
            <wp:wrapNone/>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noProof/>
          <w:lang w:val="en-MY" w:eastAsia="en-MY" w:bidi="ar-SA"/>
        </w:rPr>
        <w:drawing>
          <wp:anchor distT="0" distB="0" distL="114300" distR="114300" simplePos="0" relativeHeight="251697664" behindDoc="0" locked="0" layoutInCell="1" allowOverlap="1" wp14:anchorId="0AA37098" wp14:editId="3B231DE2">
            <wp:simplePos x="0" y="0"/>
            <wp:positionH relativeFrom="column">
              <wp:posOffset>-31115</wp:posOffset>
            </wp:positionH>
            <wp:positionV relativeFrom="paragraph">
              <wp:posOffset>20320</wp:posOffset>
            </wp:positionV>
            <wp:extent cx="2969260" cy="1476375"/>
            <wp:effectExtent l="0" t="0" r="21590" b="9525"/>
            <wp:wrapNone/>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Default="00ED702F" w:rsidP="00F018A9">
      <w:pPr>
        <w:spacing w:after="0" w:line="240" w:lineRule="auto"/>
        <w:jc w:val="both"/>
        <w:rPr>
          <w:rFonts w:ascii="Times New Roman" w:hAnsi="Times New Roman"/>
          <w:sz w:val="20"/>
          <w:szCs w:val="20"/>
        </w:rPr>
      </w:pPr>
    </w:p>
    <w:p w:rsidR="00ED702F" w:rsidRPr="00EA07D7" w:rsidRDefault="00ED702F"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011DCA" w:rsidRDefault="004B430C" w:rsidP="00F018A9">
      <w:pPr>
        <w:spacing w:after="0" w:line="240" w:lineRule="auto"/>
        <w:jc w:val="both"/>
        <w:rPr>
          <w:rFonts w:ascii="Times New Roman" w:hAnsi="Times New Roman"/>
          <w:sz w:val="20"/>
          <w:szCs w:val="20"/>
        </w:rPr>
      </w:pPr>
      <w:r>
        <w:rPr>
          <w:noProof/>
          <w:lang w:val="en-MY" w:eastAsia="en-MY" w:bidi="ar-SA"/>
        </w:rPr>
        <w:drawing>
          <wp:anchor distT="0" distB="0" distL="114300" distR="114300" simplePos="0" relativeHeight="251703808" behindDoc="0" locked="0" layoutInCell="1" allowOverlap="1" wp14:anchorId="18216245" wp14:editId="53C3A0CB">
            <wp:simplePos x="0" y="0"/>
            <wp:positionH relativeFrom="column">
              <wp:posOffset>3061970</wp:posOffset>
            </wp:positionH>
            <wp:positionV relativeFrom="paragraph">
              <wp:posOffset>15240</wp:posOffset>
            </wp:positionV>
            <wp:extent cx="3031490" cy="1649095"/>
            <wp:effectExtent l="0" t="0" r="16510" b="27305"/>
            <wp:wrapNone/>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011DCA">
        <w:rPr>
          <w:noProof/>
          <w:lang w:val="en-MY" w:eastAsia="en-MY" w:bidi="ar-SA"/>
        </w:rPr>
        <w:drawing>
          <wp:anchor distT="0" distB="0" distL="114300" distR="114300" simplePos="0" relativeHeight="251701760" behindDoc="0" locked="0" layoutInCell="1" allowOverlap="1" wp14:anchorId="41B68216" wp14:editId="11A955C2">
            <wp:simplePos x="0" y="0"/>
            <wp:positionH relativeFrom="column">
              <wp:posOffset>-31115</wp:posOffset>
            </wp:positionH>
            <wp:positionV relativeFrom="paragraph">
              <wp:posOffset>12065</wp:posOffset>
            </wp:positionV>
            <wp:extent cx="2969260" cy="1657389"/>
            <wp:effectExtent l="0" t="0" r="21590" b="19050"/>
            <wp:wrapNone/>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bookmarkStart w:id="1" w:name="_GoBack"/>
      <w:bookmarkEnd w:id="1"/>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p>
    <w:p w:rsidR="00011DCA" w:rsidRDefault="00011DCA" w:rsidP="00F018A9">
      <w:pPr>
        <w:spacing w:after="0" w:line="240" w:lineRule="auto"/>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011DCA" w:rsidRDefault="00011DCA" w:rsidP="007F60F6">
      <w:pPr>
        <w:spacing w:after="120" w:line="240" w:lineRule="auto"/>
        <w:jc w:val="both"/>
        <w:rPr>
          <w:rFonts w:ascii="Times New Roman" w:hAnsi="Times New Roman"/>
          <w:sz w:val="20"/>
          <w:szCs w:val="20"/>
        </w:rPr>
      </w:pPr>
      <w:r>
        <w:rPr>
          <w:rFonts w:ascii="Times New Roman" w:hAnsi="Times New Roman"/>
          <w:b/>
          <w:sz w:val="20"/>
          <w:szCs w:val="20"/>
        </w:rPr>
        <w:t xml:space="preserve">                       </w:t>
      </w:r>
      <w:r w:rsidR="004B430C">
        <w:rPr>
          <w:rFonts w:ascii="Times New Roman" w:hAnsi="Times New Roman"/>
          <w:b/>
          <w:sz w:val="20"/>
          <w:szCs w:val="20"/>
        </w:rPr>
        <w:t xml:space="preserve">             </w:t>
      </w:r>
      <w:r w:rsidRPr="00EA07D7">
        <w:rPr>
          <w:rFonts w:ascii="Times New Roman" w:hAnsi="Times New Roman"/>
          <w:b/>
          <w:sz w:val="20"/>
          <w:szCs w:val="20"/>
        </w:rPr>
        <w:t>Transect A</w:t>
      </w:r>
      <w:r>
        <w:rPr>
          <w:rFonts w:ascii="Times New Roman" w:hAnsi="Times New Roman"/>
          <w:b/>
          <w:sz w:val="20"/>
          <w:szCs w:val="20"/>
        </w:rPr>
        <w:t xml:space="preserve">                                                            </w:t>
      </w:r>
      <w:r w:rsidR="004B430C">
        <w:rPr>
          <w:rFonts w:ascii="Times New Roman" w:hAnsi="Times New Roman"/>
          <w:b/>
          <w:sz w:val="20"/>
          <w:szCs w:val="20"/>
        </w:rPr>
        <w:t xml:space="preserve">                    </w:t>
      </w:r>
      <w:r>
        <w:rPr>
          <w:rFonts w:ascii="Times New Roman" w:hAnsi="Times New Roman"/>
          <w:b/>
          <w:sz w:val="20"/>
          <w:szCs w:val="20"/>
        </w:rPr>
        <w:t xml:space="preserve"> Transect B</w:t>
      </w:r>
    </w:p>
    <w:p w:rsidR="007F60F6" w:rsidRPr="006058D6" w:rsidRDefault="007F60F6" w:rsidP="007F60F6">
      <w:pPr>
        <w:spacing w:after="0" w:line="240" w:lineRule="auto"/>
        <w:jc w:val="center"/>
        <w:rPr>
          <w:rFonts w:ascii="Times New Roman" w:hAnsi="Times New Roman"/>
          <w:sz w:val="20"/>
          <w:szCs w:val="20"/>
        </w:rPr>
      </w:pPr>
      <w:r w:rsidRPr="006058D6">
        <w:rPr>
          <w:rFonts w:ascii="Times New Roman" w:hAnsi="Times New Roman"/>
          <w:sz w:val="20"/>
          <w:szCs w:val="20"/>
        </w:rPr>
        <w:t xml:space="preserve">Figure 6.  The relationship between chl-a and nutrients for vertical distribution </w:t>
      </w:r>
    </w:p>
    <w:p w:rsidR="00BE43BB" w:rsidRDefault="00BE43BB" w:rsidP="007F60F6">
      <w:pPr>
        <w:spacing w:after="120" w:line="240" w:lineRule="auto"/>
        <w:jc w:val="both"/>
        <w:rPr>
          <w:rFonts w:ascii="Times New Roman" w:hAnsi="Times New Roman"/>
          <w:sz w:val="20"/>
          <w:szCs w:val="20"/>
        </w:rPr>
      </w:pPr>
    </w:p>
    <w:p w:rsidR="00F018A9" w:rsidRDefault="00011DCA" w:rsidP="00F018A9">
      <w:pPr>
        <w:spacing w:after="0" w:line="240" w:lineRule="auto"/>
        <w:jc w:val="both"/>
        <w:rPr>
          <w:rFonts w:ascii="Times New Roman" w:hAnsi="Times New Roman"/>
          <w:sz w:val="20"/>
          <w:szCs w:val="20"/>
        </w:rPr>
      </w:pPr>
      <w:r>
        <w:rPr>
          <w:rFonts w:ascii="Times New Roman" w:hAnsi="Times New Roman"/>
          <w:sz w:val="20"/>
          <w:szCs w:val="20"/>
        </w:rPr>
        <w:t xml:space="preserve">It is important to   </w:t>
      </w:r>
      <w:r w:rsidR="0078651B">
        <w:rPr>
          <w:rFonts w:ascii="Times New Roman" w:hAnsi="Times New Roman"/>
          <w:sz w:val="20"/>
          <w:szCs w:val="20"/>
        </w:rPr>
        <w:t>comp</w:t>
      </w:r>
      <w:r w:rsidR="00F018A9" w:rsidRPr="00EA07D7">
        <w:rPr>
          <w:rFonts w:ascii="Times New Roman" w:hAnsi="Times New Roman"/>
          <w:sz w:val="20"/>
          <w:szCs w:val="20"/>
        </w:rPr>
        <w:t xml:space="preserve">are the nutrients and chl-a concentrations obtained in the present study with other upwelling systems nearby the ECPM. The nutrients and chl-a information for these upwelling areas are listed in Table 1. No comparisons could be made for DOC concentrations as other studies did not measure this parameter. In general, phosphate concentrations in the study area were 2 to 3 times lower than other upwelling regions. Meanwhile, apart from the Vietnamese coast, silicate concentration in this present study was also recorded to be lower as compared to other upwelling regions nearby. This is probably due to the consumption of nutrients by phytoplankton during the early stages of the upwelling event, thereby leading to low levels of the nutrients. The chl-a values were relatively low in comparison to values reported by others, but slightly higher than those found in Southern Makassar Strait, Indonesia [26]. The strong intensity of upwelling events could be the reason that contributes to the high nutrients </w:t>
      </w:r>
      <w:r w:rsidR="00F018A9" w:rsidRPr="00EA07D7">
        <w:rPr>
          <w:rFonts w:ascii="Times New Roman" w:hAnsi="Times New Roman"/>
          <w:sz w:val="20"/>
          <w:szCs w:val="20"/>
        </w:rPr>
        <w:lastRenderedPageBreak/>
        <w:t xml:space="preserve">and chl-a in the Vietnamese coast [42], Changjiang [43] and East China Sea [44]. For example, Dipper et al. [42] found that the clockwise rotation and stretching deformation-induced upwelling due to the circulation pattern, were the main causes that contributed to the maximum chl-a and nutrient concentrations in the Vietnamese coast. </w:t>
      </w:r>
    </w:p>
    <w:p w:rsidR="00F018A9" w:rsidRDefault="00F018A9" w:rsidP="007F60F6">
      <w:pPr>
        <w:spacing w:after="120" w:line="240" w:lineRule="auto"/>
        <w:jc w:val="both"/>
        <w:rPr>
          <w:rFonts w:ascii="Times New Roman" w:hAnsi="Times New Roman"/>
          <w:sz w:val="20"/>
          <w:szCs w:val="20"/>
        </w:rPr>
      </w:pPr>
    </w:p>
    <w:p w:rsidR="007F60F6" w:rsidRPr="006058D6" w:rsidRDefault="007F60F6" w:rsidP="007F60F6">
      <w:pPr>
        <w:spacing w:after="120" w:line="240" w:lineRule="auto"/>
        <w:jc w:val="center"/>
        <w:rPr>
          <w:rFonts w:ascii="Times New Roman" w:hAnsi="Times New Roman"/>
          <w:sz w:val="20"/>
          <w:szCs w:val="20"/>
        </w:rPr>
      </w:pPr>
      <w:r>
        <w:rPr>
          <w:rFonts w:ascii="Times New Roman" w:hAnsi="Times New Roman"/>
          <w:sz w:val="20"/>
          <w:szCs w:val="20"/>
        </w:rPr>
        <w:t xml:space="preserve">Table 1.  </w:t>
      </w:r>
      <w:r w:rsidRPr="006058D6">
        <w:rPr>
          <w:rFonts w:ascii="Times New Roman" w:hAnsi="Times New Roman"/>
          <w:sz w:val="20"/>
          <w:szCs w:val="20"/>
        </w:rPr>
        <w:t>Comparison of nutrients and chl-a among coastal upwelling system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6"/>
        <w:gridCol w:w="1593"/>
        <w:gridCol w:w="1326"/>
        <w:gridCol w:w="1334"/>
        <w:gridCol w:w="1289"/>
      </w:tblGrid>
      <w:tr w:rsidR="007F60F6" w:rsidRPr="006058D6" w:rsidTr="007F60F6">
        <w:trPr>
          <w:jc w:val="center"/>
        </w:trPr>
        <w:tc>
          <w:tcPr>
            <w:tcW w:w="0" w:type="auto"/>
            <w:tcBorders>
              <w:top w:val="single" w:sz="4" w:space="0" w:color="auto"/>
              <w:left w:val="nil"/>
              <w:bottom w:val="single" w:sz="4" w:space="0" w:color="auto"/>
              <w:right w:val="nil"/>
            </w:tcBorders>
          </w:tcPr>
          <w:p w:rsidR="007F60F6" w:rsidRPr="006058D6" w:rsidRDefault="007F60F6" w:rsidP="007F60F6">
            <w:pPr>
              <w:spacing w:before="60" w:after="60" w:line="240" w:lineRule="auto"/>
              <w:rPr>
                <w:rFonts w:ascii="Times New Roman" w:hAnsi="Times New Roman"/>
                <w:b/>
                <w:sz w:val="20"/>
                <w:szCs w:val="20"/>
              </w:rPr>
            </w:pPr>
            <w:r w:rsidRPr="006058D6">
              <w:rPr>
                <w:rFonts w:ascii="Times New Roman" w:hAnsi="Times New Roman"/>
                <w:b/>
                <w:sz w:val="20"/>
                <w:szCs w:val="20"/>
              </w:rPr>
              <w:t>Upwelling region</w:t>
            </w:r>
          </w:p>
        </w:tc>
        <w:tc>
          <w:tcPr>
            <w:tcW w:w="0" w:type="auto"/>
            <w:tcBorders>
              <w:top w:val="single" w:sz="4" w:space="0" w:color="auto"/>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b/>
                <w:sz w:val="20"/>
                <w:szCs w:val="20"/>
              </w:rPr>
            </w:pPr>
            <w:r w:rsidRPr="006058D6">
              <w:rPr>
                <w:rFonts w:ascii="Times New Roman" w:hAnsi="Times New Roman"/>
                <w:b/>
                <w:sz w:val="20"/>
                <w:szCs w:val="20"/>
              </w:rPr>
              <w:t>Phosphate (µM)</w:t>
            </w:r>
          </w:p>
        </w:tc>
        <w:tc>
          <w:tcPr>
            <w:tcW w:w="0" w:type="auto"/>
            <w:tcBorders>
              <w:top w:val="single" w:sz="4" w:space="0" w:color="auto"/>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b/>
                <w:sz w:val="20"/>
                <w:szCs w:val="20"/>
              </w:rPr>
            </w:pPr>
            <w:r w:rsidRPr="006058D6">
              <w:rPr>
                <w:rFonts w:ascii="Times New Roman" w:hAnsi="Times New Roman"/>
                <w:b/>
                <w:sz w:val="20"/>
                <w:szCs w:val="20"/>
              </w:rPr>
              <w:t>Silicate (µM)</w:t>
            </w:r>
          </w:p>
        </w:tc>
        <w:tc>
          <w:tcPr>
            <w:tcW w:w="0" w:type="auto"/>
            <w:tcBorders>
              <w:top w:val="single" w:sz="4" w:space="0" w:color="auto"/>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b/>
                <w:sz w:val="20"/>
                <w:szCs w:val="20"/>
              </w:rPr>
            </w:pPr>
            <w:r w:rsidRPr="006058D6">
              <w:rPr>
                <w:rFonts w:ascii="Times New Roman" w:hAnsi="Times New Roman"/>
                <w:b/>
                <w:sz w:val="20"/>
                <w:szCs w:val="20"/>
              </w:rPr>
              <w:t>Chl-a (µgL</w:t>
            </w:r>
            <w:r w:rsidRPr="006058D6">
              <w:rPr>
                <w:rFonts w:ascii="Times New Roman" w:hAnsi="Times New Roman"/>
                <w:sz w:val="20"/>
                <w:szCs w:val="20"/>
                <w:vertAlign w:val="superscript"/>
              </w:rPr>
              <w:t>-1</w:t>
            </w:r>
            <w:r w:rsidRPr="006058D6">
              <w:rPr>
                <w:rFonts w:ascii="Times New Roman" w:hAnsi="Times New Roman"/>
                <w:b/>
                <w:sz w:val="20"/>
                <w:szCs w:val="20"/>
              </w:rPr>
              <w:t>)</w:t>
            </w:r>
          </w:p>
        </w:tc>
        <w:tc>
          <w:tcPr>
            <w:tcW w:w="0" w:type="auto"/>
            <w:tcBorders>
              <w:top w:val="single" w:sz="4" w:space="0" w:color="auto"/>
              <w:left w:val="nil"/>
              <w:bottom w:val="single" w:sz="4" w:space="0" w:color="auto"/>
              <w:right w:val="nil"/>
            </w:tcBorders>
          </w:tcPr>
          <w:p w:rsidR="007F60F6" w:rsidRPr="006058D6" w:rsidRDefault="007F60F6" w:rsidP="007F60F6">
            <w:pPr>
              <w:spacing w:before="60" w:after="60" w:line="240" w:lineRule="auto"/>
              <w:rPr>
                <w:rFonts w:ascii="Times New Roman" w:hAnsi="Times New Roman"/>
                <w:b/>
                <w:sz w:val="20"/>
                <w:szCs w:val="20"/>
              </w:rPr>
            </w:pPr>
            <w:r w:rsidRPr="006058D6">
              <w:rPr>
                <w:rFonts w:ascii="Times New Roman" w:hAnsi="Times New Roman"/>
                <w:b/>
                <w:sz w:val="20"/>
                <w:szCs w:val="20"/>
              </w:rPr>
              <w:t>Reference</w:t>
            </w:r>
          </w:p>
        </w:tc>
      </w:tr>
      <w:tr w:rsidR="007F60F6" w:rsidRPr="006058D6" w:rsidTr="007F60F6">
        <w:trPr>
          <w:jc w:val="center"/>
        </w:trPr>
        <w:tc>
          <w:tcPr>
            <w:tcW w:w="0" w:type="auto"/>
            <w:tcBorders>
              <w:top w:val="single" w:sz="4" w:space="0" w:color="auto"/>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Vietnamese coast, Vietnam</w:t>
            </w:r>
          </w:p>
        </w:tc>
        <w:tc>
          <w:tcPr>
            <w:tcW w:w="0" w:type="auto"/>
            <w:tcBorders>
              <w:top w:val="single" w:sz="4" w:space="0" w:color="auto"/>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0.0-1.4</w:t>
            </w:r>
          </w:p>
        </w:tc>
        <w:tc>
          <w:tcPr>
            <w:tcW w:w="0" w:type="auto"/>
            <w:tcBorders>
              <w:top w:val="single" w:sz="4" w:space="0" w:color="auto"/>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0.0-24.7</w:t>
            </w:r>
          </w:p>
        </w:tc>
        <w:tc>
          <w:tcPr>
            <w:tcW w:w="0" w:type="auto"/>
            <w:tcBorders>
              <w:top w:val="single" w:sz="4" w:space="0" w:color="auto"/>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0.0-1.6</w:t>
            </w:r>
          </w:p>
        </w:tc>
        <w:tc>
          <w:tcPr>
            <w:tcW w:w="0" w:type="auto"/>
            <w:tcBorders>
              <w:top w:val="single" w:sz="4" w:space="0" w:color="auto"/>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 xml:space="preserve">[42] </w:t>
            </w:r>
          </w:p>
        </w:tc>
      </w:tr>
      <w:tr w:rsidR="007F60F6" w:rsidRPr="006058D6" w:rsidTr="007F60F6">
        <w:trPr>
          <w:jc w:val="center"/>
        </w:trPr>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Changjiang, China</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0.4-1.4</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15-100</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0.1-19.5</w:t>
            </w:r>
          </w:p>
        </w:tc>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 xml:space="preserve">[43] </w:t>
            </w:r>
          </w:p>
        </w:tc>
      </w:tr>
      <w:tr w:rsidR="007F60F6" w:rsidRPr="006058D6" w:rsidTr="007F60F6">
        <w:trPr>
          <w:jc w:val="center"/>
        </w:trPr>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East China Sea, China</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0.2-0.8</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2-50</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n.a</w:t>
            </w:r>
          </w:p>
        </w:tc>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 xml:space="preserve">[44] </w:t>
            </w:r>
          </w:p>
        </w:tc>
      </w:tr>
      <w:tr w:rsidR="007F60F6" w:rsidRPr="006058D6" w:rsidTr="007F60F6">
        <w:trPr>
          <w:jc w:val="center"/>
        </w:trPr>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Southern Taiwan Strait, Taiwan</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&lt;0.5</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n.a</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1-8.51</w:t>
            </w:r>
          </w:p>
        </w:tc>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 xml:space="preserve">[27] </w:t>
            </w:r>
          </w:p>
        </w:tc>
      </w:tr>
      <w:tr w:rsidR="007F60F6" w:rsidRPr="006058D6" w:rsidTr="007F60F6">
        <w:trPr>
          <w:jc w:val="center"/>
        </w:trPr>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Southern Makassar Strait, Indonesia</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0.001-1.89</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0.157-54.53</w:t>
            </w:r>
          </w:p>
        </w:tc>
        <w:tc>
          <w:tcPr>
            <w:tcW w:w="0" w:type="auto"/>
            <w:tcBorders>
              <w:top w:val="nil"/>
              <w:left w:val="nil"/>
              <w:bottom w:val="nil"/>
              <w:right w:val="nil"/>
            </w:tcBorders>
          </w:tcPr>
          <w:p w:rsidR="007F60F6" w:rsidRPr="006058D6" w:rsidRDefault="007F60F6" w:rsidP="007F60F6">
            <w:pPr>
              <w:spacing w:before="60" w:after="0" w:line="240" w:lineRule="auto"/>
              <w:jc w:val="center"/>
              <w:rPr>
                <w:rFonts w:ascii="Times New Roman" w:hAnsi="Times New Roman"/>
                <w:sz w:val="20"/>
                <w:szCs w:val="20"/>
              </w:rPr>
            </w:pPr>
            <w:r w:rsidRPr="006058D6">
              <w:rPr>
                <w:rFonts w:ascii="Times New Roman" w:hAnsi="Times New Roman"/>
                <w:sz w:val="20"/>
                <w:szCs w:val="20"/>
              </w:rPr>
              <w:t>0.1-0.44</w:t>
            </w:r>
          </w:p>
        </w:tc>
        <w:tc>
          <w:tcPr>
            <w:tcW w:w="0" w:type="auto"/>
            <w:tcBorders>
              <w:top w:val="nil"/>
              <w:left w:val="nil"/>
              <w:bottom w:val="nil"/>
              <w:right w:val="nil"/>
            </w:tcBorders>
          </w:tcPr>
          <w:p w:rsidR="007F60F6" w:rsidRPr="006058D6" w:rsidRDefault="007F60F6" w:rsidP="007F60F6">
            <w:pPr>
              <w:spacing w:before="60" w:after="0" w:line="240" w:lineRule="auto"/>
              <w:rPr>
                <w:rFonts w:ascii="Times New Roman" w:hAnsi="Times New Roman"/>
                <w:sz w:val="20"/>
                <w:szCs w:val="20"/>
              </w:rPr>
            </w:pPr>
            <w:r w:rsidRPr="006058D6">
              <w:rPr>
                <w:rFonts w:ascii="Times New Roman" w:hAnsi="Times New Roman"/>
                <w:sz w:val="20"/>
                <w:szCs w:val="20"/>
              </w:rPr>
              <w:t>[26]</w:t>
            </w:r>
          </w:p>
        </w:tc>
      </w:tr>
      <w:tr w:rsidR="007F60F6" w:rsidRPr="006058D6" w:rsidTr="007F60F6">
        <w:trPr>
          <w:jc w:val="center"/>
        </w:trPr>
        <w:tc>
          <w:tcPr>
            <w:tcW w:w="0" w:type="auto"/>
            <w:tcBorders>
              <w:top w:val="nil"/>
              <w:left w:val="nil"/>
              <w:bottom w:val="single" w:sz="4" w:space="0" w:color="auto"/>
              <w:right w:val="nil"/>
            </w:tcBorders>
          </w:tcPr>
          <w:p w:rsidR="007F60F6" w:rsidRPr="006058D6" w:rsidRDefault="007F60F6" w:rsidP="007F60F6">
            <w:pPr>
              <w:spacing w:before="60" w:after="60" w:line="240" w:lineRule="auto"/>
              <w:rPr>
                <w:rFonts w:ascii="Times New Roman" w:hAnsi="Times New Roman"/>
                <w:sz w:val="20"/>
                <w:szCs w:val="20"/>
              </w:rPr>
            </w:pPr>
            <w:r w:rsidRPr="006058D6">
              <w:rPr>
                <w:rFonts w:ascii="Times New Roman" w:hAnsi="Times New Roman"/>
                <w:sz w:val="20"/>
                <w:szCs w:val="20"/>
              </w:rPr>
              <w:t>ECPM</w:t>
            </w:r>
          </w:p>
        </w:tc>
        <w:tc>
          <w:tcPr>
            <w:tcW w:w="0" w:type="auto"/>
            <w:tcBorders>
              <w:top w:val="nil"/>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sz w:val="20"/>
                <w:szCs w:val="20"/>
              </w:rPr>
            </w:pPr>
            <w:r w:rsidRPr="006058D6">
              <w:rPr>
                <w:rFonts w:ascii="Times New Roman" w:hAnsi="Times New Roman"/>
                <w:sz w:val="20"/>
                <w:szCs w:val="20"/>
              </w:rPr>
              <w:t>0.03 - 0.45</w:t>
            </w:r>
          </w:p>
        </w:tc>
        <w:tc>
          <w:tcPr>
            <w:tcW w:w="0" w:type="auto"/>
            <w:tcBorders>
              <w:top w:val="nil"/>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sz w:val="20"/>
                <w:szCs w:val="20"/>
              </w:rPr>
            </w:pPr>
            <w:r w:rsidRPr="006058D6">
              <w:rPr>
                <w:rFonts w:ascii="Times New Roman" w:hAnsi="Times New Roman"/>
                <w:sz w:val="20"/>
                <w:szCs w:val="20"/>
              </w:rPr>
              <w:t>0.35 - 39.00</w:t>
            </w:r>
          </w:p>
        </w:tc>
        <w:tc>
          <w:tcPr>
            <w:tcW w:w="0" w:type="auto"/>
            <w:tcBorders>
              <w:top w:val="nil"/>
              <w:left w:val="nil"/>
              <w:bottom w:val="single" w:sz="4" w:space="0" w:color="auto"/>
              <w:right w:val="nil"/>
            </w:tcBorders>
          </w:tcPr>
          <w:p w:rsidR="007F60F6" w:rsidRPr="006058D6" w:rsidRDefault="007F60F6" w:rsidP="007F60F6">
            <w:pPr>
              <w:spacing w:before="60" w:after="60" w:line="240" w:lineRule="auto"/>
              <w:jc w:val="center"/>
              <w:rPr>
                <w:rFonts w:ascii="Times New Roman" w:hAnsi="Times New Roman"/>
                <w:sz w:val="20"/>
                <w:szCs w:val="20"/>
              </w:rPr>
            </w:pPr>
            <w:r w:rsidRPr="006058D6">
              <w:rPr>
                <w:rFonts w:ascii="Times New Roman" w:hAnsi="Times New Roman"/>
                <w:sz w:val="20"/>
                <w:szCs w:val="20"/>
              </w:rPr>
              <w:t>0.01-0.63</w:t>
            </w:r>
          </w:p>
        </w:tc>
        <w:tc>
          <w:tcPr>
            <w:tcW w:w="0" w:type="auto"/>
            <w:tcBorders>
              <w:top w:val="nil"/>
              <w:left w:val="nil"/>
              <w:bottom w:val="single" w:sz="4" w:space="0" w:color="auto"/>
              <w:right w:val="nil"/>
            </w:tcBorders>
          </w:tcPr>
          <w:p w:rsidR="007F60F6" w:rsidRPr="006058D6" w:rsidRDefault="007F60F6" w:rsidP="007F60F6">
            <w:pPr>
              <w:spacing w:before="60" w:after="60" w:line="240" w:lineRule="auto"/>
              <w:rPr>
                <w:rFonts w:ascii="Times New Roman" w:hAnsi="Times New Roman"/>
                <w:sz w:val="20"/>
                <w:szCs w:val="20"/>
              </w:rPr>
            </w:pPr>
            <w:r w:rsidRPr="006058D6">
              <w:rPr>
                <w:rFonts w:ascii="Times New Roman" w:hAnsi="Times New Roman"/>
                <w:sz w:val="20"/>
                <w:szCs w:val="20"/>
              </w:rPr>
              <w:t>Present study</w:t>
            </w:r>
          </w:p>
        </w:tc>
      </w:tr>
    </w:tbl>
    <w:p w:rsidR="007F60F6" w:rsidRPr="007F60F6" w:rsidRDefault="007F60F6" w:rsidP="007F60F6">
      <w:pPr>
        <w:spacing w:before="60" w:after="0" w:line="240" w:lineRule="auto"/>
        <w:ind w:firstLine="360"/>
        <w:jc w:val="both"/>
        <w:rPr>
          <w:rFonts w:ascii="Times New Roman" w:hAnsi="Times New Roman"/>
          <w:sz w:val="18"/>
          <w:szCs w:val="18"/>
        </w:rPr>
      </w:pPr>
      <w:r w:rsidRPr="007F60F6">
        <w:rPr>
          <w:rFonts w:ascii="Times New Roman" w:hAnsi="Times New Roman"/>
          <w:sz w:val="18"/>
          <w:szCs w:val="18"/>
        </w:rPr>
        <w:t xml:space="preserve"> n.a = not available</w:t>
      </w:r>
    </w:p>
    <w:p w:rsidR="007F60F6" w:rsidRDefault="007F60F6" w:rsidP="007F60F6">
      <w:pPr>
        <w:spacing w:after="120" w:line="240" w:lineRule="auto"/>
        <w:jc w:val="both"/>
        <w:rPr>
          <w:rFonts w:ascii="Times New Roman" w:hAnsi="Times New Roman"/>
          <w:sz w:val="20"/>
          <w:szCs w:val="20"/>
        </w:rPr>
      </w:pPr>
    </w:p>
    <w:p w:rsidR="00E626F5" w:rsidRDefault="00F018A9" w:rsidP="00E626F5">
      <w:pPr>
        <w:spacing w:after="0" w:line="240" w:lineRule="auto"/>
        <w:jc w:val="both"/>
        <w:rPr>
          <w:rFonts w:ascii="Times New Roman" w:hAnsi="Times New Roman"/>
          <w:sz w:val="20"/>
          <w:szCs w:val="20"/>
        </w:rPr>
      </w:pPr>
      <w:r w:rsidRPr="00EA07D7">
        <w:rPr>
          <w:rFonts w:ascii="Times New Roman" w:hAnsi="Times New Roman"/>
          <w:sz w:val="20"/>
          <w:szCs w:val="20"/>
        </w:rPr>
        <w:t xml:space="preserve">Additionally, the deeper water in the East China Sea is able to uplift until about a depth of around 10 m, and tends to bring up high nutrient-rich water to the surface, hence contributing to the high phytoplankton biomass [44]. Despite low nutrient values, the Southern Taiwan Strait [27] contained higher chl-a concentration as compared to this present study. Hu et al. [27] indicated that upwelling events did not always bring the high concentration of nutrients, and suggested that the high rate of phytoplankton growth was due to suitable conditions during the upwelling process, such as the suitability of N/P ratio, temperature and light intensity. Similarly, Rosdiana et al. [26] also found out about the low nutrient events with high chl-a during upwelling and suggested that the phytoplankton biomass controlled nutrients in this short term. Thus, there were several different factors that controlled nutrients and chl-a in the upwelling region, depending on biological and physical processes, ecosystem types and basin scale. </w:t>
      </w:r>
    </w:p>
    <w:p w:rsidR="00E626F5" w:rsidRPr="00F447A7" w:rsidRDefault="00E626F5"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7F60F6" w:rsidRPr="00EA07D7" w:rsidRDefault="007F60F6" w:rsidP="007F60F6">
      <w:pPr>
        <w:spacing w:after="0" w:line="240" w:lineRule="auto"/>
        <w:jc w:val="both"/>
        <w:rPr>
          <w:rFonts w:ascii="Times New Roman" w:hAnsi="Times New Roman"/>
          <w:sz w:val="20"/>
          <w:szCs w:val="20"/>
        </w:rPr>
      </w:pPr>
      <w:r w:rsidRPr="00EA07D7">
        <w:rPr>
          <w:rFonts w:ascii="Times New Roman" w:hAnsi="Times New Roman"/>
          <w:sz w:val="20"/>
          <w:szCs w:val="20"/>
        </w:rPr>
        <w:t>Horizontal surface distribution has demonstrated that the concentrations of nutrients were higher at the coastal waters in comparison to offshore areas, which indicates that the freshwater inputs are the major sources of nutrients in the coastal areas. Additionally, water from the GoT also played a major role as a contributor of nutrients to the northern part of the ECPM. Vertical profiling showed the normal condition, where high concentrations of nutrients were recorded in the deeper layer compared to the surface water. An upwelling event which was characterised by cool and high salinity water at the surface occurred near Dungun. However, nutrients did not follow the same trend in response to coastal upwelling events i.e. high concentrations that were supposedly recorded at the surface water. This is probably due to the weak upwelling intensity which was unable to draw up nutrients from the deeper layer to the surface layer, while the sampling was performed during the early stages of the upwelling event. The data obtained was based on a single sampling with a limited number of stations, and depth profiling, to reveal the distribution of nutrients during the coastal upwelling event. However, this data is expected to provide preliminary results about physicals, chemicals and phytoplankton biomass during the early upwelling event.</w:t>
      </w:r>
    </w:p>
    <w:p w:rsidR="007F60F6" w:rsidRPr="00EA07D7" w:rsidRDefault="007F60F6" w:rsidP="007F60F6">
      <w:pPr>
        <w:spacing w:after="0" w:line="240" w:lineRule="auto"/>
        <w:jc w:val="center"/>
        <w:rPr>
          <w:rFonts w:ascii="Times New Roman" w:hAnsi="Times New Roman"/>
          <w:sz w:val="20"/>
          <w:szCs w:val="20"/>
        </w:rPr>
      </w:pPr>
    </w:p>
    <w:p w:rsidR="007F60F6" w:rsidRPr="00EA07D7" w:rsidRDefault="007F60F6" w:rsidP="007F60F6">
      <w:pPr>
        <w:keepNext/>
        <w:keepLines/>
        <w:spacing w:after="0" w:line="240" w:lineRule="auto"/>
        <w:jc w:val="center"/>
        <w:rPr>
          <w:rFonts w:ascii="Times New Roman" w:hAnsi="Times New Roman"/>
          <w:b/>
          <w:sz w:val="20"/>
          <w:szCs w:val="20"/>
        </w:rPr>
      </w:pPr>
      <w:r w:rsidRPr="00EA07D7">
        <w:rPr>
          <w:rFonts w:ascii="Times New Roman" w:hAnsi="Times New Roman"/>
          <w:b/>
          <w:sz w:val="20"/>
          <w:szCs w:val="20"/>
        </w:rPr>
        <w:t>Acknowledgements</w:t>
      </w:r>
    </w:p>
    <w:p w:rsidR="006768E9" w:rsidRPr="00F447A7" w:rsidRDefault="007F60F6" w:rsidP="007F60F6">
      <w:pPr>
        <w:widowControl w:val="0"/>
        <w:spacing w:after="0" w:line="240" w:lineRule="auto"/>
        <w:jc w:val="both"/>
        <w:rPr>
          <w:rFonts w:ascii="Times New Roman" w:hAnsi="Times New Roman"/>
          <w:sz w:val="20"/>
          <w:szCs w:val="20"/>
        </w:rPr>
      </w:pPr>
      <w:r w:rsidRPr="00EA07D7">
        <w:rPr>
          <w:rFonts w:ascii="Times New Roman" w:hAnsi="Times New Roman"/>
          <w:sz w:val="20"/>
          <w:szCs w:val="20"/>
        </w:rPr>
        <w:t xml:space="preserve">This work was supported by the Higher Institution Centre of Excellence (HICoE) Research Grant (Vote No. 66928) and National Scientific Cruise Expedition (Vote No. 53209) awarded to the Institute of Oceanography and Environment, Universiti Malaysia Terengganu. </w:t>
      </w:r>
    </w:p>
    <w:p w:rsidR="006768E9" w:rsidRPr="00F447A7" w:rsidRDefault="006768E9" w:rsidP="00F447A7">
      <w:pPr>
        <w:spacing w:after="0" w:line="240" w:lineRule="auto"/>
        <w:jc w:val="center"/>
        <w:rPr>
          <w:rFonts w:ascii="Times New Roman" w:hAnsi="Times New Roman"/>
          <w:noProof/>
          <w:sz w:val="20"/>
          <w:szCs w:val="20"/>
          <w:lang w:bidi="ar-SA"/>
        </w:rPr>
      </w:pPr>
    </w:p>
    <w:p w:rsidR="007F60F6" w:rsidRDefault="007F60F6" w:rsidP="00F447A7">
      <w:pPr>
        <w:spacing w:after="0" w:line="240" w:lineRule="auto"/>
        <w:jc w:val="center"/>
        <w:rPr>
          <w:rFonts w:ascii="Times New Roman" w:hAnsi="Times New Roman"/>
          <w:b/>
          <w:noProof/>
          <w:sz w:val="20"/>
          <w:szCs w:val="20"/>
          <w:lang w:bidi="ar-SA"/>
        </w:rPr>
      </w:pPr>
    </w:p>
    <w:p w:rsidR="007F60F6" w:rsidRDefault="007F60F6" w:rsidP="00F447A7">
      <w:pPr>
        <w:spacing w:after="0" w:line="240" w:lineRule="auto"/>
        <w:jc w:val="center"/>
        <w:rPr>
          <w:rFonts w:ascii="Times New Roman" w:hAnsi="Times New Roman"/>
          <w:b/>
          <w:noProof/>
          <w:sz w:val="20"/>
          <w:szCs w:val="20"/>
          <w:lang w:bidi="ar-SA"/>
        </w:rPr>
      </w:pPr>
    </w:p>
    <w:p w:rsidR="007F60F6" w:rsidRDefault="007F60F6" w:rsidP="00F447A7">
      <w:pPr>
        <w:spacing w:after="0" w:line="240" w:lineRule="auto"/>
        <w:jc w:val="center"/>
        <w:rPr>
          <w:rFonts w:ascii="Times New Roman" w:hAnsi="Times New Roman"/>
          <w:b/>
          <w:noProof/>
          <w:sz w:val="20"/>
          <w:szCs w:val="20"/>
          <w:lang w:bidi="ar-SA"/>
        </w:rPr>
      </w:pPr>
    </w:p>
    <w:p w:rsidR="007F60F6" w:rsidRDefault="007F60F6"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References</w:t>
      </w:r>
    </w:p>
    <w:p w:rsidR="007F60F6" w:rsidRPr="000F5F2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Wyrtki, K. (1961). Physical oceanography of the Southeast Asian waters. In: NAGA report Vol. 2. University of</w:t>
      </w:r>
      <w:r w:rsidRPr="00EA07D7">
        <w:rPr>
          <w:rFonts w:ascii="Times New Roman" w:hAnsi="Times New Roman"/>
          <w:i/>
          <w:sz w:val="20"/>
          <w:szCs w:val="20"/>
        </w:rPr>
        <w:t xml:space="preserve"> California, La Jolla: </w:t>
      </w:r>
      <w:r w:rsidRPr="000F5F27">
        <w:rPr>
          <w:rFonts w:ascii="Times New Roman" w:hAnsi="Times New Roman"/>
          <w:sz w:val="20"/>
          <w:szCs w:val="20"/>
        </w:rPr>
        <w:t>pp. 195.</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bookmarkStart w:id="2" w:name="_3znysh7" w:colFirst="0" w:colLast="0"/>
      <w:bookmarkEnd w:id="2"/>
      <w:r w:rsidRPr="00EA07D7">
        <w:rPr>
          <w:rFonts w:ascii="Times New Roman" w:hAnsi="Times New Roman"/>
          <w:sz w:val="20"/>
          <w:szCs w:val="20"/>
        </w:rPr>
        <w:t>Morgan, J. R. and Valencia, M. J. (1983). The natural environmental setting. In: Morgan, J. R. and Valencia, M.J. (Eds.), Atlas for Marine Policy in Southeast Asian Seas. University of California Press, California: pp. 4</w:t>
      </w:r>
      <w:r>
        <w:rPr>
          <w:rFonts w:ascii="Times New Roman" w:hAnsi="Times New Roman"/>
          <w:sz w:val="20"/>
          <w:szCs w:val="20"/>
        </w:rPr>
        <w:t>-</w:t>
      </w:r>
      <w:r w:rsidRPr="00EA07D7">
        <w:rPr>
          <w:rFonts w:ascii="Times New Roman" w:hAnsi="Times New Roman"/>
          <w:sz w:val="20"/>
          <w:szCs w:val="20"/>
        </w:rPr>
        <w:t>17.</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Taira, K., Saadon, M. N. B., Kitagawa, S. and Yanagi, T. (1996). Observation of temperature and velocity in the coastal water off Kuala Terengganu, Malaysia. </w:t>
      </w:r>
      <w:r w:rsidRPr="00EA07D7">
        <w:rPr>
          <w:rFonts w:ascii="Times New Roman" w:hAnsi="Times New Roman"/>
          <w:i/>
          <w:sz w:val="20"/>
          <w:szCs w:val="20"/>
        </w:rPr>
        <w:t>Journal of Oceanography</w:t>
      </w:r>
      <w:r w:rsidRPr="00EA07D7">
        <w:rPr>
          <w:rFonts w:ascii="Times New Roman" w:hAnsi="Times New Roman"/>
          <w:sz w:val="20"/>
          <w:szCs w:val="20"/>
        </w:rPr>
        <w:t xml:space="preserve">, 52: 251–257.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Akhir, M. F., Daryabor, F., Husain, M. L., Tangang, F. and Qiao, F. (2015). Evidence of upwelling along Peninsular Malaysia during southwest monsoon. </w:t>
      </w:r>
      <w:r w:rsidRPr="00EA07D7">
        <w:rPr>
          <w:rFonts w:ascii="Times New Roman" w:hAnsi="Times New Roman"/>
          <w:i/>
          <w:sz w:val="20"/>
          <w:szCs w:val="20"/>
        </w:rPr>
        <w:t>Open Journal of Marine Science</w:t>
      </w:r>
      <w:r w:rsidRPr="00EA07D7">
        <w:rPr>
          <w:rFonts w:ascii="Times New Roman" w:hAnsi="Times New Roman"/>
          <w:sz w:val="20"/>
          <w:szCs w:val="20"/>
        </w:rPr>
        <w:t xml:space="preserve">, 5: 273–279.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Kok, P. H., Fadzil, M., Akhir, M., Tangang, F. and Husain, M. L. (2017). Spatiotemporal trends in the southwest monsoon wind-driven upwelling in the southwestern part of the South China Sea. </w:t>
      </w:r>
      <w:r w:rsidRPr="00EA07D7">
        <w:rPr>
          <w:rFonts w:ascii="Times New Roman" w:hAnsi="Times New Roman"/>
          <w:i/>
          <w:sz w:val="20"/>
          <w:szCs w:val="20"/>
        </w:rPr>
        <w:t>PLos ONE</w:t>
      </w:r>
      <w:r w:rsidRPr="00EA07D7">
        <w:rPr>
          <w:rFonts w:ascii="Times New Roman" w:hAnsi="Times New Roman"/>
          <w:sz w:val="20"/>
          <w:szCs w:val="20"/>
        </w:rPr>
        <w:t xml:space="preserve">, 12(2): e0171979.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Kok, P. H., Akhir, M. F. and Tangang, F. T. (2015). Thermal frontal zone along the east coast of Peninsular Malaysia. </w:t>
      </w:r>
      <w:r w:rsidRPr="00EA07D7">
        <w:rPr>
          <w:rFonts w:ascii="Times New Roman" w:hAnsi="Times New Roman"/>
          <w:i/>
          <w:sz w:val="20"/>
          <w:szCs w:val="20"/>
        </w:rPr>
        <w:t>Continental Shelf Research</w:t>
      </w:r>
      <w:r w:rsidRPr="00EA07D7">
        <w:rPr>
          <w:rFonts w:ascii="Times New Roman" w:hAnsi="Times New Roman"/>
          <w:sz w:val="20"/>
          <w:szCs w:val="20"/>
        </w:rPr>
        <w:t>, 110: 1</w:t>
      </w:r>
      <w:r>
        <w:rPr>
          <w:rFonts w:ascii="Times New Roman" w:hAnsi="Times New Roman"/>
          <w:sz w:val="20"/>
          <w:szCs w:val="20"/>
        </w:rPr>
        <w:t>-</w:t>
      </w:r>
      <w:r w:rsidRPr="00EA07D7">
        <w:rPr>
          <w:rFonts w:ascii="Times New Roman" w:hAnsi="Times New Roman"/>
          <w:sz w:val="20"/>
          <w:szCs w:val="20"/>
        </w:rPr>
        <w:t xml:space="preserve">15.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Suratman, S., Weston, K., Greenwood, N., Sivyer, D. B., Pearce, D. J. and Jickells, T. (2010). High frequency measurements of dissolved inorganic and organic nutrients using instrumented moorings in the southern and central North Sea. </w:t>
      </w:r>
      <w:r w:rsidRPr="00EA07D7">
        <w:rPr>
          <w:rFonts w:ascii="Times New Roman" w:hAnsi="Times New Roman"/>
          <w:i/>
          <w:sz w:val="20"/>
          <w:szCs w:val="20"/>
        </w:rPr>
        <w:t>Estuarine, Coastal and Shelf Science</w:t>
      </w:r>
      <w:r w:rsidRPr="00EA07D7">
        <w:rPr>
          <w:rFonts w:ascii="Times New Roman" w:hAnsi="Times New Roman"/>
          <w:sz w:val="20"/>
          <w:szCs w:val="20"/>
        </w:rPr>
        <w:t>, 87(4): 631</w:t>
      </w:r>
      <w:r>
        <w:rPr>
          <w:rFonts w:ascii="Times New Roman" w:hAnsi="Times New Roman"/>
          <w:sz w:val="20"/>
          <w:szCs w:val="20"/>
        </w:rPr>
        <w:t>-</w:t>
      </w:r>
      <w:r w:rsidRPr="00EA07D7">
        <w:rPr>
          <w:rFonts w:ascii="Times New Roman" w:hAnsi="Times New Roman"/>
          <w:sz w:val="20"/>
          <w:szCs w:val="20"/>
        </w:rPr>
        <w:t>639.</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Nausch, M. and Nausch, G. (2011). Dissolved phosphorus in the Baltic Sea - occurrence and relevance. </w:t>
      </w:r>
      <w:r w:rsidRPr="00EA07D7">
        <w:rPr>
          <w:rFonts w:ascii="Times New Roman" w:hAnsi="Times New Roman"/>
          <w:i/>
          <w:sz w:val="20"/>
          <w:szCs w:val="20"/>
        </w:rPr>
        <w:t>Journal of Marine Systems</w:t>
      </w:r>
      <w:r w:rsidRPr="00EA07D7">
        <w:rPr>
          <w:rFonts w:ascii="Times New Roman" w:hAnsi="Times New Roman"/>
          <w:sz w:val="20"/>
          <w:szCs w:val="20"/>
        </w:rPr>
        <w:t>, 87(1): 37</w:t>
      </w:r>
      <w:r>
        <w:rPr>
          <w:rFonts w:ascii="Times New Roman" w:hAnsi="Times New Roman"/>
          <w:sz w:val="20"/>
          <w:szCs w:val="20"/>
        </w:rPr>
        <w:t>-</w:t>
      </w:r>
      <w:r w:rsidRPr="00EA07D7">
        <w:rPr>
          <w:rFonts w:ascii="Times New Roman" w:hAnsi="Times New Roman"/>
          <w:sz w:val="20"/>
          <w:szCs w:val="20"/>
        </w:rPr>
        <w:t xml:space="preserve">46.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Chen, Y. L. L., Chen, H. Y., Gong, G. C., Lin, Y. H., Jan, S. and Takahashi, M. (2004). Phytoplankton production during a summer coastal upwelling in the East China Sea. </w:t>
      </w:r>
      <w:r w:rsidRPr="00EA07D7">
        <w:rPr>
          <w:rFonts w:ascii="Times New Roman" w:hAnsi="Times New Roman"/>
          <w:i/>
          <w:sz w:val="20"/>
          <w:szCs w:val="20"/>
        </w:rPr>
        <w:t>Continental Shelf Research</w:t>
      </w:r>
      <w:r w:rsidRPr="00EA07D7">
        <w:rPr>
          <w:rFonts w:ascii="Times New Roman" w:hAnsi="Times New Roman"/>
          <w:sz w:val="20"/>
          <w:szCs w:val="20"/>
        </w:rPr>
        <w:t>, 24(12):1321-1338.</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Lee Chen, Y. (2005). Spatial and seasonal variations of nitrate-based new production and primary production in the South China Sea. </w:t>
      </w:r>
      <w:r w:rsidRPr="00EA07D7">
        <w:rPr>
          <w:rFonts w:ascii="Times New Roman" w:hAnsi="Times New Roman"/>
          <w:i/>
          <w:sz w:val="20"/>
          <w:szCs w:val="20"/>
        </w:rPr>
        <w:t>Deep Sea Research Part I</w:t>
      </w:r>
      <w:r w:rsidRPr="00EA07D7">
        <w:rPr>
          <w:rFonts w:ascii="Times New Roman" w:hAnsi="Times New Roman"/>
          <w:sz w:val="20"/>
          <w:szCs w:val="20"/>
        </w:rPr>
        <w:t>, 52(2): 319</w:t>
      </w:r>
      <w:r>
        <w:rPr>
          <w:rFonts w:ascii="Times New Roman" w:hAnsi="Times New Roman"/>
          <w:sz w:val="20"/>
          <w:szCs w:val="20"/>
        </w:rPr>
        <w:t>-</w:t>
      </w:r>
      <w:r w:rsidRPr="00EA07D7">
        <w:rPr>
          <w:rFonts w:ascii="Times New Roman" w:hAnsi="Times New Roman"/>
          <w:sz w:val="20"/>
          <w:szCs w:val="20"/>
        </w:rPr>
        <w:t xml:space="preserve">340.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Riegman, R., Colijn, F., Malschaert, J. F. P., Kloosterhuis, H. T. and Cadée, G. C. (1990). Assessment of growth rate limiting nutrients in the North Sea by the use of nutrient-uptake kinetics. </w:t>
      </w:r>
      <w:r w:rsidRPr="00EA07D7">
        <w:rPr>
          <w:rFonts w:ascii="Times New Roman" w:hAnsi="Times New Roman"/>
          <w:i/>
          <w:sz w:val="20"/>
          <w:szCs w:val="20"/>
        </w:rPr>
        <w:t>Netherlands Journal of Sea Research</w:t>
      </w:r>
      <w:r w:rsidRPr="00EA07D7">
        <w:rPr>
          <w:rFonts w:ascii="Times New Roman" w:hAnsi="Times New Roman"/>
          <w:sz w:val="20"/>
          <w:szCs w:val="20"/>
        </w:rPr>
        <w:t>, 26(1): 53</w:t>
      </w:r>
      <w:r>
        <w:rPr>
          <w:rFonts w:ascii="Times New Roman" w:hAnsi="Times New Roman"/>
          <w:sz w:val="20"/>
          <w:szCs w:val="20"/>
        </w:rPr>
        <w:t>-</w:t>
      </w:r>
      <w:r w:rsidRPr="00EA07D7">
        <w:rPr>
          <w:rFonts w:ascii="Times New Roman" w:hAnsi="Times New Roman"/>
          <w:sz w:val="20"/>
          <w:szCs w:val="20"/>
        </w:rPr>
        <w:t xml:space="preserve">60. </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Thingstad, T. F. and Rassoulzadegan, F. (1995). Nutrient limitations, microbial food webs, and biological C-pumps: Suggested interactions in a P-limited Mediterranean. </w:t>
      </w:r>
      <w:r w:rsidRPr="00EA07D7">
        <w:rPr>
          <w:rFonts w:ascii="Times New Roman" w:hAnsi="Times New Roman"/>
          <w:i/>
          <w:sz w:val="20"/>
          <w:szCs w:val="20"/>
        </w:rPr>
        <w:t>Marine Ecology Progress Series</w:t>
      </w:r>
      <w:r w:rsidRPr="00EA07D7">
        <w:rPr>
          <w:rFonts w:ascii="Times New Roman" w:hAnsi="Times New Roman"/>
          <w:sz w:val="20"/>
          <w:szCs w:val="20"/>
        </w:rPr>
        <w:t>, 117(1-3), 299-306.</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Suratman, S. and Mohd Tahir, N. (2012). Concentrations of silicate compounds in surface water of Setiu Wetland: a preliminary study. </w:t>
      </w:r>
      <w:r w:rsidRPr="00EA07D7">
        <w:rPr>
          <w:rFonts w:ascii="Times New Roman" w:hAnsi="Times New Roman"/>
          <w:i/>
          <w:sz w:val="20"/>
          <w:szCs w:val="20"/>
        </w:rPr>
        <w:t>Journal of Sustainability Science and Management</w:t>
      </w:r>
      <w:r w:rsidRPr="00EA07D7">
        <w:rPr>
          <w:rFonts w:ascii="Times New Roman" w:hAnsi="Times New Roman"/>
          <w:sz w:val="20"/>
          <w:szCs w:val="20"/>
        </w:rPr>
        <w:t>, 7(2): 128</w:t>
      </w:r>
      <w:r>
        <w:rPr>
          <w:rFonts w:ascii="Times New Roman" w:hAnsi="Times New Roman"/>
          <w:sz w:val="20"/>
          <w:szCs w:val="20"/>
        </w:rPr>
        <w:t>-</w:t>
      </w:r>
      <w:r w:rsidRPr="00EA07D7">
        <w:rPr>
          <w:rFonts w:ascii="Times New Roman" w:hAnsi="Times New Roman"/>
          <w:sz w:val="20"/>
          <w:szCs w:val="20"/>
        </w:rPr>
        <w:t>130.</w:t>
      </w:r>
    </w:p>
    <w:p w:rsidR="007F60F6" w:rsidRPr="00EA07D7" w:rsidRDefault="007F60F6" w:rsidP="007F60F6">
      <w:pPr>
        <w:widowControl w:val="0"/>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Trommer, G., Leynaert, A., Klein, C., Naegelen, A. and Beker, B. (2013). Phytoplankton phosphorus limitation in a north Atlantic coastal ecosystem not predicted by nutrient load. </w:t>
      </w:r>
      <w:r w:rsidRPr="00EA07D7">
        <w:rPr>
          <w:rFonts w:ascii="Times New Roman" w:hAnsi="Times New Roman"/>
          <w:i/>
          <w:sz w:val="20"/>
          <w:szCs w:val="20"/>
        </w:rPr>
        <w:t>Journal of Plankton Research</w:t>
      </w:r>
      <w:r w:rsidRPr="00EA07D7">
        <w:rPr>
          <w:rFonts w:ascii="Times New Roman" w:hAnsi="Times New Roman"/>
          <w:sz w:val="20"/>
          <w:szCs w:val="20"/>
        </w:rPr>
        <w:t>, 35(6): 1207</w:t>
      </w:r>
      <w:r>
        <w:rPr>
          <w:rFonts w:ascii="Times New Roman" w:hAnsi="Times New Roman"/>
          <w:sz w:val="20"/>
          <w:szCs w:val="20"/>
        </w:rPr>
        <w:t>-</w:t>
      </w:r>
      <w:r w:rsidRPr="00EA07D7">
        <w:rPr>
          <w:rFonts w:ascii="Times New Roman" w:hAnsi="Times New Roman"/>
          <w:sz w:val="20"/>
          <w:szCs w:val="20"/>
        </w:rPr>
        <w:t xml:space="preserve">1219.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D’Croz, L. and O’Dea, A. (2007). Variability in upwelling along the pacific shelf of Panama and implications for the distribution of nutrients and chlorophyll. </w:t>
      </w:r>
      <w:r w:rsidRPr="00EA07D7">
        <w:rPr>
          <w:rFonts w:ascii="Times New Roman" w:hAnsi="Times New Roman"/>
          <w:i/>
          <w:sz w:val="20"/>
          <w:szCs w:val="20"/>
        </w:rPr>
        <w:t>Estuarine, Coastal and Shelf Science</w:t>
      </w:r>
      <w:r w:rsidRPr="00EA07D7">
        <w:rPr>
          <w:rFonts w:ascii="Times New Roman" w:hAnsi="Times New Roman"/>
          <w:sz w:val="20"/>
          <w:szCs w:val="20"/>
        </w:rPr>
        <w:t>, 73(1–2): 325</w:t>
      </w:r>
      <w:r>
        <w:rPr>
          <w:rFonts w:ascii="Times New Roman" w:hAnsi="Times New Roman"/>
          <w:sz w:val="20"/>
          <w:szCs w:val="20"/>
        </w:rPr>
        <w:t>-</w:t>
      </w:r>
      <w:r w:rsidRPr="00EA07D7">
        <w:rPr>
          <w:rFonts w:ascii="Times New Roman" w:hAnsi="Times New Roman"/>
          <w:sz w:val="20"/>
          <w:szCs w:val="20"/>
        </w:rPr>
        <w:t xml:space="preserve">340.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Cravo, A., Relvas, P., Cardeira, S. and Rita, F. (2013). Nutrient and chlorophyll a transports during an upwelling event in the NW margin of the Gulf of Cadiz. </w:t>
      </w:r>
      <w:r w:rsidRPr="00EA07D7">
        <w:rPr>
          <w:rFonts w:ascii="Times New Roman" w:hAnsi="Times New Roman"/>
          <w:i/>
          <w:sz w:val="20"/>
          <w:szCs w:val="20"/>
        </w:rPr>
        <w:t>Journal of Marine Systems</w:t>
      </w:r>
      <w:r w:rsidRPr="00EA07D7">
        <w:rPr>
          <w:rFonts w:ascii="Times New Roman" w:hAnsi="Times New Roman"/>
          <w:sz w:val="20"/>
          <w:szCs w:val="20"/>
        </w:rPr>
        <w:t>, 128: 208</w:t>
      </w:r>
      <w:r>
        <w:rPr>
          <w:rFonts w:ascii="Times New Roman" w:hAnsi="Times New Roman"/>
          <w:sz w:val="20"/>
          <w:szCs w:val="20"/>
        </w:rPr>
        <w:t>-</w:t>
      </w:r>
      <w:r w:rsidRPr="00EA07D7">
        <w:rPr>
          <w:rFonts w:ascii="Times New Roman" w:hAnsi="Times New Roman"/>
          <w:sz w:val="20"/>
          <w:szCs w:val="20"/>
        </w:rPr>
        <w:t xml:space="preserve">221.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Braga, E. S., Chiozzini, V. C., Berbel, G. B. B., Maluf, J. C. C., Aguiar, V. M. C., Charo, M.,</w:t>
      </w:r>
      <w:r>
        <w:rPr>
          <w:rFonts w:ascii="Times New Roman" w:hAnsi="Times New Roman"/>
          <w:sz w:val="20"/>
          <w:szCs w:val="20"/>
        </w:rPr>
        <w:t xml:space="preserve"> </w:t>
      </w:r>
      <w:r w:rsidRPr="00EA07D7">
        <w:rPr>
          <w:rFonts w:ascii="Times New Roman" w:hAnsi="Times New Roman"/>
          <w:sz w:val="20"/>
          <w:szCs w:val="20"/>
        </w:rPr>
        <w:t>Molina, D., Romero, S.</w:t>
      </w:r>
      <w:r>
        <w:rPr>
          <w:rFonts w:ascii="Times New Roman" w:hAnsi="Times New Roman"/>
          <w:sz w:val="20"/>
          <w:szCs w:val="20"/>
        </w:rPr>
        <w:t xml:space="preserve"> </w:t>
      </w:r>
      <w:r w:rsidRPr="00EA07D7">
        <w:rPr>
          <w:rFonts w:ascii="Times New Roman" w:hAnsi="Times New Roman"/>
          <w:sz w:val="20"/>
          <w:szCs w:val="20"/>
        </w:rPr>
        <w:t xml:space="preserve">I. and Eichler, B. B. (2008). Nutrient distributions over the southwestern south Atlantic continental shelf from Mar del Plata (Argentina) to Itajaí (Brazil): winter–summer aspects. </w:t>
      </w:r>
      <w:r w:rsidRPr="00EA07D7">
        <w:rPr>
          <w:rFonts w:ascii="Times New Roman" w:hAnsi="Times New Roman"/>
          <w:i/>
          <w:sz w:val="20"/>
          <w:szCs w:val="20"/>
        </w:rPr>
        <w:t>Continental Shelf Research</w:t>
      </w:r>
      <w:r w:rsidRPr="00EA07D7">
        <w:rPr>
          <w:rFonts w:ascii="Times New Roman" w:hAnsi="Times New Roman"/>
          <w:sz w:val="20"/>
          <w:szCs w:val="20"/>
        </w:rPr>
        <w:t>, 28(13): 1649</w:t>
      </w:r>
      <w:r>
        <w:rPr>
          <w:rFonts w:ascii="Times New Roman" w:hAnsi="Times New Roman"/>
          <w:sz w:val="20"/>
          <w:szCs w:val="20"/>
        </w:rPr>
        <w:t>-</w:t>
      </w:r>
      <w:r w:rsidRPr="00EA07D7">
        <w:rPr>
          <w:rFonts w:ascii="Times New Roman" w:hAnsi="Times New Roman"/>
          <w:sz w:val="20"/>
          <w:szCs w:val="20"/>
        </w:rPr>
        <w:t xml:space="preserve">1661.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Lehmann, A. and Myrberg, K. (2008). Upwelling in the Baltic Sea - A review. </w:t>
      </w:r>
      <w:r w:rsidRPr="00EA07D7">
        <w:rPr>
          <w:rFonts w:ascii="Times New Roman" w:hAnsi="Times New Roman"/>
          <w:i/>
          <w:sz w:val="20"/>
          <w:szCs w:val="20"/>
        </w:rPr>
        <w:t>Journal of Marine Systems</w:t>
      </w:r>
      <w:r w:rsidRPr="00EA07D7">
        <w:rPr>
          <w:rFonts w:ascii="Times New Roman" w:hAnsi="Times New Roman"/>
          <w:sz w:val="20"/>
          <w:szCs w:val="20"/>
        </w:rPr>
        <w:t>, 74: S3</w:t>
      </w:r>
      <w:r>
        <w:rPr>
          <w:rFonts w:ascii="Times New Roman" w:hAnsi="Times New Roman"/>
          <w:sz w:val="20"/>
          <w:szCs w:val="20"/>
        </w:rPr>
        <w:t>-</w:t>
      </w:r>
      <w:r w:rsidRPr="00EA07D7">
        <w:rPr>
          <w:rFonts w:ascii="Times New Roman" w:hAnsi="Times New Roman"/>
          <w:sz w:val="20"/>
          <w:szCs w:val="20"/>
        </w:rPr>
        <w:t xml:space="preserve">12.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Mann, K. H. and Lazier, J. R. N. (2006). Dynamics of marine ecosystems (3</w:t>
      </w:r>
      <w:r w:rsidRPr="00EA07D7">
        <w:rPr>
          <w:rFonts w:ascii="Times New Roman" w:hAnsi="Times New Roman"/>
          <w:sz w:val="20"/>
          <w:szCs w:val="20"/>
          <w:vertAlign w:val="superscript"/>
        </w:rPr>
        <w:t>rd</w:t>
      </w:r>
      <w:r w:rsidRPr="00EA07D7">
        <w:rPr>
          <w:rFonts w:ascii="Times New Roman" w:hAnsi="Times New Roman"/>
          <w:sz w:val="20"/>
          <w:szCs w:val="20"/>
        </w:rPr>
        <w:t xml:space="preserve"> ed.). Massachusetts: Blackwell Publishing, pp. 163-215.</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Zainol, Z. and Akhir, M. F. (2016). Coastal upwelling at Terengganu and Pahang coastal waters: Interaction of hydrography, current circulation and phytoplankton biomass. </w:t>
      </w:r>
      <w:r w:rsidRPr="00EA07D7">
        <w:rPr>
          <w:rFonts w:ascii="Times New Roman" w:hAnsi="Times New Roman"/>
          <w:i/>
          <w:sz w:val="20"/>
          <w:szCs w:val="20"/>
        </w:rPr>
        <w:t>Jurnal Teknologi</w:t>
      </w:r>
      <w:r w:rsidRPr="00EA07D7">
        <w:rPr>
          <w:rFonts w:ascii="Times New Roman" w:hAnsi="Times New Roman"/>
          <w:sz w:val="20"/>
          <w:szCs w:val="20"/>
        </w:rPr>
        <w:t>, 78(8): 11</w:t>
      </w:r>
      <w:r>
        <w:rPr>
          <w:rFonts w:ascii="Times New Roman" w:hAnsi="Times New Roman"/>
          <w:sz w:val="20"/>
          <w:szCs w:val="20"/>
        </w:rPr>
        <w:t>-</w:t>
      </w:r>
      <w:r w:rsidRPr="00EA07D7">
        <w:rPr>
          <w:rFonts w:ascii="Times New Roman" w:hAnsi="Times New Roman"/>
          <w:sz w:val="20"/>
          <w:szCs w:val="20"/>
        </w:rPr>
        <w:t xml:space="preserve">27.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lastRenderedPageBreak/>
        <w:t xml:space="preserve">Duarte, C., R., Prego, R., López-López, S., Aguirre-Bahena, F. and Ospina-Alvarez, N. (2013). Annual patterns of nutrients and chlorophyll in a subtropical coastal lagoon under the upwelling influence (SW of Baja-California Peninsula). </w:t>
      </w:r>
      <w:r w:rsidRPr="00EA07D7">
        <w:rPr>
          <w:rFonts w:ascii="Times New Roman" w:hAnsi="Times New Roman"/>
          <w:i/>
          <w:sz w:val="20"/>
          <w:szCs w:val="20"/>
        </w:rPr>
        <w:t>Estuarine,</w:t>
      </w:r>
      <w:r w:rsidRPr="00EA07D7">
        <w:rPr>
          <w:rFonts w:ascii="Times New Roman" w:hAnsi="Times New Roman"/>
          <w:sz w:val="20"/>
          <w:szCs w:val="20"/>
        </w:rPr>
        <w:t xml:space="preserve"> </w:t>
      </w:r>
      <w:r w:rsidRPr="00EA07D7">
        <w:rPr>
          <w:rFonts w:ascii="Times New Roman" w:hAnsi="Times New Roman"/>
          <w:i/>
          <w:sz w:val="20"/>
          <w:szCs w:val="20"/>
        </w:rPr>
        <w:t>Coastal and Shelf Science</w:t>
      </w:r>
      <w:r w:rsidRPr="00EA07D7">
        <w:rPr>
          <w:rFonts w:ascii="Times New Roman" w:hAnsi="Times New Roman"/>
          <w:sz w:val="20"/>
          <w:szCs w:val="20"/>
        </w:rPr>
        <w:t>, 120: 54</w:t>
      </w:r>
      <w:r>
        <w:rPr>
          <w:rFonts w:ascii="Times New Roman" w:hAnsi="Times New Roman"/>
          <w:sz w:val="20"/>
          <w:szCs w:val="20"/>
        </w:rPr>
        <w:t>-</w:t>
      </w:r>
      <w:r w:rsidRPr="00EA07D7">
        <w:rPr>
          <w:rFonts w:ascii="Times New Roman" w:hAnsi="Times New Roman"/>
          <w:sz w:val="20"/>
          <w:szCs w:val="20"/>
        </w:rPr>
        <w:t xml:space="preserve">63.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Tremblay, J.-É., Raimbault, P., Garcia, N., Lansard, B., Babin, M. and Gagnon, J. (2014). Impact of river discharge, upwelling and vertical mixing on the nutrient loading and productivity of the Canadian Beaufort Shelf. </w:t>
      </w:r>
      <w:r w:rsidRPr="00EA07D7">
        <w:rPr>
          <w:rFonts w:ascii="Times New Roman" w:hAnsi="Times New Roman"/>
          <w:i/>
          <w:sz w:val="20"/>
          <w:szCs w:val="20"/>
        </w:rPr>
        <w:t>Biogeosciences</w:t>
      </w:r>
      <w:r w:rsidRPr="00EA07D7">
        <w:rPr>
          <w:rFonts w:ascii="Times New Roman" w:hAnsi="Times New Roman"/>
          <w:sz w:val="20"/>
          <w:szCs w:val="20"/>
        </w:rPr>
        <w:t>, 10(10): 16675</w:t>
      </w:r>
      <w:r>
        <w:rPr>
          <w:rFonts w:ascii="Times New Roman" w:hAnsi="Times New Roman"/>
          <w:sz w:val="20"/>
          <w:szCs w:val="20"/>
        </w:rPr>
        <w:t>-</w:t>
      </w:r>
      <w:r w:rsidRPr="00EA07D7">
        <w:rPr>
          <w:rFonts w:ascii="Times New Roman" w:hAnsi="Times New Roman"/>
          <w:sz w:val="20"/>
          <w:szCs w:val="20"/>
        </w:rPr>
        <w:t>16712</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Benavides, M., Santana-Falcón, Y., Wasmund, N. and Arístegui, J. (2014). Microbial uptake and regeneration of inorganic nitrogen off the coastal Namibian upwelling system</w:t>
      </w:r>
      <w:r w:rsidRPr="00EA07D7">
        <w:rPr>
          <w:rFonts w:ascii="Times New Roman" w:hAnsi="Times New Roman"/>
          <w:i/>
          <w:sz w:val="20"/>
          <w:szCs w:val="20"/>
        </w:rPr>
        <w:t>. Journal of Marine Systems</w:t>
      </w:r>
      <w:r w:rsidRPr="00EA07D7">
        <w:rPr>
          <w:rFonts w:ascii="Times New Roman" w:hAnsi="Times New Roman"/>
          <w:sz w:val="20"/>
          <w:szCs w:val="20"/>
        </w:rPr>
        <w:t>, 140: 123</w:t>
      </w:r>
      <w:r>
        <w:rPr>
          <w:rFonts w:ascii="Times New Roman" w:hAnsi="Times New Roman"/>
          <w:sz w:val="20"/>
          <w:szCs w:val="20"/>
        </w:rPr>
        <w:t>-</w:t>
      </w:r>
      <w:r w:rsidRPr="00EA07D7">
        <w:rPr>
          <w:rFonts w:ascii="Times New Roman" w:hAnsi="Times New Roman"/>
          <w:sz w:val="20"/>
          <w:szCs w:val="20"/>
        </w:rPr>
        <w:t xml:space="preserve">129.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Clark, D. R., Miller, P. I., Malcolm, E., Woodward, S. and Rees, A. P. (2011). Inorganic nitrogen assimilation and regeneration in the coastal upwelling region of the Iberian Peninsula. </w:t>
      </w:r>
      <w:r w:rsidRPr="00EA07D7">
        <w:rPr>
          <w:rFonts w:ascii="Times New Roman" w:hAnsi="Times New Roman"/>
          <w:i/>
          <w:sz w:val="20"/>
          <w:szCs w:val="20"/>
        </w:rPr>
        <w:t>Limnology and Oceanography</w:t>
      </w:r>
      <w:r w:rsidRPr="00EA07D7">
        <w:rPr>
          <w:rFonts w:ascii="Times New Roman" w:hAnsi="Times New Roman"/>
          <w:sz w:val="20"/>
          <w:szCs w:val="20"/>
        </w:rPr>
        <w:t>, 56(3): 1689</w:t>
      </w:r>
      <w:r>
        <w:rPr>
          <w:rFonts w:ascii="Times New Roman" w:hAnsi="Times New Roman"/>
          <w:sz w:val="20"/>
          <w:szCs w:val="20"/>
        </w:rPr>
        <w:t>-</w:t>
      </w:r>
      <w:r w:rsidRPr="00EA07D7">
        <w:rPr>
          <w:rFonts w:ascii="Times New Roman" w:hAnsi="Times New Roman"/>
          <w:sz w:val="20"/>
          <w:szCs w:val="20"/>
        </w:rPr>
        <w:t xml:space="preserve">1702.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Fuchs, R., Pinazo, C., Douillet, P., Fraysse, M., Grenz, C., Mangin, A. and Dupouy, C. (2013). Modelling ocean-lagoon interaction during upwelling processes in the South West of New Caledonia. </w:t>
      </w:r>
      <w:r w:rsidRPr="00EA07D7">
        <w:rPr>
          <w:rFonts w:ascii="Times New Roman" w:hAnsi="Times New Roman"/>
          <w:i/>
          <w:sz w:val="20"/>
          <w:szCs w:val="20"/>
        </w:rPr>
        <w:t>Estuarine, Coastal and Shelf Science,</w:t>
      </w:r>
      <w:r w:rsidRPr="00EA07D7">
        <w:rPr>
          <w:rFonts w:ascii="Times New Roman" w:hAnsi="Times New Roman"/>
          <w:sz w:val="20"/>
          <w:szCs w:val="20"/>
        </w:rPr>
        <w:t xml:space="preserve"> 135: 5</w:t>
      </w:r>
      <w:r>
        <w:rPr>
          <w:rFonts w:ascii="Times New Roman" w:hAnsi="Times New Roman"/>
          <w:sz w:val="20"/>
          <w:szCs w:val="20"/>
        </w:rPr>
        <w:t>-</w:t>
      </w:r>
      <w:r w:rsidRPr="00EA07D7">
        <w:rPr>
          <w:rFonts w:ascii="Times New Roman" w:hAnsi="Times New Roman"/>
          <w:sz w:val="20"/>
          <w:szCs w:val="20"/>
        </w:rPr>
        <w:t xml:space="preserve">17. </w:t>
      </w:r>
    </w:p>
    <w:p w:rsidR="007F60F6" w:rsidRPr="00EA07D7" w:rsidRDefault="007F60F6" w:rsidP="007F60F6">
      <w:pPr>
        <w:numPr>
          <w:ilvl w:val="0"/>
          <w:numId w:val="2"/>
        </w:numPr>
        <w:spacing w:after="0" w:line="240" w:lineRule="auto"/>
        <w:jc w:val="both"/>
        <w:rPr>
          <w:rFonts w:ascii="Times New Roman" w:hAnsi="Times New Roman"/>
          <w:sz w:val="20"/>
          <w:szCs w:val="20"/>
          <w:u w:val="single"/>
        </w:rPr>
      </w:pPr>
      <w:r w:rsidRPr="00EA07D7">
        <w:rPr>
          <w:rFonts w:ascii="Times New Roman" w:hAnsi="Times New Roman"/>
          <w:sz w:val="20"/>
          <w:szCs w:val="20"/>
        </w:rPr>
        <w:t xml:space="preserve">Rosdiana, A., Prartono, T., Atmadipoera, A.S. and Zuraida, R. (2017). Nutrient and chlorophyll-a distribution in Makassar upwelling region: From MAJAFLOX CRUISE 2015 A. IOP Conference Series. </w:t>
      </w:r>
      <w:r w:rsidRPr="00EA07D7">
        <w:rPr>
          <w:rFonts w:ascii="Times New Roman" w:hAnsi="Times New Roman"/>
          <w:i/>
          <w:sz w:val="20"/>
          <w:szCs w:val="20"/>
        </w:rPr>
        <w:t>Earth and Environmental Science</w:t>
      </w:r>
      <w:r w:rsidRPr="00EA07D7">
        <w:rPr>
          <w:rFonts w:ascii="Times New Roman" w:hAnsi="Times New Roman"/>
          <w:sz w:val="20"/>
          <w:szCs w:val="20"/>
        </w:rPr>
        <w:t>, 9(1): 3</w:t>
      </w:r>
      <w:r>
        <w:rPr>
          <w:rFonts w:ascii="Times New Roman" w:hAnsi="Times New Roman"/>
          <w:sz w:val="20"/>
          <w:szCs w:val="20"/>
        </w:rPr>
        <w:t>-</w:t>
      </w:r>
      <w:r w:rsidRPr="00EA07D7">
        <w:rPr>
          <w:rFonts w:ascii="Times New Roman" w:hAnsi="Times New Roman"/>
          <w:sz w:val="20"/>
          <w:szCs w:val="20"/>
        </w:rPr>
        <w:t xml:space="preserve">10.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Hu, J., Lan, W., Huang, B., Chiang, K. P. and Hong, H. (2015). Low nutrient and high chlorophyll a coastal upwelling system – A case study in the southern Taiwan Strait. </w:t>
      </w:r>
      <w:r w:rsidRPr="00EA07D7">
        <w:rPr>
          <w:rFonts w:ascii="Times New Roman" w:hAnsi="Times New Roman"/>
          <w:i/>
          <w:sz w:val="20"/>
          <w:szCs w:val="20"/>
        </w:rPr>
        <w:t>Estuarine, Coastal and Shelf Science</w:t>
      </w:r>
      <w:r w:rsidRPr="00EA07D7">
        <w:rPr>
          <w:rFonts w:ascii="Times New Roman" w:hAnsi="Times New Roman"/>
          <w:sz w:val="20"/>
          <w:szCs w:val="20"/>
        </w:rPr>
        <w:t>, 166: 170</w:t>
      </w:r>
      <w:r>
        <w:rPr>
          <w:rFonts w:ascii="Times New Roman" w:hAnsi="Times New Roman"/>
          <w:sz w:val="20"/>
          <w:szCs w:val="20"/>
        </w:rPr>
        <w:t>-</w:t>
      </w:r>
      <w:r w:rsidRPr="00EA07D7">
        <w:rPr>
          <w:rFonts w:ascii="Times New Roman" w:hAnsi="Times New Roman"/>
          <w:sz w:val="20"/>
          <w:szCs w:val="20"/>
        </w:rPr>
        <w:t xml:space="preserve">177.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Chen, C. T. A., Wang, B. J. and Hsing, L. Y. (2004). Upwelling and degree of nutrient consumption in Nanwan Bay, southern Taiwan</w:t>
      </w:r>
      <w:r w:rsidRPr="00EA07D7">
        <w:rPr>
          <w:rFonts w:ascii="Times New Roman" w:hAnsi="Times New Roman"/>
          <w:i/>
          <w:sz w:val="20"/>
          <w:szCs w:val="20"/>
        </w:rPr>
        <w:t>. Journal of Marine Science and Technology</w:t>
      </w:r>
      <w:r w:rsidRPr="00EA07D7">
        <w:rPr>
          <w:rFonts w:ascii="Times New Roman" w:hAnsi="Times New Roman"/>
          <w:sz w:val="20"/>
          <w:szCs w:val="20"/>
        </w:rPr>
        <w:t>, 12(5): 442</w:t>
      </w:r>
      <w:r>
        <w:rPr>
          <w:rFonts w:ascii="Times New Roman" w:hAnsi="Times New Roman"/>
          <w:sz w:val="20"/>
          <w:szCs w:val="20"/>
        </w:rPr>
        <w:t>-</w:t>
      </w:r>
      <w:r w:rsidRPr="00EA07D7">
        <w:rPr>
          <w:rFonts w:ascii="Times New Roman" w:hAnsi="Times New Roman"/>
          <w:sz w:val="20"/>
          <w:szCs w:val="20"/>
        </w:rPr>
        <w:t xml:space="preserve">447.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Environment Protection Agency (1993). Method 365.1, revision 2.0: Determination of phosphorus by semi-automated colorimetry.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Suzuki, Y. and Sugimura, Y. (1988). A high-temperature catalytic oxidation method for the determination of non-volatile dissolved organic carbon in seawater by direct injection of a liquid sample. </w:t>
      </w:r>
      <w:r w:rsidRPr="00EA07D7">
        <w:rPr>
          <w:rFonts w:ascii="Times New Roman" w:hAnsi="Times New Roman"/>
          <w:i/>
          <w:sz w:val="20"/>
          <w:szCs w:val="20"/>
        </w:rPr>
        <w:t>Marine Chemistry</w:t>
      </w:r>
      <w:r w:rsidRPr="00EA07D7">
        <w:rPr>
          <w:rFonts w:ascii="Times New Roman" w:hAnsi="Times New Roman"/>
          <w:sz w:val="20"/>
          <w:szCs w:val="20"/>
        </w:rPr>
        <w:t>, 24: 105</w:t>
      </w:r>
      <w:r>
        <w:rPr>
          <w:rFonts w:ascii="Times New Roman" w:hAnsi="Times New Roman"/>
          <w:sz w:val="20"/>
          <w:szCs w:val="20"/>
        </w:rPr>
        <w:t>-</w:t>
      </w:r>
      <w:r w:rsidRPr="00EA07D7">
        <w:rPr>
          <w:rFonts w:ascii="Times New Roman" w:hAnsi="Times New Roman"/>
          <w:sz w:val="20"/>
          <w:szCs w:val="20"/>
        </w:rPr>
        <w:t>131.</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Cauwet, G. (1994). HTCO method for dissolved organic carbon analysis in seawater: influence of catalyst on blank estimation. </w:t>
      </w:r>
      <w:r w:rsidRPr="00EA07D7">
        <w:rPr>
          <w:rFonts w:ascii="Times New Roman" w:hAnsi="Times New Roman"/>
          <w:i/>
          <w:sz w:val="20"/>
          <w:szCs w:val="20"/>
        </w:rPr>
        <w:t>Marine Chemistry</w:t>
      </w:r>
      <w:r w:rsidRPr="00EA07D7">
        <w:rPr>
          <w:rFonts w:ascii="Times New Roman" w:hAnsi="Times New Roman"/>
          <w:sz w:val="20"/>
          <w:szCs w:val="20"/>
        </w:rPr>
        <w:t>, 47(1): 55</w:t>
      </w:r>
      <w:r>
        <w:rPr>
          <w:rFonts w:ascii="Times New Roman" w:hAnsi="Times New Roman"/>
          <w:sz w:val="20"/>
          <w:szCs w:val="20"/>
        </w:rPr>
        <w:t>-</w:t>
      </w:r>
      <w:r w:rsidRPr="00EA07D7">
        <w:rPr>
          <w:rFonts w:ascii="Times New Roman" w:hAnsi="Times New Roman"/>
          <w:sz w:val="20"/>
          <w:szCs w:val="20"/>
        </w:rPr>
        <w:t xml:space="preserve">64.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Thomas, C., Cauwet, G. and Minster, J.-F. (1995). Dissolved organic carbon in the equatorial Atlantic Ocean. </w:t>
      </w:r>
      <w:r w:rsidRPr="00EA07D7">
        <w:rPr>
          <w:rFonts w:ascii="Times New Roman" w:hAnsi="Times New Roman"/>
          <w:i/>
          <w:sz w:val="20"/>
          <w:szCs w:val="20"/>
        </w:rPr>
        <w:t>Marine Chemistry</w:t>
      </w:r>
      <w:r w:rsidRPr="00EA07D7">
        <w:rPr>
          <w:rFonts w:ascii="Times New Roman" w:hAnsi="Times New Roman"/>
          <w:sz w:val="20"/>
          <w:szCs w:val="20"/>
        </w:rPr>
        <w:t>, 49(2–3): 155</w:t>
      </w:r>
      <w:r>
        <w:rPr>
          <w:rFonts w:ascii="Times New Roman" w:hAnsi="Times New Roman"/>
          <w:sz w:val="20"/>
          <w:szCs w:val="20"/>
        </w:rPr>
        <w:t>-</w:t>
      </w:r>
      <w:r w:rsidRPr="00EA07D7">
        <w:rPr>
          <w:rFonts w:ascii="Times New Roman" w:hAnsi="Times New Roman"/>
          <w:sz w:val="20"/>
          <w:szCs w:val="20"/>
        </w:rPr>
        <w:t xml:space="preserve">169.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Parsons, T.</w:t>
      </w:r>
      <w:r>
        <w:rPr>
          <w:rFonts w:ascii="Times New Roman" w:hAnsi="Times New Roman"/>
          <w:sz w:val="20"/>
          <w:szCs w:val="20"/>
        </w:rPr>
        <w:t xml:space="preserve"> </w:t>
      </w:r>
      <w:r w:rsidRPr="00EA07D7">
        <w:rPr>
          <w:rFonts w:ascii="Times New Roman" w:hAnsi="Times New Roman"/>
          <w:sz w:val="20"/>
          <w:szCs w:val="20"/>
        </w:rPr>
        <w:t>R., Maita, T. and Lalli, C.</w:t>
      </w:r>
      <w:r>
        <w:rPr>
          <w:rFonts w:ascii="Times New Roman" w:hAnsi="Times New Roman"/>
          <w:sz w:val="20"/>
          <w:szCs w:val="20"/>
        </w:rPr>
        <w:t xml:space="preserve"> </w:t>
      </w:r>
      <w:r w:rsidRPr="00EA07D7">
        <w:rPr>
          <w:rFonts w:ascii="Times New Roman" w:hAnsi="Times New Roman"/>
          <w:sz w:val="20"/>
          <w:szCs w:val="20"/>
        </w:rPr>
        <w:t>M. (1984). Plant pigment. In: A manual of chemical and biological method for seawater analysis. Oxford: Pergamon Press: pp. 173.</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Jeffrey</w:t>
      </w:r>
      <w:r>
        <w:rPr>
          <w:rFonts w:ascii="Times New Roman" w:hAnsi="Times New Roman"/>
          <w:sz w:val="20"/>
          <w:szCs w:val="20"/>
        </w:rPr>
        <w:t xml:space="preserve">, </w:t>
      </w:r>
      <w:r w:rsidRPr="00EA07D7">
        <w:rPr>
          <w:rFonts w:ascii="Times New Roman" w:hAnsi="Times New Roman"/>
          <w:sz w:val="20"/>
          <w:szCs w:val="20"/>
        </w:rPr>
        <w:t>S.</w:t>
      </w:r>
      <w:r>
        <w:rPr>
          <w:rFonts w:ascii="Times New Roman" w:hAnsi="Times New Roman"/>
          <w:sz w:val="20"/>
          <w:szCs w:val="20"/>
        </w:rPr>
        <w:t xml:space="preserve"> </w:t>
      </w:r>
      <w:r w:rsidRPr="00EA07D7">
        <w:rPr>
          <w:rFonts w:ascii="Times New Roman" w:hAnsi="Times New Roman"/>
          <w:sz w:val="20"/>
          <w:szCs w:val="20"/>
        </w:rPr>
        <w:t>W. and Humphrey</w:t>
      </w:r>
      <w:r>
        <w:rPr>
          <w:rFonts w:ascii="Times New Roman" w:hAnsi="Times New Roman"/>
          <w:sz w:val="20"/>
          <w:szCs w:val="20"/>
        </w:rPr>
        <w:t>,</w:t>
      </w:r>
      <w:r w:rsidRPr="00EA07D7">
        <w:rPr>
          <w:rFonts w:ascii="Times New Roman" w:hAnsi="Times New Roman"/>
          <w:sz w:val="20"/>
          <w:szCs w:val="20"/>
        </w:rPr>
        <w:t xml:space="preserve"> G.</w:t>
      </w:r>
      <w:r>
        <w:rPr>
          <w:rFonts w:ascii="Times New Roman" w:hAnsi="Times New Roman"/>
          <w:sz w:val="20"/>
          <w:szCs w:val="20"/>
        </w:rPr>
        <w:t xml:space="preserve"> </w:t>
      </w:r>
      <w:r w:rsidRPr="00EA07D7">
        <w:rPr>
          <w:rFonts w:ascii="Times New Roman" w:hAnsi="Times New Roman"/>
          <w:sz w:val="20"/>
          <w:szCs w:val="20"/>
        </w:rPr>
        <w:t xml:space="preserve">F. (1975). New spectrophotometric equations for determining chlorophylls a, b, c1 and c2 in higher plants, algae and natural phytoplankton. </w:t>
      </w:r>
      <w:r w:rsidRPr="00EA07D7">
        <w:rPr>
          <w:rFonts w:ascii="Times New Roman" w:hAnsi="Times New Roman"/>
          <w:i/>
          <w:sz w:val="20"/>
          <w:szCs w:val="20"/>
        </w:rPr>
        <w:t>Biochemie und Physiologie der Pflanzen,</w:t>
      </w:r>
      <w:r w:rsidRPr="00EA07D7">
        <w:rPr>
          <w:rFonts w:ascii="Times New Roman" w:hAnsi="Times New Roman"/>
          <w:sz w:val="20"/>
          <w:szCs w:val="20"/>
        </w:rPr>
        <w:t xml:space="preserve"> 167: 191-194.</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Polat, S. and Terbiyik, T. (2013). Variations of planktonic chlorophyll- a in relation to environmental factors in a Mediterranean coastal system (Iskenderun Bay, Northeastern Mediterranean Sea). </w:t>
      </w:r>
      <w:r w:rsidRPr="00EA07D7">
        <w:rPr>
          <w:rFonts w:ascii="Times New Roman" w:hAnsi="Times New Roman"/>
          <w:i/>
          <w:sz w:val="20"/>
          <w:szCs w:val="20"/>
        </w:rPr>
        <w:t>Sains Malaysiana</w:t>
      </w:r>
      <w:r w:rsidRPr="00EA07D7">
        <w:rPr>
          <w:rFonts w:ascii="Times New Roman" w:hAnsi="Times New Roman"/>
          <w:sz w:val="20"/>
          <w:szCs w:val="20"/>
        </w:rPr>
        <w:t>, 42(10): 1493</w:t>
      </w:r>
      <w:r>
        <w:rPr>
          <w:rFonts w:ascii="Times New Roman" w:hAnsi="Times New Roman"/>
          <w:sz w:val="20"/>
          <w:szCs w:val="20"/>
        </w:rPr>
        <w:t>-</w:t>
      </w:r>
      <w:r w:rsidRPr="00EA07D7">
        <w:rPr>
          <w:rFonts w:ascii="Times New Roman" w:hAnsi="Times New Roman"/>
          <w:sz w:val="20"/>
          <w:szCs w:val="20"/>
        </w:rPr>
        <w:t>1499.</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Fu, D., Huang, Z., Zhang, Y., Pan, D., Ding, Y., Liu, D., Zhang, Y., Mao, Z. and Chen, J. (2015). Factors affecting spring bloom in the South of Cheju Island in the East China Sea. </w:t>
      </w:r>
      <w:r w:rsidRPr="00EA07D7">
        <w:rPr>
          <w:rFonts w:ascii="Times New Roman" w:hAnsi="Times New Roman"/>
          <w:i/>
          <w:sz w:val="20"/>
          <w:szCs w:val="20"/>
        </w:rPr>
        <w:t>Acta Oceanologica Sinica</w:t>
      </w:r>
      <w:r w:rsidRPr="00EA07D7">
        <w:rPr>
          <w:rFonts w:ascii="Times New Roman" w:hAnsi="Times New Roman"/>
          <w:sz w:val="20"/>
          <w:szCs w:val="20"/>
        </w:rPr>
        <w:t>, 34(3): 51</w:t>
      </w:r>
      <w:r>
        <w:rPr>
          <w:rFonts w:ascii="Times New Roman" w:hAnsi="Times New Roman"/>
          <w:sz w:val="20"/>
          <w:szCs w:val="20"/>
        </w:rPr>
        <w:t>-</w:t>
      </w:r>
      <w:r w:rsidRPr="00EA07D7">
        <w:rPr>
          <w:rFonts w:ascii="Times New Roman" w:hAnsi="Times New Roman"/>
          <w:sz w:val="20"/>
          <w:szCs w:val="20"/>
        </w:rPr>
        <w:t xml:space="preserve">58.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Zhang, Y., Huang, Z., Fu, D., Tsou, J. Y., Jiang, T., Liang, X. S. and Lu, X. (2018). Monitoring of chlorophyll-a and sea surface silicate concentrations in the south part of Cheju Island in the East China sea using MODIS data. </w:t>
      </w:r>
      <w:r w:rsidRPr="00EA07D7">
        <w:rPr>
          <w:rFonts w:ascii="Times New Roman" w:hAnsi="Times New Roman"/>
          <w:i/>
          <w:sz w:val="20"/>
          <w:szCs w:val="20"/>
        </w:rPr>
        <w:t>International Journal of Applied Earth Observation and Geoinformation</w:t>
      </w:r>
      <w:r w:rsidRPr="00EA07D7">
        <w:rPr>
          <w:rFonts w:ascii="Times New Roman" w:hAnsi="Times New Roman"/>
          <w:sz w:val="20"/>
          <w:szCs w:val="20"/>
        </w:rPr>
        <w:t>, 67: 173</w:t>
      </w:r>
      <w:r>
        <w:rPr>
          <w:rFonts w:ascii="Times New Roman" w:hAnsi="Times New Roman"/>
          <w:sz w:val="20"/>
          <w:szCs w:val="20"/>
        </w:rPr>
        <w:t>-</w:t>
      </w:r>
      <w:r w:rsidRPr="00EA07D7">
        <w:rPr>
          <w:rFonts w:ascii="Times New Roman" w:hAnsi="Times New Roman"/>
          <w:sz w:val="20"/>
          <w:szCs w:val="20"/>
        </w:rPr>
        <w:t xml:space="preserve">178.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Kang, J., Chen, X. and Zhang, M. (2014). The distribution of chlorophyll a and its influencing factors in different regions of the Bering Sea. </w:t>
      </w:r>
      <w:r w:rsidRPr="00EA07D7">
        <w:rPr>
          <w:rFonts w:ascii="Times New Roman" w:hAnsi="Times New Roman"/>
          <w:i/>
          <w:sz w:val="20"/>
          <w:szCs w:val="20"/>
        </w:rPr>
        <w:t>Acta Oceanologica Sinica</w:t>
      </w:r>
      <w:r w:rsidRPr="00EA07D7">
        <w:rPr>
          <w:rFonts w:ascii="Times New Roman" w:hAnsi="Times New Roman"/>
          <w:sz w:val="20"/>
          <w:szCs w:val="20"/>
        </w:rPr>
        <w:t>, 33(6): 112</w:t>
      </w:r>
      <w:r>
        <w:rPr>
          <w:rFonts w:ascii="Times New Roman" w:hAnsi="Times New Roman"/>
          <w:sz w:val="20"/>
          <w:szCs w:val="20"/>
        </w:rPr>
        <w:t>-</w:t>
      </w:r>
      <w:r w:rsidRPr="00EA07D7">
        <w:rPr>
          <w:rFonts w:ascii="Times New Roman" w:hAnsi="Times New Roman"/>
          <w:sz w:val="20"/>
          <w:szCs w:val="20"/>
        </w:rPr>
        <w:t xml:space="preserve">119.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Geen, V. A., Takesue, R. K., Goddard, J., Takahashi, T., Barth, J. A. and Smith, R. L. (2000). Carbon and nutrient dynamics during coastal upwelling off Cape Blanco, Oregon. </w:t>
      </w:r>
      <w:r w:rsidRPr="00EA07D7">
        <w:rPr>
          <w:rFonts w:ascii="Times New Roman" w:hAnsi="Times New Roman"/>
          <w:i/>
          <w:sz w:val="20"/>
          <w:szCs w:val="20"/>
        </w:rPr>
        <w:t>Deep-Sea Research II</w:t>
      </w:r>
      <w:r w:rsidRPr="00EA07D7">
        <w:rPr>
          <w:rFonts w:ascii="Times New Roman" w:hAnsi="Times New Roman"/>
          <w:sz w:val="20"/>
          <w:szCs w:val="20"/>
        </w:rPr>
        <w:t>, 47: 975</w:t>
      </w:r>
      <w:r>
        <w:rPr>
          <w:rFonts w:ascii="Times New Roman" w:hAnsi="Times New Roman"/>
          <w:sz w:val="20"/>
          <w:szCs w:val="20"/>
        </w:rPr>
        <w:t>-</w:t>
      </w:r>
      <w:r w:rsidRPr="00EA07D7">
        <w:rPr>
          <w:rFonts w:ascii="Times New Roman" w:hAnsi="Times New Roman"/>
          <w:sz w:val="20"/>
          <w:szCs w:val="20"/>
        </w:rPr>
        <w:t xml:space="preserve">1002.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Silva, N., Rojas, N. and Fedele, A. (2009). Water masses in the Humboldt </w:t>
      </w:r>
      <w:r>
        <w:rPr>
          <w:rFonts w:ascii="Times New Roman" w:hAnsi="Times New Roman"/>
          <w:sz w:val="20"/>
          <w:szCs w:val="20"/>
        </w:rPr>
        <w:t>c</w:t>
      </w:r>
      <w:r w:rsidRPr="00EA07D7">
        <w:rPr>
          <w:rFonts w:ascii="Times New Roman" w:hAnsi="Times New Roman"/>
          <w:sz w:val="20"/>
          <w:szCs w:val="20"/>
        </w:rPr>
        <w:t>urrent system: Properties, distribution, and the nitrate deficit as a chemical water mass tracer for equatorial subsurface water off Chile</w:t>
      </w:r>
      <w:r w:rsidRPr="00EA07D7">
        <w:rPr>
          <w:rFonts w:ascii="Times New Roman" w:hAnsi="Times New Roman"/>
          <w:i/>
          <w:sz w:val="20"/>
          <w:szCs w:val="20"/>
        </w:rPr>
        <w:t>. Deep-Sea Research II: Topical Studies in Oceanography</w:t>
      </w:r>
      <w:r w:rsidRPr="00EA07D7">
        <w:rPr>
          <w:rFonts w:ascii="Times New Roman" w:hAnsi="Times New Roman"/>
          <w:sz w:val="20"/>
          <w:szCs w:val="20"/>
        </w:rPr>
        <w:t>, 56(16): 992</w:t>
      </w:r>
      <w:r>
        <w:rPr>
          <w:rFonts w:ascii="Times New Roman" w:hAnsi="Times New Roman"/>
          <w:sz w:val="20"/>
          <w:szCs w:val="20"/>
        </w:rPr>
        <w:t>-</w:t>
      </w:r>
      <w:r w:rsidRPr="00EA07D7">
        <w:rPr>
          <w:rFonts w:ascii="Times New Roman" w:hAnsi="Times New Roman"/>
          <w:sz w:val="20"/>
          <w:szCs w:val="20"/>
        </w:rPr>
        <w:t xml:space="preserve">1008.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lastRenderedPageBreak/>
        <w:t xml:space="preserve">Pennington, J. T. and Chavez, F. P. (2000). Seasonal fluctuations of temperature, salinity, nitrate, chlorophyll and primary production at station H3/M1 over 1989-1996 in Monterey Bay, California. </w:t>
      </w:r>
      <w:r w:rsidRPr="00EA07D7">
        <w:rPr>
          <w:rFonts w:ascii="Times New Roman" w:hAnsi="Times New Roman"/>
          <w:i/>
          <w:sz w:val="20"/>
          <w:szCs w:val="20"/>
        </w:rPr>
        <w:t>Deep Sea Research II</w:t>
      </w:r>
      <w:r w:rsidRPr="00EA07D7">
        <w:rPr>
          <w:rFonts w:ascii="Times New Roman" w:hAnsi="Times New Roman"/>
          <w:sz w:val="20"/>
          <w:szCs w:val="20"/>
        </w:rPr>
        <w:t>, 47: 947</w:t>
      </w:r>
      <w:r>
        <w:rPr>
          <w:rFonts w:ascii="Times New Roman" w:hAnsi="Times New Roman"/>
          <w:sz w:val="20"/>
          <w:szCs w:val="20"/>
        </w:rPr>
        <w:t>-</w:t>
      </w:r>
      <w:r w:rsidRPr="00EA07D7">
        <w:rPr>
          <w:rFonts w:ascii="Times New Roman" w:hAnsi="Times New Roman"/>
          <w:sz w:val="20"/>
          <w:szCs w:val="20"/>
        </w:rPr>
        <w:t xml:space="preserve">973.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Dippner, J. W., Nguyen, K. V., Hein, H., Ohde, T. and Loick, N. (2007). Monsoon-induced upwelling off the Vietnamese coast. </w:t>
      </w:r>
      <w:r w:rsidRPr="00EA07D7">
        <w:rPr>
          <w:rFonts w:ascii="Times New Roman" w:hAnsi="Times New Roman"/>
          <w:i/>
          <w:sz w:val="20"/>
          <w:szCs w:val="20"/>
        </w:rPr>
        <w:t>Ocean Dynamics</w:t>
      </w:r>
      <w:r w:rsidRPr="00EA07D7">
        <w:rPr>
          <w:rFonts w:ascii="Times New Roman" w:hAnsi="Times New Roman"/>
          <w:sz w:val="20"/>
          <w:szCs w:val="20"/>
        </w:rPr>
        <w:t>, 57(1): 46</w:t>
      </w:r>
      <w:r>
        <w:rPr>
          <w:rFonts w:ascii="Times New Roman" w:hAnsi="Times New Roman"/>
          <w:sz w:val="20"/>
          <w:szCs w:val="20"/>
        </w:rPr>
        <w:t>-</w:t>
      </w:r>
      <w:r w:rsidRPr="00EA07D7">
        <w:rPr>
          <w:rFonts w:ascii="Times New Roman" w:hAnsi="Times New Roman"/>
          <w:sz w:val="20"/>
          <w:szCs w:val="20"/>
        </w:rPr>
        <w:t xml:space="preserve">62.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Pei, S., Shen, Z. and Laws, E. A. (2009). Nutrient dynamics in the upwelling area of Changjiang (Yangtze River) estuary. </w:t>
      </w:r>
      <w:r w:rsidRPr="00EA07D7">
        <w:rPr>
          <w:rFonts w:ascii="Times New Roman" w:hAnsi="Times New Roman"/>
          <w:i/>
          <w:sz w:val="20"/>
          <w:szCs w:val="20"/>
        </w:rPr>
        <w:t>Journal of Coastal Research</w:t>
      </w:r>
      <w:r w:rsidRPr="00EA07D7">
        <w:rPr>
          <w:rFonts w:ascii="Times New Roman" w:hAnsi="Times New Roman"/>
          <w:sz w:val="20"/>
          <w:szCs w:val="20"/>
        </w:rPr>
        <w:t>, 253: 569</w:t>
      </w:r>
      <w:r>
        <w:rPr>
          <w:rFonts w:ascii="Times New Roman" w:hAnsi="Times New Roman"/>
          <w:sz w:val="20"/>
          <w:szCs w:val="20"/>
        </w:rPr>
        <w:t>-</w:t>
      </w:r>
      <w:r w:rsidRPr="00EA07D7">
        <w:rPr>
          <w:rFonts w:ascii="Times New Roman" w:hAnsi="Times New Roman"/>
          <w:sz w:val="20"/>
          <w:szCs w:val="20"/>
        </w:rPr>
        <w:t xml:space="preserve">580. </w:t>
      </w:r>
    </w:p>
    <w:p w:rsidR="007F60F6" w:rsidRPr="00EA07D7" w:rsidRDefault="007F60F6" w:rsidP="007F60F6">
      <w:pPr>
        <w:numPr>
          <w:ilvl w:val="0"/>
          <w:numId w:val="2"/>
        </w:numPr>
        <w:spacing w:after="0" w:line="240" w:lineRule="auto"/>
        <w:jc w:val="both"/>
        <w:rPr>
          <w:rFonts w:ascii="Times New Roman" w:hAnsi="Times New Roman"/>
          <w:sz w:val="20"/>
          <w:szCs w:val="20"/>
        </w:rPr>
      </w:pPr>
      <w:r w:rsidRPr="00EA07D7">
        <w:rPr>
          <w:rFonts w:ascii="Times New Roman" w:hAnsi="Times New Roman"/>
          <w:sz w:val="20"/>
          <w:szCs w:val="20"/>
        </w:rPr>
        <w:t xml:space="preserve">Wang, B. and Wang, X. (2007). Chemical hydrography of coastal upwelling in the East China Sea. </w:t>
      </w:r>
      <w:r w:rsidRPr="00EA07D7">
        <w:rPr>
          <w:rFonts w:ascii="Times New Roman" w:hAnsi="Times New Roman"/>
          <w:i/>
          <w:sz w:val="20"/>
          <w:szCs w:val="20"/>
        </w:rPr>
        <w:t>Chinese Journal of Oceanology and Limnology</w:t>
      </w:r>
      <w:r w:rsidRPr="00EA07D7">
        <w:rPr>
          <w:rFonts w:ascii="Times New Roman" w:hAnsi="Times New Roman"/>
          <w:sz w:val="20"/>
          <w:szCs w:val="20"/>
        </w:rPr>
        <w:t>, 25(1): 16</w:t>
      </w:r>
      <w:r>
        <w:rPr>
          <w:rFonts w:ascii="Times New Roman" w:hAnsi="Times New Roman"/>
          <w:sz w:val="20"/>
          <w:szCs w:val="20"/>
        </w:rPr>
        <w:t>-</w:t>
      </w:r>
      <w:r w:rsidRPr="00EA07D7">
        <w:rPr>
          <w:rFonts w:ascii="Times New Roman" w:hAnsi="Times New Roman"/>
          <w:sz w:val="20"/>
          <w:szCs w:val="20"/>
        </w:rPr>
        <w:t xml:space="preserve">26. </w:t>
      </w:r>
    </w:p>
    <w:p w:rsidR="00A74A7E" w:rsidRPr="007A738C" w:rsidRDefault="00A74A7E" w:rsidP="007F60F6">
      <w:pPr>
        <w:spacing w:after="0" w:line="240" w:lineRule="auto"/>
        <w:jc w:val="both"/>
        <w:rPr>
          <w:rFonts w:ascii="Times New Roman" w:hAnsi="Times New Roman"/>
          <w:noProof/>
          <w:lang w:bidi="ar-SA"/>
        </w:rPr>
      </w:pPr>
    </w:p>
    <w:sectPr w:rsidR="00A74A7E" w:rsidRPr="007A738C" w:rsidSect="00C607A2">
      <w:headerReference w:type="even" r:id="rId41"/>
      <w:headerReference w:type="default" r:id="rId42"/>
      <w:footerReference w:type="even" r:id="rId43"/>
      <w:footerReference w:type="default" r:id="rId44"/>
      <w:pgSz w:w="12240" w:h="15840" w:code="1"/>
      <w:pgMar w:top="1800" w:right="1469" w:bottom="1699" w:left="1440" w:header="706" w:footer="706" w:gutter="0"/>
      <w:pgNumType w:start="10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607A2">
          <w:rPr>
            <w:rFonts w:ascii="Times New Roman" w:hAnsi="Times New Roman"/>
            <w:noProof/>
          </w:rPr>
          <w:t>1038</w:t>
        </w:r>
        <w:r w:rsidRPr="00C0756D">
          <w:rPr>
            <w:rFonts w:ascii="Times New Roman" w:hAnsi="Times New Roman"/>
            <w:noProof/>
          </w:rPr>
          <w:fldChar w:fldCharType="end"/>
        </w:r>
      </w:p>
      <w:p w:rsidR="00C0756D" w:rsidRPr="00C0756D" w:rsidRDefault="00C607A2">
        <w:pPr>
          <w:pStyle w:val="Footer"/>
          <w:jc w:val="right"/>
          <w:rPr>
            <w:rFonts w:ascii="Times New Roman" w:hAnsi="Times New Roman"/>
          </w:rPr>
        </w:pPr>
      </w:p>
    </w:sdtContent>
  </w:sdt>
  <w:p w:rsidR="00A14DB9" w:rsidRDefault="00A14DB9">
    <w:pPr>
      <w:pStyle w:val="Footer"/>
    </w:pPr>
  </w:p>
  <w:p w:rsidR="0092084E" w:rsidRDefault="009208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607A2">
          <w:rPr>
            <w:rFonts w:ascii="Times New Roman" w:hAnsi="Times New Roman"/>
            <w:noProof/>
          </w:rPr>
          <w:t>1039</w:t>
        </w:r>
        <w:r w:rsidRPr="00C0756D">
          <w:rPr>
            <w:rFonts w:ascii="Times New Roman" w:hAnsi="Times New Roman"/>
            <w:noProof/>
          </w:rPr>
          <w:fldChar w:fldCharType="end"/>
        </w:r>
      </w:p>
      <w:p w:rsidR="00C0756D" w:rsidRPr="00C0756D" w:rsidRDefault="00C607A2">
        <w:pPr>
          <w:pStyle w:val="Footer"/>
          <w:rPr>
            <w:rFonts w:ascii="Times New Roman" w:hAnsi="Times New Roman"/>
          </w:rPr>
        </w:pPr>
      </w:p>
    </w:sdtContent>
  </w:sdt>
  <w:p w:rsidR="00D75B35" w:rsidRPr="004B43FF" w:rsidRDefault="00D75B35">
    <w:pPr>
      <w:pStyle w:val="Footer"/>
      <w:rPr>
        <w:rFonts w:ascii="Times New Roman" w:hAnsi="Times New Roman"/>
        <w:lang w:val="en-US"/>
      </w:rPr>
    </w:pPr>
  </w:p>
  <w:p w:rsidR="0092084E" w:rsidRDefault="009208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7859BE">
      <w:rPr>
        <w:rFonts w:ascii="Times New Roman" w:hAnsi="Times New Roman"/>
        <w:i/>
        <w:lang w:val="en-US"/>
      </w:rPr>
      <w:t>No 6</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C607A2">
      <w:rPr>
        <w:rFonts w:ascii="Times New Roman" w:hAnsi="Times New Roman"/>
        <w:i/>
        <w:lang w:val="en-US"/>
      </w:rPr>
      <w:t>1030</w:t>
    </w:r>
    <w:r w:rsidR="004B43FF">
      <w:rPr>
        <w:rFonts w:ascii="Times New Roman" w:hAnsi="Times New Roman"/>
        <w:i/>
        <w:lang w:val="en-US"/>
      </w:rPr>
      <w:t xml:space="preserve"> </w:t>
    </w:r>
    <w:r w:rsidR="00583C85">
      <w:rPr>
        <w:rFonts w:ascii="Times New Roman" w:hAnsi="Times New Roman"/>
        <w:i/>
        <w:lang w:val="en-US"/>
      </w:rPr>
      <w:t>-</w:t>
    </w:r>
    <w:r w:rsidR="00C607A2">
      <w:rPr>
        <w:rFonts w:ascii="Times New Roman" w:hAnsi="Times New Roman"/>
        <w:i/>
        <w:lang w:val="en-US"/>
      </w:rPr>
      <w:t xml:space="preserve"> 1043</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7859BE">
      <w:rPr>
        <w:rFonts w:ascii="Times New Roman" w:hAnsi="Times New Roman"/>
        <w:i/>
        <w:lang w:val="en-US"/>
      </w:rPr>
      <w:t>6</w:t>
    </w:r>
    <w:r w:rsidR="00C607A2">
      <w:rPr>
        <w:rFonts w:ascii="Times New Roman" w:hAnsi="Times New Roman"/>
        <w:i/>
        <w:lang w:val="en-US"/>
      </w:rPr>
      <w:t>-11</w:t>
    </w:r>
  </w:p>
  <w:p w:rsidR="00A14DB9" w:rsidRDefault="00A14DB9">
    <w:pPr>
      <w:pStyle w:val="Header"/>
    </w:pPr>
  </w:p>
  <w:p w:rsidR="0092084E" w:rsidRDefault="009208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FB0" w:rsidRPr="006F5FB0" w:rsidRDefault="006F5FB0" w:rsidP="006F5FB0">
    <w:pPr>
      <w:keepNext/>
      <w:keepLines/>
      <w:spacing w:after="0" w:line="240" w:lineRule="auto"/>
      <w:ind w:left="1260" w:hanging="1260"/>
      <w:rPr>
        <w:rFonts w:ascii="Times New Roman" w:hAnsi="Times New Roman"/>
        <w:smallCaps/>
        <w:sz w:val="20"/>
        <w:szCs w:val="20"/>
      </w:rPr>
    </w:pPr>
    <w:r>
      <w:rPr>
        <w:rFonts w:ascii="Times New Roman" w:hAnsi="Times New Roman"/>
        <w:sz w:val="20"/>
        <w:szCs w:val="20"/>
      </w:rPr>
      <w:t>Azyyati et al</w:t>
    </w:r>
    <w:r w:rsidR="008E6968" w:rsidRPr="006F5FB0">
      <w:rPr>
        <w:rFonts w:ascii="Times New Roman" w:hAnsi="Times New Roman"/>
        <w:sz w:val="20"/>
        <w:szCs w:val="20"/>
      </w:rPr>
      <w:t xml:space="preserve">:  </w:t>
    </w:r>
    <w:r w:rsidRPr="006F5FB0">
      <w:rPr>
        <w:rFonts w:ascii="Times New Roman" w:hAnsi="Times New Roman"/>
        <w:sz w:val="20"/>
        <w:szCs w:val="20"/>
      </w:rPr>
      <w:t xml:space="preserve"> </w:t>
    </w:r>
    <w:r>
      <w:rPr>
        <w:rFonts w:ascii="Times New Roman" w:hAnsi="Times New Roman"/>
        <w:sz w:val="20"/>
        <w:szCs w:val="20"/>
      </w:rPr>
      <w:tab/>
    </w:r>
    <w:r w:rsidRPr="006F5FB0">
      <w:rPr>
        <w:rFonts w:ascii="Times New Roman" w:hAnsi="Times New Roman"/>
        <w:smallCaps/>
        <w:sz w:val="20"/>
        <w:szCs w:val="20"/>
      </w:rPr>
      <w:t>DISTRIBUTION OF NUTRIENTS CONCENTRATION IN THE UPWELLING AREA OFF THE EAST COAST OF PENINSULAR MALAYSIA DURING THE SOUTHWEST MONSOON</w:t>
    </w:r>
  </w:p>
  <w:p w:rsidR="0092084E" w:rsidRDefault="0092084E" w:rsidP="006F5F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24A72"/>
    <w:multiLevelType w:val="multilevel"/>
    <w:tmpl w:val="5934A334"/>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1DCA"/>
    <w:rsid w:val="00016385"/>
    <w:rsid w:val="00070690"/>
    <w:rsid w:val="00084936"/>
    <w:rsid w:val="000C49FF"/>
    <w:rsid w:val="000C5261"/>
    <w:rsid w:val="000E5AF1"/>
    <w:rsid w:val="000F77DA"/>
    <w:rsid w:val="001068E8"/>
    <w:rsid w:val="00117BCD"/>
    <w:rsid w:val="00136EC3"/>
    <w:rsid w:val="00172D43"/>
    <w:rsid w:val="001D035A"/>
    <w:rsid w:val="001D3855"/>
    <w:rsid w:val="001D6F2C"/>
    <w:rsid w:val="001F72B9"/>
    <w:rsid w:val="00221D39"/>
    <w:rsid w:val="0024597C"/>
    <w:rsid w:val="002B188F"/>
    <w:rsid w:val="002B3BD8"/>
    <w:rsid w:val="002E6806"/>
    <w:rsid w:val="002F3F91"/>
    <w:rsid w:val="00304767"/>
    <w:rsid w:val="00304B34"/>
    <w:rsid w:val="00312C0E"/>
    <w:rsid w:val="00361BAF"/>
    <w:rsid w:val="00367D1F"/>
    <w:rsid w:val="00373A9B"/>
    <w:rsid w:val="0038323C"/>
    <w:rsid w:val="00383F26"/>
    <w:rsid w:val="0039005B"/>
    <w:rsid w:val="003D585B"/>
    <w:rsid w:val="003E7DA6"/>
    <w:rsid w:val="003F12FF"/>
    <w:rsid w:val="0046201E"/>
    <w:rsid w:val="004760D4"/>
    <w:rsid w:val="00494C46"/>
    <w:rsid w:val="004B430C"/>
    <w:rsid w:val="004B43FF"/>
    <w:rsid w:val="00502641"/>
    <w:rsid w:val="00534441"/>
    <w:rsid w:val="00545363"/>
    <w:rsid w:val="00583C85"/>
    <w:rsid w:val="00584156"/>
    <w:rsid w:val="005860D9"/>
    <w:rsid w:val="005C6768"/>
    <w:rsid w:val="00624C7C"/>
    <w:rsid w:val="00634C25"/>
    <w:rsid w:val="006416AB"/>
    <w:rsid w:val="00672075"/>
    <w:rsid w:val="006768E9"/>
    <w:rsid w:val="00687982"/>
    <w:rsid w:val="00695D0E"/>
    <w:rsid w:val="006A3A0F"/>
    <w:rsid w:val="006B3EC8"/>
    <w:rsid w:val="006D695E"/>
    <w:rsid w:val="006F5FB0"/>
    <w:rsid w:val="00725A6A"/>
    <w:rsid w:val="00730CB3"/>
    <w:rsid w:val="007703FE"/>
    <w:rsid w:val="007859BE"/>
    <w:rsid w:val="0078651B"/>
    <w:rsid w:val="007943F3"/>
    <w:rsid w:val="007A738C"/>
    <w:rsid w:val="007B1349"/>
    <w:rsid w:val="007C262B"/>
    <w:rsid w:val="007E25BD"/>
    <w:rsid w:val="007F4ECC"/>
    <w:rsid w:val="007F60F6"/>
    <w:rsid w:val="00801E18"/>
    <w:rsid w:val="00802C35"/>
    <w:rsid w:val="0082181A"/>
    <w:rsid w:val="008B470E"/>
    <w:rsid w:val="008C14D6"/>
    <w:rsid w:val="008E1211"/>
    <w:rsid w:val="008E5BBF"/>
    <w:rsid w:val="008E6968"/>
    <w:rsid w:val="0092084E"/>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A1F7B"/>
    <w:rsid w:val="00BB58AF"/>
    <w:rsid w:val="00BC18A3"/>
    <w:rsid w:val="00BD2480"/>
    <w:rsid w:val="00BE2D36"/>
    <w:rsid w:val="00BE43BB"/>
    <w:rsid w:val="00BE7C30"/>
    <w:rsid w:val="00C055BF"/>
    <w:rsid w:val="00C0756D"/>
    <w:rsid w:val="00C2226A"/>
    <w:rsid w:val="00C57FD1"/>
    <w:rsid w:val="00C607A2"/>
    <w:rsid w:val="00C94D92"/>
    <w:rsid w:val="00C97340"/>
    <w:rsid w:val="00CA513F"/>
    <w:rsid w:val="00CF05FF"/>
    <w:rsid w:val="00D340BB"/>
    <w:rsid w:val="00D505D5"/>
    <w:rsid w:val="00D63C28"/>
    <w:rsid w:val="00D75B35"/>
    <w:rsid w:val="00D76E09"/>
    <w:rsid w:val="00D9736F"/>
    <w:rsid w:val="00D9792A"/>
    <w:rsid w:val="00DD377F"/>
    <w:rsid w:val="00E25547"/>
    <w:rsid w:val="00E2773B"/>
    <w:rsid w:val="00E3287E"/>
    <w:rsid w:val="00E626F5"/>
    <w:rsid w:val="00E66197"/>
    <w:rsid w:val="00EB5BA5"/>
    <w:rsid w:val="00ED702F"/>
    <w:rsid w:val="00EF4195"/>
    <w:rsid w:val="00F018A9"/>
    <w:rsid w:val="00F202C3"/>
    <w:rsid w:val="00F23D94"/>
    <w:rsid w:val="00F31093"/>
    <w:rsid w:val="00F412AF"/>
    <w:rsid w:val="00F43667"/>
    <w:rsid w:val="00F447A7"/>
    <w:rsid w:val="00F467A2"/>
    <w:rsid w:val="00FB4C59"/>
    <w:rsid w:val="00FB4F34"/>
    <w:rsid w:val="00FE0572"/>
    <w:rsid w:val="00FF3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E626F5"/>
    <w:pPr>
      <w:spacing w:before="100" w:beforeAutospacing="1" w:after="100" w:afterAutospacing="1" w:line="240" w:lineRule="auto"/>
    </w:pPr>
    <w:rPr>
      <w:rFonts w:ascii="Times New Roman" w:eastAsiaTheme="minorEastAsia" w:hAnsi="Times New Roman"/>
      <w:sz w:val="24"/>
      <w:szCs w:val="24"/>
      <w:lang w:val="en-MY" w:eastAsia="en-MY"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NormalWeb">
    <w:name w:val="Normal (Web)"/>
    <w:basedOn w:val="Normal"/>
    <w:uiPriority w:val="99"/>
    <w:semiHidden/>
    <w:unhideWhenUsed/>
    <w:rsid w:val="00E626F5"/>
    <w:pPr>
      <w:spacing w:before="100" w:beforeAutospacing="1" w:after="100" w:afterAutospacing="1" w:line="240" w:lineRule="auto"/>
    </w:pPr>
    <w:rPr>
      <w:rFonts w:ascii="Times New Roman" w:eastAsiaTheme="minorEastAsia" w:hAnsi="Times New Roman"/>
      <w:sz w:val="24"/>
      <w:szCs w:val="24"/>
      <w:lang w:val="en-MY" w:eastAsia="en-MY"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22.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ecmwf.int"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chart" Target="charts/chart7.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9.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tif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4.xml"/><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izz%20Azyyati\Dropbox\HICOE%202017\Correlation%20graph\regreassion%20correlation_100418.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8774342353509"/>
          <c:y val="4.2347877294058402E-2"/>
          <c:w val="0.68699559506452601"/>
          <c:h val="0.73200359399947801"/>
        </c:manualLayout>
      </c:layout>
      <c:scatterChart>
        <c:scatterStyle val="lineMarker"/>
        <c:varyColors val="0"/>
        <c:ser>
          <c:idx val="1"/>
          <c:order val="0"/>
          <c:tx>
            <c:strRef>
              <c:f>Sheet2!$D$1</c:f>
              <c:strCache>
                <c:ptCount val="1"/>
                <c:pt idx="0">
                  <c:v>chl-a(µg/L)</c:v>
                </c:pt>
              </c:strCache>
            </c:strRef>
          </c:tx>
          <c:spPr>
            <a:ln w="28575" cap="rnd">
              <a:noFill/>
              <a:round/>
            </a:ln>
            <a:effectLst/>
          </c:spPr>
          <c:marker>
            <c:symbol val="circle"/>
            <c:size val="5"/>
            <c:spPr>
              <a:solidFill>
                <a:schemeClr val="accent2"/>
              </a:solidFill>
              <a:ln w="9525">
                <a:solidFill>
                  <a:schemeClr val="accent2"/>
                </a:solidFill>
              </a:ln>
              <a:effectLst/>
            </c:spPr>
          </c:marker>
          <c:xVal>
            <c:numRef>
              <c:f>Sheet2!$C$2:$C$28</c:f>
              <c:numCache>
                <c:formatCode>General</c:formatCode>
                <c:ptCount val="27"/>
                <c:pt idx="0">
                  <c:v>0.31929999999999997</c:v>
                </c:pt>
                <c:pt idx="1">
                  <c:v>4.2000000000000003E-2</c:v>
                </c:pt>
                <c:pt idx="2">
                  <c:v>0.17649999999999999</c:v>
                </c:pt>
                <c:pt idx="3">
                  <c:v>0.21010000000000001</c:v>
                </c:pt>
                <c:pt idx="4">
                  <c:v>3.3599999999999998E-2</c:v>
                </c:pt>
                <c:pt idx="5">
                  <c:v>9.2399999999999996E-2</c:v>
                </c:pt>
                <c:pt idx="6">
                  <c:v>7.5600000000000001E-2</c:v>
                </c:pt>
                <c:pt idx="7">
                  <c:v>0.21010000000000001</c:v>
                </c:pt>
                <c:pt idx="8">
                  <c:v>0.18490000000000001</c:v>
                </c:pt>
                <c:pt idx="9">
                  <c:v>0.13450000000000001</c:v>
                </c:pt>
                <c:pt idx="10">
                  <c:v>0.12609999999999999</c:v>
                </c:pt>
                <c:pt idx="11">
                  <c:v>6.7199999999999996E-2</c:v>
                </c:pt>
                <c:pt idx="12">
                  <c:v>5.04E-2</c:v>
                </c:pt>
                <c:pt idx="13">
                  <c:v>0.1176</c:v>
                </c:pt>
                <c:pt idx="14">
                  <c:v>0.1429</c:v>
                </c:pt>
                <c:pt idx="15">
                  <c:v>5.04E-2</c:v>
                </c:pt>
                <c:pt idx="16">
                  <c:v>0.1429</c:v>
                </c:pt>
                <c:pt idx="17">
                  <c:v>9.2399999999999996E-2</c:v>
                </c:pt>
                <c:pt idx="18">
                  <c:v>0.22689999999999999</c:v>
                </c:pt>
                <c:pt idx="19">
                  <c:v>0.10920000000000001</c:v>
                </c:pt>
                <c:pt idx="20">
                  <c:v>0.20169999999999999</c:v>
                </c:pt>
                <c:pt idx="21">
                  <c:v>0.1008</c:v>
                </c:pt>
                <c:pt idx="22">
                  <c:v>0.23530000000000001</c:v>
                </c:pt>
                <c:pt idx="23">
                  <c:v>0.23530000000000001</c:v>
                </c:pt>
                <c:pt idx="24">
                  <c:v>0.25209999999999999</c:v>
                </c:pt>
                <c:pt idx="25">
                  <c:v>0.1008</c:v>
                </c:pt>
                <c:pt idx="26">
                  <c:v>2.52E-2</c:v>
                </c:pt>
              </c:numCache>
            </c:numRef>
          </c:xVal>
          <c:yVal>
            <c:numRef>
              <c:f>Sheet2!$D$2:$D$28</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0-7B2C-4B6B-A199-5754543A8C93}"/>
            </c:ext>
          </c:extLst>
        </c:ser>
        <c:ser>
          <c:idx val="0"/>
          <c:order val="1"/>
          <c:tx>
            <c:strRef>
              <c:f>Sheet2!$D$1</c:f>
              <c:strCache>
                <c:ptCount val="1"/>
                <c:pt idx="0">
                  <c:v>chl-a(µg/L)</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6.3571869447769363E-3"/>
                  <c:y val="-0.13687370612983324"/>
                </c:manualLayout>
              </c:layout>
              <c:tx>
                <c:rich>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aseline="0">
                        <a:solidFill>
                          <a:sysClr val="windowText" lastClr="000000"/>
                        </a:solidFill>
                        <a:latin typeface="Times New Roman" panose="02020603050405020304" pitchFamily="18" charset="0"/>
                        <a:cs typeface="Times New Roman" panose="02020603050405020304" pitchFamily="18" charset="0"/>
                      </a:rPr>
                      <a:t>y = 0.2913x + 0.0207</a:t>
                    </a:r>
                    <a:br>
                      <a:rPr lang="en-US" sz="800" baseline="0">
                        <a:solidFill>
                          <a:sysClr val="windowText" lastClr="000000"/>
                        </a:solidFill>
                        <a:latin typeface="Times New Roman" panose="02020603050405020304" pitchFamily="18" charset="0"/>
                        <a:cs typeface="Times New Roman" panose="02020603050405020304" pitchFamily="18" charset="0"/>
                      </a:rPr>
                    </a:br>
                    <a:r>
                      <a:rPr lang="en-US" sz="800" baseline="0">
                        <a:solidFill>
                          <a:sysClr val="windowText" lastClr="000000"/>
                        </a:solidFill>
                        <a:latin typeface="Times New Roman" panose="02020603050405020304" pitchFamily="18" charset="0"/>
                        <a:cs typeface="Times New Roman" panose="02020603050405020304" pitchFamily="18" charset="0"/>
                      </a:rPr>
                      <a:t>R² = 0.4457</a:t>
                    </a:r>
                    <a:endParaRPr lang="en-US" sz="800">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Sheet2!$C$2:$C$28</c:f>
              <c:numCache>
                <c:formatCode>General</c:formatCode>
                <c:ptCount val="27"/>
                <c:pt idx="0">
                  <c:v>0.31929999999999997</c:v>
                </c:pt>
                <c:pt idx="1">
                  <c:v>4.2000000000000003E-2</c:v>
                </c:pt>
                <c:pt idx="2">
                  <c:v>0.17649999999999999</c:v>
                </c:pt>
                <c:pt idx="3">
                  <c:v>0.21010000000000001</c:v>
                </c:pt>
                <c:pt idx="4">
                  <c:v>3.3599999999999998E-2</c:v>
                </c:pt>
                <c:pt idx="5">
                  <c:v>9.2399999999999996E-2</c:v>
                </c:pt>
                <c:pt idx="6">
                  <c:v>7.5600000000000001E-2</c:v>
                </c:pt>
                <c:pt idx="7">
                  <c:v>0.21010000000000001</c:v>
                </c:pt>
                <c:pt idx="8">
                  <c:v>0.18490000000000001</c:v>
                </c:pt>
                <c:pt idx="9">
                  <c:v>0.13450000000000001</c:v>
                </c:pt>
                <c:pt idx="10">
                  <c:v>0.12609999999999999</c:v>
                </c:pt>
                <c:pt idx="11">
                  <c:v>6.7199999999999996E-2</c:v>
                </c:pt>
                <c:pt idx="12">
                  <c:v>5.04E-2</c:v>
                </c:pt>
                <c:pt idx="13">
                  <c:v>0.1176</c:v>
                </c:pt>
                <c:pt idx="14">
                  <c:v>0.1429</c:v>
                </c:pt>
                <c:pt idx="15">
                  <c:v>5.04E-2</c:v>
                </c:pt>
                <c:pt idx="16">
                  <c:v>0.1429</c:v>
                </c:pt>
                <c:pt idx="17">
                  <c:v>9.2399999999999996E-2</c:v>
                </c:pt>
                <c:pt idx="18">
                  <c:v>0.22689999999999999</c:v>
                </c:pt>
                <c:pt idx="19">
                  <c:v>0.10920000000000001</c:v>
                </c:pt>
                <c:pt idx="20">
                  <c:v>0.20169999999999999</c:v>
                </c:pt>
                <c:pt idx="21">
                  <c:v>0.1008</c:v>
                </c:pt>
                <c:pt idx="22">
                  <c:v>0.23530000000000001</c:v>
                </c:pt>
                <c:pt idx="23">
                  <c:v>0.23530000000000001</c:v>
                </c:pt>
                <c:pt idx="24">
                  <c:v>0.25209999999999999</c:v>
                </c:pt>
                <c:pt idx="25">
                  <c:v>0.1008</c:v>
                </c:pt>
                <c:pt idx="26">
                  <c:v>2.52E-2</c:v>
                </c:pt>
              </c:numCache>
            </c:numRef>
          </c:xVal>
          <c:yVal>
            <c:numRef>
              <c:f>Sheet2!$D$2:$D$28</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2-7B2C-4B6B-A199-5754543A8C93}"/>
            </c:ext>
          </c:extLst>
        </c:ser>
        <c:dLbls>
          <c:showLegendKey val="0"/>
          <c:showVal val="0"/>
          <c:showCatName val="0"/>
          <c:showSerName val="0"/>
          <c:showPercent val="0"/>
          <c:showBubbleSize val="0"/>
        </c:dLbls>
        <c:axId val="132948736"/>
        <c:axId val="132950656"/>
      </c:scatterChart>
      <c:valAx>
        <c:axId val="1329487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phosphate (µM)</a:t>
                </a: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2950656"/>
        <c:crosses val="autoZero"/>
        <c:crossBetween val="midCat"/>
      </c:valAx>
      <c:valAx>
        <c:axId val="13295065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chl-a (µgL</a:t>
                </a:r>
                <a:r>
                  <a:rPr lang="en-GB" sz="1000" b="0" i="0" u="none" strike="noStrike" baseline="30000">
                    <a:effectLst/>
                    <a:latin typeface="Times New Roman" panose="02020603050405020304" pitchFamily="18" charset="0"/>
                    <a:cs typeface="Times New Roman" panose="02020603050405020304" pitchFamily="18" charset="0"/>
                  </a:rPr>
                  <a:t>-1</a:t>
                </a:r>
                <a:r>
                  <a:rPr lang="en-GB" sz="1000" b="0" i="0" u="none" strike="noStrike" baseline="0">
                    <a:effectLst/>
                    <a:latin typeface="Times New Roman" panose="02020603050405020304" pitchFamily="18" charset="0"/>
                    <a:cs typeface="Times New Roman" panose="02020603050405020304" pitchFamily="18" charset="0"/>
                  </a:rPr>
                  <a:t> </a:t>
                </a:r>
                <a:r>
                  <a:rPr lang="en-US" sz="1000">
                    <a:solidFill>
                      <a:sysClr val="windowText" lastClr="000000"/>
                    </a:solidFill>
                    <a:latin typeface="Times New Roman" panose="02020603050405020304" pitchFamily="18" charset="0"/>
                    <a:cs typeface="Times New Roman" panose="02020603050405020304" pitchFamily="18" charset="0"/>
                  </a:rPr>
                  <a:t>)</a:t>
                </a: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2948736"/>
        <c:crosses val="autoZero"/>
        <c:crossBetween val="midCat"/>
        <c:majorUnit val="0.05"/>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30290846300498"/>
          <c:y val="7.6762037683182099E-2"/>
          <c:w val="0.64732355932499874"/>
          <c:h val="0.68099854904413004"/>
        </c:manualLayout>
      </c:layout>
      <c:scatterChart>
        <c:scatterStyle val="lineMarker"/>
        <c:varyColors val="0"/>
        <c:ser>
          <c:idx val="2"/>
          <c:order val="0"/>
          <c:tx>
            <c:strRef>
              <c:f>Sheet2!$D$1</c:f>
              <c:strCache>
                <c:ptCount val="1"/>
                <c:pt idx="0">
                  <c:v>chl-a(µg/L)</c:v>
                </c:pt>
              </c:strCache>
            </c:strRef>
          </c:tx>
          <c:spPr>
            <a:ln w="28575" cap="rnd">
              <a:noFill/>
              <a:round/>
            </a:ln>
            <a:effectLst/>
          </c:spPr>
          <c:marker>
            <c:symbol val="circle"/>
            <c:size val="5"/>
            <c:spPr>
              <a:solidFill>
                <a:schemeClr val="accent3"/>
              </a:solidFill>
              <a:ln w="9525">
                <a:solidFill>
                  <a:schemeClr val="accent3"/>
                </a:solidFill>
              </a:ln>
              <a:effectLst/>
            </c:spPr>
          </c:marker>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0-AF2A-46B6-8D69-B31DA2EDA9BB}"/>
            </c:ext>
          </c:extLst>
        </c:ser>
        <c:ser>
          <c:idx val="3"/>
          <c:order val="1"/>
          <c:tx>
            <c:strRef>
              <c:f>Sheet2!$D$1</c:f>
              <c:strCache>
                <c:ptCount val="1"/>
                <c:pt idx="0">
                  <c:v>chl-a(µg/L)</c:v>
                </c:pt>
              </c:strCache>
            </c:strRef>
          </c:tx>
          <c:spPr>
            <a:ln w="28575" cap="rnd">
              <a:noFill/>
              <a:round/>
            </a:ln>
            <a:effectLst/>
          </c:spPr>
          <c:marker>
            <c:symbol val="circle"/>
            <c:size val="5"/>
            <c:spPr>
              <a:solidFill>
                <a:schemeClr val="accent4"/>
              </a:solidFill>
              <a:ln w="9525">
                <a:solidFill>
                  <a:schemeClr val="accent4"/>
                </a:solidFill>
              </a:ln>
              <a:effectLst/>
            </c:spPr>
          </c:marker>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1-AF2A-46B6-8D69-B31DA2EDA9BB}"/>
            </c:ext>
          </c:extLst>
        </c:ser>
        <c:ser>
          <c:idx val="1"/>
          <c:order val="2"/>
          <c:tx>
            <c:strRef>
              <c:f>Sheet2!$D$1</c:f>
              <c:strCache>
                <c:ptCount val="1"/>
                <c:pt idx="0">
                  <c:v>chl-a(µg/L)</c:v>
                </c:pt>
              </c:strCache>
            </c:strRef>
          </c:tx>
          <c:spPr>
            <a:ln w="28575" cap="rnd">
              <a:noFill/>
              <a:round/>
            </a:ln>
            <a:effectLst/>
          </c:spPr>
          <c:marker>
            <c:symbol val="circle"/>
            <c:size val="5"/>
            <c:spPr>
              <a:solidFill>
                <a:schemeClr val="accent2"/>
              </a:solidFill>
              <a:ln w="9525">
                <a:solidFill>
                  <a:schemeClr val="accent2"/>
                </a:solidFill>
              </a:ln>
              <a:effectLst/>
            </c:spPr>
          </c:marker>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2-AF2A-46B6-8D69-B31DA2EDA9BB}"/>
            </c:ext>
          </c:extLst>
        </c:ser>
        <c:ser>
          <c:idx val="0"/>
          <c:order val="3"/>
          <c:tx>
            <c:strRef>
              <c:f>Sheet2!$D$1</c:f>
              <c:strCache>
                <c:ptCount val="1"/>
                <c:pt idx="0">
                  <c:v>chl-a(µg/L)</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5.0632095297830707E-2"/>
                  <c:y val="-0.29169251877439761"/>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Sheet2!$C$31:$C$57</c:f>
              <c:numCache>
                <c:formatCode>General</c:formatCode>
                <c:ptCount val="27"/>
                <c:pt idx="0">
                  <c:v>15.928571428571431</c:v>
                </c:pt>
                <c:pt idx="1">
                  <c:v>3.285714285714286</c:v>
                </c:pt>
                <c:pt idx="2">
                  <c:v>2.714285714285714</c:v>
                </c:pt>
                <c:pt idx="3">
                  <c:v>1.642857142857143</c:v>
                </c:pt>
                <c:pt idx="4">
                  <c:v>5.0714285714285721</c:v>
                </c:pt>
                <c:pt idx="5">
                  <c:v>3.214285714285714</c:v>
                </c:pt>
                <c:pt idx="6">
                  <c:v>1.857142857142857</c:v>
                </c:pt>
                <c:pt idx="7">
                  <c:v>4.7857142857142856</c:v>
                </c:pt>
                <c:pt idx="8">
                  <c:v>12.42857142857142</c:v>
                </c:pt>
                <c:pt idx="9">
                  <c:v>1.7142857142857151</c:v>
                </c:pt>
                <c:pt idx="10">
                  <c:v>3.5</c:v>
                </c:pt>
                <c:pt idx="11">
                  <c:v>1.357142857142857</c:v>
                </c:pt>
                <c:pt idx="12">
                  <c:v>3</c:v>
                </c:pt>
                <c:pt idx="13">
                  <c:v>3.214285714285714</c:v>
                </c:pt>
                <c:pt idx="14">
                  <c:v>7.0714285714285721</c:v>
                </c:pt>
                <c:pt idx="15">
                  <c:v>11.142857142857141</c:v>
                </c:pt>
                <c:pt idx="16">
                  <c:v>8.2142857142857135</c:v>
                </c:pt>
                <c:pt idx="17">
                  <c:v>8.2857142857142847</c:v>
                </c:pt>
                <c:pt idx="18">
                  <c:v>1.0714285714285721</c:v>
                </c:pt>
                <c:pt idx="19">
                  <c:v>2.1428571428571428</c:v>
                </c:pt>
                <c:pt idx="20">
                  <c:v>0.78571428571428603</c:v>
                </c:pt>
                <c:pt idx="21">
                  <c:v>3.0714285714285712</c:v>
                </c:pt>
                <c:pt idx="22">
                  <c:v>0.57142857142857195</c:v>
                </c:pt>
                <c:pt idx="23">
                  <c:v>5.0714285714285721</c:v>
                </c:pt>
                <c:pt idx="24">
                  <c:v>7</c:v>
                </c:pt>
                <c:pt idx="25">
                  <c:v>6.8571428571428488</c:v>
                </c:pt>
                <c:pt idx="26">
                  <c:v>5.5</c:v>
                </c:pt>
              </c:numCache>
            </c:numRef>
          </c:xVal>
          <c:yVal>
            <c:numRef>
              <c:f>Sheet2!$D$31:$D$57</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4-AF2A-46B6-8D69-B31DA2EDA9BB}"/>
            </c:ext>
          </c:extLst>
        </c:ser>
        <c:dLbls>
          <c:showLegendKey val="0"/>
          <c:showVal val="0"/>
          <c:showCatName val="0"/>
          <c:showSerName val="0"/>
          <c:showPercent val="0"/>
          <c:showBubbleSize val="0"/>
        </c:dLbls>
        <c:axId val="133920256"/>
        <c:axId val="133922176"/>
      </c:scatterChart>
      <c:valAx>
        <c:axId val="1339202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silicate (µM)</a:t>
                </a:r>
              </a:p>
            </c:rich>
          </c:tx>
          <c:layout/>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922176"/>
        <c:crosses val="autoZero"/>
        <c:crossBetween val="midCat"/>
      </c:valAx>
      <c:valAx>
        <c:axId val="1339221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chl-a (µgL</a:t>
                </a:r>
                <a:r>
                  <a:rPr lang="en-GB" sz="1000" b="0" i="0" u="none" strike="noStrike" baseline="30000">
                    <a:effectLst/>
                  </a:rPr>
                  <a:t>-1</a:t>
                </a:r>
                <a:r>
                  <a:rPr lang="en-GB" sz="1000" b="0" i="0" u="none" strike="noStrike" baseline="0">
                    <a:effectLst/>
                  </a:rPr>
                  <a:t> </a:t>
                </a:r>
                <a:r>
                  <a:rPr lang="en-US" sz="100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1.7475766973114398E-2"/>
              <c:y val="0.2226030239809767"/>
            </c:manualLayout>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920256"/>
        <c:crosses val="autoZero"/>
        <c:crossBetween val="midCat"/>
        <c:majorUnit val="0.05"/>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857726333037103"/>
          <c:y val="7.3949579831932802E-2"/>
          <c:w val="0.64260021474588402"/>
          <c:h val="0.67866244938349596"/>
        </c:manualLayout>
      </c:layout>
      <c:scatterChart>
        <c:scatterStyle val="lineMarker"/>
        <c:varyColors val="0"/>
        <c:ser>
          <c:idx val="0"/>
          <c:order val="0"/>
          <c:tx>
            <c:strRef>
              <c:f>Sheet2!$D$59</c:f>
              <c:strCache>
                <c:ptCount val="1"/>
                <c:pt idx="0">
                  <c:v>chl-a(µg/L)</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7749425678346338E-2"/>
                  <c:y val="-0.37686302126652055"/>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Sheet2!$C$60:$C$86</c:f>
              <c:numCache>
                <c:formatCode>0.00</c:formatCode>
                <c:ptCount val="27"/>
                <c:pt idx="0">
                  <c:v>14.216434522673801</c:v>
                </c:pt>
                <c:pt idx="1">
                  <c:v>13.570883419194811</c:v>
                </c:pt>
                <c:pt idx="2">
                  <c:v>11.8560389238695</c:v>
                </c:pt>
                <c:pt idx="3">
                  <c:v>10.63410290657</c:v>
                </c:pt>
                <c:pt idx="4">
                  <c:v>11.832188513642439</c:v>
                </c:pt>
                <c:pt idx="5">
                  <c:v>12.688418240793739</c:v>
                </c:pt>
                <c:pt idx="6">
                  <c:v>12.0277618775043</c:v>
                </c:pt>
                <c:pt idx="7">
                  <c:v>12.511925205113529</c:v>
                </c:pt>
                <c:pt idx="8">
                  <c:v>10.353463079564969</c:v>
                </c:pt>
                <c:pt idx="9">
                  <c:v>9.7659479743051598</c:v>
                </c:pt>
                <c:pt idx="10">
                  <c:v>12.092157985117341</c:v>
                </c:pt>
                <c:pt idx="11">
                  <c:v>8.175920625834765</c:v>
                </c:pt>
                <c:pt idx="12">
                  <c:v>14.17032372956815</c:v>
                </c:pt>
                <c:pt idx="13">
                  <c:v>11.35279526807861</c:v>
                </c:pt>
                <c:pt idx="14">
                  <c:v>12.502385041022711</c:v>
                </c:pt>
                <c:pt idx="15">
                  <c:v>13.44368123131718</c:v>
                </c:pt>
                <c:pt idx="16">
                  <c:v>11.83934363671055</c:v>
                </c:pt>
                <c:pt idx="17">
                  <c:v>12.50954016409082</c:v>
                </c:pt>
                <c:pt idx="18">
                  <c:v>12.65661769382433</c:v>
                </c:pt>
                <c:pt idx="19">
                  <c:v>11.817878267506201</c:v>
                </c:pt>
                <c:pt idx="20">
                  <c:v>8.7315294569180484</c:v>
                </c:pt>
                <c:pt idx="21">
                  <c:v>9.7486087123392675</c:v>
                </c:pt>
                <c:pt idx="22">
                  <c:v>11.10631356745346</c:v>
                </c:pt>
                <c:pt idx="23">
                  <c:v>11.2351332442918</c:v>
                </c:pt>
                <c:pt idx="24">
                  <c:v>11.2645487502385</c:v>
                </c:pt>
                <c:pt idx="25">
                  <c:v>1.546301596387458</c:v>
                </c:pt>
                <c:pt idx="26">
                  <c:v>12.09215798511735</c:v>
                </c:pt>
              </c:numCache>
            </c:numRef>
          </c:xVal>
          <c:yVal>
            <c:numRef>
              <c:f>Sheet2!$D$60:$D$86</c:f>
              <c:numCache>
                <c:formatCode>General</c:formatCode>
                <c:ptCount val="27"/>
                <c:pt idx="0">
                  <c:v>0.142073333333333</c:v>
                </c:pt>
                <c:pt idx="1">
                  <c:v>6.10466666666667E-2</c:v>
                </c:pt>
                <c:pt idx="2">
                  <c:v>2.0070000000000001E-2</c:v>
                </c:pt>
                <c:pt idx="3">
                  <c:v>8.0356666666666701E-2</c:v>
                </c:pt>
                <c:pt idx="4">
                  <c:v>6.8556666666666696E-2</c:v>
                </c:pt>
                <c:pt idx="5">
                  <c:v>3.16633333333333E-2</c:v>
                </c:pt>
                <c:pt idx="6">
                  <c:v>5.4706666666666702E-2</c:v>
                </c:pt>
                <c:pt idx="7">
                  <c:v>0.12131</c:v>
                </c:pt>
                <c:pt idx="8">
                  <c:v>8.2419999999999993E-2</c:v>
                </c:pt>
                <c:pt idx="9">
                  <c:v>6.7233333333333298E-2</c:v>
                </c:pt>
                <c:pt idx="10">
                  <c:v>8.1533333333333301E-3</c:v>
                </c:pt>
                <c:pt idx="11">
                  <c:v>3.2416666666666698E-2</c:v>
                </c:pt>
                <c:pt idx="12">
                  <c:v>4.5670000000000002E-2</c:v>
                </c:pt>
                <c:pt idx="13">
                  <c:v>4.4803333333333299E-2</c:v>
                </c:pt>
                <c:pt idx="14">
                  <c:v>2.2466666666666701E-2</c:v>
                </c:pt>
                <c:pt idx="15">
                  <c:v>3.7670000000000002E-2</c:v>
                </c:pt>
                <c:pt idx="16">
                  <c:v>5.8266666666666703E-2</c:v>
                </c:pt>
                <c:pt idx="17">
                  <c:v>2.0166666666666701E-2</c:v>
                </c:pt>
                <c:pt idx="18">
                  <c:v>0.12125</c:v>
                </c:pt>
                <c:pt idx="19">
                  <c:v>6.3476666666666695E-2</c:v>
                </c:pt>
                <c:pt idx="20">
                  <c:v>3.6723333333333302E-2</c:v>
                </c:pt>
                <c:pt idx="21">
                  <c:v>6.2536666666666699E-2</c:v>
                </c:pt>
                <c:pt idx="22">
                  <c:v>9.0993333333333301E-2</c:v>
                </c:pt>
                <c:pt idx="23">
                  <c:v>8.0589999999999995E-2</c:v>
                </c:pt>
                <c:pt idx="24">
                  <c:v>0.105723333333333</c:v>
                </c:pt>
                <c:pt idx="25">
                  <c:v>5.883E-2</c:v>
                </c:pt>
                <c:pt idx="26">
                  <c:v>3.4086666666666703E-2</c:v>
                </c:pt>
              </c:numCache>
            </c:numRef>
          </c:yVal>
          <c:smooth val="0"/>
          <c:extLst xmlns:c16r2="http://schemas.microsoft.com/office/drawing/2015/06/chart">
            <c:ext xmlns:c16="http://schemas.microsoft.com/office/drawing/2014/chart" uri="{C3380CC4-5D6E-409C-BE32-E72D297353CC}">
              <c16:uniqueId val="{00000001-F98E-42F7-B1BC-25EDD5423F48}"/>
            </c:ext>
          </c:extLst>
        </c:ser>
        <c:dLbls>
          <c:showLegendKey val="0"/>
          <c:showVal val="0"/>
          <c:showCatName val="0"/>
          <c:showSerName val="0"/>
          <c:showPercent val="0"/>
          <c:showBubbleSize val="0"/>
        </c:dLbls>
        <c:axId val="133518080"/>
        <c:axId val="133520000"/>
      </c:scatterChart>
      <c:valAx>
        <c:axId val="1335180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DOC (µM)</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520000"/>
        <c:crosses val="autoZero"/>
        <c:crossBetween val="midCat"/>
      </c:valAx>
      <c:valAx>
        <c:axId val="13352000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chl-a (µgL</a:t>
                </a:r>
                <a:r>
                  <a:rPr lang="en-GB" sz="1000" b="0" i="0" u="none" strike="noStrike" baseline="30000">
                    <a:effectLst/>
                  </a:rPr>
                  <a:t>-1</a:t>
                </a:r>
                <a:r>
                  <a:rPr lang="en-GB" sz="1000" b="0" i="0" u="none" strike="noStrike" baseline="0">
                    <a:effectLst/>
                  </a:rPr>
                  <a:t> </a:t>
                </a:r>
                <a:r>
                  <a:rPr lang="en-US" sz="100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2.1498674089529501E-2"/>
              <c:y val="0.21862227157502748"/>
            </c:manualLayout>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518080"/>
        <c:crosses val="autoZero"/>
        <c:crossBetween val="midCat"/>
        <c:majorUnit val="0.05"/>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758080632311801"/>
          <c:y val="7.3701842546063698E-2"/>
          <c:w val="0.69659758127419902"/>
          <c:h val="0.682389902267242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30168269782603702"/>
                  <c:y val="-0.147265461164088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TD!$R$117:$R$149</c:f>
              <c:numCache>
                <c:formatCode>0.0000</c:formatCode>
                <c:ptCount val="33"/>
                <c:pt idx="0">
                  <c:v>0.23530000000000001</c:v>
                </c:pt>
                <c:pt idx="1">
                  <c:v>0.21010000000000001</c:v>
                </c:pt>
                <c:pt idx="2">
                  <c:v>0.15970000000000001</c:v>
                </c:pt>
                <c:pt idx="3">
                  <c:v>0.2437</c:v>
                </c:pt>
                <c:pt idx="4">
                  <c:v>0.22689999999999999</c:v>
                </c:pt>
                <c:pt idx="5">
                  <c:v>0.15129999999999999</c:v>
                </c:pt>
                <c:pt idx="6">
                  <c:v>0.1681</c:v>
                </c:pt>
                <c:pt idx="7">
                  <c:v>0.1429</c:v>
                </c:pt>
                <c:pt idx="8">
                  <c:v>0.22689999999999999</c:v>
                </c:pt>
                <c:pt idx="9">
                  <c:v>0.12609999999999999</c:v>
                </c:pt>
                <c:pt idx="10">
                  <c:v>9.2399999999999996E-2</c:v>
                </c:pt>
                <c:pt idx="11">
                  <c:v>0.10920000000000001</c:v>
                </c:pt>
                <c:pt idx="12">
                  <c:v>5.8799999999999998E-2</c:v>
                </c:pt>
                <c:pt idx="13">
                  <c:v>3.3599999999999998E-2</c:v>
                </c:pt>
                <c:pt idx="14">
                  <c:v>0.29409999999999997</c:v>
                </c:pt>
                <c:pt idx="15">
                  <c:v>0.22689999999999999</c:v>
                </c:pt>
                <c:pt idx="16">
                  <c:v>0.21010000000000001</c:v>
                </c:pt>
                <c:pt idx="17">
                  <c:v>0.12609999999999999</c:v>
                </c:pt>
                <c:pt idx="18">
                  <c:v>0.20169999999999999</c:v>
                </c:pt>
                <c:pt idx="19">
                  <c:v>9.2399999999999996E-2</c:v>
                </c:pt>
                <c:pt idx="20">
                  <c:v>0.1176</c:v>
                </c:pt>
                <c:pt idx="21">
                  <c:v>0.27729999999999999</c:v>
                </c:pt>
                <c:pt idx="22">
                  <c:v>2.52E-2</c:v>
                </c:pt>
                <c:pt idx="23">
                  <c:v>0.1008</c:v>
                </c:pt>
                <c:pt idx="24">
                  <c:v>0.10920000000000001</c:v>
                </c:pt>
                <c:pt idx="25">
                  <c:v>0.1008</c:v>
                </c:pt>
                <c:pt idx="26">
                  <c:v>0.1176</c:v>
                </c:pt>
                <c:pt idx="27">
                  <c:v>5.8799999999999998E-2</c:v>
                </c:pt>
                <c:pt idx="28">
                  <c:v>5.04E-2</c:v>
                </c:pt>
                <c:pt idx="29">
                  <c:v>9.2399999999999996E-2</c:v>
                </c:pt>
                <c:pt idx="30">
                  <c:v>0.15129999999999999</c:v>
                </c:pt>
                <c:pt idx="31">
                  <c:v>0.12609999999999999</c:v>
                </c:pt>
                <c:pt idx="32">
                  <c:v>0.23530000000000001</c:v>
                </c:pt>
              </c:numCache>
            </c:numRef>
          </c:xVal>
          <c:yVal>
            <c:numRef>
              <c:f>TD!$S$117:$S$149</c:f>
              <c:numCache>
                <c:formatCode>General</c:formatCode>
                <c:ptCount val="33"/>
                <c:pt idx="0">
                  <c:v>0.12125</c:v>
                </c:pt>
                <c:pt idx="1">
                  <c:v>0.12846666666666701</c:v>
                </c:pt>
                <c:pt idx="2">
                  <c:v>0.223563333333333</c:v>
                </c:pt>
                <c:pt idx="3">
                  <c:v>0.218236666666667</c:v>
                </c:pt>
                <c:pt idx="4">
                  <c:v>0.40887000000000001</c:v>
                </c:pt>
                <c:pt idx="5">
                  <c:v>6.3476666666666695E-2</c:v>
                </c:pt>
                <c:pt idx="6">
                  <c:v>6.9396666666666704E-2</c:v>
                </c:pt>
                <c:pt idx="7">
                  <c:v>7.8543333333333396E-2</c:v>
                </c:pt>
                <c:pt idx="8">
                  <c:v>6.3493333333333304E-2</c:v>
                </c:pt>
                <c:pt idx="9">
                  <c:v>9.7013333333333299E-2</c:v>
                </c:pt>
                <c:pt idx="10">
                  <c:v>0.213733333333333</c:v>
                </c:pt>
                <c:pt idx="11">
                  <c:v>0.33245999999999998</c:v>
                </c:pt>
                <c:pt idx="12">
                  <c:v>3.6723333333333302E-2</c:v>
                </c:pt>
                <c:pt idx="13">
                  <c:v>3.4526666666666699E-2</c:v>
                </c:pt>
                <c:pt idx="14">
                  <c:v>7.0519999999999999E-2</c:v>
                </c:pt>
                <c:pt idx="15">
                  <c:v>0.10788666666666701</c:v>
                </c:pt>
                <c:pt idx="16">
                  <c:v>5.7500000000000002E-2</c:v>
                </c:pt>
                <c:pt idx="17">
                  <c:v>0.18479999999999999</c:v>
                </c:pt>
                <c:pt idx="18">
                  <c:v>0.32702666666666702</c:v>
                </c:pt>
                <c:pt idx="19">
                  <c:v>6.2536666666666699E-2</c:v>
                </c:pt>
                <c:pt idx="20">
                  <c:v>8.5266666666666699E-2</c:v>
                </c:pt>
                <c:pt idx="21">
                  <c:v>0.10798000000000001</c:v>
                </c:pt>
                <c:pt idx="22">
                  <c:v>7.5906666666666706E-2</c:v>
                </c:pt>
                <c:pt idx="23">
                  <c:v>0.29052666666666699</c:v>
                </c:pt>
                <c:pt idx="24">
                  <c:v>0.14573</c:v>
                </c:pt>
                <c:pt idx="25">
                  <c:v>0.219063333333333</c:v>
                </c:pt>
                <c:pt idx="26">
                  <c:v>9.0993333333333301E-2</c:v>
                </c:pt>
                <c:pt idx="27">
                  <c:v>7.1586666666666701E-2</c:v>
                </c:pt>
                <c:pt idx="28">
                  <c:v>0.107226666666667</c:v>
                </c:pt>
                <c:pt idx="29">
                  <c:v>7.9326666666666698E-2</c:v>
                </c:pt>
                <c:pt idx="30">
                  <c:v>0.23386000000000001</c:v>
                </c:pt>
                <c:pt idx="31">
                  <c:v>0.17510666666666699</c:v>
                </c:pt>
                <c:pt idx="32">
                  <c:v>0.28497</c:v>
                </c:pt>
              </c:numCache>
            </c:numRef>
          </c:yVal>
          <c:smooth val="0"/>
          <c:extLst xmlns:c16r2="http://schemas.microsoft.com/office/drawing/2015/06/chart">
            <c:ext xmlns:c16="http://schemas.microsoft.com/office/drawing/2014/chart" uri="{C3380CC4-5D6E-409C-BE32-E72D297353CC}">
              <c16:uniqueId val="{00000001-530B-4D9C-B659-44BA39A99818}"/>
            </c:ext>
          </c:extLst>
        </c:ser>
        <c:dLbls>
          <c:showLegendKey val="0"/>
          <c:showVal val="0"/>
          <c:showCatName val="0"/>
          <c:showSerName val="0"/>
          <c:showPercent val="0"/>
          <c:showBubbleSize val="0"/>
        </c:dLbls>
        <c:axId val="186862208"/>
        <c:axId val="134039424"/>
      </c:scatterChart>
      <c:valAx>
        <c:axId val="1868622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phosphate (µM)</a:t>
                </a:r>
              </a:p>
            </c:rich>
          </c:tx>
          <c:layout/>
          <c:overlay val="0"/>
          <c:spPr>
            <a:noFill/>
            <a:ln>
              <a:noFill/>
            </a:ln>
            <a:effectLst/>
          </c:spPr>
        </c:title>
        <c:numFmt formatCode="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39424"/>
        <c:crosses val="autoZero"/>
        <c:crossBetween val="midCat"/>
      </c:valAx>
      <c:valAx>
        <c:axId val="1340394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a:t>
                </a:r>
                <a:r>
                  <a:rPr lang="ms-MY" baseline="0">
                    <a:solidFill>
                      <a:sysClr val="windowText" lastClr="000000"/>
                    </a:solidFill>
                    <a:latin typeface="Times New Roman" panose="02020603050405020304" pitchFamily="18" charset="0"/>
                    <a:cs typeface="Times New Roman" panose="02020603050405020304" pitchFamily="18" charset="0"/>
                  </a:rPr>
                  <a:t>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baseline="0">
                    <a:solidFill>
                      <a:sysClr val="windowText" lastClr="000000"/>
                    </a:solidFill>
                    <a:latin typeface="Times New Roman" panose="02020603050405020304" pitchFamily="18" charset="0"/>
                    <a:cs typeface="Times New Roman" panose="02020603050405020304" pitchFamily="18" charset="0"/>
                  </a:rPr>
                  <a:t>)</a:t>
                </a:r>
                <a:endParaRPr lang="ms-MY">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6862208"/>
        <c:crosses val="autoZero"/>
        <c:crossBetween val="midCat"/>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43025109671201"/>
          <c:y val="7.3701842546063698E-2"/>
          <c:w val="0.69587160960023298"/>
          <c:h val="0.682389902267242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91306582172724"/>
                  <c:y val="-0.23424313166884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TA!$C$187:$C$228</c:f>
              <c:numCache>
                <c:formatCode>0.0000</c:formatCode>
                <c:ptCount val="42"/>
                <c:pt idx="0">
                  <c:v>0.31929999999999997</c:v>
                </c:pt>
                <c:pt idx="1">
                  <c:v>0.33610000000000001</c:v>
                </c:pt>
                <c:pt idx="2">
                  <c:v>0.34449999999999997</c:v>
                </c:pt>
                <c:pt idx="3">
                  <c:v>0.3866</c:v>
                </c:pt>
                <c:pt idx="4">
                  <c:v>4.2000000000000003E-2</c:v>
                </c:pt>
                <c:pt idx="5">
                  <c:v>6.7199999999999996E-2</c:v>
                </c:pt>
                <c:pt idx="6">
                  <c:v>0.33610000000000001</c:v>
                </c:pt>
                <c:pt idx="7">
                  <c:v>0.34449999999999997</c:v>
                </c:pt>
                <c:pt idx="8">
                  <c:v>0.37819999999999998</c:v>
                </c:pt>
                <c:pt idx="9">
                  <c:v>0.17649999999999999</c:v>
                </c:pt>
                <c:pt idx="10">
                  <c:v>0.1933</c:v>
                </c:pt>
                <c:pt idx="11">
                  <c:v>0.22689999999999999</c:v>
                </c:pt>
                <c:pt idx="12">
                  <c:v>0.1008</c:v>
                </c:pt>
                <c:pt idx="13">
                  <c:v>0.31090000000000001</c:v>
                </c:pt>
                <c:pt idx="14">
                  <c:v>0.31929999999999997</c:v>
                </c:pt>
                <c:pt idx="15">
                  <c:v>0.21010000000000001</c:v>
                </c:pt>
                <c:pt idx="16">
                  <c:v>0.25209999999999999</c:v>
                </c:pt>
                <c:pt idx="17">
                  <c:v>0.26050000000000001</c:v>
                </c:pt>
                <c:pt idx="18">
                  <c:v>2.52E-2</c:v>
                </c:pt>
                <c:pt idx="19">
                  <c:v>0.30249999999999999</c:v>
                </c:pt>
                <c:pt idx="20">
                  <c:v>0.35289999999999999</c:v>
                </c:pt>
                <c:pt idx="21">
                  <c:v>3.3599999999999998E-2</c:v>
                </c:pt>
                <c:pt idx="22">
                  <c:v>5.8799999999999998E-2</c:v>
                </c:pt>
                <c:pt idx="23">
                  <c:v>0.44540000000000002</c:v>
                </c:pt>
                <c:pt idx="24">
                  <c:v>0.20169999999999999</c:v>
                </c:pt>
                <c:pt idx="25">
                  <c:v>0.32769999999999999</c:v>
                </c:pt>
                <c:pt idx="26">
                  <c:v>0.25209999999999999</c:v>
                </c:pt>
                <c:pt idx="27">
                  <c:v>0.28570000000000001</c:v>
                </c:pt>
                <c:pt idx="28">
                  <c:v>9.2399999999999996E-2</c:v>
                </c:pt>
                <c:pt idx="29">
                  <c:v>7.5600000000000001E-2</c:v>
                </c:pt>
                <c:pt idx="30">
                  <c:v>0.12609999999999999</c:v>
                </c:pt>
                <c:pt idx="31">
                  <c:v>0.1176</c:v>
                </c:pt>
                <c:pt idx="32">
                  <c:v>8.4000000000000005E-2</c:v>
                </c:pt>
                <c:pt idx="33">
                  <c:v>0.15970000000000001</c:v>
                </c:pt>
                <c:pt idx="34">
                  <c:v>9.2399999999999996E-2</c:v>
                </c:pt>
                <c:pt idx="35">
                  <c:v>7.5600000000000001E-2</c:v>
                </c:pt>
                <c:pt idx="36">
                  <c:v>0.1008</c:v>
                </c:pt>
                <c:pt idx="37">
                  <c:v>9.2399999999999996E-2</c:v>
                </c:pt>
                <c:pt idx="38">
                  <c:v>0.1176</c:v>
                </c:pt>
                <c:pt idx="39">
                  <c:v>0.12609999999999999</c:v>
                </c:pt>
                <c:pt idx="40">
                  <c:v>0.10920000000000001</c:v>
                </c:pt>
                <c:pt idx="41">
                  <c:v>0.15129999999999999</c:v>
                </c:pt>
              </c:numCache>
            </c:numRef>
          </c:xVal>
          <c:yVal>
            <c:numRef>
              <c:f>TA!$D$187:$D$228</c:f>
              <c:numCache>
                <c:formatCode>General</c:formatCode>
                <c:ptCount val="42"/>
                <c:pt idx="0">
                  <c:v>0.11246666666666701</c:v>
                </c:pt>
                <c:pt idx="1">
                  <c:v>0.56771666666666698</c:v>
                </c:pt>
                <c:pt idx="2">
                  <c:v>8.8236666666666699E-2</c:v>
                </c:pt>
                <c:pt idx="3">
                  <c:v>0.142073333333333</c:v>
                </c:pt>
                <c:pt idx="4">
                  <c:v>0.288376666666667</c:v>
                </c:pt>
                <c:pt idx="5">
                  <c:v>5.5243333333333297E-2</c:v>
                </c:pt>
                <c:pt idx="6">
                  <c:v>7.7873333333333405E-2</c:v>
                </c:pt>
                <c:pt idx="7">
                  <c:v>3.4066666666666703E-2</c:v>
                </c:pt>
                <c:pt idx="8">
                  <c:v>6.10466666666667E-2</c:v>
                </c:pt>
                <c:pt idx="9">
                  <c:v>0.41888999999999998</c:v>
                </c:pt>
                <c:pt idx="10">
                  <c:v>0.36331000000000002</c:v>
                </c:pt>
                <c:pt idx="11">
                  <c:v>6.4820000000000003E-2</c:v>
                </c:pt>
                <c:pt idx="12">
                  <c:v>7.1323333333333405E-2</c:v>
                </c:pt>
                <c:pt idx="13">
                  <c:v>1.0536666666666699E-2</c:v>
                </c:pt>
                <c:pt idx="14">
                  <c:v>2.0070000000000001E-2</c:v>
                </c:pt>
                <c:pt idx="15">
                  <c:v>0.62686333333333299</c:v>
                </c:pt>
                <c:pt idx="16">
                  <c:v>0.60494000000000003</c:v>
                </c:pt>
                <c:pt idx="17">
                  <c:v>0.25708999999999999</c:v>
                </c:pt>
                <c:pt idx="18">
                  <c:v>0.115276666666667</c:v>
                </c:pt>
                <c:pt idx="19">
                  <c:v>0.11026333333333301</c:v>
                </c:pt>
                <c:pt idx="20">
                  <c:v>8.0356666666666701E-2</c:v>
                </c:pt>
                <c:pt idx="21">
                  <c:v>0.39489999999999997</c:v>
                </c:pt>
                <c:pt idx="22">
                  <c:v>0.33100000000000002</c:v>
                </c:pt>
                <c:pt idx="23">
                  <c:v>8.7499999999999994E-2</c:v>
                </c:pt>
                <c:pt idx="24">
                  <c:v>6.25E-2</c:v>
                </c:pt>
                <c:pt idx="25">
                  <c:v>6.3E-2</c:v>
                </c:pt>
                <c:pt idx="26">
                  <c:v>7.5600000000000001E-2</c:v>
                </c:pt>
                <c:pt idx="27">
                  <c:v>6.8599999999999994E-2</c:v>
                </c:pt>
                <c:pt idx="28">
                  <c:v>0.25990000000000002</c:v>
                </c:pt>
                <c:pt idx="29">
                  <c:v>0.10440000000000001</c:v>
                </c:pt>
                <c:pt idx="30">
                  <c:v>0.11990000000000001</c:v>
                </c:pt>
                <c:pt idx="31">
                  <c:v>3.1099999999999999E-2</c:v>
                </c:pt>
                <c:pt idx="32">
                  <c:v>3.1600000000000003E-2</c:v>
                </c:pt>
                <c:pt idx="33">
                  <c:v>2.9600000000000001E-2</c:v>
                </c:pt>
                <c:pt idx="34">
                  <c:v>3.1699999999999999E-2</c:v>
                </c:pt>
                <c:pt idx="35">
                  <c:v>0.2873</c:v>
                </c:pt>
                <c:pt idx="36">
                  <c:v>9.7900000000000001E-2</c:v>
                </c:pt>
                <c:pt idx="37">
                  <c:v>8.3099999999999993E-2</c:v>
                </c:pt>
                <c:pt idx="38">
                  <c:v>7.9600000000000004E-2</c:v>
                </c:pt>
                <c:pt idx="39">
                  <c:v>7.3800000000000004E-2</c:v>
                </c:pt>
                <c:pt idx="40">
                  <c:v>5.7000000000000002E-2</c:v>
                </c:pt>
                <c:pt idx="41">
                  <c:v>5.4699999999999999E-2</c:v>
                </c:pt>
              </c:numCache>
            </c:numRef>
          </c:yVal>
          <c:smooth val="0"/>
          <c:extLst xmlns:c16r2="http://schemas.microsoft.com/office/drawing/2015/06/chart">
            <c:ext xmlns:c16="http://schemas.microsoft.com/office/drawing/2014/chart" uri="{C3380CC4-5D6E-409C-BE32-E72D297353CC}">
              <c16:uniqueId val="{00000001-2995-4AA5-8DD8-E39CE69F43EA}"/>
            </c:ext>
          </c:extLst>
        </c:ser>
        <c:dLbls>
          <c:showLegendKey val="0"/>
          <c:showVal val="0"/>
          <c:showCatName val="0"/>
          <c:showSerName val="0"/>
          <c:showPercent val="0"/>
          <c:showBubbleSize val="0"/>
        </c:dLbls>
        <c:axId val="134061440"/>
        <c:axId val="134075904"/>
      </c:scatterChart>
      <c:valAx>
        <c:axId val="1340614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phosphate</a:t>
                </a:r>
                <a:r>
                  <a:rPr lang="ms-MY" baseline="0">
                    <a:solidFill>
                      <a:sysClr val="windowText" lastClr="000000"/>
                    </a:solidFill>
                    <a:latin typeface="Times New Roman" panose="02020603050405020304" pitchFamily="18" charset="0"/>
                    <a:cs typeface="Times New Roman" panose="02020603050405020304" pitchFamily="18" charset="0"/>
                  </a:rPr>
                  <a:t> (µM)</a:t>
                </a:r>
                <a:endParaRPr lang="ms-MY">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75904"/>
        <c:crosses val="autoZero"/>
        <c:crossBetween val="midCat"/>
      </c:valAx>
      <c:valAx>
        <c:axId val="13407590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a:solidFill>
                      <a:sysClr val="windowText" lastClr="000000"/>
                    </a:solidFill>
                    <a:latin typeface="Times New Roman" panose="02020603050405020304" pitchFamily="18" charset="0"/>
                    <a:cs typeface="Times New Roman" panose="02020603050405020304" pitchFamily="18" charset="0"/>
                  </a:rPr>
                  <a:t>)</a:t>
                </a: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4061440"/>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10594753661501"/>
          <c:y val="8.1481481481481502E-2"/>
          <c:w val="0.73234430024661001"/>
          <c:h val="0.64145698454359901"/>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0578374344865556E-2"/>
                  <c:y val="-0.3833405782749493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TD!$AE$117:$AE$148</c:f>
              <c:numCache>
                <c:formatCode>0.000</c:formatCode>
                <c:ptCount val="32"/>
                <c:pt idx="0">
                  <c:v>2.0714285714285712</c:v>
                </c:pt>
                <c:pt idx="1">
                  <c:v>11</c:v>
                </c:pt>
                <c:pt idx="2">
                  <c:v>8.2857142857142847</c:v>
                </c:pt>
                <c:pt idx="3">
                  <c:v>13.392857142857141</c:v>
                </c:pt>
                <c:pt idx="4">
                  <c:v>1.0714285714285721</c:v>
                </c:pt>
                <c:pt idx="5">
                  <c:v>4</c:v>
                </c:pt>
                <c:pt idx="6">
                  <c:v>16.785714285714221</c:v>
                </c:pt>
                <c:pt idx="7">
                  <c:v>4.4285714285714288</c:v>
                </c:pt>
                <c:pt idx="8">
                  <c:v>5.6428571428571397</c:v>
                </c:pt>
                <c:pt idx="9">
                  <c:v>2.4285714285714302</c:v>
                </c:pt>
                <c:pt idx="10">
                  <c:v>1.785714285714286</c:v>
                </c:pt>
                <c:pt idx="11">
                  <c:v>2.1428571428571428</c:v>
                </c:pt>
                <c:pt idx="12">
                  <c:v>0.35714285714285698</c:v>
                </c:pt>
                <c:pt idx="13">
                  <c:v>2.0714285714285712</c:v>
                </c:pt>
                <c:pt idx="14">
                  <c:v>8</c:v>
                </c:pt>
                <c:pt idx="15">
                  <c:v>2.5714285714285712</c:v>
                </c:pt>
                <c:pt idx="16">
                  <c:v>2.4285714285714302</c:v>
                </c:pt>
                <c:pt idx="17">
                  <c:v>3.6428571428571428</c:v>
                </c:pt>
                <c:pt idx="18">
                  <c:v>0.78571428571428603</c:v>
                </c:pt>
                <c:pt idx="19">
                  <c:v>2.1428571428571428</c:v>
                </c:pt>
                <c:pt idx="20">
                  <c:v>3.6428571428571428</c:v>
                </c:pt>
                <c:pt idx="21">
                  <c:v>2.785714285714286</c:v>
                </c:pt>
                <c:pt idx="22">
                  <c:v>9.5</c:v>
                </c:pt>
                <c:pt idx="23">
                  <c:v>5.7142857142857073</c:v>
                </c:pt>
                <c:pt idx="24">
                  <c:v>3.785714285714286</c:v>
                </c:pt>
                <c:pt idx="25">
                  <c:v>3.0714285714285712</c:v>
                </c:pt>
                <c:pt idx="26">
                  <c:v>4.2142857142857144</c:v>
                </c:pt>
                <c:pt idx="27">
                  <c:v>5.7857142857142856</c:v>
                </c:pt>
                <c:pt idx="28">
                  <c:v>3.5</c:v>
                </c:pt>
                <c:pt idx="29">
                  <c:v>4.9285714285714288</c:v>
                </c:pt>
                <c:pt idx="30">
                  <c:v>11.571428571428569</c:v>
                </c:pt>
                <c:pt idx="31">
                  <c:v>2.9285714285714302</c:v>
                </c:pt>
              </c:numCache>
            </c:numRef>
          </c:xVal>
          <c:yVal>
            <c:numRef>
              <c:f>TD!$AF$117:$AF$148</c:f>
              <c:numCache>
                <c:formatCode>0.000</c:formatCode>
                <c:ptCount val="32"/>
                <c:pt idx="0">
                  <c:v>0.12125</c:v>
                </c:pt>
                <c:pt idx="1">
                  <c:v>0.12846666666666701</c:v>
                </c:pt>
                <c:pt idx="2">
                  <c:v>0.223563333333333</c:v>
                </c:pt>
                <c:pt idx="3">
                  <c:v>0.218236666666667</c:v>
                </c:pt>
                <c:pt idx="4">
                  <c:v>0.40887000000000001</c:v>
                </c:pt>
                <c:pt idx="5">
                  <c:v>6.3476666666666695E-2</c:v>
                </c:pt>
                <c:pt idx="6">
                  <c:v>6.9396666666666704E-2</c:v>
                </c:pt>
                <c:pt idx="7">
                  <c:v>7.8543333333333396E-2</c:v>
                </c:pt>
                <c:pt idx="8">
                  <c:v>6.3493333333333304E-2</c:v>
                </c:pt>
                <c:pt idx="9">
                  <c:v>9.7013333333333299E-2</c:v>
                </c:pt>
                <c:pt idx="10">
                  <c:v>0.213733333333333</c:v>
                </c:pt>
                <c:pt idx="11">
                  <c:v>0.33245999999999998</c:v>
                </c:pt>
                <c:pt idx="12">
                  <c:v>3.6723333333333302E-2</c:v>
                </c:pt>
                <c:pt idx="13">
                  <c:v>3.4526666666666699E-2</c:v>
                </c:pt>
                <c:pt idx="14">
                  <c:v>7.0519999999999999E-2</c:v>
                </c:pt>
                <c:pt idx="15">
                  <c:v>0.10788666666666701</c:v>
                </c:pt>
                <c:pt idx="16">
                  <c:v>5.7500000000000002E-2</c:v>
                </c:pt>
                <c:pt idx="17">
                  <c:v>0.18479999999999999</c:v>
                </c:pt>
                <c:pt idx="18">
                  <c:v>0.32702666666666702</c:v>
                </c:pt>
                <c:pt idx="19">
                  <c:v>6.2536666666666699E-2</c:v>
                </c:pt>
                <c:pt idx="20">
                  <c:v>8.5266666666666699E-2</c:v>
                </c:pt>
                <c:pt idx="21">
                  <c:v>0.10798000000000001</c:v>
                </c:pt>
                <c:pt idx="22">
                  <c:v>7.5906666666666706E-2</c:v>
                </c:pt>
                <c:pt idx="23">
                  <c:v>0.29052666666666699</c:v>
                </c:pt>
                <c:pt idx="24">
                  <c:v>0.14573</c:v>
                </c:pt>
                <c:pt idx="25">
                  <c:v>0.219063333333333</c:v>
                </c:pt>
                <c:pt idx="26">
                  <c:v>9.0993333333333301E-2</c:v>
                </c:pt>
                <c:pt idx="27">
                  <c:v>7.1586666666666701E-2</c:v>
                </c:pt>
                <c:pt idx="28">
                  <c:v>0.107226666666667</c:v>
                </c:pt>
                <c:pt idx="29">
                  <c:v>7.9326666666666698E-2</c:v>
                </c:pt>
                <c:pt idx="30">
                  <c:v>0.23386000000000001</c:v>
                </c:pt>
                <c:pt idx="31">
                  <c:v>0.17510666666666699</c:v>
                </c:pt>
              </c:numCache>
            </c:numRef>
          </c:yVal>
          <c:smooth val="0"/>
          <c:extLst xmlns:c16r2="http://schemas.microsoft.com/office/drawing/2015/06/chart">
            <c:ext xmlns:c16="http://schemas.microsoft.com/office/drawing/2014/chart" uri="{C3380CC4-5D6E-409C-BE32-E72D297353CC}">
              <c16:uniqueId val="{00000001-52E2-49A1-883A-0DB2D8D81AAD}"/>
            </c:ext>
          </c:extLst>
        </c:ser>
        <c:dLbls>
          <c:showLegendKey val="0"/>
          <c:showVal val="0"/>
          <c:showCatName val="0"/>
          <c:showSerName val="0"/>
          <c:showPercent val="0"/>
          <c:showBubbleSize val="0"/>
        </c:dLbls>
        <c:axId val="187205504"/>
        <c:axId val="187211776"/>
      </c:scatterChart>
      <c:valAx>
        <c:axId val="1872055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silicate (µM)</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7211776"/>
        <c:crosses val="autoZero"/>
        <c:crossBetween val="midCat"/>
      </c:valAx>
      <c:valAx>
        <c:axId val="1872117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a:t>
                </a:r>
                <a:r>
                  <a:rPr lang="ms-MY" baseline="0">
                    <a:solidFill>
                      <a:sysClr val="windowText" lastClr="000000"/>
                    </a:solidFill>
                    <a:latin typeface="Times New Roman" panose="02020603050405020304" pitchFamily="18" charset="0"/>
                    <a:cs typeface="Times New Roman" panose="02020603050405020304" pitchFamily="18" charset="0"/>
                  </a:rPr>
                  <a:t>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baseline="0">
                    <a:solidFill>
                      <a:sysClr val="windowText" lastClr="000000"/>
                    </a:solidFill>
                    <a:latin typeface="Times New Roman" panose="02020603050405020304" pitchFamily="18" charset="0"/>
                    <a:cs typeface="Times New Roman" panose="02020603050405020304" pitchFamily="18" charset="0"/>
                  </a:rPr>
                  <a:t>)</a:t>
                </a:r>
                <a:endParaRPr lang="ms-MY">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90819866980493E-2"/>
              <c:y val="0.22388101487314099"/>
            </c:manualLayout>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7205504"/>
        <c:crosses val="autoZero"/>
        <c:crossBetween val="midCat"/>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63561999441801"/>
          <c:y val="8.1481481481481502E-2"/>
          <c:w val="0.73429346595546396"/>
          <c:h val="0.64886439195100598"/>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5.3799002466681699E-2"/>
                  <c:y val="-0.1452825896762900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TA!$Q$144:$Q$185</c:f>
              <c:numCache>
                <c:formatCode>0.000</c:formatCode>
                <c:ptCount val="42"/>
                <c:pt idx="0">
                  <c:v>2.285714285714286</c:v>
                </c:pt>
                <c:pt idx="1">
                  <c:v>2.785714285714286</c:v>
                </c:pt>
                <c:pt idx="2">
                  <c:v>3.285714285714286</c:v>
                </c:pt>
                <c:pt idx="3">
                  <c:v>15.928571428571431</c:v>
                </c:pt>
                <c:pt idx="4">
                  <c:v>3.9285714285714302</c:v>
                </c:pt>
                <c:pt idx="5">
                  <c:v>1.0714285714285721</c:v>
                </c:pt>
                <c:pt idx="6">
                  <c:v>2.6428571428571428</c:v>
                </c:pt>
                <c:pt idx="7">
                  <c:v>1.5</c:v>
                </c:pt>
                <c:pt idx="8">
                  <c:v>3.285714285714286</c:v>
                </c:pt>
                <c:pt idx="9">
                  <c:v>5.5714285714285712</c:v>
                </c:pt>
                <c:pt idx="10">
                  <c:v>4.2142857142857144</c:v>
                </c:pt>
                <c:pt idx="11">
                  <c:v>2.285714285714286</c:v>
                </c:pt>
                <c:pt idx="12">
                  <c:v>4</c:v>
                </c:pt>
                <c:pt idx="13">
                  <c:v>5</c:v>
                </c:pt>
                <c:pt idx="14">
                  <c:v>2.714285714285714</c:v>
                </c:pt>
                <c:pt idx="15">
                  <c:v>39</c:v>
                </c:pt>
                <c:pt idx="16">
                  <c:v>3</c:v>
                </c:pt>
                <c:pt idx="17">
                  <c:v>2.4285714285714302</c:v>
                </c:pt>
                <c:pt idx="18">
                  <c:v>5.4285714285714288</c:v>
                </c:pt>
                <c:pt idx="19">
                  <c:v>1.357142857142857</c:v>
                </c:pt>
                <c:pt idx="20">
                  <c:v>1.642857142857143</c:v>
                </c:pt>
                <c:pt idx="21">
                  <c:v>38.785714285714278</c:v>
                </c:pt>
                <c:pt idx="22">
                  <c:v>11.428571428571431</c:v>
                </c:pt>
                <c:pt idx="23">
                  <c:v>1.5714285714285721</c:v>
                </c:pt>
                <c:pt idx="24">
                  <c:v>2.1428571428571428</c:v>
                </c:pt>
                <c:pt idx="25">
                  <c:v>1.5714285714285721</c:v>
                </c:pt>
                <c:pt idx="26">
                  <c:v>6.2142857142857073</c:v>
                </c:pt>
                <c:pt idx="27">
                  <c:v>5.0714285714285721</c:v>
                </c:pt>
                <c:pt idx="28">
                  <c:v>18.142857142857149</c:v>
                </c:pt>
                <c:pt idx="29">
                  <c:v>10.857142857142859</c:v>
                </c:pt>
                <c:pt idx="30">
                  <c:v>1.142857142857143</c:v>
                </c:pt>
                <c:pt idx="31">
                  <c:v>10.5</c:v>
                </c:pt>
                <c:pt idx="32">
                  <c:v>9.6428571428571299</c:v>
                </c:pt>
                <c:pt idx="33">
                  <c:v>7.9285714285714288</c:v>
                </c:pt>
                <c:pt idx="34">
                  <c:v>3.214285714285714</c:v>
                </c:pt>
                <c:pt idx="35">
                  <c:v>37.785714285714278</c:v>
                </c:pt>
                <c:pt idx="36">
                  <c:v>6.8571428571428488</c:v>
                </c:pt>
                <c:pt idx="37">
                  <c:v>8.1428571428571406</c:v>
                </c:pt>
                <c:pt idx="38">
                  <c:v>5.4285714285714288</c:v>
                </c:pt>
                <c:pt idx="39">
                  <c:v>3.8571428571428572</c:v>
                </c:pt>
                <c:pt idx="40">
                  <c:v>2.1428571428571428</c:v>
                </c:pt>
                <c:pt idx="41">
                  <c:v>1.857142857142857</c:v>
                </c:pt>
              </c:numCache>
            </c:numRef>
          </c:xVal>
          <c:yVal>
            <c:numRef>
              <c:f>TA!$R$144:$R$185</c:f>
              <c:numCache>
                <c:formatCode>0.000</c:formatCode>
                <c:ptCount val="42"/>
                <c:pt idx="0">
                  <c:v>0.11246666666666701</c:v>
                </c:pt>
                <c:pt idx="1">
                  <c:v>0.56771666666666698</c:v>
                </c:pt>
                <c:pt idx="2">
                  <c:v>8.8236666666666699E-2</c:v>
                </c:pt>
                <c:pt idx="3">
                  <c:v>0.142073333333333</c:v>
                </c:pt>
                <c:pt idx="4">
                  <c:v>0.288376666666667</c:v>
                </c:pt>
                <c:pt idx="5">
                  <c:v>5.5243333333333297E-2</c:v>
                </c:pt>
                <c:pt idx="6">
                  <c:v>7.7873333333333405E-2</c:v>
                </c:pt>
                <c:pt idx="7">
                  <c:v>3.4066666666666703E-2</c:v>
                </c:pt>
                <c:pt idx="8">
                  <c:v>6.10466666666667E-2</c:v>
                </c:pt>
                <c:pt idx="9">
                  <c:v>0.41888999999999998</c:v>
                </c:pt>
                <c:pt idx="10">
                  <c:v>0.36331000000000002</c:v>
                </c:pt>
                <c:pt idx="11">
                  <c:v>6.4820000000000003E-2</c:v>
                </c:pt>
                <c:pt idx="12">
                  <c:v>7.1323333333333405E-2</c:v>
                </c:pt>
                <c:pt idx="13">
                  <c:v>1.0536666666666699E-2</c:v>
                </c:pt>
                <c:pt idx="14">
                  <c:v>2.0070000000000001E-2</c:v>
                </c:pt>
                <c:pt idx="15">
                  <c:v>0.62686333333333299</c:v>
                </c:pt>
                <c:pt idx="16">
                  <c:v>0.60494000000000003</c:v>
                </c:pt>
                <c:pt idx="17">
                  <c:v>0.25708999999999999</c:v>
                </c:pt>
                <c:pt idx="18">
                  <c:v>0.115276666666667</c:v>
                </c:pt>
                <c:pt idx="19">
                  <c:v>0.11026333333333301</c:v>
                </c:pt>
                <c:pt idx="20">
                  <c:v>8.0356666666666701E-2</c:v>
                </c:pt>
                <c:pt idx="21">
                  <c:v>0.39489999999999997</c:v>
                </c:pt>
                <c:pt idx="22">
                  <c:v>0.33100000000000002</c:v>
                </c:pt>
                <c:pt idx="23">
                  <c:v>8.7499999999999994E-2</c:v>
                </c:pt>
                <c:pt idx="24">
                  <c:v>6.25E-2</c:v>
                </c:pt>
                <c:pt idx="25">
                  <c:v>6.3E-2</c:v>
                </c:pt>
                <c:pt idx="26">
                  <c:v>7.5600000000000001E-2</c:v>
                </c:pt>
                <c:pt idx="27">
                  <c:v>6.8599999999999994E-2</c:v>
                </c:pt>
                <c:pt idx="28">
                  <c:v>0.25990000000000002</c:v>
                </c:pt>
                <c:pt idx="29">
                  <c:v>0.10440000000000001</c:v>
                </c:pt>
                <c:pt idx="30">
                  <c:v>0.11990000000000001</c:v>
                </c:pt>
                <c:pt idx="31">
                  <c:v>3.1099999999999999E-2</c:v>
                </c:pt>
                <c:pt idx="32">
                  <c:v>3.1600000000000003E-2</c:v>
                </c:pt>
                <c:pt idx="33">
                  <c:v>2.9600000000000001E-2</c:v>
                </c:pt>
                <c:pt idx="34">
                  <c:v>3.1699999999999999E-2</c:v>
                </c:pt>
                <c:pt idx="35">
                  <c:v>0.2873</c:v>
                </c:pt>
                <c:pt idx="36">
                  <c:v>9.7900000000000001E-2</c:v>
                </c:pt>
                <c:pt idx="37">
                  <c:v>8.3099999999999993E-2</c:v>
                </c:pt>
                <c:pt idx="38">
                  <c:v>7.9600000000000004E-2</c:v>
                </c:pt>
                <c:pt idx="39">
                  <c:v>7.3800000000000004E-2</c:v>
                </c:pt>
                <c:pt idx="40">
                  <c:v>5.7000000000000002E-2</c:v>
                </c:pt>
                <c:pt idx="41">
                  <c:v>5.4699999999999999E-2</c:v>
                </c:pt>
              </c:numCache>
            </c:numRef>
          </c:yVal>
          <c:smooth val="0"/>
          <c:extLst xmlns:c16r2="http://schemas.microsoft.com/office/drawing/2015/06/chart">
            <c:ext xmlns:c16="http://schemas.microsoft.com/office/drawing/2014/chart" uri="{C3380CC4-5D6E-409C-BE32-E72D297353CC}">
              <c16:uniqueId val="{00000001-7CCC-4CF1-8DAF-3D999CDE822B}"/>
            </c:ext>
          </c:extLst>
        </c:ser>
        <c:dLbls>
          <c:showLegendKey val="0"/>
          <c:showVal val="0"/>
          <c:showCatName val="0"/>
          <c:showSerName val="0"/>
          <c:showPercent val="0"/>
          <c:showBubbleSize val="0"/>
        </c:dLbls>
        <c:axId val="187266560"/>
        <c:axId val="187268480"/>
      </c:scatterChart>
      <c:valAx>
        <c:axId val="1872665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silicate (µM)</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7268480"/>
        <c:crosses val="autoZero"/>
        <c:crossBetween val="midCat"/>
      </c:valAx>
      <c:valAx>
        <c:axId val="187268480"/>
        <c:scaling>
          <c:orientation val="minMax"/>
          <c:max val="0.7"/>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chl-a (µgL</a:t>
                </a:r>
                <a:r>
                  <a:rPr lang="en-US" baseline="30000">
                    <a:solidFill>
                      <a:sysClr val="windowText" lastClr="000000"/>
                    </a:solidFill>
                    <a:latin typeface="Times New Roman" panose="02020603050405020304" pitchFamily="18" charset="0"/>
                    <a:cs typeface="Times New Roman" panose="02020603050405020304" pitchFamily="18" charset="0"/>
                  </a:rPr>
                  <a:t>-1</a:t>
                </a:r>
                <a:r>
                  <a:rPr lang="en-US">
                    <a:solidFill>
                      <a:sysClr val="windowText" lastClr="000000"/>
                    </a:solidFill>
                    <a:latin typeface="Times New Roman" panose="02020603050405020304" pitchFamily="18" charset="0"/>
                    <a:cs typeface="Times New Roman" panose="02020603050405020304" pitchFamily="18" charset="0"/>
                  </a:rPr>
                  <a:t>)</a:t>
                </a: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7266560"/>
        <c:crosses val="autoZero"/>
        <c:crossBetween val="midCat"/>
        <c:majorUnit val="0.1"/>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55258422885819"/>
          <c:y val="9.722908625640124E-2"/>
          <c:w val="0.73974717394338596"/>
          <c:h val="0.653825458885892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7070074702200703"/>
                  <c:y val="-0.19222522557814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TD!$AR$117:$AR$149</c:f>
              <c:numCache>
                <c:formatCode>0.00</c:formatCode>
                <c:ptCount val="33"/>
                <c:pt idx="0">
                  <c:v>10.823316161037971</c:v>
                </c:pt>
                <c:pt idx="1">
                  <c:v>9.8661196972587994</c:v>
                </c:pt>
                <c:pt idx="2">
                  <c:v>12.526235451249759</c:v>
                </c:pt>
                <c:pt idx="3">
                  <c:v>9.1458373084017044</c:v>
                </c:pt>
                <c:pt idx="4">
                  <c:v>12.65661769382433</c:v>
                </c:pt>
                <c:pt idx="5">
                  <c:v>10.37228938783343</c:v>
                </c:pt>
                <c:pt idx="6">
                  <c:v>11.5849392609553</c:v>
                </c:pt>
                <c:pt idx="7">
                  <c:v>13.56929339184634</c:v>
                </c:pt>
                <c:pt idx="8">
                  <c:v>1.809769128029002</c:v>
                </c:pt>
                <c:pt idx="9">
                  <c:v>2.1141003625262358</c:v>
                </c:pt>
                <c:pt idx="10">
                  <c:v>10.76130509444762</c:v>
                </c:pt>
                <c:pt idx="11">
                  <c:v>11.817878267506201</c:v>
                </c:pt>
                <c:pt idx="12">
                  <c:v>8.3765112262521573</c:v>
                </c:pt>
                <c:pt idx="13">
                  <c:v>9.6190750335828028</c:v>
                </c:pt>
                <c:pt idx="14">
                  <c:v>8.6547687583957007</c:v>
                </c:pt>
                <c:pt idx="15">
                  <c:v>8.0358856265592031</c:v>
                </c:pt>
                <c:pt idx="16">
                  <c:v>9.2736518902322</c:v>
                </c:pt>
                <c:pt idx="17">
                  <c:v>7.2011130301285746</c:v>
                </c:pt>
                <c:pt idx="18">
                  <c:v>8.7315294569180484</c:v>
                </c:pt>
                <c:pt idx="19">
                  <c:v>14.910765687967761</c:v>
                </c:pt>
                <c:pt idx="20">
                  <c:v>7.9639224716944916</c:v>
                </c:pt>
                <c:pt idx="21">
                  <c:v>7.5513337171368269</c:v>
                </c:pt>
                <c:pt idx="22">
                  <c:v>8.0646708885050842</c:v>
                </c:pt>
                <c:pt idx="23">
                  <c:v>8.4484743811168563</c:v>
                </c:pt>
                <c:pt idx="24">
                  <c:v>9.9165227403569407</c:v>
                </c:pt>
                <c:pt idx="25">
                  <c:v>9.7486087123392675</c:v>
                </c:pt>
                <c:pt idx="26">
                  <c:v>11.586067933218199</c:v>
                </c:pt>
                <c:pt idx="27">
                  <c:v>8.1126463250815597</c:v>
                </c:pt>
                <c:pt idx="28">
                  <c:v>12.622337363270001</c:v>
                </c:pt>
                <c:pt idx="29">
                  <c:v>13.140472078295909</c:v>
                </c:pt>
                <c:pt idx="30">
                  <c:v>11.077528305507579</c:v>
                </c:pt>
                <c:pt idx="31">
                  <c:v>13.130876990980619</c:v>
                </c:pt>
                <c:pt idx="32">
                  <c:v>11.10631356745346</c:v>
                </c:pt>
              </c:numCache>
            </c:numRef>
          </c:xVal>
          <c:yVal>
            <c:numRef>
              <c:f>TD!$AS$117:$AS$149</c:f>
              <c:numCache>
                <c:formatCode>0.0000</c:formatCode>
                <c:ptCount val="33"/>
                <c:pt idx="0">
                  <c:v>0.12125</c:v>
                </c:pt>
                <c:pt idx="1">
                  <c:v>0.12846666666666701</c:v>
                </c:pt>
                <c:pt idx="2">
                  <c:v>0.223563333333333</c:v>
                </c:pt>
                <c:pt idx="3">
                  <c:v>0.218236666666667</c:v>
                </c:pt>
                <c:pt idx="4">
                  <c:v>0.40887000000000001</c:v>
                </c:pt>
                <c:pt idx="5">
                  <c:v>6.3476666666666695E-2</c:v>
                </c:pt>
                <c:pt idx="6">
                  <c:v>6.9396666666666704E-2</c:v>
                </c:pt>
                <c:pt idx="7">
                  <c:v>7.8543333333333396E-2</c:v>
                </c:pt>
                <c:pt idx="8">
                  <c:v>6.3493333333333304E-2</c:v>
                </c:pt>
                <c:pt idx="9">
                  <c:v>9.7013333333333299E-2</c:v>
                </c:pt>
                <c:pt idx="10">
                  <c:v>0.213733333333333</c:v>
                </c:pt>
                <c:pt idx="11">
                  <c:v>0.33245999999999998</c:v>
                </c:pt>
                <c:pt idx="12">
                  <c:v>3.6723333333333302E-2</c:v>
                </c:pt>
                <c:pt idx="13">
                  <c:v>3.4526666666666699E-2</c:v>
                </c:pt>
                <c:pt idx="14">
                  <c:v>7.0519999999999999E-2</c:v>
                </c:pt>
                <c:pt idx="15">
                  <c:v>0.10788666666666701</c:v>
                </c:pt>
                <c:pt idx="16">
                  <c:v>5.7500000000000002E-2</c:v>
                </c:pt>
                <c:pt idx="17">
                  <c:v>0.18479999999999999</c:v>
                </c:pt>
                <c:pt idx="18">
                  <c:v>0.32702666666666702</c:v>
                </c:pt>
                <c:pt idx="19">
                  <c:v>6.2536666666666699E-2</c:v>
                </c:pt>
                <c:pt idx="20">
                  <c:v>8.5266666666666699E-2</c:v>
                </c:pt>
                <c:pt idx="21">
                  <c:v>0.10798000000000001</c:v>
                </c:pt>
                <c:pt idx="22">
                  <c:v>7.5906666666666706E-2</c:v>
                </c:pt>
                <c:pt idx="23">
                  <c:v>0.29052666666666699</c:v>
                </c:pt>
                <c:pt idx="24">
                  <c:v>0.14573</c:v>
                </c:pt>
                <c:pt idx="25">
                  <c:v>0.219063333333333</c:v>
                </c:pt>
                <c:pt idx="26">
                  <c:v>9.0993333333333301E-2</c:v>
                </c:pt>
                <c:pt idx="27">
                  <c:v>7.1586666666666701E-2</c:v>
                </c:pt>
                <c:pt idx="28">
                  <c:v>0.107226666666667</c:v>
                </c:pt>
                <c:pt idx="29">
                  <c:v>7.9326666666666698E-2</c:v>
                </c:pt>
                <c:pt idx="30">
                  <c:v>0.23386000000000001</c:v>
                </c:pt>
                <c:pt idx="31">
                  <c:v>0.17510666666666699</c:v>
                </c:pt>
                <c:pt idx="32">
                  <c:v>0.28497</c:v>
                </c:pt>
              </c:numCache>
            </c:numRef>
          </c:yVal>
          <c:smooth val="0"/>
          <c:extLst xmlns:c16r2="http://schemas.microsoft.com/office/drawing/2015/06/chart">
            <c:ext xmlns:c16="http://schemas.microsoft.com/office/drawing/2014/chart" uri="{C3380CC4-5D6E-409C-BE32-E72D297353CC}">
              <c16:uniqueId val="{00000001-6481-44B2-A6B6-4D2F3B6E94B5}"/>
            </c:ext>
          </c:extLst>
        </c:ser>
        <c:dLbls>
          <c:showLegendKey val="0"/>
          <c:showVal val="0"/>
          <c:showCatName val="0"/>
          <c:showSerName val="0"/>
          <c:showPercent val="0"/>
          <c:showBubbleSize val="0"/>
        </c:dLbls>
        <c:axId val="164671488"/>
        <c:axId val="164673408"/>
      </c:scatterChart>
      <c:valAx>
        <c:axId val="1646714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DOC (µM)</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673408"/>
        <c:crosses val="autoZero"/>
        <c:crossBetween val="midCat"/>
      </c:valAx>
      <c:valAx>
        <c:axId val="1646734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a:solidFill>
                      <a:sysClr val="windowText" lastClr="000000"/>
                    </a:solidFill>
                    <a:latin typeface="Times New Roman" panose="02020603050405020304" pitchFamily="18" charset="0"/>
                    <a:cs typeface="Times New Roman" panose="02020603050405020304" pitchFamily="18" charset="0"/>
                  </a:rPr>
                  <a:t>)</a:t>
                </a: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671488"/>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809698388209301"/>
          <c:y val="8.1655174348702106E-2"/>
          <c:w val="0.74683210206778905"/>
          <c:h val="0.66296227671226005"/>
        </c:manualLayout>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29205683121945097"/>
                  <c:y val="-0.2807354278734959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TA!$AG$146:$AG$187</c:f>
              <c:numCache>
                <c:formatCode>0</c:formatCode>
                <c:ptCount val="42"/>
                <c:pt idx="0">
                  <c:v>11.16676206830757</c:v>
                </c:pt>
                <c:pt idx="1">
                  <c:v>12.268651020797559</c:v>
                </c:pt>
                <c:pt idx="2">
                  <c:v>10.320867518921331</c:v>
                </c:pt>
                <c:pt idx="3">
                  <c:v>14.216434522673801</c:v>
                </c:pt>
                <c:pt idx="4">
                  <c:v>11.41719137569166</c:v>
                </c:pt>
                <c:pt idx="5">
                  <c:v>11.78448769318832</c:v>
                </c:pt>
                <c:pt idx="6">
                  <c:v>11.083285632512879</c:v>
                </c:pt>
                <c:pt idx="7">
                  <c:v>10.68021369967563</c:v>
                </c:pt>
                <c:pt idx="8">
                  <c:v>13.570883419194811</c:v>
                </c:pt>
                <c:pt idx="9">
                  <c:v>11.068180372702409</c:v>
                </c:pt>
                <c:pt idx="10">
                  <c:v>10.23341601475545</c:v>
                </c:pt>
                <c:pt idx="11">
                  <c:v>6.802136996756337</c:v>
                </c:pt>
                <c:pt idx="12">
                  <c:v>12.533390574317879</c:v>
                </c:pt>
                <c:pt idx="13">
                  <c:v>9.9042803536220827</c:v>
                </c:pt>
                <c:pt idx="14">
                  <c:v>11.8560389238695</c:v>
                </c:pt>
                <c:pt idx="15">
                  <c:v>11.340870062965079</c:v>
                </c:pt>
                <c:pt idx="16">
                  <c:v>10.069643197863011</c:v>
                </c:pt>
                <c:pt idx="17">
                  <c:v>8.8914329326464507</c:v>
                </c:pt>
                <c:pt idx="18">
                  <c:v>11.265343763912741</c:v>
                </c:pt>
                <c:pt idx="19">
                  <c:v>10.36220822998156</c:v>
                </c:pt>
                <c:pt idx="20">
                  <c:v>10.63410290657</c:v>
                </c:pt>
                <c:pt idx="21">
                  <c:v>11.4450168542899</c:v>
                </c:pt>
                <c:pt idx="22">
                  <c:v>11.717706544552559</c:v>
                </c:pt>
                <c:pt idx="23">
                  <c:v>11.212872861413221</c:v>
                </c:pt>
                <c:pt idx="24">
                  <c:v>8.7674107994657504</c:v>
                </c:pt>
                <c:pt idx="25">
                  <c:v>10.291452012974631</c:v>
                </c:pt>
                <c:pt idx="26">
                  <c:v>9.0599758315843069</c:v>
                </c:pt>
                <c:pt idx="27">
                  <c:v>11.832188513642439</c:v>
                </c:pt>
                <c:pt idx="28">
                  <c:v>11.56864148063346</c:v>
                </c:pt>
                <c:pt idx="29">
                  <c:v>12.23764548750238</c:v>
                </c:pt>
                <c:pt idx="30">
                  <c:v>12.201869872161801</c:v>
                </c:pt>
                <c:pt idx="31">
                  <c:v>10.425809323920371</c:v>
                </c:pt>
                <c:pt idx="32">
                  <c:v>14.300705972142721</c:v>
                </c:pt>
                <c:pt idx="33">
                  <c:v>13.52159257139223</c:v>
                </c:pt>
                <c:pt idx="34">
                  <c:v>12.688418240793739</c:v>
                </c:pt>
                <c:pt idx="35">
                  <c:v>9.2448666282863172</c:v>
                </c:pt>
                <c:pt idx="36">
                  <c:v>10.86163884091345</c:v>
                </c:pt>
                <c:pt idx="37">
                  <c:v>9.1681059297639607</c:v>
                </c:pt>
                <c:pt idx="38">
                  <c:v>10.117344018317111</c:v>
                </c:pt>
                <c:pt idx="39">
                  <c:v>10.48225529479107</c:v>
                </c:pt>
                <c:pt idx="40">
                  <c:v>7.9135661133371498</c:v>
                </c:pt>
                <c:pt idx="41">
                  <c:v>12.0277618775043</c:v>
                </c:pt>
              </c:numCache>
            </c:numRef>
          </c:xVal>
          <c:yVal>
            <c:numRef>
              <c:f>TA!$AH$146:$AH$187</c:f>
              <c:numCache>
                <c:formatCode>0.000</c:formatCode>
                <c:ptCount val="42"/>
                <c:pt idx="0">
                  <c:v>0.11246666666666701</c:v>
                </c:pt>
                <c:pt idx="1">
                  <c:v>0.56771666666666698</c:v>
                </c:pt>
                <c:pt idx="2">
                  <c:v>8.8236666666666699E-2</c:v>
                </c:pt>
                <c:pt idx="3">
                  <c:v>0.142073333333333</c:v>
                </c:pt>
                <c:pt idx="4">
                  <c:v>0.288376666666667</c:v>
                </c:pt>
                <c:pt idx="5">
                  <c:v>5.5243333333333297E-2</c:v>
                </c:pt>
                <c:pt idx="6">
                  <c:v>7.7873333333333405E-2</c:v>
                </c:pt>
                <c:pt idx="7">
                  <c:v>3.4066666666666703E-2</c:v>
                </c:pt>
                <c:pt idx="8">
                  <c:v>6.10466666666667E-2</c:v>
                </c:pt>
                <c:pt idx="9">
                  <c:v>0.41888999999999998</c:v>
                </c:pt>
                <c:pt idx="10">
                  <c:v>0.36331000000000002</c:v>
                </c:pt>
                <c:pt idx="11">
                  <c:v>6.4820000000000003E-2</c:v>
                </c:pt>
                <c:pt idx="12">
                  <c:v>7.1323333333333405E-2</c:v>
                </c:pt>
                <c:pt idx="13">
                  <c:v>1.0536666666666699E-2</c:v>
                </c:pt>
                <c:pt idx="14">
                  <c:v>2.0070000000000001E-2</c:v>
                </c:pt>
                <c:pt idx="15">
                  <c:v>0.62686333333333299</c:v>
                </c:pt>
                <c:pt idx="16">
                  <c:v>0.60494000000000003</c:v>
                </c:pt>
                <c:pt idx="17">
                  <c:v>0.25708999999999999</c:v>
                </c:pt>
                <c:pt idx="18">
                  <c:v>0.115276666666667</c:v>
                </c:pt>
                <c:pt idx="19">
                  <c:v>0.11026333333333301</c:v>
                </c:pt>
                <c:pt idx="20">
                  <c:v>8.0356666666666701E-2</c:v>
                </c:pt>
                <c:pt idx="21">
                  <c:v>0.39489999999999997</c:v>
                </c:pt>
                <c:pt idx="22">
                  <c:v>0.33100000000000002</c:v>
                </c:pt>
                <c:pt idx="23">
                  <c:v>8.7499999999999994E-2</c:v>
                </c:pt>
                <c:pt idx="24">
                  <c:v>6.25E-2</c:v>
                </c:pt>
                <c:pt idx="25">
                  <c:v>6.3E-2</c:v>
                </c:pt>
                <c:pt idx="26">
                  <c:v>7.5600000000000001E-2</c:v>
                </c:pt>
                <c:pt idx="27">
                  <c:v>6.8599999999999994E-2</c:v>
                </c:pt>
                <c:pt idx="28">
                  <c:v>0.25990000000000002</c:v>
                </c:pt>
                <c:pt idx="29">
                  <c:v>0.10440000000000001</c:v>
                </c:pt>
                <c:pt idx="30">
                  <c:v>0.11990000000000001</c:v>
                </c:pt>
                <c:pt idx="31">
                  <c:v>3.1099999999999999E-2</c:v>
                </c:pt>
                <c:pt idx="32">
                  <c:v>3.1600000000000003E-2</c:v>
                </c:pt>
                <c:pt idx="33">
                  <c:v>2.9600000000000001E-2</c:v>
                </c:pt>
                <c:pt idx="34">
                  <c:v>3.1699999999999999E-2</c:v>
                </c:pt>
                <c:pt idx="35">
                  <c:v>0.2873</c:v>
                </c:pt>
                <c:pt idx="36">
                  <c:v>9.7900000000000001E-2</c:v>
                </c:pt>
                <c:pt idx="37">
                  <c:v>8.3099999999999993E-2</c:v>
                </c:pt>
                <c:pt idx="38">
                  <c:v>7.9600000000000004E-2</c:v>
                </c:pt>
                <c:pt idx="39">
                  <c:v>7.3800000000000004E-2</c:v>
                </c:pt>
                <c:pt idx="40">
                  <c:v>5.7000000000000002E-2</c:v>
                </c:pt>
                <c:pt idx="41">
                  <c:v>5.4699999999999999E-2</c:v>
                </c:pt>
              </c:numCache>
            </c:numRef>
          </c:yVal>
          <c:smooth val="0"/>
          <c:extLst xmlns:c16r2="http://schemas.microsoft.com/office/drawing/2015/06/chart">
            <c:ext xmlns:c16="http://schemas.microsoft.com/office/drawing/2014/chart" uri="{C3380CC4-5D6E-409C-BE32-E72D297353CC}">
              <c16:uniqueId val="{00000001-9381-4052-A0D3-0037D3194225}"/>
            </c:ext>
          </c:extLst>
        </c:ser>
        <c:dLbls>
          <c:showLegendKey val="0"/>
          <c:showVal val="0"/>
          <c:showCatName val="0"/>
          <c:showSerName val="0"/>
          <c:showPercent val="0"/>
          <c:showBubbleSize val="0"/>
        </c:dLbls>
        <c:axId val="187351808"/>
        <c:axId val="187353728"/>
      </c:scatterChart>
      <c:valAx>
        <c:axId val="1873518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DOC (µM)</a:t>
                </a:r>
              </a:p>
            </c:rich>
          </c:tx>
          <c:layout/>
          <c:overlay val="0"/>
          <c:spPr>
            <a:noFill/>
            <a:ln>
              <a:noFill/>
            </a:ln>
            <a:effectLst/>
          </c:spPr>
        </c:title>
        <c:numFmt formatCode="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7353728"/>
        <c:crosses val="autoZero"/>
        <c:crossBetween val="midCat"/>
      </c:valAx>
      <c:valAx>
        <c:axId val="1873537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ms-MY">
                    <a:solidFill>
                      <a:sysClr val="windowText" lastClr="000000"/>
                    </a:solidFill>
                    <a:latin typeface="Times New Roman" panose="02020603050405020304" pitchFamily="18" charset="0"/>
                    <a:cs typeface="Times New Roman" panose="02020603050405020304" pitchFamily="18" charset="0"/>
                  </a:rPr>
                  <a:t>chl-a (µgL</a:t>
                </a:r>
                <a:r>
                  <a:rPr lang="ms-MY" baseline="30000">
                    <a:solidFill>
                      <a:sysClr val="windowText" lastClr="000000"/>
                    </a:solidFill>
                    <a:latin typeface="Times New Roman" panose="02020603050405020304" pitchFamily="18" charset="0"/>
                    <a:cs typeface="Times New Roman" panose="02020603050405020304" pitchFamily="18" charset="0"/>
                  </a:rPr>
                  <a:t>-1</a:t>
                </a:r>
                <a:r>
                  <a:rPr lang="ms-MY">
                    <a:solidFill>
                      <a:sysClr val="windowText" lastClr="000000"/>
                    </a:solidFill>
                    <a:latin typeface="Times New Roman" panose="02020603050405020304" pitchFamily="18" charset="0"/>
                    <a:cs typeface="Times New Roman" panose="02020603050405020304" pitchFamily="18" charset="0"/>
                  </a:rPr>
                  <a:t>)</a:t>
                </a:r>
              </a:p>
            </c:rich>
          </c:tx>
          <c:layout/>
          <c:overlay val="0"/>
          <c:spPr>
            <a:noFill/>
            <a:ln>
              <a:noFill/>
            </a:ln>
            <a:effectLst/>
          </c:spPr>
        </c:title>
        <c:numFmt formatCode="0.0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7351808"/>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0.00534</cdr:y>
    </cdr:from>
    <cdr:to>
      <cdr:x>0.1978</cdr:x>
      <cdr:y>0.17766</cdr:y>
    </cdr:to>
    <cdr:sp macro="" textlink="">
      <cdr:nvSpPr>
        <cdr:cNvPr id="2" name="Text Box 2"/>
        <cdr:cNvSpPr txBox="1">
          <a:spLocks xmlns:a="http://schemas.openxmlformats.org/drawingml/2006/main" noChangeArrowheads="1"/>
        </cdr:cNvSpPr>
      </cdr:nvSpPr>
      <cdr:spPr bwMode="auto">
        <a:xfrm xmlns:a="http://schemas.openxmlformats.org/drawingml/2006/main">
          <a:off x="-4133850" y="9525"/>
          <a:ext cx="395775" cy="3072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l">
            <a:spcAft>
              <a:spcPts val="0"/>
            </a:spcAft>
          </a:pPr>
          <a:r>
            <a:rPr lang="en-MY" sz="1000" b="1">
              <a:solidFill>
                <a:srgbClr val="000000"/>
              </a:solidFill>
              <a:effectLst/>
              <a:latin typeface="Times New Roman" panose="02020603050405020304" pitchFamily="18" charset="0"/>
              <a:ea typeface="SimSun" panose="02010600030101010101" pitchFamily="2" charset="-122"/>
              <a:cs typeface="Arial" panose="020B0604020202020204" pitchFamily="34" charset="0"/>
            </a:rPr>
            <a:t>(b)</a:t>
          </a:r>
          <a:endParaRPr lang="en-MY" sz="800" b="1">
            <a:solidFill>
              <a:srgbClr val="000000"/>
            </a:solidFill>
            <a:effectLst/>
            <a:latin typeface="Times New Roman" panose="02020603050405020304" pitchFamily="18" charset="0"/>
            <a:ea typeface="SimSun" panose="02010600030101010101" pitchFamily="2" charset="-122"/>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0.19335</cdr:x>
      <cdr:y>0.17232</cdr:y>
    </cdr:to>
    <cdr:sp macro="" textlink="">
      <cdr:nvSpPr>
        <cdr:cNvPr id="2" name="Text Box 2"/>
        <cdr:cNvSpPr txBox="1">
          <a:spLocks xmlns:a="http://schemas.openxmlformats.org/drawingml/2006/main" noChangeArrowheads="1"/>
        </cdr:cNvSpPr>
      </cdr:nvSpPr>
      <cdr:spPr bwMode="auto">
        <a:xfrm xmlns:a="http://schemas.openxmlformats.org/drawingml/2006/main">
          <a:off x="0" y="0"/>
          <a:ext cx="388960" cy="3072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l">
            <a:spcAft>
              <a:spcPts val="0"/>
            </a:spcAft>
          </a:pPr>
          <a:r>
            <a:rPr lang="en-MY" sz="1000" b="1">
              <a:solidFill>
                <a:srgbClr val="000000"/>
              </a:solidFill>
              <a:effectLst/>
              <a:latin typeface="Times New Roman" panose="02020603050405020304" pitchFamily="18" charset="0"/>
              <a:ea typeface="SimSun" panose="02010600030101010101" pitchFamily="2" charset="-122"/>
              <a:cs typeface="Arial" panose="020B0604020202020204" pitchFamily="34" charset="0"/>
            </a:rPr>
            <a:t>(c)</a:t>
          </a:r>
          <a:endParaRPr lang="en-MY" sz="800" b="1">
            <a:solidFill>
              <a:srgbClr val="000000"/>
            </a:solidFill>
            <a:effectLst/>
            <a:latin typeface="Times New Roman" panose="02020603050405020304" pitchFamily="18" charset="0"/>
            <a:ea typeface="SimSun" panose="02010600030101010101" pitchFamily="2" charset="-122"/>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7549D-14EC-4197-99E5-FBA8A0B74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5806</Words>
  <Characters>31759</Characters>
  <Application>Microsoft Office Word</Application>
  <DocSecurity>0</DocSecurity>
  <Lines>547</Lines>
  <Paragraphs>168</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37397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16</cp:revision>
  <cp:lastPrinted>2019-12-03T02:12:00Z</cp:lastPrinted>
  <dcterms:created xsi:type="dcterms:W3CDTF">2019-12-03T00:44:00Z</dcterms:created>
  <dcterms:modified xsi:type="dcterms:W3CDTF">2019-12-03T02:14:00Z</dcterms:modified>
</cp:coreProperties>
</file>