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556B28"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23"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22"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556B28"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RfrgIAALo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xNM0X64CAAC6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80938" w:rsidRPr="00AF1D05" w:rsidRDefault="00980938" w:rsidP="00980938">
      <w:pPr>
        <w:spacing w:after="0" w:line="240" w:lineRule="auto"/>
        <w:jc w:val="center"/>
        <w:rPr>
          <w:rFonts w:ascii="Times New Roman" w:hAnsi="Times New Roman"/>
          <w:bCs/>
          <w:sz w:val="28"/>
          <w:szCs w:val="28"/>
        </w:rPr>
      </w:pPr>
      <w:r w:rsidRPr="00AF1D05">
        <w:rPr>
          <w:rFonts w:ascii="Times New Roman" w:hAnsi="Times New Roman"/>
          <w:bCs/>
          <w:sz w:val="28"/>
          <w:szCs w:val="28"/>
        </w:rPr>
        <w:t xml:space="preserve">SPECTROSCOPIC STUDIES OF INCLUSION COMPLEX GLIPIZIDE </w:t>
      </w:r>
    </w:p>
    <w:p w:rsidR="00980938" w:rsidRPr="00AF1D05" w:rsidRDefault="00980938" w:rsidP="00980938">
      <w:pPr>
        <w:spacing w:after="0" w:line="240" w:lineRule="auto"/>
        <w:jc w:val="center"/>
        <w:rPr>
          <w:rFonts w:ascii="Times New Roman" w:hAnsi="Times New Roman"/>
          <w:bCs/>
          <w:sz w:val="28"/>
          <w:szCs w:val="28"/>
        </w:rPr>
      </w:pPr>
      <w:r w:rsidRPr="00AF1D05">
        <w:rPr>
          <w:rFonts w:ascii="Times New Roman" w:hAnsi="Times New Roman"/>
          <w:bCs/>
          <w:sz w:val="28"/>
          <w:szCs w:val="28"/>
        </w:rPr>
        <w:t xml:space="preserve">AND β-CYCLODEXTRIN </w:t>
      </w:r>
    </w:p>
    <w:p w:rsidR="00980938" w:rsidRPr="00AF1D05" w:rsidRDefault="00980938" w:rsidP="00980938">
      <w:pPr>
        <w:spacing w:after="0" w:line="240" w:lineRule="auto"/>
        <w:jc w:val="center"/>
        <w:outlineLvl w:val="0"/>
        <w:rPr>
          <w:rFonts w:ascii="Times New Roman" w:hAnsi="Times New Roman"/>
          <w:b/>
          <w:sz w:val="24"/>
        </w:rPr>
      </w:pPr>
    </w:p>
    <w:p w:rsidR="00980938" w:rsidRPr="00AF1D05" w:rsidRDefault="00980938" w:rsidP="00980938">
      <w:pPr>
        <w:spacing w:after="0" w:line="240" w:lineRule="auto"/>
        <w:jc w:val="center"/>
        <w:rPr>
          <w:rFonts w:ascii="Times New Roman" w:hAnsi="Times New Roman"/>
          <w:bCs/>
          <w:sz w:val="24"/>
          <w:szCs w:val="24"/>
        </w:rPr>
      </w:pPr>
      <w:r w:rsidRPr="00AF1D05">
        <w:rPr>
          <w:rFonts w:ascii="Times New Roman" w:hAnsi="Times New Roman"/>
          <w:sz w:val="24"/>
        </w:rPr>
        <w:t>(</w:t>
      </w:r>
      <w:r w:rsidRPr="00AF1D05">
        <w:rPr>
          <w:rFonts w:ascii="Times New Roman" w:hAnsi="Times New Roman"/>
          <w:bCs/>
          <w:sz w:val="24"/>
          <w:szCs w:val="24"/>
          <w:lang w:val="ms-MY"/>
        </w:rPr>
        <w:t>Kajian Spektroskopik Kompleks Kemasukan Glipizida dan β-siklodekstrin</w:t>
      </w:r>
      <w:r w:rsidRPr="00AF1D05">
        <w:rPr>
          <w:rFonts w:ascii="Times New Roman" w:hAnsi="Times New Roman"/>
          <w:sz w:val="24"/>
        </w:rPr>
        <w:t>)</w:t>
      </w:r>
    </w:p>
    <w:p w:rsidR="00980938" w:rsidRPr="00980938" w:rsidRDefault="00980938" w:rsidP="00980938">
      <w:pPr>
        <w:spacing w:after="0" w:line="240" w:lineRule="auto"/>
        <w:jc w:val="center"/>
        <w:outlineLvl w:val="0"/>
        <w:rPr>
          <w:rFonts w:ascii="Times New Roman" w:hAnsi="Times New Roman"/>
          <w:b/>
          <w:sz w:val="20"/>
          <w:szCs w:val="20"/>
        </w:rPr>
      </w:pPr>
    </w:p>
    <w:p w:rsidR="00980938" w:rsidRPr="00980938" w:rsidRDefault="00980938" w:rsidP="00980938">
      <w:pPr>
        <w:spacing w:after="0" w:line="240" w:lineRule="auto"/>
        <w:jc w:val="center"/>
        <w:outlineLvl w:val="0"/>
        <w:rPr>
          <w:rFonts w:ascii="Times New Roman" w:hAnsi="Times New Roman"/>
          <w:sz w:val="20"/>
          <w:szCs w:val="20"/>
          <w:vertAlign w:val="superscript"/>
        </w:rPr>
      </w:pPr>
      <w:r w:rsidRPr="00980938">
        <w:rPr>
          <w:rFonts w:ascii="Times New Roman" w:hAnsi="Times New Roman"/>
          <w:sz w:val="20"/>
          <w:szCs w:val="20"/>
          <w:lang w:val="en-GB"/>
        </w:rPr>
        <w:t>Nurul Yani Rahim</w:t>
      </w:r>
      <w:r w:rsidRPr="00980938">
        <w:rPr>
          <w:rFonts w:ascii="Times New Roman" w:hAnsi="Times New Roman"/>
          <w:sz w:val="20"/>
          <w:szCs w:val="20"/>
        </w:rPr>
        <w:t xml:space="preserve">*, </w:t>
      </w:r>
      <w:r w:rsidRPr="00980938">
        <w:rPr>
          <w:rFonts w:ascii="Times New Roman" w:hAnsi="Times New Roman"/>
          <w:sz w:val="20"/>
          <w:szCs w:val="20"/>
          <w:lang w:val="en-GB"/>
        </w:rPr>
        <w:t>Fatin Hamizah Samad</w:t>
      </w:r>
      <w:r w:rsidRPr="00980938">
        <w:rPr>
          <w:rFonts w:ascii="Times New Roman" w:hAnsi="Times New Roman"/>
          <w:sz w:val="20"/>
          <w:szCs w:val="20"/>
        </w:rPr>
        <w:t xml:space="preserve">, </w:t>
      </w:r>
      <w:r w:rsidRPr="00980938">
        <w:rPr>
          <w:rFonts w:ascii="Times New Roman" w:hAnsi="Times New Roman"/>
          <w:sz w:val="20"/>
          <w:szCs w:val="20"/>
          <w:lang w:val="en-GB"/>
        </w:rPr>
        <w:t>Asmaa’ Mardhiah Rohisham</w:t>
      </w:r>
    </w:p>
    <w:p w:rsidR="00980938" w:rsidRPr="00980938" w:rsidRDefault="00980938" w:rsidP="00980938">
      <w:pPr>
        <w:spacing w:after="0" w:line="240" w:lineRule="auto"/>
        <w:jc w:val="center"/>
        <w:outlineLvl w:val="0"/>
        <w:rPr>
          <w:rFonts w:ascii="Times New Roman" w:hAnsi="Times New Roman"/>
          <w:b/>
          <w:sz w:val="18"/>
          <w:szCs w:val="18"/>
        </w:rPr>
      </w:pPr>
    </w:p>
    <w:p w:rsidR="00980938" w:rsidRPr="00980938" w:rsidRDefault="00980938" w:rsidP="00980938">
      <w:pPr>
        <w:spacing w:after="0" w:line="240" w:lineRule="auto"/>
        <w:jc w:val="center"/>
        <w:rPr>
          <w:rFonts w:ascii="Times New Roman" w:hAnsi="Times New Roman"/>
          <w:i/>
          <w:sz w:val="18"/>
          <w:szCs w:val="18"/>
        </w:rPr>
      </w:pPr>
      <w:r w:rsidRPr="00980938">
        <w:rPr>
          <w:rFonts w:ascii="Times New Roman" w:hAnsi="Times New Roman"/>
          <w:i/>
          <w:sz w:val="18"/>
          <w:szCs w:val="18"/>
        </w:rPr>
        <w:t xml:space="preserve">School of Chemical Sciences, </w:t>
      </w:r>
    </w:p>
    <w:p w:rsidR="00980938" w:rsidRPr="00980938" w:rsidRDefault="00980938" w:rsidP="00980938">
      <w:pPr>
        <w:spacing w:after="0" w:line="240" w:lineRule="auto"/>
        <w:jc w:val="center"/>
        <w:rPr>
          <w:rFonts w:ascii="Times New Roman" w:hAnsi="Times New Roman"/>
          <w:i/>
          <w:sz w:val="18"/>
          <w:szCs w:val="18"/>
        </w:rPr>
      </w:pPr>
      <w:r w:rsidRPr="00980938">
        <w:rPr>
          <w:rFonts w:ascii="Times New Roman" w:hAnsi="Times New Roman"/>
          <w:i/>
          <w:sz w:val="18"/>
          <w:szCs w:val="18"/>
        </w:rPr>
        <w:t xml:space="preserve">Universiti Sains Malaysia, </w:t>
      </w:r>
    </w:p>
    <w:p w:rsidR="00980938" w:rsidRPr="00980938" w:rsidRDefault="00980938" w:rsidP="00980938">
      <w:pPr>
        <w:spacing w:after="0" w:line="240" w:lineRule="auto"/>
        <w:jc w:val="center"/>
        <w:rPr>
          <w:rFonts w:ascii="Times New Roman" w:hAnsi="Times New Roman"/>
          <w:i/>
          <w:sz w:val="18"/>
          <w:szCs w:val="18"/>
        </w:rPr>
      </w:pPr>
      <w:r w:rsidRPr="00980938">
        <w:rPr>
          <w:rFonts w:ascii="Times New Roman" w:hAnsi="Times New Roman"/>
          <w:i/>
          <w:sz w:val="18"/>
          <w:szCs w:val="18"/>
        </w:rPr>
        <w:t>11800 Gelugor, Pulau Pinang, Malaysia</w:t>
      </w:r>
    </w:p>
    <w:p w:rsidR="00980938" w:rsidRPr="00980938" w:rsidRDefault="00980938" w:rsidP="00980938">
      <w:pPr>
        <w:spacing w:after="0" w:line="240" w:lineRule="auto"/>
        <w:jc w:val="center"/>
        <w:outlineLvl w:val="0"/>
        <w:rPr>
          <w:rFonts w:ascii="Times New Roman" w:hAnsi="Times New Roman"/>
          <w:b/>
          <w:sz w:val="18"/>
          <w:szCs w:val="18"/>
        </w:rPr>
      </w:pPr>
    </w:p>
    <w:p w:rsidR="00980938" w:rsidRPr="00AF1D05" w:rsidRDefault="00980938" w:rsidP="00980938">
      <w:pPr>
        <w:spacing w:after="0" w:line="240" w:lineRule="auto"/>
        <w:jc w:val="center"/>
        <w:outlineLvl w:val="0"/>
        <w:rPr>
          <w:rFonts w:ascii="Times New Roman" w:hAnsi="Times New Roman"/>
          <w:i/>
          <w:sz w:val="18"/>
        </w:rPr>
      </w:pPr>
      <w:r w:rsidRPr="00980938">
        <w:rPr>
          <w:rFonts w:ascii="Times New Roman" w:hAnsi="Times New Roman"/>
          <w:i/>
          <w:sz w:val="18"/>
          <w:szCs w:val="18"/>
        </w:rPr>
        <w:t xml:space="preserve">*Corresponding author: </w:t>
      </w:r>
      <w:r>
        <w:rPr>
          <w:rFonts w:ascii="Times New Roman" w:hAnsi="Times New Roman"/>
          <w:i/>
          <w:sz w:val="18"/>
          <w:szCs w:val="18"/>
        </w:rPr>
        <w:t xml:space="preserve"> </w:t>
      </w:r>
      <w:r w:rsidRPr="00980938">
        <w:rPr>
          <w:rFonts w:ascii="Times New Roman" w:hAnsi="Times New Roman"/>
          <w:i/>
          <w:iCs/>
          <w:sz w:val="18"/>
          <w:szCs w:val="18"/>
        </w:rPr>
        <w:t>nurulyanirahim@usm.my</w:t>
      </w:r>
      <w:r w:rsidRPr="00AF1D05">
        <w:rPr>
          <w:rFonts w:ascii="Times New Roman" w:hAnsi="Times New Roman"/>
          <w:b/>
          <w:szCs w:val="20"/>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56B28">
        <w:rPr>
          <w:rFonts w:ascii="Times New Roman" w:hAnsi="Times New Roman"/>
          <w:noProof/>
          <w:sz w:val="18"/>
          <w:szCs w:val="18"/>
          <w:lang w:bidi="ar-SA"/>
        </w:rPr>
        <w:t>8 May 2019</w:t>
      </w:r>
      <w:r>
        <w:rPr>
          <w:rFonts w:ascii="Times New Roman" w:hAnsi="Times New Roman"/>
          <w:noProof/>
          <w:sz w:val="18"/>
          <w:szCs w:val="18"/>
          <w:lang w:bidi="ar-SA"/>
        </w:rPr>
        <w:t xml:space="preserve">; Accepted: </w:t>
      </w:r>
      <w:r w:rsidR="00556B28">
        <w:rPr>
          <w:rFonts w:ascii="Times New Roman" w:hAnsi="Times New Roman"/>
          <w:noProof/>
          <w:sz w:val="18"/>
          <w:szCs w:val="18"/>
          <w:lang w:bidi="ar-SA"/>
        </w:rPr>
        <w:t>3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80938" w:rsidRPr="00AF1D05" w:rsidRDefault="00980938" w:rsidP="00980938">
      <w:pPr>
        <w:spacing w:after="0" w:line="240" w:lineRule="auto"/>
        <w:jc w:val="both"/>
        <w:rPr>
          <w:rFonts w:ascii="Times New Roman" w:hAnsi="Times New Roman"/>
          <w:sz w:val="18"/>
          <w:szCs w:val="18"/>
        </w:rPr>
      </w:pPr>
      <w:r w:rsidRPr="00AF1D05">
        <w:rPr>
          <w:rFonts w:ascii="Times New Roman" w:hAnsi="Times New Roman"/>
          <w:sz w:val="18"/>
          <w:szCs w:val="18"/>
        </w:rPr>
        <w:t xml:space="preserve">The complex between hypoglycemic drug, glipizide, and β-cyclodextrin (β-CD) was prepared using the kneading method with aliquot addition of ethanol. The product was characterized using Fourier Transform Infrared (FTIR) spectrometer and Thermogravimetric Analysis (TGA). </w:t>
      </w:r>
      <w:r w:rsidRPr="00AF1D05">
        <w:rPr>
          <w:rFonts w:ascii="Times New Roman" w:hAnsi="Times New Roman"/>
          <w:sz w:val="18"/>
          <w:szCs w:val="18"/>
          <w:vertAlign w:val="superscript"/>
        </w:rPr>
        <w:t>1</w:t>
      </w:r>
      <w:r w:rsidRPr="00AF1D05">
        <w:rPr>
          <w:rFonts w:ascii="Times New Roman" w:hAnsi="Times New Roman"/>
          <w:sz w:val="18"/>
          <w:szCs w:val="18"/>
        </w:rPr>
        <w:t xml:space="preserve">H and NOESY Nuclear Magnetic Resonance (NMR) and UV-Vis spectroscopy were used to determine the interaction involved in the formation of inclusion complex β-CD/glipizide. </w:t>
      </w:r>
      <w:r w:rsidRPr="00AF1D05">
        <w:rPr>
          <w:rFonts w:ascii="Times New Roman" w:hAnsi="Times New Roman"/>
          <w:sz w:val="18"/>
          <w:szCs w:val="18"/>
          <w:vertAlign w:val="superscript"/>
        </w:rPr>
        <w:t>1</w:t>
      </w:r>
      <w:r w:rsidRPr="00AF1D05">
        <w:rPr>
          <w:rFonts w:ascii="Times New Roman" w:hAnsi="Times New Roman"/>
          <w:sz w:val="18"/>
          <w:szCs w:val="18"/>
        </w:rPr>
        <w:t>H and NOESY NMR results indicated that the hydrophobic interaction occurred between glipizide and β-CD. The formation constant values of complex β-CD/glipizide at pH 9 and 4 were close to each other. The stoichiometry ratio for the inclusion complex between β-CD with glipizide was 1:1</w:t>
      </w:r>
      <w:r w:rsidRPr="00AF1D05">
        <w:rPr>
          <w:rFonts w:ascii="Times New Roman" w:hAnsi="Times New Roman"/>
          <w:sz w:val="18"/>
          <w:szCs w:val="18"/>
          <w:lang w:val="en-GB"/>
        </w:rPr>
        <w:t xml:space="preserve">. </w:t>
      </w:r>
    </w:p>
    <w:p w:rsidR="00980938" w:rsidRPr="00AF1D05" w:rsidRDefault="00980938" w:rsidP="00980938">
      <w:pPr>
        <w:spacing w:after="0" w:line="240" w:lineRule="auto"/>
        <w:jc w:val="both"/>
        <w:outlineLvl w:val="0"/>
        <w:rPr>
          <w:rFonts w:ascii="Times New Roman" w:hAnsi="Times New Roman"/>
          <w:sz w:val="18"/>
          <w:szCs w:val="18"/>
        </w:rPr>
      </w:pPr>
    </w:p>
    <w:p w:rsidR="00980938" w:rsidRPr="00AF1D05" w:rsidRDefault="00980938" w:rsidP="00980938">
      <w:pPr>
        <w:spacing w:after="0" w:line="240" w:lineRule="auto"/>
        <w:jc w:val="both"/>
        <w:outlineLvl w:val="0"/>
        <w:rPr>
          <w:rFonts w:ascii="Times New Roman" w:hAnsi="Times New Roman"/>
          <w:b/>
        </w:rPr>
      </w:pPr>
      <w:r w:rsidRPr="00AF1D05">
        <w:rPr>
          <w:rFonts w:ascii="Times New Roman" w:hAnsi="Times New Roman"/>
          <w:b/>
          <w:sz w:val="18"/>
          <w:szCs w:val="18"/>
        </w:rPr>
        <w:t>Keywords:</w:t>
      </w:r>
      <w:r w:rsidRPr="00AF1D05">
        <w:rPr>
          <w:rFonts w:ascii="Times New Roman" w:hAnsi="Times New Roman"/>
        </w:rPr>
        <w:t xml:space="preserve"> </w:t>
      </w:r>
      <w:r>
        <w:rPr>
          <w:rFonts w:ascii="Times New Roman" w:hAnsi="Times New Roman"/>
        </w:rPr>
        <w:t xml:space="preserve"> </w:t>
      </w:r>
      <w:r w:rsidRPr="00AF1D05">
        <w:rPr>
          <w:rFonts w:ascii="Times New Roman" w:hAnsi="Times New Roman"/>
          <w:sz w:val="18"/>
          <w:szCs w:val="18"/>
        </w:rPr>
        <w:t>β-CD, antidiabetic drug, formation constant, cavity, kneading</w:t>
      </w:r>
      <w:r w:rsidRPr="00AF1D05">
        <w:rPr>
          <w:rFonts w:ascii="Times New Roman" w:hAnsi="Times New Roman"/>
          <w:b/>
        </w:rPr>
        <w:t xml:space="preserve"> </w:t>
      </w:r>
    </w:p>
    <w:p w:rsidR="00980938" w:rsidRPr="00AF1D05" w:rsidRDefault="00980938" w:rsidP="00980938">
      <w:pPr>
        <w:spacing w:after="0" w:line="240" w:lineRule="auto"/>
        <w:jc w:val="center"/>
        <w:outlineLvl w:val="0"/>
        <w:rPr>
          <w:rFonts w:ascii="Times New Roman" w:hAnsi="Times New Roman"/>
          <w:b/>
          <w:sz w:val="18"/>
          <w:szCs w:val="18"/>
        </w:rPr>
      </w:pPr>
    </w:p>
    <w:p w:rsidR="00980938" w:rsidRPr="00AF1D05" w:rsidRDefault="00980938" w:rsidP="00980938">
      <w:pPr>
        <w:spacing w:after="0" w:line="240" w:lineRule="auto"/>
        <w:jc w:val="center"/>
        <w:outlineLvl w:val="0"/>
        <w:rPr>
          <w:rFonts w:ascii="Times New Roman" w:hAnsi="Times New Roman"/>
          <w:b/>
          <w:sz w:val="18"/>
          <w:szCs w:val="18"/>
          <w:lang w:val="ms-MY"/>
        </w:rPr>
      </w:pPr>
      <w:r w:rsidRPr="00AF1D05">
        <w:rPr>
          <w:rFonts w:ascii="Times New Roman" w:hAnsi="Times New Roman"/>
          <w:b/>
          <w:sz w:val="18"/>
          <w:szCs w:val="18"/>
          <w:lang w:val="ms-MY"/>
        </w:rPr>
        <w:t>Abstrak</w:t>
      </w:r>
    </w:p>
    <w:p w:rsidR="00980938" w:rsidRPr="00AF1D05" w:rsidRDefault="00980938" w:rsidP="00980938">
      <w:pPr>
        <w:spacing w:after="0" w:line="240" w:lineRule="auto"/>
        <w:jc w:val="both"/>
        <w:outlineLvl w:val="0"/>
        <w:rPr>
          <w:rFonts w:ascii="Times New Roman" w:hAnsi="Times New Roman"/>
          <w:sz w:val="18"/>
          <w:szCs w:val="18"/>
          <w:lang w:val="ms-MY"/>
        </w:rPr>
      </w:pPr>
      <w:r w:rsidRPr="00AF1D05">
        <w:rPr>
          <w:rFonts w:ascii="Times New Roman" w:hAnsi="Times New Roman"/>
          <w:sz w:val="18"/>
          <w:szCs w:val="18"/>
          <w:lang w:val="ms-MY"/>
        </w:rPr>
        <w:t xml:space="preserve">Kompleks antara ubat hipoglisemia, glipizida, dan β-siklodekstrin (β-CD) telah disediakan dengan cara menguli bersama penambahan etanol alikuot. Produk ini dicirikan menggunakan spektrometer </w:t>
      </w:r>
      <w:r w:rsidRPr="00AF1D05">
        <w:rPr>
          <w:rFonts w:ascii="Times New Roman" w:hAnsi="Times New Roman"/>
          <w:sz w:val="18"/>
          <w:szCs w:val="20"/>
          <w:lang w:val="ms-MY"/>
        </w:rPr>
        <w:t xml:space="preserve">inframerah transformasi </w:t>
      </w:r>
      <w:r w:rsidRPr="00AF1D05">
        <w:rPr>
          <w:rStyle w:val="hightlighter"/>
          <w:rFonts w:ascii="Times New Roman" w:hAnsi="Times New Roman"/>
          <w:sz w:val="18"/>
          <w:szCs w:val="20"/>
          <w:lang w:val="ms-MY"/>
        </w:rPr>
        <w:t>Fourier</w:t>
      </w:r>
      <w:r w:rsidRPr="00AF1D05">
        <w:rPr>
          <w:rFonts w:ascii="Times New Roman" w:hAnsi="Times New Roman"/>
          <w:sz w:val="16"/>
          <w:szCs w:val="16"/>
          <w:lang w:val="ms-MY"/>
        </w:rPr>
        <w:t xml:space="preserve"> </w:t>
      </w:r>
      <w:r w:rsidRPr="00AF1D05">
        <w:rPr>
          <w:rFonts w:ascii="Times New Roman" w:hAnsi="Times New Roman"/>
          <w:sz w:val="18"/>
          <w:szCs w:val="18"/>
          <w:lang w:val="ms-MY"/>
        </w:rPr>
        <w:t xml:space="preserve">(FTIR) dan analisis termogravimetrik (TGA). Resonan Magnetik Nuklear (NMR) </w:t>
      </w:r>
      <w:r w:rsidRPr="00AF1D05">
        <w:rPr>
          <w:rFonts w:ascii="Times New Roman" w:hAnsi="Times New Roman"/>
          <w:sz w:val="18"/>
          <w:szCs w:val="18"/>
          <w:vertAlign w:val="superscript"/>
          <w:lang w:val="ms-MY"/>
        </w:rPr>
        <w:t>1</w:t>
      </w:r>
      <w:r w:rsidRPr="00AF1D05">
        <w:rPr>
          <w:rFonts w:ascii="Times New Roman" w:hAnsi="Times New Roman"/>
          <w:sz w:val="18"/>
          <w:szCs w:val="18"/>
          <w:lang w:val="ms-MY"/>
        </w:rPr>
        <w:t>H dan NOESY dan spektroskopi UV-Vis telah digunakan untuk menentukan interaksi yang terlibat dalam pembentukan kompleks kemasukan β-CD/glipizida. Hasil NMR</w:t>
      </w:r>
      <w:r w:rsidRPr="00AF1D05">
        <w:rPr>
          <w:rFonts w:ascii="Times New Roman" w:hAnsi="Times New Roman"/>
          <w:sz w:val="18"/>
          <w:szCs w:val="18"/>
          <w:vertAlign w:val="superscript"/>
          <w:lang w:val="ms-MY"/>
        </w:rPr>
        <w:t xml:space="preserve"> 1</w:t>
      </w:r>
      <w:r w:rsidRPr="00AF1D05">
        <w:rPr>
          <w:rFonts w:ascii="Times New Roman" w:hAnsi="Times New Roman"/>
          <w:sz w:val="18"/>
          <w:szCs w:val="18"/>
          <w:lang w:val="ms-MY"/>
        </w:rPr>
        <w:t>H dan NOESY menunjukkan bahawa interaksi hidrofobik berlaku antara glipizida dan β-CD. Nilai pemalar pembentukan kompleks β-CD/glipizida pada pH 9 dan 4 adalah lebih kurang sama. Nisbah stoikiometri untuk kompleks kemasukan antara β-CD dan glipizida ialah 1: 1</w:t>
      </w:r>
    </w:p>
    <w:p w:rsidR="00980938" w:rsidRPr="00AF1D05" w:rsidRDefault="00980938" w:rsidP="00980938">
      <w:pPr>
        <w:spacing w:after="0" w:line="240" w:lineRule="auto"/>
        <w:jc w:val="both"/>
        <w:outlineLvl w:val="0"/>
        <w:rPr>
          <w:rFonts w:ascii="Times New Roman" w:hAnsi="Times New Roman"/>
          <w:sz w:val="18"/>
          <w:szCs w:val="18"/>
          <w:lang w:val="ms-MY"/>
        </w:rPr>
      </w:pPr>
    </w:p>
    <w:p w:rsidR="00980938" w:rsidRPr="00AF1D05" w:rsidRDefault="00980938" w:rsidP="00980938">
      <w:pPr>
        <w:spacing w:after="0" w:line="240" w:lineRule="auto"/>
        <w:jc w:val="both"/>
        <w:outlineLvl w:val="0"/>
        <w:rPr>
          <w:rFonts w:ascii="Times New Roman" w:hAnsi="Times New Roman"/>
          <w:b/>
          <w:szCs w:val="20"/>
          <w:lang w:val="ms-MY"/>
        </w:rPr>
      </w:pPr>
      <w:r w:rsidRPr="00AF1D05">
        <w:rPr>
          <w:rFonts w:ascii="Times New Roman" w:hAnsi="Times New Roman"/>
          <w:b/>
          <w:sz w:val="18"/>
          <w:szCs w:val="18"/>
          <w:lang w:val="ms-MY"/>
        </w:rPr>
        <w:t>Kata kunci:</w:t>
      </w:r>
      <w:r w:rsidRPr="00AF1D05">
        <w:rPr>
          <w:rFonts w:ascii="Times New Roman" w:hAnsi="Times New Roman"/>
          <w:b/>
          <w:lang w:val="ms-MY"/>
        </w:rPr>
        <w:t xml:space="preserve"> </w:t>
      </w:r>
      <w:r>
        <w:rPr>
          <w:rFonts w:ascii="Times New Roman" w:hAnsi="Times New Roman"/>
          <w:b/>
          <w:lang w:val="ms-MY"/>
        </w:rPr>
        <w:t xml:space="preserve"> </w:t>
      </w:r>
      <w:r w:rsidRPr="00AF1D05">
        <w:rPr>
          <w:rFonts w:ascii="Times New Roman" w:hAnsi="Times New Roman"/>
          <w:sz w:val="18"/>
          <w:szCs w:val="18"/>
          <w:lang w:val="ms-MY"/>
        </w:rPr>
        <w:t>β-CD, ubat antidiabetik, pemalar pembentukan, kaviti, menguli</w:t>
      </w:r>
      <w:r w:rsidRPr="00AF1D05">
        <w:rPr>
          <w:rFonts w:ascii="Times New Roman" w:hAnsi="Times New Roman"/>
          <w:b/>
          <w:lang w:val="ms-MY"/>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80938" w:rsidRPr="00980938" w:rsidRDefault="00980938" w:rsidP="00980938">
      <w:pPr>
        <w:pStyle w:val="style-scope"/>
        <w:shd w:val="clear" w:color="auto" w:fill="FFFFFF"/>
        <w:spacing w:before="0" w:beforeAutospacing="0" w:after="0" w:afterAutospacing="0"/>
        <w:ind w:right="71"/>
        <w:jc w:val="both"/>
        <w:rPr>
          <w:sz w:val="20"/>
          <w:szCs w:val="20"/>
        </w:rPr>
      </w:pPr>
      <w:r w:rsidRPr="00980938">
        <w:rPr>
          <w:sz w:val="20"/>
          <w:szCs w:val="20"/>
        </w:rPr>
        <w:t>β-Cyclodextrins (β-CD) are cyclic oligosaccharides that contain seven units of glucose joined through α-1,4 linkage [1]. β-CD is produced from intramolecular transglycolation reaction from the degradation of starch by CD glucanotransferase(CGTase) enzyme. β-CD has a toroidal shape with a free hydroxyl group at two rims. β-CD is referred to as an all-purpose molecular container for organic, inorganic, organometallic, and metalloorganic compounds that may be neutral, cationic, anionic or even radical. The hydrophobic cavity inside of β-CD allows them to form inclusion complexes with hydrophobic compounds in aqueous environments [2].</w:t>
      </w:r>
      <w:r w:rsidRPr="00980938">
        <w:rPr>
          <w:sz w:val="20"/>
          <w:szCs w:val="20"/>
          <w:vertAlign w:val="superscript"/>
        </w:rPr>
        <w:t xml:space="preserve"> </w:t>
      </w:r>
      <w:r w:rsidRPr="00980938">
        <w:rPr>
          <w:sz w:val="20"/>
          <w:szCs w:val="20"/>
        </w:rPr>
        <w:t xml:space="preserve">The inclusion complex formation affects the physical, chemical, and biological properties of guest molecules. Moreover, it improves the application characteristics of guest molecules [3]. Based on various methods construct, β-CD has </w:t>
      </w:r>
      <w:r w:rsidRPr="00980938">
        <w:rPr>
          <w:sz w:val="20"/>
          <w:szCs w:val="20"/>
        </w:rPr>
        <w:lastRenderedPageBreak/>
        <w:t>received considerable attention in the pharmaceutical field for the past few years due to its extensive use in drug delivery processes [4-9].</w:t>
      </w:r>
      <w:r w:rsidRPr="00980938">
        <w:rPr>
          <w:rFonts w:eastAsia="TimesNewRomanPSMT"/>
          <w:sz w:val="20"/>
          <w:szCs w:val="20"/>
        </w:rPr>
        <w:t xml:space="preserve"> Smart drug carriers can act as a new weapon for treating diseases.</w:t>
      </w:r>
      <w:r w:rsidRPr="00980938">
        <w:rPr>
          <w:sz w:val="20"/>
          <w:szCs w:val="20"/>
        </w:rPr>
        <w:t xml:space="preserve"> It is difficult to build up this kind of drug carrier by general synthetic chemistry due to its complex structure. However, the appearance of β-CD supramolecular self-assembly provides a fast, convenient, and flexible way to construct a biological simulative-responsive drug carrier. </w:t>
      </w:r>
    </w:p>
    <w:p w:rsidR="00980938" w:rsidRPr="00980938" w:rsidRDefault="00980938" w:rsidP="00980938">
      <w:pPr>
        <w:pStyle w:val="style-scope"/>
        <w:shd w:val="clear" w:color="auto" w:fill="FFFFFF"/>
        <w:spacing w:before="0" w:beforeAutospacing="0" w:after="0" w:afterAutospacing="0"/>
        <w:ind w:right="71"/>
        <w:jc w:val="both"/>
        <w:rPr>
          <w:sz w:val="20"/>
          <w:szCs w:val="20"/>
        </w:rPr>
      </w:pPr>
    </w:p>
    <w:p w:rsidR="00980938" w:rsidRPr="00980938" w:rsidRDefault="00980938" w:rsidP="00980938">
      <w:pPr>
        <w:pStyle w:val="style-scope"/>
        <w:shd w:val="clear" w:color="auto" w:fill="FFFFFF"/>
        <w:spacing w:before="0" w:beforeAutospacing="0" w:after="0" w:afterAutospacing="0"/>
        <w:ind w:right="71"/>
        <w:jc w:val="both"/>
        <w:rPr>
          <w:sz w:val="20"/>
          <w:szCs w:val="20"/>
        </w:rPr>
      </w:pPr>
      <w:r w:rsidRPr="00980938">
        <w:rPr>
          <w:sz w:val="20"/>
          <w:szCs w:val="20"/>
        </w:rPr>
        <w:t xml:space="preserve">Glipizide is a second-generation sulfonylurea hypoglycemic drug that can acutely lower the blood glucose level in humans by stimulating the release of insulin from the pancreas [10]. It is typically prescribed to treat non-insulin-dependent diabetes mellitus [11]. It is a whitish, odourless powder with pKa of 5.9 and belongs to Class II of the Biopharmaceutical Classification System (BCS). </w:t>
      </w:r>
      <w:r w:rsidRPr="00980938">
        <w:rPr>
          <w:rFonts w:eastAsia="TimesNewRomanPSMT"/>
          <w:sz w:val="20"/>
          <w:szCs w:val="20"/>
        </w:rPr>
        <w:t>It is insoluble in water, and its dissolution is a rate-determining step in its absorption from the gastrointestinal fluids [12].</w:t>
      </w:r>
      <w:r w:rsidRPr="00980938">
        <w:rPr>
          <w:sz w:val="20"/>
          <w:szCs w:val="20"/>
        </w:rPr>
        <w:t xml:space="preserve"> This is considered to be a main factor contributing to its very limited oral bioavailability, thus </w:t>
      </w:r>
      <w:r w:rsidRPr="00980938">
        <w:rPr>
          <w:rFonts w:eastAsia="TimesNewRomanPSMT"/>
          <w:sz w:val="20"/>
          <w:szCs w:val="20"/>
        </w:rPr>
        <w:t>resulting in delayed absorption [11]. Several studies have been developed for the enhancement of the dissolution rate, solubility, and bioavailability of glipizide through inclusion complex formation [13-17].</w:t>
      </w:r>
      <w:r w:rsidRPr="00980938">
        <w:rPr>
          <w:sz w:val="20"/>
          <w:szCs w:val="20"/>
        </w:rPr>
        <w:t xml:space="preserve"> </w:t>
      </w:r>
    </w:p>
    <w:p w:rsidR="00980938" w:rsidRPr="00980938" w:rsidRDefault="00980938" w:rsidP="00980938">
      <w:pPr>
        <w:pStyle w:val="style-scope"/>
        <w:shd w:val="clear" w:color="auto" w:fill="FFFFFF"/>
        <w:spacing w:before="0" w:beforeAutospacing="0" w:after="0" w:afterAutospacing="0"/>
        <w:ind w:right="71"/>
        <w:jc w:val="both"/>
        <w:rPr>
          <w:sz w:val="20"/>
          <w:szCs w:val="20"/>
        </w:rPr>
      </w:pPr>
    </w:p>
    <w:p w:rsidR="00980938" w:rsidRPr="00980938" w:rsidRDefault="00980938" w:rsidP="00980938">
      <w:pPr>
        <w:pStyle w:val="style-scope"/>
        <w:shd w:val="clear" w:color="auto" w:fill="FFFFFF"/>
        <w:spacing w:before="0" w:beforeAutospacing="0" w:after="0" w:afterAutospacing="0"/>
        <w:ind w:right="71"/>
        <w:jc w:val="both"/>
        <w:rPr>
          <w:sz w:val="20"/>
          <w:szCs w:val="20"/>
        </w:rPr>
      </w:pPr>
      <w:r w:rsidRPr="00980938">
        <w:rPr>
          <w:sz w:val="20"/>
          <w:szCs w:val="20"/>
        </w:rPr>
        <w:t xml:space="preserve">Inclusion complexes are a type of complex in which one compound (the host) contains a cavity or spaces where another molecular entity (the guest) is located. This is with the consideration that no covalent bonding occurs between the host and the guest. The inclusion complexation of these host-guest systems occurs through various interactions such as hydrogen bonding, Van der Waals, and electrostatic or hydrophobic interactions. Previously, the improved bioavailability of </w:t>
      </w:r>
      <w:r w:rsidRPr="00980938">
        <w:rPr>
          <w:kern w:val="2"/>
          <w:sz w:val="20"/>
          <w:szCs w:val="20"/>
          <w:lang w:val="en-US" w:eastAsia="ko-KR"/>
        </w:rPr>
        <w:t>glipizide complexed with β-CD and β-CD derivatives has been documented in several articles [13, 17, 18].</w:t>
      </w:r>
      <w:r w:rsidRPr="00980938">
        <w:rPr>
          <w:kern w:val="2"/>
          <w:sz w:val="20"/>
          <w:szCs w:val="20"/>
          <w:vertAlign w:val="superscript"/>
          <w:lang w:val="en-US" w:eastAsia="ko-KR"/>
        </w:rPr>
        <w:t xml:space="preserve"> </w:t>
      </w:r>
      <w:r w:rsidRPr="00980938">
        <w:rPr>
          <w:sz w:val="20"/>
          <w:szCs w:val="20"/>
        </w:rPr>
        <w:t>However, there is no information available on the study of interactions involved in the formation of complex between β-CD and glipizide. In this study, the inclusion complex of glipizide and β-CD was evaluated using spectroscopy techniques. The result provides information on the intermolecular interaction between glipizide and β-CD.</w:t>
      </w:r>
    </w:p>
    <w:p w:rsidR="00980938" w:rsidRPr="00980938" w:rsidRDefault="00980938" w:rsidP="00980938">
      <w:pPr>
        <w:spacing w:after="0" w:line="240" w:lineRule="auto"/>
        <w:jc w:val="center"/>
        <w:outlineLvl w:val="0"/>
        <w:rPr>
          <w:rFonts w:ascii="Times New Roman" w:hAnsi="Times New Roman"/>
          <w:sz w:val="20"/>
          <w:szCs w:val="20"/>
        </w:rPr>
      </w:pPr>
    </w:p>
    <w:p w:rsidR="00980938" w:rsidRPr="00980938" w:rsidRDefault="00980938" w:rsidP="00980938">
      <w:pPr>
        <w:spacing w:after="0" w:line="240" w:lineRule="auto"/>
        <w:jc w:val="center"/>
        <w:outlineLvl w:val="0"/>
        <w:rPr>
          <w:rFonts w:ascii="Times New Roman" w:hAnsi="Times New Roman"/>
          <w:b/>
          <w:sz w:val="20"/>
          <w:szCs w:val="20"/>
        </w:rPr>
      </w:pPr>
      <w:r w:rsidRPr="00980938">
        <w:rPr>
          <w:rFonts w:ascii="Times New Roman" w:hAnsi="Times New Roman"/>
          <w:b/>
          <w:sz w:val="20"/>
          <w:szCs w:val="20"/>
        </w:rPr>
        <w:t>Materials and Methods</w:t>
      </w:r>
    </w:p>
    <w:p w:rsidR="00980938" w:rsidRPr="00980938" w:rsidRDefault="00980938" w:rsidP="00980938">
      <w:pPr>
        <w:pStyle w:val="style-scope"/>
        <w:shd w:val="clear" w:color="auto" w:fill="FFFFFF"/>
        <w:spacing w:before="0" w:beforeAutospacing="0" w:after="0" w:afterAutospacing="0"/>
        <w:ind w:right="71"/>
        <w:jc w:val="both"/>
        <w:rPr>
          <w:b/>
          <w:bCs/>
          <w:iCs/>
          <w:sz w:val="20"/>
          <w:szCs w:val="20"/>
        </w:rPr>
      </w:pPr>
      <w:r w:rsidRPr="00980938">
        <w:rPr>
          <w:b/>
          <w:bCs/>
          <w:iCs/>
          <w:sz w:val="20"/>
          <w:szCs w:val="20"/>
        </w:rPr>
        <w:t xml:space="preserve">Materials </w:t>
      </w:r>
    </w:p>
    <w:p w:rsidR="00980938" w:rsidRPr="00980938" w:rsidRDefault="00980938" w:rsidP="00980938">
      <w:pPr>
        <w:pStyle w:val="style-scope"/>
        <w:shd w:val="clear" w:color="auto" w:fill="FFFFFF"/>
        <w:spacing w:before="0" w:beforeAutospacing="0" w:after="0" w:afterAutospacing="0"/>
        <w:ind w:right="71"/>
        <w:jc w:val="both"/>
        <w:rPr>
          <w:sz w:val="20"/>
          <w:szCs w:val="20"/>
        </w:rPr>
      </w:pPr>
      <w:r w:rsidRPr="00980938">
        <w:rPr>
          <w:sz w:val="20"/>
          <w:szCs w:val="20"/>
        </w:rPr>
        <w:t>The present study utilized β-cyclodextrin (</w:t>
      </w:r>
      <w:r w:rsidRPr="00980938">
        <w:rPr>
          <w:bCs/>
          <w:sz w:val="20"/>
          <w:szCs w:val="20"/>
        </w:rPr>
        <w:t>C</w:t>
      </w:r>
      <w:r w:rsidRPr="00980938">
        <w:rPr>
          <w:bCs/>
          <w:sz w:val="20"/>
          <w:szCs w:val="20"/>
          <w:vertAlign w:val="subscript"/>
        </w:rPr>
        <w:t>42</w:t>
      </w:r>
      <w:r w:rsidRPr="00980938">
        <w:rPr>
          <w:bCs/>
          <w:sz w:val="20"/>
          <w:szCs w:val="20"/>
        </w:rPr>
        <w:t>H</w:t>
      </w:r>
      <w:r w:rsidRPr="00980938">
        <w:rPr>
          <w:bCs/>
          <w:sz w:val="20"/>
          <w:szCs w:val="20"/>
          <w:vertAlign w:val="subscript"/>
        </w:rPr>
        <w:t>70</w:t>
      </w:r>
      <w:r w:rsidRPr="00980938">
        <w:rPr>
          <w:bCs/>
          <w:sz w:val="20"/>
          <w:szCs w:val="20"/>
        </w:rPr>
        <w:t>O</w:t>
      </w:r>
      <w:r w:rsidRPr="00980938">
        <w:rPr>
          <w:bCs/>
          <w:sz w:val="20"/>
          <w:szCs w:val="20"/>
          <w:vertAlign w:val="subscript"/>
        </w:rPr>
        <w:t>35</w:t>
      </w:r>
      <w:r w:rsidRPr="00980938">
        <w:rPr>
          <w:sz w:val="20"/>
          <w:szCs w:val="20"/>
        </w:rPr>
        <w:t>), glipizide (</w:t>
      </w:r>
      <w:r w:rsidRPr="00980938">
        <w:rPr>
          <w:sz w:val="20"/>
          <w:szCs w:val="20"/>
          <w:shd w:val="clear" w:color="auto" w:fill="FFFFFF"/>
        </w:rPr>
        <w:t>C</w:t>
      </w:r>
      <w:r w:rsidRPr="00980938">
        <w:rPr>
          <w:sz w:val="20"/>
          <w:szCs w:val="20"/>
          <w:shd w:val="clear" w:color="auto" w:fill="FFFFFF"/>
          <w:vertAlign w:val="subscript"/>
        </w:rPr>
        <w:t>21</w:t>
      </w:r>
      <w:r w:rsidRPr="00980938">
        <w:rPr>
          <w:sz w:val="20"/>
          <w:szCs w:val="20"/>
          <w:shd w:val="clear" w:color="auto" w:fill="FFFFFF"/>
        </w:rPr>
        <w:t>H</w:t>
      </w:r>
      <w:r w:rsidRPr="00980938">
        <w:rPr>
          <w:sz w:val="20"/>
          <w:szCs w:val="20"/>
          <w:shd w:val="clear" w:color="auto" w:fill="FFFFFF"/>
          <w:vertAlign w:val="subscript"/>
        </w:rPr>
        <w:t>27</w:t>
      </w:r>
      <w:r w:rsidRPr="00980938">
        <w:rPr>
          <w:sz w:val="20"/>
          <w:szCs w:val="20"/>
          <w:shd w:val="clear" w:color="auto" w:fill="FFFFFF"/>
        </w:rPr>
        <w:t>N</w:t>
      </w:r>
      <w:r w:rsidRPr="00980938">
        <w:rPr>
          <w:sz w:val="20"/>
          <w:szCs w:val="20"/>
          <w:shd w:val="clear" w:color="auto" w:fill="FFFFFF"/>
          <w:vertAlign w:val="subscript"/>
        </w:rPr>
        <w:t>5</w:t>
      </w:r>
      <w:r w:rsidRPr="00980938">
        <w:rPr>
          <w:sz w:val="20"/>
          <w:szCs w:val="20"/>
          <w:shd w:val="clear" w:color="auto" w:fill="FFFFFF"/>
        </w:rPr>
        <w:t>O</w:t>
      </w:r>
      <w:r w:rsidRPr="00980938">
        <w:rPr>
          <w:sz w:val="20"/>
          <w:szCs w:val="20"/>
          <w:shd w:val="clear" w:color="auto" w:fill="FFFFFF"/>
          <w:vertAlign w:val="subscript"/>
        </w:rPr>
        <w:t>4</w:t>
      </w:r>
      <w:r w:rsidRPr="00980938">
        <w:rPr>
          <w:sz w:val="20"/>
          <w:szCs w:val="20"/>
          <w:shd w:val="clear" w:color="auto" w:fill="FFFFFF"/>
        </w:rPr>
        <w:t>S</w:t>
      </w:r>
      <w:r w:rsidRPr="00980938">
        <w:rPr>
          <w:sz w:val="20"/>
          <w:szCs w:val="20"/>
        </w:rPr>
        <w:t>), ethanol (</w:t>
      </w:r>
      <w:r w:rsidRPr="00980938">
        <w:rPr>
          <w:sz w:val="20"/>
          <w:szCs w:val="20"/>
          <w:shd w:val="clear" w:color="auto" w:fill="FFFFFF"/>
        </w:rPr>
        <w:t>C</w:t>
      </w:r>
      <w:r w:rsidRPr="00980938">
        <w:rPr>
          <w:sz w:val="20"/>
          <w:szCs w:val="20"/>
          <w:shd w:val="clear" w:color="auto" w:fill="FFFFFF"/>
          <w:vertAlign w:val="subscript"/>
        </w:rPr>
        <w:t>2</w:t>
      </w:r>
      <w:r w:rsidRPr="00980938">
        <w:rPr>
          <w:sz w:val="20"/>
          <w:szCs w:val="20"/>
          <w:shd w:val="clear" w:color="auto" w:fill="FFFFFF"/>
        </w:rPr>
        <w:t>H</w:t>
      </w:r>
      <w:r w:rsidRPr="00980938">
        <w:rPr>
          <w:sz w:val="20"/>
          <w:szCs w:val="20"/>
          <w:shd w:val="clear" w:color="auto" w:fill="FFFFFF"/>
          <w:vertAlign w:val="subscript"/>
        </w:rPr>
        <w:t>6</w:t>
      </w:r>
      <w:r w:rsidRPr="00980938">
        <w:rPr>
          <w:sz w:val="20"/>
          <w:szCs w:val="20"/>
          <w:shd w:val="clear" w:color="auto" w:fill="FFFFFF"/>
        </w:rPr>
        <w:t>O</w:t>
      </w:r>
      <w:r w:rsidRPr="00980938">
        <w:rPr>
          <w:sz w:val="20"/>
          <w:szCs w:val="20"/>
        </w:rPr>
        <w:t>), and methanol (</w:t>
      </w:r>
      <w:r w:rsidRPr="00980938">
        <w:rPr>
          <w:sz w:val="20"/>
          <w:szCs w:val="20"/>
          <w:shd w:val="clear" w:color="auto" w:fill="FFFFFF"/>
        </w:rPr>
        <w:t>CH</w:t>
      </w:r>
      <w:r w:rsidRPr="00980938">
        <w:rPr>
          <w:sz w:val="20"/>
          <w:szCs w:val="20"/>
          <w:shd w:val="clear" w:color="auto" w:fill="FFFFFF"/>
          <w:vertAlign w:val="subscript"/>
        </w:rPr>
        <w:t>3</w:t>
      </w:r>
      <w:r w:rsidRPr="00980938">
        <w:rPr>
          <w:sz w:val="20"/>
          <w:szCs w:val="20"/>
          <w:shd w:val="clear" w:color="auto" w:fill="FFFFFF"/>
        </w:rPr>
        <w:t>OH</w:t>
      </w:r>
      <w:r w:rsidRPr="00980938">
        <w:rPr>
          <w:sz w:val="20"/>
          <w:szCs w:val="20"/>
        </w:rPr>
        <w:t>). Ultra-pure water was used to dilute the solutions.</w:t>
      </w:r>
    </w:p>
    <w:p w:rsidR="00980938" w:rsidRPr="00980938" w:rsidRDefault="00980938" w:rsidP="00980938">
      <w:pPr>
        <w:spacing w:after="0" w:line="240" w:lineRule="auto"/>
        <w:ind w:right="71"/>
        <w:jc w:val="both"/>
        <w:rPr>
          <w:rFonts w:ascii="Times New Roman" w:hAnsi="Times New Roman"/>
          <w:b/>
          <w:bCs/>
          <w:iCs/>
          <w:szCs w:val="20"/>
        </w:rPr>
      </w:pPr>
    </w:p>
    <w:p w:rsidR="00980938" w:rsidRPr="00980938" w:rsidRDefault="00980938" w:rsidP="00980938">
      <w:pPr>
        <w:spacing w:after="0" w:line="240" w:lineRule="auto"/>
        <w:ind w:right="71"/>
        <w:jc w:val="both"/>
        <w:rPr>
          <w:rFonts w:ascii="Times New Roman" w:hAnsi="Times New Roman"/>
          <w:b/>
          <w:bCs/>
          <w:iCs/>
          <w:sz w:val="20"/>
          <w:szCs w:val="20"/>
        </w:rPr>
      </w:pPr>
      <w:r w:rsidRPr="00980938">
        <w:rPr>
          <w:rFonts w:ascii="Times New Roman" w:hAnsi="Times New Roman"/>
          <w:b/>
          <w:bCs/>
          <w:iCs/>
          <w:sz w:val="20"/>
          <w:szCs w:val="20"/>
        </w:rPr>
        <w:t>Characterization of samples</w:t>
      </w:r>
    </w:p>
    <w:p w:rsidR="00980938" w:rsidRPr="00980938" w:rsidRDefault="00980938" w:rsidP="00980938">
      <w:pPr>
        <w:spacing w:after="0" w:line="240" w:lineRule="auto"/>
        <w:ind w:right="71"/>
        <w:jc w:val="both"/>
        <w:rPr>
          <w:rFonts w:ascii="Times New Roman" w:hAnsi="Times New Roman"/>
          <w:sz w:val="20"/>
          <w:szCs w:val="20"/>
        </w:rPr>
      </w:pPr>
      <w:r w:rsidRPr="00980938">
        <w:rPr>
          <w:rFonts w:ascii="Times New Roman" w:hAnsi="Times New Roman"/>
          <w:sz w:val="20"/>
          <w:szCs w:val="20"/>
        </w:rPr>
        <w:t xml:space="preserve">The formation of inclusion complexes was studied </w:t>
      </w:r>
      <w:r w:rsidRPr="00980938">
        <w:rPr>
          <w:rFonts w:ascii="Times New Roman" w:hAnsi="Times New Roman"/>
          <w:i/>
          <w:iCs/>
          <w:sz w:val="20"/>
          <w:szCs w:val="20"/>
        </w:rPr>
        <w:t>via</w:t>
      </w:r>
      <w:r w:rsidRPr="00980938">
        <w:rPr>
          <w:rFonts w:ascii="Times New Roman" w:hAnsi="Times New Roman"/>
          <w:sz w:val="20"/>
          <w:szCs w:val="20"/>
        </w:rPr>
        <w:t xml:space="preserve"> an analysis of the peaks. Infrared (IR) absorption spectra were determined by using Perkin-Elmer 2000 system spectrometer in the range of 4000 cm</w:t>
      </w:r>
      <w:r w:rsidRPr="00980938">
        <w:rPr>
          <w:rFonts w:ascii="Times New Roman" w:hAnsi="Times New Roman"/>
          <w:sz w:val="20"/>
          <w:szCs w:val="20"/>
          <w:vertAlign w:val="superscript"/>
        </w:rPr>
        <w:t>-1</w:t>
      </w:r>
      <w:r w:rsidRPr="00980938">
        <w:rPr>
          <w:rFonts w:ascii="Times New Roman" w:hAnsi="Times New Roman"/>
          <w:sz w:val="20"/>
          <w:szCs w:val="20"/>
        </w:rPr>
        <w:t xml:space="preserve"> to 600 cm</w:t>
      </w:r>
      <w:r w:rsidRPr="00980938">
        <w:rPr>
          <w:rFonts w:ascii="Times New Roman" w:hAnsi="Times New Roman"/>
          <w:sz w:val="20"/>
          <w:szCs w:val="20"/>
          <w:vertAlign w:val="superscript"/>
        </w:rPr>
        <w:t>-1</w:t>
      </w:r>
      <w:r w:rsidRPr="00980938">
        <w:rPr>
          <w:rFonts w:ascii="Times New Roman" w:hAnsi="Times New Roman"/>
          <w:sz w:val="20"/>
          <w:szCs w:val="20"/>
        </w:rPr>
        <w:t>. The thermal analysis was conducted through the Thermogravimetric Analysis (TGA) using Mettler Toledo TGA/SDTA 851E Thermogravimetric Analyzer. The analysis was done over the ambient temperature range of 30 °C to 920 °C in N</w:t>
      </w:r>
      <w:r w:rsidRPr="00980938">
        <w:rPr>
          <w:rFonts w:ascii="Times New Roman" w:hAnsi="Times New Roman"/>
          <w:sz w:val="20"/>
          <w:szCs w:val="20"/>
          <w:vertAlign w:val="subscript"/>
        </w:rPr>
        <w:t xml:space="preserve">2 </w:t>
      </w:r>
      <w:r w:rsidRPr="00980938">
        <w:rPr>
          <w:rFonts w:ascii="Times New Roman" w:hAnsi="Times New Roman"/>
          <w:sz w:val="20"/>
          <w:szCs w:val="20"/>
        </w:rPr>
        <w:t xml:space="preserve">atmosphere to understand the weight loss profile for β-CD, glipizide, and β-CD/glipizide complex. The Bruker Avance spectrometer 500 MHz was used to determine </w:t>
      </w:r>
      <w:r w:rsidRPr="00980938">
        <w:rPr>
          <w:rFonts w:ascii="Times New Roman" w:hAnsi="Times New Roman"/>
          <w:sz w:val="20"/>
          <w:szCs w:val="20"/>
          <w:vertAlign w:val="superscript"/>
        </w:rPr>
        <w:t>1</w:t>
      </w:r>
      <w:r w:rsidRPr="00980938">
        <w:rPr>
          <w:rFonts w:ascii="Times New Roman" w:hAnsi="Times New Roman"/>
          <w:sz w:val="20"/>
          <w:szCs w:val="20"/>
        </w:rPr>
        <w:t>H NMR spectra of the β-CD, glipizide, and β-CD/glipizide complex by employing dimethyl sulfoxide-d</w:t>
      </w:r>
      <w:r w:rsidRPr="00980938">
        <w:rPr>
          <w:rFonts w:ascii="Times New Roman" w:hAnsi="Times New Roman"/>
          <w:sz w:val="20"/>
          <w:szCs w:val="20"/>
          <w:vertAlign w:val="subscript"/>
        </w:rPr>
        <w:t xml:space="preserve">6 </w:t>
      </w:r>
      <w:r w:rsidRPr="00980938">
        <w:rPr>
          <w:rFonts w:ascii="Times New Roman" w:hAnsi="Times New Roman"/>
          <w:sz w:val="20"/>
          <w:szCs w:val="20"/>
        </w:rPr>
        <w:t>(DMSO-d</w:t>
      </w:r>
      <w:r w:rsidRPr="00980938">
        <w:rPr>
          <w:rFonts w:ascii="Times New Roman" w:hAnsi="Times New Roman"/>
          <w:sz w:val="20"/>
          <w:szCs w:val="20"/>
          <w:vertAlign w:val="subscript"/>
        </w:rPr>
        <w:t>6</w:t>
      </w:r>
      <w:r w:rsidRPr="00980938">
        <w:rPr>
          <w:rFonts w:ascii="Times New Roman" w:hAnsi="Times New Roman"/>
          <w:sz w:val="20"/>
          <w:szCs w:val="20"/>
        </w:rPr>
        <w:t xml:space="preserve">) as a solvent. Absorption spectra measurements were carried out with Shimadzu UV2600 spectrometer in the range of 200 nm ‒ 800 nm. </w:t>
      </w:r>
    </w:p>
    <w:p w:rsidR="00980938" w:rsidRPr="00980938" w:rsidRDefault="00980938" w:rsidP="00980938">
      <w:pPr>
        <w:spacing w:after="0" w:line="240" w:lineRule="auto"/>
        <w:ind w:right="71"/>
        <w:jc w:val="both"/>
        <w:rPr>
          <w:rFonts w:ascii="Times New Roman" w:hAnsi="Times New Roman"/>
          <w:sz w:val="20"/>
          <w:szCs w:val="20"/>
        </w:rPr>
      </w:pPr>
    </w:p>
    <w:p w:rsidR="00980938" w:rsidRPr="00980938" w:rsidRDefault="00980938" w:rsidP="00980938">
      <w:pPr>
        <w:spacing w:after="0" w:line="240" w:lineRule="auto"/>
        <w:ind w:right="227"/>
        <w:jc w:val="both"/>
        <w:rPr>
          <w:rFonts w:ascii="Times New Roman" w:hAnsi="Times New Roman"/>
          <w:b/>
          <w:bCs/>
          <w:iCs/>
          <w:sz w:val="20"/>
          <w:szCs w:val="20"/>
        </w:rPr>
      </w:pPr>
      <w:r w:rsidRPr="00980938">
        <w:rPr>
          <w:rFonts w:ascii="Times New Roman" w:hAnsi="Times New Roman"/>
          <w:b/>
          <w:bCs/>
          <w:iCs/>
          <w:sz w:val="20"/>
          <w:szCs w:val="20"/>
        </w:rPr>
        <w:t>Preparations of β-CD/glipizide complex</w:t>
      </w:r>
    </w:p>
    <w:p w:rsidR="00980938" w:rsidRPr="00980938" w:rsidRDefault="00980938" w:rsidP="00980938">
      <w:pPr>
        <w:spacing w:after="0" w:line="240" w:lineRule="auto"/>
        <w:ind w:right="71"/>
        <w:jc w:val="both"/>
        <w:rPr>
          <w:rFonts w:ascii="Times New Roman" w:hAnsi="Times New Roman"/>
          <w:sz w:val="20"/>
          <w:szCs w:val="20"/>
        </w:rPr>
      </w:pPr>
      <w:r w:rsidRPr="00980938">
        <w:rPr>
          <w:rFonts w:ascii="Times New Roman" w:hAnsi="Times New Roman"/>
          <w:sz w:val="20"/>
          <w:szCs w:val="20"/>
        </w:rPr>
        <w:t>The complex was prepared as previously reported using the kneading method. β-CD and glipizide were put in a ceramic mortar with a molar ratio of 1:1 and grounded with additional few drops of ethanol to form a homogeneous paste [19]. This process was continued for 30 minutes and the product was placed in a desiccator to the final mass.</w:t>
      </w:r>
    </w:p>
    <w:p w:rsidR="00980938" w:rsidRPr="00980938" w:rsidRDefault="00980938" w:rsidP="00980938">
      <w:pPr>
        <w:spacing w:after="0" w:line="240" w:lineRule="auto"/>
        <w:ind w:right="71"/>
        <w:jc w:val="both"/>
        <w:rPr>
          <w:rFonts w:ascii="Times New Roman" w:hAnsi="Times New Roman"/>
          <w:sz w:val="20"/>
          <w:szCs w:val="20"/>
        </w:rPr>
      </w:pPr>
    </w:p>
    <w:p w:rsidR="00980938" w:rsidRPr="00980938" w:rsidRDefault="00980938" w:rsidP="00980938">
      <w:pPr>
        <w:spacing w:after="0" w:line="240" w:lineRule="auto"/>
        <w:ind w:right="71"/>
        <w:jc w:val="both"/>
        <w:rPr>
          <w:rFonts w:ascii="Times New Roman" w:hAnsi="Times New Roman"/>
          <w:b/>
          <w:bCs/>
          <w:iCs/>
          <w:sz w:val="20"/>
          <w:szCs w:val="20"/>
        </w:rPr>
      </w:pPr>
      <w:r w:rsidRPr="00980938">
        <w:rPr>
          <w:rFonts w:ascii="Times New Roman" w:hAnsi="Times New Roman"/>
          <w:b/>
          <w:bCs/>
          <w:iCs/>
          <w:sz w:val="20"/>
          <w:szCs w:val="20"/>
        </w:rPr>
        <w:t xml:space="preserve">Determination of the formation constant of β-CD/glipizide complex </w:t>
      </w:r>
    </w:p>
    <w:p w:rsidR="00980938" w:rsidRPr="00980938" w:rsidRDefault="00980938" w:rsidP="00980938">
      <w:pPr>
        <w:spacing w:after="0" w:line="240" w:lineRule="auto"/>
        <w:ind w:right="71"/>
        <w:jc w:val="both"/>
        <w:rPr>
          <w:rFonts w:ascii="Times New Roman" w:hAnsi="Times New Roman"/>
          <w:sz w:val="20"/>
          <w:szCs w:val="20"/>
        </w:rPr>
      </w:pPr>
      <w:r w:rsidRPr="00980938">
        <w:rPr>
          <w:rFonts w:ascii="Times New Roman" w:hAnsi="Times New Roman"/>
          <w:sz w:val="20"/>
          <w:szCs w:val="20"/>
        </w:rPr>
        <w:t xml:space="preserve">The formation constant was determined as mention in the previous procedure [20]. In 10.0 mL of volumetric flask, 2.0 mL of 0.01 mM glipizide and 3.2 mL of 0.003 M of β-CD were added to form β-CD/glipizide solution. The solution was diluted using ultra-pure water to the mark. The absorption spectra of β-CD and glipizide were recorded against a reagent blank, which was prepared with the same reagent concentration but without the addition of glipizide. The absorption spectra of β-CD and glipizide alone were also recorded. The formation constant, K of β-CD and glipizide could be obtained from the slope of Benesi-Hildebrand plot that was generated using Eqs (1) </w:t>
      </w:r>
      <w:r w:rsidRPr="00980938">
        <w:rPr>
          <w:rFonts w:ascii="Times New Roman" w:hAnsi="Times New Roman"/>
          <w:sz w:val="20"/>
          <w:szCs w:val="20"/>
        </w:rPr>
        <w:lastRenderedPageBreak/>
        <w:t>and (2). For the formation constant curve, the concentration of glipizide was held firmly at 0.01 mM, while the concentration of β-CD was varied (0.001, 0.002, 0.003, and 0.005 M).</w:t>
      </w:r>
    </w:p>
    <w:p w:rsidR="00980938" w:rsidRPr="00980938" w:rsidRDefault="00980938" w:rsidP="00980938">
      <w:pPr>
        <w:spacing w:after="0" w:line="240" w:lineRule="auto"/>
        <w:ind w:right="71"/>
        <w:jc w:val="both"/>
        <w:rPr>
          <w:rFonts w:ascii="Times New Roman" w:hAnsi="Times New Roman"/>
          <w:sz w:val="20"/>
          <w:szCs w:val="20"/>
        </w:rPr>
      </w:pPr>
    </w:p>
    <w:p w:rsidR="00980938" w:rsidRPr="00980938" w:rsidRDefault="00580D59" w:rsidP="00980938">
      <w:pPr>
        <w:spacing w:after="0" w:line="240" w:lineRule="auto"/>
        <w:ind w:right="71" w:firstLine="720"/>
        <w:jc w:val="both"/>
        <w:rPr>
          <w:rFonts w:ascii="Times New Roman" w:hAnsi="Times New Roman"/>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A-</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0</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0</m:t>
                    </m:r>
                  </m:sub>
                </m:sSub>
              </m:e>
            </m:d>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K</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0</m:t>
                    </m:r>
                  </m:sub>
                </m:sSub>
              </m:e>
            </m:d>
            <m:d>
              <m:dPr>
                <m:begChr m:val="["/>
                <m:endChr m:val="]"/>
                <m:ctrlPr>
                  <w:rPr>
                    <w:rFonts w:ascii="Cambria Math" w:hAnsi="Cambria Math"/>
                    <w:i/>
                    <w:sz w:val="20"/>
                    <w:szCs w:val="20"/>
                  </w:rPr>
                </m:ctrlPr>
              </m:dPr>
              <m:e>
                <m:r>
                  <w:rPr>
                    <w:rFonts w:ascii="Cambria Math" w:hAnsi="Cambria Math"/>
                    <w:sz w:val="20"/>
                    <w:szCs w:val="20"/>
                  </w:rPr>
                  <m:t>β-CD</m:t>
                </m:r>
              </m:e>
            </m:d>
          </m:den>
        </m:f>
      </m:oMath>
      <w:r w:rsidR="00980938" w:rsidRPr="00980938">
        <w:rPr>
          <w:rFonts w:ascii="Times New Roman" w:hAnsi="Times New Roman"/>
          <w:sz w:val="20"/>
          <w:szCs w:val="20"/>
        </w:rPr>
        <w:t xml:space="preserve">       </w:t>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t xml:space="preserve">                  </w:t>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r>
      <w:r w:rsidR="00980938" w:rsidRPr="00980938">
        <w:rPr>
          <w:rFonts w:ascii="Times New Roman" w:hAnsi="Times New Roman"/>
          <w:sz w:val="20"/>
          <w:szCs w:val="20"/>
        </w:rPr>
        <w:tab/>
        <w:t xml:space="preserve"> </w:t>
      </w:r>
      <w:r w:rsidR="00980938">
        <w:rPr>
          <w:rFonts w:ascii="Times New Roman" w:hAnsi="Times New Roman"/>
          <w:sz w:val="20"/>
          <w:szCs w:val="20"/>
        </w:rPr>
        <w:t xml:space="preserve">      </w:t>
      </w:r>
      <w:r w:rsidR="00980938" w:rsidRPr="00980938">
        <w:rPr>
          <w:rFonts w:ascii="Times New Roman" w:hAnsi="Times New Roman"/>
          <w:sz w:val="20"/>
          <w:szCs w:val="20"/>
        </w:rPr>
        <w:t>(1)</w:t>
      </w:r>
    </w:p>
    <w:p w:rsidR="00980938" w:rsidRPr="00980938" w:rsidRDefault="00980938" w:rsidP="00980938">
      <w:pPr>
        <w:spacing w:after="0" w:line="240" w:lineRule="auto"/>
        <w:ind w:left="720" w:right="71" w:firstLine="720"/>
        <w:jc w:val="both"/>
        <w:rPr>
          <w:rFonts w:ascii="Times New Roman" w:hAnsi="Times New Roman"/>
          <w:sz w:val="20"/>
          <w:szCs w:val="20"/>
        </w:rPr>
      </w:pPr>
      <w:r w:rsidRPr="00980938">
        <w:rPr>
          <w:rFonts w:ascii="Times New Roman" w:hAnsi="Times New Roman"/>
          <w:sz w:val="20"/>
          <w:szCs w:val="20"/>
        </w:rPr>
        <w:t>K=</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Slope(A-</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0</m:t>
                </m:r>
              </m:sub>
            </m:sSub>
            <m:r>
              <w:rPr>
                <w:rFonts w:ascii="Cambria Math" w:hAnsi="Cambria Math"/>
                <w:sz w:val="20"/>
                <w:szCs w:val="20"/>
              </w:rPr>
              <m:t>)</m:t>
            </m:r>
          </m:den>
        </m:f>
      </m:oMath>
      <w:r w:rsidRPr="00980938">
        <w:rPr>
          <w:rFonts w:ascii="Times New Roman" w:hAnsi="Times New Roman"/>
          <w:sz w:val="20"/>
          <w:szCs w:val="20"/>
        </w:rPr>
        <w:t xml:space="preserve">                                         </w:t>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t xml:space="preserve">                  </w:t>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sidRPr="00980938">
        <w:rPr>
          <w:rFonts w:ascii="Times New Roman" w:hAnsi="Times New Roman"/>
          <w:sz w:val="20"/>
          <w:szCs w:val="20"/>
        </w:rPr>
        <w:tab/>
      </w:r>
      <w:r>
        <w:rPr>
          <w:rFonts w:ascii="Times New Roman" w:hAnsi="Times New Roman"/>
          <w:sz w:val="20"/>
          <w:szCs w:val="20"/>
        </w:rPr>
        <w:t xml:space="preserve">      </w:t>
      </w:r>
      <w:r w:rsidRPr="00980938">
        <w:rPr>
          <w:rFonts w:ascii="Times New Roman" w:hAnsi="Times New Roman"/>
          <w:sz w:val="20"/>
          <w:szCs w:val="20"/>
        </w:rPr>
        <w:t xml:space="preserve"> (2)</w:t>
      </w:r>
    </w:p>
    <w:p w:rsidR="00980938" w:rsidRPr="00980938" w:rsidRDefault="00980938" w:rsidP="00980938">
      <w:pPr>
        <w:spacing w:after="0" w:line="240" w:lineRule="auto"/>
        <w:ind w:right="71"/>
        <w:jc w:val="both"/>
        <w:rPr>
          <w:rFonts w:ascii="Times New Roman" w:hAnsi="Times New Roman"/>
          <w:sz w:val="20"/>
          <w:szCs w:val="20"/>
        </w:rPr>
      </w:pPr>
    </w:p>
    <w:p w:rsidR="00980938" w:rsidRPr="00980938" w:rsidRDefault="00980938" w:rsidP="00980938">
      <w:pPr>
        <w:spacing w:after="0" w:line="240" w:lineRule="auto"/>
        <w:ind w:right="71"/>
        <w:jc w:val="both"/>
        <w:rPr>
          <w:rFonts w:ascii="Times New Roman" w:hAnsi="Times New Roman"/>
          <w:sz w:val="20"/>
          <w:szCs w:val="20"/>
        </w:rPr>
      </w:pPr>
      <w:r w:rsidRPr="00980938">
        <w:rPr>
          <w:rFonts w:ascii="Times New Roman" w:hAnsi="Times New Roman"/>
          <w:sz w:val="20"/>
          <w:szCs w:val="20"/>
        </w:rPr>
        <w:t>where A</w:t>
      </w:r>
      <w:r w:rsidRPr="00980938">
        <w:rPr>
          <w:rFonts w:ascii="Times New Roman" w:hAnsi="Times New Roman"/>
          <w:sz w:val="20"/>
          <w:szCs w:val="20"/>
          <w:vertAlign w:val="subscript"/>
        </w:rPr>
        <w:t xml:space="preserve">0 </w:t>
      </w:r>
      <w:r w:rsidRPr="00980938">
        <w:rPr>
          <w:rFonts w:ascii="Times New Roman" w:hAnsi="Times New Roman"/>
          <w:sz w:val="20"/>
          <w:szCs w:val="20"/>
        </w:rPr>
        <w:t>and A are the absorbance of the free guest and β-CD, respectively. A</w:t>
      </w:r>
      <w:r w:rsidRPr="00980938">
        <w:rPr>
          <w:rFonts w:ascii="Times New Roman" w:hAnsi="Times New Roman"/>
          <w:sz w:val="20"/>
          <w:szCs w:val="20"/>
          <w:vertAlign w:val="superscript"/>
        </w:rPr>
        <w:t>’</w:t>
      </w:r>
      <w:r w:rsidRPr="00980938">
        <w:rPr>
          <w:rFonts w:ascii="Times New Roman" w:hAnsi="Times New Roman"/>
          <w:sz w:val="20"/>
          <w:szCs w:val="20"/>
        </w:rPr>
        <w:t xml:space="preserve"> is the absorbance at the maximum concentration of β-CD.</w:t>
      </w:r>
    </w:p>
    <w:p w:rsidR="006768E9" w:rsidRDefault="006768E9" w:rsidP="00BA1F7B">
      <w:pPr>
        <w:spacing w:after="0" w:line="240" w:lineRule="auto"/>
        <w:jc w:val="center"/>
        <w:rPr>
          <w:rFonts w:ascii="Times New Roman" w:hAnsi="Times New Roman"/>
          <w:noProof/>
          <w:sz w:val="20"/>
          <w:szCs w:val="20"/>
          <w:lang w:bidi="ar-SA"/>
        </w:rPr>
      </w:pPr>
    </w:p>
    <w:p w:rsidR="00980938" w:rsidRPr="00F447A7" w:rsidRDefault="00980938"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80938" w:rsidRPr="00980938" w:rsidRDefault="00980938" w:rsidP="00980938">
      <w:pPr>
        <w:spacing w:after="0" w:line="240" w:lineRule="auto"/>
        <w:jc w:val="both"/>
        <w:rPr>
          <w:rFonts w:ascii="Times New Roman" w:hAnsi="Times New Roman"/>
          <w:b/>
          <w:bCs/>
          <w:iCs/>
          <w:sz w:val="20"/>
          <w:szCs w:val="20"/>
        </w:rPr>
      </w:pPr>
      <w:r w:rsidRPr="00980938">
        <w:rPr>
          <w:rFonts w:ascii="Times New Roman" w:hAnsi="Times New Roman"/>
          <w:b/>
          <w:bCs/>
          <w:iCs/>
          <w:sz w:val="20"/>
          <w:szCs w:val="20"/>
        </w:rPr>
        <w:t xml:space="preserve">FT-IR </w:t>
      </w:r>
    </w:p>
    <w:p w:rsidR="00980938" w:rsidRPr="00980938" w:rsidRDefault="00980938" w:rsidP="00980938">
      <w:pPr>
        <w:adjustRightInd w:val="0"/>
        <w:spacing w:after="0" w:line="240" w:lineRule="auto"/>
        <w:jc w:val="both"/>
        <w:rPr>
          <w:rFonts w:ascii="Times New Roman" w:hAnsi="Times New Roman"/>
          <w:sz w:val="20"/>
          <w:szCs w:val="20"/>
        </w:rPr>
      </w:pPr>
      <w:r w:rsidRPr="00980938">
        <w:rPr>
          <w:rFonts w:ascii="Times New Roman" w:hAnsi="Times New Roman"/>
          <w:sz w:val="20"/>
          <w:szCs w:val="20"/>
        </w:rPr>
        <w:t>The FT-IR spectra and main frequencies of β-CD, glipizide, and complex of β-CD/glipizide are reported in Figures 1 (a)-(c) and Table 1, respectively. The frequencies for β-CD were observed at 3292.81 cm</w:t>
      </w:r>
      <w:r w:rsidRPr="00980938">
        <w:rPr>
          <w:rFonts w:ascii="Times New Roman" w:hAnsi="Times New Roman"/>
          <w:sz w:val="20"/>
          <w:szCs w:val="20"/>
          <w:vertAlign w:val="superscript"/>
        </w:rPr>
        <w:t>-1</w:t>
      </w:r>
      <w:r w:rsidRPr="00980938">
        <w:rPr>
          <w:rFonts w:ascii="Times New Roman" w:hAnsi="Times New Roman"/>
          <w:sz w:val="20"/>
          <w:szCs w:val="20"/>
        </w:rPr>
        <w:t>, 2924.94 cm</w:t>
      </w:r>
      <w:r w:rsidRPr="00980938">
        <w:rPr>
          <w:rFonts w:ascii="Times New Roman" w:hAnsi="Times New Roman"/>
          <w:sz w:val="20"/>
          <w:szCs w:val="20"/>
          <w:vertAlign w:val="superscript"/>
        </w:rPr>
        <w:t>-1</w:t>
      </w:r>
      <w:r w:rsidRPr="00980938">
        <w:rPr>
          <w:rFonts w:ascii="Times New Roman" w:hAnsi="Times New Roman"/>
          <w:sz w:val="20"/>
          <w:szCs w:val="20"/>
        </w:rPr>
        <w:t>, and 1152.37 cm</w:t>
      </w:r>
      <w:r w:rsidRPr="00980938">
        <w:rPr>
          <w:rFonts w:ascii="Times New Roman" w:hAnsi="Times New Roman"/>
          <w:sz w:val="20"/>
          <w:szCs w:val="20"/>
          <w:vertAlign w:val="superscript"/>
        </w:rPr>
        <w:t>-1</w:t>
      </w:r>
      <w:r w:rsidRPr="00980938">
        <w:rPr>
          <w:rFonts w:ascii="Times New Roman" w:hAnsi="Times New Roman"/>
          <w:sz w:val="20"/>
          <w:szCs w:val="20"/>
        </w:rPr>
        <w:t>, which corresponded to the broad peaks of OH, CH</w:t>
      </w:r>
      <w:r w:rsidRPr="00980938">
        <w:rPr>
          <w:rFonts w:ascii="Times New Roman" w:hAnsi="Times New Roman"/>
          <w:sz w:val="20"/>
          <w:szCs w:val="20"/>
          <w:vertAlign w:val="subscript"/>
        </w:rPr>
        <w:t>2,</w:t>
      </w:r>
      <w:r w:rsidRPr="00980938">
        <w:rPr>
          <w:rFonts w:ascii="Times New Roman" w:hAnsi="Times New Roman"/>
          <w:sz w:val="20"/>
          <w:szCs w:val="20"/>
        </w:rPr>
        <w:t xml:space="preserve"> and -C-C, respectively. The spectrum of glipizide (Figure 1 (b)) showed absorption bands at 1687.51 cm</w:t>
      </w:r>
      <w:r w:rsidRPr="00980938">
        <w:rPr>
          <w:rFonts w:ascii="Times New Roman" w:hAnsi="Times New Roman"/>
          <w:sz w:val="20"/>
          <w:szCs w:val="20"/>
          <w:vertAlign w:val="superscript"/>
        </w:rPr>
        <w:t>-1</w:t>
      </w:r>
      <w:r w:rsidRPr="00980938">
        <w:rPr>
          <w:rFonts w:ascii="Times New Roman" w:hAnsi="Times New Roman"/>
          <w:sz w:val="20"/>
          <w:szCs w:val="20"/>
        </w:rPr>
        <w:t xml:space="preserve"> (for C=O stretching vibration), 1331.94 cm</w:t>
      </w:r>
      <w:r w:rsidRPr="00980938">
        <w:rPr>
          <w:rFonts w:ascii="Times New Roman" w:hAnsi="Times New Roman"/>
          <w:sz w:val="20"/>
          <w:szCs w:val="20"/>
          <w:vertAlign w:val="superscript"/>
        </w:rPr>
        <w:t>-1</w:t>
      </w:r>
      <w:r w:rsidRPr="00980938">
        <w:rPr>
          <w:rFonts w:ascii="Times New Roman" w:hAnsi="Times New Roman"/>
          <w:sz w:val="20"/>
          <w:szCs w:val="20"/>
        </w:rPr>
        <w:t xml:space="preserve"> (for -C-N stretching vibration), and 1484.95 cm</w:t>
      </w:r>
      <w:r w:rsidRPr="00980938">
        <w:rPr>
          <w:rFonts w:ascii="Times New Roman" w:hAnsi="Times New Roman"/>
          <w:sz w:val="20"/>
          <w:szCs w:val="20"/>
          <w:vertAlign w:val="superscript"/>
        </w:rPr>
        <w:t xml:space="preserve">-1 </w:t>
      </w:r>
      <w:r w:rsidRPr="00980938">
        <w:rPr>
          <w:rFonts w:ascii="Times New Roman" w:hAnsi="Times New Roman"/>
          <w:sz w:val="20"/>
          <w:szCs w:val="20"/>
        </w:rPr>
        <w:t>(for aromatic C=C groups stretching vibration).</w:t>
      </w:r>
    </w:p>
    <w:p w:rsidR="00980938" w:rsidRPr="00980938" w:rsidRDefault="00980938" w:rsidP="00980938">
      <w:pPr>
        <w:adjustRightInd w:val="0"/>
        <w:spacing w:after="0" w:line="240" w:lineRule="auto"/>
        <w:jc w:val="both"/>
        <w:rPr>
          <w:rFonts w:ascii="Times New Roman" w:hAnsi="Times New Roman"/>
          <w:sz w:val="20"/>
          <w:szCs w:val="20"/>
        </w:rPr>
      </w:pPr>
    </w:p>
    <w:p w:rsidR="00980938" w:rsidRDefault="00980938" w:rsidP="00980938">
      <w:pPr>
        <w:adjustRightInd w:val="0"/>
        <w:spacing w:after="0" w:line="240" w:lineRule="auto"/>
        <w:jc w:val="both"/>
        <w:rPr>
          <w:rFonts w:ascii="Times New Roman" w:hAnsi="Times New Roman"/>
          <w:sz w:val="20"/>
          <w:szCs w:val="20"/>
        </w:rPr>
      </w:pPr>
      <w:r w:rsidRPr="00980938">
        <w:rPr>
          <w:rFonts w:ascii="Times New Roman" w:hAnsi="Times New Roman"/>
          <w:sz w:val="20"/>
          <w:szCs w:val="20"/>
        </w:rPr>
        <w:t>In the spectrum of β-CD/glipizide</w:t>
      </w:r>
      <w:r w:rsidRPr="00980938">
        <w:rPr>
          <w:rFonts w:ascii="Times New Roman" w:hAnsi="Times New Roman"/>
          <w:sz w:val="20"/>
          <w:szCs w:val="20"/>
          <w:shd w:val="clear" w:color="auto" w:fill="FFFFFF"/>
        </w:rPr>
        <w:t xml:space="preserve"> </w:t>
      </w:r>
      <w:r w:rsidRPr="00980938">
        <w:rPr>
          <w:rFonts w:ascii="Times New Roman" w:hAnsi="Times New Roman"/>
          <w:sz w:val="20"/>
          <w:szCs w:val="20"/>
        </w:rPr>
        <w:t xml:space="preserve">complex </w:t>
      </w:r>
      <w:r w:rsidRPr="00980938">
        <w:rPr>
          <w:rFonts w:ascii="Times New Roman" w:hAnsi="Times New Roman"/>
          <w:sz w:val="20"/>
          <w:szCs w:val="20"/>
          <w:shd w:val="clear" w:color="auto" w:fill="FFFFFF"/>
        </w:rPr>
        <w:t xml:space="preserve">(Figure 1 (c)), </w:t>
      </w:r>
      <w:r w:rsidRPr="00980938">
        <w:rPr>
          <w:rFonts w:ascii="Times New Roman" w:hAnsi="Times New Roman"/>
          <w:sz w:val="20"/>
          <w:szCs w:val="20"/>
        </w:rPr>
        <w:t>the frequencies of S=O (1157.21 cm</w:t>
      </w:r>
      <w:r w:rsidRPr="00980938">
        <w:rPr>
          <w:rFonts w:ascii="Times New Roman" w:hAnsi="Times New Roman"/>
          <w:sz w:val="20"/>
          <w:szCs w:val="20"/>
          <w:vertAlign w:val="superscript"/>
        </w:rPr>
        <w:t>-1</w:t>
      </w:r>
      <w:r w:rsidRPr="00980938">
        <w:rPr>
          <w:rFonts w:ascii="Times New Roman" w:hAnsi="Times New Roman"/>
          <w:sz w:val="20"/>
          <w:szCs w:val="20"/>
        </w:rPr>
        <w:t>) for glipizide and C-O group (1334.23 cm</w:t>
      </w:r>
      <w:r w:rsidRPr="00980938">
        <w:rPr>
          <w:rFonts w:ascii="Times New Roman" w:hAnsi="Times New Roman"/>
          <w:sz w:val="20"/>
          <w:szCs w:val="20"/>
          <w:vertAlign w:val="superscript"/>
        </w:rPr>
        <w:t>-1</w:t>
      </w:r>
      <w:r w:rsidRPr="00980938">
        <w:rPr>
          <w:rFonts w:ascii="Times New Roman" w:hAnsi="Times New Roman"/>
          <w:sz w:val="20"/>
          <w:szCs w:val="20"/>
        </w:rPr>
        <w:t>) disappeared, whereas the frequency of C-N, -CH</w:t>
      </w:r>
      <w:r w:rsidRPr="00980938">
        <w:rPr>
          <w:rFonts w:ascii="Times New Roman" w:hAnsi="Times New Roman"/>
          <w:sz w:val="20"/>
          <w:szCs w:val="20"/>
          <w:vertAlign w:val="subscript"/>
        </w:rPr>
        <w:t>3</w:t>
      </w:r>
      <w:r w:rsidRPr="00980938">
        <w:rPr>
          <w:rFonts w:ascii="Times New Roman" w:hAnsi="Times New Roman"/>
          <w:sz w:val="20"/>
          <w:szCs w:val="20"/>
        </w:rPr>
        <w:t>, and -C=O shifted from 1331.94     cm</w:t>
      </w:r>
      <w:r w:rsidRPr="00980938">
        <w:rPr>
          <w:rFonts w:ascii="Times New Roman" w:hAnsi="Times New Roman"/>
          <w:sz w:val="20"/>
          <w:szCs w:val="20"/>
          <w:vertAlign w:val="superscript"/>
        </w:rPr>
        <w:t xml:space="preserve">-1 </w:t>
      </w:r>
      <w:r w:rsidRPr="00980938">
        <w:rPr>
          <w:rFonts w:ascii="Times New Roman" w:hAnsi="Times New Roman"/>
          <w:sz w:val="20"/>
          <w:szCs w:val="20"/>
        </w:rPr>
        <w:t>to 1332.52 cm</w:t>
      </w:r>
      <w:r w:rsidRPr="00980938">
        <w:rPr>
          <w:rFonts w:ascii="Times New Roman" w:hAnsi="Times New Roman"/>
          <w:sz w:val="20"/>
          <w:szCs w:val="20"/>
          <w:vertAlign w:val="superscript"/>
        </w:rPr>
        <w:t>-1</w:t>
      </w:r>
      <w:r w:rsidRPr="00980938">
        <w:rPr>
          <w:rFonts w:ascii="Times New Roman" w:hAnsi="Times New Roman"/>
          <w:sz w:val="20"/>
          <w:szCs w:val="20"/>
        </w:rPr>
        <w:t>, 2944.00 cm</w:t>
      </w:r>
      <w:r w:rsidRPr="00980938">
        <w:rPr>
          <w:rFonts w:ascii="Times New Roman" w:hAnsi="Times New Roman"/>
          <w:sz w:val="20"/>
          <w:szCs w:val="20"/>
          <w:vertAlign w:val="superscript"/>
        </w:rPr>
        <w:t xml:space="preserve">-1 </w:t>
      </w:r>
      <w:r w:rsidRPr="00980938">
        <w:rPr>
          <w:rFonts w:ascii="Times New Roman" w:hAnsi="Times New Roman"/>
          <w:sz w:val="20"/>
          <w:szCs w:val="20"/>
        </w:rPr>
        <w:t>to 2927.26 cm</w:t>
      </w:r>
      <w:r w:rsidRPr="00980938">
        <w:rPr>
          <w:rFonts w:ascii="Times New Roman" w:hAnsi="Times New Roman"/>
          <w:sz w:val="20"/>
          <w:szCs w:val="20"/>
          <w:vertAlign w:val="superscript"/>
        </w:rPr>
        <w:t xml:space="preserve">-1 </w:t>
      </w:r>
      <w:r w:rsidRPr="00980938">
        <w:rPr>
          <w:rFonts w:ascii="Times New Roman" w:hAnsi="Times New Roman"/>
          <w:sz w:val="20"/>
          <w:szCs w:val="20"/>
        </w:rPr>
        <w:t>and 1687.51 cm</w:t>
      </w:r>
      <w:r w:rsidRPr="00980938">
        <w:rPr>
          <w:rFonts w:ascii="Times New Roman" w:hAnsi="Times New Roman"/>
          <w:sz w:val="20"/>
          <w:szCs w:val="20"/>
          <w:vertAlign w:val="superscript"/>
        </w:rPr>
        <w:t xml:space="preserve">-1 </w:t>
      </w:r>
      <w:r w:rsidRPr="00980938">
        <w:rPr>
          <w:rFonts w:ascii="Times New Roman" w:hAnsi="Times New Roman"/>
          <w:sz w:val="20"/>
          <w:szCs w:val="20"/>
        </w:rPr>
        <w:t>to 1689.38 cm</w:t>
      </w:r>
      <w:r w:rsidRPr="00980938">
        <w:rPr>
          <w:rFonts w:ascii="Times New Roman" w:hAnsi="Times New Roman"/>
          <w:sz w:val="20"/>
          <w:szCs w:val="20"/>
          <w:vertAlign w:val="superscript"/>
        </w:rPr>
        <w:t xml:space="preserve">-1 </w:t>
      </w:r>
      <w:r w:rsidRPr="00980938">
        <w:rPr>
          <w:rFonts w:ascii="Times New Roman" w:hAnsi="Times New Roman"/>
          <w:sz w:val="20"/>
          <w:szCs w:val="20"/>
        </w:rPr>
        <w:t xml:space="preserve">respectively. </w:t>
      </w:r>
      <w:r w:rsidRPr="00980938">
        <w:rPr>
          <w:rFonts w:ascii="Times New Roman" w:hAnsi="Times New Roman"/>
          <w:sz w:val="20"/>
          <w:szCs w:val="20"/>
          <w:shd w:val="clear" w:color="auto" w:fill="FFFFFF"/>
        </w:rPr>
        <w:t>Besides, a broad hydroxyl band of pure β-CD at 3292.81 cm</w:t>
      </w:r>
      <w:r w:rsidRPr="00980938">
        <w:rPr>
          <w:rFonts w:ascii="Times New Roman" w:hAnsi="Times New Roman"/>
          <w:sz w:val="20"/>
          <w:szCs w:val="20"/>
          <w:shd w:val="clear" w:color="auto" w:fill="FFFFFF"/>
          <w:vertAlign w:val="superscript"/>
        </w:rPr>
        <w:t>−1</w:t>
      </w:r>
      <w:r w:rsidRPr="00980938">
        <w:rPr>
          <w:rFonts w:ascii="Times New Roman" w:hAnsi="Times New Roman"/>
          <w:sz w:val="20"/>
          <w:szCs w:val="20"/>
          <w:shd w:val="clear" w:color="auto" w:fill="FFFFFF"/>
        </w:rPr>
        <w:t xml:space="preserve"> was found to be narrowed in the spectrum of the </w:t>
      </w:r>
      <w:r w:rsidRPr="00980938">
        <w:rPr>
          <w:rFonts w:ascii="Times New Roman" w:hAnsi="Times New Roman"/>
          <w:sz w:val="20"/>
          <w:szCs w:val="20"/>
        </w:rPr>
        <w:t>β-CD/glipizide</w:t>
      </w:r>
      <w:r w:rsidRPr="00980938">
        <w:rPr>
          <w:rFonts w:ascii="Times New Roman" w:hAnsi="Times New Roman"/>
          <w:sz w:val="20"/>
          <w:szCs w:val="20"/>
          <w:shd w:val="clear" w:color="auto" w:fill="FFFFFF"/>
        </w:rPr>
        <w:t xml:space="preserve"> complex (Figure 1 (c)), which was a good indication of the formation of the inclusion complex. This is a common phenomenon observed by many researchers in synthesizing the inclusion complex between β-cyclodextrin as host and guest molecules [21-24]. </w:t>
      </w:r>
      <w:r w:rsidRPr="00980938">
        <w:rPr>
          <w:rFonts w:ascii="Times New Roman" w:hAnsi="Times New Roman"/>
          <w:sz w:val="20"/>
          <w:szCs w:val="20"/>
        </w:rPr>
        <w:t>The changes in the FT-IR spectrum of complex shown in Figure 1 (c) were due to the change of microenvironment with the formation of inclusion complex. Thus, the result of FT-IR spectroscopy indicated that the inclusion complex of glipizide with β-CD was formed.</w:t>
      </w:r>
    </w:p>
    <w:p w:rsidR="00980938" w:rsidRPr="00980938" w:rsidRDefault="00980938" w:rsidP="00980938">
      <w:pPr>
        <w:adjustRightInd w:val="0"/>
        <w:spacing w:after="0" w:line="240" w:lineRule="auto"/>
        <w:jc w:val="both"/>
        <w:rPr>
          <w:rFonts w:ascii="Times New Roman" w:hAnsi="Times New Roman"/>
          <w:sz w:val="20"/>
          <w:szCs w:val="20"/>
        </w:rPr>
      </w:pPr>
    </w:p>
    <w:p w:rsidR="00980938" w:rsidRPr="00980938" w:rsidRDefault="00980938" w:rsidP="00980938">
      <w:pPr>
        <w:adjustRightInd w:val="0"/>
        <w:spacing w:after="0" w:line="240" w:lineRule="auto"/>
        <w:ind w:firstLine="720"/>
        <w:jc w:val="both"/>
        <w:rPr>
          <w:rFonts w:ascii="Times New Roman" w:hAnsi="Times New Roman"/>
          <w:szCs w:val="20"/>
        </w:rPr>
      </w:pPr>
      <w:r w:rsidRPr="00980938">
        <w:rPr>
          <w:rFonts w:ascii="Times New Roman" w:hAnsi="Times New Roman"/>
          <w:noProof/>
          <w:lang w:bidi="ar-SA"/>
        </w:rPr>
        <w:drawing>
          <wp:anchor distT="0" distB="0" distL="114300" distR="114300" simplePos="0" relativeHeight="251660800" behindDoc="0" locked="0" layoutInCell="1" allowOverlap="1" wp14:anchorId="430ECE69" wp14:editId="2A115F96">
            <wp:simplePos x="0" y="0"/>
            <wp:positionH relativeFrom="margin">
              <wp:posOffset>1083310</wp:posOffset>
            </wp:positionH>
            <wp:positionV relativeFrom="paragraph">
              <wp:posOffset>140335</wp:posOffset>
            </wp:positionV>
            <wp:extent cx="3776345" cy="2834640"/>
            <wp:effectExtent l="19050" t="19050" r="14605" b="2286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345" cy="2834640"/>
                    </a:xfrm>
                    <a:prstGeom prst="rect">
                      <a:avLst/>
                    </a:prstGeom>
                    <a:noFill/>
                    <a:ln w="6350">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p>
    <w:p w:rsidR="00980938" w:rsidRPr="00980938" w:rsidRDefault="00980938" w:rsidP="00980938">
      <w:pPr>
        <w:spacing w:after="0" w:line="240" w:lineRule="auto"/>
        <w:jc w:val="both"/>
        <w:rPr>
          <w:rFonts w:ascii="Times New Roman" w:hAnsi="Times New Roman"/>
          <w:szCs w:val="20"/>
        </w:rPr>
      </w:pPr>
      <w:r w:rsidRPr="00980938">
        <w:rPr>
          <w:rFonts w:ascii="Times New Roman" w:hAnsi="Times New Roman"/>
          <w:szCs w:val="20"/>
        </w:rPr>
        <w:t xml:space="preserve">         </w:t>
      </w: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 w:val="20"/>
          <w:szCs w:val="20"/>
        </w:rPr>
      </w:pPr>
    </w:p>
    <w:p w:rsidR="00980938" w:rsidRPr="00980938" w:rsidRDefault="00980938" w:rsidP="00980938">
      <w:pPr>
        <w:spacing w:before="60" w:after="0" w:line="240" w:lineRule="auto"/>
        <w:jc w:val="center"/>
        <w:rPr>
          <w:rFonts w:ascii="Times New Roman" w:hAnsi="Times New Roman"/>
          <w:sz w:val="20"/>
          <w:szCs w:val="20"/>
        </w:rPr>
      </w:pPr>
      <w:r w:rsidRPr="00980938">
        <w:rPr>
          <w:rFonts w:ascii="Times New Roman" w:hAnsi="Times New Roman"/>
          <w:sz w:val="20"/>
          <w:szCs w:val="20"/>
        </w:rPr>
        <w:t xml:space="preserve">Figure 1. </w:t>
      </w:r>
      <w:r>
        <w:rPr>
          <w:rFonts w:ascii="Times New Roman" w:hAnsi="Times New Roman"/>
          <w:sz w:val="20"/>
          <w:szCs w:val="20"/>
        </w:rPr>
        <w:t xml:space="preserve"> </w:t>
      </w:r>
      <w:r w:rsidRPr="00980938">
        <w:rPr>
          <w:rFonts w:ascii="Times New Roman" w:hAnsi="Times New Roman"/>
          <w:sz w:val="20"/>
          <w:szCs w:val="20"/>
        </w:rPr>
        <w:t>FTIR spectrums of a) β-CD b) glipizide c) β-CD/glipizide.</w:t>
      </w:r>
    </w:p>
    <w:p w:rsidR="00980938" w:rsidRPr="00980938" w:rsidRDefault="00980938" w:rsidP="00980938">
      <w:pPr>
        <w:spacing w:after="0" w:line="240" w:lineRule="auto"/>
        <w:jc w:val="both"/>
        <w:rPr>
          <w:rFonts w:ascii="Times New Roman" w:hAnsi="Times New Roman"/>
          <w:szCs w:val="20"/>
        </w:rPr>
      </w:pPr>
    </w:p>
    <w:p w:rsidR="00980938" w:rsidRPr="00297CF8" w:rsidRDefault="00980938" w:rsidP="00297CF8">
      <w:pPr>
        <w:spacing w:after="120" w:line="240" w:lineRule="auto"/>
        <w:jc w:val="center"/>
        <w:rPr>
          <w:rFonts w:ascii="Times New Roman" w:hAnsi="Times New Roman"/>
          <w:sz w:val="20"/>
          <w:szCs w:val="20"/>
        </w:rPr>
      </w:pPr>
      <w:r w:rsidRPr="00297CF8">
        <w:rPr>
          <w:rFonts w:ascii="Times New Roman" w:hAnsi="Times New Roman"/>
          <w:sz w:val="20"/>
          <w:szCs w:val="20"/>
        </w:rPr>
        <w:t xml:space="preserve">Table 1. </w:t>
      </w:r>
      <w:r w:rsidR="00297CF8">
        <w:rPr>
          <w:rFonts w:ascii="Times New Roman" w:hAnsi="Times New Roman"/>
          <w:sz w:val="20"/>
          <w:szCs w:val="20"/>
        </w:rPr>
        <w:t xml:space="preserve"> </w:t>
      </w:r>
      <w:r w:rsidRPr="00297CF8">
        <w:rPr>
          <w:rFonts w:ascii="Times New Roman" w:hAnsi="Times New Roman"/>
          <w:sz w:val="20"/>
          <w:szCs w:val="20"/>
        </w:rPr>
        <w:t>Main FTIR frequencies for β-CD, glipizide and β-CD/glipizide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134"/>
        <w:gridCol w:w="1134"/>
        <w:gridCol w:w="1560"/>
      </w:tblGrid>
      <w:tr w:rsidR="00980938" w:rsidRPr="00297CF8" w:rsidTr="00297CF8">
        <w:trPr>
          <w:jc w:val="center"/>
        </w:trPr>
        <w:tc>
          <w:tcPr>
            <w:tcW w:w="1980" w:type="dxa"/>
            <w:tcBorders>
              <w:top w:val="single" w:sz="4" w:space="0" w:color="auto"/>
              <w:bottom w:val="single" w:sz="4" w:space="0" w:color="auto"/>
            </w:tcBorders>
          </w:tcPr>
          <w:p w:rsidR="00980938" w:rsidRPr="00297CF8" w:rsidRDefault="00980938" w:rsidP="00297CF8">
            <w:pPr>
              <w:spacing w:before="60" w:after="0" w:line="240" w:lineRule="auto"/>
              <w:ind w:left="720" w:hanging="720"/>
              <w:rPr>
                <w:rFonts w:ascii="Times New Roman" w:hAnsi="Times New Roman" w:cs="Times New Roman"/>
                <w:b/>
                <w:bCs/>
                <w:iCs/>
                <w:sz w:val="20"/>
                <w:szCs w:val="20"/>
              </w:rPr>
            </w:pPr>
            <w:r w:rsidRPr="00297CF8">
              <w:rPr>
                <w:rFonts w:ascii="Times New Roman" w:hAnsi="Times New Roman" w:cs="Times New Roman"/>
                <w:b/>
                <w:bCs/>
                <w:iCs/>
                <w:sz w:val="20"/>
                <w:szCs w:val="20"/>
              </w:rPr>
              <w:t>Wavenumber</w:t>
            </w:r>
          </w:p>
          <w:p w:rsidR="00980938" w:rsidRPr="00297CF8" w:rsidRDefault="00980938" w:rsidP="00297CF8">
            <w:pPr>
              <w:spacing w:after="60" w:line="240" w:lineRule="auto"/>
              <w:ind w:left="720" w:hanging="720"/>
              <w:rPr>
                <w:rFonts w:ascii="Times New Roman" w:hAnsi="Times New Roman" w:cs="Times New Roman"/>
                <w:b/>
                <w:bCs/>
                <w:iCs/>
                <w:sz w:val="20"/>
                <w:szCs w:val="20"/>
              </w:rPr>
            </w:pPr>
            <w:r w:rsidRPr="00297CF8">
              <w:rPr>
                <w:rFonts w:ascii="Times New Roman" w:hAnsi="Times New Roman" w:cs="Times New Roman"/>
                <w:b/>
                <w:bCs/>
                <w:iCs/>
                <w:sz w:val="20"/>
                <w:szCs w:val="20"/>
              </w:rPr>
              <w:t>(cm</w:t>
            </w:r>
            <w:r w:rsidRPr="00297CF8">
              <w:rPr>
                <w:rFonts w:ascii="Times New Roman" w:hAnsi="Times New Roman" w:cs="Times New Roman"/>
                <w:b/>
                <w:bCs/>
                <w:iCs/>
                <w:sz w:val="20"/>
                <w:szCs w:val="20"/>
                <w:vertAlign w:val="superscript"/>
              </w:rPr>
              <w:t>-1</w:t>
            </w:r>
            <w:r w:rsidRPr="00297CF8">
              <w:rPr>
                <w:rFonts w:ascii="Times New Roman" w:hAnsi="Times New Roman" w:cs="Times New Roman"/>
                <w:b/>
                <w:bCs/>
                <w:iCs/>
                <w:sz w:val="20"/>
                <w:szCs w:val="20"/>
              </w:rPr>
              <w:t>)</w:t>
            </w:r>
          </w:p>
        </w:tc>
        <w:tc>
          <w:tcPr>
            <w:tcW w:w="1417" w:type="dxa"/>
            <w:tcBorders>
              <w:top w:val="single" w:sz="4" w:space="0" w:color="auto"/>
              <w:bottom w:val="single" w:sz="4" w:space="0" w:color="auto"/>
            </w:tcBorders>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b/>
                <w:bCs/>
                <w:iCs/>
                <w:sz w:val="20"/>
                <w:szCs w:val="20"/>
              </w:rPr>
              <w:t>Assignments</w:t>
            </w:r>
          </w:p>
        </w:tc>
        <w:tc>
          <w:tcPr>
            <w:tcW w:w="1134" w:type="dxa"/>
            <w:tcBorders>
              <w:top w:val="single" w:sz="4" w:space="0" w:color="auto"/>
              <w:bottom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sz w:val="20"/>
                <w:szCs w:val="20"/>
              </w:rPr>
              <w:t>β-CD</w:t>
            </w:r>
          </w:p>
        </w:tc>
        <w:tc>
          <w:tcPr>
            <w:tcW w:w="1134" w:type="dxa"/>
            <w:tcBorders>
              <w:top w:val="single" w:sz="4" w:space="0" w:color="auto"/>
              <w:bottom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Glipizide</w:t>
            </w:r>
          </w:p>
        </w:tc>
        <w:tc>
          <w:tcPr>
            <w:tcW w:w="1560" w:type="dxa"/>
            <w:tcBorders>
              <w:top w:val="single" w:sz="4" w:space="0" w:color="auto"/>
              <w:bottom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β-CD/glipizide</w:t>
            </w:r>
          </w:p>
        </w:tc>
      </w:tr>
      <w:tr w:rsidR="00980938" w:rsidRPr="00297CF8" w:rsidTr="00297CF8">
        <w:trPr>
          <w:jc w:val="center"/>
        </w:trPr>
        <w:tc>
          <w:tcPr>
            <w:tcW w:w="1980" w:type="dxa"/>
            <w:tcBorders>
              <w:top w:val="single" w:sz="4" w:space="0" w:color="auto"/>
            </w:tcBorders>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3292.81</w:t>
            </w:r>
          </w:p>
        </w:tc>
        <w:tc>
          <w:tcPr>
            <w:tcW w:w="1417" w:type="dxa"/>
            <w:tcBorders>
              <w:top w:val="single" w:sz="4" w:space="0" w:color="auto"/>
            </w:tcBorders>
          </w:tcPr>
          <w:p w:rsidR="00980938" w:rsidRPr="00297CF8" w:rsidRDefault="00980938" w:rsidP="00297CF8">
            <w:pPr>
              <w:spacing w:before="60" w:after="0" w:line="240" w:lineRule="auto"/>
              <w:rPr>
                <w:rFonts w:ascii="Times New Roman" w:hAnsi="Times New Roman" w:cs="Times New Roman"/>
                <w:iCs/>
                <w:sz w:val="20"/>
                <w:szCs w:val="20"/>
              </w:rPr>
            </w:pPr>
            <w:r w:rsidRPr="00297CF8">
              <w:rPr>
                <w:rFonts w:ascii="Times New Roman" w:hAnsi="Times New Roman" w:cs="Times New Roman"/>
                <w:iCs/>
                <w:sz w:val="20"/>
                <w:szCs w:val="20"/>
              </w:rPr>
              <w:t>O-H stretch</w:t>
            </w:r>
          </w:p>
        </w:tc>
        <w:tc>
          <w:tcPr>
            <w:tcW w:w="1134" w:type="dxa"/>
            <w:tcBorders>
              <w:top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134" w:type="dxa"/>
            <w:tcBorders>
              <w:top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560" w:type="dxa"/>
            <w:tcBorders>
              <w:top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2944.00</w:t>
            </w:r>
          </w:p>
        </w:tc>
        <w:tc>
          <w:tcPr>
            <w:tcW w:w="1417" w:type="dxa"/>
            <w:vMerge w:val="restart"/>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C-H stretch</w:t>
            </w:r>
          </w:p>
          <w:p w:rsidR="00980938" w:rsidRPr="00297CF8" w:rsidRDefault="00980938" w:rsidP="00297CF8">
            <w:pPr>
              <w:spacing w:before="60" w:after="0" w:line="240" w:lineRule="auto"/>
              <w:rPr>
                <w:rFonts w:ascii="Times New Roman" w:hAnsi="Times New Roman" w:cs="Times New Roman"/>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2927.26</w:t>
            </w:r>
          </w:p>
        </w:tc>
        <w:tc>
          <w:tcPr>
            <w:tcW w:w="1417" w:type="dxa"/>
            <w:vMerge/>
          </w:tcPr>
          <w:p w:rsidR="00980938" w:rsidRPr="00297CF8" w:rsidRDefault="00980938" w:rsidP="00297CF8">
            <w:pPr>
              <w:spacing w:before="60" w:after="0" w:line="240" w:lineRule="auto"/>
              <w:rPr>
                <w:rFonts w:ascii="Times New Roman" w:hAnsi="Times New Roman" w:cs="Times New Roman"/>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2924.94</w:t>
            </w:r>
          </w:p>
        </w:tc>
        <w:tc>
          <w:tcPr>
            <w:tcW w:w="1417" w:type="dxa"/>
            <w:vMerge/>
          </w:tcPr>
          <w:p w:rsidR="00980938" w:rsidRPr="00297CF8" w:rsidRDefault="00980938" w:rsidP="00297CF8">
            <w:pPr>
              <w:spacing w:before="60" w:after="0" w:line="240" w:lineRule="auto"/>
              <w:rPr>
                <w:rFonts w:ascii="Times New Roman" w:hAnsi="Times New Roman" w:cs="Times New Roman"/>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1689.38</w:t>
            </w:r>
          </w:p>
        </w:tc>
        <w:tc>
          <w:tcPr>
            <w:tcW w:w="1417" w:type="dxa"/>
            <w:vMerge w:val="restart"/>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C=O stretch</w:t>
            </w: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1687.51</w:t>
            </w:r>
          </w:p>
        </w:tc>
        <w:tc>
          <w:tcPr>
            <w:tcW w:w="1417" w:type="dxa"/>
            <w:vMerge/>
          </w:tcPr>
          <w:p w:rsidR="00980938" w:rsidRPr="00297CF8" w:rsidRDefault="00980938" w:rsidP="00297CF8">
            <w:pPr>
              <w:spacing w:before="60" w:after="0" w:line="240" w:lineRule="auto"/>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1484.95</w:t>
            </w:r>
          </w:p>
        </w:tc>
        <w:tc>
          <w:tcPr>
            <w:tcW w:w="1417"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C=C stretch</w:t>
            </w: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1332.52</w:t>
            </w:r>
          </w:p>
        </w:tc>
        <w:tc>
          <w:tcPr>
            <w:tcW w:w="1417" w:type="dxa"/>
            <w:vMerge w:val="restart"/>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C-N stretch</w:t>
            </w: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r>
      <w:tr w:rsidR="00980938" w:rsidRPr="00297CF8" w:rsidTr="0089290A">
        <w:trPr>
          <w:jc w:val="center"/>
        </w:trPr>
        <w:tc>
          <w:tcPr>
            <w:tcW w:w="1980"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1331.94</w:t>
            </w:r>
          </w:p>
        </w:tc>
        <w:tc>
          <w:tcPr>
            <w:tcW w:w="1417" w:type="dxa"/>
            <w:vMerge/>
          </w:tcPr>
          <w:p w:rsidR="00980938" w:rsidRPr="00297CF8" w:rsidRDefault="00980938" w:rsidP="00297CF8">
            <w:pPr>
              <w:spacing w:before="60" w:after="0" w:line="240" w:lineRule="auto"/>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297CF8">
        <w:trPr>
          <w:jc w:val="center"/>
        </w:trPr>
        <w:tc>
          <w:tcPr>
            <w:tcW w:w="1980"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1157.21</w:t>
            </w:r>
          </w:p>
        </w:tc>
        <w:tc>
          <w:tcPr>
            <w:tcW w:w="1417" w:type="dxa"/>
          </w:tcPr>
          <w:p w:rsidR="00980938" w:rsidRPr="00297CF8" w:rsidRDefault="00980938" w:rsidP="00297CF8">
            <w:pPr>
              <w:spacing w:before="60" w:after="0" w:line="240" w:lineRule="auto"/>
              <w:rPr>
                <w:rFonts w:ascii="Times New Roman" w:hAnsi="Times New Roman" w:cs="Times New Roman"/>
                <w:b/>
                <w:bCs/>
                <w:iCs/>
                <w:sz w:val="20"/>
                <w:szCs w:val="20"/>
              </w:rPr>
            </w:pPr>
            <w:r w:rsidRPr="00297CF8">
              <w:rPr>
                <w:rFonts w:ascii="Times New Roman" w:hAnsi="Times New Roman" w:cs="Times New Roman"/>
                <w:sz w:val="20"/>
                <w:szCs w:val="20"/>
              </w:rPr>
              <w:t>S=O</w:t>
            </w: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c>
          <w:tcPr>
            <w:tcW w:w="1134"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560" w:type="dxa"/>
          </w:tcPr>
          <w:p w:rsidR="00980938" w:rsidRPr="00297CF8" w:rsidRDefault="00980938" w:rsidP="00297CF8">
            <w:pPr>
              <w:spacing w:before="60" w:after="0" w:line="240" w:lineRule="auto"/>
              <w:jc w:val="center"/>
              <w:rPr>
                <w:rFonts w:ascii="Times New Roman" w:hAnsi="Times New Roman" w:cs="Times New Roman"/>
                <w:b/>
                <w:bCs/>
                <w:iCs/>
                <w:sz w:val="20"/>
                <w:szCs w:val="20"/>
              </w:rPr>
            </w:pPr>
          </w:p>
        </w:tc>
      </w:tr>
      <w:tr w:rsidR="00980938" w:rsidRPr="00297CF8" w:rsidTr="00297CF8">
        <w:trPr>
          <w:jc w:val="center"/>
        </w:trPr>
        <w:tc>
          <w:tcPr>
            <w:tcW w:w="1980" w:type="dxa"/>
            <w:tcBorders>
              <w:bottom w:val="single" w:sz="4" w:space="0" w:color="auto"/>
            </w:tcBorders>
          </w:tcPr>
          <w:p w:rsidR="00980938" w:rsidRPr="00297CF8" w:rsidRDefault="00980938" w:rsidP="00297CF8">
            <w:pPr>
              <w:spacing w:before="60" w:after="60" w:line="240" w:lineRule="auto"/>
              <w:rPr>
                <w:rFonts w:ascii="Times New Roman" w:hAnsi="Times New Roman" w:cs="Times New Roman"/>
                <w:sz w:val="20"/>
                <w:szCs w:val="20"/>
              </w:rPr>
            </w:pPr>
            <w:r w:rsidRPr="00297CF8">
              <w:rPr>
                <w:rFonts w:ascii="Times New Roman" w:hAnsi="Times New Roman" w:cs="Times New Roman"/>
                <w:sz w:val="20"/>
                <w:szCs w:val="20"/>
              </w:rPr>
              <w:t>1152.37</w:t>
            </w:r>
          </w:p>
        </w:tc>
        <w:tc>
          <w:tcPr>
            <w:tcW w:w="1417" w:type="dxa"/>
            <w:tcBorders>
              <w:bottom w:val="single" w:sz="4" w:space="0" w:color="auto"/>
            </w:tcBorders>
          </w:tcPr>
          <w:p w:rsidR="00980938" w:rsidRPr="00297CF8" w:rsidRDefault="00980938" w:rsidP="00297CF8">
            <w:pPr>
              <w:spacing w:before="60" w:after="60" w:line="240" w:lineRule="auto"/>
              <w:rPr>
                <w:rFonts w:ascii="Times New Roman" w:hAnsi="Times New Roman" w:cs="Times New Roman"/>
                <w:sz w:val="20"/>
                <w:szCs w:val="20"/>
              </w:rPr>
            </w:pPr>
            <w:r w:rsidRPr="00297CF8">
              <w:rPr>
                <w:rFonts w:ascii="Times New Roman" w:hAnsi="Times New Roman" w:cs="Times New Roman"/>
                <w:sz w:val="20"/>
                <w:szCs w:val="20"/>
              </w:rPr>
              <w:t>C-C</w:t>
            </w:r>
          </w:p>
        </w:tc>
        <w:tc>
          <w:tcPr>
            <w:tcW w:w="1134" w:type="dxa"/>
            <w:tcBorders>
              <w:bottom w:val="single" w:sz="4" w:space="0" w:color="auto"/>
            </w:tcBorders>
          </w:tcPr>
          <w:p w:rsidR="00980938" w:rsidRPr="00297CF8" w:rsidRDefault="00980938" w:rsidP="00297CF8">
            <w:pPr>
              <w:spacing w:before="60" w:after="60" w:line="240" w:lineRule="auto"/>
              <w:jc w:val="center"/>
              <w:rPr>
                <w:rFonts w:ascii="Times New Roman" w:hAnsi="Times New Roman" w:cs="Times New Roman"/>
                <w:b/>
                <w:bCs/>
                <w:iCs/>
                <w:sz w:val="20"/>
                <w:szCs w:val="20"/>
              </w:rPr>
            </w:pPr>
            <w:r w:rsidRPr="00297CF8">
              <w:rPr>
                <w:rFonts w:ascii="Times New Roman" w:hAnsi="Times New Roman" w:cs="Times New Roman"/>
                <w:b/>
                <w:bCs/>
                <w:iCs/>
                <w:sz w:val="20"/>
                <w:szCs w:val="20"/>
              </w:rPr>
              <w:t>√</w:t>
            </w:r>
          </w:p>
        </w:tc>
        <w:tc>
          <w:tcPr>
            <w:tcW w:w="1134" w:type="dxa"/>
            <w:tcBorders>
              <w:bottom w:val="single" w:sz="4" w:space="0" w:color="auto"/>
            </w:tcBorders>
          </w:tcPr>
          <w:p w:rsidR="00980938" w:rsidRPr="00297CF8" w:rsidRDefault="00980938" w:rsidP="00297CF8">
            <w:pPr>
              <w:spacing w:before="60" w:after="60" w:line="240" w:lineRule="auto"/>
              <w:jc w:val="center"/>
              <w:rPr>
                <w:rFonts w:ascii="Times New Roman" w:hAnsi="Times New Roman" w:cs="Times New Roman"/>
                <w:b/>
                <w:bCs/>
                <w:iCs/>
                <w:sz w:val="20"/>
                <w:szCs w:val="20"/>
              </w:rPr>
            </w:pPr>
          </w:p>
        </w:tc>
        <w:tc>
          <w:tcPr>
            <w:tcW w:w="1560" w:type="dxa"/>
            <w:tcBorders>
              <w:bottom w:val="single" w:sz="4" w:space="0" w:color="auto"/>
            </w:tcBorders>
          </w:tcPr>
          <w:p w:rsidR="00980938" w:rsidRPr="00297CF8" w:rsidRDefault="00980938" w:rsidP="00297CF8">
            <w:pPr>
              <w:spacing w:before="60" w:after="60" w:line="240" w:lineRule="auto"/>
              <w:jc w:val="center"/>
              <w:rPr>
                <w:rFonts w:ascii="Times New Roman" w:hAnsi="Times New Roman" w:cs="Times New Roman"/>
                <w:b/>
                <w:bCs/>
                <w:iCs/>
                <w:sz w:val="20"/>
                <w:szCs w:val="20"/>
              </w:rPr>
            </w:pPr>
          </w:p>
        </w:tc>
      </w:tr>
    </w:tbl>
    <w:p w:rsidR="00980938" w:rsidRPr="00297CF8" w:rsidRDefault="00980938" w:rsidP="00297CF8">
      <w:pPr>
        <w:spacing w:after="120" w:line="240" w:lineRule="auto"/>
        <w:jc w:val="both"/>
        <w:rPr>
          <w:rFonts w:ascii="Times New Roman" w:hAnsi="Times New Roman"/>
          <w:b/>
          <w:bCs/>
          <w:iCs/>
          <w:sz w:val="20"/>
          <w:szCs w:val="20"/>
        </w:rPr>
      </w:pPr>
    </w:p>
    <w:p w:rsidR="00980938" w:rsidRPr="00297CF8" w:rsidRDefault="00980938" w:rsidP="00980938">
      <w:pPr>
        <w:spacing w:after="0" w:line="240" w:lineRule="auto"/>
        <w:jc w:val="both"/>
        <w:rPr>
          <w:rFonts w:ascii="Times New Roman" w:hAnsi="Times New Roman"/>
          <w:b/>
          <w:bCs/>
          <w:iCs/>
          <w:sz w:val="20"/>
          <w:szCs w:val="20"/>
        </w:rPr>
      </w:pPr>
      <w:r w:rsidRPr="00297CF8">
        <w:rPr>
          <w:rFonts w:ascii="Times New Roman" w:hAnsi="Times New Roman"/>
          <w:b/>
          <w:bCs/>
          <w:iCs/>
          <w:sz w:val="20"/>
          <w:szCs w:val="20"/>
        </w:rPr>
        <w:t>Thermal analysis</w:t>
      </w:r>
    </w:p>
    <w:p w:rsidR="00980938" w:rsidRDefault="00980938" w:rsidP="00980938">
      <w:pPr>
        <w:spacing w:after="0" w:line="240" w:lineRule="auto"/>
        <w:jc w:val="both"/>
        <w:rPr>
          <w:rFonts w:ascii="Times New Roman" w:hAnsi="Times New Roman"/>
          <w:sz w:val="20"/>
          <w:szCs w:val="20"/>
        </w:rPr>
      </w:pPr>
      <w:r w:rsidRPr="00297CF8">
        <w:rPr>
          <w:rFonts w:ascii="Times New Roman" w:hAnsi="Times New Roman"/>
          <w:sz w:val="20"/>
          <w:szCs w:val="20"/>
        </w:rPr>
        <w:t>TGA analyses were performed on the β-CD, glipizide, and β-CD/glipizide complex in the temperature range of 30</w:t>
      </w:r>
      <w:r w:rsidRPr="00297CF8">
        <w:rPr>
          <w:rFonts w:ascii="Times New Roman" w:hAnsi="Times New Roman"/>
          <w:sz w:val="20"/>
          <w:szCs w:val="20"/>
          <w:vertAlign w:val="superscript"/>
        </w:rPr>
        <w:t xml:space="preserve"> o</w:t>
      </w:r>
      <w:r w:rsidRPr="00297CF8">
        <w:rPr>
          <w:rFonts w:ascii="Times New Roman" w:hAnsi="Times New Roman"/>
          <w:sz w:val="20"/>
          <w:szCs w:val="20"/>
        </w:rPr>
        <w:t xml:space="preserve">C </w:t>
      </w:r>
      <w:r w:rsidR="00297CF8">
        <w:rPr>
          <w:rFonts w:ascii="Times New Roman" w:hAnsi="Times New Roman"/>
          <w:sz w:val="20"/>
          <w:szCs w:val="20"/>
        </w:rPr>
        <w:t>-</w:t>
      </w:r>
      <w:r w:rsidRPr="00297CF8">
        <w:rPr>
          <w:rFonts w:ascii="Times New Roman" w:hAnsi="Times New Roman"/>
          <w:sz w:val="20"/>
          <w:szCs w:val="20"/>
        </w:rPr>
        <w:t xml:space="preserve"> 900 </w:t>
      </w:r>
      <w:r w:rsidRPr="00297CF8">
        <w:rPr>
          <w:rFonts w:ascii="Times New Roman" w:hAnsi="Times New Roman"/>
          <w:sz w:val="20"/>
          <w:szCs w:val="20"/>
          <w:vertAlign w:val="superscript"/>
        </w:rPr>
        <w:t>o</w:t>
      </w:r>
      <w:r w:rsidRPr="00297CF8">
        <w:rPr>
          <w:rFonts w:ascii="Times New Roman" w:hAnsi="Times New Roman"/>
          <w:sz w:val="20"/>
          <w:szCs w:val="20"/>
        </w:rPr>
        <w:t xml:space="preserve">C. Based on the thermogram shown in Figure 2, there was an initial loss of weight at temperature below 100 </w:t>
      </w:r>
      <w:r w:rsidRPr="00297CF8">
        <w:rPr>
          <w:rFonts w:ascii="Times New Roman" w:hAnsi="Times New Roman"/>
          <w:sz w:val="20"/>
          <w:szCs w:val="20"/>
          <w:vertAlign w:val="superscript"/>
        </w:rPr>
        <w:t>o</w:t>
      </w:r>
      <w:r w:rsidRPr="00297CF8">
        <w:rPr>
          <w:rFonts w:ascii="Times New Roman" w:hAnsi="Times New Roman"/>
          <w:sz w:val="20"/>
          <w:szCs w:val="20"/>
        </w:rPr>
        <w:t xml:space="preserve">C for β-CD, glipizide, and β-CD/glipizide complex due to the loss of water molecules. The weight losses of β-CD starting from 328.90 </w:t>
      </w:r>
      <w:r w:rsidRPr="00297CF8">
        <w:rPr>
          <w:rFonts w:ascii="Times New Roman" w:hAnsi="Times New Roman"/>
          <w:sz w:val="20"/>
          <w:szCs w:val="20"/>
          <w:vertAlign w:val="superscript"/>
        </w:rPr>
        <w:t>o</w:t>
      </w:r>
      <w:r w:rsidRPr="00297CF8">
        <w:rPr>
          <w:rFonts w:ascii="Times New Roman" w:hAnsi="Times New Roman"/>
          <w:sz w:val="20"/>
          <w:szCs w:val="20"/>
        </w:rPr>
        <w:t xml:space="preserve">C to 800 </w:t>
      </w:r>
      <w:r w:rsidRPr="00297CF8">
        <w:rPr>
          <w:rFonts w:ascii="Times New Roman" w:hAnsi="Times New Roman"/>
          <w:sz w:val="20"/>
          <w:szCs w:val="20"/>
          <w:vertAlign w:val="superscript"/>
        </w:rPr>
        <w:t>o</w:t>
      </w:r>
      <w:r w:rsidRPr="00297CF8">
        <w:rPr>
          <w:rFonts w:ascii="Times New Roman" w:hAnsi="Times New Roman"/>
          <w:sz w:val="20"/>
          <w:szCs w:val="20"/>
        </w:rPr>
        <w:t xml:space="preserve">C were attributed to the decomposition of β-CD, while glipizide started to decompose around 220 </w:t>
      </w:r>
      <w:r w:rsidRPr="00297CF8">
        <w:rPr>
          <w:rFonts w:ascii="Times New Roman" w:hAnsi="Times New Roman"/>
          <w:sz w:val="20"/>
          <w:szCs w:val="20"/>
          <w:vertAlign w:val="superscript"/>
        </w:rPr>
        <w:t>o</w:t>
      </w:r>
      <w:r w:rsidRPr="00297CF8">
        <w:rPr>
          <w:rFonts w:ascii="Times New Roman" w:hAnsi="Times New Roman"/>
          <w:sz w:val="20"/>
          <w:szCs w:val="20"/>
        </w:rPr>
        <w:t>C. The weight loss for β-CD/glipizide complex that occurred at the range of 210</w:t>
      </w:r>
      <w:r w:rsidRPr="00297CF8">
        <w:rPr>
          <w:rFonts w:ascii="Times New Roman" w:hAnsi="Times New Roman"/>
          <w:sz w:val="20"/>
          <w:szCs w:val="20"/>
          <w:vertAlign w:val="superscript"/>
        </w:rPr>
        <w:t xml:space="preserve"> o</w:t>
      </w:r>
      <w:r w:rsidRPr="00297CF8">
        <w:rPr>
          <w:rFonts w:ascii="Times New Roman" w:hAnsi="Times New Roman"/>
          <w:sz w:val="20"/>
          <w:szCs w:val="20"/>
        </w:rPr>
        <w:t xml:space="preserve">C </w:t>
      </w:r>
      <w:r w:rsidR="00297CF8">
        <w:rPr>
          <w:rFonts w:ascii="Times New Roman" w:hAnsi="Times New Roman"/>
          <w:sz w:val="20"/>
          <w:szCs w:val="20"/>
        </w:rPr>
        <w:t>-</w:t>
      </w:r>
      <w:r w:rsidRPr="00297CF8">
        <w:rPr>
          <w:rFonts w:ascii="Times New Roman" w:hAnsi="Times New Roman"/>
          <w:sz w:val="20"/>
          <w:szCs w:val="20"/>
        </w:rPr>
        <w:t xml:space="preserve"> 400 </w:t>
      </w:r>
      <w:r w:rsidRPr="00297CF8">
        <w:rPr>
          <w:rFonts w:ascii="Times New Roman" w:hAnsi="Times New Roman"/>
          <w:sz w:val="20"/>
          <w:szCs w:val="20"/>
          <w:vertAlign w:val="superscript"/>
        </w:rPr>
        <w:t>o</w:t>
      </w:r>
      <w:r w:rsidRPr="00297CF8">
        <w:rPr>
          <w:rFonts w:ascii="Times New Roman" w:hAnsi="Times New Roman"/>
          <w:sz w:val="20"/>
          <w:szCs w:val="20"/>
        </w:rPr>
        <w:t>C could be related to the decomposition of organic moieties at the surface. The result showed that the β-CD/glipizide complex had the least pronounced weight loss than β-CD and glipizide. Apart from that, the high stability of β-CD/glipizide could be due to the strong hydrophobic interaction between β-CD and glipizide, which enabled this material to be used in high-temperature applications. The temperature of weight loss with detailed assignment is shown in Table 2.</w:t>
      </w:r>
    </w:p>
    <w:p w:rsidR="00297CF8" w:rsidRPr="00297CF8" w:rsidRDefault="00297CF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noProof/>
          <w:sz w:val="20"/>
          <w:szCs w:val="20"/>
          <w:lang w:eastAsia="en-MY"/>
        </w:rPr>
      </w:pPr>
      <w:r w:rsidRPr="00297CF8">
        <w:rPr>
          <w:rFonts w:ascii="Times New Roman" w:hAnsi="Times New Roman"/>
          <w:noProof/>
          <w:sz w:val="20"/>
          <w:szCs w:val="20"/>
          <w:lang w:bidi="ar-SA"/>
        </w:rPr>
        <w:drawing>
          <wp:anchor distT="0" distB="0" distL="114300" distR="114300" simplePos="0" relativeHeight="251661824" behindDoc="0" locked="0" layoutInCell="1" allowOverlap="1" wp14:anchorId="3D6766A0" wp14:editId="42D8D18E">
            <wp:simplePos x="0" y="0"/>
            <wp:positionH relativeFrom="margin">
              <wp:posOffset>1323975</wp:posOffset>
            </wp:positionH>
            <wp:positionV relativeFrom="paragraph">
              <wp:posOffset>107315</wp:posOffset>
            </wp:positionV>
            <wp:extent cx="3166110" cy="2560320"/>
            <wp:effectExtent l="19050" t="19050" r="15240" b="11430"/>
            <wp:wrapSquare wrapText="bothSides"/>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110" cy="2560320"/>
                    </a:xfrm>
                    <a:prstGeom prst="rect">
                      <a:avLst/>
                    </a:prstGeom>
                    <a:noFill/>
                    <a:ln w="63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sz w:val="20"/>
          <w:szCs w:val="20"/>
        </w:rPr>
      </w:pPr>
    </w:p>
    <w:p w:rsidR="00297CF8" w:rsidRDefault="00297CF8" w:rsidP="00980938">
      <w:pPr>
        <w:spacing w:after="0" w:line="240" w:lineRule="auto"/>
        <w:jc w:val="both"/>
        <w:rPr>
          <w:rFonts w:ascii="Times New Roman" w:hAnsi="Times New Roman"/>
          <w:sz w:val="20"/>
          <w:szCs w:val="20"/>
        </w:rPr>
      </w:pPr>
    </w:p>
    <w:p w:rsidR="00980938" w:rsidRPr="00297CF8" w:rsidRDefault="00980938" w:rsidP="00297CF8">
      <w:pPr>
        <w:spacing w:after="0" w:line="240" w:lineRule="auto"/>
        <w:jc w:val="center"/>
        <w:rPr>
          <w:rFonts w:ascii="Times New Roman" w:hAnsi="Times New Roman"/>
          <w:sz w:val="20"/>
          <w:szCs w:val="20"/>
        </w:rPr>
      </w:pPr>
      <w:r w:rsidRPr="00297CF8">
        <w:rPr>
          <w:rFonts w:ascii="Times New Roman" w:hAnsi="Times New Roman"/>
          <w:sz w:val="20"/>
          <w:szCs w:val="20"/>
        </w:rPr>
        <w:t xml:space="preserve">Figure 2. </w:t>
      </w:r>
      <w:r w:rsidR="00297CF8" w:rsidRPr="00297CF8">
        <w:rPr>
          <w:rFonts w:ascii="Times New Roman" w:hAnsi="Times New Roman"/>
          <w:sz w:val="20"/>
          <w:szCs w:val="20"/>
        </w:rPr>
        <w:t xml:space="preserve"> </w:t>
      </w:r>
      <w:r w:rsidRPr="00297CF8">
        <w:rPr>
          <w:rFonts w:ascii="Times New Roman" w:hAnsi="Times New Roman"/>
          <w:sz w:val="20"/>
          <w:szCs w:val="20"/>
        </w:rPr>
        <w:t xml:space="preserve">TGA for β-CD, </w:t>
      </w:r>
      <w:r w:rsidR="00297CF8" w:rsidRPr="00297CF8">
        <w:rPr>
          <w:rFonts w:ascii="Times New Roman" w:hAnsi="Times New Roman"/>
          <w:sz w:val="20"/>
          <w:szCs w:val="20"/>
        </w:rPr>
        <w:t>glipizide and β-CD/glipizide</w:t>
      </w:r>
    </w:p>
    <w:p w:rsidR="00980938" w:rsidRPr="00980938" w:rsidRDefault="00980938" w:rsidP="00980938">
      <w:pPr>
        <w:spacing w:after="0" w:line="240" w:lineRule="auto"/>
        <w:jc w:val="both"/>
        <w:rPr>
          <w:rFonts w:ascii="Times New Roman" w:hAnsi="Times New Roman"/>
          <w:szCs w:val="20"/>
        </w:rPr>
      </w:pPr>
    </w:p>
    <w:p w:rsidR="00980938" w:rsidRPr="00297CF8" w:rsidRDefault="00980938" w:rsidP="00297CF8">
      <w:pPr>
        <w:spacing w:after="120" w:line="240" w:lineRule="auto"/>
        <w:jc w:val="center"/>
        <w:rPr>
          <w:rFonts w:ascii="Times New Roman" w:hAnsi="Times New Roman"/>
          <w:sz w:val="20"/>
          <w:szCs w:val="20"/>
        </w:rPr>
      </w:pPr>
      <w:r w:rsidRPr="00297CF8">
        <w:rPr>
          <w:rFonts w:ascii="Times New Roman" w:hAnsi="Times New Roman"/>
          <w:sz w:val="20"/>
          <w:szCs w:val="20"/>
        </w:rPr>
        <w:t xml:space="preserve">Table 2. </w:t>
      </w:r>
      <w:r w:rsidR="00297CF8">
        <w:rPr>
          <w:rFonts w:ascii="Times New Roman" w:hAnsi="Times New Roman"/>
          <w:sz w:val="20"/>
          <w:szCs w:val="20"/>
        </w:rPr>
        <w:t xml:space="preserve"> </w:t>
      </w:r>
      <w:r w:rsidRPr="00297CF8">
        <w:rPr>
          <w:rFonts w:ascii="Times New Roman" w:hAnsi="Times New Roman"/>
          <w:sz w:val="20"/>
          <w:szCs w:val="20"/>
        </w:rPr>
        <w:t>The assignment for temperature of weight loss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033"/>
        <w:gridCol w:w="1278"/>
        <w:gridCol w:w="2188"/>
      </w:tblGrid>
      <w:tr w:rsidR="00980938" w:rsidRPr="00297CF8" w:rsidTr="00297CF8">
        <w:trPr>
          <w:jc w:val="center"/>
        </w:trPr>
        <w:tc>
          <w:tcPr>
            <w:tcW w:w="0" w:type="auto"/>
            <w:tcBorders>
              <w:top w:val="single" w:sz="4" w:space="0" w:color="auto"/>
              <w:bottom w:val="single" w:sz="4" w:space="0" w:color="auto"/>
            </w:tcBorders>
          </w:tcPr>
          <w:p w:rsidR="00980938" w:rsidRPr="00297CF8" w:rsidRDefault="00980938" w:rsidP="00297CF8">
            <w:pPr>
              <w:spacing w:before="60" w:after="0" w:line="240" w:lineRule="auto"/>
              <w:rPr>
                <w:rFonts w:ascii="Times New Roman" w:hAnsi="Times New Roman" w:cs="Times New Roman"/>
                <w:b/>
                <w:bCs/>
                <w:sz w:val="20"/>
                <w:szCs w:val="20"/>
              </w:rPr>
            </w:pPr>
            <w:r w:rsidRPr="00297CF8">
              <w:rPr>
                <w:rFonts w:ascii="Times New Roman" w:hAnsi="Times New Roman" w:cs="Times New Roman"/>
                <w:b/>
                <w:bCs/>
                <w:sz w:val="20"/>
                <w:szCs w:val="20"/>
              </w:rPr>
              <w:t>Samples</w:t>
            </w:r>
          </w:p>
        </w:tc>
        <w:tc>
          <w:tcPr>
            <w:tcW w:w="0" w:type="auto"/>
            <w:tcBorders>
              <w:top w:val="single" w:sz="4" w:space="0" w:color="auto"/>
              <w:bottom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Region</w:t>
            </w:r>
          </w:p>
          <w:p w:rsidR="00980938" w:rsidRPr="00297CF8" w:rsidRDefault="00980938" w:rsidP="00297CF8">
            <w:pPr>
              <w:spacing w:after="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(°C)</w:t>
            </w:r>
          </w:p>
        </w:tc>
        <w:tc>
          <w:tcPr>
            <w:tcW w:w="0" w:type="auto"/>
            <w:tcBorders>
              <w:top w:val="single" w:sz="4" w:space="0" w:color="auto"/>
              <w:bottom w:val="single" w:sz="4" w:space="0" w:color="auto"/>
            </w:tcBorders>
          </w:tcPr>
          <w:p w:rsidR="00980938" w:rsidRPr="00297CF8" w:rsidRDefault="00980938" w:rsidP="00297CF8">
            <w:pPr>
              <w:spacing w:before="60" w:after="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Weight Loss</w:t>
            </w:r>
          </w:p>
          <w:p w:rsidR="00980938" w:rsidRPr="00297CF8" w:rsidRDefault="00980938" w:rsidP="00297CF8">
            <w:pPr>
              <w:spacing w:after="60" w:line="240" w:lineRule="auto"/>
              <w:jc w:val="center"/>
              <w:rPr>
                <w:rFonts w:ascii="Times New Roman" w:hAnsi="Times New Roman" w:cs="Times New Roman"/>
                <w:b/>
                <w:bCs/>
                <w:sz w:val="20"/>
                <w:szCs w:val="20"/>
              </w:rPr>
            </w:pPr>
            <w:r w:rsidRPr="00297CF8">
              <w:rPr>
                <w:rFonts w:ascii="Times New Roman" w:hAnsi="Times New Roman" w:cs="Times New Roman"/>
                <w:b/>
                <w:bCs/>
                <w:sz w:val="20"/>
                <w:szCs w:val="20"/>
              </w:rPr>
              <w:t>(%)</w:t>
            </w:r>
          </w:p>
        </w:tc>
        <w:tc>
          <w:tcPr>
            <w:tcW w:w="0" w:type="auto"/>
            <w:tcBorders>
              <w:top w:val="single" w:sz="4" w:space="0" w:color="auto"/>
              <w:bottom w:val="single" w:sz="4" w:space="0" w:color="auto"/>
            </w:tcBorders>
          </w:tcPr>
          <w:p w:rsidR="00980938" w:rsidRPr="00297CF8" w:rsidRDefault="00980938" w:rsidP="00297CF8">
            <w:pPr>
              <w:spacing w:before="60" w:after="0" w:line="240" w:lineRule="auto"/>
              <w:rPr>
                <w:rFonts w:ascii="Times New Roman" w:hAnsi="Times New Roman" w:cs="Times New Roman"/>
                <w:b/>
                <w:bCs/>
                <w:sz w:val="20"/>
                <w:szCs w:val="20"/>
              </w:rPr>
            </w:pPr>
            <w:r w:rsidRPr="00297CF8">
              <w:rPr>
                <w:rFonts w:ascii="Times New Roman" w:hAnsi="Times New Roman" w:cs="Times New Roman"/>
                <w:b/>
                <w:bCs/>
                <w:sz w:val="20"/>
                <w:szCs w:val="20"/>
              </w:rPr>
              <w:t>Assignment</w:t>
            </w:r>
          </w:p>
        </w:tc>
      </w:tr>
      <w:tr w:rsidR="00980938" w:rsidRPr="00297CF8" w:rsidTr="00297CF8">
        <w:trPr>
          <w:jc w:val="center"/>
        </w:trPr>
        <w:tc>
          <w:tcPr>
            <w:tcW w:w="0" w:type="auto"/>
            <w:tcBorders>
              <w:top w:val="single" w:sz="4" w:space="0" w:color="auto"/>
            </w:tcBorders>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β-CD</w:t>
            </w:r>
          </w:p>
        </w:tc>
        <w:tc>
          <w:tcPr>
            <w:tcW w:w="0" w:type="auto"/>
            <w:tcBorders>
              <w:top w:val="single" w:sz="4" w:space="0" w:color="auto"/>
            </w:tcBorders>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&lt;100</w:t>
            </w:r>
          </w:p>
        </w:tc>
        <w:tc>
          <w:tcPr>
            <w:tcW w:w="0" w:type="auto"/>
            <w:tcBorders>
              <w:top w:val="single" w:sz="4" w:space="0" w:color="auto"/>
            </w:tcBorders>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29.46</w:t>
            </w:r>
          </w:p>
        </w:tc>
        <w:tc>
          <w:tcPr>
            <w:tcW w:w="0" w:type="auto"/>
            <w:tcBorders>
              <w:top w:val="single" w:sz="4" w:space="0" w:color="auto"/>
            </w:tcBorders>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Water loss</w:t>
            </w:r>
          </w:p>
        </w:tc>
      </w:tr>
      <w:tr w:rsidR="00980938" w:rsidRPr="00297CF8" w:rsidTr="0089290A">
        <w:trPr>
          <w:jc w:val="center"/>
        </w:trPr>
        <w:tc>
          <w:tcPr>
            <w:tcW w:w="0" w:type="auto"/>
          </w:tcPr>
          <w:p w:rsidR="00980938" w:rsidRPr="00297CF8" w:rsidRDefault="00980938" w:rsidP="00297CF8">
            <w:pPr>
              <w:spacing w:before="60" w:after="0" w:line="240" w:lineRule="auto"/>
              <w:rPr>
                <w:rFonts w:ascii="Times New Roman" w:hAnsi="Times New Roman" w:cs="Times New Roman"/>
                <w:sz w:val="20"/>
                <w:szCs w:val="20"/>
              </w:rPr>
            </w:pP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328.9-800</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81.35</w:t>
            </w:r>
          </w:p>
        </w:tc>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β-CD decomposition</w:t>
            </w:r>
          </w:p>
        </w:tc>
      </w:tr>
      <w:tr w:rsidR="00980938" w:rsidRPr="00297CF8" w:rsidTr="0089290A">
        <w:trPr>
          <w:jc w:val="center"/>
        </w:trPr>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glipizide</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&lt;100</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29.52</w:t>
            </w:r>
          </w:p>
        </w:tc>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Water loss</w:t>
            </w:r>
          </w:p>
        </w:tc>
      </w:tr>
      <w:tr w:rsidR="00980938" w:rsidRPr="00297CF8" w:rsidTr="0089290A">
        <w:trPr>
          <w:jc w:val="center"/>
        </w:trPr>
        <w:tc>
          <w:tcPr>
            <w:tcW w:w="0" w:type="auto"/>
          </w:tcPr>
          <w:p w:rsidR="00980938" w:rsidRPr="00297CF8" w:rsidRDefault="00980938" w:rsidP="00297CF8">
            <w:pPr>
              <w:spacing w:before="60" w:after="0" w:line="240" w:lineRule="auto"/>
              <w:rPr>
                <w:rFonts w:ascii="Times New Roman" w:hAnsi="Times New Roman" w:cs="Times New Roman"/>
                <w:sz w:val="20"/>
                <w:szCs w:val="20"/>
              </w:rPr>
            </w:pP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220</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96.96</w:t>
            </w:r>
          </w:p>
        </w:tc>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Glipizide decomposition</w:t>
            </w:r>
          </w:p>
        </w:tc>
      </w:tr>
      <w:tr w:rsidR="00980938" w:rsidRPr="00297CF8" w:rsidTr="00297CF8">
        <w:trPr>
          <w:jc w:val="center"/>
        </w:trPr>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β-CD/glipizide</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&lt;100</w:t>
            </w:r>
          </w:p>
        </w:tc>
        <w:tc>
          <w:tcPr>
            <w:tcW w:w="0" w:type="auto"/>
          </w:tcPr>
          <w:p w:rsidR="00980938" w:rsidRPr="00297CF8" w:rsidRDefault="00980938" w:rsidP="00297CF8">
            <w:pPr>
              <w:spacing w:before="60" w:after="0" w:line="240" w:lineRule="auto"/>
              <w:jc w:val="center"/>
              <w:rPr>
                <w:rFonts w:ascii="Times New Roman" w:hAnsi="Times New Roman" w:cs="Times New Roman"/>
                <w:sz w:val="20"/>
                <w:szCs w:val="20"/>
              </w:rPr>
            </w:pPr>
            <w:r w:rsidRPr="00297CF8">
              <w:rPr>
                <w:rFonts w:ascii="Times New Roman" w:hAnsi="Times New Roman" w:cs="Times New Roman"/>
                <w:sz w:val="20"/>
                <w:szCs w:val="20"/>
              </w:rPr>
              <w:t>29.45</w:t>
            </w:r>
          </w:p>
        </w:tc>
        <w:tc>
          <w:tcPr>
            <w:tcW w:w="0" w:type="auto"/>
          </w:tcPr>
          <w:p w:rsidR="00980938" w:rsidRPr="00297CF8" w:rsidRDefault="00980938" w:rsidP="00297CF8">
            <w:pPr>
              <w:spacing w:before="60" w:after="0" w:line="240" w:lineRule="auto"/>
              <w:rPr>
                <w:rFonts w:ascii="Times New Roman" w:hAnsi="Times New Roman" w:cs="Times New Roman"/>
                <w:sz w:val="20"/>
                <w:szCs w:val="20"/>
              </w:rPr>
            </w:pPr>
            <w:r w:rsidRPr="00297CF8">
              <w:rPr>
                <w:rFonts w:ascii="Times New Roman" w:hAnsi="Times New Roman" w:cs="Times New Roman"/>
                <w:sz w:val="20"/>
                <w:szCs w:val="20"/>
              </w:rPr>
              <w:t>Water loss</w:t>
            </w:r>
          </w:p>
        </w:tc>
      </w:tr>
      <w:tr w:rsidR="00980938" w:rsidRPr="00297CF8" w:rsidTr="00297CF8">
        <w:trPr>
          <w:jc w:val="center"/>
        </w:trPr>
        <w:tc>
          <w:tcPr>
            <w:tcW w:w="0" w:type="auto"/>
            <w:tcBorders>
              <w:bottom w:val="single" w:sz="4" w:space="0" w:color="auto"/>
            </w:tcBorders>
          </w:tcPr>
          <w:p w:rsidR="00980938" w:rsidRPr="00297CF8" w:rsidRDefault="00980938" w:rsidP="00297CF8">
            <w:pPr>
              <w:spacing w:before="60" w:after="60" w:line="240" w:lineRule="auto"/>
              <w:rPr>
                <w:rFonts w:ascii="Times New Roman" w:hAnsi="Times New Roman" w:cs="Times New Roman"/>
                <w:sz w:val="20"/>
                <w:szCs w:val="20"/>
              </w:rPr>
            </w:pPr>
          </w:p>
        </w:tc>
        <w:tc>
          <w:tcPr>
            <w:tcW w:w="0" w:type="auto"/>
            <w:tcBorders>
              <w:bottom w:val="single" w:sz="4" w:space="0" w:color="auto"/>
            </w:tcBorders>
          </w:tcPr>
          <w:p w:rsidR="00980938" w:rsidRPr="00297CF8" w:rsidRDefault="00980938" w:rsidP="00297CF8">
            <w:pPr>
              <w:spacing w:before="60" w:after="60" w:line="240" w:lineRule="auto"/>
              <w:jc w:val="center"/>
              <w:rPr>
                <w:rFonts w:ascii="Times New Roman" w:hAnsi="Times New Roman" w:cs="Times New Roman"/>
                <w:sz w:val="20"/>
                <w:szCs w:val="20"/>
              </w:rPr>
            </w:pPr>
            <w:r w:rsidRPr="00297CF8">
              <w:rPr>
                <w:rFonts w:ascii="Times New Roman" w:hAnsi="Times New Roman" w:cs="Times New Roman"/>
                <w:sz w:val="20"/>
                <w:szCs w:val="20"/>
              </w:rPr>
              <w:t>210-400</w:t>
            </w:r>
          </w:p>
        </w:tc>
        <w:tc>
          <w:tcPr>
            <w:tcW w:w="0" w:type="auto"/>
            <w:tcBorders>
              <w:bottom w:val="single" w:sz="4" w:space="0" w:color="auto"/>
            </w:tcBorders>
          </w:tcPr>
          <w:p w:rsidR="00980938" w:rsidRPr="00297CF8" w:rsidRDefault="00980938" w:rsidP="00297CF8">
            <w:pPr>
              <w:spacing w:before="60" w:after="60" w:line="240" w:lineRule="auto"/>
              <w:jc w:val="center"/>
              <w:rPr>
                <w:rFonts w:ascii="Times New Roman" w:hAnsi="Times New Roman" w:cs="Times New Roman"/>
                <w:sz w:val="20"/>
                <w:szCs w:val="20"/>
              </w:rPr>
            </w:pPr>
            <w:r w:rsidRPr="00297CF8">
              <w:rPr>
                <w:rFonts w:ascii="Times New Roman" w:hAnsi="Times New Roman" w:cs="Times New Roman"/>
                <w:sz w:val="20"/>
                <w:szCs w:val="20"/>
              </w:rPr>
              <w:t>91.73</w:t>
            </w:r>
          </w:p>
        </w:tc>
        <w:tc>
          <w:tcPr>
            <w:tcW w:w="0" w:type="auto"/>
            <w:tcBorders>
              <w:bottom w:val="single" w:sz="4" w:space="0" w:color="auto"/>
            </w:tcBorders>
          </w:tcPr>
          <w:p w:rsidR="00980938" w:rsidRPr="00297CF8" w:rsidRDefault="00980938" w:rsidP="00297CF8">
            <w:pPr>
              <w:spacing w:before="60" w:after="60" w:line="240" w:lineRule="auto"/>
              <w:rPr>
                <w:rFonts w:ascii="Times New Roman" w:hAnsi="Times New Roman" w:cs="Times New Roman"/>
                <w:sz w:val="20"/>
                <w:szCs w:val="20"/>
              </w:rPr>
            </w:pPr>
            <w:r w:rsidRPr="00297CF8">
              <w:rPr>
                <w:rFonts w:ascii="Times New Roman" w:hAnsi="Times New Roman" w:cs="Times New Roman"/>
                <w:sz w:val="20"/>
                <w:szCs w:val="20"/>
              </w:rPr>
              <w:t>Glipizide decomposition</w:t>
            </w:r>
          </w:p>
        </w:tc>
      </w:tr>
    </w:tbl>
    <w:p w:rsidR="00980938" w:rsidRPr="00297CF8" w:rsidRDefault="00980938" w:rsidP="00297CF8">
      <w:pPr>
        <w:spacing w:after="120" w:line="240" w:lineRule="auto"/>
        <w:jc w:val="both"/>
        <w:rPr>
          <w:rFonts w:ascii="Times New Roman" w:hAnsi="Times New Roman"/>
          <w:sz w:val="20"/>
          <w:szCs w:val="20"/>
        </w:rPr>
      </w:pPr>
    </w:p>
    <w:p w:rsidR="00980938" w:rsidRPr="00297CF8" w:rsidRDefault="00980938" w:rsidP="00980938">
      <w:pPr>
        <w:spacing w:after="0" w:line="240" w:lineRule="auto"/>
        <w:jc w:val="both"/>
        <w:rPr>
          <w:rFonts w:ascii="Times New Roman" w:hAnsi="Times New Roman"/>
          <w:b/>
          <w:bCs/>
          <w:iCs/>
          <w:sz w:val="20"/>
          <w:szCs w:val="20"/>
        </w:rPr>
      </w:pPr>
      <w:r w:rsidRPr="00297CF8">
        <w:rPr>
          <w:rFonts w:ascii="Times New Roman" w:hAnsi="Times New Roman"/>
          <w:b/>
          <w:bCs/>
          <w:iCs/>
          <w:sz w:val="20"/>
          <w:szCs w:val="20"/>
          <w:vertAlign w:val="superscript"/>
        </w:rPr>
        <w:t>1</w:t>
      </w:r>
      <w:r w:rsidRPr="00297CF8">
        <w:rPr>
          <w:rFonts w:ascii="Times New Roman" w:hAnsi="Times New Roman"/>
          <w:b/>
          <w:bCs/>
          <w:iCs/>
          <w:sz w:val="20"/>
          <w:szCs w:val="20"/>
        </w:rPr>
        <w:t>H NMR analysis</w:t>
      </w:r>
    </w:p>
    <w:p w:rsidR="00980938" w:rsidRPr="00297CF8" w:rsidRDefault="00980938" w:rsidP="00980938">
      <w:pPr>
        <w:spacing w:after="0" w:line="240" w:lineRule="auto"/>
        <w:jc w:val="both"/>
        <w:rPr>
          <w:rFonts w:ascii="Times New Roman" w:hAnsi="Times New Roman"/>
          <w:sz w:val="20"/>
          <w:szCs w:val="20"/>
        </w:rPr>
      </w:pPr>
      <w:r w:rsidRPr="00297CF8">
        <w:rPr>
          <w:rFonts w:ascii="Times New Roman" w:hAnsi="Times New Roman"/>
          <w:sz w:val="20"/>
          <w:szCs w:val="20"/>
          <w:vertAlign w:val="superscript"/>
        </w:rPr>
        <w:t>1</w:t>
      </w:r>
      <w:r w:rsidRPr="00297CF8">
        <w:rPr>
          <w:rFonts w:ascii="Times New Roman" w:hAnsi="Times New Roman"/>
          <w:sz w:val="20"/>
          <w:szCs w:val="20"/>
        </w:rPr>
        <w:t xml:space="preserve">H NMR spectroscopy was introduced to study the inclusion complex formation. The deduced structures of β-CD and glipizide with the spectra of </w:t>
      </w:r>
      <w:r w:rsidRPr="00297CF8">
        <w:rPr>
          <w:rFonts w:ascii="Times New Roman" w:hAnsi="Times New Roman"/>
          <w:sz w:val="20"/>
          <w:szCs w:val="20"/>
          <w:vertAlign w:val="superscript"/>
        </w:rPr>
        <w:t>1</w:t>
      </w:r>
      <w:r w:rsidRPr="00297CF8">
        <w:rPr>
          <w:rFonts w:ascii="Times New Roman" w:hAnsi="Times New Roman"/>
          <w:sz w:val="20"/>
          <w:szCs w:val="20"/>
        </w:rPr>
        <w:t xml:space="preserve">HNMR are shown in Figure 3. Chemical shift (δ) variations provided evidence for the formation of inclusion complex. The values of chemical shifts obtained from </w:t>
      </w:r>
      <w:r w:rsidRPr="00297CF8">
        <w:rPr>
          <w:rFonts w:ascii="Times New Roman" w:hAnsi="Times New Roman"/>
          <w:sz w:val="20"/>
          <w:szCs w:val="20"/>
          <w:vertAlign w:val="superscript"/>
        </w:rPr>
        <w:t>1</w:t>
      </w:r>
      <w:r w:rsidRPr="00297CF8">
        <w:rPr>
          <w:rFonts w:ascii="Times New Roman" w:hAnsi="Times New Roman"/>
          <w:sz w:val="20"/>
          <w:szCs w:val="20"/>
        </w:rPr>
        <w:t>H NMR for each β-CD, glipizide, and β-CD/glipizide are listed in Table 3. The method relied on changes in chemical shift caused by the glipizide (guest) and β-CD (host) of one another. The difference in chemical shift for the protons of β-CD in the presence or absence of glipizide was defined as induced shift (∆δ). In this case, the induced shift was calculated using Eq 3:</w:t>
      </w:r>
    </w:p>
    <w:p w:rsidR="00980938" w:rsidRPr="00297CF8" w:rsidRDefault="00980938" w:rsidP="00980938">
      <w:pPr>
        <w:spacing w:after="0" w:line="240" w:lineRule="auto"/>
        <w:jc w:val="both"/>
        <w:rPr>
          <w:rFonts w:ascii="Times New Roman" w:hAnsi="Times New Roman"/>
          <w:sz w:val="20"/>
          <w:szCs w:val="20"/>
          <w:vertAlign w:val="superscript"/>
        </w:rPr>
      </w:pPr>
    </w:p>
    <w:p w:rsidR="00980938" w:rsidRPr="00297CF8" w:rsidRDefault="00980938" w:rsidP="00980938">
      <w:pPr>
        <w:adjustRightInd w:val="0"/>
        <w:spacing w:after="0" w:line="240" w:lineRule="auto"/>
        <w:ind w:firstLine="720"/>
        <w:jc w:val="both"/>
        <w:rPr>
          <w:rFonts w:ascii="Times New Roman" w:hAnsi="Times New Roman"/>
          <w:sz w:val="20"/>
          <w:szCs w:val="20"/>
        </w:rPr>
      </w:pPr>
      <w:r w:rsidRPr="00297CF8">
        <w:rPr>
          <w:rFonts w:ascii="Times New Roman" w:hAnsi="Times New Roman"/>
          <w:sz w:val="20"/>
          <w:szCs w:val="20"/>
        </w:rPr>
        <w:t>∆δ=δ (complex)-δ (free)</w:t>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r>
      <w:r w:rsidRPr="00297CF8">
        <w:rPr>
          <w:rFonts w:ascii="Times New Roman" w:hAnsi="Times New Roman"/>
          <w:sz w:val="20"/>
          <w:szCs w:val="20"/>
        </w:rPr>
        <w:tab/>
        <w:t xml:space="preserve">                 </w:t>
      </w:r>
      <w:r w:rsidR="00DB55B3">
        <w:rPr>
          <w:rFonts w:ascii="Times New Roman" w:hAnsi="Times New Roman"/>
          <w:sz w:val="20"/>
          <w:szCs w:val="20"/>
        </w:rPr>
        <w:t xml:space="preserve">      </w:t>
      </w:r>
      <w:r w:rsidRPr="00297CF8">
        <w:rPr>
          <w:rFonts w:ascii="Times New Roman" w:hAnsi="Times New Roman"/>
          <w:sz w:val="20"/>
          <w:szCs w:val="20"/>
        </w:rPr>
        <w:t xml:space="preserve">(3) </w:t>
      </w:r>
    </w:p>
    <w:p w:rsidR="00980938" w:rsidRPr="00297CF8" w:rsidRDefault="00980938" w:rsidP="00DB55B3">
      <w:pPr>
        <w:adjustRightInd w:val="0"/>
        <w:spacing w:after="120" w:line="240" w:lineRule="auto"/>
        <w:jc w:val="both"/>
        <w:rPr>
          <w:rFonts w:ascii="Times New Roman" w:hAnsi="Times New Roman"/>
          <w:noProof/>
          <w:sz w:val="20"/>
          <w:szCs w:val="20"/>
        </w:rPr>
      </w:pPr>
    </w:p>
    <w:p w:rsidR="00980938" w:rsidRPr="00980938" w:rsidRDefault="00980938" w:rsidP="00DB55B3">
      <w:pPr>
        <w:adjustRightInd w:val="0"/>
        <w:spacing w:after="0" w:line="240" w:lineRule="auto"/>
        <w:jc w:val="center"/>
        <w:rPr>
          <w:rFonts w:ascii="Times New Roman" w:hAnsi="Times New Roman"/>
          <w:szCs w:val="20"/>
        </w:rPr>
      </w:pPr>
      <w:r w:rsidRPr="00980938">
        <w:rPr>
          <w:rFonts w:ascii="Times New Roman" w:hAnsi="Times New Roman"/>
          <w:noProof/>
          <w:szCs w:val="20"/>
          <w:lang w:bidi="ar-SA"/>
        </w:rPr>
        <w:drawing>
          <wp:inline distT="0" distB="0" distL="0" distR="0" wp14:anchorId="52F7DC41" wp14:editId="09C996F0">
            <wp:extent cx="4318715" cy="1828800"/>
            <wp:effectExtent l="19050" t="19050" r="24765" b="1905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t="11833" b="12917"/>
                    <a:stretch>
                      <a:fillRect/>
                    </a:stretch>
                  </pic:blipFill>
                  <pic:spPr bwMode="auto">
                    <a:xfrm>
                      <a:off x="0" y="0"/>
                      <a:ext cx="4318715" cy="1828800"/>
                    </a:xfrm>
                    <a:prstGeom prst="rect">
                      <a:avLst/>
                    </a:prstGeom>
                    <a:noFill/>
                    <a:ln w="6350" cmpd="sng">
                      <a:solidFill>
                        <a:srgbClr val="000000"/>
                      </a:solidFill>
                      <a:miter lim="800000"/>
                      <a:headEnd/>
                      <a:tailEnd/>
                    </a:ln>
                    <a:effectLst/>
                  </pic:spPr>
                </pic:pic>
              </a:graphicData>
            </a:graphic>
          </wp:inline>
        </w:drawing>
      </w:r>
    </w:p>
    <w:p w:rsidR="00980938" w:rsidRPr="00980938" w:rsidRDefault="00980938" w:rsidP="00980938">
      <w:pPr>
        <w:adjustRightInd w:val="0"/>
        <w:spacing w:after="0" w:line="240" w:lineRule="auto"/>
        <w:jc w:val="both"/>
        <w:rPr>
          <w:rFonts w:ascii="Times New Roman" w:hAnsi="Times New Roman"/>
          <w:szCs w:val="20"/>
        </w:rPr>
      </w:pPr>
    </w:p>
    <w:p w:rsidR="00980938" w:rsidRPr="00980938" w:rsidRDefault="00980938" w:rsidP="00DB55B3">
      <w:pPr>
        <w:adjustRightInd w:val="0"/>
        <w:spacing w:after="0" w:line="240" w:lineRule="auto"/>
        <w:jc w:val="center"/>
        <w:rPr>
          <w:rFonts w:ascii="Times New Roman" w:hAnsi="Times New Roman"/>
          <w:szCs w:val="20"/>
        </w:rPr>
      </w:pPr>
      <w:r w:rsidRPr="00980938">
        <w:rPr>
          <w:rFonts w:ascii="Times New Roman" w:hAnsi="Times New Roman"/>
          <w:noProof/>
          <w:szCs w:val="20"/>
          <w:lang w:bidi="ar-SA"/>
        </w:rPr>
        <w:drawing>
          <wp:inline distT="0" distB="0" distL="0" distR="0" wp14:anchorId="15B02931" wp14:editId="2228F287">
            <wp:extent cx="4304059" cy="1828800"/>
            <wp:effectExtent l="19050" t="19050" r="20320" b="1905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t="17641" b="6660"/>
                    <a:stretch>
                      <a:fillRect/>
                    </a:stretch>
                  </pic:blipFill>
                  <pic:spPr bwMode="auto">
                    <a:xfrm>
                      <a:off x="0" y="0"/>
                      <a:ext cx="4304059" cy="1828800"/>
                    </a:xfrm>
                    <a:prstGeom prst="rect">
                      <a:avLst/>
                    </a:prstGeom>
                    <a:noFill/>
                    <a:ln w="6350" cmpd="sng">
                      <a:solidFill>
                        <a:srgbClr val="000000"/>
                      </a:solidFill>
                      <a:miter lim="800000"/>
                      <a:headEnd/>
                      <a:tailEnd/>
                    </a:ln>
                    <a:effectLst/>
                  </pic:spPr>
                </pic:pic>
              </a:graphicData>
            </a:graphic>
          </wp:inline>
        </w:drawing>
      </w:r>
    </w:p>
    <w:p w:rsidR="00980938" w:rsidRPr="00980938" w:rsidRDefault="00980938" w:rsidP="00980938">
      <w:pPr>
        <w:adjustRightInd w:val="0"/>
        <w:spacing w:after="0" w:line="240" w:lineRule="auto"/>
        <w:jc w:val="both"/>
        <w:rPr>
          <w:rFonts w:ascii="Times New Roman" w:hAnsi="Times New Roman"/>
          <w:szCs w:val="20"/>
        </w:rPr>
      </w:pPr>
    </w:p>
    <w:p w:rsidR="00980938" w:rsidRPr="00980938" w:rsidRDefault="00980938" w:rsidP="00DB55B3">
      <w:pPr>
        <w:adjustRightInd w:val="0"/>
        <w:spacing w:after="0" w:line="240" w:lineRule="auto"/>
        <w:jc w:val="center"/>
        <w:rPr>
          <w:rFonts w:ascii="Times New Roman" w:hAnsi="Times New Roman"/>
          <w:szCs w:val="20"/>
        </w:rPr>
      </w:pPr>
      <w:r w:rsidRPr="00980938">
        <w:rPr>
          <w:rFonts w:ascii="Times New Roman" w:hAnsi="Times New Roman"/>
          <w:noProof/>
          <w:szCs w:val="20"/>
          <w:lang w:bidi="ar-SA"/>
        </w:rPr>
        <w:lastRenderedPageBreak/>
        <w:drawing>
          <wp:inline distT="0" distB="0" distL="0" distR="0" wp14:anchorId="17ECE196" wp14:editId="75970856">
            <wp:extent cx="3949262" cy="1828800"/>
            <wp:effectExtent l="19050" t="19050" r="13335" b="1905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9262" cy="1828800"/>
                    </a:xfrm>
                    <a:prstGeom prst="rect">
                      <a:avLst/>
                    </a:prstGeom>
                    <a:noFill/>
                    <a:ln w="6350" cmpd="sng">
                      <a:solidFill>
                        <a:srgbClr val="000000"/>
                      </a:solidFill>
                      <a:miter lim="800000"/>
                      <a:headEnd/>
                      <a:tailEnd/>
                    </a:ln>
                    <a:effectLst/>
                  </pic:spPr>
                </pic:pic>
              </a:graphicData>
            </a:graphic>
          </wp:inline>
        </w:drawing>
      </w:r>
    </w:p>
    <w:p w:rsidR="00980938" w:rsidRPr="00DB55B3" w:rsidRDefault="00980938" w:rsidP="00DB55B3">
      <w:pPr>
        <w:adjustRightInd w:val="0"/>
        <w:spacing w:before="120" w:after="0" w:line="240" w:lineRule="auto"/>
        <w:jc w:val="center"/>
        <w:rPr>
          <w:rFonts w:ascii="Times New Roman" w:hAnsi="Times New Roman"/>
          <w:sz w:val="20"/>
          <w:szCs w:val="20"/>
        </w:rPr>
      </w:pPr>
      <w:r w:rsidRPr="00DB55B3">
        <w:rPr>
          <w:rFonts w:ascii="Times New Roman" w:hAnsi="Times New Roman"/>
          <w:sz w:val="20"/>
          <w:szCs w:val="20"/>
        </w:rPr>
        <w:t xml:space="preserve">Figure 3. </w:t>
      </w:r>
      <w:r w:rsidR="00DB55B3">
        <w:rPr>
          <w:rFonts w:ascii="Times New Roman" w:hAnsi="Times New Roman"/>
          <w:sz w:val="20"/>
          <w:szCs w:val="20"/>
        </w:rPr>
        <w:t xml:space="preserve"> </w:t>
      </w:r>
      <w:r w:rsidRPr="00DB55B3">
        <w:rPr>
          <w:rFonts w:ascii="Times New Roman" w:hAnsi="Times New Roman"/>
          <w:sz w:val="20"/>
          <w:szCs w:val="20"/>
          <w:vertAlign w:val="superscript"/>
        </w:rPr>
        <w:t xml:space="preserve">1 </w:t>
      </w:r>
      <w:r w:rsidRPr="00DB55B3">
        <w:rPr>
          <w:rFonts w:ascii="Times New Roman" w:hAnsi="Times New Roman"/>
          <w:sz w:val="20"/>
          <w:szCs w:val="20"/>
        </w:rPr>
        <w:t>H NMR spectra of a) β-CD, b) glipizide and c) β-CD/glipizide</w:t>
      </w:r>
    </w:p>
    <w:p w:rsidR="00980938" w:rsidRDefault="00980938" w:rsidP="00980938">
      <w:pPr>
        <w:spacing w:after="0" w:line="240" w:lineRule="auto"/>
        <w:jc w:val="both"/>
        <w:rPr>
          <w:rFonts w:ascii="Times New Roman" w:hAnsi="Times New Roman"/>
          <w:szCs w:val="20"/>
        </w:rPr>
      </w:pPr>
    </w:p>
    <w:p w:rsidR="00DB55B3" w:rsidRPr="00DB55B3" w:rsidRDefault="00DB55B3" w:rsidP="00980938">
      <w:pPr>
        <w:spacing w:after="0" w:line="240" w:lineRule="auto"/>
        <w:jc w:val="both"/>
        <w:rPr>
          <w:rFonts w:ascii="Times New Roman" w:hAnsi="Times New Roman"/>
          <w:sz w:val="20"/>
          <w:szCs w:val="20"/>
        </w:rPr>
      </w:pPr>
    </w:p>
    <w:p w:rsidR="00980938" w:rsidRPr="00DB55B3" w:rsidRDefault="00980938" w:rsidP="00DB55B3">
      <w:pPr>
        <w:spacing w:after="120" w:line="240" w:lineRule="auto"/>
        <w:jc w:val="center"/>
        <w:rPr>
          <w:rFonts w:ascii="Times New Roman" w:hAnsi="Times New Roman"/>
          <w:sz w:val="20"/>
          <w:szCs w:val="20"/>
        </w:rPr>
      </w:pPr>
      <w:r w:rsidRPr="00DB55B3">
        <w:rPr>
          <w:rFonts w:ascii="Times New Roman" w:hAnsi="Times New Roman"/>
          <w:sz w:val="20"/>
          <w:szCs w:val="20"/>
        </w:rPr>
        <w:t>Table 3.</w:t>
      </w:r>
      <w:r w:rsidRPr="00DB55B3">
        <w:rPr>
          <w:rFonts w:ascii="Times New Roman" w:hAnsi="Times New Roman"/>
          <w:sz w:val="20"/>
          <w:szCs w:val="20"/>
        </w:rPr>
        <w:tab/>
      </w:r>
      <w:r w:rsidR="00DB55B3">
        <w:rPr>
          <w:rFonts w:ascii="Times New Roman" w:hAnsi="Times New Roman"/>
          <w:sz w:val="20"/>
          <w:szCs w:val="20"/>
        </w:rPr>
        <w:t xml:space="preserve"> </w:t>
      </w:r>
      <w:r w:rsidRPr="00DB55B3">
        <w:rPr>
          <w:rFonts w:ascii="Times New Roman" w:hAnsi="Times New Roman"/>
          <w:sz w:val="20"/>
          <w:szCs w:val="20"/>
        </w:rPr>
        <w:t>Chemical shift corresponding to β-CD and glipizide</w:t>
      </w:r>
    </w:p>
    <w:tbl>
      <w:tblPr>
        <w:tblStyle w:val="TableGrid2"/>
        <w:tblW w:w="7036" w:type="dxa"/>
        <w:jc w:val="center"/>
        <w:tblLook w:val="04A0" w:firstRow="1" w:lastRow="0" w:firstColumn="1" w:lastColumn="0" w:noHBand="0" w:noVBand="1"/>
      </w:tblPr>
      <w:tblGrid>
        <w:gridCol w:w="828"/>
        <w:gridCol w:w="1574"/>
        <w:gridCol w:w="79"/>
        <w:gridCol w:w="1032"/>
        <w:gridCol w:w="75"/>
        <w:gridCol w:w="1815"/>
        <w:gridCol w:w="1633"/>
      </w:tblGrid>
      <w:tr w:rsidR="00980938" w:rsidRPr="00DB55B3" w:rsidTr="0089290A">
        <w:trPr>
          <w:trHeight w:val="255"/>
          <w:jc w:val="center"/>
        </w:trPr>
        <w:tc>
          <w:tcPr>
            <w:tcW w:w="828" w:type="dxa"/>
            <w:tcBorders>
              <w:top w:val="single" w:sz="4" w:space="0" w:color="auto"/>
              <w:left w:val="nil"/>
              <w:bottom w:val="single" w:sz="4" w:space="0" w:color="auto"/>
              <w:right w:val="nil"/>
            </w:tcBorders>
            <w:shd w:val="clear" w:color="auto" w:fill="auto"/>
            <w:vAlign w:val="center"/>
          </w:tcPr>
          <w:p w:rsidR="00980938" w:rsidRPr="00DB55B3" w:rsidRDefault="00980938" w:rsidP="00DB55B3">
            <w:pPr>
              <w:spacing w:before="60" w:after="0" w:line="240" w:lineRule="auto"/>
              <w:rPr>
                <w:rFonts w:ascii="Times New Roman" w:hAnsi="Times New Roman" w:cs="Times New Roman"/>
                <w:b/>
                <w:bCs/>
                <w:sz w:val="20"/>
                <w:szCs w:val="20"/>
              </w:rPr>
            </w:pPr>
            <w:r w:rsidRPr="00DB55B3">
              <w:rPr>
                <w:rFonts w:ascii="Times New Roman" w:hAnsi="Times New Roman" w:cs="Times New Roman"/>
                <w:b/>
                <w:bCs/>
                <w:sz w:val="20"/>
                <w:szCs w:val="20"/>
              </w:rPr>
              <w:t>Proton</w:t>
            </w:r>
          </w:p>
          <w:p w:rsidR="00980938" w:rsidRPr="00DB55B3" w:rsidRDefault="00980938" w:rsidP="00DB55B3">
            <w:pPr>
              <w:spacing w:after="0" w:line="240" w:lineRule="auto"/>
              <w:rPr>
                <w:rFonts w:ascii="Times New Roman" w:hAnsi="Times New Roman" w:cs="Times New Roman"/>
                <w:b/>
                <w:bCs/>
                <w:sz w:val="20"/>
                <w:szCs w:val="20"/>
              </w:rPr>
            </w:pPr>
          </w:p>
        </w:tc>
        <w:tc>
          <w:tcPr>
            <w:tcW w:w="1574" w:type="dxa"/>
            <w:tcBorders>
              <w:top w:val="single" w:sz="4" w:space="0" w:color="auto"/>
              <w:left w:val="nil"/>
              <w:bottom w:val="single" w:sz="4" w:space="0" w:color="auto"/>
              <w:right w:val="nil"/>
            </w:tcBorders>
            <w:shd w:val="clear" w:color="auto" w:fill="auto"/>
            <w:vAlign w:val="center"/>
          </w:tcPr>
          <w:p w:rsidR="00980938" w:rsidRPr="00DB55B3" w:rsidRDefault="00980938" w:rsidP="00DB55B3">
            <w:pPr>
              <w:spacing w:before="60"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β-Cyclodextrin</w:t>
            </w:r>
          </w:p>
          <w:p w:rsidR="00980938" w:rsidRPr="00DB55B3" w:rsidRDefault="00980938" w:rsidP="00DB55B3">
            <w:pPr>
              <w:spacing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δ</w:t>
            </w:r>
          </w:p>
        </w:tc>
        <w:tc>
          <w:tcPr>
            <w:tcW w:w="1111" w:type="dxa"/>
            <w:gridSpan w:val="2"/>
            <w:tcBorders>
              <w:top w:val="single" w:sz="4" w:space="0" w:color="auto"/>
              <w:left w:val="nil"/>
              <w:bottom w:val="single" w:sz="4" w:space="0" w:color="auto"/>
              <w:right w:val="nil"/>
            </w:tcBorders>
            <w:shd w:val="clear" w:color="auto" w:fill="auto"/>
            <w:vAlign w:val="center"/>
          </w:tcPr>
          <w:p w:rsidR="00980938" w:rsidRPr="00DB55B3" w:rsidRDefault="00980938" w:rsidP="00DB55B3">
            <w:pPr>
              <w:spacing w:before="60"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Glipizide</w:t>
            </w:r>
          </w:p>
          <w:p w:rsidR="00980938" w:rsidRPr="00DB55B3" w:rsidRDefault="00980938" w:rsidP="00DB55B3">
            <w:pPr>
              <w:spacing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δ</w:t>
            </w:r>
          </w:p>
        </w:tc>
        <w:tc>
          <w:tcPr>
            <w:tcW w:w="1890" w:type="dxa"/>
            <w:gridSpan w:val="2"/>
            <w:tcBorders>
              <w:top w:val="single" w:sz="4" w:space="0" w:color="auto"/>
              <w:left w:val="nil"/>
              <w:bottom w:val="single" w:sz="4" w:space="0" w:color="auto"/>
              <w:right w:val="nil"/>
            </w:tcBorders>
            <w:shd w:val="clear" w:color="auto" w:fill="auto"/>
            <w:vAlign w:val="center"/>
          </w:tcPr>
          <w:p w:rsidR="00980938" w:rsidRPr="00DB55B3" w:rsidRDefault="00980938" w:rsidP="00DB55B3">
            <w:pPr>
              <w:spacing w:before="60"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Inclusion Complex</w:t>
            </w:r>
          </w:p>
          <w:p w:rsidR="00980938" w:rsidRPr="00DB55B3" w:rsidRDefault="00980938" w:rsidP="00DB55B3">
            <w:pPr>
              <w:spacing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δ</w:t>
            </w:r>
          </w:p>
        </w:tc>
        <w:tc>
          <w:tcPr>
            <w:tcW w:w="1633" w:type="dxa"/>
            <w:tcBorders>
              <w:top w:val="single" w:sz="4" w:space="0" w:color="auto"/>
              <w:left w:val="nil"/>
              <w:bottom w:val="single" w:sz="4" w:space="0" w:color="auto"/>
              <w:right w:val="nil"/>
            </w:tcBorders>
            <w:shd w:val="clear" w:color="auto" w:fill="auto"/>
            <w:vAlign w:val="center"/>
          </w:tcPr>
          <w:p w:rsidR="00980938" w:rsidRPr="00DB55B3" w:rsidRDefault="00980938" w:rsidP="00DB55B3">
            <w:pPr>
              <w:spacing w:before="60" w:after="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Induced Shift</w:t>
            </w:r>
          </w:p>
          <w:p w:rsidR="00980938" w:rsidRPr="00DB55B3" w:rsidRDefault="00980938" w:rsidP="00DB55B3">
            <w:pPr>
              <w:spacing w:after="60" w:line="240" w:lineRule="auto"/>
              <w:jc w:val="center"/>
              <w:rPr>
                <w:rFonts w:ascii="Times New Roman" w:hAnsi="Times New Roman" w:cs="Times New Roman"/>
                <w:b/>
                <w:bCs/>
                <w:sz w:val="20"/>
                <w:szCs w:val="20"/>
              </w:rPr>
            </w:pPr>
            <w:r w:rsidRPr="00DB55B3">
              <w:rPr>
                <w:rFonts w:ascii="Times New Roman" w:hAnsi="Times New Roman" w:cs="Times New Roman"/>
                <w:b/>
                <w:bCs/>
                <w:sz w:val="20"/>
                <w:szCs w:val="20"/>
              </w:rPr>
              <w:t>∆δ</w:t>
            </w:r>
          </w:p>
        </w:tc>
      </w:tr>
      <w:tr w:rsidR="00980938" w:rsidRPr="00DB55B3" w:rsidTr="0089290A">
        <w:trPr>
          <w:trHeight w:val="297"/>
          <w:jc w:val="center"/>
        </w:trPr>
        <w:tc>
          <w:tcPr>
            <w:tcW w:w="828" w:type="dxa"/>
            <w:tcBorders>
              <w:top w:val="single" w:sz="4" w:space="0" w:color="auto"/>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H1</w:t>
            </w:r>
          </w:p>
        </w:tc>
        <w:tc>
          <w:tcPr>
            <w:tcW w:w="1653" w:type="dxa"/>
            <w:gridSpan w:val="2"/>
            <w:tcBorders>
              <w:top w:val="single" w:sz="4" w:space="0" w:color="auto"/>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4.826</w:t>
            </w:r>
          </w:p>
        </w:tc>
        <w:tc>
          <w:tcPr>
            <w:tcW w:w="1107" w:type="dxa"/>
            <w:gridSpan w:val="2"/>
            <w:tcBorders>
              <w:top w:val="single" w:sz="4" w:space="0" w:color="auto"/>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single" w:sz="4" w:space="0" w:color="auto"/>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4.829</w:t>
            </w:r>
          </w:p>
        </w:tc>
        <w:tc>
          <w:tcPr>
            <w:tcW w:w="1633" w:type="dxa"/>
            <w:tcBorders>
              <w:top w:val="single" w:sz="4" w:space="0" w:color="auto"/>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0.003</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H2</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3.295</w:t>
            </w: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3.299</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0.004</w:t>
            </w:r>
          </w:p>
        </w:tc>
      </w:tr>
      <w:tr w:rsidR="00980938" w:rsidRPr="00DB55B3" w:rsidTr="0089290A">
        <w:trPr>
          <w:trHeight w:val="340"/>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H3</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3.606</w:t>
            </w: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3.610</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0.004</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H4</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3.367</w:t>
            </w: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3.384</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0.017</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H5</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3.542</w:t>
            </w: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3.563</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bCs/>
                <w:sz w:val="20"/>
                <w:szCs w:val="20"/>
              </w:rPr>
            </w:pPr>
            <w:r w:rsidRPr="00DB55B3">
              <w:rPr>
                <w:rFonts w:ascii="Times New Roman" w:hAnsi="Times New Roman" w:cs="Times New Roman"/>
                <w:bCs/>
                <w:sz w:val="20"/>
                <w:szCs w:val="20"/>
              </w:rPr>
              <w:t>0.021</w:t>
            </w:r>
            <w:r w:rsidRPr="00DB55B3">
              <w:rPr>
                <w:rFonts w:ascii="Times New Roman" w:hAnsi="Times New Roman" w:cs="Times New Roman"/>
                <w:sz w:val="20"/>
                <w:szCs w:val="20"/>
                <w:vertAlign w:val="superscript"/>
              </w:rPr>
              <w:t>a</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H6</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3.643</w:t>
            </w: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3.629</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-0.014</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Ha</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1.097</w:t>
            </w: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1.092</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-0.005</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Hb</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1.554</w:t>
            </w: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1.551</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-0.003</w:t>
            </w:r>
          </w:p>
        </w:tc>
      </w:tr>
      <w:tr w:rsidR="00980938" w:rsidRPr="00DB55B3" w:rsidTr="0089290A">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Hc</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1.462</w:t>
            </w: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1.459</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-0.003</w:t>
            </w:r>
          </w:p>
        </w:tc>
      </w:tr>
      <w:tr w:rsidR="00980938" w:rsidRPr="00DB55B3" w:rsidTr="00DB55B3">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Hd</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3.565</w:t>
            </w: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r>
      <w:tr w:rsidR="00980938" w:rsidRPr="00DB55B3" w:rsidTr="00555771">
        <w:trPr>
          <w:trHeight w:val="297"/>
          <w:jc w:val="center"/>
        </w:trPr>
        <w:tc>
          <w:tcPr>
            <w:tcW w:w="828"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He</w:t>
            </w:r>
          </w:p>
        </w:tc>
        <w:tc>
          <w:tcPr>
            <w:tcW w:w="1653"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7.461</w:t>
            </w:r>
          </w:p>
        </w:tc>
        <w:tc>
          <w:tcPr>
            <w:tcW w:w="1815"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7.458</w:t>
            </w:r>
          </w:p>
        </w:tc>
        <w:tc>
          <w:tcPr>
            <w:tcW w:w="1633" w:type="dxa"/>
            <w:tcBorders>
              <w:top w:val="nil"/>
              <w:left w:val="nil"/>
              <w:bottom w:val="nil"/>
              <w:right w:val="nil"/>
            </w:tcBorders>
            <w:shd w:val="clear" w:color="auto" w:fill="auto"/>
            <w:vAlign w:val="center"/>
          </w:tcPr>
          <w:p w:rsidR="00980938" w:rsidRPr="00DB55B3" w:rsidRDefault="00980938" w:rsidP="00DB55B3">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-0.003</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Hf</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6.319</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6.317</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-0.002</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Hg</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8.597</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8.593</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-0.004</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Hh</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7.790</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7.785</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-0.005</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Hi</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2.961</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2.958</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-0.003</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Hj</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3.346</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Hk</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9.017</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9.012</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-0.005</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rPr>
                <w:rFonts w:ascii="Times New Roman" w:hAnsi="Times New Roman" w:cs="Times New Roman"/>
                <w:sz w:val="20"/>
                <w:szCs w:val="20"/>
              </w:rPr>
            </w:pPr>
            <w:r w:rsidRPr="00DB55B3">
              <w:rPr>
                <w:rFonts w:ascii="Times New Roman" w:hAnsi="Times New Roman" w:cs="Times New Roman"/>
                <w:sz w:val="20"/>
                <w:szCs w:val="20"/>
              </w:rPr>
              <w:t>Hl</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kern w:val="24"/>
                <w:sz w:val="20"/>
                <w:szCs w:val="20"/>
              </w:rPr>
              <w:t>10.307</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contextualSpacing/>
              <w:jc w:val="center"/>
              <w:rPr>
                <w:rFonts w:ascii="Times New Roman" w:hAnsi="Times New Roman" w:cs="Times New Roman"/>
                <w:sz w:val="20"/>
                <w:szCs w:val="20"/>
              </w:rPr>
            </w:pPr>
            <w:r w:rsidRPr="00DB55B3">
              <w:rPr>
                <w:rFonts w:ascii="Times New Roman" w:hAnsi="Times New Roman" w:cs="Times New Roman"/>
                <w:sz w:val="20"/>
                <w:szCs w:val="20"/>
              </w:rPr>
              <w:t>-</w:t>
            </w:r>
          </w:p>
        </w:tc>
      </w:tr>
      <w:tr w:rsidR="00555771" w:rsidRPr="00DB55B3" w:rsidTr="00555771">
        <w:trPr>
          <w:trHeight w:val="297"/>
          <w:jc w:val="center"/>
        </w:trPr>
        <w:tc>
          <w:tcPr>
            <w:tcW w:w="828" w:type="dxa"/>
            <w:tcBorders>
              <w:top w:val="nil"/>
              <w:left w:val="nil"/>
              <w:bottom w:val="nil"/>
              <w:right w:val="nil"/>
            </w:tcBorders>
            <w:shd w:val="clear" w:color="auto" w:fill="auto"/>
            <w:vAlign w:val="center"/>
          </w:tcPr>
          <w:p w:rsidR="00555771" w:rsidRPr="00DB55B3" w:rsidRDefault="00555771" w:rsidP="0089290A">
            <w:pPr>
              <w:spacing w:before="60" w:after="0" w:line="240" w:lineRule="auto"/>
              <w:rPr>
                <w:rFonts w:ascii="Times New Roman" w:hAnsi="Times New Roman" w:cs="Times New Roman"/>
                <w:sz w:val="20"/>
                <w:szCs w:val="20"/>
              </w:rPr>
            </w:pPr>
            <w:r w:rsidRPr="00DB55B3">
              <w:rPr>
                <w:rFonts w:ascii="Times New Roman" w:hAnsi="Times New Roman" w:cs="Times New Roman"/>
                <w:sz w:val="20"/>
                <w:szCs w:val="20"/>
              </w:rPr>
              <w:t>Hm</w:t>
            </w:r>
          </w:p>
        </w:tc>
        <w:tc>
          <w:tcPr>
            <w:tcW w:w="1653"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jc w:val="center"/>
              <w:rPr>
                <w:rFonts w:ascii="Times New Roman" w:hAnsi="Times New Roman" w:cs="Times New Roman"/>
                <w:sz w:val="20"/>
                <w:szCs w:val="20"/>
              </w:rPr>
            </w:pPr>
          </w:p>
        </w:tc>
        <w:tc>
          <w:tcPr>
            <w:tcW w:w="1107" w:type="dxa"/>
            <w:gridSpan w:val="2"/>
            <w:tcBorders>
              <w:top w:val="nil"/>
              <w:left w:val="nil"/>
              <w:bottom w:val="nil"/>
              <w:right w:val="nil"/>
            </w:tcBorders>
            <w:shd w:val="clear" w:color="auto" w:fill="auto"/>
            <w:vAlign w:val="center"/>
          </w:tcPr>
          <w:p w:rsidR="00555771" w:rsidRPr="00DB55B3" w:rsidRDefault="00555771" w:rsidP="0089290A">
            <w:pPr>
              <w:spacing w:before="60" w:after="0" w:line="240" w:lineRule="auto"/>
              <w:jc w:val="center"/>
              <w:rPr>
                <w:rFonts w:ascii="Times New Roman" w:hAnsi="Times New Roman" w:cs="Times New Roman"/>
                <w:sz w:val="20"/>
                <w:szCs w:val="20"/>
              </w:rPr>
            </w:pPr>
            <w:r w:rsidRPr="00DB55B3">
              <w:rPr>
                <w:rFonts w:ascii="Times New Roman" w:hAnsi="Times New Roman" w:cs="Times New Roman"/>
                <w:kern w:val="24"/>
                <w:sz w:val="20"/>
                <w:szCs w:val="20"/>
              </w:rPr>
              <w:t>8.983</w:t>
            </w:r>
          </w:p>
        </w:tc>
        <w:tc>
          <w:tcPr>
            <w:tcW w:w="1815" w:type="dxa"/>
            <w:tcBorders>
              <w:top w:val="nil"/>
              <w:left w:val="nil"/>
              <w:bottom w:val="nil"/>
              <w:right w:val="nil"/>
            </w:tcBorders>
            <w:shd w:val="clear" w:color="auto" w:fill="auto"/>
            <w:vAlign w:val="center"/>
          </w:tcPr>
          <w:p w:rsidR="00555771" w:rsidRPr="00DB55B3" w:rsidRDefault="00555771" w:rsidP="0089290A">
            <w:pPr>
              <w:spacing w:before="60" w:after="0" w:line="240" w:lineRule="auto"/>
              <w:jc w:val="center"/>
              <w:rPr>
                <w:rFonts w:ascii="Times New Roman" w:hAnsi="Times New Roman" w:cs="Times New Roman"/>
                <w:sz w:val="20"/>
                <w:szCs w:val="20"/>
              </w:rPr>
            </w:pPr>
            <w:r w:rsidRPr="00DB55B3">
              <w:rPr>
                <w:rFonts w:ascii="Times New Roman" w:hAnsi="Times New Roman" w:cs="Times New Roman"/>
                <w:kern w:val="24"/>
                <w:sz w:val="20"/>
                <w:szCs w:val="20"/>
              </w:rPr>
              <w:t>8.978</w:t>
            </w:r>
          </w:p>
        </w:tc>
        <w:tc>
          <w:tcPr>
            <w:tcW w:w="1633" w:type="dxa"/>
            <w:tcBorders>
              <w:top w:val="nil"/>
              <w:left w:val="nil"/>
              <w:bottom w:val="nil"/>
              <w:right w:val="nil"/>
            </w:tcBorders>
            <w:shd w:val="clear" w:color="auto" w:fill="auto"/>
            <w:vAlign w:val="center"/>
          </w:tcPr>
          <w:p w:rsidR="00555771" w:rsidRPr="00DB55B3" w:rsidRDefault="00555771" w:rsidP="0089290A">
            <w:pPr>
              <w:spacing w:before="60" w:after="0" w:line="240" w:lineRule="auto"/>
              <w:jc w:val="center"/>
              <w:rPr>
                <w:rFonts w:ascii="Times New Roman" w:hAnsi="Times New Roman" w:cs="Times New Roman"/>
                <w:sz w:val="20"/>
                <w:szCs w:val="20"/>
              </w:rPr>
            </w:pPr>
            <w:r w:rsidRPr="00DB55B3">
              <w:rPr>
                <w:rFonts w:ascii="Times New Roman" w:hAnsi="Times New Roman" w:cs="Times New Roman"/>
                <w:sz w:val="20"/>
                <w:szCs w:val="20"/>
              </w:rPr>
              <w:t>-0.005</w:t>
            </w:r>
          </w:p>
        </w:tc>
      </w:tr>
      <w:tr w:rsidR="00555771" w:rsidRPr="00DB55B3" w:rsidTr="00555771">
        <w:trPr>
          <w:trHeight w:val="297"/>
          <w:jc w:val="center"/>
        </w:trPr>
        <w:tc>
          <w:tcPr>
            <w:tcW w:w="828" w:type="dxa"/>
            <w:tcBorders>
              <w:top w:val="nil"/>
              <w:left w:val="nil"/>
              <w:bottom w:val="single" w:sz="4" w:space="0" w:color="auto"/>
              <w:right w:val="nil"/>
            </w:tcBorders>
            <w:shd w:val="clear" w:color="auto" w:fill="auto"/>
            <w:vAlign w:val="center"/>
          </w:tcPr>
          <w:p w:rsidR="00555771" w:rsidRPr="00DB55B3" w:rsidRDefault="00555771" w:rsidP="0089290A">
            <w:pPr>
              <w:spacing w:before="60" w:after="60" w:line="240" w:lineRule="auto"/>
              <w:rPr>
                <w:rFonts w:ascii="Times New Roman" w:hAnsi="Times New Roman" w:cs="Times New Roman"/>
                <w:sz w:val="20"/>
                <w:szCs w:val="20"/>
              </w:rPr>
            </w:pPr>
            <w:r w:rsidRPr="00DB55B3">
              <w:rPr>
                <w:rFonts w:ascii="Times New Roman" w:hAnsi="Times New Roman" w:cs="Times New Roman"/>
                <w:sz w:val="20"/>
                <w:szCs w:val="20"/>
              </w:rPr>
              <w:t>Hn</w:t>
            </w:r>
          </w:p>
        </w:tc>
        <w:tc>
          <w:tcPr>
            <w:tcW w:w="1653" w:type="dxa"/>
            <w:gridSpan w:val="2"/>
            <w:tcBorders>
              <w:top w:val="nil"/>
              <w:left w:val="nil"/>
              <w:bottom w:val="single" w:sz="4" w:space="0" w:color="auto"/>
              <w:right w:val="nil"/>
            </w:tcBorders>
            <w:shd w:val="clear" w:color="auto" w:fill="auto"/>
            <w:vAlign w:val="center"/>
          </w:tcPr>
          <w:p w:rsidR="00555771" w:rsidRPr="00DB55B3" w:rsidRDefault="00555771" w:rsidP="0089290A">
            <w:pPr>
              <w:spacing w:before="60" w:after="60" w:line="240" w:lineRule="auto"/>
              <w:jc w:val="center"/>
              <w:rPr>
                <w:rFonts w:ascii="Times New Roman" w:hAnsi="Times New Roman" w:cs="Times New Roman"/>
                <w:sz w:val="20"/>
                <w:szCs w:val="20"/>
              </w:rPr>
            </w:pPr>
          </w:p>
        </w:tc>
        <w:tc>
          <w:tcPr>
            <w:tcW w:w="1107" w:type="dxa"/>
            <w:gridSpan w:val="2"/>
            <w:tcBorders>
              <w:top w:val="nil"/>
              <w:left w:val="nil"/>
              <w:bottom w:val="single" w:sz="4" w:space="0" w:color="auto"/>
              <w:right w:val="nil"/>
            </w:tcBorders>
            <w:shd w:val="clear" w:color="auto" w:fill="auto"/>
            <w:vAlign w:val="center"/>
          </w:tcPr>
          <w:p w:rsidR="00555771" w:rsidRPr="00DB55B3" w:rsidRDefault="00555771" w:rsidP="0089290A">
            <w:pPr>
              <w:spacing w:before="60" w:after="60" w:line="240" w:lineRule="auto"/>
              <w:jc w:val="center"/>
              <w:rPr>
                <w:rFonts w:ascii="Times New Roman" w:hAnsi="Times New Roman" w:cs="Times New Roman"/>
                <w:sz w:val="20"/>
                <w:szCs w:val="20"/>
              </w:rPr>
            </w:pPr>
            <w:r w:rsidRPr="00DB55B3">
              <w:rPr>
                <w:rFonts w:ascii="Times New Roman" w:hAnsi="Times New Roman" w:cs="Times New Roman"/>
                <w:kern w:val="24"/>
                <w:sz w:val="20"/>
                <w:szCs w:val="20"/>
              </w:rPr>
              <w:t>2.579</w:t>
            </w:r>
          </w:p>
        </w:tc>
        <w:tc>
          <w:tcPr>
            <w:tcW w:w="1815" w:type="dxa"/>
            <w:tcBorders>
              <w:top w:val="nil"/>
              <w:left w:val="nil"/>
              <w:bottom w:val="single" w:sz="4" w:space="0" w:color="auto"/>
              <w:right w:val="nil"/>
            </w:tcBorders>
            <w:shd w:val="clear" w:color="auto" w:fill="auto"/>
            <w:vAlign w:val="center"/>
          </w:tcPr>
          <w:p w:rsidR="00555771" w:rsidRPr="00DB55B3" w:rsidRDefault="00555771" w:rsidP="0089290A">
            <w:pPr>
              <w:spacing w:before="60" w:after="60" w:line="240" w:lineRule="auto"/>
              <w:jc w:val="center"/>
              <w:rPr>
                <w:rFonts w:ascii="Times New Roman" w:hAnsi="Times New Roman" w:cs="Times New Roman"/>
                <w:sz w:val="20"/>
                <w:szCs w:val="20"/>
              </w:rPr>
            </w:pPr>
            <w:r w:rsidRPr="00DB55B3">
              <w:rPr>
                <w:rFonts w:ascii="Times New Roman" w:hAnsi="Times New Roman" w:cs="Times New Roman"/>
                <w:kern w:val="24"/>
                <w:sz w:val="20"/>
                <w:szCs w:val="20"/>
              </w:rPr>
              <w:t>2.575</w:t>
            </w:r>
          </w:p>
        </w:tc>
        <w:tc>
          <w:tcPr>
            <w:tcW w:w="1633" w:type="dxa"/>
            <w:tcBorders>
              <w:top w:val="nil"/>
              <w:left w:val="nil"/>
              <w:bottom w:val="single" w:sz="4" w:space="0" w:color="auto"/>
              <w:right w:val="nil"/>
            </w:tcBorders>
            <w:shd w:val="clear" w:color="auto" w:fill="auto"/>
            <w:vAlign w:val="center"/>
          </w:tcPr>
          <w:p w:rsidR="00555771" w:rsidRPr="00DB55B3" w:rsidRDefault="00555771" w:rsidP="0089290A">
            <w:pPr>
              <w:spacing w:before="60" w:after="60" w:line="240" w:lineRule="auto"/>
              <w:jc w:val="center"/>
              <w:rPr>
                <w:rFonts w:ascii="Times New Roman" w:hAnsi="Times New Roman" w:cs="Times New Roman"/>
                <w:sz w:val="20"/>
                <w:szCs w:val="20"/>
              </w:rPr>
            </w:pPr>
            <w:r w:rsidRPr="00DB55B3">
              <w:rPr>
                <w:rFonts w:ascii="Times New Roman" w:hAnsi="Times New Roman" w:cs="Times New Roman"/>
                <w:sz w:val="20"/>
                <w:szCs w:val="20"/>
              </w:rPr>
              <w:t>-0.004</w:t>
            </w:r>
          </w:p>
        </w:tc>
      </w:tr>
    </w:tbl>
    <w:p w:rsidR="00DB55B3" w:rsidRPr="00DB55B3" w:rsidRDefault="00DB55B3" w:rsidP="00DB55B3">
      <w:pPr>
        <w:adjustRightInd w:val="0"/>
        <w:spacing w:before="60" w:after="0" w:line="240" w:lineRule="auto"/>
        <w:ind w:left="1080"/>
        <w:jc w:val="both"/>
        <w:rPr>
          <w:rFonts w:ascii="Times New Roman" w:hAnsi="Times New Roman"/>
          <w:sz w:val="18"/>
          <w:szCs w:val="18"/>
        </w:rPr>
      </w:pPr>
      <w:r w:rsidRPr="00DB55B3">
        <w:rPr>
          <w:rFonts w:ascii="Times New Roman" w:hAnsi="Times New Roman"/>
          <w:sz w:val="18"/>
          <w:szCs w:val="18"/>
          <w:vertAlign w:val="superscript"/>
        </w:rPr>
        <w:t xml:space="preserve">a </w:t>
      </w:r>
      <w:r w:rsidRPr="00DB55B3">
        <w:rPr>
          <w:rFonts w:ascii="Times New Roman" w:hAnsi="Times New Roman"/>
          <w:sz w:val="18"/>
          <w:szCs w:val="18"/>
        </w:rPr>
        <w:t>Values in bold refer to the highest induced shift of that particular proton</w:t>
      </w:r>
    </w:p>
    <w:p w:rsidR="00555771" w:rsidRDefault="00555771" w:rsidP="00555771">
      <w:pPr>
        <w:adjustRightInd w:val="0"/>
        <w:spacing w:after="120" w:line="240" w:lineRule="auto"/>
        <w:jc w:val="both"/>
        <w:rPr>
          <w:rFonts w:ascii="Times New Roman" w:hAnsi="Times New Roman"/>
          <w:sz w:val="20"/>
          <w:szCs w:val="20"/>
        </w:rPr>
      </w:pPr>
    </w:p>
    <w:p w:rsidR="00555771" w:rsidRDefault="00555771" w:rsidP="00555771">
      <w:pPr>
        <w:adjustRightInd w:val="0"/>
        <w:spacing w:after="0" w:line="240" w:lineRule="auto"/>
        <w:jc w:val="both"/>
        <w:rPr>
          <w:rFonts w:ascii="Times New Roman" w:hAnsi="Times New Roman"/>
          <w:noProof/>
          <w:sz w:val="20"/>
          <w:szCs w:val="20"/>
        </w:rPr>
      </w:pPr>
      <w:r w:rsidRPr="00297CF8">
        <w:rPr>
          <w:rFonts w:ascii="Times New Roman" w:hAnsi="Times New Roman"/>
          <w:sz w:val="20"/>
          <w:szCs w:val="20"/>
        </w:rPr>
        <w:t xml:space="preserve">In the structure of β-CD (Figure 4), the protons H3 and H5 were located inside the cavity. Meanwhile, the other protons (H1, H2, and H4) were located at the exterior of the cavity. Normally, the inclusion of the non-polar region of an analyte into hydrophobic cavity would affect the inner protons of the glucose units of β-CD, which were H3 and H5 [19-20, 25]. For β-CD/glipizide complex, there was a significant shift at H5 (Table 3). However, there was </w:t>
      </w:r>
      <w:r w:rsidRPr="00297CF8">
        <w:rPr>
          <w:rFonts w:ascii="Times New Roman" w:hAnsi="Times New Roman"/>
          <w:sz w:val="20"/>
          <w:szCs w:val="20"/>
        </w:rPr>
        <w:lastRenderedPageBreak/>
        <w:t xml:space="preserve">no significant change </w:t>
      </w:r>
      <w:r w:rsidRPr="00297CF8">
        <w:rPr>
          <w:rFonts w:ascii="Times New Roman" w:hAnsi="Times New Roman"/>
          <w:bCs/>
          <w:sz w:val="20"/>
          <w:szCs w:val="20"/>
        </w:rPr>
        <w:t>of chemical shift</w:t>
      </w:r>
      <w:r w:rsidRPr="00297CF8">
        <w:rPr>
          <w:rFonts w:ascii="Times New Roman" w:hAnsi="Times New Roman"/>
          <w:sz w:val="20"/>
          <w:szCs w:val="20"/>
        </w:rPr>
        <w:t xml:space="preserve"> for H3. This revealed that there was a partial penetration of glipizide into the cavity of β-CD. 2D NMR, which is NOESY, was studied to obtain detailed information of the interaction involved. The cross peak (Figure 5) between Hm (proton of glipizide) and H5 (proton of β-CD) confirmed the aromatic moiety penetration of glipizide into the β-CD cavity.</w:t>
      </w:r>
      <w:r w:rsidRPr="00297CF8">
        <w:rPr>
          <w:rFonts w:ascii="Times New Roman" w:hAnsi="Times New Roman"/>
          <w:noProof/>
          <w:sz w:val="20"/>
          <w:szCs w:val="20"/>
        </w:rPr>
        <w:t xml:space="preserve"> </w:t>
      </w:r>
    </w:p>
    <w:p w:rsidR="00980938" w:rsidRPr="00555771" w:rsidRDefault="00980938" w:rsidP="00555771">
      <w:pPr>
        <w:adjustRightInd w:val="0"/>
        <w:spacing w:after="0" w:line="240" w:lineRule="auto"/>
        <w:jc w:val="both"/>
        <w:rPr>
          <w:rFonts w:ascii="Times New Roman" w:hAnsi="Times New Roman"/>
          <w:noProof/>
          <w:sz w:val="20"/>
          <w:szCs w:val="20"/>
        </w:rPr>
      </w:pPr>
      <w:r w:rsidRPr="00555771">
        <w:rPr>
          <w:rFonts w:ascii="Times New Roman" w:hAnsi="Times New Roman"/>
          <w:noProof/>
          <w:sz w:val="20"/>
          <w:szCs w:val="20"/>
          <w:lang w:bidi="ar-SA"/>
        </w:rPr>
        <w:drawing>
          <wp:anchor distT="0" distB="0" distL="114300" distR="114300" simplePos="0" relativeHeight="251662848" behindDoc="0" locked="0" layoutInCell="1" allowOverlap="1" wp14:anchorId="324BEA04" wp14:editId="255D7C30">
            <wp:simplePos x="0" y="0"/>
            <wp:positionH relativeFrom="margin">
              <wp:posOffset>1959610</wp:posOffset>
            </wp:positionH>
            <wp:positionV relativeFrom="paragraph">
              <wp:posOffset>107315</wp:posOffset>
            </wp:positionV>
            <wp:extent cx="2095500" cy="2377440"/>
            <wp:effectExtent l="0" t="0" r="0" b="3810"/>
            <wp:wrapSquare wrapText="bothSides"/>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37744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980938" w:rsidRPr="00980938" w:rsidRDefault="00980938" w:rsidP="00980938">
      <w:pPr>
        <w:adjustRightInd w:val="0"/>
        <w:spacing w:after="0" w:line="240" w:lineRule="auto"/>
        <w:ind w:firstLine="720"/>
        <w:jc w:val="both"/>
        <w:rPr>
          <w:rFonts w:ascii="Times New Roman" w:hAnsi="Times New Roman"/>
          <w:sz w:val="24"/>
          <w:szCs w:val="24"/>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555771" w:rsidP="00980938">
      <w:pPr>
        <w:adjustRightInd w:val="0"/>
        <w:spacing w:after="0" w:line="240" w:lineRule="auto"/>
        <w:ind w:firstLine="720"/>
        <w:jc w:val="both"/>
        <w:rPr>
          <w:rFonts w:ascii="Times New Roman" w:hAnsi="Times New Roman"/>
          <w:szCs w:val="20"/>
        </w:rPr>
      </w:pPr>
      <w:r>
        <w:rPr>
          <w:rFonts w:ascii="Times New Roman" w:hAnsi="Times New Roman"/>
          <w:szCs w:val="20"/>
        </w:rPr>
        <w:t xml:space="preserve"> </w:t>
      </w:r>
    </w:p>
    <w:p w:rsidR="00980938" w:rsidRPr="00980938" w:rsidRDefault="00980938" w:rsidP="00980938">
      <w:pPr>
        <w:adjustRightInd w:val="0"/>
        <w:spacing w:after="0" w:line="240" w:lineRule="auto"/>
        <w:ind w:firstLine="720"/>
        <w:jc w:val="both"/>
        <w:rPr>
          <w:rFonts w:ascii="Times New Roman" w:hAnsi="Times New Roman"/>
          <w:szCs w:val="20"/>
        </w:rPr>
      </w:pPr>
    </w:p>
    <w:p w:rsidR="00555771" w:rsidRPr="00980938" w:rsidRDefault="00555771" w:rsidP="00555771">
      <w:pPr>
        <w:adjustRightInd w:val="0"/>
        <w:spacing w:after="0" w:line="240" w:lineRule="auto"/>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980938" w:rsidRDefault="00980938" w:rsidP="00980938">
      <w:pPr>
        <w:adjustRightInd w:val="0"/>
        <w:spacing w:after="0" w:line="240" w:lineRule="auto"/>
        <w:ind w:firstLine="720"/>
        <w:jc w:val="both"/>
        <w:rPr>
          <w:rFonts w:ascii="Times New Roman" w:hAnsi="Times New Roman"/>
          <w:szCs w:val="20"/>
        </w:rPr>
      </w:pPr>
    </w:p>
    <w:p w:rsidR="00980938" w:rsidRPr="00555771" w:rsidRDefault="00980938" w:rsidP="00555771">
      <w:pPr>
        <w:adjustRightInd w:val="0"/>
        <w:spacing w:after="0" w:line="240" w:lineRule="auto"/>
        <w:jc w:val="center"/>
        <w:rPr>
          <w:rFonts w:ascii="Times New Roman" w:hAnsi="Times New Roman"/>
          <w:sz w:val="20"/>
          <w:szCs w:val="20"/>
        </w:rPr>
      </w:pPr>
      <w:r w:rsidRPr="00555771">
        <w:rPr>
          <w:rFonts w:ascii="Times New Roman" w:hAnsi="Times New Roman"/>
          <w:sz w:val="20"/>
          <w:szCs w:val="20"/>
        </w:rPr>
        <w:t xml:space="preserve">Figure 4. </w:t>
      </w:r>
      <w:r w:rsidR="00555771">
        <w:rPr>
          <w:rFonts w:ascii="Times New Roman" w:hAnsi="Times New Roman"/>
          <w:sz w:val="20"/>
          <w:szCs w:val="20"/>
        </w:rPr>
        <w:t xml:space="preserve"> </w:t>
      </w:r>
      <w:r w:rsidRPr="00555771">
        <w:rPr>
          <w:rFonts w:ascii="Times New Roman" w:hAnsi="Times New Roman"/>
          <w:sz w:val="20"/>
          <w:szCs w:val="20"/>
        </w:rPr>
        <w:t>β-CD with proton numbering</w:t>
      </w:r>
    </w:p>
    <w:p w:rsidR="00980938" w:rsidRDefault="00980938" w:rsidP="00980938">
      <w:pPr>
        <w:adjustRightInd w:val="0"/>
        <w:spacing w:after="0" w:line="240" w:lineRule="auto"/>
        <w:ind w:firstLine="720"/>
        <w:jc w:val="both"/>
        <w:rPr>
          <w:rFonts w:ascii="Times New Roman" w:hAnsi="Times New Roman"/>
          <w:szCs w:val="20"/>
        </w:rPr>
      </w:pPr>
    </w:p>
    <w:p w:rsidR="00555771" w:rsidRPr="00980938" w:rsidRDefault="00555771" w:rsidP="00980938">
      <w:pPr>
        <w:adjustRightInd w:val="0"/>
        <w:spacing w:after="0" w:line="240" w:lineRule="auto"/>
        <w:ind w:firstLine="720"/>
        <w:jc w:val="both"/>
        <w:rPr>
          <w:rFonts w:ascii="Times New Roman" w:hAnsi="Times New Roman"/>
          <w:szCs w:val="20"/>
        </w:rPr>
      </w:pPr>
    </w:p>
    <w:p w:rsidR="00980938" w:rsidRPr="00980938" w:rsidRDefault="00555771" w:rsidP="00980938">
      <w:pPr>
        <w:adjustRightInd w:val="0"/>
        <w:spacing w:after="0" w:line="240" w:lineRule="auto"/>
        <w:jc w:val="both"/>
        <w:rPr>
          <w:rFonts w:ascii="Times New Roman" w:hAnsi="Times New Roman"/>
          <w:sz w:val="24"/>
          <w:szCs w:val="24"/>
        </w:rPr>
      </w:pPr>
      <w:r w:rsidRPr="00980938">
        <w:rPr>
          <w:rFonts w:ascii="Times New Roman" w:hAnsi="Times New Roman"/>
          <w:noProof/>
          <w:lang w:bidi="ar-SA"/>
        </w:rPr>
        <w:drawing>
          <wp:anchor distT="0" distB="0" distL="114300" distR="114300" simplePos="0" relativeHeight="251663872" behindDoc="0" locked="0" layoutInCell="1" allowOverlap="1" wp14:anchorId="4C8211A3" wp14:editId="34EB65AB">
            <wp:simplePos x="0" y="0"/>
            <wp:positionH relativeFrom="margin">
              <wp:posOffset>1057275</wp:posOffset>
            </wp:positionH>
            <wp:positionV relativeFrom="margin">
              <wp:posOffset>3757930</wp:posOffset>
            </wp:positionV>
            <wp:extent cx="3728720" cy="3303905"/>
            <wp:effectExtent l="19050" t="19050" r="24130" b="10795"/>
            <wp:wrapSquare wrapText="bothSides"/>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l="19109" r="17413"/>
                    <a:stretch>
                      <a:fillRect/>
                    </a:stretch>
                  </pic:blipFill>
                  <pic:spPr bwMode="auto">
                    <a:xfrm>
                      <a:off x="0" y="0"/>
                      <a:ext cx="3728720" cy="3303905"/>
                    </a:xfrm>
                    <a:prstGeom prst="rect">
                      <a:avLst/>
                    </a:prstGeom>
                    <a:noFill/>
                    <a:ln w="63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980938" w:rsidRPr="00980938" w:rsidRDefault="00980938" w:rsidP="00980938">
      <w:pPr>
        <w:spacing w:after="0" w:line="240" w:lineRule="auto"/>
        <w:jc w:val="both"/>
        <w:rPr>
          <w:rFonts w:ascii="Times New Roman" w:hAnsi="Times New Roman"/>
          <w:szCs w:val="20"/>
        </w:rPr>
      </w:pPr>
    </w:p>
    <w:p w:rsidR="00555771" w:rsidRDefault="00555771" w:rsidP="00980938">
      <w:pPr>
        <w:spacing w:after="0" w:line="240" w:lineRule="auto"/>
        <w:jc w:val="both"/>
        <w:rPr>
          <w:rFonts w:ascii="Times New Roman" w:hAnsi="Times New Roman"/>
          <w:szCs w:val="20"/>
        </w:rPr>
      </w:pPr>
    </w:p>
    <w:p w:rsidR="00980938" w:rsidRPr="00555771" w:rsidRDefault="00980938" w:rsidP="00555771">
      <w:pPr>
        <w:spacing w:after="0" w:line="240" w:lineRule="auto"/>
        <w:jc w:val="center"/>
        <w:rPr>
          <w:rFonts w:ascii="Times New Roman" w:hAnsi="Times New Roman"/>
          <w:sz w:val="20"/>
          <w:szCs w:val="20"/>
        </w:rPr>
      </w:pPr>
      <w:r w:rsidRPr="00555771">
        <w:rPr>
          <w:rFonts w:ascii="Times New Roman" w:hAnsi="Times New Roman"/>
          <w:sz w:val="20"/>
          <w:szCs w:val="20"/>
        </w:rPr>
        <w:t xml:space="preserve">Figure 5. </w:t>
      </w:r>
      <w:r w:rsidR="00555771" w:rsidRPr="00555771">
        <w:rPr>
          <w:rFonts w:ascii="Times New Roman" w:hAnsi="Times New Roman"/>
          <w:sz w:val="20"/>
          <w:szCs w:val="20"/>
        </w:rPr>
        <w:t xml:space="preserve"> </w:t>
      </w:r>
      <w:r w:rsidRPr="00555771">
        <w:rPr>
          <w:rFonts w:ascii="Times New Roman" w:hAnsi="Times New Roman"/>
          <w:sz w:val="20"/>
          <w:szCs w:val="20"/>
        </w:rPr>
        <w:t>2D NOESY spectra of complex β-CD/glipizide</w:t>
      </w:r>
    </w:p>
    <w:p w:rsidR="00980938" w:rsidRDefault="00980938" w:rsidP="00555771">
      <w:pPr>
        <w:spacing w:after="120" w:line="240" w:lineRule="auto"/>
        <w:jc w:val="both"/>
        <w:rPr>
          <w:rFonts w:ascii="Times New Roman" w:hAnsi="Times New Roman"/>
          <w:szCs w:val="20"/>
        </w:rPr>
      </w:pPr>
    </w:p>
    <w:p w:rsidR="00555771" w:rsidRPr="00980938" w:rsidRDefault="00555771" w:rsidP="00555771">
      <w:pPr>
        <w:spacing w:after="120" w:line="240" w:lineRule="auto"/>
        <w:jc w:val="both"/>
        <w:rPr>
          <w:rFonts w:ascii="Times New Roman" w:hAnsi="Times New Roman"/>
          <w:szCs w:val="20"/>
        </w:rPr>
      </w:pPr>
    </w:p>
    <w:p w:rsidR="00980938" w:rsidRPr="00555771" w:rsidRDefault="00980938" w:rsidP="00980938">
      <w:pPr>
        <w:adjustRightInd w:val="0"/>
        <w:spacing w:after="0" w:line="240" w:lineRule="auto"/>
        <w:jc w:val="both"/>
        <w:rPr>
          <w:rFonts w:ascii="Times New Roman" w:hAnsi="Times New Roman"/>
          <w:b/>
          <w:bCs/>
          <w:iCs/>
          <w:sz w:val="20"/>
          <w:szCs w:val="20"/>
        </w:rPr>
      </w:pPr>
      <w:r w:rsidRPr="00555771">
        <w:rPr>
          <w:rFonts w:ascii="Times New Roman" w:hAnsi="Times New Roman"/>
          <w:b/>
          <w:bCs/>
          <w:iCs/>
          <w:sz w:val="20"/>
          <w:szCs w:val="20"/>
        </w:rPr>
        <w:lastRenderedPageBreak/>
        <w:t xml:space="preserve">UV-Vis </w:t>
      </w:r>
    </w:p>
    <w:p w:rsidR="00980938" w:rsidRPr="00555771" w:rsidRDefault="00980938" w:rsidP="00980938">
      <w:pPr>
        <w:adjustRightInd w:val="0"/>
        <w:spacing w:after="0" w:line="240" w:lineRule="auto"/>
        <w:jc w:val="both"/>
        <w:rPr>
          <w:rFonts w:ascii="Times New Roman" w:hAnsi="Times New Roman"/>
          <w:noProof/>
          <w:sz w:val="20"/>
          <w:szCs w:val="20"/>
          <w:lang w:eastAsia="en-MY"/>
        </w:rPr>
      </w:pPr>
      <w:r w:rsidRPr="00555771">
        <w:rPr>
          <w:rFonts w:ascii="Times New Roman" w:hAnsi="Times New Roman"/>
          <w:sz w:val="20"/>
          <w:szCs w:val="20"/>
        </w:rPr>
        <w:t xml:space="preserve">The stoichiometric ratios and formation constants describing the extent of formation of the complexes were obtained by measuring the changes in UV-Vis absorbance of the substrates, in the presence of increasing concentrations of β-CD. Figure 6 showed the absorbance increased by increasing the β-CD concentrations at pH 4 and pH 9. The absorption spectra of β-CD, glipizide, and β-CD/glipizide complexes are shown in Figure 7. </w:t>
      </w:r>
      <w:r w:rsidR="00555771" w:rsidRPr="00555771">
        <w:rPr>
          <w:rFonts w:ascii="Times New Roman" w:hAnsi="Times New Roman"/>
          <w:sz w:val="20"/>
          <w:szCs w:val="20"/>
        </w:rPr>
        <w:t xml:space="preserve"> </w:t>
      </w:r>
      <w:r w:rsidRPr="00555771">
        <w:rPr>
          <w:rFonts w:ascii="Times New Roman" w:hAnsi="Times New Roman"/>
          <w:noProof/>
          <w:sz w:val="20"/>
          <w:szCs w:val="20"/>
          <w:lang w:eastAsia="en-MY"/>
        </w:rPr>
        <w:t>The results indicated that β-CD/Glipizide had λ</w:t>
      </w:r>
      <w:r w:rsidRPr="00555771">
        <w:rPr>
          <w:rFonts w:ascii="Times New Roman" w:hAnsi="Times New Roman"/>
          <w:noProof/>
          <w:sz w:val="20"/>
          <w:szCs w:val="20"/>
          <w:vertAlign w:val="subscript"/>
          <w:lang w:eastAsia="en-MY"/>
        </w:rPr>
        <w:t>max</w:t>
      </w:r>
      <w:r w:rsidRPr="00555771">
        <w:rPr>
          <w:rFonts w:ascii="Times New Roman" w:hAnsi="Times New Roman"/>
          <w:noProof/>
          <w:sz w:val="20"/>
          <w:szCs w:val="20"/>
          <w:lang w:eastAsia="en-MY"/>
        </w:rPr>
        <w:t xml:space="preserve"> in the range of 250 nm ‒ 300 nm. The absorbance of β</w:t>
      </w:r>
      <w:r w:rsidRPr="00555771">
        <w:rPr>
          <w:rFonts w:ascii="Times New Roman" w:hAnsi="Times New Roman"/>
          <w:sz w:val="20"/>
          <w:szCs w:val="20"/>
        </w:rPr>
        <w:t>-CD/glipizide complex underwent the hyperchromic effect, which increased the value of absorbance. The effect observed was due to π-π</w:t>
      </w:r>
      <w:r w:rsidRPr="00555771">
        <w:rPr>
          <w:rFonts w:ascii="Times New Roman" w:hAnsi="Times New Roman"/>
          <w:sz w:val="20"/>
          <w:szCs w:val="20"/>
          <w:vertAlign w:val="superscript"/>
        </w:rPr>
        <w:t>*</w:t>
      </w:r>
      <w:r w:rsidRPr="00555771">
        <w:rPr>
          <w:rFonts w:ascii="Times New Roman" w:hAnsi="Times New Roman"/>
          <w:sz w:val="20"/>
          <w:szCs w:val="20"/>
        </w:rPr>
        <w:t xml:space="preserve"> transition of dipole-dipole moments of aromatic ring. </w:t>
      </w:r>
      <w:r w:rsidRPr="00555771">
        <w:rPr>
          <w:rFonts w:ascii="Times New Roman" w:hAnsi="Times New Roman"/>
          <w:noProof/>
          <w:sz w:val="20"/>
          <w:szCs w:val="20"/>
          <w:lang w:eastAsia="en-MY"/>
        </w:rPr>
        <w:t xml:space="preserve">The formation constant, K values are shown in Table 4. </w:t>
      </w:r>
      <w:r w:rsidRPr="00555771">
        <w:rPr>
          <w:rFonts w:ascii="Times New Roman" w:hAnsi="Times New Roman"/>
          <w:bCs/>
          <w:sz w:val="20"/>
          <w:szCs w:val="20"/>
        </w:rPr>
        <w:t xml:space="preserve">The formation constant was carried out at two different pH values to find out whether the strength of binding between glipizide and β-CD was affected in acidic or basic condition. However, it was found that the binding strength was not affected in both acidic and basic conditions. </w:t>
      </w:r>
      <w:r w:rsidRPr="00555771">
        <w:rPr>
          <w:rFonts w:ascii="Times New Roman" w:hAnsi="Times New Roman"/>
          <w:noProof/>
          <w:sz w:val="20"/>
          <w:szCs w:val="20"/>
          <w:lang w:eastAsia="en-MY"/>
        </w:rPr>
        <w:t xml:space="preserve">The double reciprocal plot shown   in Figure 8 clearly indicated that the stoichiometry ratio for the inclusion formation between glipizide and β-CD  was 1:1. </w:t>
      </w:r>
    </w:p>
    <w:p w:rsidR="00980938" w:rsidRPr="00980938" w:rsidRDefault="00980938" w:rsidP="00555771">
      <w:pPr>
        <w:adjustRightInd w:val="0"/>
        <w:spacing w:after="120" w:line="240" w:lineRule="auto"/>
        <w:jc w:val="both"/>
        <w:rPr>
          <w:rFonts w:ascii="Times New Roman" w:hAnsi="Times New Roman"/>
          <w:noProof/>
          <w:sz w:val="18"/>
          <w:szCs w:val="18"/>
          <w:lang w:eastAsia="en-MY"/>
        </w:rPr>
      </w:pPr>
    </w:p>
    <w:p w:rsidR="00980938" w:rsidRPr="00980938" w:rsidRDefault="00980938" w:rsidP="00555771">
      <w:pPr>
        <w:adjustRightInd w:val="0"/>
        <w:spacing w:after="120" w:line="240" w:lineRule="auto"/>
        <w:jc w:val="center"/>
        <w:rPr>
          <w:rFonts w:ascii="Times New Roman" w:hAnsi="Times New Roman"/>
          <w:noProof/>
          <w:szCs w:val="20"/>
          <w:lang w:eastAsia="en-MY"/>
        </w:rPr>
      </w:pPr>
      <w:r w:rsidRPr="00980938">
        <w:rPr>
          <w:rFonts w:ascii="Times New Roman" w:hAnsi="Times New Roman"/>
          <w:noProof/>
          <w:lang w:bidi="ar-SA"/>
        </w:rPr>
        <w:drawing>
          <wp:inline distT="0" distB="0" distL="0" distR="0" wp14:anchorId="17C80FED" wp14:editId="7117B702">
            <wp:extent cx="5353050" cy="2076450"/>
            <wp:effectExtent l="19050" t="19050" r="19050" b="1905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3050" cy="2076450"/>
                    </a:xfrm>
                    <a:prstGeom prst="rect">
                      <a:avLst/>
                    </a:prstGeom>
                    <a:noFill/>
                    <a:ln w="6350" cmpd="sng">
                      <a:solidFill>
                        <a:srgbClr val="000000"/>
                      </a:solidFill>
                      <a:miter lim="800000"/>
                      <a:headEnd/>
                      <a:tailEnd/>
                    </a:ln>
                    <a:effectLst/>
                  </pic:spPr>
                </pic:pic>
              </a:graphicData>
            </a:graphic>
          </wp:inline>
        </w:drawing>
      </w:r>
    </w:p>
    <w:p w:rsidR="00980938" w:rsidRPr="00555771" w:rsidRDefault="00980938" w:rsidP="00980938">
      <w:pPr>
        <w:adjustRightInd w:val="0"/>
        <w:spacing w:after="0" w:line="240" w:lineRule="auto"/>
        <w:ind w:left="851" w:hanging="851"/>
        <w:jc w:val="both"/>
        <w:rPr>
          <w:rFonts w:ascii="Times New Roman" w:hAnsi="Times New Roman"/>
          <w:sz w:val="20"/>
          <w:szCs w:val="20"/>
        </w:rPr>
      </w:pPr>
      <w:r w:rsidRPr="00555771">
        <w:rPr>
          <w:rFonts w:ascii="Times New Roman" w:hAnsi="Times New Roman"/>
          <w:noProof/>
          <w:sz w:val="20"/>
          <w:szCs w:val="20"/>
          <w:lang w:eastAsia="en-MY"/>
        </w:rPr>
        <w:t xml:space="preserve">Figure 6. </w:t>
      </w:r>
      <w:r w:rsidR="006E693E">
        <w:rPr>
          <w:rFonts w:ascii="Times New Roman" w:hAnsi="Times New Roman"/>
          <w:noProof/>
          <w:sz w:val="20"/>
          <w:szCs w:val="20"/>
          <w:lang w:eastAsia="en-MY"/>
        </w:rPr>
        <w:tab/>
      </w:r>
      <w:r w:rsidRPr="00555771">
        <w:rPr>
          <w:rFonts w:ascii="Times New Roman" w:hAnsi="Times New Roman"/>
          <w:noProof/>
          <w:sz w:val="20"/>
          <w:szCs w:val="20"/>
          <w:lang w:eastAsia="en-MY"/>
        </w:rPr>
        <w:t xml:space="preserve">Absorption spectra of glipizide in the presence of increasing concentration of a) </w:t>
      </w:r>
      <w:r w:rsidRPr="00555771">
        <w:rPr>
          <w:rFonts w:ascii="Times New Roman" w:hAnsi="Times New Roman"/>
          <w:sz w:val="20"/>
          <w:szCs w:val="20"/>
        </w:rPr>
        <w:t>β-CD (0.001-0.005M) pH 4 and b) β-CD (0.001-0.005M) pH 9</w:t>
      </w:r>
    </w:p>
    <w:p w:rsidR="00980938" w:rsidRDefault="00980938" w:rsidP="00980938">
      <w:pPr>
        <w:adjustRightInd w:val="0"/>
        <w:spacing w:after="0" w:line="240" w:lineRule="auto"/>
        <w:jc w:val="both"/>
        <w:rPr>
          <w:rFonts w:ascii="Times New Roman" w:hAnsi="Times New Roman"/>
          <w:noProof/>
          <w:szCs w:val="20"/>
          <w:lang w:eastAsia="en-MY"/>
        </w:rPr>
      </w:pPr>
    </w:p>
    <w:p w:rsidR="00555771" w:rsidRPr="00980938" w:rsidRDefault="00555771" w:rsidP="00980938">
      <w:pPr>
        <w:adjustRightInd w:val="0"/>
        <w:spacing w:after="0" w:line="240" w:lineRule="auto"/>
        <w:jc w:val="both"/>
        <w:rPr>
          <w:rFonts w:ascii="Times New Roman" w:hAnsi="Times New Roman"/>
          <w:noProof/>
          <w:szCs w:val="20"/>
          <w:lang w:eastAsia="en-MY"/>
        </w:rPr>
      </w:pPr>
    </w:p>
    <w:p w:rsidR="00980938" w:rsidRPr="00980938" w:rsidRDefault="00980938" w:rsidP="00555771">
      <w:pPr>
        <w:adjustRightInd w:val="0"/>
        <w:spacing w:after="0" w:line="240" w:lineRule="auto"/>
        <w:jc w:val="center"/>
        <w:rPr>
          <w:rFonts w:ascii="Times New Roman" w:hAnsi="Times New Roman"/>
          <w:szCs w:val="20"/>
        </w:rPr>
      </w:pPr>
      <w:r w:rsidRPr="00980938">
        <w:rPr>
          <w:rFonts w:ascii="Times New Roman" w:hAnsi="Times New Roman"/>
          <w:noProof/>
          <w:lang w:bidi="ar-SA"/>
        </w:rPr>
        <w:drawing>
          <wp:inline distT="0" distB="0" distL="0" distR="0" wp14:anchorId="35D4C59B" wp14:editId="3EADAB24">
            <wp:extent cx="5353050" cy="2295525"/>
            <wp:effectExtent l="19050" t="19050" r="19050" b="2857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2295525"/>
                    </a:xfrm>
                    <a:prstGeom prst="rect">
                      <a:avLst/>
                    </a:prstGeom>
                    <a:noFill/>
                    <a:ln w="6350" cmpd="sng">
                      <a:solidFill>
                        <a:srgbClr val="000000"/>
                      </a:solidFill>
                      <a:miter lim="800000"/>
                      <a:headEnd/>
                      <a:tailEnd/>
                    </a:ln>
                    <a:effectLst/>
                  </pic:spPr>
                </pic:pic>
              </a:graphicData>
            </a:graphic>
          </wp:inline>
        </w:drawing>
      </w:r>
    </w:p>
    <w:p w:rsidR="00980938" w:rsidRPr="00980938" w:rsidRDefault="00980938" w:rsidP="00980938">
      <w:pPr>
        <w:adjustRightInd w:val="0"/>
        <w:spacing w:after="0" w:line="240" w:lineRule="auto"/>
        <w:jc w:val="both"/>
        <w:rPr>
          <w:rFonts w:ascii="Times New Roman" w:hAnsi="Times New Roman"/>
          <w:szCs w:val="20"/>
        </w:rPr>
      </w:pPr>
    </w:p>
    <w:p w:rsidR="00980938" w:rsidRPr="00555771" w:rsidRDefault="00980938" w:rsidP="00555771">
      <w:pPr>
        <w:spacing w:after="0" w:line="240" w:lineRule="auto"/>
        <w:jc w:val="center"/>
        <w:rPr>
          <w:rFonts w:ascii="Times New Roman" w:hAnsi="Times New Roman"/>
          <w:noProof/>
          <w:sz w:val="20"/>
          <w:szCs w:val="20"/>
          <w:lang w:eastAsia="en-MY"/>
        </w:rPr>
      </w:pPr>
      <w:r w:rsidRPr="00555771">
        <w:rPr>
          <w:rFonts w:ascii="Times New Roman" w:hAnsi="Times New Roman"/>
          <w:sz w:val="20"/>
          <w:szCs w:val="20"/>
        </w:rPr>
        <w:t>Figure 7.</w:t>
      </w:r>
      <w:r w:rsidRPr="00555771">
        <w:rPr>
          <w:rFonts w:ascii="Times New Roman" w:hAnsi="Times New Roman"/>
          <w:noProof/>
          <w:sz w:val="20"/>
          <w:szCs w:val="20"/>
          <w:lang w:eastAsia="en-MY"/>
        </w:rPr>
        <w:t xml:space="preserve"> </w:t>
      </w:r>
      <w:r w:rsidR="00555771">
        <w:rPr>
          <w:rFonts w:ascii="Times New Roman" w:hAnsi="Times New Roman"/>
          <w:noProof/>
          <w:sz w:val="20"/>
          <w:szCs w:val="20"/>
          <w:lang w:eastAsia="en-MY"/>
        </w:rPr>
        <w:t xml:space="preserve"> </w:t>
      </w:r>
      <w:r w:rsidRPr="00555771">
        <w:rPr>
          <w:rFonts w:ascii="Times New Roman" w:hAnsi="Times New Roman"/>
          <w:noProof/>
          <w:sz w:val="20"/>
          <w:szCs w:val="20"/>
          <w:lang w:eastAsia="en-MY"/>
        </w:rPr>
        <w:t>Absorption spectra of β-CD, Glipizide and β-CD/Glipizide at a) pH 4 and b) pH 9</w:t>
      </w:r>
    </w:p>
    <w:p w:rsidR="00980938" w:rsidRPr="00980938" w:rsidRDefault="00980938" w:rsidP="00980938">
      <w:pPr>
        <w:spacing w:after="0" w:line="240" w:lineRule="auto"/>
        <w:jc w:val="both"/>
        <w:rPr>
          <w:rFonts w:ascii="Times New Roman" w:hAnsi="Times New Roman"/>
          <w:noProof/>
          <w:szCs w:val="20"/>
          <w:lang w:eastAsia="en-MY"/>
        </w:rPr>
      </w:pPr>
    </w:p>
    <w:p w:rsidR="00980938" w:rsidRPr="006E693E" w:rsidRDefault="00980938" w:rsidP="006E693E">
      <w:pPr>
        <w:spacing w:after="120" w:line="240" w:lineRule="auto"/>
        <w:jc w:val="center"/>
        <w:rPr>
          <w:rFonts w:ascii="Times New Roman" w:hAnsi="Times New Roman"/>
          <w:noProof/>
          <w:sz w:val="20"/>
          <w:szCs w:val="20"/>
          <w:lang w:eastAsia="en-MY"/>
        </w:rPr>
      </w:pPr>
      <w:r w:rsidRPr="00980938">
        <w:rPr>
          <w:rFonts w:ascii="Times New Roman" w:hAnsi="Times New Roman"/>
          <w:noProof/>
          <w:lang w:bidi="ar-SA"/>
        </w:rPr>
        <w:lastRenderedPageBreak/>
        <w:drawing>
          <wp:inline distT="0" distB="0" distL="0" distR="0" wp14:anchorId="5C30A16D" wp14:editId="50ADA6E4">
            <wp:extent cx="5467350" cy="2019300"/>
            <wp:effectExtent l="19050" t="19050" r="19050" b="1905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7350" cy="2019300"/>
                    </a:xfrm>
                    <a:prstGeom prst="rect">
                      <a:avLst/>
                    </a:prstGeom>
                    <a:noFill/>
                    <a:ln w="6350" cmpd="sng">
                      <a:solidFill>
                        <a:srgbClr val="000000"/>
                      </a:solidFill>
                      <a:miter lim="800000"/>
                      <a:headEnd/>
                      <a:tailEnd/>
                    </a:ln>
                    <a:effectLst/>
                  </pic:spPr>
                </pic:pic>
              </a:graphicData>
            </a:graphic>
          </wp:inline>
        </w:drawing>
      </w:r>
    </w:p>
    <w:p w:rsidR="00980938" w:rsidRPr="006E693E" w:rsidRDefault="00980938" w:rsidP="006E693E">
      <w:pPr>
        <w:spacing w:after="0" w:line="240" w:lineRule="auto"/>
        <w:jc w:val="center"/>
        <w:rPr>
          <w:rFonts w:ascii="Times New Roman" w:hAnsi="Times New Roman"/>
          <w:noProof/>
          <w:sz w:val="20"/>
          <w:szCs w:val="20"/>
          <w:lang w:eastAsia="en-MY"/>
        </w:rPr>
      </w:pPr>
      <w:r w:rsidRPr="006E693E">
        <w:rPr>
          <w:rFonts w:ascii="Times New Roman" w:hAnsi="Times New Roman"/>
          <w:noProof/>
          <w:sz w:val="20"/>
          <w:szCs w:val="20"/>
          <w:lang w:eastAsia="en-MY"/>
        </w:rPr>
        <w:t xml:space="preserve">Figure 8. </w:t>
      </w:r>
      <w:r w:rsidR="006E693E">
        <w:rPr>
          <w:rFonts w:ascii="Times New Roman" w:hAnsi="Times New Roman"/>
          <w:noProof/>
          <w:sz w:val="20"/>
          <w:szCs w:val="20"/>
          <w:lang w:eastAsia="en-MY"/>
        </w:rPr>
        <w:t xml:space="preserve"> </w:t>
      </w:r>
      <w:r w:rsidRPr="006E693E">
        <w:rPr>
          <w:rFonts w:ascii="Times New Roman" w:hAnsi="Times New Roman"/>
          <w:noProof/>
          <w:sz w:val="20"/>
          <w:szCs w:val="20"/>
          <w:lang w:eastAsia="en-MY"/>
        </w:rPr>
        <w:t xml:space="preserve">The double reciprocal plot of </w:t>
      </w:r>
      <m:oMath>
        <m:f>
          <m:fPr>
            <m:ctrlPr>
              <w:rPr>
                <w:rFonts w:ascii="Cambria Math" w:hAnsi="Cambria Math"/>
                <w:i/>
                <w:noProof/>
                <w:sz w:val="20"/>
                <w:szCs w:val="20"/>
                <w:lang w:eastAsia="en-MY"/>
              </w:rPr>
            </m:ctrlPr>
          </m:fPr>
          <m:num>
            <m:r>
              <w:rPr>
                <w:rFonts w:ascii="Cambria Math" w:hAnsi="Cambria Math"/>
                <w:noProof/>
                <w:sz w:val="20"/>
                <w:szCs w:val="20"/>
                <w:lang w:eastAsia="en-MY"/>
              </w:rPr>
              <m:t>1</m:t>
            </m:r>
          </m:num>
          <m:den>
            <m:r>
              <w:rPr>
                <w:rFonts w:ascii="Cambria Math" w:hAnsi="Cambria Math"/>
                <w:noProof/>
                <w:sz w:val="20"/>
                <w:szCs w:val="20"/>
                <w:lang w:eastAsia="en-MY"/>
              </w:rPr>
              <m:t>A</m:t>
            </m:r>
          </m:den>
        </m:f>
      </m:oMath>
      <w:r w:rsidRPr="006E693E">
        <w:rPr>
          <w:rFonts w:ascii="Times New Roman" w:hAnsi="Times New Roman"/>
          <w:noProof/>
          <w:sz w:val="20"/>
          <w:szCs w:val="20"/>
          <w:lang w:eastAsia="en-MY"/>
        </w:rPr>
        <w:t xml:space="preserve"> against </w:t>
      </w:r>
      <m:oMath>
        <m:f>
          <m:fPr>
            <m:ctrlPr>
              <w:rPr>
                <w:rFonts w:ascii="Cambria Math" w:hAnsi="Cambria Math"/>
                <w:i/>
                <w:noProof/>
                <w:sz w:val="20"/>
                <w:szCs w:val="20"/>
                <w:lang w:eastAsia="en-MY"/>
              </w:rPr>
            </m:ctrlPr>
          </m:fPr>
          <m:num>
            <m:r>
              <w:rPr>
                <w:rFonts w:ascii="Cambria Math" w:hAnsi="Cambria Math"/>
                <w:noProof/>
                <w:sz w:val="20"/>
                <w:szCs w:val="20"/>
                <w:lang w:eastAsia="en-MY"/>
              </w:rPr>
              <m:t>1</m:t>
            </m:r>
          </m:num>
          <m:den>
            <m:r>
              <w:rPr>
                <w:rFonts w:ascii="Cambria Math" w:hAnsi="Cambria Math"/>
                <w:noProof/>
                <w:sz w:val="20"/>
                <w:szCs w:val="20"/>
                <w:lang w:eastAsia="en-MY"/>
              </w:rPr>
              <m:t>[β-CD]</m:t>
            </m:r>
          </m:den>
        </m:f>
      </m:oMath>
      <w:r w:rsidRPr="006E693E">
        <w:rPr>
          <w:rFonts w:ascii="Times New Roman" w:hAnsi="Times New Roman"/>
          <w:noProof/>
          <w:sz w:val="20"/>
          <w:szCs w:val="20"/>
          <w:lang w:eastAsia="en-MY"/>
        </w:rPr>
        <w:t xml:space="preserve"> in a) pH 4 and b) pH 9</w:t>
      </w:r>
    </w:p>
    <w:p w:rsidR="00980938" w:rsidRDefault="00980938" w:rsidP="00980938">
      <w:pPr>
        <w:spacing w:after="0" w:line="240" w:lineRule="auto"/>
        <w:jc w:val="both"/>
        <w:rPr>
          <w:rFonts w:ascii="Times New Roman" w:hAnsi="Times New Roman"/>
          <w:noProof/>
          <w:sz w:val="20"/>
          <w:szCs w:val="20"/>
          <w:lang w:eastAsia="en-MY"/>
        </w:rPr>
      </w:pPr>
    </w:p>
    <w:p w:rsidR="006E693E" w:rsidRPr="006E693E" w:rsidRDefault="006E693E" w:rsidP="00980938">
      <w:pPr>
        <w:spacing w:after="0" w:line="240" w:lineRule="auto"/>
        <w:jc w:val="both"/>
        <w:rPr>
          <w:rFonts w:ascii="Times New Roman" w:hAnsi="Times New Roman"/>
          <w:noProof/>
          <w:sz w:val="20"/>
          <w:szCs w:val="20"/>
          <w:lang w:eastAsia="en-MY"/>
        </w:rPr>
      </w:pPr>
    </w:p>
    <w:p w:rsidR="00980938" w:rsidRPr="006E693E" w:rsidRDefault="00980938" w:rsidP="006E693E">
      <w:pPr>
        <w:spacing w:after="120" w:line="240" w:lineRule="auto"/>
        <w:jc w:val="center"/>
        <w:rPr>
          <w:rFonts w:ascii="Times New Roman" w:hAnsi="Times New Roman"/>
          <w:noProof/>
          <w:sz w:val="20"/>
          <w:szCs w:val="20"/>
          <w:lang w:eastAsia="en-MY"/>
        </w:rPr>
      </w:pPr>
      <w:r w:rsidRPr="006E693E">
        <w:rPr>
          <w:rFonts w:ascii="Times New Roman" w:hAnsi="Times New Roman"/>
          <w:noProof/>
          <w:sz w:val="20"/>
          <w:szCs w:val="20"/>
          <w:lang w:eastAsia="en-MY"/>
        </w:rPr>
        <w:t xml:space="preserve">Table 4. </w:t>
      </w:r>
      <w:r w:rsidR="006E693E" w:rsidRPr="006E693E">
        <w:rPr>
          <w:rFonts w:ascii="Times New Roman" w:hAnsi="Times New Roman"/>
          <w:noProof/>
          <w:sz w:val="20"/>
          <w:szCs w:val="20"/>
          <w:lang w:eastAsia="en-MY"/>
        </w:rPr>
        <w:t xml:space="preserve"> </w:t>
      </w:r>
      <w:r w:rsidRPr="006E693E">
        <w:rPr>
          <w:rFonts w:ascii="Times New Roman" w:hAnsi="Times New Roman"/>
          <w:noProof/>
          <w:sz w:val="20"/>
          <w:szCs w:val="20"/>
          <w:lang w:eastAsia="en-MY"/>
        </w:rPr>
        <w:t>Formation constant (K) values for β-CD/glipizide at differents pH</w:t>
      </w:r>
    </w:p>
    <w:tbl>
      <w:tblPr>
        <w:tblStyle w:val="LightShading"/>
        <w:tblW w:w="0" w:type="auto"/>
        <w:jc w:val="center"/>
        <w:tblBorders>
          <w:top w:val="single" w:sz="4" w:space="0" w:color="auto"/>
          <w:bottom w:val="single" w:sz="4" w:space="0" w:color="auto"/>
        </w:tblBorders>
        <w:tblLook w:val="04A0" w:firstRow="1" w:lastRow="0" w:firstColumn="1" w:lastColumn="0" w:noHBand="0" w:noVBand="1"/>
      </w:tblPr>
      <w:tblGrid>
        <w:gridCol w:w="483"/>
        <w:gridCol w:w="2211"/>
      </w:tblGrid>
      <w:tr w:rsidR="00980938" w:rsidRPr="006E693E" w:rsidTr="006E693E">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980938" w:rsidRPr="006E693E" w:rsidRDefault="00980938" w:rsidP="006E693E">
            <w:pPr>
              <w:spacing w:before="60" w:after="60" w:line="240" w:lineRule="auto"/>
              <w:jc w:val="both"/>
              <w:rPr>
                <w:rFonts w:ascii="Times New Roman" w:hAnsi="Times New Roman"/>
                <w:bCs w:val="0"/>
                <w:noProof/>
                <w:color w:val="auto"/>
                <w:sz w:val="20"/>
                <w:szCs w:val="20"/>
                <w:lang w:eastAsia="en-MY"/>
              </w:rPr>
            </w:pPr>
            <w:r w:rsidRPr="006E693E">
              <w:rPr>
                <w:rFonts w:ascii="Times New Roman" w:hAnsi="Times New Roman"/>
                <w:bCs w:val="0"/>
                <w:noProof/>
                <w:color w:val="auto"/>
                <w:sz w:val="20"/>
                <w:szCs w:val="20"/>
                <w:lang w:eastAsia="en-MY"/>
              </w:rPr>
              <w:t>pH</w:t>
            </w:r>
          </w:p>
        </w:tc>
        <w:tc>
          <w:tcPr>
            <w:tcW w:w="0" w:type="auto"/>
            <w:tcBorders>
              <w:top w:val="single" w:sz="4" w:space="0" w:color="auto"/>
              <w:bottom w:val="single" w:sz="4" w:space="0" w:color="auto"/>
            </w:tcBorders>
            <w:shd w:val="clear" w:color="auto" w:fill="auto"/>
            <w:vAlign w:val="center"/>
          </w:tcPr>
          <w:p w:rsidR="00980938" w:rsidRPr="006E693E" w:rsidRDefault="00980938" w:rsidP="006E693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noProof/>
                <w:color w:val="auto"/>
                <w:sz w:val="20"/>
                <w:szCs w:val="20"/>
                <w:lang w:eastAsia="en-MY"/>
              </w:rPr>
            </w:pPr>
            <w:r w:rsidRPr="006E693E">
              <w:rPr>
                <w:rFonts w:ascii="Times New Roman" w:hAnsi="Times New Roman"/>
                <w:bCs w:val="0"/>
                <w:noProof/>
                <w:color w:val="auto"/>
                <w:sz w:val="20"/>
                <w:szCs w:val="20"/>
                <w:lang w:eastAsia="en-MY"/>
              </w:rPr>
              <w:t>Formation Constant, K</w:t>
            </w:r>
          </w:p>
        </w:tc>
      </w:tr>
      <w:tr w:rsidR="00980938" w:rsidRPr="00980938" w:rsidTr="006E693E">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rsidR="00980938" w:rsidRPr="006E693E" w:rsidRDefault="00980938" w:rsidP="0089290A">
            <w:pPr>
              <w:spacing w:after="0" w:line="240" w:lineRule="auto"/>
              <w:jc w:val="both"/>
              <w:rPr>
                <w:rFonts w:ascii="Times New Roman" w:hAnsi="Times New Roman"/>
                <w:b w:val="0"/>
                <w:noProof/>
                <w:color w:val="auto"/>
                <w:sz w:val="20"/>
                <w:szCs w:val="20"/>
                <w:lang w:eastAsia="en-MY"/>
              </w:rPr>
            </w:pPr>
            <w:r w:rsidRPr="006E693E">
              <w:rPr>
                <w:rFonts w:ascii="Times New Roman" w:hAnsi="Times New Roman"/>
                <w:b w:val="0"/>
                <w:noProof/>
                <w:color w:val="auto"/>
                <w:sz w:val="20"/>
                <w:szCs w:val="20"/>
                <w:lang w:eastAsia="en-MY"/>
              </w:rPr>
              <w:t>4</w:t>
            </w:r>
          </w:p>
        </w:tc>
        <w:tc>
          <w:tcPr>
            <w:tcW w:w="0" w:type="auto"/>
            <w:tcBorders>
              <w:top w:val="single" w:sz="4" w:space="0" w:color="auto"/>
              <w:bottom w:val="nil"/>
            </w:tcBorders>
            <w:shd w:val="clear" w:color="auto" w:fill="auto"/>
            <w:vAlign w:val="center"/>
          </w:tcPr>
          <w:p w:rsidR="00980938" w:rsidRPr="006E693E" w:rsidRDefault="00980938" w:rsidP="006E69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sz w:val="20"/>
                <w:szCs w:val="20"/>
                <w:lang w:eastAsia="en-MY"/>
              </w:rPr>
            </w:pPr>
            <w:r w:rsidRPr="006E693E">
              <w:rPr>
                <w:rFonts w:ascii="Times New Roman" w:hAnsi="Times New Roman"/>
                <w:noProof/>
                <w:color w:val="auto"/>
                <w:sz w:val="20"/>
                <w:szCs w:val="20"/>
                <w:lang w:eastAsia="en-MY"/>
              </w:rPr>
              <w:t>730.93</w:t>
            </w:r>
          </w:p>
        </w:tc>
      </w:tr>
      <w:tr w:rsidR="00980938" w:rsidRPr="00980938" w:rsidTr="006E693E">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tcPr>
          <w:p w:rsidR="00980938" w:rsidRPr="006E693E" w:rsidRDefault="00980938" w:rsidP="006E693E">
            <w:pPr>
              <w:spacing w:after="60" w:line="240" w:lineRule="auto"/>
              <w:jc w:val="both"/>
              <w:rPr>
                <w:rFonts w:ascii="Times New Roman" w:hAnsi="Times New Roman"/>
                <w:b w:val="0"/>
                <w:bCs w:val="0"/>
                <w:noProof/>
                <w:color w:val="auto"/>
                <w:sz w:val="20"/>
                <w:szCs w:val="20"/>
                <w:lang w:eastAsia="en-MY"/>
              </w:rPr>
            </w:pPr>
            <w:r w:rsidRPr="006E693E">
              <w:rPr>
                <w:rFonts w:ascii="Times New Roman" w:hAnsi="Times New Roman"/>
                <w:b w:val="0"/>
                <w:bCs w:val="0"/>
                <w:noProof/>
                <w:color w:val="auto"/>
                <w:sz w:val="20"/>
                <w:szCs w:val="20"/>
                <w:lang w:eastAsia="en-MY"/>
              </w:rPr>
              <w:t>9</w:t>
            </w:r>
          </w:p>
        </w:tc>
        <w:tc>
          <w:tcPr>
            <w:tcW w:w="0" w:type="auto"/>
            <w:tcBorders>
              <w:top w:val="nil"/>
              <w:bottom w:val="single" w:sz="4" w:space="0" w:color="auto"/>
            </w:tcBorders>
            <w:shd w:val="clear" w:color="auto" w:fill="auto"/>
            <w:vAlign w:val="center"/>
          </w:tcPr>
          <w:p w:rsidR="00980938" w:rsidRPr="006E693E" w:rsidRDefault="00980938" w:rsidP="006E693E">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sz w:val="20"/>
                <w:szCs w:val="20"/>
                <w:lang w:eastAsia="en-MY"/>
              </w:rPr>
            </w:pPr>
            <w:r w:rsidRPr="006E693E">
              <w:rPr>
                <w:rFonts w:ascii="Times New Roman" w:hAnsi="Times New Roman"/>
                <w:noProof/>
                <w:color w:val="auto"/>
                <w:sz w:val="20"/>
                <w:szCs w:val="20"/>
                <w:lang w:eastAsia="en-MY"/>
              </w:rPr>
              <w:t>743.47</w:t>
            </w:r>
          </w:p>
        </w:tc>
      </w:tr>
    </w:tbl>
    <w:p w:rsidR="00980938" w:rsidRPr="00980938" w:rsidRDefault="00980938" w:rsidP="00980938">
      <w:pPr>
        <w:spacing w:after="0" w:line="240" w:lineRule="auto"/>
        <w:jc w:val="both"/>
        <w:outlineLvl w:val="0"/>
        <w:rPr>
          <w:rFonts w:ascii="Times New Roman" w:hAnsi="Times New Roman"/>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E693E" w:rsidRPr="006E693E" w:rsidRDefault="006E693E" w:rsidP="006E693E">
      <w:pPr>
        <w:spacing w:after="0" w:line="240" w:lineRule="auto"/>
        <w:jc w:val="both"/>
        <w:rPr>
          <w:rFonts w:ascii="Times New Roman" w:hAnsi="Times New Roman"/>
          <w:sz w:val="20"/>
          <w:szCs w:val="20"/>
        </w:rPr>
      </w:pPr>
      <w:r w:rsidRPr="006E693E">
        <w:rPr>
          <w:rFonts w:ascii="Times New Roman" w:hAnsi="Times New Roman"/>
          <w:sz w:val="20"/>
          <w:szCs w:val="20"/>
        </w:rPr>
        <w:t xml:space="preserve">The inclusion complex between β-CD and glipizide was prepared using the kneading method and the determinations of formation constant were studied at pH 4 and 9. The results obtained from FT-IR and TGA proved that β-CD formed the inclusion complex with glipizide. From </w:t>
      </w:r>
      <w:r w:rsidRPr="006E693E">
        <w:rPr>
          <w:rFonts w:ascii="Times New Roman" w:hAnsi="Times New Roman"/>
          <w:sz w:val="20"/>
          <w:szCs w:val="20"/>
          <w:vertAlign w:val="superscript"/>
        </w:rPr>
        <w:t>1</w:t>
      </w:r>
      <w:r w:rsidRPr="006E693E">
        <w:rPr>
          <w:rFonts w:ascii="Times New Roman" w:hAnsi="Times New Roman"/>
          <w:sz w:val="20"/>
          <w:szCs w:val="20"/>
        </w:rPr>
        <w:t xml:space="preserve">H NMR determination, a large shift was observed at H5 proton of β-CD, proving the partial penetration of glipizide into the cavity of β-CD. This was strengthened by the cross-peak proton of aromatic glipizide with inner protons of β-CD from the NOESY experiment. β-CD/glipizide complex performed 1:1 host-guest interaction at pH 4 and 9 with apparent formation constants of 730.93 and </w:t>
      </w:r>
      <w:r w:rsidRPr="006E693E">
        <w:rPr>
          <w:rFonts w:ascii="Times New Roman" w:hAnsi="Times New Roman"/>
          <w:noProof/>
          <w:sz w:val="20"/>
          <w:szCs w:val="20"/>
          <w:lang w:eastAsia="en-MY"/>
        </w:rPr>
        <w:t xml:space="preserve">743.47, respectively, calculated from the Hildebrand-Benesi equation. This integrated experimental method revealed the molecular inclusion mechanism of </w:t>
      </w:r>
      <w:r w:rsidRPr="006E693E">
        <w:rPr>
          <w:rFonts w:ascii="Times New Roman" w:hAnsi="Times New Roman"/>
          <w:sz w:val="20"/>
          <w:szCs w:val="20"/>
        </w:rPr>
        <w:t>β-CD with glipizide that would benefit the future formulation development of the drug carrier system.</w:t>
      </w:r>
    </w:p>
    <w:p w:rsidR="006E693E" w:rsidRPr="006E693E" w:rsidRDefault="006E693E" w:rsidP="006E693E">
      <w:pPr>
        <w:spacing w:after="0" w:line="240" w:lineRule="auto"/>
        <w:jc w:val="center"/>
        <w:outlineLvl w:val="0"/>
        <w:rPr>
          <w:rFonts w:ascii="Times New Roman" w:hAnsi="Times New Roman"/>
          <w:sz w:val="20"/>
          <w:szCs w:val="20"/>
        </w:rPr>
      </w:pPr>
    </w:p>
    <w:p w:rsidR="006E693E" w:rsidRPr="006E693E" w:rsidRDefault="006E693E" w:rsidP="006E693E">
      <w:pPr>
        <w:spacing w:after="0" w:line="240" w:lineRule="auto"/>
        <w:jc w:val="center"/>
        <w:outlineLvl w:val="0"/>
        <w:rPr>
          <w:rFonts w:ascii="Times New Roman" w:hAnsi="Times New Roman"/>
          <w:b/>
          <w:sz w:val="20"/>
          <w:szCs w:val="20"/>
        </w:rPr>
      </w:pPr>
      <w:r w:rsidRPr="006E693E">
        <w:rPr>
          <w:rFonts w:ascii="Times New Roman" w:hAnsi="Times New Roman"/>
          <w:b/>
          <w:sz w:val="20"/>
          <w:szCs w:val="20"/>
        </w:rPr>
        <w:t>Acknowledgement</w:t>
      </w:r>
    </w:p>
    <w:p w:rsidR="006768E9" w:rsidRPr="00F447A7" w:rsidRDefault="006E693E" w:rsidP="006E693E">
      <w:pPr>
        <w:shd w:val="clear" w:color="auto" w:fill="FFFFFF"/>
        <w:spacing w:after="0" w:line="240" w:lineRule="auto"/>
        <w:jc w:val="both"/>
        <w:rPr>
          <w:rFonts w:ascii="Times New Roman" w:hAnsi="Times New Roman"/>
          <w:sz w:val="20"/>
          <w:szCs w:val="20"/>
        </w:rPr>
      </w:pPr>
      <w:r w:rsidRPr="006E693E">
        <w:rPr>
          <w:rFonts w:ascii="Times New Roman" w:hAnsi="Times New Roman"/>
          <w:sz w:val="20"/>
          <w:szCs w:val="20"/>
        </w:rPr>
        <w:t>Authors would like to seize this opportunity to express their gratitude to the Universiti Sains Malaysia for the Short-Term Grant (304/PKimia/6315106) and Ministry of Education for FRGS Grant (203.PKIMIA.6711641).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lang w:val="en-MY" w:eastAsia="en-MY"/>
        </w:rPr>
        <w:t>Bender, M. L. and Komiyama, M. (2012)</w:t>
      </w:r>
      <w:r w:rsidRPr="006E693E">
        <w:rPr>
          <w:rFonts w:ascii="Times New Roman" w:hAnsi="Times New Roman"/>
          <w:bCs/>
          <w:sz w:val="20"/>
          <w:szCs w:val="20"/>
          <w:lang w:val="en-MY" w:eastAsia="en-MY"/>
        </w:rPr>
        <w:t>.</w:t>
      </w:r>
      <w:r w:rsidRPr="006E693E">
        <w:rPr>
          <w:rFonts w:ascii="Times New Roman" w:hAnsi="Times New Roman"/>
          <w:b/>
          <w:sz w:val="20"/>
          <w:szCs w:val="20"/>
          <w:lang w:val="en-MY" w:eastAsia="en-MY"/>
        </w:rPr>
        <w:t xml:space="preserve"> </w:t>
      </w:r>
      <w:r w:rsidRPr="006E693E">
        <w:rPr>
          <w:rFonts w:ascii="Times New Roman" w:hAnsi="Times New Roman"/>
          <w:sz w:val="20"/>
          <w:szCs w:val="20"/>
          <w:lang w:val="en-MY" w:eastAsia="en-MY"/>
        </w:rPr>
        <w:t>Cyclodextrin chemistry. Springer Berlin Heidelberg, New         York: pp. 2 – 3.</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Abarca, R. L., Rodriguez, F. J., Guarda, A., Galotto, M. J. and Bruna, J. E. (2016). Characterization of beta- cyclodextrin inclusion complexes containing an essential oil component. </w:t>
      </w:r>
      <w:r w:rsidRPr="006E693E">
        <w:rPr>
          <w:rFonts w:ascii="Times New Roman" w:hAnsi="Times New Roman"/>
          <w:i/>
          <w:iCs/>
          <w:sz w:val="20"/>
          <w:szCs w:val="20"/>
          <w:shd w:val="clear" w:color="auto" w:fill="FFFFFF"/>
        </w:rPr>
        <w:t>Food Chemistry</w:t>
      </w:r>
      <w:r w:rsidRPr="006E693E">
        <w:rPr>
          <w:rFonts w:ascii="Times New Roman" w:hAnsi="Times New Roman"/>
          <w:sz w:val="20"/>
          <w:szCs w:val="20"/>
          <w:shd w:val="clear" w:color="auto" w:fill="FFFFFF"/>
        </w:rPr>
        <w:t>, 196: 968 – 975.</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Zhu, X., Sun, J. and Wu, J. (2007). Study on the inclusion interactions of β-cyclodextrin and its derivative with dyes by spectrofluorimetry and its analytical application. </w:t>
      </w:r>
      <w:r w:rsidRPr="006E693E">
        <w:rPr>
          <w:rFonts w:ascii="Times New Roman" w:hAnsi="Times New Roman"/>
          <w:i/>
          <w:iCs/>
          <w:sz w:val="20"/>
          <w:szCs w:val="20"/>
          <w:shd w:val="clear" w:color="auto" w:fill="FFFFFF"/>
        </w:rPr>
        <w:t>Talanta</w:t>
      </w:r>
      <w:r w:rsidRPr="006E693E">
        <w:rPr>
          <w:rFonts w:ascii="Times New Roman" w:hAnsi="Times New Roman"/>
          <w:sz w:val="20"/>
          <w:szCs w:val="20"/>
          <w:shd w:val="clear" w:color="auto" w:fill="FFFFFF"/>
        </w:rPr>
        <w:t>, 72(1): 237 − 242.</w:t>
      </w:r>
      <w:r w:rsidRPr="006E693E">
        <w:rPr>
          <w:rFonts w:ascii="Times New Roman" w:eastAsia="TimesNewRomanPSMT"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de Paula, E., Cereda, C., Tofoli, G. R., Franz-Montan, M., Fraceto, L. F. and de Araújo, D. R. (2010). Drug delivery systems for local anesthetics. </w:t>
      </w:r>
      <w:r w:rsidRPr="006E693E">
        <w:rPr>
          <w:rFonts w:ascii="Times New Roman" w:hAnsi="Times New Roman"/>
          <w:i/>
          <w:iCs/>
          <w:sz w:val="20"/>
          <w:szCs w:val="20"/>
          <w:shd w:val="clear" w:color="auto" w:fill="FFFFFF"/>
        </w:rPr>
        <w:t>Recent Patents on Drug Delivery &amp; Formulation</w:t>
      </w:r>
      <w:r w:rsidRPr="006E693E">
        <w:rPr>
          <w:rFonts w:ascii="Times New Roman" w:hAnsi="Times New Roman"/>
          <w:sz w:val="20"/>
          <w:szCs w:val="20"/>
          <w:shd w:val="clear" w:color="auto" w:fill="FFFFFF"/>
        </w:rPr>
        <w:t>, 4(1): 23 − 34.</w:t>
      </w:r>
      <w:r w:rsidRPr="006E693E">
        <w:rPr>
          <w:rFonts w:ascii="Times New Roman" w:eastAsia="TimesNewRomanPSMT"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Loftsson, T. and Duchene, D. (2007). Cyclodextrins and their pharmaceutical applications. </w:t>
      </w:r>
      <w:r w:rsidRPr="006E693E">
        <w:rPr>
          <w:rFonts w:ascii="Times New Roman" w:hAnsi="Times New Roman"/>
          <w:i/>
          <w:iCs/>
          <w:sz w:val="20"/>
          <w:szCs w:val="20"/>
          <w:shd w:val="clear" w:color="auto" w:fill="FFFFFF"/>
        </w:rPr>
        <w:t>International Journal of Pharmaceutics</w:t>
      </w:r>
      <w:r w:rsidRPr="006E693E">
        <w:rPr>
          <w:rFonts w:ascii="Times New Roman" w:hAnsi="Times New Roman"/>
          <w:sz w:val="20"/>
          <w:szCs w:val="20"/>
          <w:shd w:val="clear" w:color="auto" w:fill="FFFFFF"/>
        </w:rPr>
        <w:t>, 329(1-2): 1 − 11.</w:t>
      </w:r>
      <w:r w:rsidRPr="006E693E">
        <w:rPr>
          <w:rFonts w:ascii="Times New Roman" w:eastAsia="TimesNewRomanPSMT" w:hAnsi="Times New Roman"/>
          <w:sz w:val="20"/>
          <w:szCs w:val="20"/>
        </w:rPr>
        <w:t xml:space="preserve"> </w:t>
      </w:r>
    </w:p>
    <w:p w:rsidR="006E693E" w:rsidRPr="006E693E" w:rsidRDefault="006E693E" w:rsidP="006E693E">
      <w:pPr>
        <w:widowControl w:val="0"/>
        <w:autoSpaceDE w:val="0"/>
        <w:autoSpaceDN w:val="0"/>
        <w:spacing w:after="0" w:line="240" w:lineRule="auto"/>
        <w:jc w:val="both"/>
        <w:outlineLvl w:val="0"/>
        <w:rPr>
          <w:rFonts w:ascii="Times New Roman" w:hAnsi="Times New Roman"/>
          <w:sz w:val="20"/>
          <w:szCs w:val="20"/>
        </w:rPr>
      </w:pP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lang w:val="en-MY" w:eastAsia="en-MY"/>
        </w:rPr>
        <w:lastRenderedPageBreak/>
        <w:t xml:space="preserve">Machelart, A., Salzano, G., Li, X., Demars, A., Debrie, A. S., Menendez-Miranda, M., and Belhaouane, I. (2019). Intrinsic antibacterial activity of nanoparticles made of β-cyclodextrins potentiates their effect as drug nanocarriers against tuberculosis. </w:t>
      </w:r>
      <w:r w:rsidRPr="006E693E">
        <w:rPr>
          <w:rFonts w:ascii="Times New Roman" w:hAnsi="Times New Roman"/>
          <w:i/>
          <w:iCs/>
          <w:sz w:val="20"/>
          <w:szCs w:val="20"/>
          <w:lang w:val="en-MY" w:eastAsia="en-MY"/>
        </w:rPr>
        <w:t>ACS Nano</w:t>
      </w:r>
      <w:r w:rsidRPr="006E693E">
        <w:rPr>
          <w:rFonts w:ascii="Times New Roman" w:hAnsi="Times New Roman"/>
          <w:sz w:val="20"/>
          <w:szCs w:val="20"/>
          <w:lang w:val="en-MY" w:eastAsia="en-MY"/>
        </w:rPr>
        <w:t>, 13(4): 3992 − 4007.</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Rasheed, A. (2008). Cyclodextrins as drug carrier molecule: A review. </w:t>
      </w:r>
      <w:r w:rsidRPr="006E693E">
        <w:rPr>
          <w:rFonts w:ascii="Times New Roman" w:hAnsi="Times New Roman"/>
          <w:i/>
          <w:iCs/>
          <w:sz w:val="20"/>
          <w:szCs w:val="20"/>
          <w:shd w:val="clear" w:color="auto" w:fill="FFFFFF"/>
        </w:rPr>
        <w:t>Scientia Pharmaceutica</w:t>
      </w:r>
      <w:r w:rsidRPr="006E693E">
        <w:rPr>
          <w:rFonts w:ascii="Times New Roman" w:hAnsi="Times New Roman"/>
          <w:sz w:val="20"/>
          <w:szCs w:val="20"/>
          <w:shd w:val="clear" w:color="auto" w:fill="FFFFFF"/>
        </w:rPr>
        <w:t>, 76(4):    567 − 598.</w:t>
      </w:r>
      <w:r w:rsidRPr="006E693E">
        <w:rPr>
          <w:rFonts w:ascii="Times New Roman" w:eastAsia="TimesNewRomanPSMT"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rPr>
        <w:t xml:space="preserve">Crini, G., Fourmentin, S., Fenyvesi, E., Torri, G., Fourmentin, M. and Morin-Crini, N. (2018). Cyclodextrin fundamentals, reactivity and analysis. Springer Cham, Besancon: pp. 1 – 55.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Stella, V. J. and He, Q. (2008). Cyclodextrins. </w:t>
      </w:r>
      <w:r w:rsidRPr="006E693E">
        <w:rPr>
          <w:rFonts w:ascii="Times New Roman" w:hAnsi="Times New Roman"/>
          <w:i/>
          <w:iCs/>
          <w:sz w:val="20"/>
          <w:szCs w:val="20"/>
          <w:shd w:val="clear" w:color="auto" w:fill="FFFFFF"/>
        </w:rPr>
        <w:t>Toxicologic Pathology</w:t>
      </w:r>
      <w:r w:rsidRPr="006E693E">
        <w:rPr>
          <w:rFonts w:ascii="Times New Roman" w:hAnsi="Times New Roman"/>
          <w:sz w:val="20"/>
          <w:szCs w:val="20"/>
          <w:shd w:val="clear" w:color="auto" w:fill="FFFFFF"/>
        </w:rPr>
        <w:t>, 36(1): 30 − 42.</w:t>
      </w:r>
      <w:r w:rsidRPr="006E693E">
        <w:rPr>
          <w:rFonts w:ascii="Times New Roman" w:eastAsia="TimesNewRomanPSMT"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Bui, T. T., Ngo, D. Q., Tran, V. L., Nguyen, T. N. and Do, T. T. (2019). Acute and subacute toxic study on mice of glipizide synthesized in Vietnam. </w:t>
      </w:r>
      <w:r w:rsidRPr="006E693E">
        <w:rPr>
          <w:rFonts w:ascii="Times New Roman" w:hAnsi="Times New Roman"/>
          <w:i/>
          <w:iCs/>
          <w:sz w:val="20"/>
          <w:szCs w:val="20"/>
          <w:shd w:val="clear" w:color="auto" w:fill="FFFFFF"/>
        </w:rPr>
        <w:t>Vietnam Journal of Science and Technology</w:t>
      </w:r>
      <w:r w:rsidRPr="006E693E">
        <w:rPr>
          <w:rFonts w:ascii="Times New Roman" w:hAnsi="Times New Roman"/>
          <w:sz w:val="20"/>
          <w:szCs w:val="20"/>
          <w:shd w:val="clear" w:color="auto" w:fill="FFFFFF"/>
        </w:rPr>
        <w:t>, 57(1): 15 − 21.</w:t>
      </w:r>
      <w:r w:rsidRPr="006E693E">
        <w:rPr>
          <w:rFonts w:ascii="Times New Roman"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lang w:val="en-MY" w:eastAsia="en-MY"/>
        </w:rPr>
        <w:t xml:space="preserve">Tan, B., Yang, A., Yuan, W., Li, Y., Jiang, L., Jiang, J., and Qiu, F. (2017). Simultaneous determination of glipizide and its four hydroxylated metabolites in human urine using LC–MS/MS and its application in urinary phenotype study. </w:t>
      </w:r>
      <w:r w:rsidRPr="006E693E">
        <w:rPr>
          <w:rFonts w:ascii="Times New Roman" w:hAnsi="Times New Roman"/>
          <w:i/>
          <w:iCs/>
          <w:sz w:val="20"/>
          <w:szCs w:val="20"/>
          <w:lang w:val="en-MY" w:eastAsia="en-MY"/>
        </w:rPr>
        <w:t>Journal of Pharmaceutical and Biomedical Analysis</w:t>
      </w:r>
      <w:r w:rsidRPr="006E693E">
        <w:rPr>
          <w:rFonts w:ascii="Times New Roman" w:hAnsi="Times New Roman"/>
          <w:sz w:val="20"/>
          <w:szCs w:val="20"/>
          <w:lang w:val="en-MY" w:eastAsia="en-MY"/>
        </w:rPr>
        <w:t>, 139: 179 − 186.</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Nie, S., Zhang, S., Pan, W. and Liu, Y. (2011). In vitro and in vivo studies on the complexes of glipizide with water-soluble β-cyclodextrin–epichlorohydrin polymers. </w:t>
      </w:r>
      <w:r w:rsidRPr="006E693E">
        <w:rPr>
          <w:rFonts w:ascii="Times New Roman" w:hAnsi="Times New Roman"/>
          <w:i/>
          <w:iCs/>
          <w:sz w:val="20"/>
          <w:szCs w:val="20"/>
          <w:shd w:val="clear" w:color="auto" w:fill="FFFFFF"/>
        </w:rPr>
        <w:t>Drug Development and Industrial Pharmacy</w:t>
      </w:r>
      <w:r w:rsidRPr="006E693E">
        <w:rPr>
          <w:rFonts w:ascii="Times New Roman" w:hAnsi="Times New Roman"/>
          <w:sz w:val="20"/>
          <w:szCs w:val="20"/>
          <w:shd w:val="clear" w:color="auto" w:fill="FFFFFF"/>
        </w:rPr>
        <w:t>, 37(5): 606 − 612.</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Huang, T., Zhao, Q., Su, Y. and Ouyang, D. (2018). Investigation of molecular aggregation mechanism of glipizide/cyclodextrin complexation by combined experimental and molecular modeling approaches. </w:t>
      </w:r>
      <w:r w:rsidRPr="006E693E">
        <w:rPr>
          <w:rFonts w:ascii="Times New Roman" w:hAnsi="Times New Roman"/>
          <w:i/>
          <w:iCs/>
          <w:sz w:val="20"/>
          <w:szCs w:val="20"/>
          <w:shd w:val="clear" w:color="auto" w:fill="FFFFFF"/>
        </w:rPr>
        <w:t xml:space="preserve">Asian Journal of Pharmaceutical Sciences </w:t>
      </w:r>
      <w:r w:rsidRPr="006E693E">
        <w:rPr>
          <w:rFonts w:ascii="Times New Roman" w:hAnsi="Times New Roman"/>
          <w:sz w:val="20"/>
          <w:szCs w:val="20"/>
          <w:shd w:val="clear" w:color="auto" w:fill="FFFFFF"/>
        </w:rPr>
        <w:t>(Article in Press).</w:t>
      </w:r>
      <w:r w:rsidRPr="006E693E">
        <w:rPr>
          <w:rFonts w:ascii="Times New Roman"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Gan, Y., Pan, W., Wei, M. and Zhang, R. (2002). Cyclodextrin Complex Osmotic Tablet for Glipizide Delivery. </w:t>
      </w:r>
      <w:r w:rsidRPr="006E693E">
        <w:rPr>
          <w:rFonts w:ascii="Times New Roman" w:hAnsi="Times New Roman"/>
          <w:i/>
          <w:iCs/>
          <w:sz w:val="20"/>
          <w:szCs w:val="20"/>
          <w:shd w:val="clear" w:color="auto" w:fill="FFFFFF"/>
        </w:rPr>
        <w:t>Drug Development and Industrial Pharmacy</w:t>
      </w:r>
      <w:r w:rsidRPr="006E693E">
        <w:rPr>
          <w:rFonts w:ascii="Times New Roman" w:hAnsi="Times New Roman"/>
          <w:sz w:val="20"/>
          <w:szCs w:val="20"/>
          <w:shd w:val="clear" w:color="auto" w:fill="FFFFFF"/>
        </w:rPr>
        <w:t>, 28 (8): 1015 − 1021.</w:t>
      </w:r>
      <w:r w:rsidRPr="006E693E">
        <w:rPr>
          <w:rFonts w:ascii="Times New Roman"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Chadha, R., Arora, P., Saini, A. and Jain, D. (2010). Inclusion parameters of pioglitazone hydrochloride and glipizide with β-cyclodextrin and its methyl derivative: Calorimetric and spectroscopic studies. </w:t>
      </w:r>
      <w:r w:rsidRPr="006E693E">
        <w:rPr>
          <w:rFonts w:ascii="Times New Roman" w:hAnsi="Times New Roman"/>
          <w:i/>
          <w:iCs/>
          <w:sz w:val="20"/>
          <w:szCs w:val="20"/>
          <w:shd w:val="clear" w:color="auto" w:fill="FFFFFF"/>
        </w:rPr>
        <w:t>International Journal of Biological and Chemical Sciences</w:t>
      </w:r>
      <w:r w:rsidRPr="006E693E">
        <w:rPr>
          <w:rFonts w:ascii="Times New Roman" w:hAnsi="Times New Roman"/>
          <w:sz w:val="20"/>
          <w:szCs w:val="20"/>
          <w:shd w:val="clear" w:color="auto" w:fill="FFFFFF"/>
        </w:rPr>
        <w:t>, 4(2): 258 − 273.</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Ammar, H. O., Salama, H. A., Ghorab, M., El-Nahhas, S. A. and Elmotasem, H. (2006). A transdermal delivery system for glipizide. </w:t>
      </w:r>
      <w:r w:rsidRPr="006E693E">
        <w:rPr>
          <w:rFonts w:ascii="Times New Roman" w:hAnsi="Times New Roman"/>
          <w:i/>
          <w:iCs/>
          <w:sz w:val="20"/>
          <w:szCs w:val="20"/>
          <w:shd w:val="clear" w:color="auto" w:fill="FFFFFF"/>
        </w:rPr>
        <w:t>Current Drug Delivery</w:t>
      </w:r>
      <w:r w:rsidRPr="006E693E">
        <w:rPr>
          <w:rFonts w:ascii="Times New Roman" w:hAnsi="Times New Roman"/>
          <w:sz w:val="20"/>
          <w:szCs w:val="20"/>
          <w:shd w:val="clear" w:color="auto" w:fill="FFFFFF"/>
        </w:rPr>
        <w:t>, 33(3): 333 − 341.</w:t>
      </w:r>
      <w:r w:rsidRPr="006E693E">
        <w:rPr>
          <w:rFonts w:ascii="Times New Roman" w:eastAsia="TimesNewRomanPSMT"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Huang, H., Wu, Z., Qi, X., Zhang, H., Chen, Q., Xing, J., and Rui, Y. (2013). Compression-coated tablets of glipizide using hydroxypropylcellulose for zero-order release: in vitro and in vivo evaluation. </w:t>
      </w:r>
      <w:r w:rsidRPr="006E693E">
        <w:rPr>
          <w:rFonts w:ascii="Times New Roman" w:hAnsi="Times New Roman"/>
          <w:i/>
          <w:iCs/>
          <w:sz w:val="20"/>
          <w:szCs w:val="20"/>
          <w:shd w:val="clear" w:color="auto" w:fill="FFFFFF"/>
        </w:rPr>
        <w:t>International Journal of Pharmaceutics</w:t>
      </w:r>
      <w:r w:rsidRPr="006E693E">
        <w:rPr>
          <w:rFonts w:ascii="Times New Roman" w:hAnsi="Times New Roman"/>
          <w:sz w:val="20"/>
          <w:szCs w:val="20"/>
          <w:shd w:val="clear" w:color="auto" w:fill="FFFFFF"/>
        </w:rPr>
        <w:t>, 446(1-2): 211 − 218.</w:t>
      </w:r>
      <w:r w:rsidRPr="006E693E">
        <w:rPr>
          <w:rFonts w:ascii="Times New Roman" w:hAnsi="Times New Roman"/>
          <w:sz w:val="20"/>
          <w:szCs w:val="20"/>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Gidwani, B. and Vyas, A. (2014). Synthesis, characterization and application of epichlorohydrin-β-cyclodextrin polymer. </w:t>
      </w:r>
      <w:r w:rsidRPr="006E693E">
        <w:rPr>
          <w:rFonts w:ascii="Times New Roman" w:hAnsi="Times New Roman"/>
          <w:i/>
          <w:iCs/>
          <w:sz w:val="20"/>
          <w:szCs w:val="20"/>
          <w:shd w:val="clear" w:color="auto" w:fill="FFFFFF"/>
        </w:rPr>
        <w:t>Colloids and Surfaces B: Biointerfaces</w:t>
      </w:r>
      <w:r w:rsidRPr="006E693E">
        <w:rPr>
          <w:rFonts w:ascii="Times New Roman" w:hAnsi="Times New Roman"/>
          <w:sz w:val="20"/>
          <w:szCs w:val="20"/>
          <w:shd w:val="clear" w:color="auto" w:fill="FFFFFF"/>
        </w:rPr>
        <w:t>, 114: 130 – 137.</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Rahim, N. Y., Tay, K. S. and Mohamad, S. (2016). β-cyclodextrin functionalized ionic liquid as chiral stationary phase of high performance liquid chromatography for enantioseparation of β-blockers. </w:t>
      </w:r>
      <w:r w:rsidRPr="006E693E">
        <w:rPr>
          <w:rFonts w:ascii="Times New Roman" w:hAnsi="Times New Roman"/>
          <w:i/>
          <w:iCs/>
          <w:sz w:val="20"/>
          <w:szCs w:val="20"/>
          <w:shd w:val="clear" w:color="auto" w:fill="FFFFFF"/>
        </w:rPr>
        <w:t>Journal of Inclusion Phenomena and Macrocyclic Chemistry</w:t>
      </w:r>
      <w:r w:rsidRPr="006E693E">
        <w:rPr>
          <w:rFonts w:ascii="Times New Roman" w:hAnsi="Times New Roman"/>
          <w:sz w:val="20"/>
          <w:szCs w:val="20"/>
          <w:shd w:val="clear" w:color="auto" w:fill="FFFFFF"/>
        </w:rPr>
        <w:t>, 85(3-4): 303 − 315.</w:t>
      </w:r>
      <w:r w:rsidRPr="006E693E">
        <w:rPr>
          <w:rFonts w:ascii="Times New Roman" w:hAnsi="Times New Roman"/>
          <w:sz w:val="20"/>
          <w:szCs w:val="20"/>
          <w:lang w:val="en-MY" w:eastAsia="en-MY"/>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Rahim, N. Y., Tay, K. S. and Mohamad, S. (2016). Chromatographic and spectroscopic studies on β-cyclodextrin functionalized ionic liquid as chiral stationary phase: enantioseparation of favonoids. </w:t>
      </w:r>
      <w:r w:rsidRPr="006E693E">
        <w:rPr>
          <w:rFonts w:ascii="Times New Roman" w:hAnsi="Times New Roman"/>
          <w:i/>
          <w:iCs/>
          <w:sz w:val="20"/>
          <w:szCs w:val="20"/>
          <w:shd w:val="clear" w:color="auto" w:fill="FFFFFF"/>
        </w:rPr>
        <w:t>Chromatographia</w:t>
      </w:r>
      <w:r w:rsidRPr="006E693E">
        <w:rPr>
          <w:rFonts w:ascii="Times New Roman" w:hAnsi="Times New Roman"/>
          <w:sz w:val="20"/>
          <w:szCs w:val="20"/>
          <w:shd w:val="clear" w:color="auto" w:fill="FFFFFF"/>
        </w:rPr>
        <w:t>, 79(21-22): 1445 − 1455.</w:t>
      </w:r>
      <w:r w:rsidRPr="006E693E">
        <w:rPr>
          <w:rFonts w:ascii="Times New Roman" w:hAnsi="Times New Roman"/>
          <w:sz w:val="20"/>
          <w:szCs w:val="20"/>
          <w:lang w:val="en-MY" w:eastAsia="en-MY"/>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Li, N., Liu, J., Zhao, X., Gao, Y. A., Zheng, L., Zhang, J. and Yu, L. (2007). Complex formation of ionic liquid surfactant and β-cyclodextrin. </w:t>
      </w:r>
      <w:r w:rsidRPr="006E693E">
        <w:rPr>
          <w:rFonts w:ascii="Times New Roman" w:hAnsi="Times New Roman"/>
          <w:i/>
          <w:iCs/>
          <w:sz w:val="20"/>
          <w:szCs w:val="20"/>
          <w:shd w:val="clear" w:color="auto" w:fill="FFFFFF"/>
        </w:rPr>
        <w:t>Colloids and Surfaces A: Physicochemical and Engineering Aspects</w:t>
      </w:r>
      <w:r w:rsidRPr="006E693E">
        <w:rPr>
          <w:rFonts w:ascii="Times New Roman" w:hAnsi="Times New Roman"/>
          <w:sz w:val="20"/>
          <w:szCs w:val="20"/>
          <w:shd w:val="clear" w:color="auto" w:fill="FFFFFF"/>
        </w:rPr>
        <w:t>, 292(2-3): 196 − 201.</w:t>
      </w:r>
      <w:r w:rsidRPr="006E693E">
        <w:rPr>
          <w:rFonts w:ascii="Times New Roman" w:hAnsi="Times New Roman"/>
          <w:sz w:val="20"/>
          <w:szCs w:val="20"/>
          <w:lang w:eastAsia="en-MY"/>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Li, W., Lu, B., Sheng, A., Yang, F. and Wang, Z. (2010). Spectroscopic and theoretical study on inclusion complexation of beta-cyclodextrin with permethrin. </w:t>
      </w:r>
      <w:r w:rsidRPr="006E693E">
        <w:rPr>
          <w:rFonts w:ascii="Times New Roman" w:hAnsi="Times New Roman"/>
          <w:i/>
          <w:iCs/>
          <w:sz w:val="20"/>
          <w:szCs w:val="20"/>
          <w:shd w:val="clear" w:color="auto" w:fill="FFFFFF"/>
        </w:rPr>
        <w:t>Journal of Molecular Structure</w:t>
      </w:r>
      <w:r w:rsidRPr="006E693E">
        <w:rPr>
          <w:rFonts w:ascii="Times New Roman" w:hAnsi="Times New Roman"/>
          <w:sz w:val="20"/>
          <w:szCs w:val="20"/>
          <w:shd w:val="clear" w:color="auto" w:fill="FFFFFF"/>
        </w:rPr>
        <w:t>, 981(1-3): 194 – 203.</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Li, J., Ni, X., Zhou, Z. and Leong, K. W. (2003). Preparation and characterization of polypseudorotaxanes based on block-selected inclusion complexation between poly (propylene oxide)-poly (ethylene oxide)-poly (propylene oxide) triblock copolymers and α-cyclodextrin. </w:t>
      </w:r>
      <w:r w:rsidRPr="006E693E">
        <w:rPr>
          <w:rFonts w:ascii="Times New Roman" w:hAnsi="Times New Roman"/>
          <w:i/>
          <w:iCs/>
          <w:sz w:val="20"/>
          <w:szCs w:val="20"/>
          <w:shd w:val="clear" w:color="auto" w:fill="FFFFFF"/>
        </w:rPr>
        <w:t>Journal of the American Chemical Society</w:t>
      </w:r>
      <w:r w:rsidRPr="006E693E">
        <w:rPr>
          <w:rFonts w:ascii="Times New Roman" w:hAnsi="Times New Roman"/>
          <w:sz w:val="20"/>
          <w:szCs w:val="20"/>
          <w:shd w:val="clear" w:color="auto" w:fill="FFFFFF"/>
        </w:rPr>
        <w:t>, 125(7), 1788 − 1795.</w:t>
      </w:r>
      <w:r w:rsidRPr="006E693E">
        <w:rPr>
          <w:rFonts w:ascii="Times New Roman" w:hAnsi="Times New Roman"/>
          <w:sz w:val="20"/>
          <w:szCs w:val="20"/>
          <w:lang w:eastAsia="en-MY"/>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Rusa, C. C., Luca, C. and Tonelli, A. E. (2001). Polymer-cyclodextrin inclusion compounds: Toward new aspects of their inclusion mechanism. </w:t>
      </w:r>
      <w:r w:rsidRPr="006E693E">
        <w:rPr>
          <w:rFonts w:ascii="Times New Roman" w:hAnsi="Times New Roman"/>
          <w:i/>
          <w:iCs/>
          <w:sz w:val="20"/>
          <w:szCs w:val="20"/>
          <w:shd w:val="clear" w:color="auto" w:fill="FFFFFF"/>
        </w:rPr>
        <w:t>Macromolecules</w:t>
      </w:r>
      <w:r w:rsidRPr="006E693E">
        <w:rPr>
          <w:rFonts w:ascii="Times New Roman" w:hAnsi="Times New Roman"/>
          <w:sz w:val="20"/>
          <w:szCs w:val="20"/>
          <w:shd w:val="clear" w:color="auto" w:fill="FFFFFF"/>
        </w:rPr>
        <w:t>, 34(5): 1318 − 1322.</w:t>
      </w:r>
      <w:r w:rsidRPr="006E693E">
        <w:rPr>
          <w:rFonts w:ascii="Times New Roman" w:hAnsi="Times New Roman"/>
          <w:sz w:val="20"/>
          <w:szCs w:val="20"/>
          <w:lang w:eastAsia="en-MY"/>
        </w:rPr>
        <w:t xml:space="preserve"> </w:t>
      </w:r>
    </w:p>
    <w:p w:rsidR="006E693E" w:rsidRPr="006E693E" w:rsidRDefault="006E693E" w:rsidP="006E693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E693E">
        <w:rPr>
          <w:rFonts w:ascii="Times New Roman" w:hAnsi="Times New Roman"/>
          <w:sz w:val="20"/>
          <w:szCs w:val="20"/>
          <w:shd w:val="clear" w:color="auto" w:fill="FFFFFF"/>
        </w:rPr>
        <w:t>Rahim, N. Y., Tay, K. S. and Mohamad, S. (2018). Chromatographic and spectroscopic studies on β-cyclodextrin functionalized ionic liquid as chiral stationary phase: enantioseparation of NSAIDs. </w:t>
      </w:r>
      <w:r w:rsidRPr="006E693E">
        <w:rPr>
          <w:rFonts w:ascii="Times New Roman" w:hAnsi="Times New Roman"/>
          <w:i/>
          <w:iCs/>
          <w:sz w:val="20"/>
          <w:szCs w:val="20"/>
          <w:shd w:val="clear" w:color="auto" w:fill="FFFFFF"/>
        </w:rPr>
        <w:t>Adsorption Science &amp; Technology</w:t>
      </w:r>
      <w:r w:rsidRPr="006E693E">
        <w:rPr>
          <w:rFonts w:ascii="Times New Roman" w:hAnsi="Times New Roman"/>
          <w:sz w:val="20"/>
          <w:szCs w:val="20"/>
          <w:shd w:val="clear" w:color="auto" w:fill="FFFFFF"/>
        </w:rPr>
        <w:t>, 36(1-2): 130 − 148.</w:t>
      </w:r>
      <w:r w:rsidRPr="006E693E">
        <w:rPr>
          <w:rFonts w:ascii="Times New Roman" w:hAnsi="Times New Roman"/>
          <w:sz w:val="20"/>
          <w:szCs w:val="20"/>
          <w:lang w:val="en-MY" w:eastAsia="en-MY"/>
        </w:rPr>
        <w:t xml:space="preserve"> </w:t>
      </w: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6012DE">
      <w:headerReference w:type="even" r:id="rId21"/>
      <w:headerReference w:type="default" r:id="rId22"/>
      <w:footerReference w:type="even" r:id="rId23"/>
      <w:footerReference w:type="default" r:id="rId24"/>
      <w:pgSz w:w="12240" w:h="15840" w:code="1"/>
      <w:pgMar w:top="1800" w:right="1469" w:bottom="1699" w:left="1440" w:header="706" w:footer="706" w:gutter="0"/>
      <w:pgNumType w:start="7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A2" w:rsidRDefault="00D613A2" w:rsidP="00FB4C59">
      <w:pPr>
        <w:spacing w:after="0" w:line="240" w:lineRule="auto"/>
      </w:pPr>
      <w:r>
        <w:separator/>
      </w:r>
    </w:p>
  </w:endnote>
  <w:endnote w:type="continuationSeparator" w:id="0">
    <w:p w:rsidR="00D613A2" w:rsidRDefault="00D613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80D59">
      <w:rPr>
        <w:rFonts w:ascii="Times New Roman" w:hAnsi="Times New Roman"/>
        <w:noProof/>
      </w:rPr>
      <w:t>798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80D59">
      <w:rPr>
        <w:rFonts w:ascii="Times New Roman" w:hAnsi="Times New Roman"/>
        <w:noProof/>
      </w:rPr>
      <w:t>797</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A2" w:rsidRDefault="00D613A2" w:rsidP="00FB4C59">
      <w:pPr>
        <w:spacing w:after="0" w:line="240" w:lineRule="auto"/>
      </w:pPr>
      <w:r>
        <w:separator/>
      </w:r>
    </w:p>
  </w:footnote>
  <w:footnote w:type="continuationSeparator" w:id="0">
    <w:p w:rsidR="00D613A2" w:rsidRDefault="00D613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F8" w:rsidRPr="00297CF8" w:rsidRDefault="00297CF8" w:rsidP="00297CF8">
    <w:pPr>
      <w:spacing w:after="0" w:line="240" w:lineRule="auto"/>
      <w:ind w:left="1530" w:hanging="1530"/>
      <w:rPr>
        <w:rFonts w:ascii="Times New Roman" w:hAnsi="Times New Roman"/>
        <w:bCs/>
        <w:sz w:val="20"/>
        <w:szCs w:val="20"/>
      </w:rPr>
    </w:pPr>
    <w:r>
      <w:rPr>
        <w:rFonts w:ascii="Times New Roman" w:hAnsi="Times New Roman"/>
        <w:sz w:val="20"/>
        <w:szCs w:val="20"/>
      </w:rPr>
      <w:t>Nurul Yani et al</w:t>
    </w:r>
    <w:r w:rsidR="006B72B0" w:rsidRPr="00297CF8">
      <w:rPr>
        <w:rFonts w:ascii="Times New Roman" w:hAnsi="Times New Roman"/>
        <w:sz w:val="20"/>
        <w:szCs w:val="20"/>
      </w:rPr>
      <w:t xml:space="preserve">: </w:t>
    </w:r>
    <w:r w:rsidRPr="00297CF8">
      <w:rPr>
        <w:rFonts w:ascii="Times New Roman" w:hAnsi="Times New Roman"/>
        <w:sz w:val="20"/>
        <w:szCs w:val="20"/>
      </w:rPr>
      <w:t xml:space="preserve"> </w:t>
    </w:r>
    <w:r>
      <w:rPr>
        <w:rFonts w:ascii="Times New Roman" w:hAnsi="Times New Roman"/>
        <w:sz w:val="20"/>
        <w:szCs w:val="20"/>
      </w:rPr>
      <w:tab/>
    </w:r>
    <w:r w:rsidRPr="00297CF8">
      <w:rPr>
        <w:rFonts w:ascii="Times New Roman" w:hAnsi="Times New Roman"/>
        <w:bCs/>
        <w:sz w:val="20"/>
        <w:szCs w:val="20"/>
      </w:rPr>
      <w:t>SPECTROSCOPIC STUDIES OF INCLUSION COMPLEX GLIPIZIDE AND β-CYCLODEXTRIN</w:t>
    </w:r>
    <w:r w:rsidRPr="00AF1D05">
      <w:rPr>
        <w:rFonts w:ascii="Times New Roman" w:hAnsi="Times New Roman"/>
        <w:bCs/>
        <w:sz w:val="28"/>
        <w:szCs w:val="28"/>
      </w:rPr>
      <w:t xml:space="preserve"> </w:t>
    </w:r>
  </w:p>
  <w:p w:rsidR="00A14DB9" w:rsidRDefault="00A14DB9" w:rsidP="00297CF8">
    <w:pPr>
      <w:pStyle w:val="Header"/>
      <w:ind w:left="1530" w:hanging="15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6012DE">
      <w:rPr>
        <w:rFonts w:ascii="Times New Roman" w:hAnsi="Times New Roman"/>
        <w:i/>
        <w:lang w:val="en-US"/>
      </w:rPr>
      <w:t>789</w:t>
    </w:r>
    <w:r>
      <w:rPr>
        <w:rFonts w:ascii="Times New Roman" w:hAnsi="Times New Roman"/>
        <w:i/>
        <w:lang w:val="en-US"/>
      </w:rPr>
      <w:t xml:space="preserve"> </w:t>
    </w:r>
    <w:r w:rsidR="007A0583">
      <w:rPr>
        <w:rFonts w:ascii="Times New Roman" w:hAnsi="Times New Roman"/>
        <w:i/>
        <w:lang w:val="en-US"/>
      </w:rPr>
      <w:t>-</w:t>
    </w:r>
    <w:r w:rsidR="006012DE">
      <w:rPr>
        <w:rFonts w:ascii="Times New Roman" w:hAnsi="Times New Roman"/>
        <w:i/>
        <w:lang w:val="en-US"/>
      </w:rPr>
      <w:t xml:space="preserve"> 798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6012DE">
      <w:rPr>
        <w:rFonts w:ascii="Times New Roman" w:hAnsi="Times New Roman"/>
        <w:i/>
        <w:lang w:val="en-US"/>
      </w:rPr>
      <w:t>-04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4DF35F4"/>
    <w:multiLevelType w:val="hybridMultilevel"/>
    <w:tmpl w:val="76DE932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784B3234"/>
    <w:multiLevelType w:val="hybridMultilevel"/>
    <w:tmpl w:val="8C40EB9A"/>
    <w:lvl w:ilvl="0" w:tplc="6E94B596">
      <w:start w:val="2"/>
      <w:numFmt w:val="decimal"/>
      <w:lvlText w:val="%1."/>
      <w:lvlJc w:val="left"/>
      <w:pPr>
        <w:ind w:left="360" w:hanging="360"/>
      </w:pPr>
      <w:rPr>
        <w:rFonts w:eastAsiaTheme="minorEastAsia"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7D2549A4"/>
    <w:multiLevelType w:val="hybridMultilevel"/>
    <w:tmpl w:val="A24E3C9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77498"/>
    <w:rsid w:val="002860B7"/>
    <w:rsid w:val="00290F4D"/>
    <w:rsid w:val="00297CF8"/>
    <w:rsid w:val="002A2FC0"/>
    <w:rsid w:val="002B188F"/>
    <w:rsid w:val="002B3BD8"/>
    <w:rsid w:val="002F3F91"/>
    <w:rsid w:val="00304767"/>
    <w:rsid w:val="00304B34"/>
    <w:rsid w:val="00312A6F"/>
    <w:rsid w:val="00352D57"/>
    <w:rsid w:val="00361BAF"/>
    <w:rsid w:val="00362FCE"/>
    <w:rsid w:val="00367D1F"/>
    <w:rsid w:val="003B4FC1"/>
    <w:rsid w:val="003B6019"/>
    <w:rsid w:val="003D585B"/>
    <w:rsid w:val="003E7DA6"/>
    <w:rsid w:val="003F12FF"/>
    <w:rsid w:val="004760D4"/>
    <w:rsid w:val="00482180"/>
    <w:rsid w:val="00494C46"/>
    <w:rsid w:val="004B43FF"/>
    <w:rsid w:val="004C7089"/>
    <w:rsid w:val="004D7E25"/>
    <w:rsid w:val="004F265B"/>
    <w:rsid w:val="00502641"/>
    <w:rsid w:val="00555771"/>
    <w:rsid w:val="00556B28"/>
    <w:rsid w:val="00580D59"/>
    <w:rsid w:val="005C6768"/>
    <w:rsid w:val="005E4871"/>
    <w:rsid w:val="006012DE"/>
    <w:rsid w:val="00601C8A"/>
    <w:rsid w:val="00617AA2"/>
    <w:rsid w:val="006257E5"/>
    <w:rsid w:val="00634C25"/>
    <w:rsid w:val="0063542E"/>
    <w:rsid w:val="006416AB"/>
    <w:rsid w:val="00660445"/>
    <w:rsid w:val="00666974"/>
    <w:rsid w:val="006768E9"/>
    <w:rsid w:val="00687982"/>
    <w:rsid w:val="006B3EC8"/>
    <w:rsid w:val="006B72B0"/>
    <w:rsid w:val="006D286E"/>
    <w:rsid w:val="006D695E"/>
    <w:rsid w:val="006E693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9211AF"/>
    <w:rsid w:val="00921742"/>
    <w:rsid w:val="009357B8"/>
    <w:rsid w:val="00980938"/>
    <w:rsid w:val="009866F6"/>
    <w:rsid w:val="009D030D"/>
    <w:rsid w:val="00A049C6"/>
    <w:rsid w:val="00A14DB9"/>
    <w:rsid w:val="00A4762A"/>
    <w:rsid w:val="00A64690"/>
    <w:rsid w:val="00A74A7E"/>
    <w:rsid w:val="00AA43F9"/>
    <w:rsid w:val="00AA7CFC"/>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B55B3"/>
    <w:rsid w:val="00DD0CD5"/>
    <w:rsid w:val="00DD377F"/>
    <w:rsid w:val="00DD7C38"/>
    <w:rsid w:val="00DF4538"/>
    <w:rsid w:val="00E25547"/>
    <w:rsid w:val="00E3287E"/>
    <w:rsid w:val="00E54D12"/>
    <w:rsid w:val="00E66197"/>
    <w:rsid w:val="00F121A0"/>
    <w:rsid w:val="00F31093"/>
    <w:rsid w:val="00F33AB1"/>
    <w:rsid w:val="00F34F69"/>
    <w:rsid w:val="00F412AF"/>
    <w:rsid w:val="00F43667"/>
    <w:rsid w:val="00F447A7"/>
    <w:rsid w:val="00F4760B"/>
    <w:rsid w:val="00FB4C59"/>
    <w:rsid w:val="00FB6521"/>
    <w:rsid w:val="00FC528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556B28"/>
    <w:rPr>
      <w:rFonts w:ascii="Calibri" w:eastAsia="SimSun" w:hAnsi="Calibri" w:cs="Arial"/>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56B28"/>
    <w:rPr>
      <w:color w:val="0000FF"/>
      <w:u w:val="single"/>
    </w:rPr>
  </w:style>
  <w:style w:type="character" w:customStyle="1" w:styleId="hightlighter">
    <w:name w:val="hightlighter"/>
    <w:rsid w:val="00556B28"/>
  </w:style>
  <w:style w:type="paragraph" w:customStyle="1" w:styleId="style-scope">
    <w:name w:val="style-scope"/>
    <w:basedOn w:val="Normal"/>
    <w:rsid w:val="00556B28"/>
    <w:pPr>
      <w:spacing w:before="100" w:beforeAutospacing="1" w:after="100" w:afterAutospacing="1" w:line="240" w:lineRule="auto"/>
    </w:pPr>
    <w:rPr>
      <w:rFonts w:ascii="Times New Roman" w:hAnsi="Times New Roman"/>
      <w:sz w:val="24"/>
      <w:szCs w:val="24"/>
      <w:lang w:val="en-MY" w:eastAsia="en-MY" w:bidi="ar-SA"/>
    </w:rPr>
  </w:style>
  <w:style w:type="table" w:styleId="LightShading">
    <w:name w:val="Light Shading"/>
    <w:basedOn w:val="TableNormal"/>
    <w:uiPriority w:val="60"/>
    <w:rsid w:val="00556B28"/>
    <w:rPr>
      <w:rFonts w:ascii="Calibri" w:hAnsi="Calibri"/>
      <w:color w:val="000000"/>
      <w:sz w:val="22"/>
      <w:szCs w:val="22"/>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556B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6B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556B28"/>
    <w:rPr>
      <w:rFonts w:ascii="Calibri" w:eastAsia="SimSun" w:hAnsi="Calibri" w:cs="Arial"/>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56B28"/>
    <w:rPr>
      <w:color w:val="0000FF"/>
      <w:u w:val="single"/>
    </w:rPr>
  </w:style>
  <w:style w:type="character" w:customStyle="1" w:styleId="hightlighter">
    <w:name w:val="hightlighter"/>
    <w:rsid w:val="00556B28"/>
  </w:style>
  <w:style w:type="paragraph" w:customStyle="1" w:styleId="style-scope">
    <w:name w:val="style-scope"/>
    <w:basedOn w:val="Normal"/>
    <w:rsid w:val="00556B28"/>
    <w:pPr>
      <w:spacing w:before="100" w:beforeAutospacing="1" w:after="100" w:afterAutospacing="1" w:line="240" w:lineRule="auto"/>
    </w:pPr>
    <w:rPr>
      <w:rFonts w:ascii="Times New Roman" w:hAnsi="Times New Roman"/>
      <w:sz w:val="24"/>
      <w:szCs w:val="24"/>
      <w:lang w:val="en-MY" w:eastAsia="en-MY" w:bidi="ar-SA"/>
    </w:rPr>
  </w:style>
  <w:style w:type="table" w:styleId="LightShading">
    <w:name w:val="Light Shading"/>
    <w:basedOn w:val="TableNormal"/>
    <w:uiPriority w:val="60"/>
    <w:rsid w:val="00556B28"/>
    <w:rPr>
      <w:rFonts w:ascii="Calibri" w:hAnsi="Calibri"/>
      <w:color w:val="000000"/>
      <w:sz w:val="22"/>
      <w:szCs w:val="22"/>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556B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6B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910C-128F-402C-B540-6D804A85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3355</Words>
  <Characters>18759</Characters>
  <Application>Microsoft Office Word</Application>
  <DocSecurity>0</DocSecurity>
  <Lines>605</Lines>
  <Paragraphs>294</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8</cp:revision>
  <cp:lastPrinted>2019-10-07T09:56:00Z</cp:lastPrinted>
  <dcterms:created xsi:type="dcterms:W3CDTF">2019-09-26T03:04:00Z</dcterms:created>
  <dcterms:modified xsi:type="dcterms:W3CDTF">2019-10-07T09:56:00Z</dcterms:modified>
</cp:coreProperties>
</file>