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E14DA" w:rsidRPr="00751BCF" w:rsidRDefault="000E14DA" w:rsidP="000E14DA">
      <w:pPr>
        <w:spacing w:after="0" w:line="240" w:lineRule="auto"/>
        <w:jc w:val="center"/>
        <w:rPr>
          <w:rFonts w:ascii="Times New Roman" w:hAnsi="Times New Roman"/>
          <w:bCs/>
          <w:sz w:val="28"/>
          <w:szCs w:val="28"/>
          <w:lang w:val="en-GB"/>
        </w:rPr>
      </w:pPr>
      <w:r w:rsidRPr="00751BCF">
        <w:rPr>
          <w:rFonts w:ascii="Times New Roman" w:hAnsi="Times New Roman"/>
          <w:bCs/>
          <w:sz w:val="28"/>
          <w:szCs w:val="28"/>
          <w:lang w:val="en-GB"/>
        </w:rPr>
        <w:t xml:space="preserve">APPLICATION OF DIRECT FLUORESCENCE-BASED LIVE/DEAD STAINING FOR ASSESSMENT OF ANTIFUNGAL ACTIVITY OF COCONUT OIL AGAINST </w:t>
      </w:r>
      <w:r w:rsidRPr="00751BCF">
        <w:rPr>
          <w:rFonts w:ascii="Times New Roman" w:hAnsi="Times New Roman"/>
          <w:bCs/>
          <w:i/>
          <w:iCs/>
          <w:sz w:val="28"/>
          <w:szCs w:val="28"/>
          <w:lang w:val="en-GB"/>
        </w:rPr>
        <w:t>Candida albicans</w:t>
      </w:r>
      <w:r w:rsidRPr="00751BCF">
        <w:rPr>
          <w:rFonts w:ascii="Times New Roman" w:hAnsi="Times New Roman"/>
          <w:bCs/>
          <w:sz w:val="28"/>
          <w:szCs w:val="28"/>
          <w:lang w:val="en-GB"/>
        </w:rPr>
        <w:t xml:space="preserve"> </w:t>
      </w:r>
    </w:p>
    <w:p w:rsidR="000E14DA" w:rsidRDefault="000E14DA" w:rsidP="000E14DA">
      <w:pPr>
        <w:spacing w:after="0" w:line="240" w:lineRule="auto"/>
        <w:jc w:val="center"/>
        <w:rPr>
          <w:rFonts w:ascii="Times New Roman" w:hAnsi="Times New Roman"/>
          <w:sz w:val="24"/>
          <w:szCs w:val="28"/>
          <w:lang w:val="en-GB"/>
        </w:rPr>
      </w:pPr>
    </w:p>
    <w:p w:rsidR="000E14DA" w:rsidRPr="00751BCF" w:rsidRDefault="000E14DA" w:rsidP="000E14DA">
      <w:pPr>
        <w:spacing w:after="0" w:line="240" w:lineRule="auto"/>
        <w:jc w:val="center"/>
        <w:rPr>
          <w:rFonts w:ascii="Times New Roman" w:hAnsi="Times New Roman"/>
          <w:sz w:val="24"/>
          <w:szCs w:val="28"/>
          <w:lang w:val="en-GB"/>
        </w:rPr>
      </w:pPr>
      <w:r w:rsidRPr="00751BCF">
        <w:rPr>
          <w:rFonts w:ascii="Times New Roman" w:hAnsi="Times New Roman"/>
          <w:sz w:val="24"/>
          <w:szCs w:val="28"/>
          <w:lang w:val="en-GB"/>
        </w:rPr>
        <w:t>(</w:t>
      </w:r>
      <w:r w:rsidRPr="00751BCF">
        <w:rPr>
          <w:rFonts w:ascii="Times New Roman" w:hAnsi="Times New Roman"/>
          <w:sz w:val="24"/>
          <w:szCs w:val="28"/>
          <w:lang w:val="ms-MY"/>
        </w:rPr>
        <w:t xml:space="preserve">Aplikasi Pewarnaan Hidup/Mati Berasaskan Pendarfluor Langsung untuk Penilaian Aktiviti Antikulat Minyak Kelapa terhadap </w:t>
      </w:r>
      <w:r w:rsidRPr="00751BCF">
        <w:rPr>
          <w:rFonts w:ascii="Times New Roman" w:hAnsi="Times New Roman"/>
          <w:i/>
          <w:iCs/>
          <w:sz w:val="24"/>
          <w:szCs w:val="28"/>
          <w:lang w:val="ms-MY"/>
        </w:rPr>
        <w:t>Candida albicans</w:t>
      </w:r>
      <w:r w:rsidRPr="00751BCF">
        <w:rPr>
          <w:rFonts w:ascii="Times New Roman" w:hAnsi="Times New Roman"/>
          <w:sz w:val="24"/>
          <w:szCs w:val="28"/>
          <w:lang w:val="en-GB"/>
        </w:rPr>
        <w:t>)</w:t>
      </w:r>
    </w:p>
    <w:p w:rsidR="000E14DA" w:rsidRDefault="000E14DA" w:rsidP="000E14DA">
      <w:pPr>
        <w:spacing w:after="0" w:line="240" w:lineRule="auto"/>
        <w:jc w:val="center"/>
        <w:rPr>
          <w:rFonts w:ascii="Times New Roman" w:hAnsi="Times New Roman"/>
          <w:sz w:val="20"/>
          <w:szCs w:val="28"/>
          <w:lang w:val="en-GB"/>
        </w:rPr>
      </w:pPr>
    </w:p>
    <w:p w:rsidR="000E14DA" w:rsidRDefault="000E14DA" w:rsidP="000E14DA">
      <w:pPr>
        <w:spacing w:after="0" w:line="240" w:lineRule="auto"/>
        <w:jc w:val="center"/>
        <w:rPr>
          <w:rFonts w:ascii="Times New Roman" w:hAnsi="Times New Roman"/>
          <w:sz w:val="20"/>
          <w:szCs w:val="28"/>
          <w:lang w:val="en-GB"/>
        </w:rPr>
      </w:pPr>
      <w:r w:rsidRPr="00751BCF">
        <w:rPr>
          <w:rFonts w:ascii="Times New Roman" w:hAnsi="Times New Roman"/>
          <w:sz w:val="20"/>
          <w:szCs w:val="28"/>
          <w:lang w:val="en-GB"/>
        </w:rPr>
        <w:t>Nor Izzah Mukhtar</w:t>
      </w:r>
      <w:r w:rsidRPr="00751BCF">
        <w:rPr>
          <w:rFonts w:ascii="Times New Roman" w:hAnsi="Times New Roman"/>
          <w:sz w:val="20"/>
          <w:szCs w:val="28"/>
          <w:vertAlign w:val="superscript"/>
          <w:lang w:val="en-GB"/>
        </w:rPr>
        <w:t>1</w:t>
      </w:r>
      <w:r w:rsidRPr="00751BCF">
        <w:rPr>
          <w:rFonts w:ascii="Times New Roman" w:hAnsi="Times New Roman"/>
          <w:sz w:val="20"/>
          <w:szCs w:val="28"/>
          <w:lang w:val="en-GB"/>
        </w:rPr>
        <w:t>, Zurainie Abllah</w:t>
      </w:r>
      <w:r w:rsidRPr="00751BCF">
        <w:rPr>
          <w:rFonts w:ascii="Times New Roman" w:hAnsi="Times New Roman"/>
          <w:sz w:val="20"/>
          <w:szCs w:val="28"/>
          <w:vertAlign w:val="superscript"/>
          <w:lang w:val="en-GB"/>
        </w:rPr>
        <w:t>2</w:t>
      </w:r>
      <w:r w:rsidRPr="00751BCF">
        <w:rPr>
          <w:rFonts w:ascii="Times New Roman" w:hAnsi="Times New Roman"/>
          <w:sz w:val="20"/>
          <w:szCs w:val="28"/>
          <w:lang w:val="en-GB"/>
        </w:rPr>
        <w:t>*, Azrul Naim Mohamad</w:t>
      </w:r>
      <w:r w:rsidRPr="00751BCF">
        <w:rPr>
          <w:rFonts w:ascii="Times New Roman" w:hAnsi="Times New Roman"/>
          <w:sz w:val="20"/>
          <w:szCs w:val="28"/>
          <w:vertAlign w:val="superscript"/>
          <w:lang w:val="en-GB"/>
        </w:rPr>
        <w:t>1</w:t>
      </w:r>
      <w:r w:rsidRPr="00751BCF">
        <w:rPr>
          <w:rFonts w:ascii="Times New Roman" w:hAnsi="Times New Roman"/>
          <w:sz w:val="20"/>
          <w:szCs w:val="28"/>
          <w:lang w:val="en-GB"/>
        </w:rPr>
        <w:t>, Intan Azura Shahdan</w:t>
      </w:r>
      <w:r w:rsidRPr="00751BCF">
        <w:rPr>
          <w:rFonts w:ascii="Times New Roman" w:hAnsi="Times New Roman"/>
          <w:sz w:val="20"/>
          <w:szCs w:val="28"/>
          <w:vertAlign w:val="superscript"/>
          <w:lang w:val="en-GB"/>
        </w:rPr>
        <w:t>3</w:t>
      </w:r>
      <w:r w:rsidRPr="00751BCF">
        <w:rPr>
          <w:rFonts w:ascii="Times New Roman" w:hAnsi="Times New Roman"/>
          <w:sz w:val="20"/>
          <w:szCs w:val="28"/>
          <w:lang w:val="en-GB"/>
        </w:rPr>
        <w:t>, Kamariah Long</w:t>
      </w:r>
      <w:r w:rsidRPr="00751BCF">
        <w:rPr>
          <w:rFonts w:ascii="Times New Roman" w:hAnsi="Times New Roman"/>
          <w:sz w:val="20"/>
          <w:szCs w:val="28"/>
          <w:vertAlign w:val="superscript"/>
          <w:lang w:val="en-GB"/>
        </w:rPr>
        <w:t>4</w:t>
      </w:r>
      <w:r w:rsidRPr="00751BCF">
        <w:rPr>
          <w:rFonts w:ascii="Times New Roman" w:hAnsi="Times New Roman"/>
          <w:sz w:val="20"/>
          <w:szCs w:val="28"/>
          <w:lang w:val="en-GB"/>
        </w:rPr>
        <w:t xml:space="preserve">, </w:t>
      </w:r>
    </w:p>
    <w:p w:rsidR="000E14DA" w:rsidRPr="00175925" w:rsidRDefault="000E14DA" w:rsidP="000E14DA">
      <w:pPr>
        <w:spacing w:after="0" w:line="240" w:lineRule="auto"/>
        <w:jc w:val="center"/>
        <w:rPr>
          <w:rFonts w:ascii="Times New Roman" w:hAnsi="Times New Roman"/>
          <w:sz w:val="20"/>
          <w:szCs w:val="28"/>
          <w:lang w:val="en-GB"/>
        </w:rPr>
      </w:pPr>
      <w:r w:rsidRPr="00751BCF">
        <w:rPr>
          <w:rFonts w:ascii="Times New Roman" w:hAnsi="Times New Roman"/>
          <w:sz w:val="20"/>
          <w:szCs w:val="28"/>
          <w:lang w:val="en-GB"/>
        </w:rPr>
        <w:t>Ummi Aqilah Haron</w:t>
      </w:r>
      <w:r w:rsidRPr="00751BCF">
        <w:rPr>
          <w:rFonts w:ascii="Times New Roman" w:hAnsi="Times New Roman"/>
          <w:sz w:val="20"/>
          <w:szCs w:val="28"/>
          <w:vertAlign w:val="superscript"/>
          <w:lang w:val="en-GB"/>
        </w:rPr>
        <w:t>1</w:t>
      </w:r>
    </w:p>
    <w:p w:rsidR="000E14DA" w:rsidRPr="00175925" w:rsidRDefault="000E14DA" w:rsidP="000E14DA">
      <w:pPr>
        <w:spacing w:after="0" w:line="240" w:lineRule="auto"/>
        <w:jc w:val="center"/>
        <w:rPr>
          <w:rFonts w:ascii="Times New Roman" w:hAnsi="Times New Roman"/>
          <w:i/>
          <w:sz w:val="20"/>
          <w:szCs w:val="28"/>
          <w:lang w:val="en-GB"/>
        </w:rPr>
      </w:pPr>
    </w:p>
    <w:p w:rsidR="000E14DA" w:rsidRPr="00751BCF"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vertAlign w:val="superscript"/>
          <w:lang w:val="en-GB"/>
        </w:rPr>
        <w:t>1</w:t>
      </w:r>
      <w:r w:rsidRPr="00751BCF">
        <w:rPr>
          <w:rFonts w:ascii="Times New Roman" w:hAnsi="Times New Roman"/>
          <w:i/>
          <w:iCs/>
          <w:sz w:val="18"/>
          <w:szCs w:val="20"/>
          <w:lang w:val="en-GB"/>
        </w:rPr>
        <w:t>Department of Biotechnology,</w:t>
      </w:r>
      <w:r>
        <w:rPr>
          <w:rFonts w:ascii="Times New Roman" w:hAnsi="Times New Roman"/>
          <w:i/>
          <w:iCs/>
          <w:sz w:val="18"/>
          <w:szCs w:val="20"/>
          <w:lang w:val="en-GB"/>
        </w:rPr>
        <w:t xml:space="preserve"> Kulliyyah of Science</w:t>
      </w:r>
      <w:r w:rsidRPr="00751BCF">
        <w:rPr>
          <w:rFonts w:ascii="Times New Roman" w:hAnsi="Times New Roman"/>
          <w:i/>
          <w:iCs/>
          <w:sz w:val="18"/>
          <w:szCs w:val="20"/>
          <w:lang w:val="en-GB"/>
        </w:rPr>
        <w:t xml:space="preserve"> </w:t>
      </w:r>
    </w:p>
    <w:p w:rsidR="000E14DA" w:rsidRPr="00751BCF"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vertAlign w:val="superscript"/>
          <w:lang w:val="en-GB"/>
        </w:rPr>
        <w:t>2</w:t>
      </w:r>
      <w:r w:rsidRPr="00751BCF">
        <w:rPr>
          <w:rFonts w:ascii="Times New Roman" w:hAnsi="Times New Roman"/>
          <w:i/>
          <w:iCs/>
          <w:sz w:val="18"/>
          <w:szCs w:val="20"/>
          <w:lang w:val="en-GB"/>
        </w:rPr>
        <w:t>Depa</w:t>
      </w:r>
      <w:r w:rsidR="00B56993">
        <w:rPr>
          <w:rFonts w:ascii="Times New Roman" w:hAnsi="Times New Roman"/>
          <w:i/>
          <w:iCs/>
          <w:sz w:val="18"/>
          <w:szCs w:val="20"/>
          <w:lang w:val="en-GB"/>
        </w:rPr>
        <w:t xml:space="preserve">rtment of Pediatric </w:t>
      </w:r>
      <w:bookmarkStart w:id="0" w:name="_GoBack"/>
      <w:bookmarkEnd w:id="0"/>
      <w:r w:rsidR="00B56993">
        <w:rPr>
          <w:rFonts w:ascii="Times New Roman" w:hAnsi="Times New Roman"/>
          <w:i/>
          <w:iCs/>
          <w:sz w:val="18"/>
          <w:szCs w:val="20"/>
          <w:lang w:val="en-GB"/>
        </w:rPr>
        <w:t>Dentistry</w:t>
      </w:r>
      <w:r w:rsidRPr="00751BCF">
        <w:rPr>
          <w:rFonts w:ascii="Times New Roman" w:hAnsi="Times New Roman"/>
          <w:i/>
          <w:iCs/>
          <w:sz w:val="18"/>
          <w:szCs w:val="20"/>
          <w:lang w:val="en-GB"/>
        </w:rPr>
        <w:t xml:space="preserve"> and Dental Public Health, </w:t>
      </w:r>
      <w:r>
        <w:rPr>
          <w:rFonts w:ascii="Times New Roman" w:hAnsi="Times New Roman"/>
          <w:i/>
          <w:iCs/>
          <w:sz w:val="18"/>
          <w:szCs w:val="20"/>
          <w:lang w:val="en-GB"/>
        </w:rPr>
        <w:t>Kulliyyah of Dentistry</w:t>
      </w:r>
    </w:p>
    <w:p w:rsidR="000E14DA" w:rsidRPr="00751BCF"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lang w:val="en-GB"/>
        </w:rPr>
        <w:t xml:space="preserve"> </w:t>
      </w:r>
      <w:r w:rsidRPr="00751BCF">
        <w:rPr>
          <w:rFonts w:ascii="Times New Roman" w:hAnsi="Times New Roman"/>
          <w:i/>
          <w:iCs/>
          <w:sz w:val="18"/>
          <w:szCs w:val="20"/>
          <w:vertAlign w:val="superscript"/>
          <w:lang w:val="en-GB"/>
        </w:rPr>
        <w:t>3</w:t>
      </w:r>
      <w:r w:rsidRPr="00751BCF">
        <w:rPr>
          <w:rFonts w:ascii="Times New Roman" w:hAnsi="Times New Roman"/>
          <w:i/>
          <w:iCs/>
          <w:sz w:val="18"/>
          <w:szCs w:val="20"/>
          <w:lang w:val="en-GB"/>
        </w:rPr>
        <w:t>Department of Biomedical Sciences, Kull</w:t>
      </w:r>
      <w:r>
        <w:rPr>
          <w:rFonts w:ascii="Times New Roman" w:hAnsi="Times New Roman"/>
          <w:i/>
          <w:iCs/>
          <w:sz w:val="18"/>
          <w:szCs w:val="20"/>
          <w:lang w:val="en-GB"/>
        </w:rPr>
        <w:t>iyyah of Allied Health Sciences</w:t>
      </w:r>
      <w:r w:rsidRPr="00751BCF">
        <w:rPr>
          <w:rFonts w:ascii="Times New Roman" w:hAnsi="Times New Roman"/>
          <w:i/>
          <w:iCs/>
          <w:sz w:val="18"/>
          <w:szCs w:val="20"/>
          <w:lang w:val="en-GB"/>
        </w:rPr>
        <w:t xml:space="preserve"> </w:t>
      </w:r>
    </w:p>
    <w:p w:rsidR="000E14DA" w:rsidRPr="00751BCF"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lang w:val="en-GB"/>
        </w:rPr>
        <w:t>International Islamic University Malaysia, 25200 Kuantan, Pahang, Malaysia</w:t>
      </w:r>
    </w:p>
    <w:p w:rsidR="000E14DA"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vertAlign w:val="superscript"/>
          <w:lang w:val="en-GB"/>
        </w:rPr>
        <w:t>4</w:t>
      </w:r>
      <w:r w:rsidRPr="00751BCF">
        <w:rPr>
          <w:rFonts w:ascii="Times New Roman" w:hAnsi="Times New Roman"/>
          <w:i/>
          <w:iCs/>
          <w:sz w:val="18"/>
          <w:szCs w:val="20"/>
          <w:lang w:val="en-GB"/>
        </w:rPr>
        <w:t xml:space="preserve">Biotechnology Research Centre, </w:t>
      </w:r>
    </w:p>
    <w:p w:rsidR="000E14DA" w:rsidRPr="00751BCF"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lang w:val="en-GB"/>
        </w:rPr>
        <w:t>MARDI Headquarters, Serdang, P.O. Box 12301, 50774 Kuala Lumpur, Malaysia</w:t>
      </w:r>
    </w:p>
    <w:p w:rsidR="000E14DA" w:rsidRPr="00751BCF" w:rsidRDefault="000E14DA" w:rsidP="000E14DA">
      <w:pPr>
        <w:spacing w:after="0" w:line="240" w:lineRule="auto"/>
        <w:jc w:val="center"/>
        <w:rPr>
          <w:rFonts w:ascii="Times New Roman" w:hAnsi="Times New Roman"/>
          <w:i/>
          <w:iCs/>
          <w:sz w:val="18"/>
          <w:szCs w:val="20"/>
          <w:lang w:val="en-GB"/>
        </w:rPr>
      </w:pPr>
    </w:p>
    <w:p w:rsidR="000E14DA" w:rsidRPr="00751BCF" w:rsidRDefault="000E14DA" w:rsidP="000E14DA">
      <w:pPr>
        <w:spacing w:after="0" w:line="240" w:lineRule="auto"/>
        <w:jc w:val="center"/>
        <w:rPr>
          <w:rFonts w:ascii="Times New Roman" w:hAnsi="Times New Roman"/>
          <w:i/>
          <w:iCs/>
          <w:sz w:val="18"/>
          <w:szCs w:val="20"/>
          <w:lang w:val="en-GB"/>
        </w:rPr>
      </w:pPr>
      <w:r w:rsidRPr="00751BCF">
        <w:rPr>
          <w:rFonts w:ascii="Times New Roman" w:hAnsi="Times New Roman"/>
          <w:i/>
          <w:iCs/>
          <w:sz w:val="18"/>
          <w:szCs w:val="20"/>
          <w:lang w:val="en-GB"/>
        </w:rPr>
        <w:t xml:space="preserve">*Corresponding author: </w:t>
      </w:r>
      <w:r>
        <w:rPr>
          <w:rFonts w:ascii="Times New Roman" w:hAnsi="Times New Roman"/>
          <w:i/>
          <w:iCs/>
          <w:sz w:val="18"/>
          <w:szCs w:val="20"/>
          <w:lang w:val="en-GB"/>
        </w:rPr>
        <w:t xml:space="preserve"> </w:t>
      </w:r>
      <w:r w:rsidRPr="00751BCF">
        <w:rPr>
          <w:rFonts w:ascii="Times New Roman" w:hAnsi="Times New Roman"/>
          <w:i/>
          <w:iCs/>
          <w:sz w:val="18"/>
          <w:szCs w:val="20"/>
          <w:lang w:val="en-GB"/>
        </w:rPr>
        <w:t>drzura@iium.edu.my</w:t>
      </w:r>
    </w:p>
    <w:p w:rsidR="000E14DA" w:rsidRPr="00F447A7" w:rsidRDefault="000E14DA" w:rsidP="000E14DA">
      <w:pPr>
        <w:spacing w:after="0" w:line="240" w:lineRule="auto"/>
        <w:jc w:val="center"/>
        <w:rPr>
          <w:rFonts w:ascii="Times New Roman" w:hAnsi="Times New Roman"/>
          <w:noProof/>
          <w:sz w:val="18"/>
          <w:szCs w:val="18"/>
          <w:lang w:bidi="ar-SA"/>
        </w:rPr>
      </w:pPr>
    </w:p>
    <w:p w:rsidR="000E14DA" w:rsidRDefault="000E14DA" w:rsidP="000E14DA">
      <w:pPr>
        <w:spacing w:after="0" w:line="240" w:lineRule="auto"/>
        <w:jc w:val="center"/>
        <w:rPr>
          <w:rFonts w:ascii="Times New Roman" w:hAnsi="Times New Roman"/>
          <w:noProof/>
          <w:sz w:val="18"/>
          <w:szCs w:val="18"/>
          <w:lang w:bidi="ar-SA"/>
        </w:rPr>
      </w:pPr>
    </w:p>
    <w:p w:rsidR="000E14DA" w:rsidRDefault="000E14DA" w:rsidP="000E14DA">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16 January 2019; Accepted: 3 August 2019</w:t>
      </w:r>
    </w:p>
    <w:p w:rsidR="000E14DA" w:rsidRDefault="000E14DA" w:rsidP="000E14DA">
      <w:pPr>
        <w:spacing w:after="0" w:line="240" w:lineRule="auto"/>
        <w:jc w:val="center"/>
        <w:rPr>
          <w:rFonts w:ascii="Times New Roman" w:hAnsi="Times New Roman"/>
          <w:noProof/>
          <w:sz w:val="18"/>
          <w:szCs w:val="18"/>
          <w:lang w:bidi="ar-SA"/>
        </w:rPr>
      </w:pPr>
    </w:p>
    <w:p w:rsidR="000E14DA" w:rsidRPr="00F447A7" w:rsidRDefault="000E14DA" w:rsidP="000E14DA">
      <w:pPr>
        <w:spacing w:after="0" w:line="240" w:lineRule="auto"/>
        <w:jc w:val="center"/>
        <w:rPr>
          <w:rFonts w:ascii="Times New Roman" w:hAnsi="Times New Roman"/>
          <w:noProof/>
          <w:sz w:val="18"/>
          <w:szCs w:val="18"/>
          <w:lang w:bidi="ar-SA"/>
        </w:rPr>
      </w:pPr>
    </w:p>
    <w:p w:rsidR="000E14DA" w:rsidRPr="00F447A7" w:rsidRDefault="000E14DA" w:rsidP="000E14D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E14DA" w:rsidRDefault="000E14DA" w:rsidP="000E14DA">
      <w:pPr>
        <w:spacing w:after="0" w:line="240" w:lineRule="auto"/>
        <w:jc w:val="both"/>
        <w:rPr>
          <w:rFonts w:ascii="Times New Roman" w:hAnsi="Times New Roman"/>
          <w:sz w:val="18"/>
          <w:szCs w:val="18"/>
          <w:lang w:val="en-GB"/>
        </w:rPr>
      </w:pPr>
      <w:r w:rsidRPr="00751BCF">
        <w:rPr>
          <w:rFonts w:ascii="Times New Roman" w:hAnsi="Times New Roman"/>
          <w:i/>
          <w:iCs/>
          <w:sz w:val="18"/>
          <w:szCs w:val="18"/>
          <w:lang w:val="en-GB"/>
        </w:rPr>
        <w:t xml:space="preserve">Candida albicans </w:t>
      </w:r>
      <w:r w:rsidRPr="00751BCF">
        <w:rPr>
          <w:rFonts w:ascii="Times New Roman" w:hAnsi="Times New Roman"/>
          <w:sz w:val="18"/>
          <w:szCs w:val="18"/>
          <w:lang w:val="en-GB"/>
        </w:rPr>
        <w:t xml:space="preserve">is one of the common causes for oral candidiasis worldwide. The proliferation of antifungal-resistant </w:t>
      </w:r>
      <w:r w:rsidRPr="00751BCF">
        <w:rPr>
          <w:rFonts w:ascii="Times New Roman" w:hAnsi="Times New Roman"/>
          <w:i/>
          <w:iCs/>
          <w:sz w:val="18"/>
          <w:szCs w:val="18"/>
          <w:lang w:val="en-GB"/>
        </w:rPr>
        <w:t>C. albicans</w:t>
      </w:r>
      <w:r w:rsidRPr="00751BCF">
        <w:rPr>
          <w:rFonts w:ascii="Times New Roman" w:hAnsi="Times New Roman"/>
          <w:sz w:val="18"/>
          <w:szCs w:val="18"/>
          <w:lang w:val="en-GB"/>
        </w:rPr>
        <w:t xml:space="preserve"> has become a major concern. This study was carried out to evaluate activated virgin coconut oil (AVCO) and crude extract of virgin coconut oil (VCO) as new antifungal agents for treatment of oral candidiasis. </w:t>
      </w:r>
      <w:r w:rsidRPr="00751BCF">
        <w:rPr>
          <w:rFonts w:ascii="Times New Roman" w:hAnsi="Times New Roman"/>
          <w:i/>
          <w:iCs/>
          <w:sz w:val="18"/>
          <w:szCs w:val="18"/>
          <w:lang w:val="en-GB"/>
        </w:rPr>
        <w:t xml:space="preserve">C. albicans </w:t>
      </w:r>
      <w:r w:rsidRPr="00751BCF">
        <w:rPr>
          <w:rFonts w:ascii="Times New Roman" w:hAnsi="Times New Roman"/>
          <w:sz w:val="18"/>
          <w:szCs w:val="18"/>
          <w:lang w:val="en-GB"/>
        </w:rPr>
        <w:t xml:space="preserve">viability was determined using LIVE/DEAD bacterial viability kit. </w:t>
      </w:r>
      <w:r w:rsidRPr="00751BCF">
        <w:rPr>
          <w:rFonts w:ascii="Times New Roman" w:hAnsi="Times New Roman"/>
          <w:i/>
          <w:iCs/>
          <w:sz w:val="18"/>
          <w:szCs w:val="18"/>
          <w:lang w:val="en-GB"/>
        </w:rPr>
        <w:t>C. albicans</w:t>
      </w:r>
      <w:r w:rsidRPr="00751BCF">
        <w:rPr>
          <w:rFonts w:ascii="Times New Roman" w:hAnsi="Times New Roman"/>
          <w:sz w:val="18"/>
          <w:szCs w:val="18"/>
          <w:lang w:val="en-GB"/>
        </w:rPr>
        <w:t xml:space="preserve"> cells were grown in yeast peptone dextrose (YPD) broth overnight. The fungus was treated with AVCO and VCO at the concentration of minimum fungicidal concentration (MFC) of 6.24 mg/mL and incubated for three different time points (1, 2, and 3 h). To evaluate the viability of </w:t>
      </w:r>
      <w:r w:rsidRPr="00751BCF">
        <w:rPr>
          <w:rFonts w:ascii="Times New Roman" w:hAnsi="Times New Roman"/>
          <w:i/>
          <w:iCs/>
          <w:sz w:val="18"/>
          <w:szCs w:val="18"/>
          <w:lang w:val="en-GB"/>
        </w:rPr>
        <w:t>C. albicans</w:t>
      </w:r>
      <w:r w:rsidRPr="00751BCF">
        <w:rPr>
          <w:rFonts w:ascii="Times New Roman" w:hAnsi="Times New Roman"/>
          <w:sz w:val="18"/>
          <w:szCs w:val="18"/>
          <w:lang w:val="en-GB"/>
        </w:rPr>
        <w:t xml:space="preserve">, SYTO 9 and propidium iodide (PI) staining were used and the cells were observed using fluorescence microscopy. </w:t>
      </w:r>
      <w:r w:rsidRPr="00751BCF">
        <w:rPr>
          <w:rFonts w:ascii="Times New Roman" w:hAnsi="Times New Roman"/>
          <w:i/>
          <w:iCs/>
          <w:sz w:val="18"/>
          <w:szCs w:val="18"/>
          <w:lang w:val="en-GB"/>
        </w:rPr>
        <w:t>C. albicans</w:t>
      </w:r>
      <w:r w:rsidRPr="00751BCF">
        <w:rPr>
          <w:rFonts w:ascii="Times New Roman" w:hAnsi="Times New Roman"/>
          <w:sz w:val="18"/>
          <w:szCs w:val="18"/>
          <w:lang w:val="en-GB"/>
        </w:rPr>
        <w:t xml:space="preserve"> treated with AVCO showed more dead cells compared to cells treated with VCO. The data indicate that exposure of </w:t>
      </w:r>
      <w:r w:rsidRPr="00751BCF">
        <w:rPr>
          <w:rFonts w:ascii="Times New Roman" w:hAnsi="Times New Roman"/>
          <w:i/>
          <w:iCs/>
          <w:sz w:val="18"/>
          <w:szCs w:val="18"/>
          <w:lang w:val="en-GB"/>
        </w:rPr>
        <w:t>C. albicans</w:t>
      </w:r>
      <w:r w:rsidRPr="00751BCF">
        <w:rPr>
          <w:rFonts w:ascii="Times New Roman" w:hAnsi="Times New Roman"/>
          <w:sz w:val="18"/>
          <w:szCs w:val="18"/>
          <w:lang w:val="en-GB"/>
        </w:rPr>
        <w:t xml:space="preserve"> to AVCO was the most inhibitory to its growth (</w:t>
      </w:r>
      <w:r w:rsidRPr="00751BCF">
        <w:rPr>
          <w:rFonts w:ascii="Times New Roman" w:hAnsi="Times New Roman"/>
          <w:i/>
          <w:iCs/>
          <w:sz w:val="18"/>
          <w:szCs w:val="18"/>
          <w:lang w:val="en-GB"/>
        </w:rPr>
        <w:t xml:space="preserve">p </w:t>
      </w:r>
      <w:r w:rsidRPr="00751BCF">
        <w:rPr>
          <w:rFonts w:ascii="Times New Roman" w:hAnsi="Times New Roman"/>
          <w:sz w:val="18"/>
          <w:szCs w:val="18"/>
          <w:lang w:val="en-GB"/>
        </w:rPr>
        <w:t>&lt; 0.01).</w:t>
      </w:r>
    </w:p>
    <w:p w:rsidR="000E14DA" w:rsidRPr="00751BCF" w:rsidRDefault="000E14DA" w:rsidP="000E14DA">
      <w:pPr>
        <w:spacing w:after="0" w:line="240" w:lineRule="auto"/>
        <w:jc w:val="both"/>
        <w:rPr>
          <w:rFonts w:ascii="Times New Roman" w:hAnsi="Times New Roman"/>
          <w:sz w:val="18"/>
          <w:szCs w:val="18"/>
          <w:lang w:val="en-GB"/>
        </w:rPr>
      </w:pPr>
    </w:p>
    <w:p w:rsidR="000E14DA" w:rsidRPr="00751BCF" w:rsidRDefault="000E14DA" w:rsidP="000E14DA">
      <w:pPr>
        <w:spacing w:after="0" w:line="240" w:lineRule="auto"/>
        <w:jc w:val="both"/>
        <w:rPr>
          <w:rFonts w:ascii="Times New Roman" w:hAnsi="Times New Roman"/>
          <w:sz w:val="18"/>
          <w:szCs w:val="18"/>
          <w:lang w:val="en-GB"/>
        </w:rPr>
      </w:pPr>
      <w:r w:rsidRPr="00751BCF">
        <w:rPr>
          <w:rFonts w:ascii="Times New Roman" w:hAnsi="Times New Roman"/>
          <w:b/>
          <w:bCs/>
          <w:sz w:val="18"/>
          <w:szCs w:val="18"/>
          <w:lang w:val="en-GB"/>
        </w:rPr>
        <w:t>Keywords:</w:t>
      </w:r>
      <w:r w:rsidRPr="00751BCF">
        <w:rPr>
          <w:rFonts w:ascii="Times New Roman" w:hAnsi="Times New Roman"/>
          <w:sz w:val="18"/>
          <w:szCs w:val="18"/>
          <w:lang w:val="en-GB"/>
        </w:rPr>
        <w:t xml:space="preserve"> </w:t>
      </w:r>
      <w:r>
        <w:rPr>
          <w:rFonts w:ascii="Times New Roman" w:hAnsi="Times New Roman"/>
          <w:sz w:val="18"/>
          <w:szCs w:val="18"/>
          <w:lang w:val="en-GB"/>
        </w:rPr>
        <w:t xml:space="preserve"> </w:t>
      </w:r>
      <w:r w:rsidRPr="00751BCF">
        <w:rPr>
          <w:rFonts w:ascii="Times New Roman" w:hAnsi="Times New Roman"/>
          <w:sz w:val="18"/>
          <w:szCs w:val="18"/>
          <w:lang w:val="en-GB"/>
        </w:rPr>
        <w:t xml:space="preserve">LIVE/DEAD staining, `antifungal activity, </w:t>
      </w:r>
      <w:r w:rsidRPr="00751BCF">
        <w:rPr>
          <w:rFonts w:ascii="Times New Roman" w:hAnsi="Times New Roman"/>
          <w:i/>
          <w:iCs/>
          <w:sz w:val="18"/>
          <w:szCs w:val="18"/>
          <w:lang w:val="en-GB"/>
        </w:rPr>
        <w:t>Candida albicans</w:t>
      </w:r>
      <w:r w:rsidRPr="00751BCF">
        <w:rPr>
          <w:rFonts w:ascii="Times New Roman" w:hAnsi="Times New Roman"/>
          <w:sz w:val="18"/>
          <w:szCs w:val="18"/>
          <w:lang w:val="en-GB"/>
        </w:rPr>
        <w:t>, virgin coconut oil</w:t>
      </w:r>
    </w:p>
    <w:p w:rsidR="000E14DA" w:rsidRDefault="000E14DA" w:rsidP="000E14DA">
      <w:pPr>
        <w:spacing w:after="0" w:line="240" w:lineRule="auto"/>
        <w:jc w:val="center"/>
        <w:rPr>
          <w:rFonts w:ascii="Times New Roman" w:hAnsi="Times New Roman"/>
          <w:b/>
          <w:bCs/>
          <w:sz w:val="18"/>
          <w:szCs w:val="18"/>
          <w:lang w:val="ms-MY"/>
        </w:rPr>
      </w:pPr>
    </w:p>
    <w:p w:rsidR="000E14DA" w:rsidRPr="00751BCF" w:rsidRDefault="000E14DA" w:rsidP="000E14DA">
      <w:pPr>
        <w:spacing w:after="0" w:line="240" w:lineRule="auto"/>
        <w:jc w:val="center"/>
        <w:rPr>
          <w:rFonts w:ascii="Times New Roman" w:hAnsi="Times New Roman"/>
          <w:b/>
          <w:bCs/>
          <w:sz w:val="18"/>
          <w:szCs w:val="18"/>
          <w:lang w:val="ms-MY"/>
        </w:rPr>
      </w:pPr>
      <w:r w:rsidRPr="00751BCF">
        <w:rPr>
          <w:rFonts w:ascii="Times New Roman" w:hAnsi="Times New Roman"/>
          <w:b/>
          <w:bCs/>
          <w:sz w:val="18"/>
          <w:szCs w:val="18"/>
          <w:lang w:val="ms-MY"/>
        </w:rPr>
        <w:t>Abstrak</w:t>
      </w:r>
    </w:p>
    <w:p w:rsidR="000E14DA" w:rsidRPr="00751BCF" w:rsidRDefault="000E14DA" w:rsidP="000E14DA">
      <w:pPr>
        <w:spacing w:after="0" w:line="240" w:lineRule="auto"/>
        <w:jc w:val="both"/>
        <w:rPr>
          <w:rFonts w:ascii="Times New Roman" w:hAnsi="Times New Roman"/>
          <w:sz w:val="18"/>
          <w:szCs w:val="18"/>
          <w:lang w:val="ms-MY"/>
        </w:rPr>
      </w:pPr>
      <w:r w:rsidRPr="00751BCF">
        <w:rPr>
          <w:rFonts w:ascii="Times New Roman" w:hAnsi="Times New Roman"/>
          <w:i/>
          <w:iCs/>
          <w:sz w:val="18"/>
          <w:szCs w:val="18"/>
          <w:lang w:val="ms-MY"/>
        </w:rPr>
        <w:t xml:space="preserve">Candida albicans </w:t>
      </w:r>
      <w:r w:rsidRPr="00751BCF">
        <w:rPr>
          <w:rFonts w:ascii="Times New Roman" w:hAnsi="Times New Roman"/>
          <w:sz w:val="18"/>
          <w:szCs w:val="18"/>
          <w:lang w:val="ms-MY"/>
        </w:rPr>
        <w:t xml:space="preserve">ialah salah satu penyebab kepada kandidiasis mulut di seluruh dunia. Malahan, pembiakan </w:t>
      </w:r>
      <w:r w:rsidRPr="00751BCF">
        <w:rPr>
          <w:rFonts w:ascii="Times New Roman" w:hAnsi="Times New Roman"/>
          <w:i/>
          <w:iCs/>
          <w:sz w:val="18"/>
          <w:szCs w:val="18"/>
          <w:lang w:val="ms-MY"/>
        </w:rPr>
        <w:t>C. albicans</w:t>
      </w:r>
      <w:r w:rsidRPr="00751BCF">
        <w:rPr>
          <w:rFonts w:ascii="Times New Roman" w:hAnsi="Times New Roman"/>
          <w:sz w:val="18"/>
          <w:szCs w:val="18"/>
          <w:lang w:val="ms-MY"/>
        </w:rPr>
        <w:t xml:space="preserve"> rintang antikulat semakin mendapat perhatian. Kajian ini dijalankan untuk menilai kesan-kesan minyak kelapa dara teraktif (AVCO) dan ekstrak minyak kelapa dara (VCO) dalam pencarian agen antikulat yang baharu untuk rawatan kandidiasis mulut. Kebolehhidupan sel </w:t>
      </w:r>
      <w:r w:rsidRPr="00751BCF">
        <w:rPr>
          <w:rFonts w:ascii="Times New Roman" w:hAnsi="Times New Roman"/>
          <w:i/>
          <w:iCs/>
          <w:sz w:val="18"/>
          <w:szCs w:val="18"/>
          <w:lang w:val="ms-MY"/>
        </w:rPr>
        <w:t xml:space="preserve">C. albicans </w:t>
      </w:r>
      <w:r w:rsidRPr="00751BCF">
        <w:rPr>
          <w:rFonts w:ascii="Times New Roman" w:hAnsi="Times New Roman"/>
          <w:sz w:val="18"/>
          <w:szCs w:val="18"/>
          <w:lang w:val="ms-MY"/>
        </w:rPr>
        <w:t xml:space="preserve">ditentukan dengan penggunaan kit daya kebolehhidupan bakteria HIDUP/MATI. </w:t>
      </w:r>
      <w:r w:rsidRPr="00751BCF">
        <w:rPr>
          <w:rFonts w:ascii="Times New Roman" w:hAnsi="Times New Roman"/>
          <w:i/>
          <w:iCs/>
          <w:sz w:val="18"/>
          <w:szCs w:val="18"/>
          <w:lang w:val="ms-MY"/>
        </w:rPr>
        <w:t>C. albicans</w:t>
      </w:r>
      <w:r w:rsidRPr="00751BCF">
        <w:rPr>
          <w:rFonts w:ascii="Times New Roman" w:hAnsi="Times New Roman"/>
          <w:sz w:val="18"/>
          <w:szCs w:val="18"/>
          <w:lang w:val="ms-MY"/>
        </w:rPr>
        <w:t xml:space="preserve"> dibiakkan semalaman di dalam kultur cecair yis pepton dekstrosa (YDP). Kulat tersebut dirawat dengan minyak kelapa teraktif dan ekstrak minyak kelapa dara pada kepekatan fungisidal minimum (MFC) sebanyak 6.24 mg/mL dan dieramkan pada tiga masa yang berbeza (1, 2, dan 3 jam). Untuk menilai kebolehhidupan </w:t>
      </w:r>
      <w:r w:rsidRPr="00751BCF">
        <w:rPr>
          <w:rFonts w:ascii="Times New Roman" w:hAnsi="Times New Roman"/>
          <w:i/>
          <w:iCs/>
          <w:sz w:val="18"/>
          <w:szCs w:val="18"/>
          <w:lang w:val="ms-MY"/>
        </w:rPr>
        <w:t>C. albicans</w:t>
      </w:r>
      <w:r w:rsidRPr="00751BCF">
        <w:rPr>
          <w:rFonts w:ascii="Times New Roman" w:hAnsi="Times New Roman"/>
          <w:sz w:val="18"/>
          <w:szCs w:val="18"/>
          <w:lang w:val="ms-MY"/>
        </w:rPr>
        <w:t xml:space="preserve">, pewarnaan SYTO 9 dan propidium iodida digunakan dan sel dilihat dengan menggunakan mikroskop pendarfluor. </w:t>
      </w:r>
      <w:r w:rsidRPr="00751BCF">
        <w:rPr>
          <w:rFonts w:ascii="Times New Roman" w:hAnsi="Times New Roman"/>
          <w:i/>
          <w:iCs/>
          <w:sz w:val="18"/>
          <w:szCs w:val="18"/>
          <w:lang w:val="ms-MY"/>
        </w:rPr>
        <w:t xml:space="preserve">C. albicans </w:t>
      </w:r>
      <w:r w:rsidRPr="00751BCF">
        <w:rPr>
          <w:rFonts w:ascii="Times New Roman" w:hAnsi="Times New Roman"/>
          <w:sz w:val="18"/>
          <w:szCs w:val="18"/>
          <w:lang w:val="ms-MY"/>
        </w:rPr>
        <w:t xml:space="preserve">yang telah dirawat dengan minyak kelapa dara teraktif menunjukkan lebih banyak sel yang mati berbanding sel yang dirawat dengan ekstrak minyak kelapa dara. Data menunjukkan minyak kelapa dara teraktif adalah paling berkesan untuk menghalang pembiakan </w:t>
      </w:r>
      <w:r w:rsidRPr="00751BCF">
        <w:rPr>
          <w:rFonts w:ascii="Times New Roman" w:hAnsi="Times New Roman"/>
          <w:i/>
          <w:iCs/>
          <w:sz w:val="18"/>
          <w:szCs w:val="18"/>
          <w:lang w:val="ms-MY"/>
        </w:rPr>
        <w:t>C. albicans</w:t>
      </w:r>
      <w:r w:rsidRPr="00751BCF">
        <w:rPr>
          <w:rFonts w:ascii="Times New Roman" w:hAnsi="Times New Roman"/>
          <w:sz w:val="18"/>
          <w:szCs w:val="18"/>
          <w:lang w:val="ms-MY"/>
        </w:rPr>
        <w:t xml:space="preserve"> (</w:t>
      </w:r>
      <w:r w:rsidRPr="00751BCF">
        <w:rPr>
          <w:rFonts w:ascii="Times New Roman" w:hAnsi="Times New Roman"/>
          <w:i/>
          <w:iCs/>
          <w:sz w:val="18"/>
          <w:szCs w:val="18"/>
          <w:lang w:val="ms-MY"/>
        </w:rPr>
        <w:t>p</w:t>
      </w:r>
      <w:r w:rsidRPr="00751BCF">
        <w:rPr>
          <w:rFonts w:ascii="Times New Roman" w:hAnsi="Times New Roman"/>
          <w:sz w:val="18"/>
          <w:szCs w:val="18"/>
          <w:lang w:val="ms-MY"/>
        </w:rPr>
        <w:t xml:space="preserve"> &lt; 0.01).</w:t>
      </w:r>
    </w:p>
    <w:p w:rsidR="000E14DA" w:rsidRPr="00751BCF" w:rsidRDefault="000E14DA" w:rsidP="000E14DA">
      <w:pPr>
        <w:spacing w:after="0" w:line="240" w:lineRule="auto"/>
        <w:jc w:val="both"/>
        <w:rPr>
          <w:rFonts w:ascii="Times New Roman" w:hAnsi="Times New Roman"/>
          <w:sz w:val="18"/>
          <w:szCs w:val="18"/>
          <w:lang w:val="ms-MY"/>
        </w:rPr>
      </w:pPr>
    </w:p>
    <w:p w:rsidR="000E14DA" w:rsidRPr="00751BCF" w:rsidRDefault="000E14DA" w:rsidP="000E14DA">
      <w:pPr>
        <w:spacing w:after="0" w:line="240" w:lineRule="auto"/>
        <w:jc w:val="both"/>
        <w:rPr>
          <w:rFonts w:ascii="Times New Roman" w:hAnsi="Times New Roman"/>
          <w:sz w:val="18"/>
          <w:szCs w:val="18"/>
          <w:lang w:val="ms-MY"/>
        </w:rPr>
      </w:pPr>
      <w:r w:rsidRPr="00751BCF">
        <w:rPr>
          <w:rFonts w:ascii="Times New Roman" w:hAnsi="Times New Roman"/>
          <w:b/>
          <w:bCs/>
          <w:sz w:val="18"/>
          <w:szCs w:val="18"/>
          <w:lang w:val="ms-MY"/>
        </w:rPr>
        <w:t xml:space="preserve">Kata kunci: </w:t>
      </w:r>
      <w:r>
        <w:rPr>
          <w:rFonts w:ascii="Times New Roman" w:hAnsi="Times New Roman"/>
          <w:sz w:val="18"/>
          <w:szCs w:val="18"/>
          <w:lang w:val="ms-MY"/>
        </w:rPr>
        <w:t xml:space="preserve"> p</w:t>
      </w:r>
      <w:r w:rsidRPr="00751BCF">
        <w:rPr>
          <w:rFonts w:ascii="Times New Roman" w:hAnsi="Times New Roman"/>
          <w:sz w:val="18"/>
          <w:szCs w:val="18"/>
          <w:lang w:val="ms-MY"/>
        </w:rPr>
        <w:t>ewarnaan</w:t>
      </w:r>
      <w:r w:rsidRPr="00751BCF">
        <w:rPr>
          <w:rFonts w:ascii="Times New Roman" w:hAnsi="Times New Roman"/>
          <w:b/>
          <w:bCs/>
          <w:sz w:val="18"/>
          <w:szCs w:val="18"/>
          <w:lang w:val="ms-MY"/>
        </w:rPr>
        <w:t xml:space="preserve"> </w:t>
      </w:r>
      <w:r w:rsidRPr="00751BCF">
        <w:rPr>
          <w:rFonts w:ascii="Times New Roman" w:hAnsi="Times New Roman"/>
          <w:sz w:val="18"/>
          <w:szCs w:val="18"/>
          <w:lang w:val="ms-MY"/>
        </w:rPr>
        <w:t xml:space="preserve">HIDUP/MATI, aktiviti rintang kulat, </w:t>
      </w:r>
      <w:r w:rsidRPr="00751BCF">
        <w:rPr>
          <w:rFonts w:ascii="Times New Roman" w:hAnsi="Times New Roman"/>
          <w:i/>
          <w:iCs/>
          <w:sz w:val="18"/>
          <w:szCs w:val="18"/>
          <w:lang w:val="ms-MY"/>
        </w:rPr>
        <w:t>C. albicans</w:t>
      </w:r>
      <w:r w:rsidRPr="00751BCF">
        <w:rPr>
          <w:rFonts w:ascii="Times New Roman" w:hAnsi="Times New Roman"/>
          <w:sz w:val="18"/>
          <w:szCs w:val="18"/>
          <w:lang w:val="ms-MY"/>
        </w:rPr>
        <w:t>, minyak kelapa dara</w:t>
      </w:r>
    </w:p>
    <w:p w:rsidR="000E14DA" w:rsidRDefault="000E14DA" w:rsidP="000E14DA">
      <w:pPr>
        <w:spacing w:after="0" w:line="240" w:lineRule="auto"/>
        <w:jc w:val="center"/>
        <w:rPr>
          <w:rFonts w:ascii="Times New Roman" w:hAnsi="Times New Roman"/>
          <w:noProof/>
          <w:sz w:val="20"/>
          <w:szCs w:val="20"/>
          <w:lang w:bidi="ar-SA"/>
        </w:rPr>
      </w:pPr>
    </w:p>
    <w:p w:rsidR="000E14DA" w:rsidRPr="00BE7C30" w:rsidRDefault="000E14DA" w:rsidP="000E14DA">
      <w:pPr>
        <w:spacing w:after="0" w:line="240" w:lineRule="auto"/>
        <w:jc w:val="center"/>
        <w:rPr>
          <w:rFonts w:ascii="Times New Roman" w:hAnsi="Times New Roman"/>
          <w:noProof/>
          <w:sz w:val="20"/>
          <w:szCs w:val="20"/>
          <w:lang w:bidi="ar-SA"/>
        </w:rPr>
      </w:pPr>
    </w:p>
    <w:p w:rsidR="000E14DA" w:rsidRPr="00F447A7" w:rsidRDefault="000E14DA" w:rsidP="000E14D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E14DA" w:rsidRPr="00175925" w:rsidRDefault="000E14DA" w:rsidP="000E14DA">
      <w:pPr>
        <w:spacing w:after="0" w:line="240" w:lineRule="auto"/>
        <w:jc w:val="both"/>
        <w:rPr>
          <w:rFonts w:ascii="Times New Roman" w:hAnsi="Times New Roman"/>
          <w:b/>
          <w:bCs/>
          <w:sz w:val="20"/>
          <w:szCs w:val="20"/>
          <w:lang w:val="en-GB"/>
        </w:rPr>
      </w:pPr>
      <w:bookmarkStart w:id="1" w:name="_Hlk498446297"/>
      <w:r w:rsidRPr="00175925">
        <w:rPr>
          <w:rFonts w:ascii="Times New Roman" w:hAnsi="Times New Roman"/>
          <w:i/>
          <w:iCs/>
          <w:sz w:val="20"/>
          <w:szCs w:val="20"/>
          <w:lang w:val="en-GB"/>
        </w:rPr>
        <w:t>Candida albicans</w:t>
      </w:r>
      <w:r w:rsidRPr="00175925">
        <w:rPr>
          <w:rFonts w:ascii="Times New Roman" w:hAnsi="Times New Roman"/>
          <w:sz w:val="20"/>
          <w:szCs w:val="20"/>
          <w:lang w:val="en-GB"/>
        </w:rPr>
        <w:t xml:space="preserve"> is an opportunistic fungal species in the oral cavity where it can become pathogenic under several circumstances like weakened immune system or damaged mucosal barriers, leading to mucous membrane infections [1–7]. Occasionally, candida infection may cause superficial infections such as oral candidiasis which can disseminate to other organs, causing systemic infections that can be fatal [8, 9]. Generally, oral candidiasis occurs in immunocompromised people such as HIV-positive patients, transplant recipients, patients with lymphoma, drug abusers, and pregnant women [10–11].</w:t>
      </w:r>
    </w:p>
    <w:p w:rsidR="000E14DA" w:rsidRPr="00175925" w:rsidRDefault="000E14DA" w:rsidP="000E14DA">
      <w:pPr>
        <w:spacing w:after="0" w:line="240" w:lineRule="auto"/>
        <w:jc w:val="both"/>
        <w:rPr>
          <w:rFonts w:ascii="Times New Roman" w:hAnsi="Times New Roman"/>
          <w:b/>
          <w:bCs/>
          <w:sz w:val="20"/>
          <w:szCs w:val="20"/>
          <w:lang w:val="en-GB"/>
        </w:rPr>
      </w:pPr>
    </w:p>
    <w:p w:rsidR="000E14DA" w:rsidRPr="00175925" w:rsidRDefault="000E14DA" w:rsidP="000E14DA">
      <w:pPr>
        <w:spacing w:after="0" w:line="240" w:lineRule="auto"/>
        <w:jc w:val="both"/>
        <w:rPr>
          <w:rFonts w:ascii="Times New Roman" w:hAnsi="Times New Roman"/>
          <w:b/>
          <w:bCs/>
          <w:sz w:val="20"/>
          <w:szCs w:val="20"/>
          <w:lang w:val="en-GB"/>
        </w:rPr>
      </w:pPr>
      <w:r w:rsidRPr="00175925">
        <w:rPr>
          <w:rFonts w:ascii="Times New Roman" w:hAnsi="Times New Roman"/>
          <w:sz w:val="20"/>
          <w:szCs w:val="20"/>
          <w:lang w:val="en-GB"/>
        </w:rPr>
        <w:t xml:space="preserve">Despite having numerous types of antifungal agents to treat oral candidiasis, current antifungal treatments are ineffective due to increased antifungal resistance, which contributes to fungal growth causing oral candidiasis [12, 13].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has been shown to develop resistance against amphotericin B and fluconazole [14–16]. The low success rate in treating candidiasis also is due to the biofilm growth not only on host tissues, but also on dental devices and prosthesis [16, 17]. Therefore, an alternative antifungal therapy is necessary to combat candidiasis. The major constituents of activated virgin coconut oil (AVCO) are medium-chain fatty acids (C</w:t>
      </w:r>
      <w:r w:rsidRPr="00175925">
        <w:rPr>
          <w:rFonts w:ascii="Times New Roman" w:hAnsi="Times New Roman"/>
          <w:sz w:val="20"/>
          <w:szCs w:val="20"/>
          <w:vertAlign w:val="subscript"/>
          <w:lang w:val="en-GB"/>
        </w:rPr>
        <w:t>6</w:t>
      </w:r>
      <w:r w:rsidRPr="00175925">
        <w:rPr>
          <w:rFonts w:ascii="Times New Roman" w:hAnsi="Times New Roman"/>
          <w:sz w:val="20"/>
          <w:szCs w:val="20"/>
          <w:lang w:val="en-GB"/>
        </w:rPr>
        <w:t xml:space="preserve"> to C</w:t>
      </w:r>
      <w:r w:rsidRPr="00175925">
        <w:rPr>
          <w:rFonts w:ascii="Times New Roman" w:hAnsi="Times New Roman"/>
          <w:sz w:val="20"/>
          <w:szCs w:val="20"/>
          <w:vertAlign w:val="subscript"/>
          <w:lang w:val="en-GB"/>
        </w:rPr>
        <w:t>14</w:t>
      </w:r>
      <w:r w:rsidRPr="00175925">
        <w:rPr>
          <w:rFonts w:ascii="Times New Roman" w:hAnsi="Times New Roman"/>
          <w:sz w:val="20"/>
          <w:szCs w:val="20"/>
          <w:lang w:val="en-GB"/>
        </w:rPr>
        <w:t>), which are widely known for their antifungal and antibacterial activities.</w:t>
      </w:r>
    </w:p>
    <w:p w:rsidR="000E14DA" w:rsidRPr="00175925" w:rsidRDefault="000E14DA" w:rsidP="000E14DA">
      <w:pPr>
        <w:spacing w:after="0" w:line="240" w:lineRule="auto"/>
        <w:jc w:val="both"/>
        <w:rPr>
          <w:rFonts w:ascii="Times New Roman" w:hAnsi="Times New Roman"/>
          <w:b/>
          <w:bCs/>
          <w:sz w:val="20"/>
          <w:szCs w:val="20"/>
          <w:lang w:val="en-GB"/>
        </w:rPr>
      </w:pP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Over the years, virgin coconut oil (VCO) has been stated to have a broad spectrum of antimicrobial/antifungal activity against Gram-positive bacteria, </w:t>
      </w:r>
      <w:r w:rsidRPr="00175925">
        <w:rPr>
          <w:rFonts w:ascii="Times New Roman" w:hAnsi="Times New Roman"/>
          <w:iCs/>
          <w:sz w:val="20"/>
          <w:szCs w:val="20"/>
          <w:lang w:val="en-GB"/>
        </w:rPr>
        <w:t>e.g.</w:t>
      </w:r>
      <w:r w:rsidRPr="00175925">
        <w:rPr>
          <w:rFonts w:ascii="Times New Roman" w:hAnsi="Times New Roman"/>
          <w:i/>
          <w:iCs/>
          <w:sz w:val="20"/>
          <w:szCs w:val="20"/>
          <w:lang w:val="en-GB"/>
        </w:rPr>
        <w:t xml:space="preserve"> Staphylococcus aureus</w:t>
      </w:r>
      <w:r w:rsidRPr="00175925">
        <w:rPr>
          <w:rFonts w:ascii="Times New Roman" w:hAnsi="Times New Roman"/>
          <w:iCs/>
          <w:sz w:val="20"/>
          <w:szCs w:val="20"/>
          <w:lang w:val="en-GB"/>
        </w:rPr>
        <w:t xml:space="preserve">, </w:t>
      </w:r>
      <w:r w:rsidRPr="00175925">
        <w:rPr>
          <w:rFonts w:ascii="Times New Roman" w:hAnsi="Times New Roman"/>
          <w:i/>
          <w:iCs/>
          <w:sz w:val="20"/>
          <w:szCs w:val="20"/>
          <w:lang w:val="en-GB"/>
        </w:rPr>
        <w:t>Streptococcus pyogenes</w:t>
      </w:r>
      <w:r w:rsidRPr="00175925">
        <w:rPr>
          <w:rFonts w:ascii="Times New Roman" w:hAnsi="Times New Roman"/>
          <w:iCs/>
          <w:sz w:val="20"/>
          <w:szCs w:val="20"/>
          <w:lang w:val="en-GB"/>
        </w:rPr>
        <w:t xml:space="preserve">, and </w:t>
      </w:r>
      <w:r w:rsidRPr="00175925">
        <w:rPr>
          <w:rFonts w:ascii="Times New Roman" w:hAnsi="Times New Roman"/>
          <w:i/>
          <w:iCs/>
          <w:sz w:val="20"/>
          <w:szCs w:val="20"/>
          <w:lang w:val="en-GB"/>
        </w:rPr>
        <w:t xml:space="preserve">Listeria </w:t>
      </w:r>
      <w:r w:rsidRPr="00175925">
        <w:rPr>
          <w:rFonts w:ascii="Times New Roman" w:hAnsi="Times New Roman"/>
          <w:i/>
          <w:sz w:val="20"/>
          <w:szCs w:val="20"/>
          <w:lang w:val="en-GB"/>
        </w:rPr>
        <w:t>monocytogenes</w:t>
      </w:r>
      <w:r w:rsidRPr="00175925">
        <w:rPr>
          <w:rFonts w:ascii="Times New Roman" w:hAnsi="Times New Roman"/>
          <w:sz w:val="20"/>
          <w:szCs w:val="20"/>
          <w:lang w:val="en-GB"/>
        </w:rPr>
        <w:t xml:space="preserve">; Gram-negative bacteria, </w:t>
      </w:r>
      <w:r w:rsidRPr="00175925">
        <w:rPr>
          <w:rFonts w:ascii="Times New Roman" w:hAnsi="Times New Roman"/>
          <w:iCs/>
          <w:sz w:val="20"/>
          <w:szCs w:val="20"/>
          <w:lang w:val="en-GB"/>
        </w:rPr>
        <w:t>e.g.</w:t>
      </w:r>
      <w:r w:rsidRPr="00175925">
        <w:rPr>
          <w:rFonts w:ascii="Times New Roman" w:hAnsi="Times New Roman"/>
          <w:sz w:val="20"/>
          <w:szCs w:val="20"/>
          <w:lang w:val="en-GB"/>
        </w:rPr>
        <w:t xml:space="preserve"> </w:t>
      </w:r>
      <w:r w:rsidRPr="00175925">
        <w:rPr>
          <w:rFonts w:ascii="Times New Roman" w:hAnsi="Times New Roman"/>
          <w:i/>
          <w:iCs/>
          <w:sz w:val="20"/>
          <w:szCs w:val="20"/>
          <w:lang w:val="en-GB"/>
        </w:rPr>
        <w:t>Vibrio cholerae</w:t>
      </w:r>
      <w:r w:rsidRPr="00175925">
        <w:rPr>
          <w:rFonts w:ascii="Times New Roman" w:hAnsi="Times New Roman"/>
          <w:iCs/>
          <w:sz w:val="20"/>
          <w:szCs w:val="20"/>
          <w:lang w:val="en-GB"/>
        </w:rPr>
        <w:t xml:space="preserve"> and </w:t>
      </w:r>
      <w:r w:rsidRPr="00175925">
        <w:rPr>
          <w:rFonts w:ascii="Times New Roman" w:hAnsi="Times New Roman"/>
          <w:i/>
          <w:iCs/>
          <w:sz w:val="20"/>
          <w:szCs w:val="20"/>
          <w:lang w:val="en-GB"/>
        </w:rPr>
        <w:t>Escherichia coli</w:t>
      </w:r>
      <w:r w:rsidRPr="00175925">
        <w:rPr>
          <w:rFonts w:ascii="Times New Roman" w:hAnsi="Times New Roman"/>
          <w:iCs/>
          <w:sz w:val="20"/>
          <w:szCs w:val="20"/>
          <w:lang w:val="en-GB"/>
        </w:rPr>
        <w:t>;</w:t>
      </w:r>
      <w:r w:rsidRPr="00175925">
        <w:rPr>
          <w:rFonts w:ascii="Times New Roman" w:hAnsi="Times New Roman"/>
          <w:sz w:val="20"/>
          <w:szCs w:val="20"/>
          <w:lang w:val="en-GB"/>
        </w:rPr>
        <w:t xml:space="preserve"> and fungi, </w:t>
      </w:r>
      <w:r w:rsidRPr="00175925">
        <w:rPr>
          <w:rFonts w:ascii="Times New Roman" w:hAnsi="Times New Roman"/>
          <w:iCs/>
          <w:sz w:val="20"/>
          <w:szCs w:val="20"/>
          <w:lang w:val="en-GB"/>
        </w:rPr>
        <w:t>e.g.</w:t>
      </w:r>
      <w:r w:rsidRPr="00175925">
        <w:rPr>
          <w:rFonts w:ascii="Times New Roman" w:hAnsi="Times New Roman"/>
          <w:sz w:val="20"/>
          <w:szCs w:val="20"/>
          <w:lang w:val="en-GB"/>
        </w:rPr>
        <w:t xml:space="preserve"> </w:t>
      </w:r>
      <w:r w:rsidRPr="00175925">
        <w:rPr>
          <w:rFonts w:ascii="Times New Roman" w:hAnsi="Times New Roman"/>
          <w:i/>
          <w:iCs/>
          <w:sz w:val="20"/>
          <w:szCs w:val="20"/>
          <w:lang w:val="en-GB"/>
        </w:rPr>
        <w:t>Candida krusei</w:t>
      </w:r>
      <w:r w:rsidRPr="00175925">
        <w:rPr>
          <w:rFonts w:ascii="Times New Roman" w:hAnsi="Times New Roman"/>
          <w:iCs/>
          <w:sz w:val="20"/>
          <w:szCs w:val="20"/>
          <w:lang w:val="en-GB"/>
        </w:rPr>
        <w:t xml:space="preserve">, </w:t>
      </w:r>
      <w:r w:rsidRPr="00175925">
        <w:rPr>
          <w:rFonts w:ascii="Times New Roman" w:hAnsi="Times New Roman"/>
          <w:i/>
          <w:iCs/>
          <w:sz w:val="20"/>
          <w:szCs w:val="20"/>
          <w:lang w:val="en-GB"/>
        </w:rPr>
        <w:t>Pityrosporum ovale</w:t>
      </w:r>
      <w:r w:rsidRPr="00175925">
        <w:rPr>
          <w:rFonts w:ascii="Times New Roman" w:hAnsi="Times New Roman"/>
          <w:iCs/>
          <w:sz w:val="20"/>
          <w:szCs w:val="20"/>
          <w:lang w:val="en-GB"/>
        </w:rPr>
        <w:t xml:space="preserve">, </w:t>
      </w:r>
      <w:r w:rsidRPr="00175925">
        <w:rPr>
          <w:rFonts w:ascii="Times New Roman" w:hAnsi="Times New Roman"/>
          <w:sz w:val="20"/>
          <w:szCs w:val="20"/>
          <w:lang w:val="en-GB"/>
        </w:rPr>
        <w:t>and</w:t>
      </w:r>
      <w:r w:rsidRPr="00175925">
        <w:rPr>
          <w:rFonts w:ascii="Times New Roman" w:hAnsi="Times New Roman"/>
          <w:i/>
          <w:iCs/>
          <w:sz w:val="20"/>
          <w:szCs w:val="20"/>
          <w:lang w:val="en-GB"/>
        </w:rPr>
        <w:t xml:space="preserve"> Candida albicans </w:t>
      </w:r>
      <w:r w:rsidRPr="00175925">
        <w:rPr>
          <w:rFonts w:ascii="Times New Roman" w:hAnsi="Times New Roman"/>
          <w:sz w:val="20"/>
          <w:szCs w:val="20"/>
          <w:lang w:val="en-GB"/>
        </w:rPr>
        <w:t>[18]. Recent reports have shown that AVCO has greater antimicrobial activity against mycobacterium and some viruses [19, 20]. The major constituents of activated virgin coconut oil are medium-chain fatty acids (C</w:t>
      </w:r>
      <w:r w:rsidRPr="00175925">
        <w:rPr>
          <w:rFonts w:ascii="Times New Roman" w:hAnsi="Times New Roman"/>
          <w:sz w:val="20"/>
          <w:szCs w:val="20"/>
          <w:vertAlign w:val="subscript"/>
          <w:lang w:val="en-GB"/>
        </w:rPr>
        <w:t>6</w:t>
      </w:r>
      <w:r w:rsidRPr="00175925">
        <w:rPr>
          <w:rFonts w:ascii="Times New Roman" w:hAnsi="Times New Roman"/>
          <w:sz w:val="20"/>
          <w:szCs w:val="20"/>
          <w:lang w:val="en-GB"/>
        </w:rPr>
        <w:t xml:space="preserve"> to C</w:t>
      </w:r>
      <w:r w:rsidRPr="00175925">
        <w:rPr>
          <w:rFonts w:ascii="Times New Roman" w:hAnsi="Times New Roman"/>
          <w:sz w:val="20"/>
          <w:szCs w:val="20"/>
          <w:vertAlign w:val="subscript"/>
          <w:lang w:val="en-GB"/>
        </w:rPr>
        <w:t>14</w:t>
      </w:r>
      <w:r w:rsidRPr="00175925">
        <w:rPr>
          <w:rFonts w:ascii="Times New Roman" w:hAnsi="Times New Roman"/>
          <w:sz w:val="20"/>
          <w:szCs w:val="20"/>
          <w:lang w:val="en-GB"/>
        </w:rPr>
        <w:t xml:space="preserve">), which are widely known for their antifungal and bactericidal activities [21–22]. Considering the potential antifungal effect of AVCO, this study investigated the viability of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against AVCO with the aid of live/dead viability kit.</w:t>
      </w:r>
    </w:p>
    <w:p w:rsidR="000E14DA" w:rsidRPr="00175925" w:rsidRDefault="000E14DA" w:rsidP="000E14DA">
      <w:pPr>
        <w:spacing w:after="0" w:line="240" w:lineRule="auto"/>
        <w:jc w:val="center"/>
        <w:rPr>
          <w:rFonts w:ascii="Times New Roman" w:hAnsi="Times New Roman"/>
          <w:b/>
          <w:bCs/>
          <w:sz w:val="20"/>
          <w:szCs w:val="20"/>
          <w:lang w:val="en-GB"/>
        </w:rPr>
      </w:pPr>
    </w:p>
    <w:bookmarkEnd w:id="1"/>
    <w:p w:rsidR="000E14DA" w:rsidRPr="00175925" w:rsidRDefault="000E14DA" w:rsidP="000E14DA">
      <w:pPr>
        <w:spacing w:after="0" w:line="240" w:lineRule="auto"/>
        <w:jc w:val="center"/>
        <w:rPr>
          <w:rFonts w:ascii="Times New Roman" w:hAnsi="Times New Roman"/>
          <w:b/>
          <w:bCs/>
          <w:sz w:val="20"/>
          <w:szCs w:val="20"/>
          <w:lang w:val="en-GB"/>
        </w:rPr>
      </w:pPr>
      <w:r w:rsidRPr="00175925">
        <w:rPr>
          <w:rFonts w:ascii="Times New Roman" w:hAnsi="Times New Roman"/>
          <w:b/>
          <w:bCs/>
          <w:sz w:val="20"/>
          <w:szCs w:val="20"/>
          <w:lang w:val="en-GB"/>
        </w:rPr>
        <w:t>Materials and Methods</w:t>
      </w:r>
    </w:p>
    <w:p w:rsidR="000E14DA" w:rsidRPr="00175925" w:rsidRDefault="000E14DA" w:rsidP="000E14DA">
      <w:pPr>
        <w:spacing w:after="0" w:line="240" w:lineRule="auto"/>
        <w:jc w:val="both"/>
        <w:rPr>
          <w:rFonts w:ascii="Times New Roman" w:hAnsi="Times New Roman"/>
          <w:b/>
          <w:bCs/>
          <w:sz w:val="20"/>
          <w:szCs w:val="20"/>
          <w:lang w:val="en-GB"/>
        </w:rPr>
      </w:pPr>
      <w:r w:rsidRPr="00175925">
        <w:rPr>
          <w:rFonts w:ascii="Times New Roman" w:hAnsi="Times New Roman"/>
          <w:b/>
          <w:bCs/>
          <w:sz w:val="20"/>
          <w:szCs w:val="20"/>
          <w:lang w:val="en-GB"/>
        </w:rPr>
        <w:t>Preparation of VCO and source of AVCO</w:t>
      </w: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Coconuts were bought from Taman Pertanian Agroteknologi MARDI, Cherating, Kuantan. The endosperm of the coconut was made into a viscous slurry and was squeezed through a cheesecloth until all the creamy milk was obtained. The creamy coconut milk was left at room temperature for at least 48 h. The coconut milk formed three layers after fermentation. The second layer was the VCO. It was gently scooped out, centrifuged to remove coconut residue, and kept at room temperature in a dark bottle. AVCO (100% purity) was bought from MARDI (UPM, Selangor, Malaysia).</w:t>
      </w:r>
    </w:p>
    <w:p w:rsidR="000E14DA" w:rsidRPr="00175925" w:rsidRDefault="000E14DA" w:rsidP="000E14DA">
      <w:pPr>
        <w:spacing w:after="0" w:line="240" w:lineRule="auto"/>
        <w:jc w:val="both"/>
        <w:rPr>
          <w:rFonts w:ascii="Times New Roman" w:hAnsi="Times New Roman"/>
          <w:sz w:val="20"/>
          <w:szCs w:val="20"/>
          <w:lang w:val="en-GB"/>
        </w:rPr>
      </w:pPr>
    </w:p>
    <w:p w:rsidR="000E14DA" w:rsidRPr="00175925" w:rsidRDefault="000E14DA" w:rsidP="000E14DA">
      <w:pPr>
        <w:spacing w:after="0" w:line="240" w:lineRule="auto"/>
        <w:jc w:val="both"/>
        <w:rPr>
          <w:rFonts w:ascii="Times New Roman" w:hAnsi="Times New Roman"/>
          <w:b/>
          <w:bCs/>
          <w:sz w:val="20"/>
          <w:szCs w:val="20"/>
          <w:lang w:val="en-GB"/>
        </w:rPr>
      </w:pPr>
      <w:r w:rsidRPr="00175925">
        <w:rPr>
          <w:rFonts w:ascii="Times New Roman" w:hAnsi="Times New Roman"/>
          <w:b/>
          <w:bCs/>
          <w:sz w:val="20"/>
          <w:szCs w:val="20"/>
          <w:lang w:val="en-GB"/>
        </w:rPr>
        <w:t xml:space="preserve">Growth and maintenance of </w:t>
      </w:r>
      <w:r w:rsidRPr="00175925">
        <w:rPr>
          <w:rFonts w:ascii="Times New Roman" w:hAnsi="Times New Roman"/>
          <w:b/>
          <w:bCs/>
          <w:i/>
          <w:iCs/>
          <w:sz w:val="20"/>
          <w:szCs w:val="20"/>
          <w:lang w:val="en-GB"/>
        </w:rPr>
        <w:t>Candida albicans</w:t>
      </w: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bCs/>
          <w:i/>
          <w:iCs/>
          <w:sz w:val="20"/>
          <w:szCs w:val="20"/>
          <w:lang w:val="en-GB"/>
        </w:rPr>
        <w:t>Candida albicans</w:t>
      </w:r>
      <w:r w:rsidRPr="00175925">
        <w:rPr>
          <w:rFonts w:ascii="Times New Roman" w:hAnsi="Times New Roman"/>
          <w:bCs/>
          <w:iCs/>
          <w:sz w:val="20"/>
          <w:szCs w:val="20"/>
          <w:lang w:val="en-GB"/>
        </w:rPr>
        <w:t xml:space="preserve"> </w:t>
      </w:r>
      <w:r w:rsidRPr="00175925">
        <w:rPr>
          <w:rFonts w:ascii="Times New Roman" w:hAnsi="Times New Roman"/>
          <w:bCs/>
          <w:sz w:val="20"/>
          <w:szCs w:val="20"/>
          <w:lang w:val="en-GB"/>
        </w:rPr>
        <w:t xml:space="preserve">(strain MYA 4901) was obtained from American Type Culture Collection (ATCC), subculture from freezer stocks at 4 °C onto yeast extract peptone dextrose (YPD) agar plates and incubated at 36 </w:t>
      </w:r>
      <w:bookmarkStart w:id="2" w:name="_Hlk520801133"/>
      <w:r w:rsidRPr="00175925">
        <w:rPr>
          <w:rFonts w:ascii="Times New Roman" w:hAnsi="Times New Roman"/>
          <w:bCs/>
          <w:sz w:val="20"/>
          <w:szCs w:val="20"/>
          <w:lang w:val="en-GB"/>
        </w:rPr>
        <w:t xml:space="preserve">°C </w:t>
      </w:r>
      <w:bookmarkEnd w:id="2"/>
      <w:r w:rsidRPr="00175925">
        <w:rPr>
          <w:rFonts w:ascii="Times New Roman" w:hAnsi="Times New Roman"/>
          <w:bCs/>
          <w:sz w:val="20"/>
          <w:szCs w:val="20"/>
          <w:lang w:val="en-GB"/>
        </w:rPr>
        <w:t xml:space="preserve">overnight to generate </w:t>
      </w:r>
      <w:r w:rsidRPr="00175925">
        <w:rPr>
          <w:rFonts w:ascii="Times New Roman" w:hAnsi="Times New Roman"/>
          <w:bCs/>
          <w:i/>
          <w:iCs/>
          <w:sz w:val="20"/>
          <w:szCs w:val="20"/>
          <w:lang w:val="en-GB"/>
        </w:rPr>
        <w:t>C. albicans</w:t>
      </w:r>
      <w:r w:rsidRPr="00175925">
        <w:rPr>
          <w:rFonts w:ascii="Times New Roman" w:hAnsi="Times New Roman"/>
          <w:bCs/>
          <w:sz w:val="20"/>
          <w:szCs w:val="20"/>
          <w:lang w:val="en-GB"/>
        </w:rPr>
        <w:t xml:space="preserve"> yeast used for the experiments.</w:t>
      </w:r>
    </w:p>
    <w:p w:rsidR="000E14DA" w:rsidRPr="00175925" w:rsidRDefault="000E14DA" w:rsidP="000E14DA">
      <w:pPr>
        <w:spacing w:after="0" w:line="240" w:lineRule="auto"/>
        <w:jc w:val="both"/>
        <w:rPr>
          <w:rFonts w:ascii="Times New Roman" w:hAnsi="Times New Roman"/>
          <w:sz w:val="20"/>
          <w:szCs w:val="20"/>
          <w:lang w:val="en-GB"/>
        </w:rPr>
      </w:pP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b/>
          <w:bCs/>
          <w:sz w:val="20"/>
          <w:szCs w:val="20"/>
          <w:lang w:val="en-GB"/>
        </w:rPr>
        <w:t>Culture conditions and preparation of fungal suspensions</w:t>
      </w:r>
      <w:bookmarkStart w:id="3" w:name="_Hlk512585061"/>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Preparations for fungal suspensions were done according to the LIVE/DEAD BacLight Bacterial Viability Kit L7012 (Invitrogen, Carlsbad, CA, USA) manual that has been previously used for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by Vasconceles et al. [7].</w:t>
      </w:r>
      <w:r w:rsidRPr="00175925">
        <w:rPr>
          <w:rFonts w:ascii="Times New Roman" w:hAnsi="Times New Roman"/>
          <w:sz w:val="24"/>
          <w:szCs w:val="24"/>
          <w:lang w:val="en-GB"/>
        </w:rPr>
        <w:t xml:space="preserve"> </w:t>
      </w:r>
      <w:r w:rsidRPr="00175925">
        <w:rPr>
          <w:rFonts w:ascii="Times New Roman" w:hAnsi="Times New Roman"/>
          <w:sz w:val="20"/>
          <w:szCs w:val="20"/>
          <w:lang w:val="en-GB"/>
        </w:rPr>
        <w:t xml:space="preserve">Briefly, 30 mL culture of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was grown from a single colony in nutrient YPD broth and incubated at 36 </w:t>
      </w:r>
      <w:r w:rsidRPr="00175925">
        <w:rPr>
          <w:rFonts w:ascii="Cambria Math" w:hAnsi="Cambria Math" w:cs="Cambria Math"/>
          <w:sz w:val="20"/>
          <w:szCs w:val="20"/>
          <w:lang w:val="en-GB"/>
        </w:rPr>
        <w:t>℃</w:t>
      </w:r>
      <w:r w:rsidRPr="00175925">
        <w:rPr>
          <w:rFonts w:ascii="Times New Roman" w:hAnsi="Times New Roman"/>
          <w:sz w:val="20"/>
          <w:szCs w:val="20"/>
          <w:lang w:val="en-GB"/>
        </w:rPr>
        <w:t xml:space="preserve"> for 12 hours. Reading of optical density of the broth culture was taken using a spectrophotometer at 600 nm by a microplate reader and was adjusted to 1 × 10</w:t>
      </w:r>
      <w:r w:rsidRPr="00175925">
        <w:rPr>
          <w:rFonts w:ascii="Times New Roman" w:hAnsi="Times New Roman"/>
          <w:sz w:val="20"/>
          <w:szCs w:val="20"/>
          <w:vertAlign w:val="superscript"/>
          <w:lang w:val="en-GB"/>
        </w:rPr>
        <w:t xml:space="preserve">7 </w:t>
      </w:r>
      <w:r w:rsidRPr="00175925">
        <w:rPr>
          <w:rFonts w:ascii="Times New Roman" w:hAnsi="Times New Roman"/>
          <w:sz w:val="20"/>
          <w:szCs w:val="20"/>
          <w:lang w:val="en-GB"/>
        </w:rPr>
        <w:t>cell/mL (OD</w:t>
      </w:r>
      <w:r w:rsidRPr="00175925">
        <w:rPr>
          <w:rFonts w:ascii="Times New Roman" w:hAnsi="Times New Roman"/>
          <w:sz w:val="20"/>
          <w:szCs w:val="20"/>
          <w:vertAlign w:val="subscript"/>
          <w:lang w:val="en-GB"/>
        </w:rPr>
        <w:t>600</w:t>
      </w:r>
      <w:r w:rsidRPr="00175925">
        <w:rPr>
          <w:rFonts w:ascii="Times New Roman" w:hAnsi="Times New Roman"/>
          <w:sz w:val="20"/>
          <w:szCs w:val="20"/>
          <w:lang w:val="en-GB"/>
        </w:rPr>
        <w:t xml:space="preserve"> ~0.38) [13]. The culture then was concentrated by centrifugation at 10,000 × </w:t>
      </w:r>
      <w:r w:rsidRPr="00175925">
        <w:rPr>
          <w:rFonts w:ascii="Times New Roman" w:hAnsi="Times New Roman"/>
          <w:i/>
          <w:sz w:val="20"/>
          <w:szCs w:val="20"/>
          <w:lang w:val="en-GB"/>
        </w:rPr>
        <w:t>g</w:t>
      </w:r>
      <w:r w:rsidRPr="00175925">
        <w:rPr>
          <w:rFonts w:ascii="Times New Roman" w:hAnsi="Times New Roman"/>
          <w:sz w:val="20"/>
          <w:szCs w:val="20"/>
          <w:lang w:val="en-GB"/>
        </w:rPr>
        <w:t xml:space="preserve"> for 15 minutes. The supernatant was removed and the pellet was suspended in 2 mL of 0.85% NaCl. Each mL of this suspension was added to tubes containing 10 mL of 0.85% NaCl, 10 mL of 70% ethanol, 10 mL of AVCO, and 10 mL of VCO. All samples were incubated at room temperature for 1 hour and were pelleted by centrifugation at 10,000 × </w:t>
      </w:r>
      <w:r w:rsidRPr="00175925">
        <w:rPr>
          <w:rFonts w:ascii="Times New Roman" w:hAnsi="Times New Roman"/>
          <w:i/>
          <w:sz w:val="20"/>
          <w:szCs w:val="20"/>
          <w:lang w:val="en-GB"/>
        </w:rPr>
        <w:t>g</w:t>
      </w:r>
      <w:r w:rsidRPr="00175925">
        <w:rPr>
          <w:rFonts w:ascii="Times New Roman" w:hAnsi="Times New Roman"/>
          <w:sz w:val="20"/>
          <w:szCs w:val="20"/>
          <w:lang w:val="en-GB"/>
        </w:rPr>
        <w:t xml:space="preserve"> for 15 minutes. After centrifugation, the supernatant was discarded and all pellets were resuspended in 10 mL of 0.85% NaCl. The optical density of a 200 µL aliquot of the fungal suspensions was determined in 96-well plates at 600 nm.</w:t>
      </w:r>
      <w:bookmarkEnd w:id="3"/>
    </w:p>
    <w:p w:rsidR="000E14DA" w:rsidRPr="00175925" w:rsidRDefault="000E14DA" w:rsidP="000E14DA">
      <w:pPr>
        <w:spacing w:after="0" w:line="240" w:lineRule="auto"/>
        <w:jc w:val="both"/>
        <w:rPr>
          <w:rFonts w:ascii="Times New Roman" w:hAnsi="Times New Roman"/>
          <w:sz w:val="20"/>
          <w:szCs w:val="20"/>
          <w:lang w:val="en-GB"/>
        </w:rPr>
      </w:pP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b/>
          <w:bCs/>
          <w:sz w:val="20"/>
          <w:szCs w:val="20"/>
          <w:lang w:val="en-GB"/>
        </w:rPr>
        <w:t>Staining fungi in suspension with SYTO 9 and propidium iodide (PI)</w:t>
      </w: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Cell viability was assessed using SYTO 9 and propidium iodide (PI) included in the LIVE/DEAD BacLight Bacterial Viability Kit, as per manufacturer’s directions. Equal volumes of SYTO 9 and PI in a microfuge tube were combined and mixed thoroughly. Three microlitres of the dye was added for each mL of the suspension. The suspension was mixed thoroughly and incubated at room temperature in the dark for 15 minutes. Then, 15 µL of the stained suspension was trapped between a slide and an 18-mm</w:t>
      </w:r>
      <w:r w:rsidRPr="00175925">
        <w:rPr>
          <w:rFonts w:ascii="Times New Roman" w:hAnsi="Times New Roman"/>
          <w:sz w:val="20"/>
          <w:szCs w:val="20"/>
          <w:vertAlign w:val="superscript"/>
          <w:lang w:val="en-GB"/>
        </w:rPr>
        <w:t>2</w:t>
      </w:r>
      <w:r w:rsidRPr="00175925">
        <w:rPr>
          <w:rFonts w:ascii="Times New Roman" w:hAnsi="Times New Roman"/>
          <w:sz w:val="20"/>
          <w:szCs w:val="20"/>
          <w:lang w:val="en-GB"/>
        </w:rPr>
        <w:t xml:space="preserve"> coverslip. The suspension was observed under a fluorescence microscope equipped with filter sets FITC (excitation wavelength: 467–498 nm, emission wavelength: 513–556 nm) and TRITC (excitation wavelength: 540–580 nm, emission filter: 600–660 nm). The viability of yeast cells was visualized by using fluorescence microscopy (Nikon Eclipse T</w:t>
      </w:r>
      <w:r w:rsidRPr="00175925">
        <w:rPr>
          <w:rFonts w:ascii="Times New Roman" w:hAnsi="Times New Roman"/>
          <w:i/>
          <w:iCs/>
          <w:sz w:val="20"/>
          <w:szCs w:val="20"/>
          <w:lang w:val="en-GB"/>
        </w:rPr>
        <w:t>i</w:t>
      </w:r>
      <w:r w:rsidRPr="00175925">
        <w:rPr>
          <w:rFonts w:ascii="Times New Roman" w:hAnsi="Times New Roman"/>
          <w:sz w:val="20"/>
          <w:szCs w:val="20"/>
          <w:lang w:val="en-GB"/>
        </w:rPr>
        <w:t>, Japan) at a resolution of 1280 × 960. Cells with intact membranes appeared green, whereas cells with compromised membranes appeared red.</w:t>
      </w:r>
    </w:p>
    <w:p w:rsidR="000E14DA" w:rsidRPr="00175925" w:rsidRDefault="000E14DA" w:rsidP="000E14DA">
      <w:pPr>
        <w:spacing w:after="0" w:line="240" w:lineRule="auto"/>
        <w:jc w:val="both"/>
        <w:rPr>
          <w:rFonts w:ascii="Times New Roman" w:hAnsi="Times New Roman"/>
          <w:sz w:val="20"/>
          <w:szCs w:val="20"/>
          <w:lang w:val="en-GB"/>
        </w:rPr>
      </w:pP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b/>
          <w:bCs/>
          <w:sz w:val="20"/>
          <w:szCs w:val="20"/>
          <w:lang w:val="en-GB"/>
        </w:rPr>
        <w:t>Calculations for live and dead cells</w:t>
      </w:r>
    </w:p>
    <w:p w:rsidR="000E14DA" w:rsidRPr="00175925" w:rsidRDefault="000E14DA" w:rsidP="000E14DA">
      <w:pPr>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To determine the number of cells, five sides of the slide covered with cover slid were chosen. The stained cells were counted manually for live and dead cells separately using ImageJ software (https://imagej.nih.gov/ij/). The following formula was used to calculate the percentage of dead cells.</w:t>
      </w:r>
    </w:p>
    <w:p w:rsidR="000E14DA" w:rsidRPr="00175925" w:rsidRDefault="000E14DA" w:rsidP="000E14DA">
      <w:pPr>
        <w:spacing w:after="0" w:line="240" w:lineRule="auto"/>
        <w:jc w:val="both"/>
        <w:rPr>
          <w:rFonts w:ascii="Times New Roman" w:hAnsi="Times New Roman"/>
          <w:sz w:val="20"/>
          <w:szCs w:val="20"/>
          <w:lang w:val="en-GB"/>
        </w:rPr>
      </w:pPr>
    </w:p>
    <w:p w:rsidR="000E14DA" w:rsidRPr="00175925" w:rsidRDefault="006B3239" w:rsidP="000E14DA">
      <w:pPr>
        <w:spacing w:after="0" w:line="240" w:lineRule="auto"/>
        <w:ind w:left="720" w:firstLine="360"/>
        <w:jc w:val="both"/>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Total number of dead cells</m:t>
            </m:r>
          </m:num>
          <m:den>
            <m:r>
              <w:rPr>
                <w:rFonts w:ascii="Cambria Math" w:hAnsi="Cambria Math"/>
                <w:sz w:val="20"/>
                <w:szCs w:val="20"/>
                <w:lang w:val="en-GB"/>
              </w:rPr>
              <m:t>Total number of cells</m:t>
            </m:r>
          </m:den>
        </m:f>
        <m:r>
          <w:rPr>
            <w:rFonts w:ascii="Cambria Math" w:hAnsi="Cambria Math"/>
            <w:sz w:val="20"/>
            <w:szCs w:val="20"/>
            <w:lang w:val="en-GB"/>
          </w:rPr>
          <m:t xml:space="preserve"> ×100%</m:t>
        </m:r>
      </m:oMath>
      <w:r w:rsidR="000E14DA" w:rsidRPr="00175925">
        <w:rPr>
          <w:rFonts w:ascii="Times New Roman" w:hAnsi="Times New Roman"/>
          <w:sz w:val="20"/>
          <w:szCs w:val="20"/>
          <w:lang w:val="en-GB"/>
        </w:rPr>
        <w:tab/>
      </w:r>
      <w:r w:rsidR="000E14DA" w:rsidRPr="00175925">
        <w:rPr>
          <w:rFonts w:ascii="Times New Roman" w:hAnsi="Times New Roman"/>
          <w:sz w:val="20"/>
          <w:szCs w:val="20"/>
          <w:lang w:val="en-GB"/>
        </w:rPr>
        <w:tab/>
      </w:r>
      <w:r w:rsidR="000E14DA" w:rsidRPr="00175925">
        <w:rPr>
          <w:rFonts w:ascii="Times New Roman" w:hAnsi="Times New Roman"/>
          <w:sz w:val="20"/>
          <w:szCs w:val="20"/>
          <w:lang w:val="en-GB"/>
        </w:rPr>
        <w:tab/>
      </w:r>
      <w:r w:rsidR="000E14DA" w:rsidRPr="00175925">
        <w:rPr>
          <w:rFonts w:ascii="Times New Roman" w:hAnsi="Times New Roman"/>
          <w:sz w:val="20"/>
          <w:szCs w:val="20"/>
          <w:lang w:val="en-GB"/>
        </w:rPr>
        <w:tab/>
      </w:r>
      <w:r w:rsidR="000E14DA" w:rsidRPr="00175925">
        <w:rPr>
          <w:rFonts w:ascii="Times New Roman" w:hAnsi="Times New Roman"/>
          <w:sz w:val="20"/>
          <w:szCs w:val="20"/>
          <w:lang w:val="en-GB"/>
        </w:rPr>
        <w:tab/>
      </w:r>
      <w:r w:rsidR="000E14DA" w:rsidRPr="00175925">
        <w:rPr>
          <w:rFonts w:ascii="Times New Roman" w:hAnsi="Times New Roman"/>
          <w:sz w:val="20"/>
          <w:szCs w:val="20"/>
          <w:lang w:val="en-GB"/>
        </w:rPr>
        <w:tab/>
      </w:r>
      <w:r w:rsidR="000E14DA" w:rsidRPr="00175925">
        <w:rPr>
          <w:rFonts w:ascii="Times New Roman" w:hAnsi="Times New Roman"/>
          <w:sz w:val="20"/>
          <w:szCs w:val="20"/>
          <w:lang w:val="en-GB"/>
        </w:rPr>
        <w:tab/>
      </w:r>
      <w:r w:rsidR="000E14DA">
        <w:rPr>
          <w:rFonts w:ascii="Times New Roman" w:hAnsi="Times New Roman"/>
          <w:sz w:val="20"/>
          <w:szCs w:val="20"/>
          <w:lang w:val="en-GB"/>
        </w:rPr>
        <w:t xml:space="preserve">         </w:t>
      </w:r>
      <w:r w:rsidR="000E14DA" w:rsidRPr="00175925">
        <w:rPr>
          <w:rFonts w:ascii="Times New Roman" w:hAnsi="Times New Roman"/>
          <w:sz w:val="20"/>
          <w:szCs w:val="20"/>
          <w:lang w:val="en-GB"/>
        </w:rPr>
        <w:t>(1)</w:t>
      </w:r>
    </w:p>
    <w:p w:rsidR="000E14DA" w:rsidRPr="00175925" w:rsidRDefault="000E14DA" w:rsidP="000E14DA">
      <w:pPr>
        <w:tabs>
          <w:tab w:val="left" w:pos="8140"/>
        </w:tabs>
        <w:spacing w:after="0" w:line="240" w:lineRule="auto"/>
        <w:jc w:val="both"/>
        <w:rPr>
          <w:rFonts w:ascii="Times New Roman" w:hAnsi="Times New Roman"/>
          <w:b/>
          <w:bCs/>
          <w:sz w:val="20"/>
          <w:szCs w:val="20"/>
          <w:lang w:val="en-GB"/>
        </w:rPr>
      </w:pPr>
    </w:p>
    <w:p w:rsidR="000E14DA" w:rsidRPr="00175925" w:rsidRDefault="000E14DA" w:rsidP="000E14DA">
      <w:pPr>
        <w:tabs>
          <w:tab w:val="left" w:pos="8140"/>
        </w:tabs>
        <w:spacing w:after="0" w:line="240" w:lineRule="auto"/>
        <w:jc w:val="both"/>
        <w:rPr>
          <w:rFonts w:ascii="Times New Roman" w:hAnsi="Times New Roman"/>
          <w:b/>
          <w:bCs/>
          <w:sz w:val="20"/>
          <w:szCs w:val="20"/>
          <w:lang w:val="en-GB"/>
        </w:rPr>
      </w:pPr>
      <w:r w:rsidRPr="00175925">
        <w:rPr>
          <w:rFonts w:ascii="Times New Roman" w:hAnsi="Times New Roman"/>
          <w:b/>
          <w:bCs/>
          <w:sz w:val="20"/>
          <w:szCs w:val="20"/>
          <w:lang w:val="en-GB"/>
        </w:rPr>
        <w:t>Statistical analysis</w:t>
      </w:r>
    </w:p>
    <w:p w:rsidR="000E14DA" w:rsidRPr="00175925" w:rsidRDefault="000E14DA" w:rsidP="000E14DA">
      <w:pPr>
        <w:tabs>
          <w:tab w:val="left" w:pos="8140"/>
        </w:tabs>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Data were analysed statistically by one-way ANOVA and Tukey’s test to evaluate the mean difference with standard deviation (mean ± standard deviation) between the control and the test groups and the level of significance was compared at </w:t>
      </w:r>
      <w:r w:rsidRPr="00175925">
        <w:rPr>
          <w:rFonts w:ascii="Times New Roman" w:hAnsi="Times New Roman"/>
          <w:i/>
          <w:iCs/>
          <w:sz w:val="20"/>
          <w:szCs w:val="20"/>
          <w:lang w:val="en-GB"/>
        </w:rPr>
        <w:t xml:space="preserve">p &lt; </w:t>
      </w:r>
      <w:r w:rsidRPr="00175925">
        <w:rPr>
          <w:rFonts w:ascii="Times New Roman" w:hAnsi="Times New Roman"/>
          <w:sz w:val="20"/>
          <w:szCs w:val="20"/>
          <w:lang w:val="en-GB"/>
        </w:rPr>
        <w:t>0.01. All experimental results were triplicated.</w:t>
      </w:r>
    </w:p>
    <w:p w:rsidR="000E14DA" w:rsidRPr="00F447A7" w:rsidRDefault="000E14DA" w:rsidP="000E14DA">
      <w:pPr>
        <w:spacing w:after="0" w:line="240" w:lineRule="auto"/>
        <w:jc w:val="center"/>
        <w:rPr>
          <w:rFonts w:ascii="Times New Roman" w:hAnsi="Times New Roman"/>
          <w:noProof/>
          <w:sz w:val="20"/>
          <w:szCs w:val="20"/>
          <w:lang w:bidi="ar-SA"/>
        </w:rPr>
      </w:pPr>
    </w:p>
    <w:p w:rsidR="000E14DA" w:rsidRPr="00F447A7" w:rsidRDefault="000E14DA" w:rsidP="000E14D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E14DA" w:rsidRDefault="000E14DA" w:rsidP="000E14DA">
      <w:pPr>
        <w:tabs>
          <w:tab w:val="left" w:pos="720"/>
          <w:tab w:val="left" w:pos="8140"/>
        </w:tabs>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The results on cell quantification of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treated with AVCO and VCO for three different periods of exposure (1, 2, and 3 hours) by fluorescence microscopy are shown in Table 1. The average value of the three exposure times of the viable cells of the negative control (saline) and crude extract of VCO was similar with no significant statistical difference between them (</w:t>
      </w:r>
      <w:r w:rsidRPr="00175925">
        <w:rPr>
          <w:rFonts w:ascii="Times New Roman" w:hAnsi="Times New Roman"/>
          <w:i/>
          <w:iCs/>
          <w:sz w:val="20"/>
          <w:szCs w:val="20"/>
          <w:lang w:val="en-GB"/>
        </w:rPr>
        <w:t xml:space="preserve">p &lt; </w:t>
      </w:r>
      <w:r w:rsidRPr="00175925">
        <w:rPr>
          <w:rFonts w:ascii="Times New Roman" w:hAnsi="Times New Roman"/>
          <w:sz w:val="20"/>
          <w:szCs w:val="20"/>
          <w:lang w:val="en-GB"/>
        </w:rPr>
        <w:t>0.01). In contrast, the result assays showed that AVCO efficiently reduced cell viability like the positive control (</w:t>
      </w:r>
      <w:r w:rsidRPr="00175925">
        <w:rPr>
          <w:rFonts w:ascii="Times New Roman" w:hAnsi="Times New Roman"/>
          <w:i/>
          <w:iCs/>
          <w:sz w:val="20"/>
          <w:szCs w:val="20"/>
          <w:lang w:val="en-GB"/>
        </w:rPr>
        <w:t>p &lt;</w:t>
      </w:r>
      <w:r w:rsidRPr="00175925">
        <w:rPr>
          <w:rFonts w:ascii="Times New Roman" w:hAnsi="Times New Roman"/>
          <w:sz w:val="20"/>
          <w:szCs w:val="20"/>
          <w:lang w:val="en-GB"/>
        </w:rPr>
        <w:t xml:space="preserve"> 0.01) after 2 hours incubation period. No significant changes </w:t>
      </w:r>
      <w:r>
        <w:rPr>
          <w:rFonts w:ascii="Times New Roman" w:hAnsi="Times New Roman"/>
          <w:sz w:val="20"/>
          <w:szCs w:val="20"/>
          <w:lang w:val="en-GB"/>
        </w:rPr>
        <w:t xml:space="preserve"> </w:t>
      </w:r>
      <w:r w:rsidRPr="00175925">
        <w:rPr>
          <w:rFonts w:ascii="Times New Roman" w:hAnsi="Times New Roman"/>
          <w:sz w:val="20"/>
          <w:szCs w:val="20"/>
          <w:lang w:val="en-GB"/>
        </w:rPr>
        <w:t xml:space="preserve">between </w:t>
      </w:r>
      <w:r>
        <w:rPr>
          <w:rFonts w:ascii="Times New Roman" w:hAnsi="Times New Roman"/>
          <w:sz w:val="20"/>
          <w:szCs w:val="20"/>
          <w:lang w:val="en-GB"/>
        </w:rPr>
        <w:t xml:space="preserve"> </w:t>
      </w:r>
      <w:r w:rsidRPr="00175925">
        <w:rPr>
          <w:rFonts w:ascii="Times New Roman" w:hAnsi="Times New Roman"/>
          <w:sz w:val="20"/>
          <w:szCs w:val="20"/>
          <w:lang w:val="en-GB"/>
        </w:rPr>
        <w:t xml:space="preserve">three different incubation periods were seen after treating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with AVCO or VCO (Table 1).</w:t>
      </w:r>
    </w:p>
    <w:p w:rsidR="000E14DA" w:rsidRPr="00175925" w:rsidRDefault="000E14DA" w:rsidP="000E14DA">
      <w:pPr>
        <w:tabs>
          <w:tab w:val="left" w:pos="720"/>
          <w:tab w:val="left" w:pos="8140"/>
        </w:tabs>
        <w:spacing w:after="0" w:line="240" w:lineRule="auto"/>
        <w:jc w:val="both"/>
        <w:rPr>
          <w:rFonts w:ascii="Times New Roman" w:hAnsi="Times New Roman"/>
          <w:sz w:val="20"/>
          <w:szCs w:val="20"/>
          <w:lang w:val="en-GB"/>
        </w:rPr>
      </w:pPr>
    </w:p>
    <w:p w:rsidR="000E14DA" w:rsidRPr="00175925" w:rsidRDefault="000E14DA" w:rsidP="000E14DA">
      <w:pPr>
        <w:tabs>
          <w:tab w:val="left" w:pos="8140"/>
        </w:tabs>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This research utilised the minimal fungicidal concentration of AVCO and VCO to assess the viability of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Generally, antifungal agents target various part of fungal cells such as cell walls, nuclei, membranes, and microtubules. An increase in plasma membrane permeability is associated with the disturbance of intracellular electrochemical gradient. The viability test for fungal cells by using the combination of SYTO 9 and PI is suitable for the present study because they stain tissues regardless of cell morphology [6]. The change in membrane integrity of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was evaluated using PI where the dye penetrates and fluoresces the damaged membrane of the cell.</w:t>
      </w:r>
    </w:p>
    <w:p w:rsidR="000E14DA" w:rsidRPr="00175925" w:rsidRDefault="000E14DA" w:rsidP="000E14DA">
      <w:pPr>
        <w:tabs>
          <w:tab w:val="left" w:pos="8140"/>
        </w:tabs>
        <w:spacing w:after="0" w:line="240" w:lineRule="auto"/>
        <w:jc w:val="both"/>
        <w:rPr>
          <w:rFonts w:ascii="Times New Roman" w:hAnsi="Times New Roman"/>
          <w:sz w:val="20"/>
          <w:szCs w:val="20"/>
          <w:lang w:val="en-GB"/>
        </w:rPr>
      </w:pPr>
    </w:p>
    <w:p w:rsidR="000E14DA" w:rsidRPr="00175925" w:rsidRDefault="000E14DA" w:rsidP="000E14DA">
      <w:pPr>
        <w:tabs>
          <w:tab w:val="left" w:pos="8140"/>
        </w:tabs>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Our finding is consistent with a recent report that showed AVCO having a significant antifungal activity with an MFC value of 6.24 mg/mL and a </w:t>
      </w:r>
      <w:r w:rsidRPr="00175925">
        <w:rPr>
          <w:rFonts w:ascii="Times New Roman" w:hAnsi="Times New Roman"/>
          <w:i/>
          <w:iCs/>
          <w:sz w:val="20"/>
          <w:szCs w:val="20"/>
          <w:lang w:val="en-GB"/>
        </w:rPr>
        <w:t>p</w:t>
      </w:r>
      <w:r w:rsidRPr="00175925">
        <w:rPr>
          <w:rFonts w:ascii="Times New Roman" w:hAnsi="Times New Roman"/>
          <w:sz w:val="20"/>
          <w:szCs w:val="20"/>
          <w:lang w:val="en-GB"/>
        </w:rPr>
        <w:t xml:space="preserve">-value of less than 0.01 compared to the crude extract of VCO, which did not show any major activity against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[24]</w:t>
      </w:r>
      <w:r w:rsidRPr="00175925">
        <w:rPr>
          <w:rFonts w:ascii="Times New Roman" w:hAnsi="Times New Roman"/>
          <w:iCs/>
          <w:sz w:val="20"/>
          <w:szCs w:val="20"/>
          <w:lang w:val="en-GB"/>
        </w:rPr>
        <w:t>.</w:t>
      </w:r>
      <w:r w:rsidRPr="00175925">
        <w:rPr>
          <w:rFonts w:ascii="Times New Roman" w:hAnsi="Times New Roman"/>
          <w:sz w:val="20"/>
          <w:szCs w:val="20"/>
          <w:lang w:val="en-GB"/>
        </w:rPr>
        <w:t xml:space="preserve"> The mechanism of action </w:t>
      </w:r>
      <w:r w:rsidRPr="00175925">
        <w:rPr>
          <w:rFonts w:ascii="Times New Roman" w:eastAsia="RotisSemiSansStd" w:hAnsi="Times New Roman"/>
          <w:sz w:val="20"/>
          <w:szCs w:val="20"/>
          <w:lang w:val="en-GB"/>
        </w:rPr>
        <w:t>of AVCO is related to the solubilisation of the cell membrane that causes the cells to be lysed, which is indicated by the permeation of PI on the cell membrane after exposure to AVCO. SYTO 9 penetrates intact membranes of viable cells and sometimes stains non-viable cells and appears green/yellow. Meanwhile, PI only stains dead cells and appears red.</w:t>
      </w:r>
    </w:p>
    <w:p w:rsidR="000E14DA" w:rsidRDefault="000E14DA" w:rsidP="000E14DA">
      <w:pPr>
        <w:tabs>
          <w:tab w:val="left" w:pos="720"/>
          <w:tab w:val="left" w:pos="8140"/>
        </w:tabs>
        <w:spacing w:after="120" w:line="240" w:lineRule="auto"/>
        <w:jc w:val="both"/>
        <w:rPr>
          <w:rFonts w:ascii="Times New Roman" w:hAnsi="Times New Roman"/>
          <w:sz w:val="20"/>
          <w:szCs w:val="20"/>
          <w:lang w:val="en-GB"/>
        </w:rPr>
      </w:pPr>
    </w:p>
    <w:p w:rsidR="000E14DA" w:rsidRDefault="000E14DA" w:rsidP="000E14DA">
      <w:pPr>
        <w:tabs>
          <w:tab w:val="left" w:pos="720"/>
          <w:tab w:val="left" w:pos="8140"/>
        </w:tabs>
        <w:spacing w:after="120" w:line="240" w:lineRule="auto"/>
        <w:jc w:val="both"/>
        <w:rPr>
          <w:rFonts w:ascii="Times New Roman" w:hAnsi="Times New Roman"/>
          <w:sz w:val="20"/>
          <w:szCs w:val="20"/>
          <w:lang w:val="en-GB"/>
        </w:rPr>
      </w:pPr>
    </w:p>
    <w:p w:rsidR="000E14DA" w:rsidRDefault="000E14DA" w:rsidP="000E14DA">
      <w:pPr>
        <w:tabs>
          <w:tab w:val="left" w:pos="720"/>
          <w:tab w:val="left" w:pos="8140"/>
        </w:tabs>
        <w:spacing w:after="120" w:line="240" w:lineRule="auto"/>
        <w:jc w:val="both"/>
        <w:rPr>
          <w:rFonts w:ascii="Times New Roman" w:hAnsi="Times New Roman"/>
          <w:sz w:val="20"/>
          <w:szCs w:val="20"/>
          <w:lang w:val="en-GB"/>
        </w:rPr>
      </w:pPr>
    </w:p>
    <w:p w:rsidR="000E14DA" w:rsidRPr="00175925" w:rsidRDefault="000E14DA" w:rsidP="000E14DA">
      <w:pPr>
        <w:tabs>
          <w:tab w:val="left" w:pos="720"/>
          <w:tab w:val="left" w:pos="8140"/>
        </w:tabs>
        <w:spacing w:after="120" w:line="240" w:lineRule="auto"/>
        <w:jc w:val="both"/>
        <w:rPr>
          <w:rFonts w:ascii="Times New Roman" w:hAnsi="Times New Roman"/>
          <w:sz w:val="20"/>
          <w:szCs w:val="20"/>
          <w:lang w:val="en-GB"/>
        </w:rPr>
      </w:pPr>
    </w:p>
    <w:p w:rsidR="000E14DA" w:rsidRPr="00175925" w:rsidRDefault="000E14DA" w:rsidP="000E14DA">
      <w:pPr>
        <w:tabs>
          <w:tab w:val="left" w:pos="8140"/>
        </w:tabs>
        <w:spacing w:after="0" w:line="240" w:lineRule="auto"/>
        <w:jc w:val="center"/>
        <w:rPr>
          <w:rFonts w:ascii="Times New Roman" w:hAnsi="Times New Roman"/>
          <w:sz w:val="20"/>
          <w:szCs w:val="20"/>
          <w:lang w:val="en-GB"/>
        </w:rPr>
      </w:pPr>
      <w:r w:rsidRPr="00175925">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175925">
        <w:rPr>
          <w:rFonts w:ascii="Times New Roman" w:hAnsi="Times New Roman"/>
          <w:sz w:val="20"/>
          <w:szCs w:val="20"/>
          <w:lang w:val="en-GB"/>
        </w:rPr>
        <w:t>Number of dead cells and percentage distribution of dead cells after staining</w:t>
      </w:r>
    </w:p>
    <w:tbl>
      <w:tblPr>
        <w:tblStyle w:val="PlainTable2"/>
        <w:tblpPr w:leftFromText="180" w:rightFromText="180" w:vertAnchor="text" w:horzAnchor="margin" w:tblpXSpec="center" w:tblpY="127"/>
        <w:tblW w:w="0" w:type="auto"/>
        <w:tblInd w:w="0" w:type="dxa"/>
        <w:tblLook w:val="04A0" w:firstRow="1" w:lastRow="0" w:firstColumn="1" w:lastColumn="0" w:noHBand="0" w:noVBand="1"/>
      </w:tblPr>
      <w:tblGrid>
        <w:gridCol w:w="1732"/>
        <w:gridCol w:w="1522"/>
        <w:gridCol w:w="2164"/>
      </w:tblGrid>
      <w:tr w:rsidR="000E14DA" w:rsidRPr="00175925" w:rsidTr="00EC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auto"/>
              <w:bottom w:val="single" w:sz="4" w:space="0" w:color="auto"/>
            </w:tcBorders>
          </w:tcPr>
          <w:p w:rsidR="000E14DA" w:rsidRPr="00175925" w:rsidRDefault="000E14DA" w:rsidP="00EC19A1">
            <w:pPr>
              <w:tabs>
                <w:tab w:val="left" w:pos="8140"/>
              </w:tabs>
              <w:spacing w:before="60" w:after="0" w:line="240" w:lineRule="auto"/>
              <w:jc w:val="left"/>
              <w:rPr>
                <w:rFonts w:ascii="Times New Roman" w:hAnsi="Times New Roman" w:cs="Times New Roman"/>
                <w:sz w:val="20"/>
                <w:szCs w:val="20"/>
                <w:lang w:val="en-GB"/>
              </w:rPr>
            </w:pPr>
            <w:r w:rsidRPr="00175925">
              <w:rPr>
                <w:rFonts w:ascii="Times New Roman" w:hAnsi="Times New Roman" w:cs="Times New Roman"/>
                <w:sz w:val="20"/>
                <w:szCs w:val="20"/>
                <w:lang w:val="en-GB"/>
              </w:rPr>
              <w:t>Sample</w:t>
            </w:r>
          </w:p>
        </w:tc>
        <w:tc>
          <w:tcPr>
            <w:tcW w:w="0" w:type="auto"/>
            <w:tcBorders>
              <w:top w:val="single" w:sz="4" w:space="0" w:color="auto"/>
              <w:bottom w:val="single" w:sz="4" w:space="0" w:color="auto"/>
            </w:tcBorders>
          </w:tcPr>
          <w:p w:rsidR="000E14DA" w:rsidRPr="00175925" w:rsidRDefault="000E14DA" w:rsidP="00EC19A1">
            <w:pPr>
              <w:tabs>
                <w:tab w:val="left" w:pos="814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175925">
              <w:rPr>
                <w:rFonts w:ascii="Times New Roman" w:hAnsi="Times New Roman" w:cs="Times New Roman"/>
                <w:sz w:val="20"/>
                <w:szCs w:val="20"/>
                <w:lang w:val="en-GB"/>
              </w:rPr>
              <w:t xml:space="preserve">Exposure Time </w:t>
            </w:r>
          </w:p>
          <w:p w:rsidR="000E14DA" w:rsidRPr="00175925" w:rsidRDefault="000E14DA" w:rsidP="00EC19A1">
            <w:pPr>
              <w:tabs>
                <w:tab w:val="left" w:pos="81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(h)</w:t>
            </w:r>
          </w:p>
        </w:tc>
        <w:tc>
          <w:tcPr>
            <w:tcW w:w="2164" w:type="dxa"/>
            <w:tcBorders>
              <w:top w:val="single" w:sz="4" w:space="0" w:color="auto"/>
              <w:bottom w:val="single" w:sz="4" w:space="0" w:color="auto"/>
            </w:tcBorders>
          </w:tcPr>
          <w:p w:rsidR="000E14DA" w:rsidRPr="00175925" w:rsidRDefault="000E14DA" w:rsidP="00EC19A1">
            <w:pPr>
              <w:tabs>
                <w:tab w:val="left" w:pos="814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175925">
              <w:rPr>
                <w:rFonts w:ascii="Times New Roman" w:hAnsi="Times New Roman" w:cs="Times New Roman"/>
                <w:sz w:val="20"/>
                <w:szCs w:val="20"/>
                <w:lang w:val="en-GB"/>
              </w:rPr>
              <w:t xml:space="preserve">Non-Viable Cells </w:t>
            </w:r>
          </w:p>
          <w:p w:rsidR="000E14DA" w:rsidRPr="00175925" w:rsidRDefault="000E14DA" w:rsidP="00EC19A1">
            <w:pPr>
              <w:tabs>
                <w:tab w:val="left" w:pos="8140"/>
              </w:tabs>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w:t>
            </w:r>
          </w:p>
        </w:tc>
      </w:tr>
      <w:tr w:rsidR="000E14DA" w:rsidRPr="00175925" w:rsidTr="00EC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val="restart"/>
            <w:tcBorders>
              <w:top w:val="single" w:sz="4" w:space="0" w:color="auto"/>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r w:rsidRPr="00175925">
              <w:rPr>
                <w:rFonts w:ascii="Times New Roman" w:hAnsi="Times New Roman" w:cs="Times New Roman"/>
                <w:b w:val="0"/>
                <w:bCs w:val="0"/>
                <w:sz w:val="20"/>
                <w:szCs w:val="20"/>
                <w:lang w:val="en-GB"/>
              </w:rPr>
              <w:t>AVCO</w:t>
            </w:r>
          </w:p>
        </w:tc>
        <w:tc>
          <w:tcPr>
            <w:tcW w:w="0" w:type="auto"/>
            <w:tcBorders>
              <w:top w:val="single" w:sz="4" w:space="0" w:color="auto"/>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w:t>
            </w:r>
          </w:p>
        </w:tc>
        <w:tc>
          <w:tcPr>
            <w:tcW w:w="2164" w:type="dxa"/>
            <w:tcBorders>
              <w:top w:val="single" w:sz="4" w:space="0" w:color="auto"/>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91.00 ± 8.06</w:t>
            </w:r>
            <w:r w:rsidRPr="00175925">
              <w:rPr>
                <w:rFonts w:ascii="Times New Roman" w:hAnsi="Times New Roman" w:cs="Times New Roman"/>
                <w:sz w:val="20"/>
                <w:szCs w:val="20"/>
                <w:vertAlign w:val="superscript"/>
                <w:lang w:val="en-GB"/>
              </w:rPr>
              <w:t>a</w:t>
            </w:r>
          </w:p>
        </w:tc>
      </w:tr>
      <w:tr w:rsidR="000E14DA" w:rsidRPr="00175925" w:rsidTr="00EC19A1">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2</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92.42 ± 0.57</w:t>
            </w:r>
            <w:r w:rsidRPr="00175925">
              <w:rPr>
                <w:rFonts w:ascii="Times New Roman" w:hAnsi="Times New Roman" w:cs="Times New Roman"/>
                <w:sz w:val="20"/>
                <w:szCs w:val="20"/>
                <w:vertAlign w:val="superscript"/>
                <w:lang w:val="en-GB"/>
              </w:rPr>
              <w:t>a</w:t>
            </w:r>
          </w:p>
        </w:tc>
      </w:tr>
      <w:tr w:rsidR="000E14DA" w:rsidRPr="00175925" w:rsidTr="00EC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3</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97.68 ± 0.62</w:t>
            </w:r>
            <w:r w:rsidRPr="00175925">
              <w:rPr>
                <w:rFonts w:ascii="Times New Roman" w:hAnsi="Times New Roman" w:cs="Times New Roman"/>
                <w:sz w:val="20"/>
                <w:szCs w:val="20"/>
                <w:vertAlign w:val="superscript"/>
                <w:lang w:val="en-GB"/>
              </w:rPr>
              <w:t>a</w:t>
            </w:r>
          </w:p>
        </w:tc>
      </w:tr>
      <w:tr w:rsidR="000E14DA" w:rsidRPr="00175925" w:rsidTr="00EC19A1">
        <w:tc>
          <w:tcPr>
            <w:cnfStyle w:val="001000000000" w:firstRow="0" w:lastRow="0" w:firstColumn="1" w:lastColumn="0" w:oddVBand="0" w:evenVBand="0" w:oddHBand="0" w:evenHBand="0" w:firstRowFirstColumn="0" w:firstRowLastColumn="0" w:lastRowFirstColumn="0" w:lastRowLastColumn="0"/>
            <w:tcW w:w="1732" w:type="dxa"/>
            <w:vMerge w:val="restart"/>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r w:rsidRPr="00175925">
              <w:rPr>
                <w:rFonts w:ascii="Times New Roman" w:hAnsi="Times New Roman" w:cs="Times New Roman"/>
                <w:b w:val="0"/>
                <w:bCs w:val="0"/>
                <w:sz w:val="20"/>
                <w:szCs w:val="20"/>
                <w:lang w:val="en-GB"/>
              </w:rPr>
              <w:t>VCO</w:t>
            </w: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0.46 ± 0.12</w:t>
            </w:r>
            <w:r w:rsidRPr="00175925">
              <w:rPr>
                <w:rFonts w:ascii="Times New Roman" w:hAnsi="Times New Roman" w:cs="Times New Roman"/>
                <w:sz w:val="20"/>
                <w:szCs w:val="20"/>
                <w:vertAlign w:val="superscript"/>
                <w:lang w:val="en-GB"/>
              </w:rPr>
              <w:t>b</w:t>
            </w:r>
          </w:p>
        </w:tc>
      </w:tr>
      <w:tr w:rsidR="000E14DA" w:rsidRPr="00175925" w:rsidTr="00EC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2</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1.67 ± 1.48</w:t>
            </w:r>
            <w:r w:rsidRPr="00175925">
              <w:rPr>
                <w:rFonts w:ascii="Times New Roman" w:hAnsi="Times New Roman" w:cs="Times New Roman"/>
                <w:sz w:val="20"/>
                <w:szCs w:val="20"/>
                <w:vertAlign w:val="superscript"/>
                <w:lang w:val="en-GB"/>
              </w:rPr>
              <w:t>b</w:t>
            </w:r>
          </w:p>
        </w:tc>
      </w:tr>
      <w:tr w:rsidR="000E14DA" w:rsidRPr="00175925" w:rsidTr="00EC19A1">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3</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1.90 ± 0.99</w:t>
            </w:r>
            <w:r w:rsidRPr="00175925">
              <w:rPr>
                <w:rFonts w:ascii="Times New Roman" w:hAnsi="Times New Roman" w:cs="Times New Roman"/>
                <w:sz w:val="20"/>
                <w:szCs w:val="20"/>
                <w:vertAlign w:val="superscript"/>
                <w:lang w:val="en-GB"/>
              </w:rPr>
              <w:t>b</w:t>
            </w:r>
          </w:p>
        </w:tc>
      </w:tr>
      <w:tr w:rsidR="000E14DA" w:rsidRPr="00175925" w:rsidTr="00EC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val="restart"/>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r w:rsidRPr="00175925">
              <w:rPr>
                <w:rFonts w:ascii="Times New Roman" w:hAnsi="Times New Roman" w:cs="Times New Roman"/>
                <w:b w:val="0"/>
                <w:bCs w:val="0"/>
                <w:sz w:val="20"/>
                <w:szCs w:val="20"/>
                <w:lang w:val="en-GB"/>
              </w:rPr>
              <w:t>PC</w:t>
            </w: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100.00 ± 0.00</w:t>
            </w:r>
            <w:r w:rsidRPr="00175925">
              <w:rPr>
                <w:rFonts w:ascii="Times New Roman" w:hAnsi="Times New Roman" w:cs="Times New Roman"/>
                <w:sz w:val="20"/>
                <w:szCs w:val="20"/>
                <w:vertAlign w:val="superscript"/>
                <w:lang w:val="en-GB"/>
              </w:rPr>
              <w:t>a</w:t>
            </w:r>
          </w:p>
        </w:tc>
      </w:tr>
      <w:tr w:rsidR="000E14DA" w:rsidRPr="00175925" w:rsidTr="00EC19A1">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2</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99.59 ± 0.42</w:t>
            </w:r>
            <w:r w:rsidRPr="00175925">
              <w:rPr>
                <w:rFonts w:ascii="Times New Roman" w:hAnsi="Times New Roman" w:cs="Times New Roman"/>
                <w:sz w:val="20"/>
                <w:szCs w:val="20"/>
                <w:vertAlign w:val="superscript"/>
                <w:lang w:val="en-GB"/>
              </w:rPr>
              <w:t>a</w:t>
            </w:r>
          </w:p>
        </w:tc>
      </w:tr>
      <w:tr w:rsidR="000E14DA" w:rsidRPr="00175925" w:rsidTr="00EC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3</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99.70 ± 0.53</w:t>
            </w:r>
            <w:r w:rsidRPr="00175925">
              <w:rPr>
                <w:rFonts w:ascii="Times New Roman" w:hAnsi="Times New Roman" w:cs="Times New Roman"/>
                <w:sz w:val="20"/>
                <w:szCs w:val="20"/>
                <w:vertAlign w:val="superscript"/>
                <w:lang w:val="en-GB"/>
              </w:rPr>
              <w:t>a</w:t>
            </w:r>
          </w:p>
        </w:tc>
      </w:tr>
      <w:tr w:rsidR="000E14DA" w:rsidRPr="00175925" w:rsidTr="00EC19A1">
        <w:tc>
          <w:tcPr>
            <w:cnfStyle w:val="001000000000" w:firstRow="0" w:lastRow="0" w:firstColumn="1" w:lastColumn="0" w:oddVBand="0" w:evenVBand="0" w:oddHBand="0" w:evenHBand="0" w:firstRowFirstColumn="0" w:firstRowLastColumn="0" w:lastRowFirstColumn="0" w:lastRowLastColumn="0"/>
            <w:tcW w:w="1732" w:type="dxa"/>
            <w:vMerge w:val="restart"/>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b w:val="0"/>
                <w:bCs w:val="0"/>
                <w:sz w:val="20"/>
                <w:szCs w:val="20"/>
                <w:lang w:val="en-GB"/>
              </w:rPr>
            </w:pPr>
            <w:r w:rsidRPr="00175925">
              <w:rPr>
                <w:rFonts w:ascii="Times New Roman" w:hAnsi="Times New Roman" w:cs="Times New Roman"/>
                <w:b w:val="0"/>
                <w:bCs w:val="0"/>
                <w:sz w:val="20"/>
                <w:szCs w:val="20"/>
                <w:lang w:val="en-GB"/>
              </w:rPr>
              <w:t>NC</w:t>
            </w: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0.00 ± 0.00</w:t>
            </w:r>
            <w:r w:rsidRPr="00175925">
              <w:rPr>
                <w:rFonts w:ascii="Times New Roman" w:hAnsi="Times New Roman" w:cs="Times New Roman"/>
                <w:sz w:val="20"/>
                <w:szCs w:val="20"/>
                <w:vertAlign w:val="superscript"/>
                <w:lang w:val="en-GB"/>
              </w:rPr>
              <w:t>b</w:t>
            </w:r>
          </w:p>
        </w:tc>
      </w:tr>
      <w:tr w:rsidR="000E14DA" w:rsidRPr="00175925" w:rsidTr="00EC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nil"/>
            </w:tcBorders>
          </w:tcPr>
          <w:p w:rsidR="000E14DA" w:rsidRPr="00175925" w:rsidRDefault="000E14DA" w:rsidP="00EC19A1">
            <w:pPr>
              <w:tabs>
                <w:tab w:val="left" w:pos="8140"/>
              </w:tabs>
              <w:spacing w:before="60" w:after="0" w:line="240" w:lineRule="auto"/>
              <w:rPr>
                <w:rFonts w:ascii="Times New Roman" w:hAnsi="Times New Roman" w:cs="Times New Roman"/>
                <w:sz w:val="20"/>
                <w:szCs w:val="20"/>
                <w:lang w:val="en-GB"/>
              </w:rPr>
            </w:pPr>
          </w:p>
        </w:tc>
        <w:tc>
          <w:tcPr>
            <w:tcW w:w="0" w:type="auto"/>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2</w:t>
            </w:r>
          </w:p>
        </w:tc>
        <w:tc>
          <w:tcPr>
            <w:tcW w:w="2164" w:type="dxa"/>
            <w:tcBorders>
              <w:top w:val="nil"/>
              <w:bottom w:val="nil"/>
            </w:tcBorders>
          </w:tcPr>
          <w:p w:rsidR="000E14DA" w:rsidRPr="00175925" w:rsidRDefault="000E14DA" w:rsidP="00EC19A1">
            <w:pPr>
              <w:tabs>
                <w:tab w:val="left" w:pos="814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1.49 ± 0.30</w:t>
            </w:r>
            <w:r w:rsidRPr="00175925">
              <w:rPr>
                <w:rFonts w:ascii="Times New Roman" w:hAnsi="Times New Roman" w:cs="Times New Roman"/>
                <w:sz w:val="20"/>
                <w:szCs w:val="20"/>
                <w:vertAlign w:val="superscript"/>
                <w:lang w:val="en-GB"/>
              </w:rPr>
              <w:t>b</w:t>
            </w:r>
          </w:p>
        </w:tc>
      </w:tr>
      <w:tr w:rsidR="000E14DA" w:rsidRPr="00175925" w:rsidTr="00EC19A1">
        <w:tc>
          <w:tcPr>
            <w:cnfStyle w:val="001000000000" w:firstRow="0" w:lastRow="0" w:firstColumn="1" w:lastColumn="0" w:oddVBand="0" w:evenVBand="0" w:oddHBand="0" w:evenHBand="0" w:firstRowFirstColumn="0" w:firstRowLastColumn="0" w:lastRowFirstColumn="0" w:lastRowLastColumn="0"/>
            <w:tcW w:w="1732" w:type="dxa"/>
            <w:vMerge/>
            <w:tcBorders>
              <w:top w:val="nil"/>
              <w:bottom w:val="single" w:sz="4" w:space="0" w:color="7F7F7F"/>
            </w:tcBorders>
          </w:tcPr>
          <w:p w:rsidR="000E14DA" w:rsidRPr="00175925" w:rsidRDefault="000E14DA" w:rsidP="00EC19A1">
            <w:pPr>
              <w:tabs>
                <w:tab w:val="left" w:pos="8140"/>
              </w:tabs>
              <w:spacing w:before="60" w:after="0" w:line="240" w:lineRule="auto"/>
              <w:rPr>
                <w:rFonts w:ascii="Times New Roman" w:hAnsi="Times New Roman" w:cs="Times New Roman"/>
                <w:sz w:val="20"/>
                <w:szCs w:val="20"/>
                <w:lang w:val="en-GB"/>
              </w:rPr>
            </w:pPr>
          </w:p>
        </w:tc>
        <w:tc>
          <w:tcPr>
            <w:tcW w:w="0" w:type="auto"/>
            <w:tcBorders>
              <w:top w:val="nil"/>
              <w:bottom w:val="single" w:sz="4" w:space="0" w:color="7F7F7F"/>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3</w:t>
            </w:r>
          </w:p>
        </w:tc>
        <w:tc>
          <w:tcPr>
            <w:tcW w:w="2164" w:type="dxa"/>
            <w:tcBorders>
              <w:top w:val="nil"/>
              <w:bottom w:val="single" w:sz="4" w:space="0" w:color="7F7F7F"/>
            </w:tcBorders>
          </w:tcPr>
          <w:p w:rsidR="000E14DA" w:rsidRPr="00175925" w:rsidRDefault="000E14DA" w:rsidP="00EC19A1">
            <w:pPr>
              <w:tabs>
                <w:tab w:val="left" w:pos="8140"/>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75925">
              <w:rPr>
                <w:rFonts w:ascii="Times New Roman" w:hAnsi="Times New Roman" w:cs="Times New Roman"/>
                <w:sz w:val="20"/>
                <w:szCs w:val="20"/>
                <w:lang w:val="en-GB"/>
              </w:rPr>
              <w:t>0.00 ± 0.00</w:t>
            </w:r>
            <w:r w:rsidRPr="00175925">
              <w:rPr>
                <w:rFonts w:ascii="Times New Roman" w:hAnsi="Times New Roman" w:cs="Times New Roman"/>
                <w:sz w:val="20"/>
                <w:szCs w:val="20"/>
                <w:vertAlign w:val="superscript"/>
                <w:lang w:val="en-GB"/>
              </w:rPr>
              <w:t>b</w:t>
            </w:r>
          </w:p>
        </w:tc>
      </w:tr>
    </w:tbl>
    <w:p w:rsidR="000E14DA" w:rsidRPr="00894151" w:rsidRDefault="000E14DA" w:rsidP="000E14DA">
      <w:pPr>
        <w:tabs>
          <w:tab w:val="left" w:pos="8140"/>
        </w:tabs>
        <w:spacing w:after="0" w:line="240" w:lineRule="auto"/>
        <w:jc w:val="both"/>
        <w:rPr>
          <w:rFonts w:ascii="Times New Roman" w:hAnsi="Times New Roman"/>
          <w:iCs/>
          <w:sz w:val="20"/>
          <w:szCs w:val="20"/>
          <w:lang w:val="en-GB"/>
        </w:rPr>
      </w:pPr>
    </w:p>
    <w:p w:rsidR="000E14DA" w:rsidRPr="00175925" w:rsidRDefault="000E14DA" w:rsidP="000E14DA">
      <w:pPr>
        <w:tabs>
          <w:tab w:val="left" w:pos="8140"/>
        </w:tabs>
        <w:spacing w:after="0" w:line="240" w:lineRule="auto"/>
        <w:jc w:val="both"/>
        <w:rPr>
          <w:rFonts w:ascii="Times New Roman" w:hAnsi="Times New Roman"/>
          <w:i/>
          <w:iCs/>
          <w:sz w:val="20"/>
          <w:szCs w:val="20"/>
          <w:lang w:val="en-GB"/>
        </w:rPr>
      </w:pPr>
    </w:p>
    <w:p w:rsidR="000E14DA" w:rsidRPr="00175925" w:rsidRDefault="000E14DA" w:rsidP="000E14DA">
      <w:pPr>
        <w:tabs>
          <w:tab w:val="left" w:pos="8140"/>
        </w:tabs>
        <w:spacing w:after="0" w:line="240" w:lineRule="auto"/>
        <w:jc w:val="both"/>
        <w:rPr>
          <w:rFonts w:ascii="Times New Roman" w:hAnsi="Times New Roman"/>
          <w:i/>
          <w:iCs/>
          <w:sz w:val="20"/>
          <w:szCs w:val="20"/>
          <w:lang w:val="en-GB"/>
        </w:rPr>
      </w:pPr>
    </w:p>
    <w:p w:rsidR="000E14DA" w:rsidRPr="00175925" w:rsidRDefault="000E14DA" w:rsidP="000E14DA">
      <w:pPr>
        <w:tabs>
          <w:tab w:val="left" w:pos="8140"/>
        </w:tabs>
        <w:spacing w:after="0" w:line="240" w:lineRule="auto"/>
        <w:jc w:val="both"/>
        <w:rPr>
          <w:rFonts w:ascii="Times New Roman" w:hAnsi="Times New Roman"/>
          <w:i/>
          <w:iCs/>
          <w:sz w:val="20"/>
          <w:szCs w:val="20"/>
          <w:lang w:val="en-GB"/>
        </w:rPr>
      </w:pPr>
    </w:p>
    <w:p w:rsidR="000E14DA" w:rsidRPr="00175925" w:rsidRDefault="000E14DA" w:rsidP="000E14DA">
      <w:pPr>
        <w:tabs>
          <w:tab w:val="left" w:pos="8140"/>
        </w:tabs>
        <w:spacing w:after="0" w:line="240" w:lineRule="auto"/>
        <w:jc w:val="both"/>
        <w:rPr>
          <w:rFonts w:ascii="Times New Roman" w:hAnsi="Times New Roman"/>
          <w:i/>
          <w:iCs/>
          <w:sz w:val="20"/>
          <w:szCs w:val="20"/>
          <w:lang w:val="en-GB"/>
        </w:rPr>
      </w:pPr>
    </w:p>
    <w:p w:rsidR="000E14DA" w:rsidRPr="00175925" w:rsidRDefault="000E14DA" w:rsidP="000E14DA">
      <w:pPr>
        <w:tabs>
          <w:tab w:val="left" w:pos="8140"/>
        </w:tabs>
        <w:spacing w:after="0" w:line="240" w:lineRule="auto"/>
        <w:jc w:val="both"/>
        <w:rPr>
          <w:rFonts w:ascii="Times New Roman" w:hAnsi="Times New Roman"/>
          <w:i/>
          <w:iCs/>
          <w:sz w:val="20"/>
          <w:szCs w:val="20"/>
          <w:lang w:val="en-GB"/>
        </w:rPr>
      </w:pPr>
    </w:p>
    <w:p w:rsidR="000E14DA" w:rsidRPr="00175925"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Default="000E14DA" w:rsidP="000E14DA">
      <w:pPr>
        <w:tabs>
          <w:tab w:val="left" w:pos="8140"/>
        </w:tabs>
        <w:spacing w:after="0" w:line="240" w:lineRule="auto"/>
        <w:jc w:val="both"/>
        <w:rPr>
          <w:rFonts w:ascii="Times New Roman" w:hAnsi="Times New Roman"/>
          <w:i/>
          <w:iCs/>
          <w:sz w:val="20"/>
          <w:szCs w:val="20"/>
          <w:lang w:val="en-GB"/>
        </w:rPr>
      </w:pPr>
    </w:p>
    <w:p w:rsidR="000E14DA" w:rsidRPr="00894151" w:rsidRDefault="000E14DA" w:rsidP="000E14DA">
      <w:pPr>
        <w:spacing w:after="0" w:line="240" w:lineRule="auto"/>
        <w:ind w:left="1980" w:right="1861"/>
        <w:jc w:val="both"/>
        <w:rPr>
          <w:rFonts w:ascii="Times New Roman" w:hAnsi="Times New Roman"/>
          <w:sz w:val="18"/>
          <w:szCs w:val="18"/>
          <w:lang w:val="en-GB"/>
        </w:rPr>
      </w:pPr>
      <w:r w:rsidRPr="00894151">
        <w:rPr>
          <w:rFonts w:ascii="Times New Roman" w:hAnsi="Times New Roman"/>
          <w:i/>
          <w:iCs/>
          <w:sz w:val="18"/>
          <w:szCs w:val="18"/>
          <w:lang w:val="en-GB"/>
        </w:rPr>
        <w:t>Note.</w:t>
      </w:r>
      <w:r w:rsidRPr="00894151">
        <w:rPr>
          <w:rFonts w:ascii="Times New Roman" w:hAnsi="Times New Roman"/>
          <w:sz w:val="18"/>
          <w:szCs w:val="18"/>
          <w:lang w:val="en-GB"/>
        </w:rPr>
        <w:t xml:space="preserve"> Mean values ± SD are shown. Positive control was ethanol (PC), negative control was saline (NC), VCO is virgin coconut oil, AVCO is activated virgin coconut oil. Statistical significance of data was evaluated using one-way ANOVA. The level of statistical significance was set at </w:t>
      </w:r>
      <w:r w:rsidRPr="00894151">
        <w:rPr>
          <w:rFonts w:ascii="Times New Roman" w:hAnsi="Times New Roman"/>
          <w:i/>
          <w:iCs/>
          <w:sz w:val="18"/>
          <w:szCs w:val="18"/>
          <w:lang w:val="en-GB"/>
        </w:rPr>
        <w:t xml:space="preserve">p &lt; </w:t>
      </w:r>
      <w:r w:rsidRPr="00894151">
        <w:rPr>
          <w:rFonts w:ascii="Times New Roman" w:hAnsi="Times New Roman"/>
          <w:sz w:val="18"/>
          <w:szCs w:val="18"/>
          <w:lang w:val="en-GB"/>
        </w:rPr>
        <w:t>0.01. Mean ± SD values in the same exposure time (h) group with no superscript in common differ significantly (</w:t>
      </w:r>
      <w:r w:rsidRPr="00894151">
        <w:rPr>
          <w:rFonts w:ascii="Times New Roman" w:hAnsi="Times New Roman"/>
          <w:i/>
          <w:iCs/>
          <w:sz w:val="18"/>
          <w:szCs w:val="18"/>
          <w:lang w:val="en-GB"/>
        </w:rPr>
        <w:t xml:space="preserve">p &lt; </w:t>
      </w:r>
      <w:r w:rsidRPr="00894151">
        <w:rPr>
          <w:rFonts w:ascii="Times New Roman" w:hAnsi="Times New Roman"/>
          <w:sz w:val="18"/>
          <w:szCs w:val="18"/>
          <w:lang w:val="en-GB"/>
        </w:rPr>
        <w:t xml:space="preserve">0.01). The abbreviations next to the mean ± SD values indicate from which groups the relevant group differs significantly (a = </w:t>
      </w:r>
      <w:r w:rsidRPr="00894151">
        <w:rPr>
          <w:rFonts w:ascii="Times New Roman" w:hAnsi="Times New Roman"/>
          <w:i/>
          <w:iCs/>
          <w:sz w:val="18"/>
          <w:szCs w:val="18"/>
          <w:lang w:val="en-GB"/>
        </w:rPr>
        <w:t>p</w:t>
      </w:r>
      <w:r w:rsidRPr="00894151">
        <w:rPr>
          <w:rFonts w:ascii="Times New Roman" w:hAnsi="Times New Roman"/>
          <w:sz w:val="18"/>
          <w:szCs w:val="18"/>
          <w:lang w:val="en-GB"/>
        </w:rPr>
        <w:t xml:space="preserve"> &lt; 0.01), (b = </w:t>
      </w:r>
      <w:r w:rsidRPr="00894151">
        <w:rPr>
          <w:rFonts w:ascii="Times New Roman" w:hAnsi="Times New Roman"/>
          <w:i/>
          <w:iCs/>
          <w:sz w:val="18"/>
          <w:szCs w:val="18"/>
          <w:lang w:val="en-GB"/>
        </w:rPr>
        <w:t>p</w:t>
      </w:r>
      <w:r w:rsidRPr="00894151">
        <w:rPr>
          <w:rFonts w:ascii="Times New Roman" w:hAnsi="Times New Roman"/>
          <w:sz w:val="18"/>
          <w:szCs w:val="18"/>
          <w:lang w:val="en-GB"/>
        </w:rPr>
        <w:t xml:space="preserve"> &gt; 0.01). </w:t>
      </w:r>
    </w:p>
    <w:p w:rsidR="000E14DA" w:rsidRPr="00175925" w:rsidRDefault="000E14DA" w:rsidP="000E14DA">
      <w:pPr>
        <w:tabs>
          <w:tab w:val="left" w:pos="8140"/>
        </w:tabs>
        <w:spacing w:after="120" w:line="240" w:lineRule="auto"/>
        <w:jc w:val="both"/>
        <w:rPr>
          <w:rFonts w:ascii="Times New Roman" w:hAnsi="Times New Roman"/>
          <w:sz w:val="20"/>
          <w:szCs w:val="20"/>
          <w:lang w:val="en-GB"/>
        </w:rPr>
      </w:pPr>
    </w:p>
    <w:p w:rsidR="000E14DA" w:rsidRPr="00175925" w:rsidRDefault="000E14DA" w:rsidP="000E14DA">
      <w:pPr>
        <w:tabs>
          <w:tab w:val="left" w:pos="8140"/>
        </w:tabs>
        <w:spacing w:after="0" w:line="240" w:lineRule="auto"/>
        <w:jc w:val="both"/>
        <w:rPr>
          <w:rFonts w:ascii="Times New Roman" w:hAnsi="Times New Roman"/>
          <w:sz w:val="20"/>
          <w:szCs w:val="20"/>
          <w:lang w:val="en-GB"/>
        </w:rPr>
      </w:pPr>
      <w:r w:rsidRPr="00175925">
        <w:rPr>
          <w:rFonts w:ascii="Times New Roman" w:hAnsi="Times New Roman"/>
          <w:sz w:val="20"/>
          <w:szCs w:val="20"/>
          <w:lang w:val="en-GB"/>
        </w:rPr>
        <w:t xml:space="preserve">The fungicidal activity of AVCO was comparable to the positive control (70% ethanol) at 2 and 3 hours of incubation period (Figure 1). AVCO had higher antifungal activity against </w:t>
      </w:r>
      <w:r w:rsidRPr="00175925">
        <w:rPr>
          <w:rFonts w:ascii="Times New Roman" w:hAnsi="Times New Roman"/>
          <w:i/>
          <w:iCs/>
          <w:sz w:val="20"/>
          <w:szCs w:val="20"/>
          <w:lang w:val="en-GB"/>
        </w:rPr>
        <w:t>C. albicans</w:t>
      </w:r>
      <w:r w:rsidRPr="00175925">
        <w:rPr>
          <w:rFonts w:ascii="Times New Roman" w:hAnsi="Times New Roman"/>
          <w:sz w:val="20"/>
          <w:szCs w:val="20"/>
          <w:lang w:val="en-GB"/>
        </w:rPr>
        <w:t xml:space="preserve"> compared to VCO (Table 1 and Figure 1). LIVE/DEAD staining executed on fungal suspensions from control, VCO, or AVCO treatments exhibited a change in membrane permeability as measured by PI. AVCO inhibited the growth of </w:t>
      </w:r>
      <w:r w:rsidRPr="00175925">
        <w:rPr>
          <w:rFonts w:ascii="Times New Roman" w:hAnsi="Times New Roman"/>
          <w:i/>
          <w:iCs/>
          <w:sz w:val="20"/>
          <w:szCs w:val="20"/>
          <w:lang w:val="en-GB"/>
        </w:rPr>
        <w:t xml:space="preserve">C. albicans </w:t>
      </w:r>
      <w:r w:rsidRPr="00175925">
        <w:rPr>
          <w:rFonts w:ascii="Times New Roman" w:hAnsi="Times New Roman"/>
          <w:sz w:val="20"/>
          <w:szCs w:val="20"/>
          <w:lang w:val="en-GB"/>
        </w:rPr>
        <w:t xml:space="preserve">and caused all fungal cells to transform immediately from green (live) to red (dead). The uniqueness of AVCO is due to the presence of significant amount of medium chain fatty acids (MCFA) through enzymatic hydrolysis process which can act as antifungal agent. Lauric acid is the major constituent of MCFA of AVCO [21–24]. Our findings suggest that AVCO exerts its potent fungicidal activity by inhibiting cell wall integrity of </w:t>
      </w:r>
      <w:r w:rsidRPr="00175925">
        <w:rPr>
          <w:rFonts w:ascii="Times New Roman" w:hAnsi="Times New Roman"/>
          <w:i/>
          <w:iCs/>
          <w:sz w:val="20"/>
          <w:szCs w:val="20"/>
          <w:lang w:val="en-GB"/>
        </w:rPr>
        <w:t>C. albicans</w:t>
      </w:r>
      <w:r w:rsidRPr="00175925">
        <w:rPr>
          <w:rFonts w:ascii="Times New Roman" w:hAnsi="Times New Roman"/>
          <w:sz w:val="20"/>
          <w:szCs w:val="20"/>
          <w:lang w:val="en-GB"/>
        </w:rPr>
        <w:t>. Meanwhile, fungal growth was not inhibited by the crude extract of VCO. AVCO significantly disrupted the cell membrane with its MCFA.</w:t>
      </w:r>
    </w:p>
    <w:p w:rsidR="000E14DA" w:rsidRDefault="000E14DA" w:rsidP="000E14DA">
      <w:pPr>
        <w:tabs>
          <w:tab w:val="left" w:pos="8140"/>
        </w:tabs>
        <w:spacing w:after="0" w:line="240" w:lineRule="auto"/>
        <w:jc w:val="both"/>
        <w:rPr>
          <w:rFonts w:ascii="Times New Roman" w:hAnsi="Times New Roman"/>
          <w:sz w:val="20"/>
          <w:szCs w:val="20"/>
          <w:lang w:val="en-GB"/>
        </w:rPr>
      </w:pPr>
    </w:p>
    <w:p w:rsidR="000E14DA" w:rsidRPr="00751BCF" w:rsidRDefault="000E14DA" w:rsidP="000E14DA">
      <w:pPr>
        <w:tabs>
          <w:tab w:val="left" w:pos="8140"/>
        </w:tabs>
        <w:spacing w:after="0" w:line="240" w:lineRule="auto"/>
        <w:jc w:val="both"/>
        <w:rPr>
          <w:rFonts w:ascii="Times New Roman" w:hAnsi="Times New Roman"/>
          <w:sz w:val="20"/>
          <w:szCs w:val="20"/>
          <w:lang w:val="en-GB"/>
        </w:rPr>
      </w:pPr>
    </w:p>
    <w:p w:rsidR="000E14DA" w:rsidRPr="00751BCF" w:rsidRDefault="000E14DA" w:rsidP="000E14DA">
      <w:pPr>
        <w:spacing w:after="0" w:line="240" w:lineRule="auto"/>
        <w:jc w:val="center"/>
        <w:rPr>
          <w:rFonts w:ascii="Times New Roman" w:hAnsi="Times New Roman"/>
          <w:sz w:val="20"/>
          <w:szCs w:val="20"/>
          <w:lang w:val="en-GB"/>
        </w:rPr>
      </w:pPr>
      <w:r>
        <w:rPr>
          <w:rFonts w:ascii="Times New Roman" w:hAnsi="Times New Roman"/>
          <w:noProof/>
          <w:sz w:val="20"/>
          <w:szCs w:val="20"/>
          <w:lang w:bidi="ar-SA"/>
        </w:rPr>
        <w:lastRenderedPageBreak/>
        <w:drawing>
          <wp:inline distT="0" distB="0" distL="0" distR="0" wp14:anchorId="4E5A50A7" wp14:editId="79D4EAA9">
            <wp:extent cx="1638300" cy="39147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3914775"/>
                    </a:xfrm>
                    <a:prstGeom prst="rect">
                      <a:avLst/>
                    </a:prstGeom>
                    <a:noFill/>
                    <a:ln>
                      <a:noFill/>
                    </a:ln>
                  </pic:spPr>
                </pic:pic>
              </a:graphicData>
            </a:graphic>
          </wp:inline>
        </w:drawing>
      </w:r>
      <w:r>
        <w:rPr>
          <w:rFonts w:ascii="Times New Roman" w:hAnsi="Times New Roman"/>
          <w:noProof/>
          <w:sz w:val="20"/>
          <w:szCs w:val="20"/>
          <w:lang w:bidi="ar-SA"/>
        </w:rPr>
        <w:drawing>
          <wp:inline distT="0" distB="0" distL="0" distR="0" wp14:anchorId="783B46FC" wp14:editId="151F197A">
            <wp:extent cx="1647825" cy="38862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3540" t="1143" r="-11" b="1326"/>
                    <a:stretch>
                      <a:fillRect/>
                    </a:stretch>
                  </pic:blipFill>
                  <pic:spPr bwMode="auto">
                    <a:xfrm>
                      <a:off x="0" y="0"/>
                      <a:ext cx="1647825" cy="3886200"/>
                    </a:xfrm>
                    <a:prstGeom prst="rect">
                      <a:avLst/>
                    </a:prstGeom>
                    <a:noFill/>
                    <a:ln>
                      <a:noFill/>
                    </a:ln>
                  </pic:spPr>
                </pic:pic>
              </a:graphicData>
            </a:graphic>
          </wp:inline>
        </w:drawing>
      </w:r>
      <w:r>
        <w:rPr>
          <w:rFonts w:ascii="Times New Roman" w:hAnsi="Times New Roman"/>
          <w:noProof/>
          <w:sz w:val="20"/>
          <w:szCs w:val="20"/>
          <w:lang w:bidi="ar-SA"/>
        </w:rPr>
        <w:drawing>
          <wp:inline distT="0" distB="0" distL="0" distR="0" wp14:anchorId="65210E65" wp14:editId="403237EC">
            <wp:extent cx="1590675" cy="38862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382" r="1926" b="523"/>
                    <a:stretch>
                      <a:fillRect/>
                    </a:stretch>
                  </pic:blipFill>
                  <pic:spPr bwMode="auto">
                    <a:xfrm>
                      <a:off x="0" y="0"/>
                      <a:ext cx="1590675" cy="3886200"/>
                    </a:xfrm>
                    <a:prstGeom prst="rect">
                      <a:avLst/>
                    </a:prstGeom>
                    <a:noFill/>
                    <a:ln>
                      <a:noFill/>
                    </a:ln>
                  </pic:spPr>
                </pic:pic>
              </a:graphicData>
            </a:graphic>
          </wp:inline>
        </w:drawing>
      </w:r>
    </w:p>
    <w:p w:rsidR="000E14DA" w:rsidRPr="00894151" w:rsidRDefault="000E14DA" w:rsidP="000E14DA">
      <w:pPr>
        <w:autoSpaceDE w:val="0"/>
        <w:autoSpaceDN w:val="0"/>
        <w:adjustRightInd w:val="0"/>
        <w:spacing w:after="120" w:line="240" w:lineRule="auto"/>
        <w:ind w:left="806" w:right="778"/>
        <w:rPr>
          <w:rFonts w:ascii="Times New Roman" w:eastAsia="RotisSemiSansStd" w:hAnsi="Times New Roman"/>
          <w:sz w:val="18"/>
          <w:szCs w:val="18"/>
          <w:lang w:val="en-GB"/>
        </w:rPr>
      </w:pPr>
      <w:r w:rsidRPr="00894151">
        <w:rPr>
          <w:rFonts w:ascii="Times New Roman" w:eastAsia="RotisSemiSansStd" w:hAnsi="Times New Roman"/>
          <w:i/>
          <w:iCs/>
          <w:sz w:val="18"/>
          <w:szCs w:val="18"/>
          <w:lang w:val="en-GB"/>
        </w:rPr>
        <w:t>Note.</w:t>
      </w:r>
      <w:r w:rsidRPr="00894151">
        <w:rPr>
          <w:rFonts w:ascii="Times New Roman" w:eastAsia="RotisSemiSansStd" w:hAnsi="Times New Roman"/>
          <w:sz w:val="18"/>
          <w:szCs w:val="18"/>
          <w:lang w:val="en-GB"/>
        </w:rPr>
        <w:t xml:space="preserve"> Scale bars represent 100 µm. Viable and non-viable fungi were stained with SYTO 9 and appeared green. Non-viable fungi were stained with propidium iodide and appeared red. </w:t>
      </w:r>
    </w:p>
    <w:p w:rsidR="000E14DA" w:rsidRPr="00751BCF" w:rsidRDefault="000E14DA" w:rsidP="000E14DA">
      <w:pPr>
        <w:tabs>
          <w:tab w:val="left" w:pos="8140"/>
        </w:tabs>
        <w:spacing w:after="0" w:line="240" w:lineRule="auto"/>
        <w:ind w:left="851" w:hanging="851"/>
        <w:jc w:val="both"/>
        <w:rPr>
          <w:rFonts w:ascii="Times New Roman" w:hAnsi="Times New Roman"/>
          <w:sz w:val="20"/>
          <w:szCs w:val="20"/>
          <w:lang w:val="en-GB"/>
        </w:rPr>
      </w:pPr>
      <w:r w:rsidRPr="00751BCF">
        <w:rPr>
          <w:rFonts w:ascii="Times New Roman" w:hAnsi="Times New Roman"/>
          <w:sz w:val="20"/>
          <w:szCs w:val="20"/>
          <w:lang w:val="en-GB"/>
        </w:rPr>
        <w:t xml:space="preserve">Figure 1. </w:t>
      </w:r>
      <w:r>
        <w:rPr>
          <w:rFonts w:ascii="Times New Roman" w:hAnsi="Times New Roman"/>
          <w:sz w:val="20"/>
          <w:szCs w:val="20"/>
          <w:lang w:val="en-GB"/>
        </w:rPr>
        <w:tab/>
      </w:r>
      <w:r w:rsidRPr="00751BCF">
        <w:rPr>
          <w:rFonts w:ascii="Times New Roman" w:hAnsi="Times New Roman"/>
          <w:i/>
          <w:iCs/>
          <w:sz w:val="20"/>
          <w:szCs w:val="20"/>
          <w:lang w:val="en-GB"/>
        </w:rPr>
        <w:t>C. albicans</w:t>
      </w:r>
      <w:r w:rsidRPr="00751BCF">
        <w:rPr>
          <w:rFonts w:ascii="Times New Roman" w:hAnsi="Times New Roman"/>
          <w:sz w:val="20"/>
          <w:szCs w:val="20"/>
          <w:lang w:val="en-GB"/>
        </w:rPr>
        <w:t xml:space="preserve"> were exposed to (A) ethanol, (B) normal saline, (C) AVCO, and (D) VCO for 1, 2, and 3 hours incubation</w:t>
      </w:r>
    </w:p>
    <w:p w:rsidR="000E14DA" w:rsidRPr="00175925" w:rsidRDefault="000E14DA" w:rsidP="000E14DA">
      <w:pPr>
        <w:tabs>
          <w:tab w:val="left" w:pos="8140"/>
        </w:tabs>
        <w:spacing w:after="0" w:line="240" w:lineRule="auto"/>
        <w:jc w:val="both"/>
        <w:rPr>
          <w:rFonts w:ascii="Times New Roman" w:hAnsi="Times New Roman"/>
          <w:sz w:val="20"/>
          <w:szCs w:val="20"/>
          <w:lang w:val="en-GB"/>
        </w:rPr>
      </w:pPr>
    </w:p>
    <w:p w:rsidR="000E14DA" w:rsidRPr="00F447A7" w:rsidRDefault="000E14DA" w:rsidP="000E14DA">
      <w:pPr>
        <w:spacing w:after="0" w:line="240" w:lineRule="auto"/>
        <w:jc w:val="center"/>
        <w:rPr>
          <w:rFonts w:ascii="Times New Roman" w:hAnsi="Times New Roman"/>
          <w:noProof/>
          <w:sz w:val="20"/>
          <w:szCs w:val="20"/>
          <w:lang w:bidi="ar-SA"/>
        </w:rPr>
      </w:pPr>
    </w:p>
    <w:p w:rsidR="000E14DA" w:rsidRPr="00F447A7" w:rsidRDefault="000E14DA" w:rsidP="000E14D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E14DA" w:rsidRPr="00751BCF" w:rsidRDefault="000E14DA" w:rsidP="000E14DA">
      <w:pPr>
        <w:spacing w:after="0" w:line="240" w:lineRule="auto"/>
        <w:jc w:val="both"/>
        <w:rPr>
          <w:rFonts w:ascii="Times New Roman" w:hAnsi="Times New Roman"/>
          <w:sz w:val="20"/>
          <w:szCs w:val="20"/>
          <w:lang w:val="en-GB"/>
        </w:rPr>
      </w:pPr>
      <w:r w:rsidRPr="00751BCF">
        <w:rPr>
          <w:rFonts w:ascii="Times New Roman" w:hAnsi="Times New Roman"/>
          <w:sz w:val="20"/>
          <w:szCs w:val="20"/>
          <w:lang w:val="en-GB"/>
        </w:rPr>
        <w:t xml:space="preserve">AVCO has a great potential to be consumed as a new antifungal treatment against oral candidiasis. Such measure may serve to decrease the colonisation of the fungus in patients and reduce the cases of hospital-acquired oral candidiasis. A limited analysis has been shown in this </w:t>
      </w:r>
      <w:r w:rsidRPr="00751BCF">
        <w:rPr>
          <w:rFonts w:ascii="Times New Roman" w:hAnsi="Times New Roman"/>
          <w:i/>
          <w:iCs/>
          <w:sz w:val="20"/>
          <w:szCs w:val="20"/>
          <w:lang w:val="en-GB"/>
        </w:rPr>
        <w:t>in vitro</w:t>
      </w:r>
      <w:r w:rsidRPr="00751BCF">
        <w:rPr>
          <w:rFonts w:ascii="Times New Roman" w:hAnsi="Times New Roman"/>
          <w:sz w:val="20"/>
          <w:szCs w:val="20"/>
          <w:lang w:val="en-GB"/>
        </w:rPr>
        <w:t xml:space="preserve"> study. Thus, further investigation of AVCO and its compositions should be undertaken to study their impact on </w:t>
      </w:r>
      <w:r w:rsidRPr="00751BCF">
        <w:rPr>
          <w:rFonts w:ascii="Times New Roman" w:hAnsi="Times New Roman"/>
          <w:i/>
          <w:iCs/>
          <w:sz w:val="20"/>
          <w:szCs w:val="20"/>
          <w:lang w:val="en-GB"/>
        </w:rPr>
        <w:t>C. albicans</w:t>
      </w:r>
      <w:r w:rsidRPr="00751BCF">
        <w:rPr>
          <w:rFonts w:ascii="Times New Roman" w:hAnsi="Times New Roman"/>
          <w:sz w:val="20"/>
          <w:szCs w:val="20"/>
          <w:lang w:val="en-GB"/>
        </w:rPr>
        <w:t>.</w:t>
      </w:r>
    </w:p>
    <w:p w:rsidR="000E14DA" w:rsidRPr="00751BCF" w:rsidRDefault="000E14DA" w:rsidP="000E14DA">
      <w:pPr>
        <w:spacing w:after="0" w:line="240" w:lineRule="auto"/>
        <w:jc w:val="center"/>
        <w:rPr>
          <w:rFonts w:ascii="Times New Roman" w:hAnsi="Times New Roman"/>
          <w:sz w:val="20"/>
          <w:szCs w:val="20"/>
          <w:lang w:val="en-GB"/>
        </w:rPr>
      </w:pPr>
    </w:p>
    <w:p w:rsidR="000E14DA" w:rsidRPr="00751BCF" w:rsidRDefault="000E14DA" w:rsidP="000E14DA">
      <w:pPr>
        <w:spacing w:after="0" w:line="240" w:lineRule="auto"/>
        <w:jc w:val="center"/>
        <w:rPr>
          <w:rFonts w:ascii="Times New Roman" w:hAnsi="Times New Roman"/>
          <w:b/>
          <w:bCs/>
          <w:sz w:val="20"/>
          <w:szCs w:val="20"/>
          <w:lang w:val="en-GB"/>
        </w:rPr>
      </w:pPr>
      <w:r w:rsidRPr="00751BCF">
        <w:rPr>
          <w:rFonts w:ascii="Times New Roman" w:hAnsi="Times New Roman"/>
          <w:b/>
          <w:bCs/>
          <w:sz w:val="20"/>
          <w:szCs w:val="20"/>
          <w:lang w:val="en-GB"/>
        </w:rPr>
        <w:t>Acknowledgement</w:t>
      </w:r>
    </w:p>
    <w:p w:rsidR="000E14DA" w:rsidRPr="00894151" w:rsidRDefault="000E14DA" w:rsidP="000E14DA">
      <w:pPr>
        <w:spacing w:after="0" w:line="240" w:lineRule="auto"/>
        <w:jc w:val="both"/>
        <w:rPr>
          <w:rFonts w:ascii="Times New Roman" w:hAnsi="Times New Roman"/>
          <w:sz w:val="20"/>
          <w:szCs w:val="20"/>
          <w:lang w:val="en-GB"/>
        </w:rPr>
      </w:pPr>
      <w:r w:rsidRPr="00751BCF">
        <w:rPr>
          <w:rFonts w:ascii="Times New Roman" w:hAnsi="Times New Roman"/>
          <w:sz w:val="20"/>
          <w:szCs w:val="20"/>
          <w:lang w:val="en-GB"/>
        </w:rPr>
        <w:t>This study was funded by the Fundamental Research Grant Scheme (FRGS16-0202-0519). We would also like to express our gratitude to Dr. Kamariah Long from MARDI for her assistance in obtaining AVCO.</w:t>
      </w:r>
    </w:p>
    <w:p w:rsidR="000E14DA" w:rsidRPr="00F447A7" w:rsidRDefault="000E14DA" w:rsidP="000E14DA">
      <w:pPr>
        <w:spacing w:after="0" w:line="240" w:lineRule="auto"/>
        <w:jc w:val="center"/>
        <w:rPr>
          <w:rFonts w:ascii="Times New Roman" w:hAnsi="Times New Roman"/>
          <w:noProof/>
          <w:sz w:val="20"/>
          <w:szCs w:val="20"/>
          <w:lang w:bidi="ar-SA"/>
        </w:rPr>
      </w:pPr>
    </w:p>
    <w:p w:rsidR="000E14DA" w:rsidRPr="00F447A7" w:rsidRDefault="000E14DA" w:rsidP="000E14D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Chanda, W., Joseph, T. P., Wang, W., Padhiar, A. A. and Zhong, M. (2017). The potential management of oral candidiasis using anti-biofilm therapies. </w:t>
      </w:r>
      <w:r w:rsidRPr="00894151">
        <w:rPr>
          <w:rFonts w:ascii="Times New Roman" w:eastAsia="Calibri" w:hAnsi="Times New Roman"/>
          <w:i/>
          <w:iCs/>
          <w:sz w:val="20"/>
          <w:szCs w:val="20"/>
          <w:lang w:val="en-GB"/>
        </w:rPr>
        <w:t>Medical Hypotheses</w:t>
      </w:r>
      <w:r w:rsidRPr="00894151">
        <w:rPr>
          <w:rFonts w:ascii="Times New Roman" w:eastAsia="Calibri" w:hAnsi="Times New Roman"/>
          <w:sz w:val="20"/>
          <w:szCs w:val="20"/>
          <w:lang w:val="en-GB"/>
        </w:rPr>
        <w:t xml:space="preserve">, 106: 15 - 18.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Gow, N. A., and Hube, B. (2012). Importance of the </w:t>
      </w:r>
      <w:r w:rsidRPr="00894151">
        <w:rPr>
          <w:rFonts w:ascii="Times New Roman" w:eastAsia="Calibri" w:hAnsi="Times New Roman"/>
          <w:i/>
          <w:iCs/>
          <w:sz w:val="20"/>
          <w:szCs w:val="20"/>
          <w:lang w:val="en-GB"/>
        </w:rPr>
        <w:t>Candida albicans</w:t>
      </w:r>
      <w:r w:rsidRPr="00894151">
        <w:rPr>
          <w:rFonts w:ascii="Times New Roman" w:eastAsia="Calibri" w:hAnsi="Times New Roman"/>
          <w:sz w:val="20"/>
          <w:szCs w:val="20"/>
          <w:lang w:val="en-GB"/>
        </w:rPr>
        <w:t xml:space="preserve"> cell wall during commensalism and infection. </w:t>
      </w:r>
      <w:r w:rsidRPr="00894151">
        <w:rPr>
          <w:rFonts w:ascii="Times New Roman" w:eastAsia="Calibri" w:hAnsi="Times New Roman"/>
          <w:i/>
          <w:iCs/>
          <w:sz w:val="20"/>
          <w:szCs w:val="20"/>
          <w:lang w:val="en-GB"/>
        </w:rPr>
        <w:t>Current Opinion in Microbiology</w:t>
      </w:r>
      <w:r w:rsidRPr="00894151">
        <w:rPr>
          <w:rFonts w:ascii="Times New Roman" w:eastAsia="Calibri" w:hAnsi="Times New Roman"/>
          <w:sz w:val="20"/>
          <w:szCs w:val="20"/>
          <w:lang w:val="en-GB"/>
        </w:rPr>
        <w:t>, 15 (4): 406 - 412.</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Katiraee, F., Khalaj, V., Khosravi, A., and Hajiabdolbaghi, M. (2014). Sequences type analysis of </w:t>
      </w:r>
      <w:r w:rsidRPr="00894151">
        <w:rPr>
          <w:rFonts w:ascii="Times New Roman" w:eastAsia="Calibri" w:hAnsi="Times New Roman"/>
          <w:i/>
          <w:iCs/>
          <w:sz w:val="20"/>
          <w:szCs w:val="20"/>
          <w:lang w:val="en-GB"/>
        </w:rPr>
        <w:t>candida albicans</w:t>
      </w:r>
      <w:r w:rsidRPr="00894151">
        <w:rPr>
          <w:rFonts w:ascii="Times New Roman" w:eastAsia="Calibri" w:hAnsi="Times New Roman"/>
          <w:sz w:val="20"/>
          <w:szCs w:val="20"/>
          <w:lang w:val="en-GB"/>
        </w:rPr>
        <w:t xml:space="preserve"> isolates from iranian human immunodeficiency virus infected patients with oral candidiasis. </w:t>
      </w:r>
      <w:r w:rsidRPr="00894151">
        <w:rPr>
          <w:rFonts w:ascii="Times New Roman" w:eastAsia="Calibri" w:hAnsi="Times New Roman"/>
          <w:i/>
          <w:iCs/>
          <w:sz w:val="20"/>
          <w:szCs w:val="20"/>
          <w:lang w:val="en-GB"/>
        </w:rPr>
        <w:t>Acta Medica Iranica</w:t>
      </w:r>
      <w:r w:rsidRPr="00894151">
        <w:rPr>
          <w:rFonts w:ascii="Times New Roman" w:eastAsia="Calibri" w:hAnsi="Times New Roman"/>
          <w:sz w:val="20"/>
          <w:szCs w:val="20"/>
          <w:lang w:val="en-GB"/>
        </w:rPr>
        <w:t xml:space="preserve">, 52(3): 187 - 191.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Millsop, J.W. and Fazel, N. (2016). Oral candidiasis. </w:t>
      </w:r>
      <w:r w:rsidRPr="00894151">
        <w:rPr>
          <w:rFonts w:ascii="Times New Roman" w:eastAsia="Calibri" w:hAnsi="Times New Roman"/>
          <w:i/>
          <w:iCs/>
          <w:sz w:val="20"/>
          <w:szCs w:val="20"/>
          <w:lang w:val="en-GB"/>
        </w:rPr>
        <w:t xml:space="preserve">Clinics in Dermatology, </w:t>
      </w:r>
      <w:r w:rsidRPr="00894151">
        <w:rPr>
          <w:rFonts w:ascii="Times New Roman" w:eastAsia="Calibri" w:hAnsi="Times New Roman"/>
          <w:sz w:val="20"/>
          <w:szCs w:val="20"/>
          <w:lang w:val="en-GB"/>
        </w:rPr>
        <w:t>34(4): 487 - 494.</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lastRenderedPageBreak/>
        <w:t xml:space="preserve">Perlroth, J., Choi, B. and Spellberg, B. (2007). Nosocomial fungal infections: Epidemiology, diagnosis, and treatment. </w:t>
      </w:r>
      <w:r w:rsidRPr="00894151">
        <w:rPr>
          <w:rFonts w:ascii="Times New Roman" w:eastAsia="Calibri" w:hAnsi="Times New Roman"/>
          <w:i/>
          <w:iCs/>
          <w:sz w:val="20"/>
          <w:szCs w:val="20"/>
          <w:lang w:val="en-GB"/>
        </w:rPr>
        <w:t>Medical Mycology</w:t>
      </w:r>
      <w:r w:rsidRPr="00894151">
        <w:rPr>
          <w:rFonts w:ascii="Times New Roman" w:eastAsia="Calibri" w:hAnsi="Times New Roman"/>
          <w:sz w:val="20"/>
          <w:szCs w:val="20"/>
          <w:lang w:val="en-GB"/>
        </w:rPr>
        <w:t xml:space="preserve">, 45(4): 321 – 346.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Silva, S., Henriques, M., Hayes, A., Oliveira, R., Azeredo, J., and Williams, D. W. (2011). </w:t>
      </w:r>
      <w:r w:rsidRPr="00894151">
        <w:rPr>
          <w:rFonts w:ascii="Times New Roman" w:eastAsia="Calibri" w:hAnsi="Times New Roman"/>
          <w:i/>
          <w:iCs/>
          <w:sz w:val="20"/>
          <w:szCs w:val="20"/>
          <w:lang w:val="en-GB"/>
        </w:rPr>
        <w:t>Candida glabrata</w:t>
      </w:r>
      <w:r w:rsidRPr="00894151">
        <w:rPr>
          <w:rFonts w:ascii="Times New Roman" w:eastAsia="Calibri" w:hAnsi="Times New Roman"/>
          <w:sz w:val="20"/>
          <w:szCs w:val="20"/>
          <w:lang w:val="en-GB"/>
        </w:rPr>
        <w:t xml:space="preserve"> and </w:t>
      </w:r>
      <w:r w:rsidRPr="00894151">
        <w:rPr>
          <w:rFonts w:ascii="Times New Roman" w:eastAsia="Calibri" w:hAnsi="Times New Roman"/>
          <w:i/>
          <w:iCs/>
          <w:sz w:val="20"/>
          <w:szCs w:val="20"/>
          <w:lang w:val="en-GB"/>
        </w:rPr>
        <w:t>Candida albicans</w:t>
      </w:r>
      <w:r w:rsidRPr="00894151">
        <w:rPr>
          <w:rFonts w:ascii="Times New Roman" w:eastAsia="Calibri" w:hAnsi="Times New Roman"/>
          <w:sz w:val="20"/>
          <w:szCs w:val="20"/>
          <w:lang w:val="en-GB"/>
        </w:rPr>
        <w:t xml:space="preserve"> co</w:t>
      </w:r>
      <w:r w:rsidRPr="00894151">
        <w:rPr>
          <w:rFonts w:ascii="Cambria Math" w:eastAsia="Calibri" w:hAnsi="Cambria Math" w:cs="Cambria Math"/>
          <w:sz w:val="20"/>
          <w:szCs w:val="20"/>
          <w:lang w:val="en-GB"/>
        </w:rPr>
        <w:t>‐</w:t>
      </w:r>
      <w:r w:rsidRPr="00894151">
        <w:rPr>
          <w:rFonts w:ascii="Times New Roman" w:eastAsia="Calibri" w:hAnsi="Times New Roman"/>
          <w:sz w:val="20"/>
          <w:szCs w:val="20"/>
          <w:lang w:val="en-GB"/>
        </w:rPr>
        <w:t xml:space="preserve">infection of an </w:t>
      </w:r>
      <w:r w:rsidRPr="00894151">
        <w:rPr>
          <w:rFonts w:ascii="Times New Roman" w:eastAsia="Calibri" w:hAnsi="Times New Roman"/>
          <w:i/>
          <w:iCs/>
          <w:sz w:val="20"/>
          <w:szCs w:val="20"/>
          <w:lang w:val="en-GB"/>
        </w:rPr>
        <w:t>in vitro</w:t>
      </w:r>
      <w:r w:rsidRPr="00894151">
        <w:rPr>
          <w:rFonts w:ascii="Times New Roman" w:eastAsia="Calibri" w:hAnsi="Times New Roman"/>
          <w:sz w:val="20"/>
          <w:szCs w:val="20"/>
          <w:lang w:val="en-GB"/>
        </w:rPr>
        <w:t xml:space="preserve"> oral epithelium. </w:t>
      </w:r>
      <w:r w:rsidRPr="00894151">
        <w:rPr>
          <w:rFonts w:ascii="Times New Roman" w:eastAsia="Calibri" w:hAnsi="Times New Roman"/>
          <w:i/>
          <w:iCs/>
          <w:sz w:val="20"/>
          <w:szCs w:val="20"/>
          <w:lang w:val="en-GB"/>
        </w:rPr>
        <w:t>Journal of Oral Pathology &amp; Medicine</w:t>
      </w:r>
      <w:r w:rsidRPr="00894151">
        <w:rPr>
          <w:rFonts w:ascii="Times New Roman" w:eastAsia="Calibri" w:hAnsi="Times New Roman"/>
          <w:sz w:val="20"/>
          <w:szCs w:val="20"/>
          <w:lang w:val="en-GB"/>
        </w:rPr>
        <w:t>, 40(5): 421 - 427.</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Vasconceles, L. C., Sampaio, F. C., dos Reis Albuquerque, A. J. and Souza Vasconcelos, L. C. (2014). Cell viability of </w:t>
      </w:r>
      <w:r w:rsidRPr="00894151">
        <w:rPr>
          <w:rFonts w:ascii="Times New Roman" w:eastAsia="Calibri" w:hAnsi="Times New Roman"/>
          <w:i/>
          <w:iCs/>
          <w:sz w:val="20"/>
          <w:szCs w:val="20"/>
          <w:lang w:val="en-GB"/>
        </w:rPr>
        <w:t>candida albicans</w:t>
      </w:r>
      <w:r w:rsidRPr="00894151">
        <w:rPr>
          <w:rFonts w:ascii="Times New Roman" w:eastAsia="Calibri" w:hAnsi="Times New Roman"/>
          <w:sz w:val="20"/>
          <w:szCs w:val="20"/>
          <w:lang w:val="en-GB"/>
        </w:rPr>
        <w:t xml:space="preserve"> against the antifungal activity of thymol. </w:t>
      </w:r>
      <w:r w:rsidRPr="00894151">
        <w:rPr>
          <w:rFonts w:ascii="Times New Roman" w:eastAsia="Calibri" w:hAnsi="Times New Roman"/>
          <w:i/>
          <w:iCs/>
          <w:sz w:val="20"/>
          <w:szCs w:val="20"/>
          <w:lang w:val="en-GB"/>
        </w:rPr>
        <w:t>Brazilian Dental Journal</w:t>
      </w:r>
      <w:r w:rsidRPr="00894151">
        <w:rPr>
          <w:rFonts w:ascii="Times New Roman" w:eastAsia="Calibri" w:hAnsi="Times New Roman"/>
          <w:sz w:val="20"/>
          <w:szCs w:val="20"/>
          <w:lang w:val="en-GB"/>
        </w:rPr>
        <w:t>, 25</w:t>
      </w:r>
      <w:r w:rsidRPr="00894151">
        <w:rPr>
          <w:rFonts w:ascii="Times New Roman" w:eastAsia="Calibri" w:hAnsi="Times New Roman"/>
          <w:i/>
          <w:iCs/>
          <w:sz w:val="20"/>
          <w:szCs w:val="20"/>
          <w:lang w:val="en-GB"/>
        </w:rPr>
        <w:t xml:space="preserve"> </w:t>
      </w:r>
      <w:r w:rsidRPr="00894151">
        <w:rPr>
          <w:rFonts w:ascii="Times New Roman" w:eastAsia="Calibri" w:hAnsi="Times New Roman"/>
          <w:sz w:val="20"/>
          <w:szCs w:val="20"/>
          <w:lang w:val="en-GB"/>
        </w:rPr>
        <w:t>(4): 227 - 281.</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Kong, E. F., Kucarikova, S., Dijck, P. V., Peters, B.M., Shirtliff, M. E. and Jabra-Rizk, M. A. (2015). Clinical implications of oral candidiasis: host tissue damage and disseminated bacterial disease. </w:t>
      </w:r>
      <w:r w:rsidRPr="00894151">
        <w:rPr>
          <w:rFonts w:ascii="Times New Roman" w:eastAsia="Calibri" w:hAnsi="Times New Roman"/>
          <w:i/>
          <w:iCs/>
          <w:sz w:val="20"/>
          <w:szCs w:val="20"/>
          <w:lang w:val="en-GB"/>
        </w:rPr>
        <w:t>Infection and Immunity</w:t>
      </w:r>
      <w:r w:rsidRPr="00894151">
        <w:rPr>
          <w:rFonts w:ascii="Times New Roman" w:eastAsia="Calibri" w:hAnsi="Times New Roman"/>
          <w:sz w:val="20"/>
          <w:szCs w:val="20"/>
          <w:lang w:val="en-GB"/>
        </w:rPr>
        <w:t>, 83(2): 604 - 613.</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Pfaller, M. A. and Diakema, D. J. (2007). Epidemiology of invasive candidiasis: A persistent public health problem. </w:t>
      </w:r>
      <w:r w:rsidRPr="00894151">
        <w:rPr>
          <w:rFonts w:ascii="Times New Roman" w:eastAsia="Calibri" w:hAnsi="Times New Roman"/>
          <w:i/>
          <w:iCs/>
          <w:sz w:val="20"/>
          <w:szCs w:val="20"/>
          <w:lang w:val="en-GB"/>
        </w:rPr>
        <w:t xml:space="preserve">Clinical Microbiology Reviews, </w:t>
      </w:r>
      <w:r w:rsidRPr="00894151">
        <w:rPr>
          <w:rFonts w:ascii="Times New Roman" w:eastAsia="Calibri" w:hAnsi="Times New Roman"/>
          <w:sz w:val="20"/>
          <w:szCs w:val="20"/>
          <w:lang w:val="en-GB"/>
        </w:rPr>
        <w:t>20(1): 133 - 163.</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Fidel, P. L. (2011). </w:t>
      </w:r>
      <w:r w:rsidRPr="00894151">
        <w:rPr>
          <w:rFonts w:ascii="Times New Roman" w:eastAsia="Calibri" w:hAnsi="Times New Roman"/>
          <w:i/>
          <w:iCs/>
          <w:sz w:val="20"/>
          <w:szCs w:val="20"/>
          <w:lang w:val="en-GB"/>
        </w:rPr>
        <w:t>Candida</w:t>
      </w:r>
      <w:r w:rsidRPr="00894151">
        <w:rPr>
          <w:rFonts w:ascii="Times New Roman" w:eastAsia="Calibri" w:hAnsi="Times New Roman"/>
          <w:sz w:val="20"/>
          <w:szCs w:val="20"/>
          <w:lang w:val="en-GB"/>
        </w:rPr>
        <w:t>-host interactions in HIV disease: Implications for oropharyngeal candidiasis. </w:t>
      </w:r>
      <w:r w:rsidRPr="00894151">
        <w:rPr>
          <w:rFonts w:ascii="Times New Roman" w:eastAsia="Calibri" w:hAnsi="Times New Roman"/>
          <w:i/>
          <w:iCs/>
          <w:sz w:val="20"/>
          <w:szCs w:val="20"/>
          <w:lang w:val="en-GB"/>
        </w:rPr>
        <w:t>Advances in Dental Research</w:t>
      </w:r>
      <w:r w:rsidRPr="00894151">
        <w:rPr>
          <w:rFonts w:ascii="Times New Roman" w:eastAsia="Calibri" w:hAnsi="Times New Roman"/>
          <w:sz w:val="20"/>
          <w:szCs w:val="20"/>
          <w:lang w:val="en-GB"/>
        </w:rPr>
        <w:t xml:space="preserve">, 23(1): 45 - 49.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Lyu, X., Zhao, C., Yan, Z., and Hua, H. (2016). Efficacy of nystatin for the treatment of oral candidiasis: A systematic review and meta-analysis. </w:t>
      </w:r>
      <w:r w:rsidRPr="00894151">
        <w:rPr>
          <w:rFonts w:ascii="Times New Roman" w:eastAsia="Calibri" w:hAnsi="Times New Roman"/>
          <w:i/>
          <w:iCs/>
          <w:sz w:val="20"/>
          <w:szCs w:val="20"/>
          <w:lang w:val="en-GB"/>
        </w:rPr>
        <w:t>Drug Design, Development and Therapy</w:t>
      </w:r>
      <w:r w:rsidRPr="00894151">
        <w:rPr>
          <w:rFonts w:ascii="Times New Roman" w:eastAsia="Calibri" w:hAnsi="Times New Roman"/>
          <w:sz w:val="20"/>
          <w:szCs w:val="20"/>
          <w:lang w:val="en-GB"/>
        </w:rPr>
        <w:t xml:space="preserve">, 10: 1161 - 1171.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Dhanasekaran, D., Vinothini, K., Latha, S., Thajuddin, N. and Paneerselyam, A. (2014). Human dental biofilm: screening, characterization, </w:t>
      </w:r>
      <w:r w:rsidRPr="00894151">
        <w:rPr>
          <w:rFonts w:ascii="Times New Roman" w:eastAsia="Calibri" w:hAnsi="Times New Roman"/>
          <w:i/>
          <w:iCs/>
          <w:sz w:val="20"/>
          <w:szCs w:val="20"/>
          <w:lang w:val="en-GB"/>
        </w:rPr>
        <w:t>in vitro</w:t>
      </w:r>
      <w:r w:rsidRPr="00894151">
        <w:rPr>
          <w:rFonts w:ascii="Times New Roman" w:eastAsia="Calibri" w:hAnsi="Times New Roman"/>
          <w:sz w:val="20"/>
          <w:szCs w:val="20"/>
          <w:lang w:val="en-GB"/>
        </w:rPr>
        <w:t xml:space="preserve"> biofilm formation and antifungal resistance of </w:t>
      </w:r>
      <w:r w:rsidRPr="00894151">
        <w:rPr>
          <w:rFonts w:ascii="Times New Roman" w:eastAsia="Calibri" w:hAnsi="Times New Roman"/>
          <w:i/>
          <w:iCs/>
          <w:sz w:val="20"/>
          <w:szCs w:val="20"/>
          <w:lang w:val="en-GB"/>
        </w:rPr>
        <w:t xml:space="preserve">Candida spp. The Saudi Journal for Dental Research, </w:t>
      </w:r>
      <w:r w:rsidRPr="00894151">
        <w:rPr>
          <w:rFonts w:ascii="Times New Roman" w:eastAsia="Calibri" w:hAnsi="Times New Roman"/>
          <w:sz w:val="20"/>
          <w:szCs w:val="20"/>
          <w:lang w:val="en-GB"/>
        </w:rPr>
        <w:t>5(1): 55 - 70.</w:t>
      </w:r>
      <w:r w:rsidRPr="00894151">
        <w:rPr>
          <w:rFonts w:ascii="Times New Roman" w:eastAsia="Calibri" w:hAnsi="Times New Roman"/>
          <w:sz w:val="20"/>
          <w:szCs w:val="20"/>
          <w:shd w:val="clear" w:color="auto" w:fill="F8F8F8"/>
          <w:lang w:val="en-GB"/>
        </w:rPr>
        <w:t xml:space="preserve">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Mosci, P., Gabrielli, E., Luciano, E., Perito, S., Cassone, A., Pericolini, E., and Vecchiarelli, A. (2014). Involvement of IL-17A in preventing the development of deep-seated candidiasis from oropharyngeal infection. </w:t>
      </w:r>
      <w:r w:rsidRPr="00894151">
        <w:rPr>
          <w:rFonts w:ascii="Times New Roman" w:eastAsia="Calibri" w:hAnsi="Times New Roman"/>
          <w:i/>
          <w:iCs/>
          <w:sz w:val="20"/>
          <w:szCs w:val="20"/>
          <w:lang w:val="en-GB"/>
        </w:rPr>
        <w:t>Microbes and Infection</w:t>
      </w:r>
      <w:r w:rsidRPr="00894151">
        <w:rPr>
          <w:rFonts w:ascii="Times New Roman" w:eastAsia="Calibri" w:hAnsi="Times New Roman"/>
          <w:sz w:val="20"/>
          <w:szCs w:val="20"/>
          <w:lang w:val="en-GB"/>
        </w:rPr>
        <w:t>, 16(8): 678 - 689.</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He, M., Du, M., Fan, M. and Bian, Z. (2007). </w:t>
      </w:r>
      <w:r w:rsidRPr="00894151">
        <w:rPr>
          <w:rFonts w:ascii="Times New Roman" w:eastAsia="Calibri" w:hAnsi="Times New Roman"/>
          <w:i/>
          <w:iCs/>
          <w:sz w:val="20"/>
          <w:szCs w:val="20"/>
          <w:lang w:val="en-GB"/>
        </w:rPr>
        <w:t>In vitro</w:t>
      </w:r>
      <w:r w:rsidRPr="00894151">
        <w:rPr>
          <w:rFonts w:ascii="Times New Roman" w:eastAsia="Calibri" w:hAnsi="Times New Roman"/>
          <w:sz w:val="20"/>
          <w:szCs w:val="20"/>
          <w:lang w:val="en-GB"/>
        </w:rPr>
        <w:t xml:space="preserve"> activity of eugenol against </w:t>
      </w:r>
      <w:r w:rsidRPr="00894151">
        <w:rPr>
          <w:rFonts w:ascii="Times New Roman" w:eastAsia="Calibri" w:hAnsi="Times New Roman"/>
          <w:i/>
          <w:iCs/>
          <w:sz w:val="20"/>
          <w:szCs w:val="20"/>
          <w:lang w:val="en-GB"/>
        </w:rPr>
        <w:t>Candida albicans</w:t>
      </w:r>
      <w:r w:rsidRPr="00894151">
        <w:rPr>
          <w:rFonts w:ascii="Times New Roman" w:eastAsia="Calibri" w:hAnsi="Times New Roman"/>
          <w:sz w:val="20"/>
          <w:szCs w:val="20"/>
          <w:lang w:val="en-GB"/>
        </w:rPr>
        <w:t xml:space="preserve"> biofilms. </w:t>
      </w:r>
      <w:r w:rsidRPr="00894151">
        <w:rPr>
          <w:rFonts w:ascii="Times New Roman" w:eastAsia="Calibri" w:hAnsi="Times New Roman"/>
          <w:i/>
          <w:iCs/>
          <w:sz w:val="20"/>
          <w:szCs w:val="20"/>
          <w:lang w:val="en-GB"/>
        </w:rPr>
        <w:t>Mycopathologi</w:t>
      </w:r>
      <w:r w:rsidRPr="00894151">
        <w:rPr>
          <w:rFonts w:ascii="Times New Roman" w:eastAsia="Calibri" w:hAnsi="Times New Roman"/>
          <w:i/>
          <w:sz w:val="20"/>
          <w:szCs w:val="20"/>
          <w:lang w:val="en-GB"/>
        </w:rPr>
        <w:t>a</w:t>
      </w:r>
      <w:r w:rsidRPr="00894151">
        <w:rPr>
          <w:rFonts w:ascii="Times New Roman" w:eastAsia="Calibri" w:hAnsi="Times New Roman"/>
          <w:sz w:val="20"/>
          <w:szCs w:val="20"/>
          <w:lang w:val="en-GB"/>
        </w:rPr>
        <w:t>, 163: 137 - 143.</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Ilyas, M. and Sharma, A. (2017). Cutaneous fungal infections in solid organ transplant recipients. </w:t>
      </w:r>
      <w:r w:rsidRPr="00894151">
        <w:rPr>
          <w:rFonts w:ascii="Times New Roman" w:eastAsia="Calibri" w:hAnsi="Times New Roman"/>
          <w:i/>
          <w:iCs/>
          <w:sz w:val="20"/>
          <w:szCs w:val="20"/>
          <w:lang w:val="en-GB"/>
        </w:rPr>
        <w:t xml:space="preserve">Transplantation Reviews, </w:t>
      </w:r>
      <w:r w:rsidRPr="00894151">
        <w:rPr>
          <w:rFonts w:ascii="Times New Roman" w:eastAsia="Calibri" w:hAnsi="Times New Roman"/>
          <w:sz w:val="20"/>
          <w:szCs w:val="20"/>
          <w:lang w:val="en-GB"/>
        </w:rPr>
        <w:t xml:space="preserve">31(3): 158 - 165.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Jin, Y., Zhang, T., Samaranayake, Y. H., Fang, H. H. P., Yip, H. K., and Samaranayake, L. P. (2005). The use of new probes and stains for improved assessment of cell viability and extracellular polymeric substances in </w:t>
      </w:r>
      <w:r w:rsidRPr="00894151">
        <w:rPr>
          <w:rFonts w:ascii="Times New Roman" w:eastAsia="Calibri" w:hAnsi="Times New Roman"/>
          <w:i/>
          <w:iCs/>
          <w:sz w:val="20"/>
          <w:szCs w:val="20"/>
          <w:lang w:val="en-GB"/>
        </w:rPr>
        <w:t>Candida albicans</w:t>
      </w:r>
      <w:r w:rsidRPr="00894151">
        <w:rPr>
          <w:rFonts w:ascii="Times New Roman" w:eastAsia="Calibri" w:hAnsi="Times New Roman"/>
          <w:sz w:val="20"/>
          <w:szCs w:val="20"/>
          <w:lang w:val="en-GB"/>
        </w:rPr>
        <w:t xml:space="preserve"> biofilms. </w:t>
      </w:r>
      <w:r w:rsidRPr="00894151">
        <w:rPr>
          <w:rFonts w:ascii="Times New Roman" w:eastAsia="Calibri" w:hAnsi="Times New Roman"/>
          <w:i/>
          <w:iCs/>
          <w:sz w:val="20"/>
          <w:szCs w:val="20"/>
          <w:lang w:val="en-GB"/>
        </w:rPr>
        <w:t>Mycopathologia</w:t>
      </w:r>
      <w:r w:rsidRPr="00894151">
        <w:rPr>
          <w:rFonts w:ascii="Times New Roman" w:eastAsia="Calibri" w:hAnsi="Times New Roman"/>
          <w:sz w:val="20"/>
          <w:szCs w:val="20"/>
          <w:lang w:val="en-GB"/>
        </w:rPr>
        <w:t xml:space="preserve">, 159(3): 353 - 360.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Rasteiro, V. M. C., Costa, A. C. B. P., Araujo, C. F., Barros, P. P., Rossoni, R. D., Anbinder, A. L., Jorge, A. O. C. and Junquiera, J. C. (2014). Essential oil of </w:t>
      </w:r>
      <w:r w:rsidRPr="00894151">
        <w:rPr>
          <w:rFonts w:ascii="Times New Roman" w:eastAsia="Calibri" w:hAnsi="Times New Roman"/>
          <w:i/>
          <w:iCs/>
          <w:sz w:val="20"/>
          <w:szCs w:val="20"/>
          <w:lang w:val="en-GB"/>
        </w:rPr>
        <w:t>Melaleuca alternifolia</w:t>
      </w:r>
      <w:r w:rsidRPr="00894151">
        <w:rPr>
          <w:rFonts w:ascii="Times New Roman" w:eastAsia="Calibri" w:hAnsi="Times New Roman"/>
          <w:sz w:val="20"/>
          <w:szCs w:val="20"/>
          <w:lang w:val="en-GB"/>
        </w:rPr>
        <w:t xml:space="preserve"> for the treatment of oral candidiasis induced in an immunosuppressed mouse model. </w:t>
      </w:r>
      <w:r w:rsidRPr="00894151">
        <w:rPr>
          <w:rFonts w:ascii="Times New Roman" w:eastAsia="Calibri" w:hAnsi="Times New Roman"/>
          <w:i/>
          <w:iCs/>
          <w:sz w:val="20"/>
          <w:szCs w:val="20"/>
          <w:lang w:val="en-GB"/>
        </w:rPr>
        <w:t xml:space="preserve">BMC Complementary and Alternative Medicine, </w:t>
      </w:r>
      <w:r w:rsidRPr="00894151">
        <w:rPr>
          <w:rFonts w:ascii="Times New Roman" w:eastAsia="Calibri" w:hAnsi="Times New Roman"/>
          <w:sz w:val="20"/>
          <w:szCs w:val="20"/>
          <w:lang w:val="en-GB"/>
        </w:rPr>
        <w:t xml:space="preserve">14: 489 - 499. </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Schelenz, S., Abdallah, S., Gray, G., Stubbings, H., Gow, I., Baker, P. and Hunter P. R. (2011). Epidemiology of oral yeast colonization and infection in patients with haematological malignancies, head neck and solid tumors. </w:t>
      </w:r>
      <w:r w:rsidRPr="00894151">
        <w:rPr>
          <w:rFonts w:ascii="Times New Roman" w:eastAsia="Calibri" w:hAnsi="Times New Roman"/>
          <w:i/>
          <w:iCs/>
          <w:sz w:val="20"/>
          <w:szCs w:val="20"/>
          <w:lang w:val="en-GB"/>
        </w:rPr>
        <w:t>Journal of Oral Pathology Medicine</w:t>
      </w:r>
      <w:r w:rsidRPr="00894151">
        <w:rPr>
          <w:rFonts w:ascii="Times New Roman" w:eastAsia="Calibri" w:hAnsi="Times New Roman"/>
          <w:sz w:val="20"/>
          <w:szCs w:val="20"/>
          <w:lang w:val="en-GB"/>
        </w:rPr>
        <w:t>, 40: 83 - 89.</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Thompson III, G. R., Patel, P. K., Kirkpatrick, W. R., Westbrook, S. D., Berg, D., Erlandsen, J., Redding, S. W. and Patterson, T. F. (2010). Oropharyngeal Candidiasis in the Era of Antiretroviral Therapy. </w:t>
      </w:r>
      <w:r w:rsidRPr="00894151">
        <w:rPr>
          <w:rFonts w:ascii="Times New Roman" w:eastAsia="Calibri" w:hAnsi="Times New Roman"/>
          <w:i/>
          <w:iCs/>
          <w:sz w:val="20"/>
          <w:szCs w:val="20"/>
          <w:lang w:val="en-GB"/>
        </w:rPr>
        <w:t>Oral Surgery, Oral Medicine, Oral Pathology, Oral Radiology, and Endodontology</w:t>
      </w:r>
      <w:r w:rsidRPr="00894151">
        <w:rPr>
          <w:rFonts w:ascii="Times New Roman" w:eastAsia="Calibri" w:hAnsi="Times New Roman"/>
          <w:sz w:val="20"/>
          <w:szCs w:val="20"/>
          <w:lang w:val="en-GB"/>
        </w:rPr>
        <w:t>, 109</w:t>
      </w:r>
      <w:r w:rsidRPr="00894151">
        <w:rPr>
          <w:rFonts w:ascii="Times New Roman" w:eastAsia="Calibri" w:hAnsi="Times New Roman"/>
          <w:i/>
          <w:iCs/>
          <w:sz w:val="20"/>
          <w:szCs w:val="20"/>
          <w:lang w:val="en-GB"/>
        </w:rPr>
        <w:t xml:space="preserve"> </w:t>
      </w:r>
      <w:r w:rsidRPr="00894151">
        <w:rPr>
          <w:rFonts w:ascii="Times New Roman" w:eastAsia="Calibri" w:hAnsi="Times New Roman"/>
          <w:sz w:val="20"/>
          <w:szCs w:val="20"/>
          <w:lang w:val="en-GB"/>
        </w:rPr>
        <w:t>(4): 488 - 495.</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Williams D. W., Kuriyama T., Silva, S., Malic, S. and Lewis, M. A. O. (2011). </w:t>
      </w:r>
      <w:r w:rsidRPr="00894151">
        <w:rPr>
          <w:rFonts w:ascii="Times New Roman" w:eastAsia="Calibri" w:hAnsi="Times New Roman"/>
          <w:i/>
          <w:iCs/>
          <w:sz w:val="20"/>
          <w:szCs w:val="20"/>
          <w:lang w:val="en-GB"/>
        </w:rPr>
        <w:t>Candida</w:t>
      </w:r>
      <w:r w:rsidRPr="00894151">
        <w:rPr>
          <w:rFonts w:ascii="Times New Roman" w:eastAsia="Calibri" w:hAnsi="Times New Roman"/>
          <w:sz w:val="20"/>
          <w:szCs w:val="20"/>
          <w:lang w:val="en-GB"/>
        </w:rPr>
        <w:t xml:space="preserve"> biofilms and Oral candidosis: Treatment and prevention. </w:t>
      </w:r>
      <w:r w:rsidRPr="00894151">
        <w:rPr>
          <w:rFonts w:ascii="Times New Roman" w:eastAsia="Calibri" w:hAnsi="Times New Roman"/>
          <w:i/>
          <w:iCs/>
          <w:sz w:val="20"/>
          <w:szCs w:val="20"/>
          <w:lang w:val="en-GB"/>
        </w:rPr>
        <w:t xml:space="preserve">Periodontology 2000, </w:t>
      </w:r>
      <w:r w:rsidRPr="00894151">
        <w:rPr>
          <w:rFonts w:ascii="Times New Roman" w:eastAsia="Calibri" w:hAnsi="Times New Roman"/>
          <w:sz w:val="20"/>
          <w:szCs w:val="20"/>
          <w:lang w:val="en-GB"/>
        </w:rPr>
        <w:t>55: 250-265.</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Lima, E. B. C., Sousa, C. N. S., Meneses, L. N., Ximenes, N. C., Júnior, S., Vasconcelos, G. S., Lima, N. B., Patocinio, M. C., Macedo., D. and Vasconcelos, S. M. M. (2015). </w:t>
      </w:r>
      <w:r w:rsidRPr="00894151">
        <w:rPr>
          <w:rFonts w:ascii="Times New Roman" w:eastAsia="Calibri" w:hAnsi="Times New Roman"/>
          <w:i/>
          <w:iCs/>
          <w:sz w:val="20"/>
          <w:szCs w:val="20"/>
          <w:lang w:val="en-GB"/>
        </w:rPr>
        <w:t xml:space="preserve">Cocos nucifera </w:t>
      </w:r>
      <w:r w:rsidRPr="00894151">
        <w:rPr>
          <w:rFonts w:ascii="Times New Roman" w:eastAsia="Calibri" w:hAnsi="Times New Roman"/>
          <w:sz w:val="20"/>
          <w:szCs w:val="20"/>
          <w:lang w:val="en-GB"/>
        </w:rPr>
        <w:t>(</w:t>
      </w:r>
      <w:r w:rsidRPr="00894151">
        <w:rPr>
          <w:rFonts w:ascii="Times New Roman" w:eastAsia="Calibri" w:hAnsi="Times New Roman"/>
          <w:i/>
          <w:iCs/>
          <w:sz w:val="20"/>
          <w:szCs w:val="20"/>
          <w:lang w:val="en-GB"/>
        </w:rPr>
        <w:t>L.</w:t>
      </w:r>
      <w:r w:rsidRPr="00894151">
        <w:rPr>
          <w:rFonts w:ascii="Times New Roman" w:eastAsia="Calibri" w:hAnsi="Times New Roman"/>
          <w:sz w:val="20"/>
          <w:szCs w:val="20"/>
          <w:lang w:val="en-GB"/>
        </w:rPr>
        <w:t>) (</w:t>
      </w:r>
      <w:r w:rsidRPr="00894151">
        <w:rPr>
          <w:rFonts w:ascii="Times New Roman" w:eastAsia="Calibri" w:hAnsi="Times New Roman"/>
          <w:i/>
          <w:iCs/>
          <w:sz w:val="20"/>
          <w:szCs w:val="20"/>
          <w:lang w:val="en-GB"/>
        </w:rPr>
        <w:t>Arecaceae</w:t>
      </w:r>
      <w:r w:rsidRPr="00894151">
        <w:rPr>
          <w:rFonts w:ascii="Times New Roman" w:eastAsia="Calibri" w:hAnsi="Times New Roman"/>
          <w:sz w:val="20"/>
          <w:szCs w:val="20"/>
          <w:lang w:val="en-GB"/>
        </w:rPr>
        <w:t>): A phytochemical and pharmacological review. </w:t>
      </w:r>
      <w:r w:rsidRPr="00894151">
        <w:rPr>
          <w:rFonts w:ascii="Times New Roman" w:eastAsia="Calibri" w:hAnsi="Times New Roman"/>
          <w:i/>
          <w:iCs/>
          <w:sz w:val="20"/>
          <w:szCs w:val="20"/>
          <w:lang w:val="en-GB"/>
        </w:rPr>
        <w:t>Brazilian Journal of Medical and Biological Research</w:t>
      </w:r>
      <w:r w:rsidRPr="00894151">
        <w:rPr>
          <w:rFonts w:ascii="Times New Roman" w:eastAsia="Calibri" w:hAnsi="Times New Roman"/>
          <w:sz w:val="20"/>
          <w:szCs w:val="20"/>
          <w:lang w:val="en-GB"/>
        </w:rPr>
        <w:t>, 48(11): 953 - 964.</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Long K. Modified coconut oils with broad antimicrobial spectrum. Malaysian Granted Patent MY140578-A. 2009. https://patents.google.com/patent/WO2007067028A1. [Access online 26 November 2017].</w:t>
      </w:r>
    </w:p>
    <w:p w:rsidR="000E14DA" w:rsidRPr="00894151"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Soo-Peng, K., Harun, D., Mat-Amin, M. and Long, K. (2016). Enhanced virgin coconut oil (EVCO) as natural postmilking teat germicide to control environmental mastitis pathogens. </w:t>
      </w:r>
      <w:r w:rsidRPr="00894151">
        <w:rPr>
          <w:rFonts w:ascii="Times New Roman" w:eastAsia="Calibri" w:hAnsi="Times New Roman"/>
          <w:i/>
          <w:iCs/>
          <w:sz w:val="20"/>
          <w:szCs w:val="20"/>
          <w:lang w:val="en-GB"/>
        </w:rPr>
        <w:t xml:space="preserve">International Journal of Biotechnology for Wellness Industries, </w:t>
      </w:r>
      <w:r w:rsidRPr="00894151">
        <w:rPr>
          <w:rFonts w:ascii="Times New Roman" w:eastAsia="Calibri" w:hAnsi="Times New Roman"/>
          <w:sz w:val="20"/>
          <w:szCs w:val="20"/>
          <w:lang w:val="en-GB"/>
        </w:rPr>
        <w:t>5: 128 - 134.</w:t>
      </w:r>
    </w:p>
    <w:p w:rsidR="00A74A7E" w:rsidRPr="000E14DA" w:rsidRDefault="000E14DA" w:rsidP="000E14DA">
      <w:pPr>
        <w:numPr>
          <w:ilvl w:val="0"/>
          <w:numId w:val="6"/>
        </w:numPr>
        <w:tabs>
          <w:tab w:val="left" w:pos="2775"/>
        </w:tabs>
        <w:spacing w:after="0" w:line="240" w:lineRule="auto"/>
        <w:jc w:val="both"/>
        <w:rPr>
          <w:rFonts w:ascii="Times New Roman" w:eastAsia="Calibri" w:hAnsi="Times New Roman"/>
          <w:sz w:val="20"/>
          <w:szCs w:val="20"/>
          <w:lang w:val="en-GB"/>
        </w:rPr>
      </w:pPr>
      <w:r w:rsidRPr="00894151">
        <w:rPr>
          <w:rFonts w:ascii="Times New Roman" w:eastAsia="Calibri" w:hAnsi="Times New Roman"/>
          <w:sz w:val="20"/>
          <w:szCs w:val="20"/>
          <w:lang w:val="en-GB"/>
        </w:rPr>
        <w:t xml:space="preserve">Haron, U. A., Abllah, Z. and Nasir, N. A. M. M. (2018). The comparative antimicrobial effect of activated virgin coconut oil (AVCO) and virgin coconut oil (VCO) against dental caries-related pathogens. </w:t>
      </w:r>
      <w:r w:rsidRPr="00894151">
        <w:rPr>
          <w:rFonts w:ascii="Times New Roman" w:eastAsia="Calibri" w:hAnsi="Times New Roman"/>
          <w:i/>
          <w:iCs/>
          <w:sz w:val="20"/>
          <w:szCs w:val="20"/>
          <w:lang w:val="en-GB"/>
        </w:rPr>
        <w:t>Advances in Health Science Research</w:t>
      </w:r>
      <w:r w:rsidRPr="00894151">
        <w:rPr>
          <w:rFonts w:ascii="Times New Roman" w:eastAsia="Calibri" w:hAnsi="Times New Roman"/>
          <w:sz w:val="20"/>
          <w:szCs w:val="20"/>
          <w:lang w:val="en-GB"/>
        </w:rPr>
        <w:t>, 8: 312 - 317.</w:t>
      </w:r>
    </w:p>
    <w:sectPr w:rsidR="00A74A7E" w:rsidRPr="000E14DA" w:rsidSect="000109FC">
      <w:headerReference w:type="even" r:id="rId14"/>
      <w:headerReference w:type="default" r:id="rId15"/>
      <w:footerReference w:type="even" r:id="rId16"/>
      <w:footerReference w:type="default" r:id="rId17"/>
      <w:pgSz w:w="12240" w:h="15840" w:code="1"/>
      <w:pgMar w:top="1800" w:right="1469" w:bottom="1699" w:left="1440" w:header="706" w:footer="706" w:gutter="0"/>
      <w:pgNumType w:start="8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otisSemiSansStd">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B3239">
          <w:rPr>
            <w:rFonts w:ascii="Times New Roman" w:hAnsi="Times New Roman"/>
            <w:noProof/>
          </w:rPr>
          <w:t>816</w:t>
        </w:r>
        <w:r w:rsidRPr="00C0756D">
          <w:rPr>
            <w:rFonts w:ascii="Times New Roman" w:hAnsi="Times New Roman"/>
            <w:noProof/>
          </w:rPr>
          <w:fldChar w:fldCharType="end"/>
        </w:r>
      </w:p>
      <w:p w:rsidR="00C0756D" w:rsidRPr="00C0756D" w:rsidRDefault="006B3239">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B3239">
          <w:rPr>
            <w:rFonts w:ascii="Times New Roman" w:hAnsi="Times New Roman"/>
            <w:noProof/>
          </w:rPr>
          <w:t>817</w:t>
        </w:r>
        <w:r w:rsidRPr="00C0756D">
          <w:rPr>
            <w:rFonts w:ascii="Times New Roman" w:hAnsi="Times New Roman"/>
            <w:noProof/>
          </w:rPr>
          <w:fldChar w:fldCharType="end"/>
        </w:r>
      </w:p>
      <w:p w:rsidR="00C0756D" w:rsidRPr="00C0756D" w:rsidRDefault="006B3239">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8323C">
      <w:rPr>
        <w:rFonts w:ascii="Times New Roman" w:hAnsi="Times New Roman"/>
        <w:i/>
        <w:lang w:val="en-US"/>
      </w:rPr>
      <w:t>No 5</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0109FC">
      <w:rPr>
        <w:rFonts w:ascii="Times New Roman" w:hAnsi="Times New Roman"/>
        <w:i/>
        <w:lang w:val="en-US"/>
      </w:rPr>
      <w:t>812</w:t>
    </w:r>
    <w:r w:rsidR="004B43FF">
      <w:rPr>
        <w:rFonts w:ascii="Times New Roman" w:hAnsi="Times New Roman"/>
        <w:i/>
        <w:lang w:val="en-US"/>
      </w:rPr>
      <w:t xml:space="preserve"> </w:t>
    </w:r>
    <w:r w:rsidR="00583C85">
      <w:rPr>
        <w:rFonts w:ascii="Times New Roman" w:hAnsi="Times New Roman"/>
        <w:i/>
        <w:lang w:val="en-US"/>
      </w:rPr>
      <w:t>-</w:t>
    </w:r>
    <w:r w:rsidR="000109FC">
      <w:rPr>
        <w:rFonts w:ascii="Times New Roman" w:hAnsi="Times New Roman"/>
        <w:i/>
        <w:lang w:val="en-US"/>
      </w:rPr>
      <w:t xml:space="preserve"> 817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8323C">
      <w:rPr>
        <w:rFonts w:ascii="Times New Roman" w:hAnsi="Times New Roman"/>
        <w:i/>
        <w:lang w:val="en-US"/>
      </w:rPr>
      <w:t>5</w:t>
    </w:r>
    <w:r w:rsidR="000109FC">
      <w:rPr>
        <w:rFonts w:ascii="Times New Roman" w:hAnsi="Times New Roman"/>
        <w:i/>
        <w:lang w:val="en-US"/>
      </w:rPr>
      <w:t>-06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DA" w:rsidRPr="000E14DA" w:rsidRDefault="000E14DA" w:rsidP="000E14DA">
    <w:pPr>
      <w:spacing w:after="0" w:line="240" w:lineRule="auto"/>
      <w:ind w:left="1440" w:hanging="1440"/>
      <w:rPr>
        <w:rFonts w:ascii="Times New Roman" w:hAnsi="Times New Roman"/>
        <w:bCs/>
        <w:sz w:val="20"/>
        <w:szCs w:val="20"/>
        <w:lang w:val="en-GB"/>
      </w:rPr>
    </w:pPr>
    <w:r>
      <w:rPr>
        <w:rFonts w:ascii="Times New Roman" w:hAnsi="Times New Roman"/>
        <w:sz w:val="20"/>
        <w:szCs w:val="20"/>
      </w:rPr>
      <w:t>Nor Izzah et al</w:t>
    </w:r>
    <w:r w:rsidR="008E6968" w:rsidRPr="000E14DA">
      <w:rPr>
        <w:rFonts w:ascii="Times New Roman" w:hAnsi="Times New Roman"/>
        <w:sz w:val="20"/>
        <w:szCs w:val="20"/>
      </w:rPr>
      <w:t xml:space="preserve">:  </w:t>
    </w:r>
    <w:r w:rsidRPr="000E14DA">
      <w:rPr>
        <w:rFonts w:ascii="Times New Roman" w:hAnsi="Times New Roman"/>
        <w:sz w:val="20"/>
        <w:szCs w:val="20"/>
      </w:rPr>
      <w:t xml:space="preserve"> </w:t>
    </w:r>
    <w:r>
      <w:rPr>
        <w:rFonts w:ascii="Times New Roman" w:hAnsi="Times New Roman"/>
        <w:sz w:val="20"/>
        <w:szCs w:val="20"/>
      </w:rPr>
      <w:tab/>
    </w:r>
    <w:r w:rsidRPr="000E14DA">
      <w:rPr>
        <w:rFonts w:ascii="Times New Roman" w:hAnsi="Times New Roman"/>
        <w:bCs/>
        <w:sz w:val="20"/>
        <w:szCs w:val="20"/>
        <w:lang w:val="en-GB"/>
      </w:rPr>
      <w:t xml:space="preserve">APPLICATION OF DIRECT FLUORESCENCE-BASED LIVE/DEAD STAINING FOR ASSESSMENT OF ANTIFUNGAL ACTIVITY OF COCONUT OIL AGAINST </w:t>
    </w:r>
    <w:r w:rsidRPr="000E14DA">
      <w:rPr>
        <w:rFonts w:ascii="Times New Roman" w:hAnsi="Times New Roman"/>
        <w:bCs/>
        <w:i/>
        <w:iCs/>
        <w:sz w:val="20"/>
        <w:szCs w:val="20"/>
        <w:lang w:val="en-GB"/>
      </w:rPr>
      <w:t>Candida albicans</w:t>
    </w:r>
    <w:r w:rsidRPr="000E14DA">
      <w:rPr>
        <w:rFonts w:ascii="Times New Roman" w:hAnsi="Times New Roman"/>
        <w:bCs/>
        <w:sz w:val="20"/>
        <w:szCs w:val="20"/>
        <w:lang w:val="en-GB"/>
      </w:rPr>
      <w:t xml:space="preserve">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87A"/>
    <w:multiLevelType w:val="hybridMultilevel"/>
    <w:tmpl w:val="F3A83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3429D5"/>
    <w:multiLevelType w:val="multilevel"/>
    <w:tmpl w:val="2F786AEC"/>
    <w:lvl w:ilvl="0">
      <w:start w:val="3"/>
      <w:numFmt w:val="decimal"/>
      <w:lvlText w:val="%1"/>
      <w:lvlJc w:val="left"/>
      <w:pPr>
        <w:ind w:left="720" w:hanging="360"/>
      </w:pPr>
      <w:rPr>
        <w:rFonts w:hint="default"/>
      </w:rPr>
    </w:lvl>
    <w:lvl w:ilvl="1">
      <w:start w:val="4"/>
      <w:numFmt w:val="decimal"/>
      <w:isLgl/>
      <w:lvlText w:val="%1.%2"/>
      <w:lvlJc w:val="left"/>
      <w:pPr>
        <w:ind w:left="144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3A6FFA"/>
    <w:multiLevelType w:val="hybridMultilevel"/>
    <w:tmpl w:val="005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E59D5"/>
    <w:multiLevelType w:val="multilevel"/>
    <w:tmpl w:val="1722CF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7DA422C"/>
    <w:multiLevelType w:val="multilevel"/>
    <w:tmpl w:val="AC0239AE"/>
    <w:lvl w:ilvl="0">
      <w:start w:val="3"/>
      <w:numFmt w:val="decimal"/>
      <w:lvlText w:val="%1"/>
      <w:lvlJc w:val="left"/>
      <w:pPr>
        <w:ind w:left="36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09FC"/>
    <w:rsid w:val="00016385"/>
    <w:rsid w:val="00070690"/>
    <w:rsid w:val="00084936"/>
    <w:rsid w:val="000C49FF"/>
    <w:rsid w:val="000C5261"/>
    <w:rsid w:val="000E14DA"/>
    <w:rsid w:val="000E5AF1"/>
    <w:rsid w:val="000F77DA"/>
    <w:rsid w:val="001068E8"/>
    <w:rsid w:val="00117BCD"/>
    <w:rsid w:val="001D035A"/>
    <w:rsid w:val="001D3855"/>
    <w:rsid w:val="001D6F2C"/>
    <w:rsid w:val="00221D39"/>
    <w:rsid w:val="002B188F"/>
    <w:rsid w:val="002B3BD8"/>
    <w:rsid w:val="002F3F91"/>
    <w:rsid w:val="00304767"/>
    <w:rsid w:val="00304B34"/>
    <w:rsid w:val="00312C0E"/>
    <w:rsid w:val="00361BAF"/>
    <w:rsid w:val="00367D1F"/>
    <w:rsid w:val="00373A9B"/>
    <w:rsid w:val="0038323C"/>
    <w:rsid w:val="00383F26"/>
    <w:rsid w:val="0039005B"/>
    <w:rsid w:val="003D585B"/>
    <w:rsid w:val="003E7DA6"/>
    <w:rsid w:val="003F12FF"/>
    <w:rsid w:val="004760D4"/>
    <w:rsid w:val="00494C46"/>
    <w:rsid w:val="004B43FF"/>
    <w:rsid w:val="00502641"/>
    <w:rsid w:val="00523B0C"/>
    <w:rsid w:val="00534441"/>
    <w:rsid w:val="00545363"/>
    <w:rsid w:val="00583C85"/>
    <w:rsid w:val="00584156"/>
    <w:rsid w:val="005C6768"/>
    <w:rsid w:val="00624C7C"/>
    <w:rsid w:val="00634C25"/>
    <w:rsid w:val="006416AB"/>
    <w:rsid w:val="006768E9"/>
    <w:rsid w:val="00687982"/>
    <w:rsid w:val="00695D0E"/>
    <w:rsid w:val="006A3A0F"/>
    <w:rsid w:val="006B3239"/>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B1121C"/>
    <w:rsid w:val="00B25B65"/>
    <w:rsid w:val="00B2770A"/>
    <w:rsid w:val="00B314AD"/>
    <w:rsid w:val="00B36193"/>
    <w:rsid w:val="00B56993"/>
    <w:rsid w:val="00B7255A"/>
    <w:rsid w:val="00B75BF6"/>
    <w:rsid w:val="00BA1F7B"/>
    <w:rsid w:val="00BB58AF"/>
    <w:rsid w:val="00BD2480"/>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citation">
    <w:name w:val="citation"/>
    <w:rsid w:val="000E14DA"/>
  </w:style>
  <w:style w:type="character" w:customStyle="1" w:styleId="ref-journal">
    <w:name w:val="ref-journal"/>
    <w:rsid w:val="000E14DA"/>
  </w:style>
  <w:style w:type="character" w:customStyle="1" w:styleId="ref-vol">
    <w:name w:val="ref-vol"/>
    <w:rsid w:val="000E14DA"/>
  </w:style>
  <w:style w:type="character" w:styleId="Hyperlink">
    <w:name w:val="Hyperlink"/>
    <w:uiPriority w:val="99"/>
    <w:unhideWhenUsed/>
    <w:rsid w:val="000E14DA"/>
    <w:rPr>
      <w:color w:val="0563C1"/>
      <w:u w:val="single"/>
    </w:rPr>
  </w:style>
  <w:style w:type="character" w:customStyle="1" w:styleId="UnresolvedMention1">
    <w:name w:val="Unresolved Mention1"/>
    <w:uiPriority w:val="99"/>
    <w:semiHidden/>
    <w:unhideWhenUsed/>
    <w:rsid w:val="000E14DA"/>
    <w:rPr>
      <w:color w:val="808080"/>
      <w:shd w:val="clear" w:color="auto" w:fill="E6E6E6"/>
    </w:rPr>
  </w:style>
  <w:style w:type="table" w:styleId="TableGrid">
    <w:name w:val="Table Grid"/>
    <w:basedOn w:val="TableNormal"/>
    <w:uiPriority w:val="39"/>
    <w:rsid w:val="000E14D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14DA"/>
    <w:rPr>
      <w:sz w:val="16"/>
      <w:szCs w:val="16"/>
    </w:rPr>
  </w:style>
  <w:style w:type="paragraph" w:styleId="CommentText">
    <w:name w:val="annotation text"/>
    <w:basedOn w:val="Normal"/>
    <w:link w:val="CommentTextChar"/>
    <w:uiPriority w:val="99"/>
    <w:semiHidden/>
    <w:unhideWhenUsed/>
    <w:rsid w:val="000E14DA"/>
    <w:pPr>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0E14DA"/>
    <w:rPr>
      <w:rFonts w:ascii="Calibri" w:hAnsi="Calibri" w:cs="Arial"/>
    </w:rPr>
  </w:style>
  <w:style w:type="table" w:customStyle="1" w:styleId="GridTable2">
    <w:name w:val="Grid Table 2"/>
    <w:basedOn w:val="TableNormal"/>
    <w:uiPriority w:val="47"/>
    <w:rsid w:val="000E14DA"/>
    <w:rPr>
      <w:rFonts w:ascii="Calibri" w:hAnsi="Calibri" w:cs="Arial"/>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
    <w:name w:val="Plain Table 2"/>
    <w:basedOn w:val="TableNormal"/>
    <w:uiPriority w:val="42"/>
    <w:rsid w:val="000E14DA"/>
    <w:pPr>
      <w:jc w:val="both"/>
    </w:pPr>
    <w:rPr>
      <w:rFonts w:ascii="Calibri" w:hAnsi="Calibri" w:cs="Ari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
    <w:name w:val="Table Grid7"/>
    <w:basedOn w:val="TableNormal"/>
    <w:uiPriority w:val="39"/>
    <w:rsid w:val="000E14DA"/>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E14DA"/>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E14DA"/>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14DA"/>
    <w:rPr>
      <w:b/>
      <w:bCs/>
    </w:rPr>
  </w:style>
  <w:style w:type="character" w:customStyle="1" w:styleId="CommentSubjectChar">
    <w:name w:val="Comment Subject Char"/>
    <w:basedOn w:val="CommentTextChar"/>
    <w:link w:val="CommentSubject"/>
    <w:uiPriority w:val="99"/>
    <w:semiHidden/>
    <w:rsid w:val="000E14DA"/>
    <w:rPr>
      <w:rFonts w:ascii="Calibri" w:hAnsi="Calibri" w:cs="Arial"/>
      <w:b/>
      <w:bCs/>
    </w:rPr>
  </w:style>
  <w:style w:type="character" w:customStyle="1" w:styleId="UnresolvedMention">
    <w:name w:val="Unresolved Mention"/>
    <w:uiPriority w:val="99"/>
    <w:semiHidden/>
    <w:unhideWhenUsed/>
    <w:rsid w:val="000E14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citation">
    <w:name w:val="citation"/>
    <w:rsid w:val="000E14DA"/>
  </w:style>
  <w:style w:type="character" w:customStyle="1" w:styleId="ref-journal">
    <w:name w:val="ref-journal"/>
    <w:rsid w:val="000E14DA"/>
  </w:style>
  <w:style w:type="character" w:customStyle="1" w:styleId="ref-vol">
    <w:name w:val="ref-vol"/>
    <w:rsid w:val="000E14DA"/>
  </w:style>
  <w:style w:type="character" w:styleId="Hyperlink">
    <w:name w:val="Hyperlink"/>
    <w:uiPriority w:val="99"/>
    <w:unhideWhenUsed/>
    <w:rsid w:val="000E14DA"/>
    <w:rPr>
      <w:color w:val="0563C1"/>
      <w:u w:val="single"/>
    </w:rPr>
  </w:style>
  <w:style w:type="character" w:customStyle="1" w:styleId="UnresolvedMention1">
    <w:name w:val="Unresolved Mention1"/>
    <w:uiPriority w:val="99"/>
    <w:semiHidden/>
    <w:unhideWhenUsed/>
    <w:rsid w:val="000E14DA"/>
    <w:rPr>
      <w:color w:val="808080"/>
      <w:shd w:val="clear" w:color="auto" w:fill="E6E6E6"/>
    </w:rPr>
  </w:style>
  <w:style w:type="table" w:styleId="TableGrid">
    <w:name w:val="Table Grid"/>
    <w:basedOn w:val="TableNormal"/>
    <w:uiPriority w:val="39"/>
    <w:rsid w:val="000E14D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14DA"/>
    <w:rPr>
      <w:sz w:val="16"/>
      <w:szCs w:val="16"/>
    </w:rPr>
  </w:style>
  <w:style w:type="paragraph" w:styleId="CommentText">
    <w:name w:val="annotation text"/>
    <w:basedOn w:val="Normal"/>
    <w:link w:val="CommentTextChar"/>
    <w:uiPriority w:val="99"/>
    <w:semiHidden/>
    <w:unhideWhenUsed/>
    <w:rsid w:val="000E14DA"/>
    <w:pPr>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0E14DA"/>
    <w:rPr>
      <w:rFonts w:ascii="Calibri" w:hAnsi="Calibri" w:cs="Arial"/>
    </w:rPr>
  </w:style>
  <w:style w:type="table" w:customStyle="1" w:styleId="GridTable2">
    <w:name w:val="Grid Table 2"/>
    <w:basedOn w:val="TableNormal"/>
    <w:uiPriority w:val="47"/>
    <w:rsid w:val="000E14DA"/>
    <w:rPr>
      <w:rFonts w:ascii="Calibri" w:hAnsi="Calibri" w:cs="Arial"/>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
    <w:name w:val="Plain Table 2"/>
    <w:basedOn w:val="TableNormal"/>
    <w:uiPriority w:val="42"/>
    <w:rsid w:val="000E14DA"/>
    <w:pPr>
      <w:jc w:val="both"/>
    </w:pPr>
    <w:rPr>
      <w:rFonts w:ascii="Calibri" w:hAnsi="Calibri" w:cs="Ari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
    <w:name w:val="Table Grid7"/>
    <w:basedOn w:val="TableNormal"/>
    <w:uiPriority w:val="39"/>
    <w:rsid w:val="000E14DA"/>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E14DA"/>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E14DA"/>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14DA"/>
    <w:rPr>
      <w:b/>
      <w:bCs/>
    </w:rPr>
  </w:style>
  <w:style w:type="character" w:customStyle="1" w:styleId="CommentSubjectChar">
    <w:name w:val="Comment Subject Char"/>
    <w:basedOn w:val="CommentTextChar"/>
    <w:link w:val="CommentSubject"/>
    <w:uiPriority w:val="99"/>
    <w:semiHidden/>
    <w:rsid w:val="000E14DA"/>
    <w:rPr>
      <w:rFonts w:ascii="Calibri" w:hAnsi="Calibri" w:cs="Arial"/>
      <w:b/>
      <w:bCs/>
    </w:rPr>
  </w:style>
  <w:style w:type="character" w:customStyle="1" w:styleId="UnresolvedMention">
    <w:name w:val="Unresolved Mention"/>
    <w:uiPriority w:val="99"/>
    <w:semiHidden/>
    <w:unhideWhenUsed/>
    <w:rsid w:val="000E1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8B13-60AD-41EC-95F3-E837D742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3050</Words>
  <Characters>16641</Characters>
  <Application>Microsoft Office Word</Application>
  <DocSecurity>0</DocSecurity>
  <Lines>318</Lines>
  <Paragraphs>109</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6</cp:revision>
  <cp:lastPrinted>2019-10-07T16:35:00Z</cp:lastPrinted>
  <dcterms:created xsi:type="dcterms:W3CDTF">2019-09-26T15:23:00Z</dcterms:created>
  <dcterms:modified xsi:type="dcterms:W3CDTF">2019-10-07T16:35:00Z</dcterms:modified>
</cp:coreProperties>
</file>