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6E3706">
        <w:rPr>
          <w:rFonts w:ascii="Times New Roman" w:hAnsi="Times New Roman" w:cs="Times New Roman"/>
          <w:sz w:val="24"/>
          <w:szCs w:val="24"/>
        </w:rPr>
        <w:t>637 - 64</w:t>
      </w:r>
      <w:bookmarkStart w:id="0" w:name="_GoBack"/>
      <w:bookmarkEnd w:id="0"/>
      <w:r w:rsidR="00E12A3C">
        <w:rPr>
          <w:rFonts w:ascii="Times New Roman" w:hAnsi="Times New Roman" w:cs="Times New Roman"/>
          <w:sz w:val="24"/>
          <w:szCs w:val="24"/>
        </w:rPr>
        <w:t>7</w:t>
      </w:r>
    </w:p>
    <w:p w:rsidR="00E12A3C" w:rsidRDefault="00E12A3C" w:rsidP="001573E3">
      <w:pPr>
        <w:spacing w:after="0" w:line="240" w:lineRule="auto"/>
        <w:rPr>
          <w:rFonts w:ascii="Times New Roman" w:hAnsi="Times New Roman" w:cs="Times New Roman"/>
          <w:sz w:val="24"/>
          <w:szCs w:val="24"/>
        </w:rPr>
      </w:pPr>
    </w:p>
    <w:p w:rsidR="00E12A3C" w:rsidRDefault="00E12A3C" w:rsidP="001573E3">
      <w:pPr>
        <w:spacing w:after="0" w:line="240" w:lineRule="auto"/>
        <w:rPr>
          <w:rFonts w:ascii="Times New Roman" w:hAnsi="Times New Roman" w:cs="Times New Roman"/>
          <w:sz w:val="24"/>
          <w:szCs w:val="24"/>
        </w:rPr>
      </w:pPr>
    </w:p>
    <w:p w:rsidR="00E12A3C" w:rsidRDefault="00E12A3C" w:rsidP="001573E3">
      <w:pPr>
        <w:spacing w:after="0" w:line="240" w:lineRule="auto"/>
        <w:rPr>
          <w:rFonts w:ascii="Times New Roman" w:hAnsi="Times New Roman" w:cs="Times New Roman"/>
          <w:sz w:val="24"/>
          <w:szCs w:val="24"/>
        </w:rPr>
      </w:pPr>
    </w:p>
    <w:p w:rsidR="00E12A3C" w:rsidRPr="00687002" w:rsidRDefault="00E12A3C" w:rsidP="00E12A3C">
      <w:pPr>
        <w:spacing w:after="0" w:line="240" w:lineRule="auto"/>
        <w:jc w:val="center"/>
        <w:rPr>
          <w:rFonts w:ascii="Times New Roman" w:hAnsi="Times New Roman"/>
          <w:i/>
          <w:sz w:val="28"/>
          <w:szCs w:val="28"/>
        </w:rPr>
      </w:pPr>
      <w:r w:rsidRPr="00687002">
        <w:rPr>
          <w:rFonts w:ascii="Times New Roman" w:hAnsi="Times New Roman"/>
          <w:sz w:val="28"/>
          <w:szCs w:val="28"/>
        </w:rPr>
        <w:t xml:space="preserve">ANTIBACTERIAL AND ANTIOXIDANT ACTIVITIES OF EXTRACTS FROM </w:t>
      </w:r>
      <w:r w:rsidRPr="00687002">
        <w:rPr>
          <w:rFonts w:ascii="Times New Roman" w:hAnsi="Times New Roman"/>
          <w:i/>
          <w:sz w:val="28"/>
          <w:szCs w:val="28"/>
        </w:rPr>
        <w:t>Calophyllum ferrugineum</w:t>
      </w:r>
      <w:r w:rsidRPr="00687002">
        <w:rPr>
          <w:rFonts w:ascii="Times New Roman" w:hAnsi="Times New Roman"/>
          <w:sz w:val="28"/>
          <w:szCs w:val="28"/>
        </w:rPr>
        <w:t xml:space="preserve"> AND </w:t>
      </w:r>
      <w:r w:rsidRPr="00687002">
        <w:rPr>
          <w:rFonts w:ascii="Times New Roman" w:hAnsi="Times New Roman"/>
          <w:i/>
          <w:sz w:val="28"/>
          <w:szCs w:val="28"/>
        </w:rPr>
        <w:t>Calophyllum incrassatum</w:t>
      </w:r>
    </w:p>
    <w:p w:rsidR="00E12A3C" w:rsidRPr="00687002" w:rsidRDefault="00E12A3C" w:rsidP="00E12A3C">
      <w:pPr>
        <w:tabs>
          <w:tab w:val="left" w:pos="6558"/>
        </w:tabs>
        <w:spacing w:after="0" w:line="240" w:lineRule="auto"/>
        <w:jc w:val="center"/>
        <w:rPr>
          <w:rFonts w:ascii="Times New Roman" w:hAnsi="Times New Roman"/>
          <w:b/>
          <w:sz w:val="24"/>
          <w:szCs w:val="24"/>
        </w:rPr>
      </w:pPr>
    </w:p>
    <w:p w:rsidR="00E12A3C" w:rsidRPr="00687002" w:rsidRDefault="00E12A3C" w:rsidP="00E12A3C">
      <w:pPr>
        <w:spacing w:after="0" w:line="240" w:lineRule="auto"/>
        <w:jc w:val="center"/>
        <w:rPr>
          <w:rFonts w:ascii="Times New Roman" w:hAnsi="Times New Roman"/>
          <w:sz w:val="24"/>
          <w:szCs w:val="24"/>
        </w:rPr>
      </w:pPr>
      <w:r w:rsidRPr="00687002">
        <w:rPr>
          <w:rFonts w:ascii="Times New Roman" w:hAnsi="Times New Roman"/>
          <w:sz w:val="24"/>
          <w:szCs w:val="24"/>
        </w:rPr>
        <w:t xml:space="preserve">(Aktiviti Antibakteria dan Antioksidan Terhadap Ekstrak daripada </w:t>
      </w:r>
      <w:r w:rsidRPr="00687002">
        <w:rPr>
          <w:rFonts w:ascii="Times New Roman" w:hAnsi="Times New Roman"/>
          <w:i/>
          <w:sz w:val="24"/>
          <w:szCs w:val="24"/>
        </w:rPr>
        <w:t>Calophyllum</w:t>
      </w:r>
      <w:r w:rsidRPr="00687002">
        <w:rPr>
          <w:rFonts w:ascii="Times New Roman" w:hAnsi="Times New Roman"/>
          <w:sz w:val="24"/>
          <w:szCs w:val="24"/>
        </w:rPr>
        <w:t xml:space="preserve"> </w:t>
      </w:r>
      <w:r w:rsidRPr="00687002">
        <w:rPr>
          <w:rFonts w:ascii="Times New Roman" w:hAnsi="Times New Roman"/>
          <w:i/>
          <w:sz w:val="24"/>
          <w:szCs w:val="24"/>
        </w:rPr>
        <w:t>ferrugineum</w:t>
      </w:r>
      <w:r w:rsidRPr="00687002">
        <w:rPr>
          <w:rFonts w:ascii="Times New Roman" w:hAnsi="Times New Roman"/>
          <w:sz w:val="24"/>
          <w:szCs w:val="24"/>
        </w:rPr>
        <w:t xml:space="preserve"> dan </w:t>
      </w:r>
      <w:r w:rsidRPr="00687002">
        <w:rPr>
          <w:rFonts w:ascii="Times New Roman" w:hAnsi="Times New Roman"/>
          <w:i/>
          <w:sz w:val="24"/>
          <w:szCs w:val="24"/>
        </w:rPr>
        <w:t>Calophyllum incrassatum</w:t>
      </w:r>
      <w:r w:rsidRPr="00687002">
        <w:rPr>
          <w:rFonts w:ascii="Times New Roman" w:hAnsi="Times New Roman"/>
          <w:sz w:val="24"/>
          <w:szCs w:val="24"/>
        </w:rPr>
        <w:t>)</w:t>
      </w:r>
    </w:p>
    <w:p w:rsidR="00E12A3C" w:rsidRPr="00687002" w:rsidRDefault="00E12A3C" w:rsidP="00E12A3C">
      <w:pPr>
        <w:spacing w:after="0" w:line="240" w:lineRule="auto"/>
        <w:jc w:val="center"/>
        <w:rPr>
          <w:rFonts w:ascii="Times New Roman" w:hAnsi="Times New Roman"/>
          <w:sz w:val="20"/>
          <w:szCs w:val="20"/>
        </w:rPr>
      </w:pPr>
    </w:p>
    <w:p w:rsidR="00E12A3C" w:rsidRPr="00687002" w:rsidRDefault="00E12A3C" w:rsidP="00E12A3C">
      <w:pPr>
        <w:spacing w:after="0" w:line="240" w:lineRule="auto"/>
        <w:jc w:val="center"/>
        <w:rPr>
          <w:rFonts w:ascii="Times New Roman" w:hAnsi="Times New Roman"/>
          <w:sz w:val="20"/>
          <w:szCs w:val="20"/>
        </w:rPr>
      </w:pPr>
      <w:r w:rsidRPr="00687002">
        <w:rPr>
          <w:rFonts w:ascii="Times New Roman" w:hAnsi="Times New Roman"/>
          <w:sz w:val="20"/>
          <w:szCs w:val="20"/>
        </w:rPr>
        <w:t>Nurul Iman Aminudin</w:t>
      </w:r>
      <w:r w:rsidRPr="00687002">
        <w:rPr>
          <w:rFonts w:ascii="Times New Roman" w:hAnsi="Times New Roman"/>
          <w:sz w:val="20"/>
          <w:szCs w:val="20"/>
          <w:vertAlign w:val="superscript"/>
        </w:rPr>
        <w:t>1</w:t>
      </w:r>
      <w:r w:rsidRPr="00687002">
        <w:rPr>
          <w:rFonts w:ascii="Times New Roman" w:hAnsi="Times New Roman"/>
          <w:sz w:val="20"/>
          <w:szCs w:val="20"/>
        </w:rPr>
        <w:t>*, Farediah Ahmad</w:t>
      </w:r>
      <w:r w:rsidRPr="00687002">
        <w:rPr>
          <w:rFonts w:ascii="Times New Roman" w:hAnsi="Times New Roman"/>
          <w:sz w:val="20"/>
          <w:szCs w:val="20"/>
          <w:vertAlign w:val="superscript"/>
        </w:rPr>
        <w:t>2</w:t>
      </w:r>
      <w:r w:rsidRPr="00687002">
        <w:rPr>
          <w:rFonts w:ascii="Times New Roman" w:hAnsi="Times New Roman"/>
          <w:sz w:val="20"/>
          <w:szCs w:val="20"/>
        </w:rPr>
        <w:t>, Muhammad Taher</w:t>
      </w:r>
      <w:r w:rsidRPr="00687002">
        <w:rPr>
          <w:rFonts w:ascii="Times New Roman" w:hAnsi="Times New Roman"/>
          <w:sz w:val="20"/>
          <w:szCs w:val="20"/>
          <w:vertAlign w:val="superscript"/>
        </w:rPr>
        <w:t>3</w:t>
      </w:r>
    </w:p>
    <w:p w:rsidR="00E12A3C" w:rsidRPr="00E12A3C" w:rsidRDefault="00E12A3C" w:rsidP="00E12A3C">
      <w:pPr>
        <w:spacing w:after="0" w:line="240" w:lineRule="auto"/>
        <w:jc w:val="center"/>
        <w:rPr>
          <w:rFonts w:ascii="Times New Roman" w:hAnsi="Times New Roman"/>
          <w:b/>
          <w:sz w:val="20"/>
          <w:szCs w:val="20"/>
        </w:rPr>
      </w:pPr>
    </w:p>
    <w:p w:rsidR="00E12A3C" w:rsidRPr="00E12A3C" w:rsidRDefault="00E12A3C" w:rsidP="00E12A3C">
      <w:pPr>
        <w:pStyle w:val="Affiliation"/>
        <w:spacing w:line="240" w:lineRule="auto"/>
        <w:ind w:left="142" w:hanging="142"/>
        <w:rPr>
          <w:i/>
          <w:color w:val="auto"/>
          <w:sz w:val="20"/>
          <w:szCs w:val="20"/>
          <w:lang w:val="en-GB"/>
        </w:rPr>
      </w:pPr>
      <w:r w:rsidRPr="00E12A3C">
        <w:rPr>
          <w:i/>
          <w:color w:val="auto"/>
          <w:sz w:val="20"/>
          <w:szCs w:val="20"/>
          <w:vertAlign w:val="superscript"/>
          <w:lang w:val="en-GB"/>
        </w:rPr>
        <w:t>1</w:t>
      </w:r>
      <w:r w:rsidRPr="00E12A3C">
        <w:rPr>
          <w:i/>
          <w:color w:val="auto"/>
          <w:sz w:val="20"/>
          <w:szCs w:val="20"/>
          <w:lang w:val="en-GB"/>
        </w:rPr>
        <w:t xml:space="preserve">Department of Chemistry, Kulliyyah of Science, </w:t>
      </w:r>
    </w:p>
    <w:p w:rsidR="00E12A3C" w:rsidRPr="00E12A3C" w:rsidRDefault="00E12A3C" w:rsidP="00E12A3C">
      <w:pPr>
        <w:pStyle w:val="Affiliation"/>
        <w:spacing w:line="240" w:lineRule="auto"/>
        <w:ind w:left="142" w:hanging="142"/>
        <w:rPr>
          <w:i/>
          <w:color w:val="auto"/>
          <w:sz w:val="20"/>
          <w:szCs w:val="20"/>
          <w:lang w:val="en-GB"/>
        </w:rPr>
      </w:pPr>
      <w:r w:rsidRPr="00E12A3C">
        <w:rPr>
          <w:i/>
          <w:color w:val="auto"/>
          <w:sz w:val="20"/>
          <w:szCs w:val="20"/>
          <w:lang w:val="en-GB"/>
        </w:rPr>
        <w:t>International Islamic University Malaysia, 25200 Kuantan, Pahang, Malaysia</w:t>
      </w:r>
    </w:p>
    <w:p w:rsidR="00E12A3C" w:rsidRPr="00E12A3C" w:rsidRDefault="00E12A3C" w:rsidP="00E12A3C">
      <w:pPr>
        <w:pStyle w:val="Affiliation"/>
        <w:spacing w:line="240" w:lineRule="auto"/>
        <w:ind w:left="142" w:hanging="142"/>
        <w:rPr>
          <w:i/>
          <w:color w:val="auto"/>
          <w:sz w:val="20"/>
          <w:szCs w:val="20"/>
          <w:lang w:val="en-GB"/>
        </w:rPr>
      </w:pPr>
      <w:r w:rsidRPr="00E12A3C">
        <w:rPr>
          <w:i/>
          <w:color w:val="auto"/>
          <w:sz w:val="20"/>
          <w:szCs w:val="20"/>
          <w:vertAlign w:val="superscript"/>
          <w:lang w:val="en-GB"/>
        </w:rPr>
        <w:t>2</w:t>
      </w:r>
      <w:r w:rsidRPr="00E12A3C">
        <w:rPr>
          <w:i/>
          <w:color w:val="auto"/>
          <w:sz w:val="20"/>
          <w:szCs w:val="20"/>
          <w:lang w:val="en-GB"/>
        </w:rPr>
        <w:t>Department of Chemistry, Faculty of Science,</w:t>
      </w:r>
    </w:p>
    <w:p w:rsidR="00E12A3C" w:rsidRPr="00E12A3C" w:rsidRDefault="00E12A3C" w:rsidP="00E12A3C">
      <w:pPr>
        <w:pStyle w:val="Affiliation"/>
        <w:spacing w:line="240" w:lineRule="auto"/>
        <w:ind w:left="142" w:hanging="142"/>
        <w:rPr>
          <w:i/>
          <w:color w:val="auto"/>
          <w:sz w:val="20"/>
          <w:szCs w:val="20"/>
          <w:lang w:val="en-GB"/>
        </w:rPr>
      </w:pPr>
      <w:r w:rsidRPr="00E12A3C">
        <w:rPr>
          <w:i/>
          <w:color w:val="auto"/>
          <w:sz w:val="20"/>
          <w:szCs w:val="20"/>
          <w:lang w:val="en-GB"/>
        </w:rPr>
        <w:t xml:space="preserve">Universiti Teknologi Malaysia, 81310 Skudai, Johor, Malaysia </w:t>
      </w:r>
    </w:p>
    <w:p w:rsidR="00E12A3C" w:rsidRPr="00E12A3C" w:rsidRDefault="00E12A3C" w:rsidP="00E12A3C">
      <w:pPr>
        <w:pStyle w:val="Affiliation"/>
        <w:spacing w:line="240" w:lineRule="auto"/>
        <w:ind w:left="142" w:hanging="142"/>
        <w:rPr>
          <w:i/>
          <w:color w:val="auto"/>
          <w:sz w:val="20"/>
          <w:szCs w:val="20"/>
          <w:lang w:val="en-GB"/>
        </w:rPr>
      </w:pPr>
      <w:r w:rsidRPr="00E12A3C">
        <w:rPr>
          <w:i/>
          <w:color w:val="auto"/>
          <w:sz w:val="20"/>
          <w:szCs w:val="20"/>
          <w:vertAlign w:val="superscript"/>
          <w:lang w:val="en-GB"/>
        </w:rPr>
        <w:t>3</w:t>
      </w:r>
      <w:r w:rsidRPr="00E12A3C">
        <w:rPr>
          <w:i/>
          <w:color w:val="auto"/>
          <w:sz w:val="20"/>
          <w:szCs w:val="20"/>
          <w:lang w:val="en-GB"/>
        </w:rPr>
        <w:t>Department of Pharmaceutical Technology, Kulliyyah of Pharmacy,</w:t>
      </w:r>
    </w:p>
    <w:p w:rsidR="00E12A3C" w:rsidRPr="00E12A3C" w:rsidRDefault="00E12A3C" w:rsidP="00E12A3C">
      <w:pPr>
        <w:pStyle w:val="Affiliation"/>
        <w:spacing w:line="240" w:lineRule="auto"/>
        <w:ind w:left="142" w:hanging="142"/>
        <w:rPr>
          <w:i/>
          <w:color w:val="auto"/>
          <w:sz w:val="20"/>
          <w:szCs w:val="20"/>
          <w:lang w:val="en-GB"/>
        </w:rPr>
      </w:pPr>
      <w:r w:rsidRPr="00E12A3C">
        <w:rPr>
          <w:i/>
          <w:color w:val="auto"/>
          <w:sz w:val="20"/>
          <w:szCs w:val="20"/>
          <w:lang w:val="en-GB"/>
        </w:rPr>
        <w:t xml:space="preserve">International Islamic University Malaysia, 25200 Kuantan, Pahang, Malaysia </w:t>
      </w:r>
    </w:p>
    <w:p w:rsidR="00E12A3C" w:rsidRPr="00E12A3C" w:rsidRDefault="00E12A3C" w:rsidP="00E12A3C">
      <w:pPr>
        <w:spacing w:after="0" w:line="240" w:lineRule="auto"/>
        <w:jc w:val="center"/>
        <w:rPr>
          <w:rFonts w:ascii="Times New Roman" w:hAnsi="Times New Roman"/>
          <w:b/>
          <w:sz w:val="20"/>
          <w:szCs w:val="20"/>
        </w:rPr>
      </w:pPr>
    </w:p>
    <w:p w:rsidR="00E12A3C" w:rsidRPr="00E12A3C" w:rsidRDefault="00E12A3C" w:rsidP="00E12A3C">
      <w:pPr>
        <w:spacing w:after="0" w:line="240" w:lineRule="auto"/>
        <w:jc w:val="center"/>
        <w:rPr>
          <w:rFonts w:ascii="Times New Roman" w:hAnsi="Times New Roman"/>
          <w:i/>
          <w:sz w:val="20"/>
          <w:szCs w:val="20"/>
        </w:rPr>
      </w:pPr>
      <w:r w:rsidRPr="00E12A3C">
        <w:rPr>
          <w:rFonts w:ascii="Times New Roman" w:hAnsi="Times New Roman"/>
          <w:i/>
          <w:sz w:val="20"/>
          <w:szCs w:val="20"/>
        </w:rPr>
        <w:t>*Corresponding author:  nuruliman@iium.edu.my</w:t>
      </w:r>
    </w:p>
    <w:p w:rsidR="00E12A3C" w:rsidRPr="00E12A3C" w:rsidRDefault="00E12A3C" w:rsidP="00E12A3C">
      <w:pPr>
        <w:spacing w:after="0" w:line="240" w:lineRule="auto"/>
        <w:jc w:val="center"/>
        <w:rPr>
          <w:rFonts w:ascii="Times New Roman" w:hAnsi="Times New Roman"/>
          <w:noProof/>
          <w:sz w:val="20"/>
          <w:szCs w:val="20"/>
        </w:rPr>
      </w:pPr>
    </w:p>
    <w:p w:rsidR="00E12A3C" w:rsidRPr="00E12A3C" w:rsidRDefault="00E12A3C" w:rsidP="00E12A3C">
      <w:pPr>
        <w:spacing w:after="0" w:line="240" w:lineRule="auto"/>
        <w:jc w:val="center"/>
        <w:rPr>
          <w:rFonts w:ascii="Times New Roman" w:hAnsi="Times New Roman"/>
          <w:noProof/>
          <w:sz w:val="20"/>
          <w:szCs w:val="20"/>
        </w:rPr>
      </w:pPr>
    </w:p>
    <w:p w:rsidR="00E12A3C" w:rsidRPr="00E12A3C" w:rsidRDefault="00E12A3C" w:rsidP="00E12A3C">
      <w:pPr>
        <w:spacing w:after="0" w:line="240" w:lineRule="auto"/>
        <w:jc w:val="center"/>
        <w:rPr>
          <w:rFonts w:ascii="Times New Roman" w:hAnsi="Times New Roman"/>
          <w:noProof/>
          <w:sz w:val="20"/>
          <w:szCs w:val="20"/>
        </w:rPr>
      </w:pPr>
      <w:r w:rsidRPr="00E12A3C">
        <w:rPr>
          <w:rFonts w:ascii="Times New Roman" w:hAnsi="Times New Roman"/>
          <w:noProof/>
          <w:sz w:val="20"/>
          <w:szCs w:val="20"/>
        </w:rPr>
        <w:t>Received: 19 August 2018; Accepted: 23 June 2019</w:t>
      </w:r>
    </w:p>
    <w:p w:rsidR="00E12A3C" w:rsidRPr="00E12A3C" w:rsidRDefault="00E12A3C" w:rsidP="00E12A3C">
      <w:pPr>
        <w:spacing w:after="0" w:line="240" w:lineRule="auto"/>
        <w:jc w:val="center"/>
        <w:rPr>
          <w:rFonts w:ascii="Times New Roman" w:hAnsi="Times New Roman"/>
          <w:noProof/>
          <w:sz w:val="20"/>
          <w:szCs w:val="20"/>
        </w:rPr>
      </w:pPr>
    </w:p>
    <w:p w:rsidR="00E12A3C" w:rsidRPr="00E12A3C" w:rsidRDefault="00E12A3C" w:rsidP="00E12A3C">
      <w:pPr>
        <w:spacing w:after="0" w:line="240" w:lineRule="auto"/>
        <w:jc w:val="center"/>
        <w:rPr>
          <w:rFonts w:ascii="Times New Roman" w:hAnsi="Times New Roman"/>
          <w:noProof/>
          <w:sz w:val="20"/>
          <w:szCs w:val="20"/>
        </w:rPr>
      </w:pPr>
    </w:p>
    <w:p w:rsidR="00E12A3C" w:rsidRPr="00E12A3C" w:rsidRDefault="00E12A3C" w:rsidP="00E12A3C">
      <w:pPr>
        <w:spacing w:after="0" w:line="240" w:lineRule="auto"/>
        <w:jc w:val="center"/>
        <w:rPr>
          <w:rFonts w:ascii="Times New Roman" w:hAnsi="Times New Roman"/>
          <w:b/>
          <w:noProof/>
          <w:sz w:val="20"/>
          <w:szCs w:val="20"/>
        </w:rPr>
      </w:pPr>
      <w:r w:rsidRPr="00E12A3C">
        <w:rPr>
          <w:rFonts w:ascii="Times New Roman" w:hAnsi="Times New Roman"/>
          <w:b/>
          <w:noProof/>
          <w:sz w:val="20"/>
          <w:szCs w:val="20"/>
        </w:rPr>
        <w:t>Abstract</w:t>
      </w:r>
    </w:p>
    <w:p w:rsidR="00E12A3C" w:rsidRPr="00E12A3C" w:rsidRDefault="00E12A3C" w:rsidP="00E12A3C">
      <w:pPr>
        <w:spacing w:after="0" w:line="240" w:lineRule="auto"/>
        <w:jc w:val="both"/>
        <w:rPr>
          <w:rFonts w:ascii="Times New Roman" w:hAnsi="Times New Roman"/>
          <w:sz w:val="20"/>
          <w:szCs w:val="20"/>
          <w:lang w:val="en-GB"/>
        </w:rPr>
      </w:pPr>
      <w:r w:rsidRPr="00E12A3C">
        <w:rPr>
          <w:rFonts w:ascii="Times New Roman" w:hAnsi="Times New Roman"/>
          <w:i/>
          <w:sz w:val="20"/>
          <w:szCs w:val="20"/>
          <w:lang w:val="en-GB"/>
        </w:rPr>
        <w:t xml:space="preserve">Calophyllum </w:t>
      </w:r>
      <w:r w:rsidRPr="00E12A3C">
        <w:rPr>
          <w:rFonts w:ascii="Times New Roman" w:hAnsi="Times New Roman"/>
          <w:sz w:val="20"/>
          <w:szCs w:val="20"/>
          <w:lang w:val="en-GB"/>
        </w:rPr>
        <w:t>is a pan-tropical genus belongs to the Guttiferae family and locally known in Malaysia as ‘</w:t>
      </w:r>
      <w:r w:rsidRPr="00E12A3C">
        <w:rPr>
          <w:rFonts w:ascii="Times New Roman" w:hAnsi="Times New Roman"/>
          <w:i/>
          <w:sz w:val="20"/>
          <w:szCs w:val="20"/>
          <w:lang w:val="en-GB"/>
        </w:rPr>
        <w:t>bintangor</w:t>
      </w:r>
      <w:r w:rsidRPr="00E12A3C">
        <w:rPr>
          <w:rFonts w:ascii="Times New Roman" w:hAnsi="Times New Roman"/>
          <w:sz w:val="20"/>
          <w:szCs w:val="20"/>
          <w:lang w:val="en-GB"/>
        </w:rPr>
        <w:t xml:space="preserve">’. There has been a continual interest to further investigate the phytochemistry of </w:t>
      </w:r>
      <w:r w:rsidRPr="00E12A3C">
        <w:rPr>
          <w:rFonts w:ascii="Times New Roman" w:hAnsi="Times New Roman"/>
          <w:i/>
          <w:sz w:val="20"/>
          <w:szCs w:val="20"/>
          <w:lang w:val="en-GB"/>
        </w:rPr>
        <w:t xml:space="preserve">Calophyllum sp </w:t>
      </w:r>
      <w:r w:rsidRPr="00E12A3C">
        <w:rPr>
          <w:rFonts w:ascii="Times New Roman" w:hAnsi="Times New Roman"/>
          <w:sz w:val="20"/>
          <w:szCs w:val="20"/>
          <w:lang w:val="en-GB"/>
        </w:rPr>
        <w:t xml:space="preserve">because this genus is a rich source of active secondary metabolites which shows anti-HIV, cytotoxicity and antimicrobial properties. In this study, antibacterial and antioxidant activities of barks and leaves of </w:t>
      </w:r>
      <w:r w:rsidRPr="00E12A3C">
        <w:rPr>
          <w:rFonts w:ascii="Times New Roman" w:hAnsi="Times New Roman"/>
          <w:i/>
          <w:sz w:val="20"/>
          <w:szCs w:val="20"/>
          <w:lang w:val="en-GB"/>
        </w:rPr>
        <w:t>C. ferrugineum</w:t>
      </w:r>
      <w:r w:rsidRPr="00E12A3C">
        <w:rPr>
          <w:rFonts w:ascii="Times New Roman" w:hAnsi="Times New Roman"/>
          <w:sz w:val="20"/>
          <w:szCs w:val="20"/>
          <w:lang w:val="en-GB"/>
        </w:rPr>
        <w:t xml:space="preserve"> and </w:t>
      </w:r>
      <w:r w:rsidRPr="00E12A3C">
        <w:rPr>
          <w:rFonts w:ascii="Times New Roman" w:hAnsi="Times New Roman"/>
          <w:i/>
          <w:sz w:val="20"/>
          <w:szCs w:val="20"/>
          <w:lang w:val="en-GB"/>
        </w:rPr>
        <w:t>C. incrassatum</w:t>
      </w:r>
      <w:r w:rsidRPr="00E12A3C">
        <w:rPr>
          <w:rFonts w:ascii="Times New Roman" w:hAnsi="Times New Roman"/>
          <w:sz w:val="20"/>
          <w:szCs w:val="20"/>
          <w:lang w:val="en-GB"/>
        </w:rPr>
        <w:t xml:space="preserve"> were investigated. Cold extraction method employing dichloromethane, ethyl acetate and methanol as solvent was performed. All extracts</w:t>
      </w:r>
      <w:r w:rsidRPr="00E12A3C">
        <w:rPr>
          <w:rFonts w:ascii="Times New Roman" w:hAnsi="Times New Roman"/>
          <w:i/>
          <w:sz w:val="20"/>
          <w:szCs w:val="20"/>
          <w:lang w:val="en-GB"/>
        </w:rPr>
        <w:t xml:space="preserve"> </w:t>
      </w:r>
      <w:r w:rsidRPr="00E12A3C">
        <w:rPr>
          <w:rFonts w:ascii="Times New Roman" w:hAnsi="Times New Roman"/>
          <w:sz w:val="20"/>
          <w:szCs w:val="20"/>
          <w:lang w:val="en-GB"/>
        </w:rPr>
        <w:t xml:space="preserve">were tested for their total phenolic content and antioxidant activities by DPPH radical scavenging and Ferric Reducing Antioxidant Power (FRAP) assays. The methanol extract from the leaves of </w:t>
      </w:r>
      <w:r w:rsidRPr="00E12A3C">
        <w:rPr>
          <w:rFonts w:ascii="Times New Roman" w:hAnsi="Times New Roman"/>
          <w:i/>
          <w:sz w:val="20"/>
          <w:szCs w:val="20"/>
          <w:lang w:val="en-GB"/>
        </w:rPr>
        <w:t>C. ferrugineum</w:t>
      </w:r>
      <w:r w:rsidRPr="00E12A3C">
        <w:rPr>
          <w:rFonts w:ascii="Times New Roman" w:hAnsi="Times New Roman"/>
          <w:sz w:val="20"/>
          <w:szCs w:val="20"/>
          <w:lang w:val="en-GB"/>
        </w:rPr>
        <w:t xml:space="preserve"> showed the highest TPC value at 122.08 mg GAE/g and the lowest DPPH SC</w:t>
      </w:r>
      <w:r w:rsidRPr="00E12A3C">
        <w:rPr>
          <w:rFonts w:ascii="Times New Roman" w:hAnsi="Times New Roman"/>
          <w:sz w:val="20"/>
          <w:szCs w:val="20"/>
          <w:vertAlign w:val="subscript"/>
          <w:lang w:val="en-GB"/>
        </w:rPr>
        <w:t>50</w:t>
      </w:r>
      <w:r w:rsidRPr="00E12A3C">
        <w:rPr>
          <w:rFonts w:ascii="Times New Roman" w:hAnsi="Times New Roman"/>
          <w:sz w:val="20"/>
          <w:szCs w:val="20"/>
          <w:lang w:val="en-GB"/>
        </w:rPr>
        <w:t xml:space="preserve"> value at 11.80 µg/mL. The methanol extract from the barks of </w:t>
      </w:r>
      <w:r w:rsidRPr="00E12A3C">
        <w:rPr>
          <w:rFonts w:ascii="Times New Roman" w:hAnsi="Times New Roman"/>
          <w:i/>
          <w:sz w:val="20"/>
          <w:szCs w:val="20"/>
          <w:lang w:val="en-GB"/>
        </w:rPr>
        <w:t>C. ferrugineum</w:t>
      </w:r>
      <w:r w:rsidRPr="00E12A3C">
        <w:rPr>
          <w:rFonts w:ascii="Times New Roman" w:hAnsi="Times New Roman"/>
          <w:sz w:val="20"/>
          <w:szCs w:val="20"/>
          <w:lang w:val="en-GB"/>
        </w:rPr>
        <w:t xml:space="preserve"> was found to have the highest FRAP value among all extracts. The antibacterial activity of all extracts was tested using minimum inhibition concentration (MIC) test against </w:t>
      </w:r>
      <w:r w:rsidRPr="00E12A3C">
        <w:rPr>
          <w:rFonts w:ascii="Times New Roman" w:hAnsi="Times New Roman"/>
          <w:i/>
          <w:sz w:val="20"/>
          <w:szCs w:val="20"/>
          <w:lang w:val="en-GB"/>
        </w:rPr>
        <w:t xml:space="preserve">Bacillus subtilis, Staphylococcus aureus, Escheria coli </w:t>
      </w:r>
      <w:r w:rsidRPr="00E12A3C">
        <w:rPr>
          <w:rFonts w:ascii="Times New Roman" w:hAnsi="Times New Roman"/>
          <w:sz w:val="20"/>
          <w:szCs w:val="20"/>
          <w:lang w:val="en-GB"/>
        </w:rPr>
        <w:t xml:space="preserve">and </w:t>
      </w:r>
      <w:r w:rsidRPr="00E12A3C">
        <w:rPr>
          <w:rFonts w:ascii="Times New Roman" w:hAnsi="Times New Roman"/>
          <w:i/>
          <w:sz w:val="20"/>
          <w:szCs w:val="20"/>
          <w:lang w:val="en-GB"/>
        </w:rPr>
        <w:t>Pseudomonas aeruginosa</w:t>
      </w:r>
      <w:r w:rsidRPr="00E12A3C">
        <w:rPr>
          <w:rFonts w:ascii="Times New Roman" w:hAnsi="Times New Roman"/>
          <w:sz w:val="20"/>
          <w:szCs w:val="20"/>
          <w:lang w:val="en-GB"/>
        </w:rPr>
        <w:t xml:space="preserve">. Only the dichloromethane extract from bark of </w:t>
      </w:r>
      <w:r w:rsidRPr="00E12A3C">
        <w:rPr>
          <w:rFonts w:ascii="Times New Roman" w:hAnsi="Times New Roman"/>
          <w:i/>
          <w:sz w:val="20"/>
          <w:szCs w:val="20"/>
          <w:lang w:val="en-GB"/>
        </w:rPr>
        <w:t>C. ferrugineum</w:t>
      </w:r>
      <w:r w:rsidRPr="00E12A3C">
        <w:rPr>
          <w:rFonts w:ascii="Times New Roman" w:hAnsi="Times New Roman"/>
          <w:sz w:val="20"/>
          <w:szCs w:val="20"/>
          <w:lang w:val="en-GB"/>
        </w:rPr>
        <w:t xml:space="preserve"> showed moderate MIC value against Gram positive bacteria, </w:t>
      </w:r>
      <w:r w:rsidRPr="00E12A3C">
        <w:rPr>
          <w:rFonts w:ascii="Times New Roman" w:hAnsi="Times New Roman"/>
          <w:i/>
          <w:sz w:val="20"/>
          <w:szCs w:val="20"/>
          <w:lang w:val="en-GB"/>
        </w:rPr>
        <w:t>B. subtilis</w:t>
      </w:r>
      <w:r w:rsidRPr="00E12A3C">
        <w:rPr>
          <w:rFonts w:ascii="Times New Roman" w:hAnsi="Times New Roman"/>
          <w:sz w:val="20"/>
          <w:szCs w:val="20"/>
          <w:lang w:val="en-GB"/>
        </w:rPr>
        <w:t xml:space="preserve"> and </w:t>
      </w:r>
      <w:r w:rsidRPr="00E12A3C">
        <w:rPr>
          <w:rFonts w:ascii="Times New Roman" w:hAnsi="Times New Roman"/>
          <w:i/>
          <w:sz w:val="20"/>
          <w:szCs w:val="20"/>
          <w:lang w:val="en-GB"/>
        </w:rPr>
        <w:t>S. aureus</w:t>
      </w:r>
      <w:r w:rsidRPr="00E12A3C">
        <w:rPr>
          <w:rFonts w:ascii="Times New Roman" w:hAnsi="Times New Roman"/>
          <w:sz w:val="20"/>
          <w:szCs w:val="20"/>
          <w:lang w:val="en-GB"/>
        </w:rPr>
        <w:t xml:space="preserve"> at 125 µg/mL.</w:t>
      </w:r>
    </w:p>
    <w:p w:rsidR="00E12A3C" w:rsidRPr="00E12A3C" w:rsidRDefault="00E12A3C" w:rsidP="00E12A3C">
      <w:pPr>
        <w:spacing w:after="0" w:line="240" w:lineRule="auto"/>
        <w:jc w:val="both"/>
        <w:rPr>
          <w:rFonts w:ascii="Times New Roman" w:hAnsi="Times New Roman"/>
          <w:sz w:val="20"/>
          <w:szCs w:val="20"/>
        </w:rPr>
      </w:pPr>
    </w:p>
    <w:p w:rsidR="00E12A3C" w:rsidRPr="00E12A3C" w:rsidRDefault="00E12A3C" w:rsidP="00E12A3C">
      <w:pPr>
        <w:spacing w:after="0" w:line="240" w:lineRule="auto"/>
        <w:jc w:val="both"/>
        <w:rPr>
          <w:rFonts w:ascii="Times New Roman" w:hAnsi="Times New Roman"/>
          <w:sz w:val="20"/>
          <w:szCs w:val="20"/>
        </w:rPr>
      </w:pPr>
      <w:r w:rsidRPr="00E12A3C">
        <w:rPr>
          <w:rFonts w:ascii="Times New Roman" w:hAnsi="Times New Roman"/>
          <w:b/>
          <w:sz w:val="20"/>
          <w:szCs w:val="20"/>
        </w:rPr>
        <w:t>Keywords:</w:t>
      </w:r>
      <w:r w:rsidRPr="00E12A3C">
        <w:rPr>
          <w:rFonts w:ascii="Times New Roman" w:hAnsi="Times New Roman"/>
          <w:sz w:val="20"/>
          <w:szCs w:val="20"/>
        </w:rPr>
        <w:t xml:space="preserve">  </w:t>
      </w:r>
      <w:r w:rsidRPr="00E12A3C">
        <w:rPr>
          <w:rFonts w:ascii="Times New Roman" w:hAnsi="Times New Roman"/>
          <w:i/>
          <w:sz w:val="20"/>
          <w:szCs w:val="20"/>
        </w:rPr>
        <w:t>Calophyllum, C. ferrugineum, C. incrassatum</w:t>
      </w:r>
      <w:r w:rsidRPr="00E12A3C">
        <w:rPr>
          <w:rFonts w:ascii="Times New Roman" w:hAnsi="Times New Roman"/>
          <w:sz w:val="20"/>
          <w:szCs w:val="20"/>
        </w:rPr>
        <w:t>, antioxidant, antibacterial</w:t>
      </w:r>
    </w:p>
    <w:p w:rsidR="00E12A3C" w:rsidRPr="00E12A3C" w:rsidRDefault="00E12A3C" w:rsidP="00E12A3C">
      <w:pPr>
        <w:spacing w:after="0" w:line="240" w:lineRule="auto"/>
        <w:jc w:val="center"/>
        <w:rPr>
          <w:rFonts w:ascii="Times New Roman" w:hAnsi="Times New Roman"/>
          <w:sz w:val="20"/>
          <w:szCs w:val="20"/>
        </w:rPr>
      </w:pPr>
    </w:p>
    <w:p w:rsidR="00E12A3C" w:rsidRPr="00E12A3C" w:rsidRDefault="00E12A3C" w:rsidP="00E12A3C">
      <w:pPr>
        <w:spacing w:after="0" w:line="240" w:lineRule="auto"/>
        <w:jc w:val="center"/>
        <w:rPr>
          <w:rFonts w:ascii="Times New Roman" w:hAnsi="Times New Roman"/>
          <w:b/>
          <w:sz w:val="20"/>
          <w:szCs w:val="20"/>
        </w:rPr>
      </w:pPr>
      <w:r w:rsidRPr="00E12A3C">
        <w:rPr>
          <w:rFonts w:ascii="Times New Roman" w:hAnsi="Times New Roman"/>
          <w:b/>
          <w:sz w:val="20"/>
          <w:szCs w:val="20"/>
        </w:rPr>
        <w:t>Abstrak</w:t>
      </w:r>
    </w:p>
    <w:p w:rsidR="00E12A3C" w:rsidRPr="00E12A3C" w:rsidRDefault="00E12A3C" w:rsidP="00E12A3C">
      <w:pPr>
        <w:spacing w:after="0" w:line="240" w:lineRule="auto"/>
        <w:jc w:val="both"/>
        <w:rPr>
          <w:rFonts w:ascii="Times New Roman" w:hAnsi="Times New Roman"/>
          <w:sz w:val="20"/>
          <w:szCs w:val="20"/>
        </w:rPr>
      </w:pPr>
      <w:r w:rsidRPr="00E12A3C">
        <w:rPr>
          <w:rFonts w:ascii="Times New Roman" w:hAnsi="Times New Roman"/>
          <w:i/>
          <w:sz w:val="20"/>
          <w:szCs w:val="20"/>
        </w:rPr>
        <w:t xml:space="preserve">Calophyllum </w:t>
      </w:r>
      <w:r w:rsidRPr="00E12A3C">
        <w:rPr>
          <w:rFonts w:ascii="Times New Roman" w:hAnsi="Times New Roman"/>
          <w:sz w:val="20"/>
          <w:szCs w:val="20"/>
        </w:rPr>
        <w:t xml:space="preserve">adalah genus pan-tropika di dalam keluarga Guttiferae dan dikenali secara tempatan di Malaysia sebagai </w:t>
      </w:r>
      <w:r w:rsidRPr="00E12A3C">
        <w:rPr>
          <w:rFonts w:ascii="Times New Roman" w:hAnsi="Times New Roman"/>
          <w:i/>
          <w:sz w:val="20"/>
          <w:szCs w:val="20"/>
        </w:rPr>
        <w:t>‘bintangor’</w:t>
      </w:r>
      <w:r w:rsidRPr="00E12A3C">
        <w:rPr>
          <w:rFonts w:ascii="Times New Roman" w:hAnsi="Times New Roman"/>
          <w:sz w:val="20"/>
          <w:szCs w:val="20"/>
        </w:rPr>
        <w:t xml:space="preserve">. Terdapat minat berterusan untuk mengkaji lebih mendalam tentang fitokimia </w:t>
      </w:r>
      <w:r w:rsidRPr="00E12A3C">
        <w:rPr>
          <w:rFonts w:ascii="Times New Roman" w:hAnsi="Times New Roman"/>
          <w:i/>
          <w:sz w:val="20"/>
          <w:szCs w:val="20"/>
        </w:rPr>
        <w:t>Calophyllum sp</w:t>
      </w:r>
      <w:r w:rsidRPr="00E12A3C">
        <w:rPr>
          <w:rFonts w:ascii="Times New Roman" w:hAnsi="Times New Roman"/>
          <w:sz w:val="20"/>
          <w:szCs w:val="20"/>
        </w:rPr>
        <w:t xml:space="preserve"> kerana genus ini adalah sumber yang kaya dengan metabolit sekunder aktif yang menunjukkan ciri-ciri anti-HIV, sitotoksiti dan antimikrob. Di dalam kajian ini, aktiviti antibakteria dan antioksidan kulit batang dan daun </w:t>
      </w:r>
      <w:r w:rsidRPr="00E12A3C">
        <w:rPr>
          <w:rFonts w:ascii="Times New Roman" w:hAnsi="Times New Roman"/>
          <w:i/>
          <w:sz w:val="20"/>
          <w:szCs w:val="20"/>
        </w:rPr>
        <w:t>C. ferrugineum</w:t>
      </w:r>
      <w:r w:rsidRPr="00E12A3C">
        <w:rPr>
          <w:rFonts w:ascii="Times New Roman" w:hAnsi="Times New Roman"/>
          <w:sz w:val="20"/>
          <w:szCs w:val="20"/>
        </w:rPr>
        <w:t xml:space="preserve"> dan </w:t>
      </w:r>
      <w:r w:rsidRPr="00E12A3C">
        <w:rPr>
          <w:rFonts w:ascii="Times New Roman" w:hAnsi="Times New Roman"/>
          <w:i/>
          <w:sz w:val="20"/>
          <w:szCs w:val="20"/>
        </w:rPr>
        <w:t>C. incrassatum</w:t>
      </w:r>
      <w:r w:rsidRPr="00E12A3C">
        <w:rPr>
          <w:rFonts w:ascii="Times New Roman" w:hAnsi="Times New Roman"/>
          <w:sz w:val="20"/>
          <w:szCs w:val="20"/>
        </w:rPr>
        <w:t xml:space="preserve"> telah dikaji. Kaedah pengekstrakan sejuk menggunakan diklorometana, etil asetat dan metanol sebagai pelarut telah dilakukan. Semua ekstrak telah diuji untuk kandungan total fenolik dan aktiviti antioksidan melalui cerakin pemerangkapan radikal DPPH dan kuasa antioksidan penurunan Ferik (FRAP). Ekstrak metanol daripada daun </w:t>
      </w:r>
      <w:r w:rsidRPr="00E12A3C">
        <w:rPr>
          <w:rFonts w:ascii="Times New Roman" w:hAnsi="Times New Roman"/>
          <w:i/>
          <w:sz w:val="20"/>
          <w:szCs w:val="20"/>
        </w:rPr>
        <w:t>C. ferrugineum</w:t>
      </w:r>
      <w:r w:rsidRPr="00E12A3C">
        <w:rPr>
          <w:rFonts w:ascii="Times New Roman" w:hAnsi="Times New Roman"/>
          <w:sz w:val="20"/>
          <w:szCs w:val="20"/>
        </w:rPr>
        <w:t xml:space="preserve"> telah menunjukkan nilai TPC tertinggi pada 122.08 mg GAE/g dan nilai </w:t>
      </w:r>
      <w:r w:rsidRPr="00E12A3C">
        <w:rPr>
          <w:rFonts w:ascii="Times New Roman" w:hAnsi="Times New Roman"/>
          <w:sz w:val="20"/>
          <w:szCs w:val="20"/>
        </w:rPr>
        <w:lastRenderedPageBreak/>
        <w:t>SC</w:t>
      </w:r>
      <w:r w:rsidRPr="00E12A3C">
        <w:rPr>
          <w:rFonts w:ascii="Times New Roman" w:hAnsi="Times New Roman"/>
          <w:sz w:val="20"/>
          <w:szCs w:val="20"/>
          <w:vertAlign w:val="subscript"/>
        </w:rPr>
        <w:t xml:space="preserve">50 </w:t>
      </w:r>
      <w:r w:rsidRPr="00E12A3C">
        <w:rPr>
          <w:rFonts w:ascii="Times New Roman" w:hAnsi="Times New Roman"/>
          <w:sz w:val="20"/>
          <w:szCs w:val="20"/>
        </w:rPr>
        <w:t>DPPH terendah pada 11.80 µg/mL. Ekstrak metanol daripada kulit batang</w:t>
      </w:r>
      <w:r w:rsidRPr="00E12A3C">
        <w:rPr>
          <w:rFonts w:ascii="Times New Roman" w:hAnsi="Times New Roman"/>
          <w:i/>
          <w:sz w:val="20"/>
          <w:szCs w:val="20"/>
        </w:rPr>
        <w:t xml:space="preserve"> C. ferrugineum</w:t>
      </w:r>
      <w:r w:rsidRPr="00E12A3C">
        <w:rPr>
          <w:rFonts w:ascii="Times New Roman" w:hAnsi="Times New Roman"/>
          <w:sz w:val="20"/>
          <w:szCs w:val="20"/>
        </w:rPr>
        <w:t xml:space="preserve"> telah menunjukkan nilai FRAP tertinggi antara semua ekstrak. Aktiviti antibakteria semua ekstrak telah diuji untuk kepekatan rencatan minimum (MIC) terhadap </w:t>
      </w:r>
      <w:r w:rsidRPr="00E12A3C">
        <w:rPr>
          <w:rFonts w:ascii="Times New Roman" w:hAnsi="Times New Roman"/>
          <w:i/>
          <w:sz w:val="20"/>
          <w:szCs w:val="20"/>
        </w:rPr>
        <w:t xml:space="preserve">Bacillus subtilis, Staphylococcus aureus, Escheria coli </w:t>
      </w:r>
      <w:r w:rsidRPr="00E12A3C">
        <w:rPr>
          <w:rFonts w:ascii="Times New Roman" w:hAnsi="Times New Roman"/>
          <w:sz w:val="20"/>
          <w:szCs w:val="20"/>
        </w:rPr>
        <w:t xml:space="preserve">dan </w:t>
      </w:r>
      <w:r w:rsidRPr="00E12A3C">
        <w:rPr>
          <w:rFonts w:ascii="Times New Roman" w:hAnsi="Times New Roman"/>
          <w:i/>
          <w:sz w:val="20"/>
          <w:szCs w:val="20"/>
        </w:rPr>
        <w:t>Pseudomonas aeruginosa</w:t>
      </w:r>
      <w:r w:rsidRPr="00E12A3C">
        <w:rPr>
          <w:rFonts w:ascii="Times New Roman" w:hAnsi="Times New Roman"/>
          <w:sz w:val="20"/>
          <w:szCs w:val="20"/>
        </w:rPr>
        <w:t xml:space="preserve">. Hanya ekstrak diklorometana kulit batang </w:t>
      </w:r>
      <w:r w:rsidRPr="00E12A3C">
        <w:rPr>
          <w:rFonts w:ascii="Times New Roman" w:hAnsi="Times New Roman"/>
          <w:i/>
          <w:sz w:val="20"/>
          <w:szCs w:val="20"/>
        </w:rPr>
        <w:t>C. ferrugineum</w:t>
      </w:r>
      <w:r w:rsidRPr="00E12A3C">
        <w:rPr>
          <w:rFonts w:ascii="Times New Roman" w:hAnsi="Times New Roman"/>
          <w:sz w:val="20"/>
          <w:szCs w:val="20"/>
        </w:rPr>
        <w:t xml:space="preserve"> menunjukkan nilai MIC yang sederhana terhadap bakteria Gram positif, </w:t>
      </w:r>
      <w:r w:rsidRPr="00E12A3C">
        <w:rPr>
          <w:rFonts w:ascii="Times New Roman" w:hAnsi="Times New Roman"/>
          <w:i/>
          <w:sz w:val="20"/>
          <w:szCs w:val="20"/>
        </w:rPr>
        <w:t>B. subtilis</w:t>
      </w:r>
      <w:r w:rsidRPr="00E12A3C">
        <w:rPr>
          <w:rFonts w:ascii="Times New Roman" w:hAnsi="Times New Roman"/>
          <w:sz w:val="20"/>
          <w:szCs w:val="20"/>
        </w:rPr>
        <w:t xml:space="preserve"> dan </w:t>
      </w:r>
      <w:r w:rsidRPr="00E12A3C">
        <w:rPr>
          <w:rFonts w:ascii="Times New Roman" w:hAnsi="Times New Roman"/>
          <w:i/>
          <w:sz w:val="20"/>
          <w:szCs w:val="20"/>
        </w:rPr>
        <w:t>S. aureus</w:t>
      </w:r>
      <w:r w:rsidRPr="00E12A3C">
        <w:rPr>
          <w:rFonts w:ascii="Times New Roman" w:hAnsi="Times New Roman"/>
          <w:sz w:val="20"/>
          <w:szCs w:val="20"/>
        </w:rPr>
        <w:t xml:space="preserve"> pada 125 µg/mL.</w:t>
      </w:r>
    </w:p>
    <w:p w:rsidR="00E12A3C" w:rsidRPr="00E12A3C" w:rsidRDefault="00E12A3C" w:rsidP="00E12A3C">
      <w:pPr>
        <w:spacing w:after="0" w:line="240" w:lineRule="auto"/>
        <w:jc w:val="both"/>
        <w:rPr>
          <w:rFonts w:ascii="Times New Roman" w:hAnsi="Times New Roman"/>
          <w:sz w:val="20"/>
          <w:szCs w:val="20"/>
        </w:rPr>
      </w:pPr>
    </w:p>
    <w:p w:rsidR="00E12A3C" w:rsidRDefault="00E12A3C" w:rsidP="00E12A3C">
      <w:pPr>
        <w:spacing w:after="0" w:line="240" w:lineRule="auto"/>
        <w:jc w:val="both"/>
        <w:rPr>
          <w:rFonts w:ascii="Times New Roman" w:hAnsi="Times New Roman"/>
          <w:sz w:val="20"/>
          <w:szCs w:val="20"/>
        </w:rPr>
      </w:pPr>
      <w:r w:rsidRPr="00E12A3C">
        <w:rPr>
          <w:rFonts w:ascii="Times New Roman" w:hAnsi="Times New Roman"/>
          <w:b/>
          <w:sz w:val="20"/>
          <w:szCs w:val="20"/>
        </w:rPr>
        <w:t>Keywords</w:t>
      </w:r>
      <w:r w:rsidRPr="00E12A3C">
        <w:rPr>
          <w:rFonts w:ascii="Times New Roman" w:hAnsi="Times New Roman"/>
          <w:sz w:val="20"/>
          <w:szCs w:val="20"/>
        </w:rPr>
        <w:t xml:space="preserve">:  </w:t>
      </w:r>
      <w:r w:rsidRPr="00E12A3C">
        <w:rPr>
          <w:rFonts w:ascii="Times New Roman" w:hAnsi="Times New Roman"/>
          <w:i/>
          <w:sz w:val="20"/>
          <w:szCs w:val="20"/>
        </w:rPr>
        <w:t>Calophyllum, C. ferrugineum, C. incrassatum</w:t>
      </w:r>
      <w:r w:rsidRPr="00E12A3C">
        <w:rPr>
          <w:rFonts w:ascii="Times New Roman" w:hAnsi="Times New Roman"/>
          <w:sz w:val="20"/>
          <w:szCs w:val="20"/>
        </w:rPr>
        <w:t>, antioksidan, antibakteria</w:t>
      </w:r>
    </w:p>
    <w:p w:rsidR="00E12A3C" w:rsidRDefault="00E12A3C" w:rsidP="00E12A3C">
      <w:pPr>
        <w:spacing w:after="0" w:line="240" w:lineRule="auto"/>
        <w:jc w:val="both"/>
        <w:rPr>
          <w:rFonts w:ascii="Times New Roman" w:hAnsi="Times New Roman"/>
          <w:sz w:val="20"/>
          <w:szCs w:val="20"/>
        </w:rPr>
      </w:pPr>
    </w:p>
    <w:p w:rsidR="00E12A3C" w:rsidRPr="00F447A7" w:rsidRDefault="00E12A3C" w:rsidP="00E12A3C">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Stevens, P. F. (1980). </w:t>
      </w:r>
      <w:r w:rsidRPr="003B7D29">
        <w:rPr>
          <w:rFonts w:ascii="Times New Roman" w:hAnsi="Times New Roman"/>
          <w:i/>
          <w:noProof/>
          <w:sz w:val="20"/>
          <w:szCs w:val="20"/>
        </w:rPr>
        <w:t>Journal of the Arnold Arboretum</w:t>
      </w:r>
      <w:r w:rsidRPr="003B7D29">
        <w:rPr>
          <w:rFonts w:ascii="Times New Roman" w:hAnsi="Times New Roman"/>
          <w:noProof/>
          <w:sz w:val="20"/>
          <w:szCs w:val="20"/>
        </w:rPr>
        <w:t>. USA: Harvard University. 117–424.</w:t>
      </w:r>
    </w:p>
    <w:p w:rsidR="00E12A3C" w:rsidRPr="003B7D29" w:rsidRDefault="00E12A3C" w:rsidP="00E12A3C">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noProof/>
          <w:sz w:val="20"/>
          <w:szCs w:val="20"/>
        </w:rPr>
      </w:pPr>
      <w:r w:rsidRPr="003B7D29">
        <w:rPr>
          <w:rFonts w:ascii="Times New Roman" w:hAnsi="Times New Roman"/>
          <w:noProof/>
          <w:sz w:val="20"/>
          <w:szCs w:val="20"/>
        </w:rPr>
        <w:t xml:space="preserve">Alkhamaiseh, S. I., Taher, M. and Ahmad, F. (2011). The phytochemical contents and antimicrobial activities of Malaysian </w:t>
      </w:r>
      <w:r w:rsidRPr="003B7D29">
        <w:rPr>
          <w:rFonts w:ascii="Times New Roman" w:hAnsi="Times New Roman"/>
          <w:i/>
          <w:noProof/>
          <w:sz w:val="20"/>
          <w:szCs w:val="20"/>
        </w:rPr>
        <w:t>Calophyllum Rubiginosum</w:t>
      </w:r>
      <w:r w:rsidRPr="003B7D29">
        <w:rPr>
          <w:rFonts w:ascii="Times New Roman" w:hAnsi="Times New Roman"/>
          <w:noProof/>
          <w:sz w:val="20"/>
          <w:szCs w:val="20"/>
        </w:rPr>
        <w:t xml:space="preserve">. </w:t>
      </w:r>
      <w:r w:rsidRPr="003B7D29">
        <w:rPr>
          <w:rFonts w:ascii="Times New Roman" w:hAnsi="Times New Roman"/>
          <w:i/>
          <w:iCs/>
          <w:noProof/>
          <w:sz w:val="20"/>
          <w:szCs w:val="20"/>
        </w:rPr>
        <w:t>American Journal of Applied Sciences,</w:t>
      </w:r>
      <w:r w:rsidRPr="003B7D29">
        <w:rPr>
          <w:rFonts w:ascii="Times New Roman" w:hAnsi="Times New Roman"/>
          <w:noProof/>
          <w:sz w:val="20"/>
          <w:szCs w:val="20"/>
        </w:rPr>
        <w:t xml:space="preserve"> 8: 201-205.</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Kawamura, F., Muhamud, A., Hashim, R., Sulaiman, O. and Ohara, S. (2012). Two antifungal xanthones from the heartwood of </w:t>
      </w:r>
      <w:r w:rsidRPr="003B7D29">
        <w:rPr>
          <w:rFonts w:ascii="Times New Roman" w:hAnsi="Times New Roman"/>
          <w:i/>
          <w:noProof/>
          <w:sz w:val="20"/>
          <w:szCs w:val="20"/>
        </w:rPr>
        <w:t>Calophyllum symingtonianum</w:t>
      </w:r>
      <w:r w:rsidRPr="003B7D29">
        <w:rPr>
          <w:rFonts w:ascii="Times New Roman" w:hAnsi="Times New Roman"/>
          <w:noProof/>
          <w:sz w:val="20"/>
          <w:szCs w:val="20"/>
        </w:rPr>
        <w:t xml:space="preserve">. </w:t>
      </w:r>
      <w:r w:rsidRPr="003B7D29">
        <w:rPr>
          <w:rFonts w:ascii="Times New Roman" w:hAnsi="Times New Roman"/>
          <w:i/>
          <w:iCs/>
          <w:noProof/>
          <w:sz w:val="20"/>
          <w:szCs w:val="20"/>
        </w:rPr>
        <w:t>Japan Agricultural Research Quarterly,</w:t>
      </w:r>
      <w:r w:rsidRPr="003B7D29">
        <w:rPr>
          <w:rFonts w:ascii="Times New Roman" w:hAnsi="Times New Roman"/>
          <w:noProof/>
          <w:sz w:val="20"/>
          <w:szCs w:val="20"/>
        </w:rPr>
        <w:t xml:space="preserve"> 46: 181-185.</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Su, X. H., Zhang, M. L., Li, G. L., Huo, C. H., Gu, Y. C. and Shi, Q. W. (2008). Chemical constituents of the plants of the genus </w:t>
      </w:r>
      <w:r w:rsidRPr="003B7D29">
        <w:rPr>
          <w:rFonts w:ascii="Times New Roman" w:hAnsi="Times New Roman"/>
          <w:i/>
          <w:noProof/>
          <w:sz w:val="20"/>
          <w:szCs w:val="20"/>
        </w:rPr>
        <w:t>Calophyllum.</w:t>
      </w:r>
      <w:r w:rsidRPr="003B7D29">
        <w:rPr>
          <w:rFonts w:ascii="Times New Roman" w:hAnsi="Times New Roman"/>
          <w:noProof/>
          <w:sz w:val="20"/>
          <w:szCs w:val="20"/>
        </w:rPr>
        <w:t xml:space="preserve"> </w:t>
      </w:r>
      <w:r w:rsidRPr="003B7D29">
        <w:rPr>
          <w:rFonts w:ascii="Times New Roman" w:hAnsi="Times New Roman"/>
          <w:i/>
          <w:iCs/>
          <w:noProof/>
          <w:sz w:val="20"/>
          <w:szCs w:val="20"/>
        </w:rPr>
        <w:t>Chemistry &amp; Biodiversity,</w:t>
      </w:r>
      <w:r w:rsidRPr="003B7D29">
        <w:rPr>
          <w:rFonts w:ascii="Times New Roman" w:hAnsi="Times New Roman"/>
          <w:noProof/>
          <w:sz w:val="20"/>
          <w:szCs w:val="20"/>
        </w:rPr>
        <w:t xml:space="preserve"> 5: 2579-2608.</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Kashman, Y., Gustafson, K. R., Fuller, R. W., Cardellina, J. H., McMahon, J. B., Currens, M. J., Buckheit, R. W., Hughes, S. H., Cragg, G. M. and Boyd, M. R. (1992). The calanolides, A novel HIV-ınhibitory class of coumarin derivatives from the tropical rainforest tree, </w:t>
      </w:r>
      <w:r w:rsidRPr="003B7D29">
        <w:rPr>
          <w:rFonts w:ascii="Times New Roman" w:hAnsi="Times New Roman"/>
          <w:i/>
          <w:noProof/>
          <w:sz w:val="20"/>
          <w:szCs w:val="20"/>
        </w:rPr>
        <w:t>Calophyllum lanigerum</w:t>
      </w:r>
      <w:r w:rsidRPr="003B7D29">
        <w:rPr>
          <w:rFonts w:ascii="Times New Roman" w:hAnsi="Times New Roman"/>
          <w:noProof/>
          <w:sz w:val="20"/>
          <w:szCs w:val="20"/>
        </w:rPr>
        <w:t xml:space="preserve">. </w:t>
      </w:r>
      <w:r w:rsidRPr="003B7D29">
        <w:rPr>
          <w:rFonts w:ascii="Times New Roman" w:hAnsi="Times New Roman"/>
          <w:i/>
          <w:iCs/>
          <w:noProof/>
          <w:sz w:val="20"/>
          <w:szCs w:val="20"/>
        </w:rPr>
        <w:t>Journal of Medicinal Chemistry,</w:t>
      </w:r>
      <w:r w:rsidRPr="003B7D29">
        <w:rPr>
          <w:rFonts w:ascii="Times New Roman" w:hAnsi="Times New Roman"/>
          <w:noProof/>
          <w:sz w:val="20"/>
          <w:szCs w:val="20"/>
        </w:rPr>
        <w:t xml:space="preserve"> 35: 2735-2743.</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sz w:val="20"/>
          <w:szCs w:val="20"/>
        </w:rPr>
        <w:t xml:space="preserve">Aminudin, N. I., Ahmad, F., Taher, M., Zulkifli, R.M. (2015). α-Glucosidase and 15-Lipoxygenase inhibitory activities of phytochemicals from </w:t>
      </w:r>
      <w:r w:rsidRPr="003B7D29">
        <w:rPr>
          <w:rFonts w:ascii="Times New Roman" w:hAnsi="Times New Roman"/>
          <w:i/>
          <w:sz w:val="20"/>
          <w:szCs w:val="20"/>
        </w:rPr>
        <w:t>Calophyllum symingtonianum</w:t>
      </w:r>
      <w:r w:rsidRPr="003B7D29">
        <w:rPr>
          <w:rFonts w:ascii="Times New Roman" w:hAnsi="Times New Roman"/>
          <w:sz w:val="20"/>
          <w:szCs w:val="20"/>
        </w:rPr>
        <w:t xml:space="preserve">. </w:t>
      </w:r>
      <w:r w:rsidRPr="003B7D29">
        <w:rPr>
          <w:rFonts w:ascii="Times New Roman" w:hAnsi="Times New Roman"/>
          <w:i/>
          <w:sz w:val="20"/>
          <w:szCs w:val="20"/>
        </w:rPr>
        <w:t>Natural Product Communications,</w:t>
      </w:r>
      <w:r w:rsidRPr="003B7D29">
        <w:rPr>
          <w:rFonts w:ascii="Times New Roman" w:hAnsi="Times New Roman"/>
          <w:sz w:val="20"/>
          <w:szCs w:val="20"/>
        </w:rPr>
        <w:t xml:space="preserve"> 10: 1585-1587.</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sz w:val="20"/>
          <w:szCs w:val="20"/>
        </w:rPr>
        <w:t xml:space="preserve">Aminudin, N. I., Ahmad, F., Taher, M., Zulkifli, R.M. (2016). Cytotoxic and antibacterial evaluation of coumarins and chromanone acid from </w:t>
      </w:r>
      <w:r w:rsidRPr="003B7D29">
        <w:rPr>
          <w:rFonts w:ascii="Times New Roman" w:hAnsi="Times New Roman"/>
          <w:i/>
          <w:sz w:val="20"/>
          <w:szCs w:val="20"/>
        </w:rPr>
        <w:t>Calophyllum symingtonianum. Journal of Applied Pharmaceutical Science</w:t>
      </w:r>
      <w:r w:rsidRPr="003B7D29">
        <w:rPr>
          <w:rFonts w:ascii="Times New Roman" w:hAnsi="Times New Roman"/>
          <w:sz w:val="20"/>
          <w:szCs w:val="20"/>
        </w:rPr>
        <w:t>, 6: 23-27.</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sz w:val="20"/>
          <w:szCs w:val="20"/>
        </w:rPr>
        <w:t xml:space="preserve">Aminudin, N. I., Ahmad, F., Taher, M. (2015). </w:t>
      </w:r>
      <w:r w:rsidRPr="003B7D29">
        <w:rPr>
          <w:rFonts w:ascii="Times New Roman" w:hAnsi="Times New Roman"/>
          <w:i/>
          <w:sz w:val="20"/>
          <w:szCs w:val="20"/>
        </w:rPr>
        <w:t>In vitro</w:t>
      </w:r>
      <w:r w:rsidRPr="003B7D29">
        <w:rPr>
          <w:rFonts w:ascii="Times New Roman" w:hAnsi="Times New Roman"/>
          <w:sz w:val="20"/>
          <w:szCs w:val="20"/>
        </w:rPr>
        <w:t xml:space="preserve"> antioxidant, cholinesterase and tyrosinase inhibitory activities of </w:t>
      </w:r>
      <w:r w:rsidRPr="003B7D29">
        <w:rPr>
          <w:rFonts w:ascii="Times New Roman" w:hAnsi="Times New Roman"/>
          <w:i/>
          <w:sz w:val="20"/>
          <w:szCs w:val="20"/>
        </w:rPr>
        <w:t>Calophyllum symingtonianum</w:t>
      </w:r>
      <w:r w:rsidRPr="003B7D29">
        <w:rPr>
          <w:rFonts w:ascii="Times New Roman" w:hAnsi="Times New Roman"/>
          <w:sz w:val="20"/>
          <w:szCs w:val="20"/>
        </w:rPr>
        <w:t xml:space="preserve"> and </w:t>
      </w:r>
      <w:r w:rsidRPr="003B7D29">
        <w:rPr>
          <w:rFonts w:ascii="Times New Roman" w:hAnsi="Times New Roman"/>
          <w:i/>
          <w:sz w:val="20"/>
          <w:szCs w:val="20"/>
        </w:rPr>
        <w:t>Calophyllum depressinervosum</w:t>
      </w:r>
      <w:r w:rsidRPr="003B7D29">
        <w:rPr>
          <w:rFonts w:ascii="Times New Roman" w:hAnsi="Times New Roman"/>
          <w:sz w:val="20"/>
          <w:szCs w:val="20"/>
        </w:rPr>
        <w:t xml:space="preserve"> (Guttiferae). </w:t>
      </w:r>
      <w:r w:rsidRPr="003B7D29">
        <w:rPr>
          <w:rFonts w:ascii="Times New Roman" w:hAnsi="Times New Roman"/>
          <w:i/>
          <w:sz w:val="20"/>
          <w:szCs w:val="20"/>
        </w:rPr>
        <w:t>Journal of Coastal Life Medicine</w:t>
      </w:r>
      <w:r w:rsidRPr="003B7D29">
        <w:rPr>
          <w:rFonts w:ascii="Times New Roman" w:hAnsi="Times New Roman"/>
          <w:sz w:val="20"/>
          <w:szCs w:val="20"/>
        </w:rPr>
        <w:t>, 3: 126–131.</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sz w:val="20"/>
          <w:szCs w:val="20"/>
        </w:rPr>
        <w:t xml:space="preserve">Aminudin, N. I., Ahmad, F., Taher, M., Zulkifli, R. M. (2016). Incrassamarin A–D: Four new 4-substituted coumarins from </w:t>
      </w:r>
      <w:r w:rsidRPr="003B7D29">
        <w:rPr>
          <w:rFonts w:ascii="Times New Roman" w:hAnsi="Times New Roman"/>
          <w:i/>
          <w:sz w:val="20"/>
          <w:szCs w:val="20"/>
        </w:rPr>
        <w:t>Calophyllum incrassatum</w:t>
      </w:r>
      <w:r w:rsidRPr="003B7D29">
        <w:rPr>
          <w:rFonts w:ascii="Times New Roman" w:hAnsi="Times New Roman"/>
          <w:sz w:val="20"/>
          <w:szCs w:val="20"/>
        </w:rPr>
        <w:t xml:space="preserve"> and their biological activities. </w:t>
      </w:r>
      <w:r w:rsidRPr="003B7D29">
        <w:rPr>
          <w:rFonts w:ascii="Times New Roman" w:hAnsi="Times New Roman"/>
          <w:i/>
          <w:sz w:val="20"/>
          <w:szCs w:val="20"/>
        </w:rPr>
        <w:t>Phytochemistry Letters,</w:t>
      </w:r>
      <w:r w:rsidRPr="003B7D29">
        <w:rPr>
          <w:rFonts w:ascii="Times New Roman" w:hAnsi="Times New Roman"/>
          <w:sz w:val="20"/>
          <w:szCs w:val="20"/>
        </w:rPr>
        <w:t xml:space="preserve"> 16: 287-293.</w:t>
      </w:r>
    </w:p>
    <w:p w:rsidR="00E12A3C" w:rsidRPr="003B7D29" w:rsidRDefault="00E12A3C" w:rsidP="00E12A3C">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noProof/>
          <w:sz w:val="20"/>
          <w:szCs w:val="20"/>
        </w:rPr>
      </w:pPr>
      <w:r w:rsidRPr="003B7D29">
        <w:rPr>
          <w:rFonts w:ascii="Times New Roman" w:hAnsi="Times New Roman"/>
          <w:noProof/>
          <w:sz w:val="20"/>
          <w:szCs w:val="20"/>
        </w:rPr>
        <w:t xml:space="preserve">Kassim, N. K., Rahmani, M., Ismail, A., Sukari, M. A., Ee, G. C. L., Nasir, N. M. and Awang, K. (2013). Antioxidant activity-guided separation of coumarins and lignan from </w:t>
      </w:r>
      <w:r w:rsidRPr="003B7D29">
        <w:rPr>
          <w:rFonts w:ascii="Times New Roman" w:hAnsi="Times New Roman"/>
          <w:i/>
          <w:noProof/>
          <w:sz w:val="20"/>
          <w:szCs w:val="20"/>
        </w:rPr>
        <w:t>Melicope glabra</w:t>
      </w:r>
      <w:r w:rsidRPr="003B7D29">
        <w:rPr>
          <w:rFonts w:ascii="Times New Roman" w:hAnsi="Times New Roman"/>
          <w:noProof/>
          <w:sz w:val="20"/>
          <w:szCs w:val="20"/>
        </w:rPr>
        <w:t xml:space="preserve"> (Rutaceae). </w:t>
      </w:r>
      <w:r w:rsidRPr="003B7D29">
        <w:rPr>
          <w:rFonts w:ascii="Times New Roman" w:hAnsi="Times New Roman"/>
          <w:i/>
          <w:iCs/>
          <w:noProof/>
          <w:sz w:val="20"/>
          <w:szCs w:val="20"/>
        </w:rPr>
        <w:t>Food Chemistry,</w:t>
      </w:r>
      <w:r w:rsidRPr="003B7D29">
        <w:rPr>
          <w:rFonts w:ascii="Times New Roman" w:hAnsi="Times New Roman"/>
          <w:noProof/>
          <w:sz w:val="20"/>
          <w:szCs w:val="20"/>
        </w:rPr>
        <w:t xml:space="preserve"> 139: 87–92.</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sz w:val="20"/>
          <w:szCs w:val="20"/>
        </w:rPr>
        <w:t xml:space="preserve">Arriffin, N. M., Jamil, S., Basar, N., Khamis, S., Abdullah, and A. and Lathiff, S. M. A. (2017). Phytochemical studies and antioxidant activities of </w:t>
      </w:r>
      <w:r w:rsidRPr="003B7D29">
        <w:rPr>
          <w:rFonts w:ascii="Times New Roman" w:hAnsi="Times New Roman"/>
          <w:i/>
          <w:sz w:val="20"/>
          <w:szCs w:val="20"/>
        </w:rPr>
        <w:t xml:space="preserve">Artocarpus scortechinii </w:t>
      </w:r>
      <w:r w:rsidRPr="003B7D29">
        <w:rPr>
          <w:rFonts w:ascii="Times New Roman" w:hAnsi="Times New Roman"/>
          <w:sz w:val="20"/>
          <w:szCs w:val="20"/>
        </w:rPr>
        <w:t xml:space="preserve">king. </w:t>
      </w:r>
      <w:r w:rsidRPr="003B7D29">
        <w:rPr>
          <w:rFonts w:ascii="Times New Roman" w:hAnsi="Times New Roman"/>
          <w:i/>
          <w:sz w:val="20"/>
          <w:szCs w:val="20"/>
        </w:rPr>
        <w:t>Records of Natural Products</w:t>
      </w:r>
      <w:r w:rsidRPr="003B7D29">
        <w:rPr>
          <w:rFonts w:ascii="Times New Roman" w:hAnsi="Times New Roman"/>
          <w:sz w:val="20"/>
          <w:szCs w:val="20"/>
        </w:rPr>
        <w:t>, 3: 299-303.</w:t>
      </w:r>
    </w:p>
    <w:p w:rsidR="00E12A3C" w:rsidRPr="003B7D29" w:rsidRDefault="00E12A3C" w:rsidP="00E12A3C">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noProof/>
          <w:sz w:val="20"/>
          <w:szCs w:val="20"/>
        </w:rPr>
      </w:pPr>
      <w:r w:rsidRPr="003B7D29">
        <w:rPr>
          <w:rFonts w:ascii="Times New Roman" w:hAnsi="Times New Roman"/>
          <w:noProof/>
          <w:sz w:val="20"/>
          <w:szCs w:val="20"/>
        </w:rPr>
        <w:t xml:space="preserve">Sousa, R. M. F., Morais, S. A. L. D, Vieira, R. B. K., Napolitano, D. R., Guzman, V. B., Moraes, T. S., Cunha, L. C. S., Nascimento, E. A. D. and Oliveira, A. D. (2015). Chemical composition, cytotoxic, and antibacterial activity of the essential oil from </w:t>
      </w:r>
      <w:r w:rsidRPr="003B7D29">
        <w:rPr>
          <w:rFonts w:ascii="Times New Roman" w:hAnsi="Times New Roman"/>
          <w:i/>
          <w:noProof/>
          <w:sz w:val="20"/>
          <w:szCs w:val="20"/>
        </w:rPr>
        <w:t>Eugenia calycina</w:t>
      </w:r>
      <w:r w:rsidRPr="003B7D29">
        <w:rPr>
          <w:rFonts w:ascii="Times New Roman" w:hAnsi="Times New Roman"/>
          <w:noProof/>
          <w:sz w:val="20"/>
          <w:szCs w:val="20"/>
        </w:rPr>
        <w:t xml:space="preserve"> cambess. leaves against oral bacteria. </w:t>
      </w:r>
      <w:r w:rsidRPr="003B7D29">
        <w:rPr>
          <w:rFonts w:ascii="Times New Roman" w:hAnsi="Times New Roman"/>
          <w:i/>
          <w:iCs/>
          <w:noProof/>
          <w:sz w:val="20"/>
          <w:szCs w:val="20"/>
        </w:rPr>
        <w:t>Industrial Crops and Products,</w:t>
      </w:r>
      <w:r w:rsidRPr="003B7D29">
        <w:rPr>
          <w:rFonts w:ascii="Times New Roman" w:hAnsi="Times New Roman"/>
          <w:noProof/>
          <w:sz w:val="20"/>
          <w:szCs w:val="20"/>
        </w:rPr>
        <w:t xml:space="preserve"> 65: 71-78.</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Ríos, J. L. and Recio, M. C. (2005). Medicinal plants and antimicrobial activity. </w:t>
      </w:r>
      <w:r w:rsidRPr="003B7D29">
        <w:rPr>
          <w:rFonts w:ascii="Times New Roman" w:hAnsi="Times New Roman"/>
          <w:i/>
          <w:iCs/>
          <w:noProof/>
          <w:sz w:val="20"/>
          <w:szCs w:val="20"/>
        </w:rPr>
        <w:t>Journal of Ethnopharmacology,</w:t>
      </w:r>
      <w:r w:rsidRPr="003B7D29">
        <w:rPr>
          <w:rFonts w:ascii="Times New Roman" w:hAnsi="Times New Roman"/>
          <w:noProof/>
          <w:sz w:val="20"/>
          <w:szCs w:val="20"/>
        </w:rPr>
        <w:t xml:space="preserve"> 100: 80-84.</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Cuesta-Rubio, O., Oubada, A., Bello, A., Maes, L., Cos, P. and Monzote, L. (2015). Antimicrobial assessment of resins from </w:t>
      </w:r>
      <w:r w:rsidRPr="003B7D29">
        <w:rPr>
          <w:rFonts w:ascii="Times New Roman" w:hAnsi="Times New Roman"/>
          <w:i/>
          <w:noProof/>
          <w:sz w:val="20"/>
          <w:szCs w:val="20"/>
        </w:rPr>
        <w:t>Calophyllum antillanum</w:t>
      </w:r>
      <w:r w:rsidRPr="003B7D29">
        <w:rPr>
          <w:rFonts w:ascii="Times New Roman" w:hAnsi="Times New Roman"/>
          <w:noProof/>
          <w:sz w:val="20"/>
          <w:szCs w:val="20"/>
        </w:rPr>
        <w:t xml:space="preserve"> and </w:t>
      </w:r>
      <w:r w:rsidRPr="003B7D29">
        <w:rPr>
          <w:rFonts w:ascii="Times New Roman" w:hAnsi="Times New Roman"/>
          <w:i/>
          <w:noProof/>
          <w:sz w:val="20"/>
          <w:szCs w:val="20"/>
        </w:rPr>
        <w:t>Calophyllum inophyllum</w:t>
      </w:r>
      <w:r w:rsidRPr="003B7D29">
        <w:rPr>
          <w:rFonts w:ascii="Times New Roman" w:hAnsi="Times New Roman"/>
          <w:noProof/>
          <w:sz w:val="20"/>
          <w:szCs w:val="20"/>
        </w:rPr>
        <w:t xml:space="preserve">. </w:t>
      </w:r>
      <w:r w:rsidRPr="003B7D29">
        <w:rPr>
          <w:rFonts w:ascii="Times New Roman" w:hAnsi="Times New Roman"/>
          <w:i/>
          <w:iCs/>
          <w:noProof/>
          <w:sz w:val="20"/>
          <w:szCs w:val="20"/>
        </w:rPr>
        <w:t xml:space="preserve">Phythotherapy Research, </w:t>
      </w:r>
      <w:r w:rsidRPr="003B7D29">
        <w:rPr>
          <w:rFonts w:ascii="Times New Roman" w:hAnsi="Times New Roman"/>
          <w:noProof/>
          <w:sz w:val="20"/>
          <w:szCs w:val="20"/>
        </w:rPr>
        <w:t>29: 1991-1994.</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Cottiglia, F., Dhanapal, B., Sticher, O. and Heilmann, J. (2004). New chromanone acids with antibacterial activity from </w:t>
      </w:r>
      <w:r w:rsidRPr="003B7D29">
        <w:rPr>
          <w:rFonts w:ascii="Times New Roman" w:hAnsi="Times New Roman"/>
          <w:i/>
          <w:noProof/>
          <w:sz w:val="20"/>
          <w:szCs w:val="20"/>
        </w:rPr>
        <w:t>Calophyllum brasiliense</w:t>
      </w:r>
      <w:r w:rsidRPr="003B7D29">
        <w:rPr>
          <w:rFonts w:ascii="Times New Roman" w:hAnsi="Times New Roman"/>
          <w:noProof/>
          <w:sz w:val="20"/>
          <w:szCs w:val="20"/>
        </w:rPr>
        <w:t xml:space="preserve">. </w:t>
      </w:r>
      <w:r w:rsidRPr="003B7D29">
        <w:rPr>
          <w:rFonts w:ascii="Times New Roman" w:hAnsi="Times New Roman"/>
          <w:i/>
          <w:iCs/>
          <w:noProof/>
          <w:sz w:val="20"/>
          <w:szCs w:val="20"/>
        </w:rPr>
        <w:t>Journal of Natural Products,</w:t>
      </w:r>
      <w:r w:rsidRPr="003B7D29">
        <w:rPr>
          <w:rFonts w:ascii="Times New Roman" w:hAnsi="Times New Roman"/>
          <w:noProof/>
          <w:sz w:val="20"/>
          <w:szCs w:val="20"/>
        </w:rPr>
        <w:t xml:space="preserve"> 67: 537-541.</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Margraf, T., Karnopp, A. R., Rosso, N. D. and Granato, D. (2015). Comparison between Folin-Ciocalteu and Prussian Blue assays to estimate the total phenolic content of juices and teas using 96-well microplates. </w:t>
      </w:r>
      <w:r w:rsidRPr="003B7D29">
        <w:rPr>
          <w:rFonts w:ascii="Times New Roman" w:hAnsi="Times New Roman"/>
          <w:i/>
          <w:noProof/>
          <w:sz w:val="20"/>
          <w:szCs w:val="20"/>
        </w:rPr>
        <w:t>Journal of Food Science</w:t>
      </w:r>
      <w:r w:rsidRPr="003B7D29">
        <w:rPr>
          <w:rFonts w:ascii="Times New Roman" w:hAnsi="Times New Roman"/>
          <w:noProof/>
          <w:sz w:val="20"/>
          <w:szCs w:val="20"/>
        </w:rPr>
        <w:t>, 80: 2397-2403.</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Blois, M. S. (1958). Antioxidant determinations by the use of a stable free radical. </w:t>
      </w:r>
      <w:r w:rsidRPr="003B7D29">
        <w:rPr>
          <w:rFonts w:ascii="Times New Roman" w:hAnsi="Times New Roman"/>
          <w:i/>
          <w:iCs/>
          <w:noProof/>
          <w:sz w:val="20"/>
          <w:szCs w:val="20"/>
        </w:rPr>
        <w:t xml:space="preserve">Nature, </w:t>
      </w:r>
      <w:r w:rsidRPr="003B7D29">
        <w:rPr>
          <w:rFonts w:ascii="Times New Roman" w:hAnsi="Times New Roman"/>
          <w:noProof/>
          <w:sz w:val="20"/>
          <w:szCs w:val="20"/>
        </w:rPr>
        <w:t>181: 1199–1200.</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t xml:space="preserve">Dharmaratne, H. R. W., Napagoda, M. T. and Tennakoon, S. B. (2009). Xanthones from roots of </w:t>
      </w:r>
      <w:r w:rsidRPr="003B7D29">
        <w:rPr>
          <w:rFonts w:ascii="Times New Roman" w:hAnsi="Times New Roman"/>
          <w:i/>
          <w:noProof/>
          <w:sz w:val="20"/>
          <w:szCs w:val="20"/>
        </w:rPr>
        <w:t>Calophyllum thwaitesii</w:t>
      </w:r>
      <w:r w:rsidRPr="003B7D29">
        <w:rPr>
          <w:rFonts w:ascii="Times New Roman" w:hAnsi="Times New Roman"/>
          <w:noProof/>
          <w:sz w:val="20"/>
          <w:szCs w:val="20"/>
        </w:rPr>
        <w:t xml:space="preserve"> and their bioactivity. </w:t>
      </w:r>
      <w:r w:rsidRPr="003B7D29">
        <w:rPr>
          <w:rFonts w:ascii="Times New Roman" w:hAnsi="Times New Roman"/>
          <w:i/>
          <w:iCs/>
          <w:noProof/>
          <w:sz w:val="20"/>
          <w:szCs w:val="20"/>
        </w:rPr>
        <w:t xml:space="preserve">Natural Product Research, </w:t>
      </w:r>
      <w:r w:rsidRPr="003B7D29">
        <w:rPr>
          <w:rFonts w:ascii="Times New Roman" w:hAnsi="Times New Roman"/>
          <w:noProof/>
          <w:sz w:val="20"/>
          <w:szCs w:val="20"/>
        </w:rPr>
        <w:t>23: 539-545.</w:t>
      </w:r>
    </w:p>
    <w:p w:rsidR="00E12A3C" w:rsidRPr="003B7D29" w:rsidRDefault="00E12A3C" w:rsidP="00E12A3C">
      <w:pPr>
        <w:pStyle w:val="ListParagraph"/>
        <w:numPr>
          <w:ilvl w:val="0"/>
          <w:numId w:val="1"/>
        </w:numPr>
        <w:spacing w:after="0" w:line="240" w:lineRule="auto"/>
        <w:contextualSpacing w:val="0"/>
        <w:jc w:val="both"/>
        <w:rPr>
          <w:rFonts w:ascii="Times New Roman" w:hAnsi="Times New Roman"/>
          <w:sz w:val="20"/>
          <w:szCs w:val="20"/>
        </w:rPr>
      </w:pPr>
      <w:r w:rsidRPr="003B7D29">
        <w:rPr>
          <w:rFonts w:ascii="Times New Roman" w:hAnsi="Times New Roman"/>
          <w:noProof/>
          <w:sz w:val="20"/>
          <w:szCs w:val="20"/>
        </w:rPr>
        <w:lastRenderedPageBreak/>
        <w:t xml:space="preserve">Katrin, Elya, B., Mahamufrudho, A. and Rissyelly. (2014). Radical scavenging activity of extract, fraction and chemical compound from </w:t>
      </w:r>
      <w:r w:rsidRPr="003B7D29">
        <w:rPr>
          <w:rFonts w:ascii="Times New Roman" w:hAnsi="Times New Roman"/>
          <w:i/>
          <w:noProof/>
          <w:sz w:val="20"/>
          <w:szCs w:val="20"/>
        </w:rPr>
        <w:t>Calophyllum sclerophyllum</w:t>
      </w:r>
      <w:r w:rsidRPr="003B7D29">
        <w:rPr>
          <w:rFonts w:ascii="Times New Roman" w:hAnsi="Times New Roman"/>
          <w:noProof/>
          <w:sz w:val="20"/>
          <w:szCs w:val="20"/>
        </w:rPr>
        <w:t xml:space="preserve"> vesq. stembark by using 1,1-Diphenyl-2-Picryl Hydrazil (DPPH). </w:t>
      </w:r>
      <w:r w:rsidRPr="003B7D29">
        <w:rPr>
          <w:rFonts w:ascii="Times New Roman" w:hAnsi="Times New Roman"/>
          <w:i/>
          <w:iCs/>
          <w:noProof/>
          <w:sz w:val="20"/>
          <w:szCs w:val="20"/>
        </w:rPr>
        <w:t>International Journal of PharmTech Research,</w:t>
      </w:r>
      <w:r w:rsidRPr="003B7D29">
        <w:rPr>
          <w:rFonts w:ascii="Times New Roman" w:hAnsi="Times New Roman"/>
          <w:noProof/>
          <w:sz w:val="20"/>
          <w:szCs w:val="20"/>
        </w:rPr>
        <w:t xml:space="preserve"> 6: 396-402.</w:t>
      </w:r>
    </w:p>
    <w:p w:rsidR="00E12A3C" w:rsidRPr="003B7D29" w:rsidRDefault="00E12A3C" w:rsidP="00E12A3C">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noProof/>
          <w:sz w:val="20"/>
          <w:szCs w:val="20"/>
        </w:rPr>
      </w:pPr>
      <w:r w:rsidRPr="003B7D29">
        <w:rPr>
          <w:rFonts w:ascii="Times New Roman" w:hAnsi="Times New Roman"/>
          <w:noProof/>
          <w:sz w:val="20"/>
          <w:szCs w:val="20"/>
        </w:rPr>
        <w:t xml:space="preserve">Cahnnarong, S., Jutiviboonsuk, A. and Korsanan, S. (2012). Total reducing antioxidant capacity of thai herbal aromatic powder (Ya-Hom) measured by FRAP assay. </w:t>
      </w:r>
      <w:r w:rsidRPr="003B7D29">
        <w:rPr>
          <w:rFonts w:ascii="Times New Roman" w:hAnsi="Times New Roman"/>
          <w:i/>
          <w:iCs/>
          <w:noProof/>
          <w:sz w:val="20"/>
          <w:szCs w:val="20"/>
        </w:rPr>
        <w:t>Thai Pharmaceutical and Health Science Journal</w:t>
      </w:r>
      <w:r w:rsidRPr="003B7D29">
        <w:rPr>
          <w:rFonts w:ascii="Times New Roman" w:hAnsi="Times New Roman"/>
          <w:noProof/>
          <w:sz w:val="20"/>
          <w:szCs w:val="20"/>
        </w:rPr>
        <w:t>, 7:111-114.</w:t>
      </w:r>
    </w:p>
    <w:p w:rsidR="00E12A3C" w:rsidRPr="00E12A3C" w:rsidRDefault="00E12A3C" w:rsidP="00E12A3C">
      <w:pPr>
        <w:spacing w:after="0" w:line="240" w:lineRule="auto"/>
        <w:jc w:val="both"/>
        <w:rPr>
          <w:rFonts w:ascii="Times New Roman" w:hAnsi="Times New Roman"/>
          <w:sz w:val="20"/>
          <w:szCs w:val="20"/>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31B"/>
    <w:multiLevelType w:val="hybridMultilevel"/>
    <w:tmpl w:val="33D83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6E3706"/>
    <w:rsid w:val="00975E1A"/>
    <w:rsid w:val="00C71438"/>
    <w:rsid w:val="00D0718B"/>
    <w:rsid w:val="00D40B1F"/>
    <w:rsid w:val="00E1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qFormat/>
    <w:rsid w:val="00E12A3C"/>
    <w:pPr>
      <w:spacing w:after="0" w:line="480" w:lineRule="auto"/>
      <w:jc w:val="center"/>
    </w:pPr>
    <w:rPr>
      <w:rFonts w:ascii="Times New Roman" w:hAnsi="Times New Roman" w:cs="Times New Roman"/>
      <w:color w:val="000000" w:themeColor="text1"/>
      <w:sz w:val="24"/>
      <w:szCs w:val="24"/>
    </w:rPr>
  </w:style>
  <w:style w:type="paragraph" w:styleId="ListParagraph">
    <w:name w:val="List Paragraph"/>
    <w:basedOn w:val="Normal"/>
    <w:uiPriority w:val="34"/>
    <w:qFormat/>
    <w:rsid w:val="00E12A3C"/>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qFormat/>
    <w:rsid w:val="00E12A3C"/>
    <w:pPr>
      <w:spacing w:after="0" w:line="480" w:lineRule="auto"/>
      <w:jc w:val="center"/>
    </w:pPr>
    <w:rPr>
      <w:rFonts w:ascii="Times New Roman" w:hAnsi="Times New Roman" w:cs="Times New Roman"/>
      <w:color w:val="000000" w:themeColor="text1"/>
      <w:sz w:val="24"/>
      <w:szCs w:val="24"/>
    </w:rPr>
  </w:style>
  <w:style w:type="paragraph" w:styleId="ListParagraph">
    <w:name w:val="List Paragraph"/>
    <w:basedOn w:val="Normal"/>
    <w:uiPriority w:val="34"/>
    <w:qFormat/>
    <w:rsid w:val="00E12A3C"/>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2019-07-31T10:46:00Z</dcterms:created>
  <dcterms:modified xsi:type="dcterms:W3CDTF">2019-08-07T10:10:00Z</dcterms:modified>
</cp:coreProperties>
</file>