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2A30AE">
        <w:rPr>
          <w:rFonts w:ascii="Times New Roman" w:hAnsi="Times New Roman" w:cs="Times New Roman"/>
          <w:sz w:val="24"/>
          <w:szCs w:val="24"/>
        </w:rPr>
        <w:t>595 - 60</w:t>
      </w:r>
      <w:bookmarkStart w:id="0" w:name="_GoBack"/>
      <w:bookmarkEnd w:id="0"/>
      <w:r w:rsidR="00787989">
        <w:rPr>
          <w:rFonts w:ascii="Times New Roman" w:hAnsi="Times New Roman" w:cs="Times New Roman"/>
          <w:sz w:val="24"/>
          <w:szCs w:val="24"/>
        </w:rPr>
        <w:t>3</w:t>
      </w:r>
    </w:p>
    <w:p w:rsidR="00787989" w:rsidRDefault="00787989" w:rsidP="001573E3">
      <w:pPr>
        <w:spacing w:after="0" w:line="240" w:lineRule="auto"/>
        <w:rPr>
          <w:rFonts w:ascii="Times New Roman" w:hAnsi="Times New Roman" w:cs="Times New Roman"/>
          <w:sz w:val="24"/>
          <w:szCs w:val="24"/>
        </w:rPr>
      </w:pPr>
    </w:p>
    <w:p w:rsidR="00787989" w:rsidRDefault="00787989" w:rsidP="001573E3">
      <w:pPr>
        <w:spacing w:after="0" w:line="240" w:lineRule="auto"/>
        <w:rPr>
          <w:rFonts w:ascii="Times New Roman" w:hAnsi="Times New Roman" w:cs="Times New Roman"/>
          <w:sz w:val="24"/>
          <w:szCs w:val="24"/>
        </w:rPr>
      </w:pPr>
    </w:p>
    <w:p w:rsidR="00787989" w:rsidRDefault="00787989" w:rsidP="001573E3">
      <w:pPr>
        <w:spacing w:after="0" w:line="240" w:lineRule="auto"/>
        <w:rPr>
          <w:rFonts w:ascii="Times New Roman" w:hAnsi="Times New Roman" w:cs="Times New Roman"/>
          <w:sz w:val="24"/>
          <w:szCs w:val="24"/>
        </w:rPr>
      </w:pPr>
    </w:p>
    <w:p w:rsidR="00787989" w:rsidRPr="009A2870" w:rsidRDefault="00787989" w:rsidP="00787989">
      <w:pPr>
        <w:spacing w:after="0" w:line="240" w:lineRule="auto"/>
        <w:jc w:val="center"/>
        <w:outlineLvl w:val="0"/>
        <w:rPr>
          <w:rFonts w:ascii="Times New Roman" w:hAnsi="Times New Roman" w:cs="Times New Roman"/>
          <w:caps/>
          <w:sz w:val="28"/>
        </w:rPr>
      </w:pPr>
      <w:r w:rsidRPr="009A2870">
        <w:rPr>
          <w:rFonts w:ascii="Times New Roman" w:hAnsi="Times New Roman" w:cs="Times New Roman"/>
          <w:caps/>
          <w:sz w:val="28"/>
        </w:rPr>
        <w:t>A green colorimetric method using guava leaves extract for quality control of iron content in pharmaceutical formulations</w:t>
      </w:r>
    </w:p>
    <w:p w:rsidR="00787989" w:rsidRPr="00D8534B" w:rsidRDefault="00787989" w:rsidP="00787989">
      <w:pPr>
        <w:spacing w:after="0" w:line="240" w:lineRule="auto"/>
        <w:jc w:val="center"/>
        <w:outlineLvl w:val="0"/>
        <w:rPr>
          <w:rFonts w:ascii="Times New Roman" w:hAnsi="Times New Roman" w:cs="Times New Roman"/>
          <w:caps/>
          <w:sz w:val="24"/>
          <w:szCs w:val="24"/>
        </w:rPr>
      </w:pPr>
    </w:p>
    <w:p w:rsidR="00787989" w:rsidRPr="009A2870" w:rsidRDefault="00787989" w:rsidP="00787989">
      <w:pPr>
        <w:spacing w:after="0" w:line="240" w:lineRule="auto"/>
        <w:jc w:val="center"/>
        <w:outlineLvl w:val="0"/>
        <w:rPr>
          <w:rFonts w:ascii="Times New Roman" w:hAnsi="Times New Roman" w:cs="Times New Roman"/>
          <w:caps/>
          <w:sz w:val="24"/>
        </w:rPr>
      </w:pPr>
      <w:r w:rsidRPr="009A2870">
        <w:rPr>
          <w:rFonts w:ascii="Times New Roman" w:hAnsi="Times New Roman" w:cs="Times New Roman"/>
          <w:sz w:val="24"/>
        </w:rPr>
        <w:t>(</w:t>
      </w:r>
      <w:r w:rsidRPr="009A2870">
        <w:rPr>
          <w:rFonts w:ascii="Times New Roman" w:hAnsi="Times New Roman" w:cs="Times New Roman"/>
          <w:sz w:val="24"/>
          <w:lang w:val="ms-MY"/>
        </w:rPr>
        <w:t xml:space="preserve">Kaedah Kalorimetrik Hijau Mengunakan Ekstrak </w:t>
      </w:r>
      <w:r>
        <w:rPr>
          <w:rFonts w:ascii="Times New Roman" w:hAnsi="Times New Roman"/>
          <w:sz w:val="24"/>
          <w:lang w:val="ms-MY"/>
        </w:rPr>
        <w:t xml:space="preserve">Daun Jambu Bagi Kawalan Kualiti </w:t>
      </w:r>
      <w:r w:rsidRPr="009A2870">
        <w:rPr>
          <w:rFonts w:ascii="Times New Roman" w:hAnsi="Times New Roman" w:cs="Times New Roman"/>
          <w:sz w:val="24"/>
          <w:lang w:val="ms-MY"/>
        </w:rPr>
        <w:t>Kandungan Besi di dalam Formulasi Farmaseutikal</w:t>
      </w:r>
      <w:r w:rsidRPr="009A2870">
        <w:rPr>
          <w:rFonts w:ascii="Times New Roman" w:hAnsi="Times New Roman" w:cs="Times New Roman"/>
          <w:sz w:val="24"/>
        </w:rPr>
        <w:t>)</w:t>
      </w:r>
    </w:p>
    <w:p w:rsidR="00787989" w:rsidRPr="00D8534B" w:rsidRDefault="00787989" w:rsidP="00787989">
      <w:pPr>
        <w:spacing w:after="0" w:line="240" w:lineRule="auto"/>
        <w:jc w:val="center"/>
        <w:outlineLvl w:val="0"/>
        <w:rPr>
          <w:rFonts w:ascii="Times New Roman" w:hAnsi="Times New Roman" w:cs="Times New Roman"/>
          <w:b/>
          <w:sz w:val="20"/>
          <w:szCs w:val="20"/>
        </w:rPr>
      </w:pPr>
    </w:p>
    <w:p w:rsidR="00787989" w:rsidRPr="00D8534B" w:rsidRDefault="00787989" w:rsidP="00787989">
      <w:pPr>
        <w:spacing w:after="0" w:line="240" w:lineRule="auto"/>
        <w:jc w:val="center"/>
        <w:outlineLvl w:val="0"/>
        <w:rPr>
          <w:rFonts w:ascii="Times New Roman" w:hAnsi="Times New Roman" w:cs="Times New Roman"/>
          <w:sz w:val="20"/>
          <w:szCs w:val="20"/>
          <w:vertAlign w:val="superscript"/>
        </w:rPr>
      </w:pPr>
      <w:r w:rsidRPr="00D8534B">
        <w:rPr>
          <w:rFonts w:ascii="Times New Roman" w:hAnsi="Times New Roman" w:cs="Times New Roman"/>
          <w:sz w:val="20"/>
          <w:szCs w:val="20"/>
        </w:rPr>
        <w:t>Watsaka Siriangkhawut</w:t>
      </w:r>
      <w:r w:rsidRPr="00D8534B">
        <w:rPr>
          <w:rFonts w:ascii="Times New Roman" w:hAnsi="Times New Roman" w:cs="Times New Roman"/>
          <w:sz w:val="20"/>
          <w:szCs w:val="20"/>
          <w:vertAlign w:val="superscript"/>
        </w:rPr>
        <w:t>1</w:t>
      </w:r>
      <w:r w:rsidRPr="00D8534B">
        <w:rPr>
          <w:rFonts w:ascii="Times New Roman" w:hAnsi="Times New Roman" w:cs="Times New Roman"/>
          <w:sz w:val="20"/>
          <w:szCs w:val="20"/>
        </w:rPr>
        <w:t>*, Kraingkrai Ponhong</w:t>
      </w:r>
      <w:r w:rsidRPr="00D8534B">
        <w:rPr>
          <w:rFonts w:ascii="Times New Roman" w:hAnsi="Times New Roman" w:cs="Times New Roman"/>
          <w:sz w:val="20"/>
          <w:szCs w:val="20"/>
          <w:vertAlign w:val="superscript"/>
        </w:rPr>
        <w:t>1</w:t>
      </w:r>
      <w:r w:rsidRPr="00D8534B">
        <w:rPr>
          <w:rFonts w:ascii="Times New Roman" w:hAnsi="Times New Roman" w:cs="Times New Roman"/>
          <w:sz w:val="20"/>
          <w:szCs w:val="20"/>
        </w:rPr>
        <w:t>, Kate Grudpan</w:t>
      </w:r>
      <w:r w:rsidRPr="00D8534B">
        <w:rPr>
          <w:rFonts w:ascii="Times New Roman" w:hAnsi="Times New Roman" w:cs="Times New Roman"/>
          <w:sz w:val="20"/>
          <w:szCs w:val="20"/>
          <w:vertAlign w:val="superscript"/>
        </w:rPr>
        <w:t>2</w:t>
      </w:r>
    </w:p>
    <w:p w:rsidR="00787989" w:rsidRPr="00787989" w:rsidRDefault="00787989" w:rsidP="00787989">
      <w:pPr>
        <w:spacing w:after="0" w:line="240" w:lineRule="auto"/>
        <w:jc w:val="center"/>
        <w:outlineLvl w:val="0"/>
        <w:rPr>
          <w:rFonts w:ascii="Times New Roman" w:hAnsi="Times New Roman" w:cs="Times New Roman"/>
          <w:b/>
          <w:sz w:val="20"/>
          <w:szCs w:val="20"/>
        </w:rPr>
      </w:pP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vertAlign w:val="superscript"/>
        </w:rPr>
        <w:t>1</w:t>
      </w:r>
      <w:r w:rsidRPr="00787989">
        <w:rPr>
          <w:rFonts w:ascii="Times New Roman" w:hAnsi="Times New Roman" w:cs="Times New Roman"/>
          <w:i/>
          <w:sz w:val="20"/>
          <w:szCs w:val="20"/>
        </w:rPr>
        <w:t xml:space="preserve">Creative Chemistry and Innovation Research Unit, </w:t>
      </w:r>
    </w:p>
    <w:p w:rsidR="00787989" w:rsidRPr="00787989" w:rsidRDefault="00787989" w:rsidP="00787989">
      <w:pPr>
        <w:spacing w:after="0" w:line="240" w:lineRule="auto"/>
        <w:jc w:val="center"/>
        <w:outlineLvl w:val="0"/>
        <w:rPr>
          <w:rFonts w:ascii="Times New Roman" w:hAnsi="Times New Roman"/>
          <w:i/>
          <w:sz w:val="20"/>
          <w:szCs w:val="20"/>
        </w:rPr>
      </w:pPr>
      <w:r w:rsidRPr="00787989">
        <w:rPr>
          <w:rFonts w:ascii="Times New Roman" w:hAnsi="Times New Roman" w:cs="Times New Roman"/>
          <w:i/>
          <w:sz w:val="20"/>
          <w:szCs w:val="20"/>
        </w:rPr>
        <w:t xml:space="preserve">Department of Chemistry and Center of Excellence for Innovation in Chemistry, Faculty of Science, </w:t>
      </w: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rPr>
        <w:t>Mahasarakham University, Maha Sarakham 44150, Thailand</w:t>
      </w: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vertAlign w:val="superscript"/>
        </w:rPr>
        <w:t>2</w:t>
      </w:r>
      <w:r w:rsidRPr="00787989">
        <w:rPr>
          <w:rFonts w:ascii="Times New Roman" w:hAnsi="Times New Roman" w:cs="Times New Roman"/>
          <w:i/>
          <w:sz w:val="20"/>
          <w:szCs w:val="20"/>
        </w:rPr>
        <w:t xml:space="preserve">Department of Chemistry, Faculty of Science, </w:t>
      </w: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rPr>
        <w:t xml:space="preserve">Center of Excellence for Innovation in Analytical Science and Technology, </w:t>
      </w: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rPr>
        <w:t>Chiang Mai University, Chiang Mai 50200, Thailand</w:t>
      </w:r>
    </w:p>
    <w:p w:rsidR="00787989" w:rsidRPr="00787989" w:rsidRDefault="00787989" w:rsidP="00787989">
      <w:pPr>
        <w:spacing w:after="0" w:line="240" w:lineRule="auto"/>
        <w:jc w:val="center"/>
        <w:outlineLvl w:val="0"/>
        <w:rPr>
          <w:rFonts w:ascii="Times New Roman" w:hAnsi="Times New Roman" w:cs="Times New Roman"/>
          <w:b/>
          <w:sz w:val="20"/>
          <w:szCs w:val="20"/>
        </w:rPr>
      </w:pPr>
    </w:p>
    <w:p w:rsidR="00787989" w:rsidRPr="00787989" w:rsidRDefault="00787989" w:rsidP="00787989">
      <w:pPr>
        <w:spacing w:after="0" w:line="240" w:lineRule="auto"/>
        <w:jc w:val="center"/>
        <w:outlineLvl w:val="0"/>
        <w:rPr>
          <w:rFonts w:ascii="Times New Roman" w:hAnsi="Times New Roman" w:cs="Times New Roman"/>
          <w:i/>
          <w:sz w:val="20"/>
          <w:szCs w:val="20"/>
        </w:rPr>
      </w:pPr>
      <w:r w:rsidRPr="00787989">
        <w:rPr>
          <w:rFonts w:ascii="Times New Roman" w:hAnsi="Times New Roman" w:cs="Times New Roman"/>
          <w:i/>
          <w:sz w:val="20"/>
          <w:szCs w:val="20"/>
        </w:rPr>
        <w:t xml:space="preserve">*Corresponding author: </w:t>
      </w:r>
      <w:r w:rsidRPr="00787989">
        <w:rPr>
          <w:rFonts w:ascii="Times New Roman" w:hAnsi="Times New Roman"/>
          <w:i/>
          <w:sz w:val="20"/>
          <w:szCs w:val="20"/>
        </w:rPr>
        <w:t xml:space="preserve"> </w:t>
      </w:r>
      <w:r w:rsidRPr="00787989">
        <w:rPr>
          <w:rFonts w:ascii="Times New Roman" w:hAnsi="Times New Roman" w:cs="Times New Roman"/>
          <w:i/>
          <w:sz w:val="20"/>
          <w:szCs w:val="20"/>
        </w:rPr>
        <w:t>watsaka@hotmail.com</w:t>
      </w:r>
      <w:r w:rsidRPr="00787989">
        <w:rPr>
          <w:rFonts w:ascii="Times New Roman" w:hAnsi="Times New Roman" w:cs="Times New Roman"/>
          <w:b/>
          <w:i/>
          <w:sz w:val="20"/>
          <w:szCs w:val="20"/>
        </w:rPr>
        <w:t xml:space="preserve"> </w:t>
      </w:r>
    </w:p>
    <w:p w:rsidR="00787989" w:rsidRPr="00787989" w:rsidRDefault="00787989" w:rsidP="00787989">
      <w:pPr>
        <w:spacing w:after="0" w:line="240" w:lineRule="auto"/>
        <w:jc w:val="center"/>
        <w:rPr>
          <w:rFonts w:ascii="Times New Roman" w:hAnsi="Times New Roman"/>
          <w:noProof/>
          <w:sz w:val="20"/>
          <w:szCs w:val="20"/>
        </w:rPr>
      </w:pPr>
    </w:p>
    <w:p w:rsidR="00787989" w:rsidRPr="00787989" w:rsidRDefault="00787989" w:rsidP="00787989">
      <w:pPr>
        <w:spacing w:after="0" w:line="240" w:lineRule="auto"/>
        <w:jc w:val="center"/>
        <w:rPr>
          <w:rFonts w:ascii="Times New Roman" w:hAnsi="Times New Roman"/>
          <w:noProof/>
          <w:sz w:val="20"/>
          <w:szCs w:val="20"/>
        </w:rPr>
      </w:pPr>
    </w:p>
    <w:p w:rsidR="00787989" w:rsidRPr="00787989" w:rsidRDefault="00787989" w:rsidP="00787989">
      <w:pPr>
        <w:spacing w:after="0" w:line="240" w:lineRule="auto"/>
        <w:jc w:val="center"/>
        <w:rPr>
          <w:rFonts w:ascii="Times New Roman" w:hAnsi="Times New Roman"/>
          <w:noProof/>
          <w:sz w:val="20"/>
          <w:szCs w:val="20"/>
        </w:rPr>
      </w:pPr>
      <w:r w:rsidRPr="00787989">
        <w:rPr>
          <w:rFonts w:ascii="Times New Roman" w:hAnsi="Times New Roman"/>
          <w:noProof/>
          <w:sz w:val="20"/>
          <w:szCs w:val="20"/>
        </w:rPr>
        <w:t>Received: 17 April 2019; Accepted: 22 June 2019</w:t>
      </w:r>
    </w:p>
    <w:p w:rsidR="00787989" w:rsidRPr="00787989" w:rsidRDefault="00787989" w:rsidP="00787989">
      <w:pPr>
        <w:spacing w:after="0" w:line="240" w:lineRule="auto"/>
        <w:jc w:val="center"/>
        <w:rPr>
          <w:rFonts w:ascii="Times New Roman" w:hAnsi="Times New Roman"/>
          <w:noProof/>
          <w:sz w:val="20"/>
          <w:szCs w:val="20"/>
        </w:rPr>
      </w:pPr>
    </w:p>
    <w:p w:rsidR="00787989" w:rsidRPr="00787989" w:rsidRDefault="00787989" w:rsidP="00787989">
      <w:pPr>
        <w:spacing w:after="0" w:line="240" w:lineRule="auto"/>
        <w:jc w:val="center"/>
        <w:rPr>
          <w:rFonts w:ascii="Times New Roman" w:hAnsi="Times New Roman"/>
          <w:noProof/>
          <w:sz w:val="20"/>
          <w:szCs w:val="20"/>
        </w:rPr>
      </w:pPr>
    </w:p>
    <w:p w:rsidR="00787989" w:rsidRPr="00787989" w:rsidRDefault="00787989" w:rsidP="00787989">
      <w:pPr>
        <w:spacing w:after="0" w:line="240" w:lineRule="auto"/>
        <w:jc w:val="center"/>
        <w:rPr>
          <w:rFonts w:ascii="Times New Roman" w:hAnsi="Times New Roman"/>
          <w:b/>
          <w:noProof/>
          <w:sz w:val="20"/>
          <w:szCs w:val="20"/>
        </w:rPr>
      </w:pPr>
      <w:r w:rsidRPr="00787989">
        <w:rPr>
          <w:rFonts w:ascii="Times New Roman" w:hAnsi="Times New Roman"/>
          <w:b/>
          <w:noProof/>
          <w:sz w:val="20"/>
          <w:szCs w:val="20"/>
        </w:rPr>
        <w:t>Abstract</w:t>
      </w:r>
    </w:p>
    <w:p w:rsidR="00787989" w:rsidRPr="00787989" w:rsidRDefault="00787989" w:rsidP="00787989">
      <w:pPr>
        <w:spacing w:after="0" w:line="240" w:lineRule="auto"/>
        <w:jc w:val="both"/>
        <w:outlineLvl w:val="0"/>
        <w:rPr>
          <w:rFonts w:ascii="Times New Roman" w:eastAsia="Times New Roman" w:hAnsi="Times New Roman" w:cs="Times New Roman"/>
          <w:sz w:val="20"/>
          <w:szCs w:val="20"/>
        </w:rPr>
      </w:pPr>
      <w:r w:rsidRPr="00787989">
        <w:rPr>
          <w:rFonts w:ascii="Times New Roman" w:eastAsia="Times New Roman" w:hAnsi="Times New Roman" w:cs="Times New Roman"/>
          <w:sz w:val="20"/>
          <w:szCs w:val="20"/>
        </w:rPr>
        <w:t xml:space="preserve">A cost-effective and environmentally friendly approach using a simple </w:t>
      </w:r>
      <w:r w:rsidRPr="00787989">
        <w:rPr>
          <w:rFonts w:ascii="Times New Roman" w:hAnsi="Times New Roman" w:cs="Times New Roman"/>
          <w:sz w:val="20"/>
          <w:szCs w:val="20"/>
        </w:rPr>
        <w:t xml:space="preserve">micro-volume colorimetric method </w:t>
      </w:r>
      <w:r w:rsidRPr="00787989">
        <w:rPr>
          <w:rFonts w:ascii="Times New Roman" w:eastAsia="Times New Roman" w:hAnsi="Times New Roman" w:cs="Times New Roman"/>
          <w:sz w:val="20"/>
          <w:szCs w:val="20"/>
        </w:rPr>
        <w:t>with non-synthetic reagent from plant extracts has been proposed</w:t>
      </w:r>
      <w:r w:rsidRPr="00787989">
        <w:rPr>
          <w:rFonts w:ascii="Times New Roman" w:hAnsi="Times New Roman" w:cs="Times New Roman"/>
          <w:sz w:val="20"/>
          <w:szCs w:val="20"/>
        </w:rPr>
        <w:t xml:space="preserve">. </w:t>
      </w:r>
      <w:r w:rsidRPr="00787989">
        <w:rPr>
          <w:rFonts w:ascii="Times New Roman" w:eastAsia="Times New Roman" w:hAnsi="Times New Roman" w:cs="Times New Roman"/>
          <w:sz w:val="20"/>
          <w:szCs w:val="20"/>
        </w:rPr>
        <w:t xml:space="preserve">The crude aqueous extracts from </w:t>
      </w:r>
      <w:r w:rsidRPr="00787989">
        <w:rPr>
          <w:rFonts w:ascii="Times New Roman" w:hAnsi="Times New Roman" w:cs="Times New Roman"/>
          <w:sz w:val="20"/>
          <w:szCs w:val="20"/>
        </w:rPr>
        <w:t>dried guava leaves</w:t>
      </w:r>
      <w:r w:rsidRPr="00787989">
        <w:rPr>
          <w:rFonts w:ascii="Times New Roman" w:eastAsia="Times New Roman" w:hAnsi="Times New Roman" w:cs="Times New Roman"/>
          <w:sz w:val="20"/>
          <w:szCs w:val="20"/>
        </w:rPr>
        <w:t xml:space="preserve"> </w:t>
      </w:r>
      <w:r w:rsidRPr="00787989">
        <w:rPr>
          <w:rFonts w:ascii="Times New Roman" w:hAnsi="Times New Roman" w:cs="Times New Roman"/>
          <w:sz w:val="20"/>
          <w:szCs w:val="20"/>
        </w:rPr>
        <w:t>were</w:t>
      </w:r>
      <w:r w:rsidRPr="00787989">
        <w:rPr>
          <w:rFonts w:ascii="Times New Roman" w:eastAsia="Times New Roman" w:hAnsi="Times New Roman" w:cs="Times New Roman"/>
          <w:sz w:val="20"/>
          <w:szCs w:val="20"/>
        </w:rPr>
        <w:t xml:space="preserve"> utilized as an alternative natural reagent for quantification of </w:t>
      </w:r>
      <w:r w:rsidRPr="00787989">
        <w:rPr>
          <w:rFonts w:ascii="Times New Roman" w:hAnsi="Times New Roman" w:cs="Times New Roman"/>
          <w:sz w:val="20"/>
          <w:szCs w:val="20"/>
        </w:rPr>
        <w:t>iron</w:t>
      </w:r>
      <w:r w:rsidRPr="00787989">
        <w:rPr>
          <w:rFonts w:ascii="Times New Roman" w:eastAsia="Times New Roman" w:hAnsi="Times New Roman" w:cs="Times New Roman"/>
          <w:sz w:val="20"/>
          <w:szCs w:val="20"/>
        </w:rPr>
        <w:t xml:space="preserve">. </w:t>
      </w:r>
      <w:r w:rsidRPr="00787989">
        <w:rPr>
          <w:rFonts w:ascii="Times New Roman" w:hAnsi="Times New Roman" w:cs="Times New Roman"/>
          <w:sz w:val="20"/>
          <w:szCs w:val="20"/>
        </w:rPr>
        <w:t xml:space="preserve">The method was based on the measurement of a dark brown complex formed by the reaction between Fe(III) and the </w:t>
      </w:r>
      <w:r w:rsidRPr="00787989">
        <w:rPr>
          <w:rFonts w:ascii="Times New Roman" w:eastAsia="Times New Roman" w:hAnsi="Times New Roman" w:cs="Times New Roman"/>
          <w:sz w:val="20"/>
          <w:szCs w:val="20"/>
        </w:rPr>
        <w:t>crude aqueous extracts</w:t>
      </w:r>
      <w:r w:rsidRPr="00787989">
        <w:rPr>
          <w:rFonts w:ascii="Times New Roman" w:hAnsi="Times New Roman" w:cs="Times New Roman"/>
          <w:sz w:val="20"/>
          <w:szCs w:val="20"/>
        </w:rPr>
        <w:t xml:space="preserve"> </w:t>
      </w:r>
      <w:r w:rsidRPr="00787989">
        <w:rPr>
          <w:rFonts w:ascii="Times New Roman" w:eastAsia="Times New Roman" w:hAnsi="Times New Roman" w:cs="Times New Roman"/>
          <w:sz w:val="20"/>
          <w:szCs w:val="20"/>
        </w:rPr>
        <w:t xml:space="preserve">in acetate buffer pH </w:t>
      </w:r>
      <w:r w:rsidRPr="00787989">
        <w:rPr>
          <w:rFonts w:ascii="Times New Roman" w:hAnsi="Times New Roman" w:cs="Times New Roman"/>
          <w:sz w:val="20"/>
          <w:szCs w:val="20"/>
        </w:rPr>
        <w:t>4</w:t>
      </w:r>
      <w:r w:rsidRPr="00787989">
        <w:rPr>
          <w:rFonts w:ascii="Times New Roman" w:eastAsia="Times New Roman" w:hAnsi="Times New Roman" w:cs="Times New Roman"/>
          <w:sz w:val="20"/>
          <w:szCs w:val="20"/>
        </w:rPr>
        <w:t>.5</w:t>
      </w:r>
      <w:r w:rsidRPr="00787989">
        <w:rPr>
          <w:rFonts w:ascii="Times New Roman" w:hAnsi="Times New Roman" w:cs="Times New Roman"/>
          <w:sz w:val="20"/>
          <w:szCs w:val="20"/>
        </w:rPr>
        <w:t xml:space="preserve"> at 562 nm. </w:t>
      </w:r>
      <w:r w:rsidRPr="00787989">
        <w:rPr>
          <w:rFonts w:ascii="Times New Roman" w:eastAsia="Times New Roman" w:hAnsi="Times New Roman" w:cs="Times New Roman"/>
          <w:sz w:val="20"/>
          <w:szCs w:val="20"/>
        </w:rPr>
        <w:t xml:space="preserve">The optimum conditions for the </w:t>
      </w:r>
      <w:r w:rsidRPr="00787989">
        <w:rPr>
          <w:rFonts w:ascii="Times New Roman" w:hAnsi="Times New Roman" w:cs="Times New Roman"/>
          <w:sz w:val="20"/>
          <w:szCs w:val="20"/>
        </w:rPr>
        <w:t>extraction</w:t>
      </w:r>
      <w:r w:rsidRPr="00787989">
        <w:rPr>
          <w:rFonts w:ascii="Times New Roman" w:eastAsia="Times New Roman" w:hAnsi="Times New Roman" w:cs="Times New Roman"/>
          <w:sz w:val="20"/>
          <w:szCs w:val="20"/>
        </w:rPr>
        <w:t xml:space="preserve"> parameters such as </w:t>
      </w:r>
      <w:r w:rsidRPr="00787989">
        <w:rPr>
          <w:rFonts w:ascii="Times New Roman" w:hAnsi="Times New Roman" w:cs="Times New Roman"/>
          <w:sz w:val="20"/>
          <w:szCs w:val="20"/>
        </w:rPr>
        <w:t>type of solvent, extraction time</w:t>
      </w:r>
      <w:r w:rsidRPr="00787989">
        <w:rPr>
          <w:rFonts w:ascii="Times New Roman" w:eastAsia="Times New Roman" w:hAnsi="Times New Roman" w:cs="Times New Roman"/>
          <w:sz w:val="20"/>
          <w:szCs w:val="20"/>
        </w:rPr>
        <w:t xml:space="preserve"> and </w:t>
      </w:r>
      <w:r w:rsidRPr="00787989">
        <w:rPr>
          <w:rFonts w:ascii="Times New Roman" w:hAnsi="Times New Roman" w:cs="Times New Roman"/>
          <w:sz w:val="20"/>
          <w:szCs w:val="20"/>
        </w:rPr>
        <w:t xml:space="preserve">mass of dried plant were investigated. </w:t>
      </w:r>
      <w:r w:rsidRPr="00787989">
        <w:rPr>
          <w:rFonts w:ascii="Times New Roman" w:eastAsia="Times New Roman" w:hAnsi="Times New Roman" w:cs="Times New Roman"/>
          <w:sz w:val="20"/>
          <w:szCs w:val="20"/>
        </w:rPr>
        <w:t xml:space="preserve">Under the optimum conditions, a linear calibration graph in the range of </w:t>
      </w:r>
      <w:r w:rsidRPr="00787989">
        <w:rPr>
          <w:rFonts w:ascii="Times New Roman" w:hAnsi="Times New Roman" w:cs="Times New Roman"/>
          <w:sz w:val="20"/>
          <w:szCs w:val="20"/>
        </w:rPr>
        <w:t xml:space="preserve">1.0 </w:t>
      </w:r>
      <w:r w:rsidRPr="00787989">
        <w:rPr>
          <w:rFonts w:ascii="Times New Roman" w:eastAsia="Times New Roman" w:hAnsi="Times New Roman" w:cs="Times New Roman"/>
          <w:sz w:val="20"/>
          <w:szCs w:val="20"/>
        </w:rPr>
        <w:t>-</w:t>
      </w:r>
      <w:r w:rsidRPr="00787989">
        <w:rPr>
          <w:rFonts w:ascii="Times New Roman" w:hAnsi="Times New Roman" w:cs="Times New Roman"/>
          <w:sz w:val="20"/>
          <w:szCs w:val="20"/>
        </w:rPr>
        <w:t xml:space="preserve"> </w:t>
      </w:r>
      <w:r w:rsidRPr="00787989">
        <w:rPr>
          <w:rFonts w:ascii="Times New Roman" w:eastAsia="Times New Roman" w:hAnsi="Times New Roman" w:cs="Times New Roman"/>
          <w:sz w:val="20"/>
          <w:szCs w:val="20"/>
        </w:rPr>
        <w:t>1</w:t>
      </w:r>
      <w:r w:rsidRPr="00787989">
        <w:rPr>
          <w:rFonts w:ascii="Times New Roman" w:hAnsi="Times New Roman" w:cs="Times New Roman"/>
          <w:sz w:val="20"/>
          <w:szCs w:val="20"/>
        </w:rPr>
        <w:t>0</w:t>
      </w:r>
      <w:r w:rsidRPr="00787989">
        <w:rPr>
          <w:rFonts w:ascii="Times New Roman" w:eastAsia="Times New Roman" w:hAnsi="Times New Roman" w:cs="Times New Roman"/>
          <w:sz w:val="20"/>
          <w:szCs w:val="20"/>
        </w:rPr>
        <w:t>.0 mg L</w:t>
      </w:r>
      <w:r w:rsidRPr="00787989">
        <w:rPr>
          <w:rFonts w:ascii="Times New Roman" w:eastAsia="Times New Roman" w:hAnsi="Times New Roman" w:cs="Times New Roman"/>
          <w:sz w:val="20"/>
          <w:szCs w:val="20"/>
          <w:vertAlign w:val="superscript"/>
        </w:rPr>
        <w:t>-1</w:t>
      </w:r>
      <w:r w:rsidRPr="00787989">
        <w:rPr>
          <w:rFonts w:ascii="Times New Roman" w:eastAsia="Times New Roman" w:hAnsi="Times New Roman" w:cs="Times New Roman"/>
          <w:sz w:val="20"/>
          <w:szCs w:val="20"/>
        </w:rPr>
        <w:t xml:space="preserve"> </w:t>
      </w:r>
      <w:r w:rsidRPr="00787989">
        <w:rPr>
          <w:rFonts w:ascii="Times New Roman" w:hAnsi="Times New Roman" w:cs="Times New Roman"/>
          <w:sz w:val="20"/>
          <w:szCs w:val="20"/>
        </w:rPr>
        <w:t>Fe(III)</w:t>
      </w:r>
      <w:r w:rsidRPr="00787989">
        <w:rPr>
          <w:rFonts w:ascii="Times New Roman" w:eastAsia="Times New Roman" w:hAnsi="Times New Roman" w:cs="Times New Roman"/>
          <w:sz w:val="20"/>
          <w:szCs w:val="20"/>
        </w:rPr>
        <w:t xml:space="preserve"> was obtained with limits of detection and quantification of 0.</w:t>
      </w:r>
      <w:r w:rsidRPr="00787989">
        <w:rPr>
          <w:rFonts w:ascii="Times New Roman" w:hAnsi="Times New Roman" w:cs="Times New Roman"/>
          <w:sz w:val="20"/>
          <w:szCs w:val="20"/>
        </w:rPr>
        <w:t>30</w:t>
      </w:r>
      <w:r w:rsidRPr="00787989">
        <w:rPr>
          <w:rFonts w:ascii="Times New Roman" w:eastAsia="Times New Roman" w:hAnsi="Times New Roman" w:cs="Times New Roman"/>
          <w:sz w:val="20"/>
          <w:szCs w:val="20"/>
        </w:rPr>
        <w:t xml:space="preserve"> and </w:t>
      </w:r>
      <w:r w:rsidRPr="00787989">
        <w:rPr>
          <w:rFonts w:ascii="Times New Roman" w:hAnsi="Times New Roman" w:cs="Times New Roman"/>
          <w:sz w:val="20"/>
          <w:szCs w:val="20"/>
        </w:rPr>
        <w:t>1.0</w:t>
      </w:r>
      <w:r w:rsidRPr="00787989">
        <w:rPr>
          <w:rFonts w:ascii="Times New Roman" w:eastAsia="Times New Roman" w:hAnsi="Times New Roman" w:cs="Times New Roman"/>
          <w:sz w:val="20"/>
          <w:szCs w:val="20"/>
        </w:rPr>
        <w:t xml:space="preserve"> mg L</w:t>
      </w:r>
      <w:r w:rsidRPr="00787989">
        <w:rPr>
          <w:rFonts w:ascii="Times New Roman" w:eastAsia="Times New Roman" w:hAnsi="Times New Roman" w:cs="Times New Roman"/>
          <w:sz w:val="20"/>
          <w:szCs w:val="20"/>
          <w:vertAlign w:val="superscript"/>
        </w:rPr>
        <w:t>-1</w:t>
      </w:r>
      <w:r w:rsidRPr="00787989">
        <w:rPr>
          <w:rFonts w:ascii="Times New Roman" w:eastAsia="Times New Roman" w:hAnsi="Times New Roman" w:cs="Times New Roman"/>
          <w:sz w:val="20"/>
          <w:szCs w:val="20"/>
        </w:rPr>
        <w:t xml:space="preserve"> </w:t>
      </w:r>
      <w:r w:rsidRPr="00787989">
        <w:rPr>
          <w:rFonts w:ascii="Times New Roman" w:hAnsi="Times New Roman" w:cs="Times New Roman"/>
          <w:sz w:val="20"/>
          <w:szCs w:val="20"/>
        </w:rPr>
        <w:t>Fe(III)</w:t>
      </w:r>
      <w:r w:rsidRPr="00787989">
        <w:rPr>
          <w:rFonts w:ascii="Times New Roman" w:eastAsia="Times New Roman" w:hAnsi="Times New Roman" w:cs="Times New Roman"/>
          <w:sz w:val="20"/>
          <w:szCs w:val="20"/>
        </w:rPr>
        <w:t xml:space="preserve">, respectively. Relative standard deviations of </w:t>
      </w:r>
      <w:r w:rsidRPr="00787989">
        <w:rPr>
          <w:rFonts w:ascii="Times New Roman" w:hAnsi="Times New Roman" w:cs="Times New Roman"/>
          <w:sz w:val="20"/>
          <w:szCs w:val="20"/>
        </w:rPr>
        <w:t>2.6</w:t>
      </w:r>
      <w:r w:rsidRPr="00787989">
        <w:rPr>
          <w:rFonts w:ascii="Times New Roman" w:eastAsia="Times New Roman" w:hAnsi="Times New Roman" w:cs="Times New Roman"/>
          <w:sz w:val="20"/>
          <w:szCs w:val="20"/>
        </w:rPr>
        <w:t xml:space="preserve"> and 2.</w:t>
      </w:r>
      <w:r w:rsidRPr="00787989">
        <w:rPr>
          <w:rFonts w:ascii="Times New Roman" w:hAnsi="Times New Roman" w:cs="Times New Roman"/>
          <w:sz w:val="20"/>
          <w:szCs w:val="20"/>
        </w:rPr>
        <w:t>1</w:t>
      </w:r>
      <w:r w:rsidRPr="00787989">
        <w:rPr>
          <w:rFonts w:ascii="Times New Roman" w:eastAsia="Times New Roman" w:hAnsi="Times New Roman" w:cs="Times New Roman"/>
          <w:sz w:val="20"/>
          <w:szCs w:val="20"/>
        </w:rPr>
        <w:t>% were achieved</w:t>
      </w:r>
      <w:r w:rsidRPr="00787989">
        <w:rPr>
          <w:rFonts w:ascii="Times New Roman" w:hAnsi="Times New Roman" w:cs="Times New Roman"/>
          <w:sz w:val="20"/>
          <w:szCs w:val="20"/>
        </w:rPr>
        <w:t xml:space="preserve"> </w:t>
      </w:r>
      <w:r w:rsidRPr="00787989">
        <w:rPr>
          <w:rFonts w:ascii="Times New Roman" w:eastAsia="Times New Roman" w:hAnsi="Times New Roman" w:cs="Times New Roman"/>
          <w:sz w:val="20"/>
          <w:szCs w:val="20"/>
        </w:rPr>
        <w:t xml:space="preserve">for </w:t>
      </w:r>
      <w:r w:rsidRPr="00787989">
        <w:rPr>
          <w:rFonts w:ascii="Times New Roman" w:hAnsi="Times New Roman" w:cs="Times New Roman"/>
          <w:sz w:val="20"/>
          <w:szCs w:val="20"/>
        </w:rPr>
        <w:t>2.0</w:t>
      </w:r>
      <w:r w:rsidRPr="00787989">
        <w:rPr>
          <w:rFonts w:ascii="Times New Roman" w:eastAsia="Times New Roman" w:hAnsi="Times New Roman" w:cs="Times New Roman"/>
          <w:sz w:val="20"/>
          <w:szCs w:val="20"/>
        </w:rPr>
        <w:t xml:space="preserve"> and </w:t>
      </w:r>
      <w:r w:rsidRPr="00787989">
        <w:rPr>
          <w:rFonts w:ascii="Times New Roman" w:hAnsi="Times New Roman" w:cs="Times New Roman"/>
          <w:sz w:val="20"/>
          <w:szCs w:val="20"/>
        </w:rPr>
        <w:t>4.0</w:t>
      </w:r>
      <w:r w:rsidRPr="00787989">
        <w:rPr>
          <w:rFonts w:ascii="Times New Roman" w:eastAsia="Times New Roman" w:hAnsi="Times New Roman" w:cs="Times New Roman"/>
          <w:sz w:val="20"/>
          <w:szCs w:val="20"/>
        </w:rPr>
        <w:t xml:space="preserve"> mg L</w:t>
      </w:r>
      <w:r w:rsidRPr="00787989">
        <w:rPr>
          <w:rFonts w:ascii="Times New Roman" w:eastAsia="Times New Roman" w:hAnsi="Times New Roman" w:cs="Times New Roman"/>
          <w:sz w:val="20"/>
          <w:szCs w:val="20"/>
          <w:vertAlign w:val="superscript"/>
        </w:rPr>
        <w:t>-1</w:t>
      </w:r>
      <w:r w:rsidRPr="00787989">
        <w:rPr>
          <w:rFonts w:ascii="Times New Roman" w:eastAsia="Times New Roman" w:hAnsi="Times New Roman" w:cs="Times New Roman"/>
          <w:sz w:val="20"/>
          <w:szCs w:val="20"/>
        </w:rPr>
        <w:t xml:space="preserve"> </w:t>
      </w:r>
      <w:r w:rsidRPr="00787989">
        <w:rPr>
          <w:rFonts w:ascii="Times New Roman" w:hAnsi="Times New Roman" w:cs="Times New Roman"/>
          <w:sz w:val="20"/>
          <w:szCs w:val="20"/>
        </w:rPr>
        <w:t>Fe(III) (n=7</w:t>
      </w:r>
      <w:r w:rsidRPr="00787989">
        <w:rPr>
          <w:rFonts w:ascii="Times New Roman" w:eastAsia="Times New Roman" w:hAnsi="Times New Roman" w:cs="Times New Roman"/>
          <w:sz w:val="20"/>
          <w:szCs w:val="20"/>
        </w:rPr>
        <w:t>), respectively</w:t>
      </w:r>
      <w:r w:rsidRPr="00787989">
        <w:rPr>
          <w:rFonts w:ascii="Times New Roman" w:hAnsi="Times New Roman" w:cs="Times New Roman"/>
          <w:sz w:val="20"/>
          <w:szCs w:val="20"/>
        </w:rPr>
        <w:t xml:space="preserve">. </w:t>
      </w:r>
      <w:r w:rsidRPr="00787989">
        <w:rPr>
          <w:rFonts w:ascii="Times New Roman" w:eastAsia="Times New Roman" w:hAnsi="Times New Roman" w:cs="Times New Roman"/>
          <w:sz w:val="20"/>
          <w:szCs w:val="20"/>
        </w:rPr>
        <w:t xml:space="preserve">The developed </w:t>
      </w:r>
      <w:r w:rsidRPr="00787989">
        <w:rPr>
          <w:rFonts w:ascii="Times New Roman" w:hAnsi="Times New Roman" w:cs="Times New Roman"/>
          <w:sz w:val="20"/>
          <w:szCs w:val="20"/>
        </w:rPr>
        <w:t>method</w:t>
      </w:r>
      <w:r w:rsidRPr="00787989">
        <w:rPr>
          <w:rFonts w:ascii="Times New Roman" w:eastAsia="Times New Roman" w:hAnsi="Times New Roman" w:cs="Times New Roman"/>
          <w:sz w:val="20"/>
          <w:szCs w:val="20"/>
        </w:rPr>
        <w:t xml:space="preserve"> was successfully applied to </w:t>
      </w:r>
      <w:r w:rsidRPr="00787989">
        <w:rPr>
          <w:rFonts w:ascii="Times New Roman" w:hAnsi="Times New Roman" w:cs="Times New Roman"/>
          <w:sz w:val="20"/>
          <w:szCs w:val="20"/>
        </w:rPr>
        <w:t xml:space="preserve">quality control of iron in antianemic drug samples. </w:t>
      </w:r>
      <w:r w:rsidRPr="00787989">
        <w:rPr>
          <w:rFonts w:ascii="Times New Roman" w:eastAsia="Times New Roman" w:hAnsi="Times New Roman" w:cs="Times New Roman"/>
          <w:sz w:val="20"/>
          <w:szCs w:val="20"/>
        </w:rPr>
        <w:t xml:space="preserve">The results </w:t>
      </w:r>
      <w:r w:rsidRPr="00787989">
        <w:rPr>
          <w:rFonts w:ascii="Times New Roman" w:hAnsi="Times New Roman" w:cs="Times New Roman"/>
          <w:sz w:val="20"/>
          <w:szCs w:val="20"/>
        </w:rPr>
        <w:t xml:space="preserve">are in good agreement </w:t>
      </w:r>
      <w:r w:rsidRPr="00787989">
        <w:rPr>
          <w:rFonts w:ascii="Times New Roman" w:eastAsia="Times New Roman" w:hAnsi="Times New Roman" w:cs="Times New Roman"/>
          <w:sz w:val="20"/>
          <w:szCs w:val="20"/>
        </w:rPr>
        <w:t xml:space="preserve">with those obtained </w:t>
      </w:r>
      <w:r w:rsidRPr="00787989">
        <w:rPr>
          <w:rFonts w:ascii="Times New Roman" w:hAnsi="Times New Roman" w:cs="Times New Roman"/>
          <w:sz w:val="20"/>
          <w:szCs w:val="20"/>
        </w:rPr>
        <w:t>by</w:t>
      </w:r>
      <w:r w:rsidRPr="00787989">
        <w:rPr>
          <w:rFonts w:ascii="Times New Roman" w:eastAsia="Times New Roman" w:hAnsi="Times New Roman" w:cs="Times New Roman"/>
          <w:sz w:val="20"/>
          <w:szCs w:val="20"/>
        </w:rPr>
        <w:t xml:space="preserve"> the </w:t>
      </w:r>
      <w:r w:rsidRPr="00787989">
        <w:rPr>
          <w:rFonts w:ascii="Times New Roman" w:hAnsi="Times New Roman" w:cs="Times New Roman"/>
          <w:sz w:val="20"/>
          <w:szCs w:val="20"/>
        </w:rPr>
        <w:t>FAAS</w:t>
      </w:r>
      <w:r w:rsidRPr="00787989">
        <w:rPr>
          <w:rFonts w:ascii="Times New Roman" w:eastAsia="Times New Roman" w:hAnsi="Times New Roman" w:cs="Times New Roman"/>
          <w:sz w:val="20"/>
          <w:szCs w:val="20"/>
        </w:rPr>
        <w:t xml:space="preserve"> method</w:t>
      </w:r>
      <w:r w:rsidRPr="00787989">
        <w:rPr>
          <w:rFonts w:ascii="Times New Roman" w:hAnsi="Times New Roman" w:cs="Times New Roman"/>
          <w:sz w:val="20"/>
          <w:szCs w:val="20"/>
        </w:rPr>
        <w:t xml:space="preserve"> at the 95% confidence level. High percentage </w:t>
      </w:r>
      <w:r w:rsidRPr="00787989">
        <w:rPr>
          <w:rFonts w:ascii="Times New Roman" w:eastAsia="Times New Roman" w:hAnsi="Times New Roman" w:cs="Times New Roman"/>
          <w:sz w:val="20"/>
          <w:szCs w:val="20"/>
        </w:rPr>
        <w:t xml:space="preserve">recoveries between </w:t>
      </w:r>
      <w:r w:rsidRPr="00787989">
        <w:rPr>
          <w:rFonts w:ascii="Times New Roman" w:hAnsi="Times New Roman" w:cs="Times New Roman"/>
          <w:sz w:val="20"/>
          <w:szCs w:val="20"/>
        </w:rPr>
        <w:t xml:space="preserve">93 </w:t>
      </w:r>
      <w:r w:rsidRPr="00787989">
        <w:rPr>
          <w:rFonts w:ascii="Times New Roman" w:eastAsia="Times New Roman" w:hAnsi="Times New Roman" w:cs="Times New Roman"/>
          <w:sz w:val="20"/>
          <w:szCs w:val="20"/>
        </w:rPr>
        <w:t xml:space="preserve">and </w:t>
      </w:r>
      <w:r w:rsidRPr="00787989">
        <w:rPr>
          <w:rFonts w:ascii="Times New Roman" w:hAnsi="Times New Roman" w:cs="Times New Roman"/>
          <w:sz w:val="20"/>
          <w:szCs w:val="20"/>
        </w:rPr>
        <w:t>99</w:t>
      </w:r>
      <w:r w:rsidRPr="00787989">
        <w:rPr>
          <w:rFonts w:ascii="Times New Roman" w:eastAsia="Times New Roman" w:hAnsi="Times New Roman" w:cs="Times New Roman"/>
          <w:sz w:val="20"/>
          <w:szCs w:val="20"/>
        </w:rPr>
        <w:t>% were obtained.</w:t>
      </w:r>
    </w:p>
    <w:p w:rsidR="00787989" w:rsidRPr="00787989" w:rsidRDefault="00787989" w:rsidP="00787989">
      <w:pPr>
        <w:spacing w:after="0" w:line="240" w:lineRule="auto"/>
        <w:jc w:val="both"/>
        <w:rPr>
          <w:rFonts w:ascii="Times New Roman" w:eastAsia="Times New Roman" w:hAnsi="Times New Roman" w:cs="Times New Roman"/>
          <w:sz w:val="20"/>
          <w:szCs w:val="20"/>
        </w:rPr>
      </w:pPr>
    </w:p>
    <w:p w:rsidR="00787989" w:rsidRPr="00787989" w:rsidRDefault="00787989" w:rsidP="00787989">
      <w:pPr>
        <w:spacing w:after="0" w:line="240" w:lineRule="auto"/>
        <w:jc w:val="both"/>
        <w:outlineLvl w:val="0"/>
        <w:rPr>
          <w:rFonts w:ascii="Times New Roman" w:hAnsi="Times New Roman" w:cs="Times New Roman"/>
          <w:sz w:val="20"/>
          <w:szCs w:val="20"/>
        </w:rPr>
      </w:pPr>
      <w:r w:rsidRPr="00787989">
        <w:rPr>
          <w:rFonts w:ascii="Times New Roman" w:hAnsi="Times New Roman" w:cs="Times New Roman"/>
          <w:b/>
          <w:sz w:val="20"/>
          <w:szCs w:val="20"/>
        </w:rPr>
        <w:t>Keywords</w:t>
      </w:r>
      <w:r w:rsidRPr="00787989">
        <w:rPr>
          <w:rFonts w:ascii="Times New Roman" w:hAnsi="Times New Roman" w:cs="Times New Roman"/>
          <w:sz w:val="20"/>
          <w:szCs w:val="20"/>
        </w:rPr>
        <w:t>:</w:t>
      </w:r>
      <w:r w:rsidRPr="00787989">
        <w:rPr>
          <w:rFonts w:ascii="Times New Roman" w:hAnsi="Times New Roman"/>
          <w:sz w:val="20"/>
          <w:szCs w:val="20"/>
        </w:rPr>
        <w:t xml:space="preserve"> </w:t>
      </w:r>
      <w:r w:rsidRPr="00787989">
        <w:rPr>
          <w:rFonts w:ascii="Times New Roman" w:hAnsi="Times New Roman" w:cs="Times New Roman"/>
          <w:sz w:val="20"/>
          <w:szCs w:val="20"/>
        </w:rPr>
        <w:t xml:space="preserve"> guava leaf, natural reagent, colorimetry, iron, pharmaceutical formulations </w:t>
      </w:r>
    </w:p>
    <w:p w:rsidR="00787989" w:rsidRPr="00787989" w:rsidRDefault="00787989" w:rsidP="00787989">
      <w:pPr>
        <w:spacing w:after="0" w:line="240" w:lineRule="auto"/>
        <w:jc w:val="center"/>
        <w:outlineLvl w:val="0"/>
        <w:rPr>
          <w:rFonts w:ascii="Times New Roman" w:hAnsi="Times New Roman" w:cs="Times New Roman"/>
          <w:sz w:val="20"/>
          <w:szCs w:val="20"/>
        </w:rPr>
      </w:pPr>
    </w:p>
    <w:p w:rsidR="00787989" w:rsidRPr="00787989" w:rsidRDefault="00787989" w:rsidP="00787989">
      <w:pPr>
        <w:spacing w:after="0" w:line="240" w:lineRule="auto"/>
        <w:jc w:val="center"/>
        <w:outlineLvl w:val="0"/>
        <w:rPr>
          <w:rFonts w:ascii="Times New Roman" w:hAnsi="Times New Roman" w:cs="Times New Roman"/>
          <w:b/>
          <w:sz w:val="20"/>
          <w:szCs w:val="20"/>
          <w:lang w:val="ms-MY"/>
        </w:rPr>
      </w:pPr>
      <w:r w:rsidRPr="00787989">
        <w:rPr>
          <w:rFonts w:ascii="Times New Roman" w:hAnsi="Times New Roman" w:cs="Times New Roman"/>
          <w:b/>
          <w:sz w:val="20"/>
          <w:szCs w:val="20"/>
          <w:lang w:val="ms-MY"/>
        </w:rPr>
        <w:t>Abstrak</w:t>
      </w:r>
    </w:p>
    <w:p w:rsidR="00787989" w:rsidRPr="00787989" w:rsidRDefault="00787989" w:rsidP="00787989">
      <w:pPr>
        <w:spacing w:after="0" w:line="240" w:lineRule="auto"/>
        <w:jc w:val="both"/>
        <w:outlineLvl w:val="0"/>
        <w:rPr>
          <w:rFonts w:ascii="Times New Roman" w:hAnsi="Times New Roman" w:cs="Times New Roman"/>
          <w:sz w:val="20"/>
          <w:szCs w:val="20"/>
          <w:lang w:val="ms-MY"/>
        </w:rPr>
      </w:pPr>
      <w:r w:rsidRPr="00787989">
        <w:rPr>
          <w:rFonts w:ascii="Times New Roman" w:hAnsi="Times New Roman" w:cs="Times New Roman"/>
          <w:sz w:val="20"/>
          <w:szCs w:val="20"/>
          <w:lang w:val="ms-MY"/>
        </w:rPr>
        <w:t xml:space="preserve">Pendekatan yang mesra alam dan kos efektif mengunakan kaedah kalorimetrik isipadu-mikro yang mudah dikemukakan dalam kajian ini. </w:t>
      </w:r>
      <w:r w:rsidRPr="00787989">
        <w:rPr>
          <w:rFonts w:ascii="Times New Roman" w:eastAsia="Times New Roman" w:hAnsi="Times New Roman" w:cs="Times New Roman"/>
          <w:sz w:val="20"/>
          <w:szCs w:val="20"/>
          <w:lang w:val="ms-MY"/>
        </w:rPr>
        <w:t xml:space="preserve">Ekstrak akues dari daun jambu yang dikeringkan telah digunapakai sebagai alternatif reagen semulajadi bagi pengkuantitian kandungan besi. </w:t>
      </w:r>
      <w:r w:rsidRPr="00787989">
        <w:rPr>
          <w:rFonts w:ascii="Times New Roman" w:hAnsi="Times New Roman" w:cs="Times New Roman"/>
          <w:sz w:val="20"/>
          <w:szCs w:val="20"/>
          <w:lang w:val="ms-MY"/>
        </w:rPr>
        <w:t xml:space="preserve">Kaedah berasaskan pengukuran kompleks coklat gelap yang terhasil melalui tindak balas Fe(III) dan bahan mentah ekstrak di dalam larutan penimbal asetat pH 4.5 pada 562 nm. Keadaan optimum untuk parameter pengekstrakan seperti jenis pelarut, masa pengekstrakan dan jisim daun yang dikeringkan telah dikaji. </w:t>
      </w:r>
      <w:r w:rsidRPr="00787989">
        <w:rPr>
          <w:rFonts w:ascii="Times New Roman" w:eastAsia="Times New Roman" w:hAnsi="Times New Roman" w:cs="Times New Roman"/>
          <w:sz w:val="20"/>
          <w:szCs w:val="20"/>
          <w:lang w:val="ms-MY"/>
        </w:rPr>
        <w:t xml:space="preserve">Pada keadaan optimum, graf kalibrasi linear diperolehi pada julat </w:t>
      </w:r>
      <w:r w:rsidRPr="00787989">
        <w:rPr>
          <w:rFonts w:ascii="Times New Roman" w:hAnsi="Times New Roman" w:cs="Times New Roman"/>
          <w:sz w:val="20"/>
          <w:szCs w:val="20"/>
          <w:lang w:val="ms-MY"/>
        </w:rPr>
        <w:t xml:space="preserve">1.0 </w:t>
      </w:r>
      <w:r w:rsidRPr="00787989">
        <w:rPr>
          <w:rFonts w:ascii="Times New Roman" w:eastAsia="Times New Roman" w:hAnsi="Times New Roman" w:cs="Times New Roman"/>
          <w:sz w:val="20"/>
          <w:szCs w:val="20"/>
          <w:lang w:val="ms-MY"/>
        </w:rPr>
        <w:t>-</w:t>
      </w:r>
      <w:r w:rsidRPr="00787989">
        <w:rPr>
          <w:rFonts w:ascii="Times New Roman" w:hAnsi="Times New Roman" w:cs="Times New Roman"/>
          <w:sz w:val="20"/>
          <w:szCs w:val="20"/>
          <w:lang w:val="ms-MY"/>
        </w:rPr>
        <w:t xml:space="preserve"> </w:t>
      </w:r>
      <w:r w:rsidRPr="00787989">
        <w:rPr>
          <w:rFonts w:ascii="Times New Roman" w:eastAsia="Times New Roman" w:hAnsi="Times New Roman" w:cs="Times New Roman"/>
          <w:sz w:val="20"/>
          <w:szCs w:val="20"/>
          <w:lang w:val="ms-MY"/>
        </w:rPr>
        <w:t>1</w:t>
      </w:r>
      <w:r w:rsidRPr="00787989">
        <w:rPr>
          <w:rFonts w:ascii="Times New Roman" w:hAnsi="Times New Roman" w:cs="Times New Roman"/>
          <w:sz w:val="20"/>
          <w:szCs w:val="20"/>
          <w:lang w:val="ms-MY"/>
        </w:rPr>
        <w:t>0</w:t>
      </w:r>
      <w:r w:rsidRPr="00787989">
        <w:rPr>
          <w:rFonts w:ascii="Times New Roman" w:eastAsia="Times New Roman" w:hAnsi="Times New Roman" w:cs="Times New Roman"/>
          <w:sz w:val="20"/>
          <w:szCs w:val="20"/>
          <w:lang w:val="ms-MY"/>
        </w:rPr>
        <w:t>.0 mg L</w:t>
      </w:r>
      <w:r w:rsidRPr="00787989">
        <w:rPr>
          <w:rFonts w:ascii="Times New Roman" w:eastAsia="Times New Roman" w:hAnsi="Times New Roman" w:cs="Times New Roman"/>
          <w:sz w:val="20"/>
          <w:szCs w:val="20"/>
          <w:vertAlign w:val="superscript"/>
          <w:lang w:val="ms-MY"/>
        </w:rPr>
        <w:t>-1</w:t>
      </w:r>
      <w:r w:rsidRPr="00787989">
        <w:rPr>
          <w:rFonts w:ascii="Times New Roman" w:eastAsia="Times New Roman" w:hAnsi="Times New Roman" w:cs="Times New Roman"/>
          <w:sz w:val="20"/>
          <w:szCs w:val="20"/>
          <w:lang w:val="ms-MY"/>
        </w:rPr>
        <w:t xml:space="preserve"> </w:t>
      </w:r>
      <w:r w:rsidRPr="00787989">
        <w:rPr>
          <w:rFonts w:ascii="Times New Roman" w:hAnsi="Times New Roman" w:cs="Times New Roman"/>
          <w:sz w:val="20"/>
          <w:szCs w:val="20"/>
          <w:lang w:val="ms-MY"/>
        </w:rPr>
        <w:t xml:space="preserve">Fe(III) dengan had pengesanan dan pengkuantitian masing-masing ialah </w:t>
      </w:r>
      <w:r w:rsidRPr="00787989">
        <w:rPr>
          <w:rFonts w:ascii="Times New Roman" w:eastAsia="Times New Roman" w:hAnsi="Times New Roman" w:cs="Times New Roman"/>
          <w:sz w:val="20"/>
          <w:szCs w:val="20"/>
          <w:lang w:val="ms-MY"/>
        </w:rPr>
        <w:t>0.</w:t>
      </w:r>
      <w:r w:rsidRPr="00787989">
        <w:rPr>
          <w:rFonts w:ascii="Times New Roman" w:hAnsi="Times New Roman" w:cs="Times New Roman"/>
          <w:sz w:val="20"/>
          <w:szCs w:val="20"/>
          <w:lang w:val="ms-MY"/>
        </w:rPr>
        <w:t>30</w:t>
      </w:r>
      <w:r w:rsidRPr="00787989">
        <w:rPr>
          <w:rFonts w:ascii="Times New Roman" w:eastAsia="Times New Roman" w:hAnsi="Times New Roman" w:cs="Times New Roman"/>
          <w:sz w:val="20"/>
          <w:szCs w:val="20"/>
          <w:lang w:val="ms-MY"/>
        </w:rPr>
        <w:t xml:space="preserve"> and </w:t>
      </w:r>
      <w:r w:rsidRPr="00787989">
        <w:rPr>
          <w:rFonts w:ascii="Times New Roman" w:hAnsi="Times New Roman" w:cs="Times New Roman"/>
          <w:sz w:val="20"/>
          <w:szCs w:val="20"/>
          <w:lang w:val="ms-MY"/>
        </w:rPr>
        <w:t>1.0</w:t>
      </w:r>
      <w:r w:rsidRPr="00787989">
        <w:rPr>
          <w:rFonts w:ascii="Times New Roman" w:eastAsia="Times New Roman" w:hAnsi="Times New Roman" w:cs="Times New Roman"/>
          <w:sz w:val="20"/>
          <w:szCs w:val="20"/>
          <w:lang w:val="ms-MY"/>
        </w:rPr>
        <w:t xml:space="preserve"> mg L</w:t>
      </w:r>
      <w:r w:rsidRPr="00787989">
        <w:rPr>
          <w:rFonts w:ascii="Times New Roman" w:eastAsia="Times New Roman" w:hAnsi="Times New Roman" w:cs="Times New Roman"/>
          <w:sz w:val="20"/>
          <w:szCs w:val="20"/>
          <w:vertAlign w:val="superscript"/>
          <w:lang w:val="ms-MY"/>
        </w:rPr>
        <w:t>-1</w:t>
      </w:r>
      <w:r w:rsidRPr="00787989">
        <w:rPr>
          <w:rFonts w:ascii="Times New Roman" w:eastAsia="Times New Roman" w:hAnsi="Times New Roman" w:cs="Times New Roman"/>
          <w:sz w:val="20"/>
          <w:szCs w:val="20"/>
          <w:lang w:val="ms-MY"/>
        </w:rPr>
        <w:t xml:space="preserve"> </w:t>
      </w:r>
      <w:r w:rsidRPr="00787989">
        <w:rPr>
          <w:rFonts w:ascii="Times New Roman" w:hAnsi="Times New Roman" w:cs="Times New Roman"/>
          <w:sz w:val="20"/>
          <w:szCs w:val="20"/>
          <w:lang w:val="ms-MY"/>
        </w:rPr>
        <w:t>Fe(III). Sisihan piawai relative dicapai pada 2.6 dan 2.1% masing-masing bagi 2.0</w:t>
      </w:r>
      <w:r w:rsidRPr="00787989">
        <w:rPr>
          <w:rFonts w:ascii="Times New Roman" w:eastAsia="Times New Roman" w:hAnsi="Times New Roman" w:cs="Times New Roman"/>
          <w:sz w:val="20"/>
          <w:szCs w:val="20"/>
          <w:lang w:val="ms-MY"/>
        </w:rPr>
        <w:t xml:space="preserve"> and </w:t>
      </w:r>
      <w:r w:rsidRPr="00787989">
        <w:rPr>
          <w:rFonts w:ascii="Times New Roman" w:hAnsi="Times New Roman" w:cs="Times New Roman"/>
          <w:sz w:val="20"/>
          <w:szCs w:val="20"/>
          <w:lang w:val="ms-MY"/>
        </w:rPr>
        <w:t>4.0</w:t>
      </w:r>
      <w:r w:rsidRPr="00787989">
        <w:rPr>
          <w:rFonts w:ascii="Times New Roman" w:eastAsia="Times New Roman" w:hAnsi="Times New Roman" w:cs="Times New Roman"/>
          <w:sz w:val="20"/>
          <w:szCs w:val="20"/>
          <w:lang w:val="ms-MY"/>
        </w:rPr>
        <w:t xml:space="preserve"> mg L</w:t>
      </w:r>
      <w:r w:rsidRPr="00787989">
        <w:rPr>
          <w:rFonts w:ascii="Times New Roman" w:eastAsia="Times New Roman" w:hAnsi="Times New Roman" w:cs="Times New Roman"/>
          <w:sz w:val="20"/>
          <w:szCs w:val="20"/>
          <w:vertAlign w:val="superscript"/>
          <w:lang w:val="ms-MY"/>
        </w:rPr>
        <w:t>-1</w:t>
      </w:r>
      <w:r w:rsidRPr="00787989">
        <w:rPr>
          <w:rFonts w:ascii="Times New Roman" w:eastAsia="Times New Roman" w:hAnsi="Times New Roman" w:cs="Times New Roman"/>
          <w:sz w:val="20"/>
          <w:szCs w:val="20"/>
          <w:lang w:val="ms-MY"/>
        </w:rPr>
        <w:t xml:space="preserve"> </w:t>
      </w:r>
      <w:r w:rsidRPr="00787989">
        <w:rPr>
          <w:rFonts w:ascii="Times New Roman" w:hAnsi="Times New Roman" w:cs="Times New Roman"/>
          <w:sz w:val="20"/>
          <w:szCs w:val="20"/>
          <w:lang w:val="ms-MY"/>
        </w:rPr>
        <w:t>Fe(III) (n=7</w:t>
      </w:r>
      <w:r w:rsidRPr="00787989">
        <w:rPr>
          <w:rFonts w:ascii="Times New Roman" w:eastAsia="Times New Roman" w:hAnsi="Times New Roman" w:cs="Times New Roman"/>
          <w:sz w:val="20"/>
          <w:szCs w:val="20"/>
          <w:lang w:val="ms-MY"/>
        </w:rPr>
        <w:t>).</w:t>
      </w:r>
      <w:r w:rsidRPr="00787989">
        <w:rPr>
          <w:rFonts w:ascii="Times New Roman" w:hAnsi="Times New Roman" w:cs="Times New Roman"/>
          <w:sz w:val="20"/>
          <w:szCs w:val="20"/>
          <w:lang w:val="ms-MY"/>
        </w:rPr>
        <w:t xml:space="preserve"> Kaedah yand dibangunkan telah Berjaya digunapakai bagi tujuan kawalan kualiti besi di dalam sampel dadah antianemik. Keputusan yang </w:t>
      </w:r>
      <w:r w:rsidRPr="00787989">
        <w:rPr>
          <w:rFonts w:ascii="Times New Roman" w:hAnsi="Times New Roman" w:cs="Times New Roman"/>
          <w:sz w:val="20"/>
          <w:szCs w:val="20"/>
          <w:lang w:val="ms-MY"/>
        </w:rPr>
        <w:lastRenderedPageBreak/>
        <w:t>diperolehi adalah standing dengan hasil yang diperolehi mengunakan kaedah FAAS pada aras keyakinan 95%. Peratus perolehan semula yang tinggi antara 93 dan 99% telah diperolehi.</w:t>
      </w:r>
    </w:p>
    <w:p w:rsidR="00787989" w:rsidRPr="00787989" w:rsidRDefault="00787989" w:rsidP="00787989">
      <w:pPr>
        <w:spacing w:after="0" w:line="240" w:lineRule="auto"/>
        <w:jc w:val="both"/>
        <w:rPr>
          <w:rFonts w:ascii="Times New Roman" w:eastAsia="Times New Roman" w:hAnsi="Times New Roman" w:cs="Times New Roman"/>
          <w:sz w:val="20"/>
          <w:szCs w:val="20"/>
          <w:lang w:val="ms-MY"/>
        </w:rPr>
      </w:pPr>
    </w:p>
    <w:p w:rsidR="00787989" w:rsidRDefault="00787989" w:rsidP="00787989">
      <w:pPr>
        <w:spacing w:after="0" w:line="240" w:lineRule="auto"/>
        <w:jc w:val="both"/>
        <w:rPr>
          <w:rFonts w:ascii="Times New Roman" w:hAnsi="Times New Roman" w:cs="Times New Roman"/>
          <w:sz w:val="20"/>
          <w:szCs w:val="20"/>
          <w:lang w:val="ms-MY"/>
        </w:rPr>
      </w:pPr>
      <w:r w:rsidRPr="00787989">
        <w:rPr>
          <w:rFonts w:ascii="Times New Roman" w:hAnsi="Times New Roman" w:cs="Times New Roman"/>
          <w:b/>
          <w:sz w:val="20"/>
          <w:szCs w:val="20"/>
          <w:lang w:val="ms-MY"/>
        </w:rPr>
        <w:t>Keywords</w:t>
      </w:r>
      <w:r w:rsidRPr="00787989">
        <w:rPr>
          <w:rFonts w:ascii="Times New Roman" w:hAnsi="Times New Roman" w:cs="Times New Roman"/>
          <w:sz w:val="20"/>
          <w:szCs w:val="20"/>
          <w:lang w:val="ms-MY"/>
        </w:rPr>
        <w:t>:</w:t>
      </w:r>
      <w:r w:rsidRPr="00787989">
        <w:rPr>
          <w:rFonts w:ascii="Times New Roman" w:hAnsi="Times New Roman"/>
          <w:sz w:val="20"/>
          <w:szCs w:val="20"/>
          <w:lang w:val="ms-MY"/>
        </w:rPr>
        <w:t xml:space="preserve"> </w:t>
      </w:r>
      <w:r w:rsidRPr="00787989">
        <w:rPr>
          <w:rFonts w:ascii="Times New Roman" w:hAnsi="Times New Roman" w:cs="Times New Roman"/>
          <w:sz w:val="20"/>
          <w:szCs w:val="20"/>
          <w:lang w:val="ms-MY"/>
        </w:rPr>
        <w:t xml:space="preserve"> daun jambu, reagen semulajadi, kalorimetri, besi, formulasi farmaseutikal</w:t>
      </w:r>
    </w:p>
    <w:p w:rsidR="00787989" w:rsidRDefault="00787989" w:rsidP="00787989">
      <w:pPr>
        <w:spacing w:after="0" w:line="240" w:lineRule="auto"/>
        <w:jc w:val="both"/>
        <w:rPr>
          <w:rFonts w:ascii="Times New Roman" w:hAnsi="Times New Roman" w:cs="Times New Roman"/>
          <w:sz w:val="20"/>
          <w:szCs w:val="20"/>
          <w:lang w:val="ms-MY"/>
        </w:rPr>
      </w:pPr>
    </w:p>
    <w:p w:rsidR="00787989" w:rsidRPr="00F447A7" w:rsidRDefault="00787989" w:rsidP="00787989">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Clark, S.F. (2008). Iron deficiency anemia. </w:t>
      </w:r>
      <w:r w:rsidRPr="002A487D">
        <w:rPr>
          <w:rFonts w:ascii="Times New Roman" w:hAnsi="Times New Roman"/>
          <w:i/>
          <w:iCs/>
          <w:sz w:val="20"/>
          <w:szCs w:val="20"/>
        </w:rPr>
        <w:t>Nutrition in Clinical Practice</w:t>
      </w:r>
      <w:r w:rsidRPr="002A487D">
        <w:rPr>
          <w:rFonts w:ascii="Times New Roman" w:hAnsi="Times New Roman"/>
          <w:sz w:val="20"/>
          <w:szCs w:val="20"/>
        </w:rPr>
        <w:t>, 23: 128-141.</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Killip, S., Bennett, J. M. and Chambers, M. D. (2007). Iron deficiency anemia. </w:t>
      </w:r>
      <w:r w:rsidRPr="002A487D">
        <w:rPr>
          <w:rFonts w:ascii="Times New Roman" w:hAnsi="Times New Roman"/>
          <w:i/>
          <w:iCs/>
          <w:sz w:val="20"/>
          <w:szCs w:val="20"/>
        </w:rPr>
        <w:t>American Family Physician</w:t>
      </w:r>
      <w:r w:rsidRPr="002A487D">
        <w:rPr>
          <w:rFonts w:ascii="Times New Roman" w:hAnsi="Times New Roman"/>
          <w:sz w:val="20"/>
          <w:szCs w:val="20"/>
        </w:rPr>
        <w:t>, 75: 671-678.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Beutler, E., Hoffbrand, A. V., and Cook, J. D. (2003). Iron deficiency and overload. Hematology, ASH Education Book. Americal Society of Hematology, Washington DC: pp. 40-61.</w:t>
      </w:r>
    </w:p>
    <w:p w:rsidR="00787989" w:rsidRPr="00787989"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Zachariadis, G. A., Raidou, E. S., Themelis, D. G. and Stratis, J. A. (2002). Determination of mineral content of active dry yeast used in pharmaceutical formulations. </w:t>
      </w:r>
      <w:r w:rsidRPr="002A487D">
        <w:rPr>
          <w:rFonts w:ascii="Times New Roman" w:hAnsi="Times New Roman"/>
          <w:i/>
          <w:iCs/>
          <w:sz w:val="20"/>
          <w:szCs w:val="20"/>
        </w:rPr>
        <w:t>Journal of Pharmaceutical and Biomedical Analysis</w:t>
      </w:r>
      <w:r w:rsidRPr="002A487D">
        <w:rPr>
          <w:rFonts w:ascii="Times New Roman" w:hAnsi="Times New Roman"/>
          <w:sz w:val="20"/>
          <w:szCs w:val="20"/>
        </w:rPr>
        <w:t>, 28: 463-473.</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Zachariadis, G. A. and Michos, C. E. (2007). Development of a slurry introduction method for multi-element analysis of antibiotics by inductively coupled plasma atomic emission spectrometry using various types of spray chamber and nebulizer configurations. </w:t>
      </w:r>
      <w:r w:rsidRPr="002A487D">
        <w:rPr>
          <w:rFonts w:ascii="Times New Roman" w:hAnsi="Times New Roman"/>
          <w:i/>
          <w:iCs/>
          <w:sz w:val="20"/>
          <w:szCs w:val="20"/>
        </w:rPr>
        <w:t>Journal of Pharmaceutical and Biomedical Analysis</w:t>
      </w:r>
      <w:r w:rsidRPr="002A487D">
        <w:rPr>
          <w:rFonts w:ascii="Times New Roman" w:hAnsi="Times New Roman"/>
          <w:sz w:val="20"/>
          <w:szCs w:val="20"/>
        </w:rPr>
        <w:t>, 43: 951-958.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Karpinska, J. and Kulikoska, M. (2002). Simultaneous determination of zinc(II), manganese(II) and iron(II) in pharmaceutical preparations. </w:t>
      </w:r>
      <w:r w:rsidRPr="002A487D">
        <w:rPr>
          <w:rFonts w:ascii="Times New Roman" w:hAnsi="Times New Roman"/>
          <w:i/>
          <w:iCs/>
          <w:sz w:val="20"/>
          <w:szCs w:val="20"/>
        </w:rPr>
        <w:t>Journal of Pharmaceutical and Biomedical Analysis</w:t>
      </w:r>
      <w:r w:rsidRPr="002A487D">
        <w:rPr>
          <w:rFonts w:ascii="Times New Roman" w:hAnsi="Times New Roman"/>
          <w:sz w:val="20"/>
          <w:szCs w:val="20"/>
        </w:rPr>
        <w:t>, 29: 153-158.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Zargba, S. and Hopkata, H. (1996). Spectrophotometric determination of Fe(II) in pharmaceutical multivitamin preparations by azo dye derivatives of pyrocatechol. </w:t>
      </w:r>
      <w:r w:rsidRPr="002A487D">
        <w:rPr>
          <w:rFonts w:ascii="Times New Roman" w:hAnsi="Times New Roman"/>
          <w:i/>
          <w:iCs/>
          <w:sz w:val="20"/>
          <w:szCs w:val="20"/>
        </w:rPr>
        <w:t>Journal of Pharmaceutical and Biomedical Analysis</w:t>
      </w:r>
      <w:r w:rsidRPr="002A487D">
        <w:rPr>
          <w:rFonts w:ascii="Times New Roman" w:hAnsi="Times New Roman"/>
          <w:sz w:val="20"/>
          <w:szCs w:val="20"/>
        </w:rPr>
        <w:t>, 14: 1351-1354.</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Rybkowska, N., Koncki, R. and Strzelak, K. (2017). Optoelectronic iron detectors for pharmaceutical flow analysis. </w:t>
      </w:r>
      <w:r w:rsidRPr="002A487D">
        <w:rPr>
          <w:rFonts w:ascii="Times New Roman" w:hAnsi="Times New Roman"/>
          <w:i/>
          <w:iCs/>
          <w:sz w:val="20"/>
          <w:szCs w:val="20"/>
        </w:rPr>
        <w:t>Journal of Pharmaceutical and Biomedical Analysis</w:t>
      </w:r>
      <w:r w:rsidRPr="002A487D">
        <w:rPr>
          <w:rFonts w:ascii="Times New Roman" w:hAnsi="Times New Roman"/>
          <w:sz w:val="20"/>
          <w:szCs w:val="20"/>
        </w:rPr>
        <w:t>, 145: 504-508.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Vakh, C., Freze, E., Pochivalov, A., Evdokimova, E., Kamencev, M., Moskvin, L. and Butalov, A. (2015). Simultaneous determination of iron (II) and ascorbic acid in pharmaceutical based on flow sandwich technique. </w:t>
      </w:r>
      <w:r w:rsidRPr="002A487D">
        <w:rPr>
          <w:rFonts w:ascii="Times New Roman" w:hAnsi="Times New Roman"/>
          <w:i/>
          <w:iCs/>
          <w:sz w:val="20"/>
          <w:szCs w:val="20"/>
        </w:rPr>
        <w:t>Journal of Pharmacological and Toxicological Methods</w:t>
      </w:r>
      <w:r w:rsidRPr="002A487D">
        <w:rPr>
          <w:rFonts w:ascii="Times New Roman" w:hAnsi="Times New Roman"/>
          <w:sz w:val="20"/>
          <w:szCs w:val="20"/>
        </w:rPr>
        <w:t>, 73: 56-62.</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van Standen, J. F., du Plessis, H. and Taljaard, R. E. (1997). Determination of iron(III) in pharmaceutical samples using dialysis in a sequential injection analysis system. </w:t>
      </w:r>
      <w:r w:rsidRPr="002A487D">
        <w:rPr>
          <w:rFonts w:ascii="Times New Roman" w:hAnsi="Times New Roman"/>
          <w:i/>
          <w:iCs/>
          <w:sz w:val="20"/>
          <w:szCs w:val="20"/>
        </w:rPr>
        <w:t>Analytica Chimica Acta</w:t>
      </w:r>
      <w:r w:rsidRPr="002A487D">
        <w:rPr>
          <w:rFonts w:ascii="Times New Roman" w:hAnsi="Times New Roman"/>
          <w:sz w:val="20"/>
          <w:szCs w:val="20"/>
        </w:rPr>
        <w:t>, 357: 141-149.</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Mulaudzi, L. V., van Staden, J. F. and Stefan, R. I. (2002). On-line determination of iron(II) and iron(III) using a spectrophotometric sequential injection system. </w:t>
      </w:r>
      <w:r w:rsidRPr="002A487D">
        <w:rPr>
          <w:rFonts w:ascii="Times New Roman" w:hAnsi="Times New Roman"/>
          <w:i/>
          <w:iCs/>
          <w:sz w:val="20"/>
          <w:szCs w:val="20"/>
        </w:rPr>
        <w:t>Analytica Chimica Acta</w:t>
      </w:r>
      <w:r w:rsidRPr="002A487D">
        <w:rPr>
          <w:rFonts w:ascii="Times New Roman" w:hAnsi="Times New Roman"/>
          <w:sz w:val="20"/>
          <w:szCs w:val="20"/>
        </w:rPr>
        <w:t>, 467: 35-49.</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Armenta, S., Garrigues, S. and de la Guardia, M. (2008). Green analytical chemistry. </w:t>
      </w:r>
      <w:r w:rsidRPr="002A487D">
        <w:rPr>
          <w:rFonts w:ascii="Times New Roman" w:hAnsi="Times New Roman"/>
          <w:i/>
          <w:iCs/>
          <w:sz w:val="20"/>
          <w:szCs w:val="20"/>
        </w:rPr>
        <w:t>Trends in Analytical Chemistry</w:t>
      </w:r>
      <w:r w:rsidRPr="002A487D">
        <w:rPr>
          <w:rFonts w:ascii="Times New Roman" w:hAnsi="Times New Roman"/>
          <w:sz w:val="20"/>
          <w:szCs w:val="20"/>
        </w:rPr>
        <w:t>, 27: 497-511.</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Grudpan, K., Hartwell, S. K., Lapanantnoppakhun, S. and McKelvie, I. (2010). The case for the use of unrefined natural reagents in analytical chemistry—A green chemical perspective. </w:t>
      </w:r>
      <w:r w:rsidRPr="002A487D">
        <w:rPr>
          <w:rFonts w:ascii="Times New Roman" w:hAnsi="Times New Roman"/>
          <w:i/>
          <w:iCs/>
          <w:sz w:val="20"/>
          <w:szCs w:val="20"/>
        </w:rPr>
        <w:t>Analytical Methods</w:t>
      </w:r>
      <w:r w:rsidRPr="002A487D">
        <w:rPr>
          <w:rFonts w:ascii="Times New Roman" w:hAnsi="Times New Roman"/>
          <w:sz w:val="20"/>
          <w:szCs w:val="20"/>
        </w:rPr>
        <w:t>, 2: 1651-1661.</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Settheeworrarit, T., Hartwell, S. K., Lapanatnoppakhun, S., Jakmunee, J., Christian, G. D. and Grudpan, K. (2005). Exploiting guava leaf extract as an alternative natural reagent for flow injection determination of iron. </w:t>
      </w:r>
      <w:r w:rsidRPr="002A487D">
        <w:rPr>
          <w:rFonts w:ascii="Times New Roman" w:hAnsi="Times New Roman"/>
          <w:i/>
          <w:iCs/>
          <w:sz w:val="20"/>
          <w:szCs w:val="20"/>
        </w:rPr>
        <w:t>Talanta</w:t>
      </w:r>
      <w:r w:rsidRPr="002A487D">
        <w:rPr>
          <w:rFonts w:ascii="Times New Roman" w:hAnsi="Times New Roman"/>
          <w:sz w:val="20"/>
          <w:szCs w:val="20"/>
        </w:rPr>
        <w:t>, 68: 262-267.</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Pinyou, P., Hartwell, S.K., Lapanatnoppakhun, S., Jakmunee, J. and Grudpan, K. (2010). Flow injection determination of iron ions with green tea extracts as a natural chromogenic reagent. </w:t>
      </w:r>
      <w:r w:rsidRPr="002A487D">
        <w:rPr>
          <w:rFonts w:ascii="Times New Roman" w:hAnsi="Times New Roman"/>
          <w:i/>
          <w:iCs/>
          <w:sz w:val="20"/>
          <w:szCs w:val="20"/>
        </w:rPr>
        <w:t>Analytical Sciences</w:t>
      </w:r>
      <w:r w:rsidRPr="002A487D">
        <w:rPr>
          <w:rFonts w:ascii="Times New Roman" w:hAnsi="Times New Roman"/>
          <w:sz w:val="20"/>
          <w:szCs w:val="20"/>
        </w:rPr>
        <w:t>, 26: 619-623.</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Grudpan, K., Hartwell, S. K., Wongwilai, W., Grudpan, S. and Lapanantnoppakhun, S. (2011). Exploiting green analytical procedures for acidity and iron assays employing flow analysis with simple natural reagent extracts. </w:t>
      </w:r>
      <w:r w:rsidRPr="002A487D">
        <w:rPr>
          <w:rFonts w:ascii="Times New Roman" w:hAnsi="Times New Roman"/>
          <w:i/>
          <w:iCs/>
          <w:sz w:val="20"/>
          <w:szCs w:val="20"/>
        </w:rPr>
        <w:t>Talanta</w:t>
      </w:r>
      <w:r w:rsidRPr="002A487D">
        <w:rPr>
          <w:rFonts w:ascii="Times New Roman" w:hAnsi="Times New Roman"/>
          <w:sz w:val="20"/>
          <w:szCs w:val="20"/>
        </w:rPr>
        <w:t>, 84: 1396-1400.</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Jaikrajang, N., Kruanetr, S., Harding, D.J. and Rattanakit, P. (2018). A simple flow injection spectrophotometric procedure for iron(III) determination using </w:t>
      </w:r>
      <w:r w:rsidRPr="002A487D">
        <w:rPr>
          <w:rFonts w:ascii="Times New Roman" w:hAnsi="Times New Roman"/>
          <w:i/>
          <w:iCs/>
          <w:sz w:val="20"/>
          <w:szCs w:val="20"/>
        </w:rPr>
        <w:t>Phyllanthus embrica</w:t>
      </w:r>
      <w:r w:rsidRPr="002A487D">
        <w:rPr>
          <w:rFonts w:ascii="Times New Roman" w:hAnsi="Times New Roman"/>
          <w:sz w:val="20"/>
          <w:szCs w:val="20"/>
        </w:rPr>
        <w:t xml:space="preserve"> Linn. as a natural reagent. </w:t>
      </w:r>
      <w:r w:rsidRPr="002A487D">
        <w:rPr>
          <w:rFonts w:ascii="Times New Roman" w:hAnsi="Times New Roman"/>
          <w:i/>
          <w:iCs/>
          <w:sz w:val="20"/>
          <w:szCs w:val="20"/>
        </w:rPr>
        <w:t>Spectrochimica Acta part A: Molecular and Biomolecular Spectroscopy</w:t>
      </w:r>
      <w:r w:rsidRPr="002A487D">
        <w:rPr>
          <w:rFonts w:ascii="Times New Roman" w:hAnsi="Times New Roman"/>
          <w:sz w:val="20"/>
          <w:szCs w:val="20"/>
        </w:rPr>
        <w:t>, 204: 726-734.</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Ganranoo, L., Chokchaisiri, R. and Grudpan, K. (2019). Simple simultaneous determination of iron and manganese by sequential injection spectrophotometry using astilbin extracted from </w:t>
      </w:r>
      <w:r w:rsidRPr="002A487D">
        <w:rPr>
          <w:rFonts w:ascii="Times New Roman" w:hAnsi="Times New Roman"/>
          <w:i/>
          <w:iCs/>
          <w:sz w:val="20"/>
          <w:szCs w:val="20"/>
        </w:rPr>
        <w:t>Smilax china</w:t>
      </w:r>
      <w:r w:rsidRPr="002A487D">
        <w:rPr>
          <w:rFonts w:ascii="Times New Roman" w:hAnsi="Times New Roman"/>
          <w:sz w:val="20"/>
          <w:szCs w:val="20"/>
        </w:rPr>
        <w:t xml:space="preserve"> L. root. </w:t>
      </w:r>
      <w:r w:rsidRPr="002A487D">
        <w:rPr>
          <w:rFonts w:ascii="Times New Roman" w:hAnsi="Times New Roman"/>
          <w:i/>
          <w:iCs/>
          <w:sz w:val="20"/>
          <w:szCs w:val="20"/>
        </w:rPr>
        <w:t>Talanta</w:t>
      </w:r>
      <w:r w:rsidRPr="002A487D">
        <w:rPr>
          <w:rFonts w:ascii="Times New Roman" w:hAnsi="Times New Roman"/>
          <w:sz w:val="20"/>
          <w:szCs w:val="20"/>
        </w:rPr>
        <w:t>, 191: 307-312.</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Wu, J. W., Hsieh, C. L., Wang, H. Y. and Chen, H. Y. (2009). Inhibitory effects of guava (</w:t>
      </w:r>
      <w:r w:rsidRPr="002A487D">
        <w:rPr>
          <w:rFonts w:ascii="Times New Roman" w:hAnsi="Times New Roman"/>
          <w:i/>
          <w:iCs/>
          <w:sz w:val="20"/>
          <w:szCs w:val="20"/>
        </w:rPr>
        <w:t>Psidium guajava</w:t>
      </w:r>
      <w:r w:rsidRPr="002A487D">
        <w:rPr>
          <w:rFonts w:ascii="Times New Roman" w:hAnsi="Times New Roman"/>
          <w:sz w:val="20"/>
          <w:szCs w:val="20"/>
        </w:rPr>
        <w:t xml:space="preserve"> L.) leaf extracts and its active compounds on the glycation process of protein. </w:t>
      </w:r>
      <w:r w:rsidRPr="002A487D">
        <w:rPr>
          <w:rFonts w:ascii="Times New Roman" w:hAnsi="Times New Roman"/>
          <w:i/>
          <w:iCs/>
          <w:sz w:val="20"/>
          <w:szCs w:val="20"/>
        </w:rPr>
        <w:t>Food Chemistry</w:t>
      </w:r>
      <w:r w:rsidRPr="002A487D">
        <w:rPr>
          <w:rFonts w:ascii="Times New Roman" w:hAnsi="Times New Roman"/>
          <w:sz w:val="20"/>
          <w:szCs w:val="20"/>
        </w:rPr>
        <w:t>, 113: 78-84.</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lastRenderedPageBreak/>
        <w:t>Chen, H. Y., and Yen, G. C. (2007). Antioxidant activity and free radical scavenging capacity of extracts from guava (</w:t>
      </w:r>
      <w:r w:rsidRPr="002A487D">
        <w:rPr>
          <w:rFonts w:ascii="Times New Roman" w:hAnsi="Times New Roman"/>
          <w:i/>
          <w:iCs/>
          <w:sz w:val="20"/>
          <w:szCs w:val="20"/>
        </w:rPr>
        <w:t>Psidium guajava</w:t>
      </w:r>
      <w:r w:rsidRPr="002A487D">
        <w:rPr>
          <w:rFonts w:ascii="Times New Roman" w:hAnsi="Times New Roman"/>
          <w:sz w:val="20"/>
          <w:szCs w:val="20"/>
        </w:rPr>
        <w:t xml:space="preserve"> L.) leaves. </w:t>
      </w:r>
      <w:r w:rsidRPr="002A487D">
        <w:rPr>
          <w:rFonts w:ascii="Times New Roman" w:hAnsi="Times New Roman"/>
          <w:i/>
          <w:iCs/>
          <w:sz w:val="20"/>
          <w:szCs w:val="20"/>
        </w:rPr>
        <w:t>Food Chemistry</w:t>
      </w:r>
      <w:r w:rsidRPr="002A487D">
        <w:rPr>
          <w:rFonts w:ascii="Times New Roman" w:hAnsi="Times New Roman"/>
          <w:sz w:val="20"/>
          <w:szCs w:val="20"/>
        </w:rPr>
        <w:t>, 101: 686-694.</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Zhang, T., Liang, O. R., Qjan, H., Yuan, W. and Yao, W. R. (2006). Extraction and identification of phenolic compounds in acetone extract from guava leaf. </w:t>
      </w:r>
      <w:r w:rsidRPr="002A487D">
        <w:rPr>
          <w:rFonts w:ascii="Times New Roman" w:hAnsi="Times New Roman"/>
          <w:i/>
          <w:iCs/>
          <w:sz w:val="20"/>
          <w:szCs w:val="20"/>
        </w:rPr>
        <w:t>Journal of Food Science and Biotechnology</w:t>
      </w:r>
      <w:r w:rsidRPr="002A487D">
        <w:rPr>
          <w:rFonts w:ascii="Times New Roman" w:hAnsi="Times New Roman"/>
          <w:sz w:val="20"/>
          <w:szCs w:val="20"/>
        </w:rPr>
        <w:t>, 25: 104-108.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 xml:space="preserve">Cakar, S. and Ozacar, M. (2016). Fe-tannic acid complex dye as photo sensitizer for different morphological ZnO based DSSCs. </w:t>
      </w:r>
      <w:r w:rsidRPr="002A487D">
        <w:rPr>
          <w:rFonts w:ascii="Times New Roman" w:hAnsi="Times New Roman"/>
          <w:i/>
          <w:iCs/>
          <w:sz w:val="20"/>
          <w:szCs w:val="20"/>
        </w:rPr>
        <w:t>Spectrochimica Acta part A: Molecular and Biomolecular Spectroscopy</w:t>
      </w:r>
      <w:r w:rsidRPr="002A487D">
        <w:rPr>
          <w:rFonts w:ascii="Times New Roman" w:hAnsi="Times New Roman"/>
          <w:sz w:val="20"/>
          <w:szCs w:val="20"/>
        </w:rPr>
        <w:t>, 163: 79-88.</w:t>
      </w:r>
    </w:p>
    <w:p w:rsidR="00787989" w:rsidRPr="002A487D"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Official Methods of Analysis of AOAC International. (2005). Official Method 952.03, In section 26.1.37, 18</w:t>
      </w:r>
      <w:r w:rsidRPr="002A487D">
        <w:rPr>
          <w:rFonts w:ascii="Times New Roman" w:hAnsi="Times New Roman"/>
          <w:sz w:val="20"/>
          <w:szCs w:val="20"/>
          <w:vertAlign w:val="superscript"/>
        </w:rPr>
        <w:t>th</w:t>
      </w:r>
      <w:r w:rsidRPr="002A487D">
        <w:rPr>
          <w:rFonts w:ascii="Times New Roman" w:hAnsi="Times New Roman"/>
          <w:sz w:val="20"/>
          <w:szCs w:val="20"/>
        </w:rPr>
        <w:t xml:space="preserve"> Edition, AOAC International, Gaithersberg, Maryland, USA.</w:t>
      </w:r>
    </w:p>
    <w:p w:rsidR="00787989" w:rsidRPr="00787989" w:rsidRDefault="00787989" w:rsidP="00787989">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2A487D">
        <w:rPr>
          <w:rFonts w:ascii="Times New Roman" w:hAnsi="Times New Roman"/>
          <w:sz w:val="20"/>
          <w:szCs w:val="20"/>
        </w:rPr>
        <w:t>Official Methods of Analysis of AOAC International. (1990). Official Method 977.30, 15</w:t>
      </w:r>
      <w:r w:rsidRPr="002A487D">
        <w:rPr>
          <w:rFonts w:ascii="Times New Roman" w:hAnsi="Times New Roman"/>
          <w:sz w:val="20"/>
          <w:szCs w:val="20"/>
          <w:vertAlign w:val="superscript"/>
        </w:rPr>
        <w:t>th</w:t>
      </w:r>
      <w:r w:rsidRPr="002A487D">
        <w:rPr>
          <w:rFonts w:ascii="Times New Roman" w:hAnsi="Times New Roman"/>
          <w:sz w:val="20"/>
          <w:szCs w:val="20"/>
        </w:rPr>
        <w:t xml:space="preserve"> Edition, AOAC International, Gaithersberg, Maryland, USA.</w:t>
      </w: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A30AE"/>
    <w:rsid w:val="00787989"/>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989"/>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989"/>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2019-07-31T02:23:00Z</dcterms:created>
  <dcterms:modified xsi:type="dcterms:W3CDTF">2019-08-07T09:59:00Z</dcterms:modified>
</cp:coreProperties>
</file>