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87EFC" w:rsidRPr="00A33538" w:rsidRDefault="00687EFC" w:rsidP="00687EFC">
      <w:pPr>
        <w:spacing w:after="0" w:line="240" w:lineRule="auto"/>
        <w:jc w:val="center"/>
        <w:outlineLvl w:val="0"/>
        <w:rPr>
          <w:rFonts w:ascii="Times New Roman" w:hAnsi="Times New Roman"/>
          <w:sz w:val="28"/>
        </w:rPr>
      </w:pPr>
      <w:bookmarkStart w:id="1" w:name="_Hlk12917687"/>
      <w:r w:rsidRPr="00A33538">
        <w:rPr>
          <w:rFonts w:ascii="Times New Roman" w:hAnsi="Times New Roman"/>
          <w:sz w:val="28"/>
        </w:rPr>
        <w:t>ADSORPTION OF MALACHITE GREEN ONTO MODIFIED CHITOSAN–SULFURIC ACID BEADS: A PRELIMINARY STUDY</w:t>
      </w:r>
    </w:p>
    <w:bookmarkEnd w:id="1"/>
    <w:p w:rsidR="00687EFC" w:rsidRPr="00A33538" w:rsidRDefault="00687EFC" w:rsidP="00687EFC">
      <w:pPr>
        <w:spacing w:after="0" w:line="240" w:lineRule="auto"/>
        <w:jc w:val="center"/>
        <w:outlineLvl w:val="0"/>
        <w:rPr>
          <w:rFonts w:ascii="Times New Roman" w:hAnsi="Times New Roman"/>
          <w:b/>
          <w:sz w:val="24"/>
        </w:rPr>
      </w:pPr>
    </w:p>
    <w:p w:rsidR="00687EFC" w:rsidRPr="00687EFC" w:rsidRDefault="00687EFC" w:rsidP="00687EFC">
      <w:pPr>
        <w:spacing w:after="0" w:line="240" w:lineRule="auto"/>
        <w:jc w:val="center"/>
        <w:outlineLvl w:val="0"/>
        <w:rPr>
          <w:rFonts w:ascii="Times New Roman" w:hAnsi="Times New Roman"/>
          <w:sz w:val="24"/>
          <w:lang w:val="ms-MY"/>
        </w:rPr>
      </w:pPr>
      <w:r w:rsidRPr="00A33538">
        <w:rPr>
          <w:rFonts w:ascii="Times New Roman" w:hAnsi="Times New Roman"/>
          <w:sz w:val="24"/>
        </w:rPr>
        <w:t>(</w:t>
      </w:r>
      <w:r w:rsidRPr="00A33538">
        <w:rPr>
          <w:rFonts w:ascii="Times New Roman" w:hAnsi="Times New Roman"/>
          <w:sz w:val="24"/>
          <w:lang w:val="ms-MY"/>
        </w:rPr>
        <w:t>Penjerapan Malakit Hijau ke atas Manik Kitosan-Asid Sulfurik Terubahsuai: Satu Kajian Awal</w:t>
      </w:r>
      <w:r w:rsidRPr="00A33538">
        <w:rPr>
          <w:rFonts w:ascii="Times New Roman" w:hAnsi="Times New Roman"/>
          <w:sz w:val="24"/>
        </w:rPr>
        <w:t>)</w:t>
      </w:r>
    </w:p>
    <w:p w:rsidR="00687EFC" w:rsidRPr="00687EFC" w:rsidRDefault="00687EFC" w:rsidP="00687EFC">
      <w:pPr>
        <w:spacing w:after="0" w:line="240" w:lineRule="auto"/>
        <w:jc w:val="center"/>
        <w:outlineLvl w:val="0"/>
        <w:rPr>
          <w:rFonts w:ascii="Times New Roman" w:hAnsi="Times New Roman"/>
          <w:b/>
          <w:sz w:val="20"/>
          <w:szCs w:val="20"/>
        </w:rPr>
      </w:pPr>
    </w:p>
    <w:p w:rsidR="00687EFC" w:rsidRPr="00687EFC" w:rsidRDefault="00687EFC" w:rsidP="00687EFC">
      <w:pPr>
        <w:spacing w:after="0" w:line="240" w:lineRule="auto"/>
        <w:jc w:val="center"/>
        <w:outlineLvl w:val="0"/>
        <w:rPr>
          <w:rFonts w:ascii="Times New Roman" w:hAnsi="Times New Roman"/>
          <w:sz w:val="20"/>
          <w:szCs w:val="20"/>
          <w:vertAlign w:val="superscript"/>
        </w:rPr>
      </w:pPr>
      <w:bookmarkStart w:id="2" w:name="_Hlk12917645"/>
      <w:r w:rsidRPr="00687EFC">
        <w:rPr>
          <w:rFonts w:ascii="Times New Roman" w:hAnsi="Times New Roman"/>
          <w:sz w:val="20"/>
          <w:szCs w:val="20"/>
        </w:rPr>
        <w:t>Suhaila Mohd Yusoff</w:t>
      </w:r>
      <w:r w:rsidRPr="00687EFC">
        <w:rPr>
          <w:rFonts w:ascii="Times New Roman" w:hAnsi="Times New Roman"/>
          <w:sz w:val="20"/>
          <w:szCs w:val="20"/>
          <w:vertAlign w:val="superscript"/>
        </w:rPr>
        <w:t>1</w:t>
      </w:r>
      <w:r w:rsidRPr="00687EFC">
        <w:rPr>
          <w:rFonts w:ascii="Times New Roman" w:hAnsi="Times New Roman"/>
          <w:sz w:val="20"/>
          <w:szCs w:val="20"/>
        </w:rPr>
        <w:t>, Wan Saime Wan Ngah</w:t>
      </w:r>
      <w:r w:rsidRPr="00687EFC">
        <w:rPr>
          <w:rFonts w:ascii="Times New Roman" w:hAnsi="Times New Roman"/>
          <w:sz w:val="20"/>
          <w:szCs w:val="20"/>
          <w:vertAlign w:val="superscript"/>
        </w:rPr>
        <w:t>1</w:t>
      </w:r>
      <w:r w:rsidRPr="00687EFC">
        <w:rPr>
          <w:rFonts w:ascii="Times New Roman" w:hAnsi="Times New Roman"/>
          <w:sz w:val="20"/>
          <w:szCs w:val="20"/>
        </w:rPr>
        <w:t>, Faizatul Shimal Mehamod</w:t>
      </w:r>
      <w:r w:rsidRPr="00687EFC">
        <w:rPr>
          <w:rFonts w:ascii="Times New Roman" w:hAnsi="Times New Roman"/>
          <w:sz w:val="20"/>
          <w:szCs w:val="20"/>
          <w:vertAlign w:val="superscript"/>
        </w:rPr>
        <w:t>2</w:t>
      </w:r>
      <w:r w:rsidRPr="00687EFC">
        <w:rPr>
          <w:rFonts w:ascii="Times New Roman" w:hAnsi="Times New Roman"/>
          <w:sz w:val="20"/>
          <w:szCs w:val="20"/>
        </w:rPr>
        <w:t>, Faiz Bukhari Mohd Suah</w:t>
      </w:r>
      <w:r w:rsidRPr="00687EFC">
        <w:rPr>
          <w:rFonts w:ascii="Times New Roman" w:hAnsi="Times New Roman"/>
          <w:sz w:val="20"/>
          <w:szCs w:val="20"/>
          <w:vertAlign w:val="superscript"/>
        </w:rPr>
        <w:t>1</w:t>
      </w:r>
      <w:bookmarkEnd w:id="2"/>
      <w:r w:rsidRPr="00687EFC">
        <w:rPr>
          <w:rFonts w:ascii="Times New Roman" w:hAnsi="Times New Roman"/>
          <w:sz w:val="20"/>
          <w:szCs w:val="20"/>
        </w:rPr>
        <w:t>*</w:t>
      </w:r>
    </w:p>
    <w:p w:rsidR="00687EFC" w:rsidRPr="00A33538" w:rsidRDefault="00687EFC" w:rsidP="00687EFC">
      <w:pPr>
        <w:spacing w:after="0" w:line="240" w:lineRule="auto"/>
        <w:jc w:val="center"/>
        <w:outlineLvl w:val="0"/>
        <w:rPr>
          <w:rFonts w:ascii="Times New Roman" w:hAnsi="Times New Roman"/>
          <w:b/>
          <w:sz w:val="18"/>
          <w:szCs w:val="18"/>
        </w:rPr>
      </w:pPr>
    </w:p>
    <w:p w:rsidR="00687EFC" w:rsidRDefault="00687EFC" w:rsidP="00687EFC">
      <w:pPr>
        <w:spacing w:after="0" w:line="240" w:lineRule="auto"/>
        <w:jc w:val="center"/>
        <w:outlineLvl w:val="0"/>
        <w:rPr>
          <w:rFonts w:ascii="Times New Roman" w:hAnsi="Times New Roman"/>
          <w:i/>
          <w:sz w:val="18"/>
          <w:szCs w:val="18"/>
        </w:rPr>
      </w:pPr>
      <w:r w:rsidRPr="00A33538">
        <w:rPr>
          <w:rFonts w:ascii="Times New Roman" w:hAnsi="Times New Roman"/>
          <w:i/>
          <w:sz w:val="18"/>
          <w:szCs w:val="18"/>
          <w:vertAlign w:val="superscript"/>
        </w:rPr>
        <w:t>1</w:t>
      </w:r>
      <w:r w:rsidRPr="00A33538">
        <w:rPr>
          <w:rFonts w:ascii="Times New Roman" w:hAnsi="Times New Roman"/>
          <w:i/>
          <w:sz w:val="18"/>
          <w:szCs w:val="18"/>
        </w:rPr>
        <w:t xml:space="preserve">School of Chemical Sciences, </w:t>
      </w:r>
    </w:p>
    <w:p w:rsidR="00687EFC" w:rsidRPr="00A33538" w:rsidRDefault="00687EFC" w:rsidP="00687EFC">
      <w:pPr>
        <w:spacing w:after="0" w:line="240" w:lineRule="auto"/>
        <w:jc w:val="center"/>
        <w:outlineLvl w:val="0"/>
        <w:rPr>
          <w:rFonts w:ascii="Times New Roman" w:hAnsi="Times New Roman"/>
          <w:i/>
          <w:sz w:val="18"/>
          <w:szCs w:val="18"/>
        </w:rPr>
      </w:pPr>
      <w:r w:rsidRPr="00A33538">
        <w:rPr>
          <w:rFonts w:ascii="Times New Roman" w:hAnsi="Times New Roman"/>
          <w:i/>
          <w:sz w:val="18"/>
          <w:szCs w:val="18"/>
        </w:rPr>
        <w:t>Universiti Sains Malaysia,</w:t>
      </w:r>
      <w:r>
        <w:rPr>
          <w:rFonts w:ascii="Times New Roman" w:hAnsi="Times New Roman"/>
          <w:i/>
          <w:sz w:val="18"/>
          <w:szCs w:val="18"/>
        </w:rPr>
        <w:t xml:space="preserve"> </w:t>
      </w:r>
      <w:r w:rsidRPr="00A33538">
        <w:rPr>
          <w:rFonts w:ascii="Times New Roman" w:hAnsi="Times New Roman"/>
          <w:i/>
          <w:sz w:val="18"/>
          <w:szCs w:val="18"/>
        </w:rPr>
        <w:t>11800 Minden, Pulau Pinang, Malaysia</w:t>
      </w:r>
    </w:p>
    <w:p w:rsidR="00687EFC" w:rsidRDefault="00687EFC" w:rsidP="00687EFC">
      <w:pPr>
        <w:spacing w:after="0" w:line="240" w:lineRule="auto"/>
        <w:jc w:val="center"/>
        <w:outlineLvl w:val="0"/>
        <w:rPr>
          <w:rFonts w:ascii="Times New Roman" w:hAnsi="Times New Roman"/>
          <w:i/>
          <w:sz w:val="18"/>
          <w:szCs w:val="18"/>
        </w:rPr>
      </w:pPr>
      <w:r w:rsidRPr="00A33538">
        <w:rPr>
          <w:rFonts w:ascii="Times New Roman" w:hAnsi="Times New Roman"/>
          <w:i/>
          <w:sz w:val="18"/>
          <w:szCs w:val="18"/>
          <w:vertAlign w:val="superscript"/>
        </w:rPr>
        <w:t>2</w:t>
      </w:r>
      <w:r w:rsidRPr="00A33538">
        <w:rPr>
          <w:rFonts w:ascii="Times New Roman" w:hAnsi="Times New Roman"/>
          <w:i/>
          <w:sz w:val="18"/>
          <w:szCs w:val="18"/>
        </w:rPr>
        <w:t xml:space="preserve">School of Fundamental Science, </w:t>
      </w:r>
    </w:p>
    <w:p w:rsidR="00687EFC" w:rsidRPr="00A33538" w:rsidRDefault="00687EFC" w:rsidP="00687EFC">
      <w:pPr>
        <w:spacing w:after="0" w:line="240" w:lineRule="auto"/>
        <w:jc w:val="center"/>
        <w:outlineLvl w:val="0"/>
        <w:rPr>
          <w:rFonts w:ascii="Times New Roman" w:hAnsi="Times New Roman"/>
          <w:i/>
          <w:sz w:val="18"/>
          <w:szCs w:val="18"/>
        </w:rPr>
      </w:pPr>
      <w:r w:rsidRPr="00A33538">
        <w:rPr>
          <w:rFonts w:ascii="Times New Roman" w:hAnsi="Times New Roman"/>
          <w:i/>
          <w:sz w:val="18"/>
          <w:szCs w:val="18"/>
        </w:rPr>
        <w:t>Universiti Malaysia Terengganu,</w:t>
      </w:r>
      <w:r>
        <w:rPr>
          <w:rFonts w:ascii="Times New Roman" w:hAnsi="Times New Roman"/>
          <w:i/>
          <w:sz w:val="18"/>
          <w:szCs w:val="18"/>
        </w:rPr>
        <w:t xml:space="preserve"> </w:t>
      </w:r>
      <w:r w:rsidRPr="00A33538">
        <w:rPr>
          <w:rFonts w:ascii="Times New Roman" w:hAnsi="Times New Roman"/>
          <w:i/>
          <w:sz w:val="18"/>
          <w:szCs w:val="18"/>
        </w:rPr>
        <w:t>21030 Kuala Nerus, Terengganu, Malaysia</w:t>
      </w:r>
    </w:p>
    <w:p w:rsidR="00687EFC" w:rsidRPr="00A33538" w:rsidRDefault="00687EFC" w:rsidP="00687EFC">
      <w:pPr>
        <w:spacing w:after="0" w:line="240" w:lineRule="auto"/>
        <w:jc w:val="center"/>
        <w:outlineLvl w:val="0"/>
        <w:rPr>
          <w:rFonts w:ascii="Times New Roman" w:hAnsi="Times New Roman"/>
          <w:b/>
          <w:sz w:val="18"/>
          <w:szCs w:val="18"/>
        </w:rPr>
      </w:pPr>
    </w:p>
    <w:p w:rsidR="00687EFC" w:rsidRPr="00A33538" w:rsidRDefault="00687EFC" w:rsidP="00687EFC">
      <w:pPr>
        <w:spacing w:after="0" w:line="240" w:lineRule="auto"/>
        <w:jc w:val="center"/>
        <w:outlineLvl w:val="0"/>
        <w:rPr>
          <w:rFonts w:ascii="Times New Roman" w:hAnsi="Times New Roman"/>
          <w:i/>
          <w:sz w:val="18"/>
        </w:rPr>
      </w:pPr>
      <w:r w:rsidRPr="00687EFC">
        <w:rPr>
          <w:rFonts w:ascii="Times New Roman" w:hAnsi="Times New Roman"/>
          <w:i/>
          <w:sz w:val="18"/>
        </w:rPr>
        <w:t>*</w:t>
      </w:r>
      <w:r w:rsidRPr="00A33538">
        <w:rPr>
          <w:rFonts w:ascii="Times New Roman" w:hAnsi="Times New Roman"/>
          <w:i/>
          <w:sz w:val="18"/>
        </w:rPr>
        <w:t>Corresponding author: fsuah@usm.my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F7F04">
        <w:rPr>
          <w:rFonts w:ascii="Times New Roman" w:hAnsi="Times New Roman"/>
          <w:noProof/>
          <w:sz w:val="18"/>
          <w:szCs w:val="18"/>
          <w:lang w:bidi="ar-SA"/>
        </w:rPr>
        <w:t>2 July 2018</w:t>
      </w:r>
      <w:r>
        <w:rPr>
          <w:rFonts w:ascii="Times New Roman" w:hAnsi="Times New Roman"/>
          <w:noProof/>
          <w:sz w:val="18"/>
          <w:szCs w:val="18"/>
          <w:lang w:bidi="ar-SA"/>
        </w:rPr>
        <w:t xml:space="preserve">; Accepted: </w:t>
      </w:r>
      <w:r w:rsidR="001F7F04">
        <w:rPr>
          <w:rFonts w:ascii="Times New Roman" w:hAnsi="Times New Roman"/>
          <w:noProof/>
          <w:sz w:val="18"/>
          <w:szCs w:val="18"/>
          <w:lang w:bidi="ar-SA"/>
        </w:rPr>
        <w:t>9 July 2019</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87EFC" w:rsidRPr="00687EFC" w:rsidRDefault="00687EFC" w:rsidP="00687EFC">
      <w:pPr>
        <w:spacing w:after="0" w:line="240" w:lineRule="auto"/>
        <w:jc w:val="both"/>
        <w:outlineLvl w:val="0"/>
        <w:rPr>
          <w:rFonts w:ascii="Times New Roman" w:hAnsi="Times New Roman"/>
          <w:sz w:val="18"/>
          <w:szCs w:val="18"/>
        </w:rPr>
      </w:pPr>
      <w:r w:rsidRPr="00687EFC">
        <w:rPr>
          <w:rFonts w:ascii="Times New Roman" w:hAnsi="Times New Roman"/>
          <w:sz w:val="18"/>
          <w:szCs w:val="18"/>
        </w:rPr>
        <w:t>The removal of malachite green (MG) from aqueous solutions by cross–linked chitosan–sulfuric acid (H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beads was investigated. Solubility and swelling tests were performed in order to determine the stability of the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in acidic solution, basic solution and distilled water. Different parameters affecting the adsorption capacity such as initial pH (pH 2-12), agitation period (10-60 minutes) and initial concentrations of MG (5-30 mg/L) were studied. In addition, the adsorption capacities of MG onto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were determined too. In order to describe adsorption isotherm of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the sorption data were analyzed using linear form of Langmuir and Freundlich equation. It was found that Langmuir isotherm showed higher conformity than Freundlich isotherm (30.96&gt;2.23). A kinetic study indicated that pseudo–second–order kinetic equation correlates well with the experimental data. FT–IR analysis established there was an interaction between MG and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It can be concluded that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were favorable absorbers and could be used as alternate adsorbents for removal of MG in water treatment process.</w:t>
      </w:r>
    </w:p>
    <w:p w:rsidR="00687EFC" w:rsidRPr="00687EFC" w:rsidRDefault="00687EFC" w:rsidP="00687EFC">
      <w:pPr>
        <w:spacing w:after="0" w:line="240" w:lineRule="auto"/>
        <w:jc w:val="both"/>
        <w:outlineLvl w:val="0"/>
        <w:rPr>
          <w:rFonts w:ascii="Times New Roman" w:hAnsi="Times New Roman"/>
          <w:b/>
          <w:sz w:val="18"/>
          <w:szCs w:val="18"/>
        </w:rPr>
      </w:pPr>
    </w:p>
    <w:p w:rsidR="00687EFC" w:rsidRPr="00687EFC" w:rsidRDefault="00687EFC" w:rsidP="00687EFC">
      <w:pPr>
        <w:spacing w:after="0" w:line="240" w:lineRule="auto"/>
        <w:jc w:val="both"/>
        <w:outlineLvl w:val="0"/>
        <w:rPr>
          <w:rFonts w:ascii="Times New Roman" w:hAnsi="Times New Roman"/>
          <w:sz w:val="18"/>
          <w:szCs w:val="18"/>
        </w:rPr>
      </w:pPr>
      <w:r w:rsidRPr="00687EFC">
        <w:rPr>
          <w:rFonts w:ascii="Times New Roman" w:hAnsi="Times New Roman"/>
          <w:b/>
          <w:sz w:val="18"/>
          <w:szCs w:val="18"/>
        </w:rPr>
        <w:t>Keywords:</w:t>
      </w:r>
      <w:r w:rsidRPr="00687EFC">
        <w:rPr>
          <w:rFonts w:ascii="Times New Roman" w:hAnsi="Times New Roman"/>
          <w:sz w:val="18"/>
          <w:szCs w:val="18"/>
        </w:rPr>
        <w:t xml:space="preserve"> </w:t>
      </w:r>
      <w:r>
        <w:rPr>
          <w:rFonts w:ascii="Times New Roman" w:hAnsi="Times New Roman"/>
          <w:sz w:val="18"/>
          <w:szCs w:val="18"/>
        </w:rPr>
        <w:t xml:space="preserve"> </w:t>
      </w:r>
      <w:r w:rsidRPr="00687EFC">
        <w:rPr>
          <w:rFonts w:ascii="Times New Roman" w:hAnsi="Times New Roman"/>
          <w:sz w:val="18"/>
          <w:szCs w:val="18"/>
        </w:rPr>
        <w:t>adsorption, chitosan–H</w:t>
      </w:r>
      <w:r w:rsidRPr="00687EFC">
        <w:rPr>
          <w:rFonts w:ascii="Times New Roman" w:hAnsi="Times New Roman"/>
          <w:sz w:val="18"/>
          <w:szCs w:val="18"/>
          <w:vertAlign w:val="subscript"/>
        </w:rPr>
        <w:t>2</w:t>
      </w:r>
      <w:r w:rsidRPr="00687EFC">
        <w:rPr>
          <w:rFonts w:ascii="Times New Roman" w:hAnsi="Times New Roman"/>
          <w:sz w:val="18"/>
          <w:szCs w:val="18"/>
        </w:rPr>
        <w:t>SO</w:t>
      </w:r>
      <w:r w:rsidRPr="00687EFC">
        <w:rPr>
          <w:rFonts w:ascii="Times New Roman" w:hAnsi="Times New Roman"/>
          <w:sz w:val="18"/>
          <w:szCs w:val="18"/>
          <w:vertAlign w:val="subscript"/>
        </w:rPr>
        <w:t>4</w:t>
      </w:r>
      <w:r w:rsidRPr="00687EFC">
        <w:rPr>
          <w:rFonts w:ascii="Times New Roman" w:hAnsi="Times New Roman"/>
          <w:sz w:val="18"/>
          <w:szCs w:val="18"/>
        </w:rPr>
        <w:t xml:space="preserve"> beads, isotherm, kinetics, malachite green</w:t>
      </w:r>
    </w:p>
    <w:p w:rsidR="00687EFC" w:rsidRPr="00687EFC" w:rsidRDefault="00687EFC" w:rsidP="00687EFC">
      <w:pPr>
        <w:spacing w:after="0" w:line="240" w:lineRule="auto"/>
        <w:jc w:val="center"/>
        <w:outlineLvl w:val="0"/>
        <w:rPr>
          <w:rFonts w:ascii="Times New Roman" w:hAnsi="Times New Roman"/>
          <w:b/>
          <w:sz w:val="18"/>
          <w:szCs w:val="18"/>
        </w:rPr>
      </w:pPr>
    </w:p>
    <w:p w:rsidR="00687EFC" w:rsidRPr="00687EFC" w:rsidRDefault="00687EFC" w:rsidP="00687EFC">
      <w:pPr>
        <w:spacing w:after="0" w:line="240" w:lineRule="auto"/>
        <w:jc w:val="center"/>
        <w:outlineLvl w:val="0"/>
        <w:rPr>
          <w:rFonts w:ascii="Times New Roman" w:hAnsi="Times New Roman"/>
          <w:b/>
          <w:sz w:val="18"/>
          <w:szCs w:val="18"/>
          <w:lang w:val="ms-MY"/>
        </w:rPr>
      </w:pPr>
      <w:r w:rsidRPr="00687EFC">
        <w:rPr>
          <w:rFonts w:ascii="Times New Roman" w:hAnsi="Times New Roman"/>
          <w:b/>
          <w:sz w:val="18"/>
          <w:szCs w:val="18"/>
          <w:lang w:val="ms-MY"/>
        </w:rPr>
        <w:t>Abstrak</w:t>
      </w:r>
    </w:p>
    <w:p w:rsidR="00687EFC" w:rsidRPr="00687EFC" w:rsidRDefault="00687EFC" w:rsidP="00687EFC">
      <w:pPr>
        <w:spacing w:after="0" w:line="240" w:lineRule="auto"/>
        <w:jc w:val="both"/>
        <w:outlineLvl w:val="0"/>
        <w:rPr>
          <w:rFonts w:ascii="Times New Roman" w:hAnsi="Times New Roman"/>
          <w:sz w:val="18"/>
          <w:szCs w:val="18"/>
          <w:lang w:val="ms-MY"/>
        </w:rPr>
      </w:pPr>
      <w:r w:rsidRPr="00687EFC">
        <w:rPr>
          <w:rFonts w:ascii="Times New Roman" w:hAnsi="Times New Roman"/>
          <w:sz w:val="18"/>
          <w:szCs w:val="18"/>
          <w:lang w:val="ms-MY"/>
        </w:rPr>
        <w:t>Penyingkiran malakit hijau (MG) daripada larutan akueus oleh manik kitosan-asid sulfurik (H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berangkai-silang telah dikaji. Ujian keterlarutan dan pengembangan dijalankan untuk menentukan kestabilan manik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xml:space="preserve"> di dalam larutan asid, larutan alkali dan air suling. Parameter berbeza yang mempengaruhi muatan penjerapan seperti pH awal (pH 2-12), tempoh putaran (10-60 minit) dan kepekatan awal MG (5-30 mg/L) dikaji. Sebagai tambahan, muatan penjerapan bagi MG terhadap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xml:space="preserve"> turut ditentukan. Bagi menentukan isoterma penjerapan manik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data penjerapan telah dianalisis menggunakan persamaan linear Langmuir dan Freundlich. Didapati isoterma Langmuir lebih sesuai berbanding isoterma Freundlich (30.96&gt;2.23). Kajian kinetik menunjukkan persamaan tertib-pseudo-kedua berhubung baik dengan data kajian. Analisis FT-IR mengesahkan terdapat interaksi diantara MG dan manik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Dapat disimpulkan bahawa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xml:space="preserve"> adalah penjerap pilihan dan boleh digunakan sebagai penjerap alternatif bagi menyingkirkan MG dalam proses perawatan air.</w:t>
      </w:r>
    </w:p>
    <w:p w:rsidR="00687EFC" w:rsidRPr="00687EFC" w:rsidRDefault="00687EFC" w:rsidP="00687EFC">
      <w:pPr>
        <w:spacing w:after="0" w:line="240" w:lineRule="auto"/>
        <w:jc w:val="both"/>
        <w:outlineLvl w:val="0"/>
        <w:rPr>
          <w:rFonts w:ascii="Times New Roman" w:hAnsi="Times New Roman"/>
          <w:sz w:val="18"/>
          <w:szCs w:val="18"/>
          <w:lang w:val="ms-MY"/>
        </w:rPr>
      </w:pPr>
    </w:p>
    <w:p w:rsidR="00AC0033" w:rsidRDefault="00687EFC" w:rsidP="00687EFC">
      <w:pPr>
        <w:spacing w:after="0" w:line="240" w:lineRule="auto"/>
        <w:jc w:val="both"/>
        <w:rPr>
          <w:rFonts w:ascii="Times New Roman" w:hAnsi="Times New Roman"/>
          <w:noProof/>
          <w:sz w:val="20"/>
          <w:szCs w:val="20"/>
          <w:lang w:bidi="ar-SA"/>
        </w:rPr>
      </w:pPr>
      <w:r w:rsidRPr="00687EFC">
        <w:rPr>
          <w:rFonts w:ascii="Times New Roman" w:hAnsi="Times New Roman"/>
          <w:b/>
          <w:sz w:val="18"/>
          <w:szCs w:val="18"/>
          <w:lang w:val="ms-MY"/>
        </w:rPr>
        <w:t>Kata kunci:</w:t>
      </w:r>
      <w:r>
        <w:rPr>
          <w:rFonts w:ascii="Times New Roman" w:hAnsi="Times New Roman"/>
          <w:b/>
          <w:sz w:val="18"/>
          <w:szCs w:val="18"/>
          <w:lang w:val="ms-MY"/>
        </w:rPr>
        <w:t xml:space="preserve">  </w:t>
      </w:r>
      <w:r w:rsidRPr="00687EFC">
        <w:rPr>
          <w:rFonts w:ascii="Times New Roman" w:hAnsi="Times New Roman"/>
          <w:sz w:val="18"/>
          <w:szCs w:val="18"/>
          <w:lang w:val="ms-MY"/>
        </w:rPr>
        <w:t>penjerapan, manik kitosan-H</w:t>
      </w:r>
      <w:r w:rsidRPr="00687EFC">
        <w:rPr>
          <w:rFonts w:ascii="Times New Roman" w:hAnsi="Times New Roman"/>
          <w:sz w:val="18"/>
          <w:szCs w:val="18"/>
          <w:vertAlign w:val="subscript"/>
          <w:lang w:val="ms-MY"/>
        </w:rPr>
        <w:t>2</w:t>
      </w:r>
      <w:r w:rsidRPr="00687EFC">
        <w:rPr>
          <w:rFonts w:ascii="Times New Roman" w:hAnsi="Times New Roman"/>
          <w:sz w:val="18"/>
          <w:szCs w:val="18"/>
          <w:lang w:val="ms-MY"/>
        </w:rPr>
        <w:t>SO</w:t>
      </w:r>
      <w:r w:rsidRPr="00687EFC">
        <w:rPr>
          <w:rFonts w:ascii="Times New Roman" w:hAnsi="Times New Roman"/>
          <w:sz w:val="18"/>
          <w:szCs w:val="18"/>
          <w:vertAlign w:val="subscript"/>
          <w:lang w:val="ms-MY"/>
        </w:rPr>
        <w:t>4</w:t>
      </w:r>
      <w:r w:rsidRPr="00687EFC">
        <w:rPr>
          <w:rFonts w:ascii="Times New Roman" w:hAnsi="Times New Roman"/>
          <w:sz w:val="18"/>
          <w:szCs w:val="18"/>
          <w:lang w:val="ms-MY"/>
        </w:rPr>
        <w:t>, isoterma, kinetik, malakit hijau</w:t>
      </w:r>
    </w:p>
    <w:p w:rsidR="00687EFC" w:rsidRDefault="00687EFC" w:rsidP="00AC0033">
      <w:pPr>
        <w:spacing w:after="0" w:line="240" w:lineRule="auto"/>
        <w:jc w:val="center"/>
        <w:rPr>
          <w:rFonts w:ascii="Times New Roman" w:hAnsi="Times New Roman"/>
          <w:noProof/>
          <w:sz w:val="20"/>
          <w:szCs w:val="20"/>
          <w:lang w:bidi="ar-SA"/>
        </w:rPr>
      </w:pPr>
    </w:p>
    <w:p w:rsidR="00687EFC" w:rsidRPr="00BE7C30" w:rsidRDefault="00687EFC"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 xml:space="preserve">Discharges of various types of waste product and the rapid growth of different chemical industries have become the main causes of environmental contamination and degradation to the country. Dyes, which are widely used in </w:t>
      </w:r>
      <w:r w:rsidRPr="00687EFC">
        <w:rPr>
          <w:rFonts w:ascii="Times New Roman" w:hAnsi="Times New Roman"/>
          <w:sz w:val="20"/>
          <w:szCs w:val="20"/>
        </w:rPr>
        <w:lastRenderedPageBreak/>
        <w:t>different industries, can inhibit light penetration into water, retard photosynthetic activity, prevent the growth of biota and have a tendency to chelate metal ions. Dyes are classified according to their chemical properties and solubility. Dyes can be categorized as an acid dye, basic dye, direct dye, mordant dye, disperse dye, reactive dye and vat dye [1]. Basic dyes are the most commonly used in many industries and have become one of the main sources of severe water pollution. Malachite green (MG) is an example of a basic dye used to dye wool, silk, cotton and leather in textile industries and also as a strong anti-fungal, anti-bacterial and anti-parasitic agent in fish farming [1, 2]. Nowadays, MG is considered as a highly controversial compound due to its genotoxic and carcinogenic properties [3].</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Adsorption has been found to be the most promising way to remove MG from wastewater because it uses low-cost adsorbents, which could be found in nature or are by-products [4]. Chitosan is one of the unindustrialized adsorption methods for the removal of dyes and heavy metal ions, even at low concentrations [5]. Chitosan is a type of natural polyaminosaccharide composed of poly(β-1–4)-2-amino-2-deoxy-D-glucopyranose and can be produced through deacetylation of chitin. Chitin is the second most abundant polymer in nature after cellulose that can be extracted from crustacean shells such as prawns, crabs and cell walls of fungi [6]. This nontoxic and biodegradable chitosan is an ideal adsorbent due to the presence of the amine (–NH</w:t>
      </w:r>
      <w:r w:rsidRPr="00687EFC">
        <w:rPr>
          <w:rFonts w:ascii="Times New Roman" w:hAnsi="Times New Roman"/>
          <w:sz w:val="20"/>
          <w:szCs w:val="20"/>
          <w:vertAlign w:val="subscript"/>
        </w:rPr>
        <w:t>2</w:t>
      </w:r>
      <w:r w:rsidRPr="00687EFC">
        <w:rPr>
          <w:rFonts w:ascii="Times New Roman" w:hAnsi="Times New Roman"/>
          <w:sz w:val="20"/>
          <w:szCs w:val="20"/>
        </w:rPr>
        <w:t>) and hydroxyl (–OH) groups that serve as the adsorption sites for many adsorbates [7, 8].</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In spite of chitosan’s good adsorption capability, it also can be physically and chemically modified [9–11]. Accordingly, the physical modification of chitosan can provide support and increase the availability of the binding sites because the chitosan has low mechanical properties and low specific gravity [12, 13]. Therefore, efforts have been made to improve its chemical stabilities by cross-linking the chitosan to create a very stable and strong chitosan even in acidic and basic solutions.</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Many studies have been reported for utilizing modified chitosan for application in MG removal, such as chitosan–ionic liquid beads [14], chitosan nanoparticles [15, 16], chitosan oligosaccharide [17], chitosan composite [18], chitosan–bentonite beads [19] and chitosan foam [20]. These approaches seem to be effective for removing MG but some improvement in existing methods is desirable. All of these modified chitosan’s are difficult to prepare, time-consuming and unstable, especially the chitosan foam. Therefore, a simple approach has been taken in this study which is using a modified chitosan with sulfuric acid (H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to remove MG from an aqueous solution. The method to prepare this modified chitosan is relatively straightforward and not expensive.</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In this preliminary study,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are used to remove MG dye in aqueous solution. The influences of initial pH, agitation time, adsorbent dosage and initial concentrations of MG on the adsorption process were studied. These are the basic parameters to determine the suitability and optimal conditions of the prepared cross-linked chitosan beads as an adsorbent. The pseudo-first-order and pseudo-second-order kinetics models were used to determine the adsorption rate during the adsorption process. The Langmuir and Freundlich isotherm models were used to evaluate the equilibrium adsorption capacity data for the adsorption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w:t>
      </w:r>
    </w:p>
    <w:p w:rsidR="00687EFC" w:rsidRPr="00687EFC" w:rsidRDefault="00687EFC" w:rsidP="00687EFC">
      <w:pPr>
        <w:spacing w:after="0" w:line="240" w:lineRule="auto"/>
        <w:jc w:val="center"/>
        <w:outlineLvl w:val="0"/>
        <w:rPr>
          <w:rFonts w:ascii="Times New Roman" w:hAnsi="Times New Roman"/>
          <w:sz w:val="20"/>
          <w:szCs w:val="20"/>
        </w:rPr>
      </w:pPr>
    </w:p>
    <w:p w:rsidR="00687EFC" w:rsidRPr="00687EFC" w:rsidRDefault="00687EFC" w:rsidP="00687EFC">
      <w:pPr>
        <w:spacing w:after="0" w:line="240" w:lineRule="auto"/>
        <w:jc w:val="center"/>
        <w:outlineLvl w:val="0"/>
        <w:rPr>
          <w:rFonts w:ascii="Times New Roman" w:hAnsi="Times New Roman"/>
          <w:b/>
          <w:sz w:val="20"/>
          <w:szCs w:val="20"/>
        </w:rPr>
      </w:pPr>
      <w:r w:rsidRPr="00687EFC">
        <w:rPr>
          <w:rFonts w:ascii="Times New Roman" w:hAnsi="Times New Roman"/>
          <w:b/>
          <w:sz w:val="20"/>
          <w:szCs w:val="20"/>
        </w:rPr>
        <w:t>Materials and Methods</w:t>
      </w: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Materials</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Samples of chitosan flakes (M.W. 100,000</w:t>
      </w:r>
      <w:r w:rsidRPr="00687EFC">
        <w:rPr>
          <w:rFonts w:ascii="MS Mincho" w:eastAsia="MS Mincho" w:hAnsi="MS Mincho" w:cs="MS Mincho" w:hint="eastAsia"/>
          <w:sz w:val="20"/>
          <w:szCs w:val="20"/>
        </w:rPr>
        <w:t>－</w:t>
      </w:r>
      <w:r w:rsidRPr="00687EFC">
        <w:rPr>
          <w:rFonts w:ascii="Times New Roman" w:hAnsi="Times New Roman"/>
          <w:sz w:val="20"/>
          <w:szCs w:val="20"/>
        </w:rPr>
        <w:t>150,000 g/mol) with a degree of deacetylation of 72.55% were supplied by Chito–Chem (M) Sdn. Bhd., Malaysia. MG was purchased from Fluka (Malaysia). Sodium hydroxide pellets, NaOH, hydrochloric acid 37.0%, HCl, acetic acid, CH</w:t>
      </w:r>
      <w:r w:rsidRPr="00687EFC">
        <w:rPr>
          <w:rFonts w:ascii="Times New Roman" w:hAnsi="Times New Roman"/>
          <w:sz w:val="20"/>
          <w:szCs w:val="20"/>
          <w:vertAlign w:val="subscript"/>
        </w:rPr>
        <w:t>3</w:t>
      </w:r>
      <w:r w:rsidRPr="00687EFC">
        <w:rPr>
          <w:rFonts w:ascii="Times New Roman" w:hAnsi="Times New Roman"/>
          <w:sz w:val="20"/>
          <w:szCs w:val="20"/>
        </w:rPr>
        <w:t>COOH, were purchased from Sigma-Aldrich (Malaysia). All the reagents used throughout the experiments are analytical–reagent grade and used without any further purification. Distilled deionized water was used to prepare all solutions.</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Preparations of chitosan beads and chitosan–H</w:t>
      </w:r>
      <w:r w:rsidRPr="00687EFC">
        <w:rPr>
          <w:rFonts w:ascii="Times New Roman" w:hAnsi="Times New Roman"/>
          <w:b/>
          <w:sz w:val="20"/>
          <w:szCs w:val="20"/>
          <w:vertAlign w:val="subscript"/>
        </w:rPr>
        <w:t>2</w:t>
      </w:r>
      <w:r w:rsidRPr="00687EFC">
        <w:rPr>
          <w:rFonts w:ascii="Times New Roman" w:hAnsi="Times New Roman"/>
          <w:b/>
          <w:sz w:val="20"/>
          <w:szCs w:val="20"/>
        </w:rPr>
        <w:t>SO</w:t>
      </w:r>
      <w:r w:rsidRPr="00687EFC">
        <w:rPr>
          <w:rFonts w:ascii="Times New Roman" w:hAnsi="Times New Roman"/>
          <w:b/>
          <w:sz w:val="20"/>
          <w:szCs w:val="20"/>
          <w:vertAlign w:val="subscript"/>
        </w:rPr>
        <w:t>4</w:t>
      </w:r>
      <w:r w:rsidRPr="00687EFC">
        <w:rPr>
          <w:rFonts w:ascii="Times New Roman" w:hAnsi="Times New Roman"/>
          <w:b/>
          <w:sz w:val="20"/>
          <w:szCs w:val="20"/>
        </w:rPr>
        <w:t xml:space="preserve"> beads</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 xml:space="preserve">Chitosan beads were prepared by dissolving 2.0 g of chitosan flakes in 60 mL of 5% (v/v) acetic acid. The viscous solution was left overnight before dropping into 500 mL of 0.50 M NaOH solution using a dropper. The aqueous NaOH solution was under continuous stirring with the speed of 300 rpm. The chitosan hydrogel beads were allowed to immerse in 0.50 M NaOH solution for 15 minutes. Then, the formed chitosan beads were filtered with filter paper 2.5 µm of pore size (Whatman 42) and rinsed many times with distilled water. Eventually, the extensively washed </w:t>
      </w:r>
      <w:r w:rsidRPr="00687EFC">
        <w:rPr>
          <w:rFonts w:ascii="Times New Roman" w:hAnsi="Times New Roman"/>
          <w:sz w:val="20"/>
          <w:szCs w:val="20"/>
        </w:rPr>
        <w:lastRenderedPageBreak/>
        <w:t>chitosan beads were then added into 100 mL of 0.50 M sulfuric acid solution and were stirred at 200 rpm for 24 hours at room temperature. After 24 hours the solution was filtered and the cross–linked beads were washed several times using distilled water. The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were allowed for drying. The beads were then ground using mortar and sieved to a constant size approximately (&lt; 250 µm) before used. The structure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before and after MG adsorption obtained was confirmed by a Perkin–Elmer FT–IR System 2000 Model spectrometer.</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Solubility and swelling test of chitosan beads and chitosan–H</w:t>
      </w:r>
      <w:r w:rsidRPr="00687EFC">
        <w:rPr>
          <w:rFonts w:ascii="Times New Roman" w:hAnsi="Times New Roman"/>
          <w:b/>
          <w:sz w:val="20"/>
          <w:szCs w:val="20"/>
          <w:vertAlign w:val="subscript"/>
        </w:rPr>
        <w:t>2</w:t>
      </w:r>
      <w:r w:rsidRPr="00687EFC">
        <w:rPr>
          <w:rFonts w:ascii="Times New Roman" w:hAnsi="Times New Roman"/>
          <w:b/>
          <w:sz w:val="20"/>
          <w:szCs w:val="20"/>
        </w:rPr>
        <w:t>SO</w:t>
      </w:r>
      <w:r w:rsidRPr="00687EFC">
        <w:rPr>
          <w:rFonts w:ascii="Times New Roman" w:hAnsi="Times New Roman"/>
          <w:b/>
          <w:sz w:val="20"/>
          <w:szCs w:val="20"/>
          <w:vertAlign w:val="subscript"/>
        </w:rPr>
        <w:t>4</w:t>
      </w:r>
      <w:r w:rsidRPr="00687EFC">
        <w:rPr>
          <w:rFonts w:ascii="Times New Roman" w:hAnsi="Times New Roman"/>
          <w:sz w:val="20"/>
          <w:szCs w:val="20"/>
          <w:vertAlign w:val="subscript"/>
        </w:rPr>
        <w:t xml:space="preserve"> </w:t>
      </w:r>
      <w:r w:rsidRPr="00687EFC">
        <w:rPr>
          <w:rFonts w:ascii="Times New Roman" w:hAnsi="Times New Roman"/>
          <w:b/>
          <w:sz w:val="20"/>
          <w:szCs w:val="20"/>
        </w:rPr>
        <w:t>beads</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The solubility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 was tested in 5% (v/v) acetic acid, 0.10 M NaOH and distilled water. Approximately 0.05 g of the beads was weighed and transferred into a 50 mL of these three solutions and were left stirring for 24 hours. After 24 hours, the solubility of the beads in these solutions was observed.</w:t>
      </w:r>
    </w:p>
    <w:p w:rsidR="00687EFC" w:rsidRPr="00687EFC" w:rsidRDefault="00687EFC" w:rsidP="00687EFC">
      <w:pPr>
        <w:spacing w:after="0" w:line="240" w:lineRule="auto"/>
        <w:jc w:val="both"/>
        <w:outlineLvl w:val="0"/>
        <w:rPr>
          <w:rFonts w:ascii="Times New Roman" w:hAnsi="Times New Roman"/>
          <w:b/>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In the swelling test, both chitosan beads and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 were studied. About 0.05 g of the beads was weighed and transferred into a glass tube with a diameter of 5 mm and a height of 100 mm. Three tubes were prepared. The level of the beads was marked before filling with 1 mL of 5 % (v/v) acetic acid, 0.10 M NaOH and distilled water. They were left for 24 h. After that, the height of the beads in all three solutions was calculated. The percentage swelling was calculated using the following equation:</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ind w:firstLine="720"/>
        <w:jc w:val="both"/>
        <w:outlineLvl w:val="0"/>
        <w:rPr>
          <w:rFonts w:ascii="Times New Roman" w:hAnsi="Times New Roman"/>
          <w:sz w:val="20"/>
          <w:szCs w:val="20"/>
        </w:rPr>
      </w:pPr>
      <m:oMath>
        <m:r>
          <m:rPr>
            <m:sty m:val="p"/>
          </m:rPr>
          <w:rPr>
            <w:rFonts w:ascii="Cambria Math" w:hAnsi="Cambria Math"/>
            <w:sz w:val="20"/>
            <w:szCs w:val="20"/>
            <w:vertAlign w:val="subscript"/>
          </w:rPr>
          <m:t>S=</m:t>
        </m:r>
        <m:d>
          <m:dPr>
            <m:ctrlPr>
              <w:rPr>
                <w:rFonts w:ascii="Cambria Math" w:hAnsi="Cambria Math"/>
                <w:sz w:val="20"/>
                <w:szCs w:val="20"/>
                <w:vertAlign w:val="subscript"/>
              </w:rPr>
            </m:ctrlPr>
          </m:dPr>
          <m:e>
            <m:f>
              <m:fPr>
                <m:ctrlPr>
                  <w:rPr>
                    <w:rFonts w:ascii="Cambria Math" w:hAnsi="Cambria Math"/>
                    <w:sz w:val="20"/>
                    <w:szCs w:val="20"/>
                    <w:vertAlign w:val="subscript"/>
                  </w:rPr>
                </m:ctrlPr>
              </m:fPr>
              <m:num>
                <m:sSub>
                  <m:sSubPr>
                    <m:ctrlPr>
                      <w:rPr>
                        <w:rFonts w:ascii="Cambria Math" w:hAnsi="Cambria Math"/>
                        <w:sz w:val="20"/>
                        <w:szCs w:val="20"/>
                        <w:vertAlign w:val="subscript"/>
                      </w:rPr>
                    </m:ctrlPr>
                  </m:sSubPr>
                  <m:e>
                    <m:r>
                      <m:rPr>
                        <m:sty m:val="p"/>
                      </m:rPr>
                      <w:rPr>
                        <w:rFonts w:ascii="Cambria Math" w:hAnsi="Cambria Math"/>
                        <w:sz w:val="20"/>
                        <w:szCs w:val="20"/>
                        <w:vertAlign w:val="subscript"/>
                      </w:rPr>
                      <m:t>h</m:t>
                    </m:r>
                  </m:e>
                  <m:sub>
                    <m:r>
                      <m:rPr>
                        <m:sty m:val="p"/>
                      </m:rPr>
                      <w:rPr>
                        <w:rFonts w:ascii="Cambria Math" w:hAnsi="Cambria Math"/>
                        <w:sz w:val="20"/>
                        <w:szCs w:val="20"/>
                        <w:vertAlign w:val="subscript"/>
                      </w:rPr>
                      <m:t>t</m:t>
                    </m:r>
                  </m:sub>
                </m:sSub>
                <m:r>
                  <m:rPr>
                    <m:sty m:val="p"/>
                  </m:rPr>
                  <w:rPr>
                    <w:rFonts w:ascii="Cambria Math" w:hAnsi="Cambria Math"/>
                    <w:sz w:val="20"/>
                    <w:szCs w:val="20"/>
                    <w:vertAlign w:val="subscript"/>
                  </w:rPr>
                  <m:t>-</m:t>
                </m:r>
                <m:sSub>
                  <m:sSubPr>
                    <m:ctrlPr>
                      <w:rPr>
                        <w:rFonts w:ascii="Cambria Math" w:hAnsi="Cambria Math"/>
                        <w:sz w:val="20"/>
                        <w:szCs w:val="20"/>
                        <w:vertAlign w:val="subscript"/>
                      </w:rPr>
                    </m:ctrlPr>
                  </m:sSubPr>
                  <m:e>
                    <m:r>
                      <m:rPr>
                        <m:sty m:val="p"/>
                      </m:rPr>
                      <w:rPr>
                        <w:rFonts w:ascii="Cambria Math" w:hAnsi="Cambria Math"/>
                        <w:sz w:val="20"/>
                        <w:szCs w:val="20"/>
                        <w:vertAlign w:val="subscript"/>
                      </w:rPr>
                      <m:t>h</m:t>
                    </m:r>
                  </m:e>
                  <m:sub>
                    <m:r>
                      <m:rPr>
                        <m:sty m:val="p"/>
                      </m:rPr>
                      <w:rPr>
                        <w:rFonts w:ascii="Cambria Math" w:hAnsi="Cambria Math"/>
                        <w:sz w:val="20"/>
                        <w:szCs w:val="20"/>
                        <w:vertAlign w:val="subscript"/>
                      </w:rPr>
                      <m:t>o</m:t>
                    </m:r>
                  </m:sub>
                </m:sSub>
              </m:num>
              <m:den>
                <m:sSub>
                  <m:sSubPr>
                    <m:ctrlPr>
                      <w:rPr>
                        <w:rFonts w:ascii="Cambria Math" w:hAnsi="Cambria Math"/>
                        <w:sz w:val="20"/>
                        <w:szCs w:val="20"/>
                        <w:vertAlign w:val="subscript"/>
                      </w:rPr>
                    </m:ctrlPr>
                  </m:sSubPr>
                  <m:e>
                    <m:r>
                      <m:rPr>
                        <m:sty m:val="p"/>
                      </m:rPr>
                      <w:rPr>
                        <w:rFonts w:ascii="Cambria Math" w:hAnsi="Cambria Math"/>
                        <w:sz w:val="20"/>
                        <w:szCs w:val="20"/>
                        <w:vertAlign w:val="subscript"/>
                      </w:rPr>
                      <m:t>h</m:t>
                    </m:r>
                  </m:e>
                  <m:sub>
                    <m:r>
                      <m:rPr>
                        <m:sty m:val="p"/>
                      </m:rPr>
                      <w:rPr>
                        <w:rFonts w:ascii="Cambria Math" w:hAnsi="Cambria Math"/>
                        <w:sz w:val="20"/>
                        <w:szCs w:val="20"/>
                        <w:vertAlign w:val="subscript"/>
                      </w:rPr>
                      <m:t>o</m:t>
                    </m:r>
                  </m:sub>
                </m:sSub>
              </m:den>
            </m:f>
          </m:e>
        </m:d>
        <m:r>
          <m:rPr>
            <m:sty m:val="p"/>
          </m:rPr>
          <w:rPr>
            <w:rFonts w:ascii="Cambria Math" w:hAnsi="Cambria Math"/>
            <w:sz w:val="20"/>
            <w:szCs w:val="20"/>
            <w:vertAlign w:val="subscript"/>
          </w:rPr>
          <m:t>×10</m:t>
        </m:r>
        <m:r>
          <w:rPr>
            <w:rFonts w:ascii="Cambria Math" w:hAnsi="Cambria Math"/>
            <w:sz w:val="20"/>
            <w:szCs w:val="20"/>
            <w:vertAlign w:val="subscript"/>
          </w:rPr>
          <m:t>0</m:t>
        </m:r>
      </m:oMath>
      <w:r w:rsidRPr="00687EFC">
        <w:rPr>
          <w:rFonts w:ascii="Times New Roman" w:hAnsi="Times New Roman"/>
          <w:sz w:val="20"/>
          <w:szCs w:val="20"/>
          <w:vertAlign w:val="subscript"/>
        </w:rPr>
        <w:tab/>
      </w:r>
      <w:r w:rsidRPr="00687EFC">
        <w:rPr>
          <w:rFonts w:ascii="Times New Roman" w:hAnsi="Times New Roman"/>
          <w:sz w:val="20"/>
          <w:szCs w:val="20"/>
          <w:vertAlign w:val="subscript"/>
        </w:rPr>
        <w:tab/>
      </w:r>
      <w:r w:rsidRPr="00687EFC">
        <w:rPr>
          <w:rFonts w:ascii="Times New Roman" w:hAnsi="Times New Roman"/>
          <w:sz w:val="20"/>
          <w:szCs w:val="20"/>
          <w:vertAlign w:val="subscript"/>
        </w:rPr>
        <w:tab/>
      </w:r>
      <w:r w:rsidRPr="00687EFC">
        <w:rPr>
          <w:rFonts w:ascii="Times New Roman" w:hAnsi="Times New Roman"/>
          <w:sz w:val="20"/>
          <w:szCs w:val="20"/>
          <w:vertAlign w:val="subscript"/>
        </w:rPr>
        <w:tab/>
      </w:r>
      <w:r w:rsidRPr="00687EFC">
        <w:rPr>
          <w:rFonts w:ascii="Times New Roman" w:hAnsi="Times New Roman"/>
          <w:sz w:val="20"/>
          <w:szCs w:val="20"/>
          <w:vertAlign w:val="subscript"/>
        </w:rPr>
        <w:tab/>
      </w:r>
      <w:r w:rsidRPr="00687EFC">
        <w:rPr>
          <w:rFonts w:ascii="Times New Roman" w:hAnsi="Times New Roman"/>
          <w:sz w:val="20"/>
          <w:szCs w:val="20"/>
          <w:vertAlign w:val="subscript"/>
        </w:rPr>
        <w:tab/>
      </w:r>
      <w:r w:rsidRPr="00687EFC">
        <w:rPr>
          <w:rFonts w:ascii="Times New Roman" w:hAnsi="Times New Roman"/>
          <w:sz w:val="20"/>
          <w:szCs w:val="20"/>
          <w:vertAlign w:val="subscript"/>
        </w:rPr>
        <w:tab/>
      </w:r>
      <w:r w:rsidRPr="00687EFC">
        <w:rPr>
          <w:rFonts w:ascii="Times New Roman" w:hAnsi="Times New Roman"/>
          <w:sz w:val="20"/>
          <w:szCs w:val="20"/>
          <w:vertAlign w:val="subscript"/>
        </w:rPr>
        <w:tab/>
      </w:r>
      <w:r w:rsidRPr="00687EFC">
        <w:rPr>
          <w:rFonts w:ascii="Times New Roman" w:hAnsi="Times New Roman"/>
          <w:sz w:val="20"/>
          <w:szCs w:val="20"/>
          <w:vertAlign w:val="subscript"/>
        </w:rPr>
        <w:tab/>
        <w:t xml:space="preserve">  </w:t>
      </w:r>
      <w:r>
        <w:rPr>
          <w:rFonts w:ascii="Times New Roman" w:hAnsi="Times New Roman"/>
          <w:sz w:val="20"/>
          <w:szCs w:val="20"/>
          <w:vertAlign w:val="subscript"/>
        </w:rPr>
        <w:t xml:space="preserve">          </w:t>
      </w:r>
      <w:r w:rsidRPr="00687EFC">
        <w:rPr>
          <w:rFonts w:ascii="Times New Roman" w:hAnsi="Times New Roman"/>
          <w:sz w:val="20"/>
          <w:szCs w:val="20"/>
          <w:vertAlign w:val="subscript"/>
        </w:rPr>
        <w:t xml:space="preserve">  </w:t>
      </w:r>
      <w:r w:rsidRPr="00687EFC">
        <w:rPr>
          <w:rFonts w:ascii="Times New Roman" w:hAnsi="Times New Roman"/>
          <w:sz w:val="20"/>
          <w:szCs w:val="20"/>
        </w:rPr>
        <w:t>(1)</w:t>
      </w:r>
    </w:p>
    <w:p w:rsidR="00687EFC" w:rsidRPr="00687EFC" w:rsidRDefault="00687EFC" w:rsidP="00687EFC">
      <w:pPr>
        <w:spacing w:after="0" w:line="240" w:lineRule="auto"/>
        <w:jc w:val="both"/>
        <w:outlineLvl w:val="0"/>
        <w:rPr>
          <w:rFonts w:ascii="Times New Roman" w:hAnsi="Times New Roman"/>
          <w:b/>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where, S is the percentage of swelling (%), h</w:t>
      </w:r>
      <w:r w:rsidRPr="00687EFC">
        <w:rPr>
          <w:rFonts w:ascii="Times New Roman" w:hAnsi="Times New Roman"/>
          <w:sz w:val="20"/>
          <w:szCs w:val="20"/>
          <w:vertAlign w:val="subscript"/>
        </w:rPr>
        <w:t xml:space="preserve">t </w:t>
      </w:r>
      <w:r w:rsidRPr="00687EFC">
        <w:rPr>
          <w:rFonts w:ascii="Times New Roman" w:hAnsi="Times New Roman"/>
          <w:sz w:val="20"/>
          <w:szCs w:val="20"/>
        </w:rPr>
        <w:t>is the height of swollen beads or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 at time t (cm), h</w:t>
      </w:r>
      <w:r w:rsidRPr="00687EFC">
        <w:rPr>
          <w:rFonts w:ascii="Times New Roman" w:hAnsi="Times New Roman"/>
          <w:sz w:val="20"/>
          <w:szCs w:val="20"/>
          <w:vertAlign w:val="subscript"/>
        </w:rPr>
        <w:t>o</w:t>
      </w:r>
      <w:r w:rsidRPr="00687EFC">
        <w:rPr>
          <w:rFonts w:ascii="Times New Roman" w:hAnsi="Times New Roman"/>
          <w:sz w:val="20"/>
          <w:szCs w:val="20"/>
        </w:rPr>
        <w:t xml:space="preserve"> is the initial height of chitosan beads or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 (cm).</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Batch adsorption experiments</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A stock solution of 500 mg/L of MG was prepared freshly by dissolving approximately 0.25 g of MG in a 250 mL beaker with distilled water. The solution was transferred into a 500 mL volumetric flask. A series of experiments were conducted in 250 mL beaker using 0.05 g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 xml:space="preserve">beads and left shaking for 30 minutes using Heidolph Unimax 1010 shaker. The absorbance of MG was obtained before and after adsorption at the maximum wavelength of 224 nm using a UV–Vis spectrophotometer (Perkin Elmer Lambda 35). </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The effect of initial pH of the solution on the adsorption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was performed in the pH range of 2-12. Six sets of 100 mL of MG solutions with concentration of 10 mg/L were prepared.</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Adsorption equilibrium analysis was performed at optimum condition where the pH is 6 and the agitation time is 30 minutes for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Isotherm studies were accomplished with a constant amount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and varying the initial concentration of MG in the range of 0–70 mg/L. The adsorption capacity (q</w:t>
      </w:r>
      <w:r w:rsidRPr="00687EFC">
        <w:rPr>
          <w:rFonts w:ascii="Times New Roman" w:hAnsi="Times New Roman"/>
          <w:sz w:val="20"/>
          <w:szCs w:val="20"/>
          <w:vertAlign w:val="subscript"/>
        </w:rPr>
        <w:t>e</w:t>
      </w:r>
      <w:r w:rsidRPr="00687EFC">
        <w:rPr>
          <w:rFonts w:ascii="Times New Roman" w:hAnsi="Times New Roman"/>
          <w:sz w:val="20"/>
          <w:szCs w:val="20"/>
        </w:rPr>
        <w:t>) at equilibrium was calculated using the following equation:</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20549C" w:rsidP="00687EFC">
      <w:pPr>
        <w:spacing w:after="0" w:line="240" w:lineRule="auto"/>
        <w:ind w:firstLine="720"/>
        <w:jc w:val="both"/>
        <w:outlineLvl w:val="0"/>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o</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num>
          <m:den>
            <m:r>
              <m:rPr>
                <m:sty m:val="p"/>
              </m:rPr>
              <w:rPr>
                <w:rFonts w:ascii="Cambria Math" w:hAnsi="Cambria Math"/>
                <w:sz w:val="20"/>
                <w:szCs w:val="20"/>
              </w:rPr>
              <m:t>m</m:t>
            </m:r>
          </m:den>
        </m:f>
        <m:r>
          <m:rPr>
            <m:sty m:val="p"/>
          </m:rPr>
          <w:rPr>
            <w:rFonts w:ascii="Cambria Math" w:hAnsi="Cambria Math"/>
            <w:sz w:val="20"/>
            <w:szCs w:val="20"/>
          </w:rPr>
          <m:t xml:space="preserve"> v</m:t>
        </m:r>
      </m:oMath>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t xml:space="preserve">   </w:t>
      </w:r>
      <w:r w:rsidR="00687EFC">
        <w:rPr>
          <w:rFonts w:ascii="Times New Roman" w:hAnsi="Times New Roman"/>
          <w:sz w:val="20"/>
          <w:szCs w:val="20"/>
        </w:rPr>
        <w:t xml:space="preserve">      </w:t>
      </w:r>
      <w:r w:rsidR="00687EFC" w:rsidRPr="00687EFC">
        <w:rPr>
          <w:rFonts w:ascii="Times New Roman" w:hAnsi="Times New Roman"/>
          <w:sz w:val="20"/>
          <w:szCs w:val="20"/>
        </w:rPr>
        <w:t>(2)</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where q</w:t>
      </w:r>
      <w:r w:rsidRPr="00687EFC">
        <w:rPr>
          <w:rFonts w:ascii="Times New Roman" w:hAnsi="Times New Roman"/>
          <w:sz w:val="20"/>
          <w:szCs w:val="20"/>
          <w:vertAlign w:val="subscript"/>
        </w:rPr>
        <w:t>e</w:t>
      </w:r>
      <w:r w:rsidRPr="00687EFC">
        <w:rPr>
          <w:rFonts w:ascii="Times New Roman" w:hAnsi="Times New Roman"/>
          <w:sz w:val="20"/>
          <w:szCs w:val="20"/>
        </w:rPr>
        <w:t xml:space="preserve"> is the adsorption capacity at equilibrium (mg/g), C</w:t>
      </w:r>
      <w:r w:rsidRPr="00687EFC">
        <w:rPr>
          <w:rFonts w:ascii="Times New Roman" w:hAnsi="Times New Roman"/>
          <w:sz w:val="20"/>
          <w:szCs w:val="20"/>
          <w:vertAlign w:val="subscript"/>
        </w:rPr>
        <w:t>o</w:t>
      </w:r>
      <w:r w:rsidRPr="00687EFC">
        <w:rPr>
          <w:rFonts w:ascii="Times New Roman" w:hAnsi="Times New Roman"/>
          <w:sz w:val="20"/>
          <w:szCs w:val="20"/>
        </w:rPr>
        <w:t xml:space="preserve"> is the initial concentration of MG (mg/L), C</w:t>
      </w:r>
      <w:r w:rsidRPr="00687EFC">
        <w:rPr>
          <w:rFonts w:ascii="Times New Roman" w:hAnsi="Times New Roman"/>
          <w:sz w:val="20"/>
          <w:szCs w:val="20"/>
          <w:vertAlign w:val="subscript"/>
        </w:rPr>
        <w:t>e</w:t>
      </w:r>
      <w:r w:rsidRPr="00687EFC">
        <w:rPr>
          <w:rFonts w:ascii="Times New Roman" w:hAnsi="Times New Roman"/>
          <w:sz w:val="20"/>
          <w:szCs w:val="20"/>
        </w:rPr>
        <w:t xml:space="preserve"> is the final concentration of MG (mg/L), v is the volume of MG (mL), m is the weight of the beads used (g). For batch kinetics studies of MG onto adsorbent was also studied. About 0.05 g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were equilibrated at optimum condition. The beads and 10 mg/L of MG solutions were placed in 250 mL beakers and stirred continuously. The concentration of MG in solution was determined each time based on the differences of MG concentration in the solution before and after adsorption. Three replicates analyses have been done for each adsorption study and the average was reported.</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In addition, several parameters were optimized too. Effect of adsorbent dosage (percentage removal) was calculated using the following expression:</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ind w:firstLine="720"/>
        <w:jc w:val="both"/>
        <w:outlineLvl w:val="0"/>
        <w:rPr>
          <w:rFonts w:ascii="Times New Roman" w:hAnsi="Times New Roman"/>
          <w:sz w:val="20"/>
          <w:szCs w:val="20"/>
        </w:rPr>
      </w:pPr>
      <m:oMath>
        <m:r>
          <m:rPr>
            <m:sty m:val="p"/>
          </m:rPr>
          <w:rPr>
            <w:rFonts w:ascii="Cambria Math" w:hAnsi="Cambria Math"/>
            <w:sz w:val="20"/>
            <w:szCs w:val="20"/>
          </w:rPr>
          <w:lastRenderedPageBreak/>
          <m:t>% Removal=</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o</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 xml:space="preserve">f </m:t>
                </m:r>
              </m:sub>
            </m:sSub>
          </m:num>
          <m:den>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o</m:t>
                </m:r>
              </m:sub>
            </m:sSub>
          </m:den>
        </m:f>
        <m:r>
          <m:rPr>
            <m:sty m:val="p"/>
          </m:rPr>
          <w:rPr>
            <w:rFonts w:ascii="Cambria Math" w:hAnsi="Cambria Math"/>
            <w:sz w:val="20"/>
            <w:szCs w:val="20"/>
          </w:rPr>
          <m:t>×100</m:t>
        </m:r>
      </m:oMath>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t xml:space="preserve">   </w:t>
      </w:r>
      <w:r>
        <w:rPr>
          <w:rFonts w:ascii="Times New Roman" w:hAnsi="Times New Roman"/>
          <w:sz w:val="20"/>
          <w:szCs w:val="20"/>
        </w:rPr>
        <w:t xml:space="preserve">      </w:t>
      </w:r>
      <w:r w:rsidRPr="00687EFC">
        <w:rPr>
          <w:rFonts w:ascii="Times New Roman" w:hAnsi="Times New Roman"/>
          <w:sz w:val="20"/>
          <w:szCs w:val="20"/>
        </w:rPr>
        <w:t>(3)</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where C</w:t>
      </w:r>
      <w:r w:rsidRPr="00687EFC">
        <w:rPr>
          <w:rFonts w:ascii="Times New Roman" w:hAnsi="Times New Roman"/>
          <w:sz w:val="20"/>
          <w:szCs w:val="20"/>
          <w:vertAlign w:val="subscript"/>
        </w:rPr>
        <w:t>o</w:t>
      </w:r>
      <w:r w:rsidRPr="00687EFC">
        <w:rPr>
          <w:rFonts w:ascii="Times New Roman" w:hAnsi="Times New Roman"/>
          <w:sz w:val="20"/>
          <w:szCs w:val="20"/>
        </w:rPr>
        <w:t xml:space="preserve"> is the initial concentration of MG (mg/L) and C</w:t>
      </w:r>
      <w:r w:rsidRPr="00687EFC">
        <w:rPr>
          <w:rFonts w:ascii="Times New Roman" w:hAnsi="Times New Roman"/>
          <w:sz w:val="20"/>
          <w:szCs w:val="20"/>
          <w:vertAlign w:val="subscript"/>
        </w:rPr>
        <w:t>f</w:t>
      </w:r>
      <w:r w:rsidRPr="00687EFC">
        <w:rPr>
          <w:rFonts w:ascii="Times New Roman" w:hAnsi="Times New Roman"/>
          <w:sz w:val="20"/>
          <w:szCs w:val="20"/>
        </w:rPr>
        <w:t xml:space="preserve"> is the final concentration of MG (mg/L).</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Models for adsorption equilibrium isotherms used in this study were Langmuir and Freundlich isotherm models. Langmuir isotherm model used is applicable for monolayer sorption on to a surface with finite number of identical sites and is given by:</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20549C" w:rsidP="00687EFC">
      <w:pPr>
        <w:spacing w:after="0" w:line="240" w:lineRule="auto"/>
        <w:ind w:firstLine="720"/>
        <w:jc w:val="both"/>
        <w:outlineLvl w:val="0"/>
        <w:rPr>
          <w:rFonts w:ascii="Times New Roman" w:hAnsi="Times New Roman"/>
          <w:sz w:val="20"/>
          <w:szCs w:val="20"/>
        </w:rPr>
      </w:pPr>
      <m:oMath>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num>
          <m:den>
            <m:sSub>
              <m:sSubPr>
                <m:ctrlPr>
                  <w:rPr>
                    <w:rFonts w:ascii="Cambria Math" w:hAnsi="Cambria Math"/>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den>
        </m:f>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num>
          <m:den>
            <m:r>
              <m:rPr>
                <m:sty m:val="p"/>
              </m:rPr>
              <w:rPr>
                <w:rFonts w:ascii="Cambria Math" w:hAnsi="Cambria Math"/>
                <w:sz w:val="20"/>
                <w:szCs w:val="20"/>
              </w:rPr>
              <m:t>Q</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Qb</m:t>
            </m:r>
          </m:den>
        </m:f>
      </m:oMath>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t xml:space="preserve">   </w:t>
      </w:r>
      <w:r w:rsidR="00687EFC">
        <w:rPr>
          <w:rFonts w:ascii="Times New Roman" w:hAnsi="Times New Roman"/>
          <w:sz w:val="20"/>
          <w:szCs w:val="20"/>
        </w:rPr>
        <w:t xml:space="preserve">      </w:t>
      </w:r>
      <w:r w:rsidR="00687EFC" w:rsidRPr="00687EFC">
        <w:rPr>
          <w:rFonts w:ascii="Times New Roman" w:hAnsi="Times New Roman"/>
          <w:sz w:val="20"/>
          <w:szCs w:val="20"/>
        </w:rPr>
        <w:t>(4)</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where Q is the maximum adsorption at monolayer (mg/g), C</w:t>
      </w:r>
      <w:r w:rsidRPr="00687EFC">
        <w:rPr>
          <w:rFonts w:ascii="Times New Roman" w:hAnsi="Times New Roman"/>
          <w:sz w:val="20"/>
          <w:szCs w:val="20"/>
          <w:vertAlign w:val="subscript"/>
        </w:rPr>
        <w:t>e</w:t>
      </w:r>
      <w:r w:rsidRPr="00687EFC">
        <w:rPr>
          <w:rFonts w:ascii="Times New Roman" w:hAnsi="Times New Roman"/>
          <w:sz w:val="20"/>
          <w:szCs w:val="20"/>
        </w:rPr>
        <w:t xml:space="preserve"> is the equilibrium concentration of MG (mg/L), q</w:t>
      </w:r>
      <w:r w:rsidRPr="00687EFC">
        <w:rPr>
          <w:rFonts w:ascii="Times New Roman" w:hAnsi="Times New Roman"/>
          <w:sz w:val="20"/>
          <w:szCs w:val="20"/>
          <w:vertAlign w:val="subscript"/>
        </w:rPr>
        <w:t>e</w:t>
      </w:r>
      <w:r w:rsidRPr="00687EFC">
        <w:rPr>
          <w:rFonts w:ascii="Times New Roman" w:hAnsi="Times New Roman"/>
          <w:sz w:val="20"/>
          <w:szCs w:val="20"/>
        </w:rPr>
        <w:t xml:space="preserve"> is the amount of MG adsorbed per unit weight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at equilibrium concentration (mg/g) and b is the Langmuir constant related to the affinity of binding sites (mL/mg) and is a measure of the energy of adsorption. A linearized plot of C</w:t>
      </w:r>
      <w:r w:rsidRPr="00687EFC">
        <w:rPr>
          <w:rFonts w:ascii="Times New Roman" w:hAnsi="Times New Roman"/>
          <w:sz w:val="20"/>
          <w:szCs w:val="20"/>
          <w:vertAlign w:val="subscript"/>
        </w:rPr>
        <w:t>e</w:t>
      </w:r>
      <w:r w:rsidRPr="00687EFC">
        <w:rPr>
          <w:rFonts w:ascii="Times New Roman" w:hAnsi="Times New Roman"/>
          <w:sz w:val="20"/>
          <w:szCs w:val="20"/>
        </w:rPr>
        <w:t>/q</w:t>
      </w:r>
      <w:r w:rsidRPr="00687EFC">
        <w:rPr>
          <w:rFonts w:ascii="Times New Roman" w:hAnsi="Times New Roman"/>
          <w:sz w:val="20"/>
          <w:szCs w:val="20"/>
          <w:vertAlign w:val="subscript"/>
        </w:rPr>
        <w:t>e</w:t>
      </w:r>
      <w:r w:rsidRPr="00687EFC">
        <w:rPr>
          <w:rFonts w:ascii="Times New Roman" w:hAnsi="Times New Roman"/>
          <w:sz w:val="20"/>
          <w:szCs w:val="20"/>
        </w:rPr>
        <w:t xml:space="preserve"> against C</w:t>
      </w:r>
      <w:r w:rsidRPr="00687EFC">
        <w:rPr>
          <w:rFonts w:ascii="Times New Roman" w:hAnsi="Times New Roman"/>
          <w:sz w:val="20"/>
          <w:szCs w:val="20"/>
          <w:vertAlign w:val="subscript"/>
        </w:rPr>
        <w:t>e</w:t>
      </w:r>
      <w:r w:rsidRPr="00687EFC">
        <w:rPr>
          <w:rFonts w:ascii="Times New Roman" w:hAnsi="Times New Roman"/>
          <w:sz w:val="20"/>
          <w:szCs w:val="20"/>
        </w:rPr>
        <w:t xml:space="preserve"> gives Q and b.</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Freundlich isotherm model is an empirical isotherm for non–ideal adsorption on heterogeneous surfaces as well as multilayer adsorption and is expressed as [21]:</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20549C" w:rsidP="00687EFC">
      <w:pPr>
        <w:spacing w:after="0" w:line="240" w:lineRule="auto"/>
        <w:ind w:firstLine="720"/>
        <w:jc w:val="both"/>
        <w:outlineLvl w:val="0"/>
        <w:rPr>
          <w:rFonts w:ascii="Times New Roman" w:hAnsi="Times New Roman"/>
          <w:sz w:val="20"/>
          <w:szCs w:val="20"/>
        </w:rPr>
      </w:pPr>
      <m:oMath>
        <m:func>
          <m:funcPr>
            <m:ctrlPr>
              <w:rPr>
                <w:rFonts w:ascii="Cambria Math" w:hAnsi="Cambria Math"/>
                <w:sz w:val="20"/>
                <w:szCs w:val="20"/>
              </w:rPr>
            </m:ctrlPr>
          </m:funcPr>
          <m:fName>
            <m:r>
              <m:rPr>
                <m:sty m:val="p"/>
              </m:rPr>
              <w:rPr>
                <w:rFonts w:ascii="Cambria Math" w:hAnsi="Cambria Math"/>
                <w:sz w:val="20"/>
                <w:szCs w:val="20"/>
              </w:rPr>
              <m:t>log</m:t>
            </m:r>
          </m:fName>
          <m:e>
            <m:sSub>
              <m:sSubPr>
                <m:ctrlPr>
                  <w:rPr>
                    <w:rFonts w:ascii="Cambria Math" w:hAnsi="Cambria Math"/>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e>
        </m:func>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log</m:t>
            </m:r>
          </m:fName>
          <m:e>
            <m:sSub>
              <m:sSubPr>
                <m:ctrlPr>
                  <w:rPr>
                    <w:rFonts w:ascii="Cambria Math" w:hAnsi="Cambria Math"/>
                    <w:sz w:val="20"/>
                    <w:szCs w:val="20"/>
                  </w:rPr>
                </m:ctrlPr>
              </m:sSubPr>
              <m:e>
                <m:r>
                  <m:rPr>
                    <m:sty m:val="p"/>
                  </m:rPr>
                  <w:rPr>
                    <w:rFonts w:ascii="Cambria Math" w:hAnsi="Cambria Math"/>
                    <w:sz w:val="20"/>
                    <w:szCs w:val="20"/>
                  </w:rPr>
                  <m:t>K</m:t>
                </m:r>
              </m:e>
              <m:sub>
                <m:r>
                  <m:rPr>
                    <m:sty m:val="p"/>
                  </m:rPr>
                  <w:rPr>
                    <w:rFonts w:ascii="Cambria Math" w:hAnsi="Cambria Math"/>
                    <w:sz w:val="20"/>
                    <w:szCs w:val="20"/>
                  </w:rPr>
                  <m:t>F</m:t>
                </m:r>
              </m:sub>
            </m:sSub>
          </m:e>
        </m:func>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n</m:t>
            </m:r>
          </m:den>
        </m:f>
        <m:func>
          <m:funcPr>
            <m:ctrlPr>
              <w:rPr>
                <w:rFonts w:ascii="Cambria Math" w:hAnsi="Cambria Math"/>
                <w:sz w:val="20"/>
                <w:szCs w:val="20"/>
              </w:rPr>
            </m:ctrlPr>
          </m:funcPr>
          <m:fName>
            <m:r>
              <m:rPr>
                <m:sty m:val="p"/>
              </m:rPr>
              <w:rPr>
                <w:rFonts w:ascii="Cambria Math" w:hAnsi="Cambria Math"/>
                <w:sz w:val="20"/>
                <w:szCs w:val="20"/>
              </w:rPr>
              <m:t>log</m:t>
            </m:r>
          </m:fName>
          <m:e>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e>
        </m:func>
      </m:oMath>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t xml:space="preserve">   </w:t>
      </w:r>
      <w:r w:rsidR="00687EFC">
        <w:rPr>
          <w:rFonts w:ascii="Times New Roman" w:hAnsi="Times New Roman"/>
          <w:sz w:val="20"/>
          <w:szCs w:val="20"/>
        </w:rPr>
        <w:t xml:space="preserve">      </w:t>
      </w:r>
      <w:r w:rsidR="00687EFC" w:rsidRPr="00687EFC">
        <w:rPr>
          <w:rFonts w:ascii="Times New Roman" w:hAnsi="Times New Roman"/>
          <w:sz w:val="20"/>
          <w:szCs w:val="20"/>
        </w:rPr>
        <w:t>(5)</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where K</w:t>
      </w:r>
      <w:r w:rsidRPr="00687EFC">
        <w:rPr>
          <w:rFonts w:ascii="Times New Roman" w:hAnsi="Times New Roman"/>
          <w:sz w:val="20"/>
          <w:szCs w:val="20"/>
          <w:vertAlign w:val="subscript"/>
        </w:rPr>
        <w:t>F</w:t>
      </w:r>
      <w:r w:rsidRPr="00687EFC">
        <w:rPr>
          <w:rFonts w:ascii="Times New Roman" w:hAnsi="Times New Roman"/>
          <w:sz w:val="20"/>
          <w:szCs w:val="20"/>
        </w:rPr>
        <w:t xml:space="preserve"> and n are Freundlich constant that indicates adsorption capacity (mg/g) and intensity, respectively. K</w:t>
      </w:r>
      <w:r w:rsidRPr="00687EFC">
        <w:rPr>
          <w:rFonts w:ascii="Times New Roman" w:hAnsi="Times New Roman"/>
          <w:sz w:val="20"/>
          <w:szCs w:val="20"/>
          <w:vertAlign w:val="subscript"/>
        </w:rPr>
        <w:t>F</w:t>
      </w:r>
      <w:r w:rsidRPr="00687EFC">
        <w:rPr>
          <w:rFonts w:ascii="Times New Roman" w:hAnsi="Times New Roman"/>
          <w:sz w:val="20"/>
          <w:szCs w:val="20"/>
        </w:rPr>
        <w:t xml:space="preserve"> and n can be obtained from linear plot of log q</w:t>
      </w:r>
      <w:r w:rsidRPr="00687EFC">
        <w:rPr>
          <w:rFonts w:ascii="Times New Roman" w:hAnsi="Times New Roman"/>
          <w:sz w:val="20"/>
          <w:szCs w:val="20"/>
          <w:vertAlign w:val="subscript"/>
        </w:rPr>
        <w:t>e</w:t>
      </w:r>
      <w:r w:rsidRPr="00687EFC">
        <w:rPr>
          <w:rFonts w:ascii="Times New Roman" w:hAnsi="Times New Roman"/>
          <w:sz w:val="20"/>
          <w:szCs w:val="20"/>
        </w:rPr>
        <w:t xml:space="preserve"> against log C</w:t>
      </w:r>
      <w:r w:rsidRPr="00687EFC">
        <w:rPr>
          <w:rFonts w:ascii="Times New Roman" w:hAnsi="Times New Roman"/>
          <w:sz w:val="20"/>
          <w:szCs w:val="20"/>
          <w:vertAlign w:val="subscript"/>
        </w:rPr>
        <w:t>e</w:t>
      </w:r>
      <w:r w:rsidRPr="00687EFC">
        <w:rPr>
          <w:rFonts w:ascii="Times New Roman" w:hAnsi="Times New Roman"/>
          <w:sz w:val="20"/>
          <w:szCs w:val="20"/>
        </w:rPr>
        <w:t>.</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The critical features of a Langmuir isotherm can be expressed in terms of dimensionless constant separation factor, R</w:t>
      </w:r>
      <w:r w:rsidRPr="00687EFC">
        <w:rPr>
          <w:rFonts w:ascii="Times New Roman" w:hAnsi="Times New Roman"/>
          <w:sz w:val="20"/>
          <w:szCs w:val="20"/>
          <w:vertAlign w:val="subscript"/>
        </w:rPr>
        <w:t>L</w:t>
      </w:r>
      <w:r w:rsidRPr="00687EFC">
        <w:rPr>
          <w:rFonts w:ascii="Times New Roman" w:hAnsi="Times New Roman"/>
          <w:sz w:val="20"/>
          <w:szCs w:val="20"/>
        </w:rPr>
        <w:t xml:space="preserve"> which can be expressed as:</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20549C" w:rsidP="00687EFC">
      <w:pPr>
        <w:spacing w:after="0" w:line="240" w:lineRule="auto"/>
        <w:ind w:firstLine="720"/>
        <w:jc w:val="both"/>
        <w:outlineLvl w:val="0"/>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R</m:t>
            </m:r>
          </m:e>
          <m:sub>
            <m:r>
              <m:rPr>
                <m:sty m:val="p"/>
              </m:rPr>
              <w:rPr>
                <w:rFonts w:ascii="Cambria Math" w:hAnsi="Cambria Math"/>
                <w:sz w:val="20"/>
                <w:szCs w:val="20"/>
              </w:rPr>
              <m:t>L</m:t>
            </m:r>
          </m:sub>
        </m:sSub>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1+b</m:t>
            </m:r>
            <m:sSub>
              <m:sSubPr>
                <m:ctrlPr>
                  <w:rPr>
                    <w:rFonts w:ascii="Cambria Math" w:hAnsi="Cambria Math"/>
                    <w:sz w:val="20"/>
                    <w:szCs w:val="20"/>
                  </w:rPr>
                </m:ctrlPr>
              </m:sSubPr>
              <m:e>
                <m:r>
                  <m:rPr>
                    <m:sty m:val="p"/>
                  </m:rPr>
                  <w:rPr>
                    <w:rFonts w:ascii="Cambria Math" w:hAnsi="Cambria Math"/>
                    <w:sz w:val="20"/>
                    <w:szCs w:val="20"/>
                  </w:rPr>
                  <m:t>C</m:t>
                </m:r>
              </m:e>
              <m:sub>
                <m:argPr>
                  <m:argSz m:val="1"/>
                </m:argPr>
                <m:r>
                  <m:rPr>
                    <m:sty m:val="p"/>
                  </m:rPr>
                  <w:rPr>
                    <w:rFonts w:ascii="Cambria Math" w:hAnsi="Cambria Math"/>
                    <w:sz w:val="20"/>
                    <w:szCs w:val="20"/>
                  </w:rPr>
                  <m:t>o</m:t>
                </m:r>
              </m:sub>
            </m:sSub>
          </m:den>
        </m:f>
      </m:oMath>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t xml:space="preserve">   </w:t>
      </w:r>
      <w:r w:rsidR="00687EFC">
        <w:rPr>
          <w:rFonts w:ascii="Times New Roman" w:hAnsi="Times New Roman"/>
          <w:sz w:val="20"/>
          <w:szCs w:val="20"/>
        </w:rPr>
        <w:t xml:space="preserve">      </w:t>
      </w:r>
      <w:r w:rsidR="00687EFC" w:rsidRPr="00687EFC">
        <w:rPr>
          <w:rFonts w:ascii="Times New Roman" w:hAnsi="Times New Roman"/>
          <w:sz w:val="20"/>
          <w:szCs w:val="20"/>
        </w:rPr>
        <w:t>(6)</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where R</w:t>
      </w:r>
      <w:r w:rsidRPr="00687EFC">
        <w:rPr>
          <w:rFonts w:ascii="Times New Roman" w:hAnsi="Times New Roman"/>
          <w:sz w:val="20"/>
          <w:szCs w:val="20"/>
          <w:vertAlign w:val="subscript"/>
        </w:rPr>
        <w:t>L</w:t>
      </w:r>
      <w:r w:rsidRPr="00687EFC">
        <w:rPr>
          <w:rFonts w:ascii="Times New Roman" w:hAnsi="Times New Roman"/>
          <w:sz w:val="20"/>
          <w:szCs w:val="20"/>
        </w:rPr>
        <w:t xml:space="preserve"> is the separation factor parameter. C</w:t>
      </w:r>
      <w:r w:rsidRPr="00687EFC">
        <w:rPr>
          <w:rFonts w:ascii="Times New Roman" w:hAnsi="Times New Roman"/>
          <w:sz w:val="20"/>
          <w:szCs w:val="20"/>
          <w:vertAlign w:val="subscript"/>
        </w:rPr>
        <w:t>o</w:t>
      </w:r>
      <w:r w:rsidRPr="00687EFC">
        <w:rPr>
          <w:rFonts w:ascii="Times New Roman" w:hAnsi="Times New Roman"/>
          <w:sz w:val="20"/>
          <w:szCs w:val="20"/>
        </w:rPr>
        <w:t xml:space="preserve"> is the initial concentration (mg/L) and b is the Langmuir constant (L/mg).</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Meanwhile adsorption kinetic models used in this study were pseudo–first–order and pseudo–second–order. The linear form of pseudo–first–order rate equation is expressed as Equation 7 [22]:</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ind w:firstLine="720"/>
        <w:jc w:val="both"/>
        <w:outlineLvl w:val="0"/>
        <w:rPr>
          <w:rFonts w:ascii="Times New Roman" w:hAnsi="Times New Roman"/>
          <w:sz w:val="20"/>
          <w:szCs w:val="20"/>
        </w:rPr>
      </w:pPr>
      <m:oMath>
        <m:r>
          <m:rPr>
            <m:sty m:val="p"/>
          </m:rPr>
          <w:rPr>
            <w:rFonts w:ascii="Cambria Math" w:hAnsi="Cambria Math"/>
            <w:sz w:val="20"/>
            <w:szCs w:val="20"/>
          </w:rPr>
          <m:t xml:space="preserve">log </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q</m:t>
                </m:r>
              </m:e>
              <m:sub>
                <m:r>
                  <m:rPr>
                    <m:sty m:val="p"/>
                  </m:rPr>
                  <w:rPr>
                    <w:rFonts w:ascii="Cambria Math" w:hAnsi="Cambria Math"/>
                    <w:sz w:val="20"/>
                    <w:szCs w:val="20"/>
                  </w:rPr>
                  <m:t>t</m:t>
                </m:r>
              </m:sub>
            </m:sSub>
          </m:e>
        </m:d>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log</m:t>
            </m:r>
          </m:fName>
          <m:e>
            <m:sSub>
              <m:sSubPr>
                <m:ctrlPr>
                  <w:rPr>
                    <w:rFonts w:ascii="Cambria Math" w:hAnsi="Cambria Math"/>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e>
        </m:func>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k</m:t>
                </m:r>
              </m:e>
              <m:sub>
                <m:r>
                  <m:rPr>
                    <m:sty m:val="p"/>
                  </m:rPr>
                  <w:rPr>
                    <w:rFonts w:ascii="Cambria Math" w:hAnsi="Cambria Math"/>
                    <w:sz w:val="20"/>
                    <w:szCs w:val="20"/>
                  </w:rPr>
                  <m:t>1</m:t>
                </m:r>
              </m:sub>
            </m:sSub>
          </m:num>
          <m:den>
            <m:r>
              <m:rPr>
                <m:sty m:val="p"/>
              </m:rPr>
              <w:rPr>
                <w:rFonts w:ascii="Cambria Math" w:hAnsi="Cambria Math"/>
                <w:sz w:val="20"/>
                <w:szCs w:val="20"/>
              </w:rPr>
              <m:t>2.303</m:t>
            </m:r>
          </m:den>
        </m:f>
        <m:r>
          <m:rPr>
            <m:sty m:val="p"/>
          </m:rPr>
          <w:rPr>
            <w:rFonts w:ascii="Cambria Math" w:hAnsi="Cambria Math"/>
            <w:sz w:val="20"/>
            <w:szCs w:val="20"/>
          </w:rPr>
          <m:t>t</m:t>
        </m:r>
      </m:oMath>
      <w:r w:rsidRPr="00687EFC">
        <w:rPr>
          <w:rFonts w:ascii="Times New Roman" w:hAnsi="Times New Roman"/>
          <w:sz w:val="20"/>
          <w:szCs w:val="20"/>
        </w:rPr>
        <w:t xml:space="preserve"> </w:t>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r>
      <w:r w:rsidRPr="00687EFC">
        <w:rPr>
          <w:rFonts w:ascii="Times New Roman" w:hAnsi="Times New Roman"/>
          <w:sz w:val="20"/>
          <w:szCs w:val="20"/>
        </w:rPr>
        <w:tab/>
        <w:t xml:space="preserve">   </w:t>
      </w:r>
      <w:r>
        <w:rPr>
          <w:rFonts w:ascii="Times New Roman" w:hAnsi="Times New Roman"/>
          <w:sz w:val="20"/>
          <w:szCs w:val="20"/>
        </w:rPr>
        <w:t xml:space="preserve">      </w:t>
      </w:r>
      <w:r w:rsidRPr="00687EFC">
        <w:rPr>
          <w:rFonts w:ascii="Times New Roman" w:hAnsi="Times New Roman"/>
          <w:sz w:val="20"/>
          <w:szCs w:val="20"/>
        </w:rPr>
        <w:t>(7)</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where q</w:t>
      </w:r>
      <w:r w:rsidRPr="00687EFC">
        <w:rPr>
          <w:rFonts w:ascii="Times New Roman" w:hAnsi="Times New Roman"/>
          <w:sz w:val="20"/>
          <w:szCs w:val="20"/>
          <w:vertAlign w:val="subscript"/>
        </w:rPr>
        <w:t>e</w:t>
      </w:r>
      <w:r w:rsidRPr="00687EFC">
        <w:rPr>
          <w:rFonts w:ascii="Times New Roman" w:hAnsi="Times New Roman"/>
          <w:sz w:val="20"/>
          <w:szCs w:val="20"/>
        </w:rPr>
        <w:t xml:space="preserve"> and q</w:t>
      </w:r>
      <w:r w:rsidRPr="00687EFC">
        <w:rPr>
          <w:rFonts w:ascii="Times New Roman" w:hAnsi="Times New Roman"/>
          <w:sz w:val="20"/>
          <w:szCs w:val="20"/>
          <w:vertAlign w:val="subscript"/>
        </w:rPr>
        <w:t>t</w:t>
      </w:r>
      <w:r w:rsidRPr="00687EFC">
        <w:rPr>
          <w:rFonts w:ascii="Times New Roman" w:hAnsi="Times New Roman"/>
          <w:sz w:val="20"/>
          <w:szCs w:val="20"/>
        </w:rPr>
        <w:t xml:space="preserve"> (mg/g) are the amount of MG absorbed onto adsorbent at equilibrium and at time t (min), respectively and k</w:t>
      </w:r>
      <w:r w:rsidRPr="00687EFC">
        <w:rPr>
          <w:rFonts w:ascii="Times New Roman" w:hAnsi="Times New Roman"/>
          <w:sz w:val="20"/>
          <w:szCs w:val="20"/>
          <w:vertAlign w:val="subscript"/>
        </w:rPr>
        <w:t>1</w:t>
      </w:r>
      <w:r w:rsidRPr="00687EFC">
        <w:rPr>
          <w:rFonts w:ascii="Times New Roman" w:hAnsi="Times New Roman"/>
          <w:sz w:val="20"/>
          <w:szCs w:val="20"/>
        </w:rPr>
        <w:t xml:space="preserve"> (min</w:t>
      </w:r>
      <w:r w:rsidRPr="00687EFC">
        <w:rPr>
          <w:rFonts w:ascii="Times New Roman" w:hAnsi="Times New Roman"/>
          <w:sz w:val="20"/>
          <w:szCs w:val="20"/>
          <w:vertAlign w:val="superscript"/>
        </w:rPr>
        <w:t>–1</w:t>
      </w:r>
      <w:r w:rsidRPr="00687EFC">
        <w:rPr>
          <w:rFonts w:ascii="Times New Roman" w:hAnsi="Times New Roman"/>
          <w:sz w:val="20"/>
          <w:szCs w:val="20"/>
        </w:rPr>
        <w:t>) is the rate constant of pseudo–first–order adsorption. The straight-line plots of log (q</w:t>
      </w:r>
      <w:r w:rsidRPr="00687EFC">
        <w:rPr>
          <w:rFonts w:ascii="Times New Roman" w:hAnsi="Times New Roman"/>
          <w:sz w:val="20"/>
          <w:szCs w:val="20"/>
          <w:vertAlign w:val="subscript"/>
        </w:rPr>
        <w:t>e</w:t>
      </w:r>
      <w:r w:rsidRPr="00687EFC">
        <w:rPr>
          <w:rFonts w:ascii="Times New Roman" w:hAnsi="Times New Roman"/>
          <w:sz w:val="20"/>
          <w:szCs w:val="20"/>
        </w:rPr>
        <w:t>–q</w:t>
      </w:r>
      <w:r w:rsidRPr="00687EFC">
        <w:rPr>
          <w:rFonts w:ascii="Times New Roman" w:hAnsi="Times New Roman"/>
          <w:sz w:val="20"/>
          <w:szCs w:val="20"/>
          <w:vertAlign w:val="subscript"/>
        </w:rPr>
        <w:t>t</w:t>
      </w:r>
      <w:r w:rsidRPr="00687EFC">
        <w:rPr>
          <w:rFonts w:ascii="Times New Roman" w:hAnsi="Times New Roman"/>
          <w:sz w:val="20"/>
          <w:szCs w:val="20"/>
        </w:rPr>
        <w:t>) against t will yield the values of rate constant, k</w:t>
      </w:r>
      <w:r w:rsidRPr="00687EFC">
        <w:rPr>
          <w:rFonts w:ascii="Times New Roman" w:hAnsi="Times New Roman"/>
          <w:sz w:val="20"/>
          <w:szCs w:val="20"/>
          <w:vertAlign w:val="subscript"/>
        </w:rPr>
        <w:t>1</w:t>
      </w:r>
      <w:r w:rsidRPr="00687EFC">
        <w:rPr>
          <w:rFonts w:ascii="Times New Roman" w:hAnsi="Times New Roman"/>
          <w:sz w:val="20"/>
          <w:szCs w:val="20"/>
        </w:rPr>
        <w:t xml:space="preserve"> and q</w:t>
      </w:r>
      <w:r w:rsidRPr="00687EFC">
        <w:rPr>
          <w:rFonts w:ascii="Times New Roman" w:hAnsi="Times New Roman"/>
          <w:sz w:val="20"/>
          <w:szCs w:val="20"/>
          <w:vertAlign w:val="subscript"/>
        </w:rPr>
        <w:t>e</w:t>
      </w:r>
      <w:r w:rsidRPr="00687EFC">
        <w:rPr>
          <w:rFonts w:ascii="Times New Roman" w:hAnsi="Times New Roman"/>
          <w:sz w:val="20"/>
          <w:szCs w:val="20"/>
        </w:rPr>
        <w:t xml:space="preserve"> from the slope and intercept, respectively.</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The pseudo–second–order equation is based on the assumption that chemisorption is the rate determining step and is expressed as given by Equation 8 [23]:</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20549C" w:rsidP="00687EFC">
      <w:pPr>
        <w:spacing w:after="0" w:line="240" w:lineRule="auto"/>
        <w:ind w:firstLine="720"/>
        <w:jc w:val="both"/>
        <w:outlineLvl w:val="0"/>
        <w:rPr>
          <w:rFonts w:ascii="Times New Roman" w:hAnsi="Times New Roman"/>
          <w:sz w:val="20"/>
          <w:szCs w:val="20"/>
        </w:rPr>
      </w:pPr>
      <m:oMath>
        <m:f>
          <m:fPr>
            <m:ctrlPr>
              <w:rPr>
                <w:rFonts w:ascii="Cambria Math" w:hAnsi="Cambria Math"/>
                <w:sz w:val="20"/>
                <w:szCs w:val="20"/>
              </w:rPr>
            </m:ctrlPr>
          </m:fPr>
          <m:num>
            <m:r>
              <m:rPr>
                <m:sty m:val="p"/>
              </m:rPr>
              <w:rPr>
                <w:rFonts w:ascii="Cambria Math" w:hAnsi="Cambria Math"/>
                <w:sz w:val="20"/>
                <w:szCs w:val="20"/>
              </w:rPr>
              <m:t>t</m:t>
            </m:r>
          </m:num>
          <m:den>
            <m:sSub>
              <m:sSubPr>
                <m:ctrlPr>
                  <w:rPr>
                    <w:rFonts w:ascii="Cambria Math" w:hAnsi="Cambria Math"/>
                    <w:sz w:val="20"/>
                    <w:szCs w:val="20"/>
                  </w:rPr>
                </m:ctrlPr>
              </m:sSubPr>
              <m:e>
                <m:r>
                  <m:rPr>
                    <m:sty m:val="p"/>
                  </m:rPr>
                  <w:rPr>
                    <w:rFonts w:ascii="Cambria Math" w:hAnsi="Cambria Math"/>
                    <w:sz w:val="20"/>
                    <w:szCs w:val="20"/>
                  </w:rPr>
                  <m:t>q</m:t>
                </m:r>
              </m:e>
              <m:sub>
                <m:r>
                  <m:rPr>
                    <m:sty m:val="p"/>
                  </m:rPr>
                  <w:rPr>
                    <w:rFonts w:ascii="Cambria Math" w:hAnsi="Cambria Math"/>
                    <w:sz w:val="20"/>
                    <w:szCs w:val="20"/>
                  </w:rPr>
                  <m:t>t</m:t>
                </m:r>
              </m:sub>
            </m:sSub>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h</m:t>
            </m:r>
          </m:den>
        </m:f>
        <m:r>
          <m:rPr>
            <m:sty m:val="p"/>
          </m:rPr>
          <w:rPr>
            <w:rFonts w:ascii="Cambria Math" w:hAnsi="Cambria Math"/>
            <w:sz w:val="20"/>
            <w:szCs w:val="20"/>
          </w:rPr>
          <m:t xml:space="preserve">+ </m:t>
        </m:r>
        <m:f>
          <m:fPr>
            <m:ctrlPr>
              <w:rPr>
                <w:rFonts w:ascii="Cambria Math" w:hAnsi="Cambria Math"/>
                <w:sz w:val="20"/>
                <w:szCs w:val="20"/>
              </w:rPr>
            </m:ctrlPr>
          </m:fPr>
          <m:num>
            <m:r>
              <m:rPr>
                <m:sty m:val="p"/>
              </m:rPr>
              <w:rPr>
                <w:rFonts w:ascii="Cambria Math" w:hAnsi="Cambria Math"/>
                <w:sz w:val="20"/>
                <w:szCs w:val="20"/>
              </w:rPr>
              <m:t>t</m:t>
            </m:r>
          </m:num>
          <m:den>
            <m:sSub>
              <m:sSubPr>
                <m:ctrlPr>
                  <w:rPr>
                    <w:rFonts w:ascii="Cambria Math" w:hAnsi="Cambria Math"/>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den>
        </m:f>
      </m:oMath>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r>
      <w:r w:rsidR="00687EFC" w:rsidRPr="00687EFC">
        <w:rPr>
          <w:rFonts w:ascii="Times New Roman" w:hAnsi="Times New Roman"/>
          <w:sz w:val="20"/>
          <w:szCs w:val="20"/>
        </w:rPr>
        <w:tab/>
        <w:t xml:space="preserve">   </w:t>
      </w:r>
      <w:r w:rsidR="00687EFC">
        <w:rPr>
          <w:rFonts w:ascii="Times New Roman" w:hAnsi="Times New Roman"/>
          <w:sz w:val="20"/>
          <w:szCs w:val="20"/>
        </w:rPr>
        <w:t xml:space="preserve">      </w:t>
      </w:r>
      <w:r w:rsidR="00687EFC" w:rsidRPr="00687EFC">
        <w:rPr>
          <w:rFonts w:ascii="Times New Roman" w:hAnsi="Times New Roman"/>
          <w:sz w:val="20"/>
          <w:szCs w:val="20"/>
        </w:rPr>
        <w:t>(8)</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where h = k</w:t>
      </w:r>
      <w:r w:rsidRPr="00687EFC">
        <w:rPr>
          <w:rFonts w:ascii="Times New Roman" w:hAnsi="Times New Roman"/>
          <w:sz w:val="20"/>
          <w:szCs w:val="20"/>
          <w:vertAlign w:val="subscript"/>
        </w:rPr>
        <w:t>2</w:t>
      </w:r>
      <m:oMath>
        <m:sSubSup>
          <m:sSubSupPr>
            <m:ctrlPr>
              <w:rPr>
                <w:rFonts w:ascii="Cambria Math" w:hAnsi="Cambria Math"/>
                <w:i/>
                <w:sz w:val="20"/>
                <w:szCs w:val="20"/>
              </w:rPr>
            </m:ctrlPr>
          </m:sSubSupPr>
          <m:e>
            <m:r>
              <w:rPr>
                <w:rFonts w:ascii="Cambria Math" w:hAnsi="Cambria Math"/>
                <w:sz w:val="20"/>
                <w:szCs w:val="20"/>
              </w:rPr>
              <m:t>q</m:t>
            </m:r>
          </m:e>
          <m:sub>
            <m:r>
              <w:rPr>
                <w:rFonts w:ascii="Cambria Math" w:hAnsi="Cambria Math"/>
                <w:sz w:val="20"/>
                <w:szCs w:val="20"/>
              </w:rPr>
              <m:t>e</m:t>
            </m:r>
          </m:sub>
          <m:sup>
            <m:r>
              <w:rPr>
                <w:rFonts w:ascii="Cambria Math" w:hAnsi="Cambria Math"/>
                <w:sz w:val="20"/>
                <w:szCs w:val="20"/>
              </w:rPr>
              <m:t>2</m:t>
            </m:r>
          </m:sup>
        </m:sSubSup>
      </m:oMath>
      <w:r w:rsidRPr="00687EFC">
        <w:rPr>
          <w:rFonts w:ascii="Times New Roman" w:hAnsi="Times New Roman"/>
          <w:sz w:val="20"/>
          <w:szCs w:val="20"/>
        </w:rPr>
        <w:t xml:space="preserve"> can be regarded as the initial adsorption rate (mg/g/min) as t approaches to zero, and k</w:t>
      </w:r>
      <w:r w:rsidRPr="00687EFC">
        <w:rPr>
          <w:rFonts w:ascii="Times New Roman" w:hAnsi="Times New Roman"/>
          <w:sz w:val="20"/>
          <w:szCs w:val="20"/>
          <w:vertAlign w:val="subscript"/>
        </w:rPr>
        <w:t>2</w:t>
      </w:r>
      <w:r w:rsidRPr="00687EFC">
        <w:rPr>
          <w:rFonts w:ascii="Times New Roman" w:hAnsi="Times New Roman"/>
          <w:sz w:val="20"/>
          <w:szCs w:val="20"/>
        </w:rPr>
        <w:t xml:space="preserve"> (g/min/mg) is the rate constant of pseudo–second–order adsorption.</w:t>
      </w:r>
    </w:p>
    <w:p w:rsidR="00AC0033" w:rsidRDefault="00AC0033" w:rsidP="00687EFC">
      <w:pPr>
        <w:spacing w:after="0" w:line="240" w:lineRule="auto"/>
        <w:jc w:val="center"/>
        <w:rPr>
          <w:rFonts w:ascii="Times New Roman" w:hAnsi="Times New Roman"/>
          <w:noProof/>
          <w:sz w:val="20"/>
          <w:szCs w:val="20"/>
          <w:lang w:bidi="ar-SA"/>
        </w:rPr>
      </w:pPr>
    </w:p>
    <w:p w:rsidR="00687EFC" w:rsidRDefault="00687EFC" w:rsidP="00687EFC">
      <w:pPr>
        <w:spacing w:after="0" w:line="240" w:lineRule="auto"/>
        <w:jc w:val="center"/>
        <w:rPr>
          <w:rFonts w:ascii="Times New Roman" w:hAnsi="Times New Roman"/>
          <w:noProof/>
          <w:sz w:val="20"/>
          <w:szCs w:val="20"/>
          <w:lang w:bidi="ar-SA"/>
        </w:rPr>
      </w:pPr>
    </w:p>
    <w:p w:rsidR="003F04E0" w:rsidRPr="00F447A7" w:rsidRDefault="003F04E0" w:rsidP="00687EFC">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Solubility and swelling test of chitosan and chitosan–H</w:t>
      </w:r>
      <w:r w:rsidRPr="00687EFC">
        <w:rPr>
          <w:rFonts w:ascii="Times New Roman" w:hAnsi="Times New Roman"/>
          <w:b/>
          <w:sz w:val="20"/>
          <w:szCs w:val="20"/>
          <w:vertAlign w:val="subscript"/>
        </w:rPr>
        <w:t>2</w:t>
      </w:r>
      <w:r w:rsidRPr="00687EFC">
        <w:rPr>
          <w:rFonts w:ascii="Times New Roman" w:hAnsi="Times New Roman"/>
          <w:b/>
          <w:sz w:val="20"/>
          <w:szCs w:val="20"/>
        </w:rPr>
        <w:t>SO</w:t>
      </w:r>
      <w:r w:rsidRPr="00687EFC">
        <w:rPr>
          <w:rFonts w:ascii="Times New Roman" w:hAnsi="Times New Roman"/>
          <w:b/>
          <w:sz w:val="20"/>
          <w:szCs w:val="20"/>
          <w:vertAlign w:val="subscript"/>
        </w:rPr>
        <w:t xml:space="preserve">4 </w:t>
      </w:r>
      <w:r w:rsidRPr="00687EFC">
        <w:rPr>
          <w:rFonts w:ascii="Times New Roman" w:hAnsi="Times New Roman"/>
          <w:b/>
          <w:sz w:val="20"/>
          <w:szCs w:val="20"/>
        </w:rPr>
        <w:t>beads</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Chitosan is known for its stability in acidic media. Therefore, physical and chemical alterations were carried out to increase the adsorption capacity and improve the stability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 According to Ngah et al. [10], the primary group of amine causes the chitosan beads to have higher hydrophilicity triggering chitosan to be easily soluble in dilute acetic solution to yield a hydrogel. Based on Table 1, it can be seen that the chitosan beads were insoluble in both distilled water and alkaline solution but completely dissolved in acidic medium giving a viscous solution. The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were insoluble in all three media studied. This is due to the ionic cross-linking modification with sulfuric acid greatly reinforcing the chemical stability of chitosan in acidic solution. Both the chitosan beads and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 do not dissolve in neutral and alkaline media because there is less H</w:t>
      </w:r>
      <w:r w:rsidRPr="00687EFC">
        <w:rPr>
          <w:rFonts w:ascii="Times New Roman" w:hAnsi="Times New Roman"/>
          <w:sz w:val="20"/>
          <w:szCs w:val="20"/>
          <w:vertAlign w:val="superscript"/>
        </w:rPr>
        <w:t>+</w:t>
      </w:r>
      <w:r w:rsidRPr="00687EFC">
        <w:rPr>
          <w:rFonts w:ascii="Times New Roman" w:hAnsi="Times New Roman"/>
          <w:sz w:val="20"/>
          <w:szCs w:val="20"/>
        </w:rPr>
        <w:t xml:space="preserve"> ion present to protonate the amino group of chitosan. The insolubility of the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is important because it is the main indicator to determine the optimum pH for the adsorption process and as a sign that it can be used in all media.</w:t>
      </w:r>
    </w:p>
    <w:p w:rsidR="00687EFC" w:rsidRPr="00687EFC" w:rsidRDefault="00687EFC" w:rsidP="00687EFC">
      <w:pPr>
        <w:spacing w:after="120" w:line="240" w:lineRule="auto"/>
        <w:jc w:val="both"/>
        <w:outlineLvl w:val="0"/>
        <w:rPr>
          <w:rFonts w:ascii="Times New Roman" w:hAnsi="Times New Roman"/>
          <w:sz w:val="20"/>
          <w:szCs w:val="20"/>
        </w:rPr>
      </w:pPr>
    </w:p>
    <w:p w:rsidR="00687EFC" w:rsidRPr="00687EFC" w:rsidRDefault="00687EFC" w:rsidP="00687EFC">
      <w:pPr>
        <w:tabs>
          <w:tab w:val="left" w:pos="270"/>
          <w:tab w:val="left" w:pos="1440"/>
        </w:tabs>
        <w:spacing w:after="120" w:line="240" w:lineRule="auto"/>
        <w:jc w:val="center"/>
        <w:rPr>
          <w:rFonts w:ascii="Times New Roman" w:hAnsi="Times New Roman"/>
          <w:sz w:val="20"/>
          <w:szCs w:val="20"/>
        </w:rPr>
      </w:pPr>
      <w:r w:rsidRPr="00687EFC">
        <w:rPr>
          <w:rFonts w:ascii="Times New Roman" w:hAnsi="Times New Roman"/>
          <w:sz w:val="20"/>
          <w:szCs w:val="20"/>
        </w:rPr>
        <w:t xml:space="preserve">Table 1. </w:t>
      </w:r>
      <w:r>
        <w:rPr>
          <w:rFonts w:ascii="Times New Roman" w:hAnsi="Times New Roman"/>
          <w:sz w:val="20"/>
          <w:szCs w:val="20"/>
        </w:rPr>
        <w:t xml:space="preserve"> </w:t>
      </w:r>
      <w:r w:rsidRPr="00687EFC">
        <w:rPr>
          <w:rFonts w:ascii="Times New Roman" w:hAnsi="Times New Roman"/>
          <w:sz w:val="20"/>
          <w:szCs w:val="20"/>
        </w:rPr>
        <w:t>Solubility effect of chitosan beads and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w:t>
      </w:r>
    </w:p>
    <w:tbl>
      <w:tblPr>
        <w:tblW w:w="0" w:type="auto"/>
        <w:jc w:val="center"/>
        <w:tblLook w:val="04A0" w:firstRow="1" w:lastRow="0" w:firstColumn="1" w:lastColumn="0" w:noHBand="0" w:noVBand="1"/>
      </w:tblPr>
      <w:tblGrid>
        <w:gridCol w:w="2063"/>
        <w:gridCol w:w="1988"/>
        <w:gridCol w:w="1522"/>
        <w:gridCol w:w="1311"/>
      </w:tblGrid>
      <w:tr w:rsidR="00687EFC" w:rsidRPr="00687EFC" w:rsidTr="004C2605">
        <w:trPr>
          <w:trHeight w:val="335"/>
          <w:jc w:val="center"/>
        </w:trPr>
        <w:tc>
          <w:tcPr>
            <w:tcW w:w="0" w:type="auto"/>
            <w:vMerge w:val="restart"/>
            <w:tcBorders>
              <w:top w:val="single" w:sz="4" w:space="0" w:color="auto"/>
            </w:tcBorders>
            <w:shd w:val="clear" w:color="auto" w:fill="auto"/>
            <w:noWrap/>
            <w:vAlign w:val="center"/>
            <w:hideMark/>
          </w:tcPr>
          <w:p w:rsidR="00687EFC" w:rsidRPr="00687EFC" w:rsidRDefault="00687EFC" w:rsidP="004C2605">
            <w:pPr>
              <w:spacing w:after="0" w:line="240" w:lineRule="auto"/>
              <w:rPr>
                <w:rFonts w:ascii="Times New Roman" w:hAnsi="Times New Roman"/>
                <w:b/>
                <w:sz w:val="20"/>
                <w:szCs w:val="20"/>
              </w:rPr>
            </w:pPr>
            <w:r w:rsidRPr="00687EFC">
              <w:rPr>
                <w:rFonts w:ascii="Times New Roman" w:hAnsi="Times New Roman"/>
                <w:b/>
                <w:sz w:val="20"/>
                <w:szCs w:val="20"/>
              </w:rPr>
              <w:t>Adsorbent</w:t>
            </w:r>
          </w:p>
        </w:tc>
        <w:tc>
          <w:tcPr>
            <w:tcW w:w="0" w:type="auto"/>
            <w:gridSpan w:val="3"/>
            <w:tcBorders>
              <w:top w:val="single" w:sz="4" w:space="0" w:color="auto"/>
              <w:bottom w:val="single" w:sz="4" w:space="0" w:color="auto"/>
            </w:tcBorders>
            <w:shd w:val="clear" w:color="auto" w:fill="auto"/>
            <w:noWrap/>
            <w:vAlign w:val="center"/>
            <w:hideMark/>
          </w:tcPr>
          <w:p w:rsidR="00687EFC" w:rsidRPr="00687EFC" w:rsidRDefault="00687EFC" w:rsidP="00687EFC">
            <w:pPr>
              <w:spacing w:before="60" w:after="0" w:line="240" w:lineRule="auto"/>
              <w:jc w:val="center"/>
              <w:rPr>
                <w:rFonts w:ascii="Times New Roman" w:hAnsi="Times New Roman"/>
                <w:b/>
                <w:sz w:val="20"/>
                <w:szCs w:val="20"/>
              </w:rPr>
            </w:pPr>
            <w:r w:rsidRPr="00687EFC">
              <w:rPr>
                <w:rFonts w:ascii="Times New Roman" w:hAnsi="Times New Roman"/>
                <w:b/>
                <w:sz w:val="20"/>
                <w:szCs w:val="20"/>
              </w:rPr>
              <w:t>Solubility Effect</w:t>
            </w:r>
          </w:p>
        </w:tc>
      </w:tr>
      <w:tr w:rsidR="00687EFC" w:rsidRPr="00687EFC" w:rsidTr="004C2605">
        <w:trPr>
          <w:trHeight w:val="259"/>
          <w:jc w:val="center"/>
        </w:trPr>
        <w:tc>
          <w:tcPr>
            <w:tcW w:w="0" w:type="auto"/>
            <w:vMerge/>
            <w:tcBorders>
              <w:bottom w:val="single" w:sz="4" w:space="0" w:color="auto"/>
            </w:tcBorders>
            <w:vAlign w:val="center"/>
            <w:hideMark/>
          </w:tcPr>
          <w:p w:rsidR="00687EFC" w:rsidRPr="00687EFC" w:rsidRDefault="00687EFC" w:rsidP="004C2605">
            <w:pPr>
              <w:spacing w:after="0" w:line="240" w:lineRule="auto"/>
              <w:rPr>
                <w:rFonts w:ascii="Times New Roman" w:hAnsi="Times New Roman"/>
                <w:b/>
                <w:sz w:val="20"/>
                <w:szCs w:val="20"/>
              </w:rPr>
            </w:pP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4C2605">
            <w:pPr>
              <w:spacing w:after="60" w:line="240" w:lineRule="auto"/>
              <w:jc w:val="center"/>
              <w:rPr>
                <w:rFonts w:ascii="Times New Roman" w:hAnsi="Times New Roman"/>
                <w:b/>
                <w:sz w:val="20"/>
                <w:szCs w:val="20"/>
              </w:rPr>
            </w:pPr>
            <w:r w:rsidRPr="00687EFC">
              <w:rPr>
                <w:rFonts w:ascii="Times New Roman" w:hAnsi="Times New Roman"/>
                <w:b/>
                <w:sz w:val="20"/>
                <w:szCs w:val="20"/>
              </w:rPr>
              <w:t>5% (v/v) Acetic Acid</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4C2605">
            <w:pPr>
              <w:spacing w:after="60" w:line="240" w:lineRule="auto"/>
              <w:jc w:val="center"/>
              <w:rPr>
                <w:rFonts w:ascii="Times New Roman" w:hAnsi="Times New Roman"/>
                <w:b/>
                <w:sz w:val="20"/>
                <w:szCs w:val="20"/>
              </w:rPr>
            </w:pPr>
            <w:r w:rsidRPr="00687EFC">
              <w:rPr>
                <w:rFonts w:ascii="Times New Roman" w:hAnsi="Times New Roman"/>
                <w:b/>
                <w:sz w:val="20"/>
                <w:szCs w:val="20"/>
              </w:rPr>
              <w:t>Distilled Water</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4C2605">
            <w:pPr>
              <w:spacing w:after="60" w:line="240" w:lineRule="auto"/>
              <w:jc w:val="center"/>
              <w:rPr>
                <w:rFonts w:ascii="Times New Roman" w:hAnsi="Times New Roman"/>
                <w:b/>
                <w:sz w:val="20"/>
                <w:szCs w:val="20"/>
              </w:rPr>
            </w:pPr>
            <w:r w:rsidRPr="00687EFC">
              <w:rPr>
                <w:rFonts w:ascii="Times New Roman" w:hAnsi="Times New Roman"/>
                <w:b/>
                <w:sz w:val="20"/>
                <w:szCs w:val="20"/>
              </w:rPr>
              <w:t>0.1 M NaOH</w:t>
            </w:r>
          </w:p>
        </w:tc>
      </w:tr>
      <w:tr w:rsidR="00687EFC" w:rsidRPr="00687EFC" w:rsidTr="004C2605">
        <w:trPr>
          <w:trHeight w:val="171"/>
          <w:jc w:val="center"/>
        </w:trPr>
        <w:tc>
          <w:tcPr>
            <w:tcW w:w="0" w:type="auto"/>
            <w:tcBorders>
              <w:top w:val="single" w:sz="4" w:space="0" w:color="auto"/>
            </w:tcBorders>
            <w:shd w:val="clear" w:color="auto" w:fill="auto"/>
            <w:noWrap/>
            <w:vAlign w:val="center"/>
            <w:hideMark/>
          </w:tcPr>
          <w:p w:rsidR="00687EFC" w:rsidRPr="00687EFC" w:rsidRDefault="00687EFC" w:rsidP="004C2605">
            <w:pPr>
              <w:spacing w:before="60" w:after="0" w:line="240" w:lineRule="auto"/>
              <w:rPr>
                <w:rFonts w:ascii="Times New Roman" w:hAnsi="Times New Roman"/>
                <w:sz w:val="20"/>
                <w:szCs w:val="20"/>
              </w:rPr>
            </w:pPr>
            <w:r w:rsidRPr="00687EFC">
              <w:rPr>
                <w:rFonts w:ascii="Times New Roman" w:hAnsi="Times New Roman"/>
                <w:sz w:val="20"/>
                <w:szCs w:val="20"/>
              </w:rPr>
              <w:t>Chitosan beads</w:t>
            </w:r>
          </w:p>
        </w:tc>
        <w:tc>
          <w:tcPr>
            <w:tcW w:w="0" w:type="auto"/>
            <w:tcBorders>
              <w:top w:val="single" w:sz="4" w:space="0" w:color="auto"/>
            </w:tcBorders>
            <w:shd w:val="clear" w:color="auto" w:fill="auto"/>
            <w:noWrap/>
            <w:vAlign w:val="center"/>
            <w:hideMark/>
          </w:tcPr>
          <w:p w:rsidR="00687EFC" w:rsidRPr="00687EFC" w:rsidRDefault="00687EFC" w:rsidP="004C2605">
            <w:pPr>
              <w:spacing w:before="60" w:after="0" w:line="240" w:lineRule="auto"/>
              <w:jc w:val="center"/>
              <w:rPr>
                <w:rFonts w:ascii="Times New Roman" w:hAnsi="Times New Roman"/>
                <w:sz w:val="20"/>
                <w:szCs w:val="20"/>
              </w:rPr>
            </w:pPr>
            <w:r w:rsidRPr="00687EFC">
              <w:rPr>
                <w:rFonts w:ascii="Times New Roman" w:hAnsi="Times New Roman"/>
                <w:sz w:val="20"/>
                <w:szCs w:val="20"/>
              </w:rPr>
              <w:t>Soluble</w:t>
            </w:r>
          </w:p>
        </w:tc>
        <w:tc>
          <w:tcPr>
            <w:tcW w:w="0" w:type="auto"/>
            <w:tcBorders>
              <w:top w:val="single" w:sz="4" w:space="0" w:color="auto"/>
            </w:tcBorders>
            <w:shd w:val="clear" w:color="auto" w:fill="auto"/>
            <w:noWrap/>
            <w:vAlign w:val="center"/>
            <w:hideMark/>
          </w:tcPr>
          <w:p w:rsidR="00687EFC" w:rsidRPr="00687EFC" w:rsidRDefault="00687EFC" w:rsidP="004C2605">
            <w:pPr>
              <w:spacing w:before="60" w:after="0" w:line="240" w:lineRule="auto"/>
              <w:jc w:val="center"/>
              <w:rPr>
                <w:rFonts w:ascii="Times New Roman" w:hAnsi="Times New Roman"/>
                <w:sz w:val="20"/>
                <w:szCs w:val="20"/>
              </w:rPr>
            </w:pPr>
            <w:r w:rsidRPr="00687EFC">
              <w:rPr>
                <w:rFonts w:ascii="Times New Roman" w:hAnsi="Times New Roman"/>
                <w:sz w:val="20"/>
                <w:szCs w:val="20"/>
              </w:rPr>
              <w:t>Insoluble</w:t>
            </w:r>
          </w:p>
        </w:tc>
        <w:tc>
          <w:tcPr>
            <w:tcW w:w="0" w:type="auto"/>
            <w:tcBorders>
              <w:top w:val="single" w:sz="4" w:space="0" w:color="auto"/>
            </w:tcBorders>
            <w:shd w:val="clear" w:color="auto" w:fill="auto"/>
            <w:noWrap/>
            <w:vAlign w:val="center"/>
            <w:hideMark/>
          </w:tcPr>
          <w:p w:rsidR="00687EFC" w:rsidRPr="00687EFC" w:rsidRDefault="00687EFC" w:rsidP="004C2605">
            <w:pPr>
              <w:spacing w:before="60" w:after="0" w:line="240" w:lineRule="auto"/>
              <w:jc w:val="center"/>
              <w:rPr>
                <w:rFonts w:ascii="Times New Roman" w:hAnsi="Times New Roman"/>
                <w:sz w:val="20"/>
                <w:szCs w:val="20"/>
              </w:rPr>
            </w:pPr>
            <w:r w:rsidRPr="00687EFC">
              <w:rPr>
                <w:rFonts w:ascii="Times New Roman" w:hAnsi="Times New Roman"/>
                <w:sz w:val="20"/>
                <w:szCs w:val="20"/>
              </w:rPr>
              <w:t>Insoluble</w:t>
            </w:r>
          </w:p>
        </w:tc>
      </w:tr>
      <w:tr w:rsidR="00687EFC" w:rsidRPr="00687EFC" w:rsidTr="004C2605">
        <w:trPr>
          <w:trHeight w:val="70"/>
          <w:jc w:val="center"/>
        </w:trPr>
        <w:tc>
          <w:tcPr>
            <w:tcW w:w="0" w:type="auto"/>
            <w:tcBorders>
              <w:top w:val="nil"/>
              <w:bottom w:val="single" w:sz="4" w:space="0" w:color="auto"/>
            </w:tcBorders>
            <w:shd w:val="clear" w:color="auto" w:fill="auto"/>
            <w:noWrap/>
            <w:vAlign w:val="center"/>
            <w:hideMark/>
          </w:tcPr>
          <w:p w:rsidR="00687EFC" w:rsidRPr="00687EFC" w:rsidRDefault="00687EFC" w:rsidP="004C2605">
            <w:pPr>
              <w:spacing w:before="60" w:after="60" w:line="240" w:lineRule="auto"/>
              <w:rPr>
                <w:rFonts w:ascii="Times New Roman" w:hAnsi="Times New Roman"/>
                <w:sz w:val="20"/>
                <w:szCs w:val="20"/>
              </w:rPr>
            </w:pPr>
            <w:r w:rsidRPr="00687EFC">
              <w:rPr>
                <w:rFonts w:ascii="Times New Roman" w:hAnsi="Times New Roman"/>
                <w:sz w:val="20"/>
                <w:szCs w:val="20"/>
              </w:rPr>
              <w:t>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w:t>
            </w:r>
          </w:p>
        </w:tc>
        <w:tc>
          <w:tcPr>
            <w:tcW w:w="0" w:type="auto"/>
            <w:tcBorders>
              <w:top w:val="nil"/>
              <w:bottom w:val="single" w:sz="4" w:space="0" w:color="auto"/>
            </w:tcBorders>
            <w:shd w:val="clear" w:color="auto" w:fill="auto"/>
            <w:noWrap/>
            <w:vAlign w:val="center"/>
            <w:hideMark/>
          </w:tcPr>
          <w:p w:rsidR="00687EFC" w:rsidRPr="00687EFC" w:rsidRDefault="00687EFC" w:rsidP="004C2605">
            <w:pPr>
              <w:spacing w:before="60" w:after="60" w:line="240" w:lineRule="auto"/>
              <w:jc w:val="center"/>
              <w:rPr>
                <w:rFonts w:ascii="Times New Roman" w:hAnsi="Times New Roman"/>
                <w:sz w:val="20"/>
                <w:szCs w:val="20"/>
              </w:rPr>
            </w:pPr>
            <w:r w:rsidRPr="00687EFC">
              <w:rPr>
                <w:rFonts w:ascii="Times New Roman" w:hAnsi="Times New Roman"/>
                <w:sz w:val="20"/>
                <w:szCs w:val="20"/>
              </w:rPr>
              <w:t>Insoluble</w:t>
            </w:r>
          </w:p>
        </w:tc>
        <w:tc>
          <w:tcPr>
            <w:tcW w:w="0" w:type="auto"/>
            <w:tcBorders>
              <w:top w:val="nil"/>
              <w:bottom w:val="single" w:sz="4" w:space="0" w:color="auto"/>
            </w:tcBorders>
            <w:shd w:val="clear" w:color="auto" w:fill="auto"/>
            <w:noWrap/>
            <w:vAlign w:val="center"/>
            <w:hideMark/>
          </w:tcPr>
          <w:p w:rsidR="00687EFC" w:rsidRPr="00687EFC" w:rsidRDefault="00687EFC" w:rsidP="004C2605">
            <w:pPr>
              <w:spacing w:before="60" w:after="60" w:line="240" w:lineRule="auto"/>
              <w:jc w:val="center"/>
              <w:rPr>
                <w:rFonts w:ascii="Times New Roman" w:hAnsi="Times New Roman"/>
                <w:sz w:val="20"/>
                <w:szCs w:val="20"/>
              </w:rPr>
            </w:pPr>
            <w:r w:rsidRPr="00687EFC">
              <w:rPr>
                <w:rFonts w:ascii="Times New Roman" w:hAnsi="Times New Roman"/>
                <w:sz w:val="20"/>
                <w:szCs w:val="20"/>
              </w:rPr>
              <w:t>Insoluble</w:t>
            </w:r>
          </w:p>
        </w:tc>
        <w:tc>
          <w:tcPr>
            <w:tcW w:w="0" w:type="auto"/>
            <w:tcBorders>
              <w:top w:val="nil"/>
              <w:bottom w:val="single" w:sz="4" w:space="0" w:color="auto"/>
            </w:tcBorders>
            <w:shd w:val="clear" w:color="auto" w:fill="auto"/>
            <w:noWrap/>
            <w:vAlign w:val="center"/>
            <w:hideMark/>
          </w:tcPr>
          <w:p w:rsidR="00687EFC" w:rsidRPr="00687EFC" w:rsidRDefault="00687EFC" w:rsidP="004C2605">
            <w:pPr>
              <w:spacing w:before="60" w:after="60" w:line="240" w:lineRule="auto"/>
              <w:jc w:val="center"/>
              <w:rPr>
                <w:rFonts w:ascii="Times New Roman" w:hAnsi="Times New Roman"/>
                <w:sz w:val="20"/>
                <w:szCs w:val="20"/>
              </w:rPr>
            </w:pPr>
            <w:r w:rsidRPr="00687EFC">
              <w:rPr>
                <w:rFonts w:ascii="Times New Roman" w:hAnsi="Times New Roman"/>
                <w:sz w:val="20"/>
                <w:szCs w:val="20"/>
              </w:rPr>
              <w:t>Insoluble</w:t>
            </w:r>
          </w:p>
        </w:tc>
      </w:tr>
    </w:tbl>
    <w:p w:rsidR="00687EFC" w:rsidRPr="00687EFC" w:rsidRDefault="00687EFC" w:rsidP="004C2605">
      <w:pPr>
        <w:spacing w:after="12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rPr>
          <w:rFonts w:ascii="Times New Roman" w:hAnsi="Times New Roman"/>
          <w:sz w:val="20"/>
          <w:szCs w:val="20"/>
        </w:rPr>
      </w:pPr>
      <w:r w:rsidRPr="00687EFC">
        <w:rPr>
          <w:rFonts w:ascii="Times New Roman" w:hAnsi="Times New Roman"/>
          <w:sz w:val="20"/>
          <w:szCs w:val="20"/>
        </w:rPr>
        <w:t>The percentage of swelling is the most important to understand the crystalline nature of the adsorbent. From Table 2, the percentage of swelling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was much lower than the percentage of swelling observed for chitosan beads. The swelling ability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depended on the degree of cross-linking. The percentage of swelling will be much lower at a higher cross-linking density [11]. In this study, chitosan beads are soluble in acidic medium but have a higher percentage of swelling in neutral and alkaline medium. However,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show the highest percentage in both acidic and neutral medium but a lower percentage of swelling in alkaline medium. This proved that the reduction in the swelling percentage of chitosan can be attributed to ionic linkages formed between the protonated amine groups (</w:t>
      </w:r>
      <m:oMath>
        <m:sSubSup>
          <m:sSubSupPr>
            <m:ctrlPr>
              <w:rPr>
                <w:rFonts w:ascii="Cambria Math" w:hAnsi="Cambria Math"/>
                <w:sz w:val="20"/>
                <w:szCs w:val="20"/>
              </w:rPr>
            </m:ctrlPr>
          </m:sSubSupPr>
          <m:e>
            <m:r>
              <m:rPr>
                <m:sty m:val="p"/>
              </m:rPr>
              <w:rPr>
                <w:rFonts w:ascii="Cambria Math" w:hAnsi="Cambria Math"/>
                <w:sz w:val="20"/>
                <w:szCs w:val="20"/>
              </w:rPr>
              <m:t>-NH</m:t>
            </m:r>
          </m:e>
          <m:sub>
            <m:r>
              <m:rPr>
                <m:sty m:val="p"/>
              </m:rPr>
              <w:rPr>
                <w:rFonts w:ascii="Cambria Math" w:hAnsi="Cambria Math"/>
                <w:sz w:val="20"/>
                <w:szCs w:val="20"/>
              </w:rPr>
              <m:t>3</m:t>
            </m:r>
          </m:sub>
          <m:sup>
            <m:r>
              <m:rPr>
                <m:sty m:val="p"/>
              </m:rPr>
              <w:rPr>
                <w:rFonts w:ascii="Cambria Math" w:hAnsi="Cambria Math"/>
                <w:sz w:val="20"/>
                <w:szCs w:val="20"/>
              </w:rPr>
              <m:t>+</m:t>
            </m:r>
          </m:sup>
        </m:sSubSup>
      </m:oMath>
      <w:r w:rsidRPr="00687EFC">
        <w:rPr>
          <w:rFonts w:ascii="Times New Roman" w:hAnsi="Times New Roman"/>
          <w:sz w:val="20"/>
          <w:szCs w:val="20"/>
        </w:rPr>
        <w:t xml:space="preserve">) of chitosan and </w:t>
      </w:r>
      <m:oMath>
        <m:sSubSup>
          <m:sSubSupPr>
            <m:ctrlPr>
              <w:rPr>
                <w:rFonts w:ascii="Cambria Math" w:hAnsi="Cambria Math"/>
                <w:sz w:val="20"/>
                <w:szCs w:val="20"/>
              </w:rPr>
            </m:ctrlPr>
          </m:sSubSupPr>
          <m:e>
            <m:r>
              <m:rPr>
                <m:sty m:val="p"/>
              </m:rPr>
              <w:rPr>
                <w:rFonts w:ascii="Cambria Math" w:hAnsi="Cambria Math"/>
                <w:sz w:val="20"/>
                <w:szCs w:val="20"/>
              </w:rPr>
              <m:t>SO</m:t>
            </m:r>
          </m:e>
          <m:sub>
            <m:r>
              <m:rPr>
                <m:sty m:val="p"/>
              </m:rPr>
              <w:rPr>
                <w:rFonts w:ascii="Cambria Math" w:hAnsi="Cambria Math"/>
                <w:sz w:val="20"/>
                <w:szCs w:val="20"/>
              </w:rPr>
              <m:t>4</m:t>
            </m:r>
          </m:sub>
          <m:sup>
            <m:r>
              <m:rPr>
                <m:sty m:val="p"/>
              </m:rPr>
              <w:rPr>
                <w:rFonts w:ascii="Cambria Math" w:hAnsi="Cambria Math"/>
                <w:sz w:val="20"/>
                <w:szCs w:val="20"/>
              </w:rPr>
              <m:t>2-</m:t>
            </m:r>
          </m:sup>
        </m:sSubSup>
      </m:oMath>
      <w:r w:rsidRPr="00687EFC">
        <w:rPr>
          <w:rFonts w:ascii="Times New Roman" w:hAnsi="Times New Roman"/>
          <w:sz w:val="20"/>
          <w:szCs w:val="20"/>
        </w:rPr>
        <w:t xml:space="preserve"> ions of sulfuric acid, which increased the chemical stability of the beads in acidic medium.</w:t>
      </w:r>
    </w:p>
    <w:p w:rsidR="00687EFC" w:rsidRPr="00687EFC" w:rsidRDefault="00687EFC" w:rsidP="004C2605">
      <w:pPr>
        <w:spacing w:after="120" w:line="240" w:lineRule="auto"/>
        <w:jc w:val="both"/>
        <w:outlineLvl w:val="0"/>
        <w:rPr>
          <w:rFonts w:ascii="Times New Roman" w:hAnsi="Times New Roman"/>
          <w:sz w:val="20"/>
          <w:szCs w:val="20"/>
        </w:rPr>
      </w:pPr>
    </w:p>
    <w:p w:rsidR="00687EFC" w:rsidRPr="00687EFC" w:rsidRDefault="00687EFC" w:rsidP="004C2605">
      <w:pPr>
        <w:tabs>
          <w:tab w:val="left" w:pos="0"/>
        </w:tabs>
        <w:spacing w:after="120" w:line="240" w:lineRule="auto"/>
        <w:jc w:val="center"/>
        <w:rPr>
          <w:rFonts w:ascii="Times New Roman" w:hAnsi="Times New Roman"/>
          <w:sz w:val="20"/>
          <w:szCs w:val="20"/>
        </w:rPr>
      </w:pPr>
      <w:r w:rsidRPr="00687EFC">
        <w:rPr>
          <w:rFonts w:ascii="Times New Roman" w:hAnsi="Times New Roman"/>
          <w:sz w:val="20"/>
          <w:szCs w:val="20"/>
        </w:rPr>
        <w:t xml:space="preserve">Table 2. </w:t>
      </w:r>
      <w:r w:rsidR="004C2605">
        <w:rPr>
          <w:rFonts w:ascii="Times New Roman" w:hAnsi="Times New Roman"/>
          <w:sz w:val="20"/>
          <w:szCs w:val="20"/>
        </w:rPr>
        <w:t xml:space="preserve"> </w:t>
      </w:r>
      <w:r w:rsidRPr="00687EFC">
        <w:rPr>
          <w:rFonts w:ascii="Times New Roman" w:hAnsi="Times New Roman"/>
          <w:sz w:val="20"/>
          <w:szCs w:val="20"/>
        </w:rPr>
        <w:t>Swelling behavior of chitosan beads and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in different medium</w:t>
      </w:r>
    </w:p>
    <w:tbl>
      <w:tblPr>
        <w:tblW w:w="0" w:type="auto"/>
        <w:jc w:val="center"/>
        <w:tblBorders>
          <w:top w:val="single" w:sz="4" w:space="0" w:color="auto"/>
          <w:bottom w:val="single" w:sz="4" w:space="0" w:color="auto"/>
        </w:tblBorders>
        <w:tblLook w:val="04A0" w:firstRow="1" w:lastRow="0" w:firstColumn="1" w:lastColumn="0" w:noHBand="0" w:noVBand="1"/>
      </w:tblPr>
      <w:tblGrid>
        <w:gridCol w:w="2063"/>
        <w:gridCol w:w="1988"/>
        <w:gridCol w:w="1522"/>
        <w:gridCol w:w="1311"/>
      </w:tblGrid>
      <w:tr w:rsidR="00687EFC" w:rsidRPr="00687EFC" w:rsidTr="004C2605">
        <w:trPr>
          <w:trHeight w:val="238"/>
          <w:jc w:val="center"/>
        </w:trPr>
        <w:tc>
          <w:tcPr>
            <w:tcW w:w="0" w:type="auto"/>
            <w:vMerge w:val="restart"/>
            <w:tcBorders>
              <w:top w:val="single" w:sz="4" w:space="0" w:color="auto"/>
              <w:bottom w:val="nil"/>
            </w:tcBorders>
            <w:shd w:val="clear" w:color="auto" w:fill="auto"/>
            <w:noWrap/>
            <w:vAlign w:val="center"/>
            <w:hideMark/>
          </w:tcPr>
          <w:p w:rsidR="00687EFC" w:rsidRPr="00687EFC" w:rsidRDefault="00687EFC" w:rsidP="004C2605">
            <w:pPr>
              <w:spacing w:after="0" w:line="240" w:lineRule="auto"/>
              <w:rPr>
                <w:rFonts w:ascii="Times New Roman" w:hAnsi="Times New Roman"/>
                <w:b/>
                <w:sz w:val="20"/>
                <w:szCs w:val="20"/>
              </w:rPr>
            </w:pPr>
            <w:r w:rsidRPr="00687EFC">
              <w:rPr>
                <w:rFonts w:ascii="Times New Roman" w:hAnsi="Times New Roman"/>
                <w:b/>
                <w:sz w:val="20"/>
                <w:szCs w:val="20"/>
              </w:rPr>
              <w:t>Adsorbent</w:t>
            </w:r>
          </w:p>
        </w:tc>
        <w:tc>
          <w:tcPr>
            <w:tcW w:w="0" w:type="auto"/>
            <w:gridSpan w:val="3"/>
            <w:tcBorders>
              <w:top w:val="single" w:sz="4" w:space="0" w:color="auto"/>
              <w:bottom w:val="single" w:sz="4" w:space="0" w:color="auto"/>
            </w:tcBorders>
            <w:shd w:val="clear" w:color="auto" w:fill="auto"/>
            <w:noWrap/>
            <w:vAlign w:val="center"/>
            <w:hideMark/>
          </w:tcPr>
          <w:p w:rsidR="00687EFC" w:rsidRPr="00687EFC" w:rsidRDefault="00687EFC" w:rsidP="004C2605">
            <w:pPr>
              <w:spacing w:before="60" w:after="0" w:line="240" w:lineRule="auto"/>
              <w:jc w:val="center"/>
              <w:rPr>
                <w:rFonts w:ascii="Times New Roman" w:hAnsi="Times New Roman"/>
                <w:b/>
                <w:sz w:val="20"/>
                <w:szCs w:val="20"/>
              </w:rPr>
            </w:pPr>
            <w:r w:rsidRPr="00687EFC">
              <w:rPr>
                <w:rFonts w:ascii="Times New Roman" w:hAnsi="Times New Roman"/>
                <w:b/>
                <w:sz w:val="20"/>
                <w:szCs w:val="20"/>
              </w:rPr>
              <w:t>Percentage of Swelling (%)</w:t>
            </w:r>
          </w:p>
        </w:tc>
      </w:tr>
      <w:tr w:rsidR="00687EFC" w:rsidRPr="00687EFC" w:rsidTr="004C2605">
        <w:trPr>
          <w:trHeight w:val="263"/>
          <w:jc w:val="center"/>
        </w:trPr>
        <w:tc>
          <w:tcPr>
            <w:tcW w:w="0" w:type="auto"/>
            <w:vMerge/>
            <w:tcBorders>
              <w:top w:val="nil"/>
              <w:bottom w:val="single" w:sz="4" w:space="0" w:color="auto"/>
            </w:tcBorders>
            <w:vAlign w:val="center"/>
            <w:hideMark/>
          </w:tcPr>
          <w:p w:rsidR="00687EFC" w:rsidRPr="00687EFC" w:rsidRDefault="00687EFC" w:rsidP="004C2605">
            <w:pPr>
              <w:spacing w:after="0" w:line="240" w:lineRule="auto"/>
              <w:rPr>
                <w:rFonts w:ascii="Times New Roman" w:hAnsi="Times New Roman"/>
                <w:b/>
                <w:sz w:val="20"/>
                <w:szCs w:val="20"/>
              </w:rPr>
            </w:pP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4C2605">
            <w:pPr>
              <w:spacing w:after="60" w:line="240" w:lineRule="auto"/>
              <w:jc w:val="center"/>
              <w:rPr>
                <w:rFonts w:ascii="Times New Roman" w:hAnsi="Times New Roman"/>
                <w:b/>
                <w:sz w:val="20"/>
                <w:szCs w:val="20"/>
              </w:rPr>
            </w:pPr>
            <w:r w:rsidRPr="00687EFC">
              <w:rPr>
                <w:rFonts w:ascii="Times New Roman" w:hAnsi="Times New Roman"/>
                <w:b/>
                <w:sz w:val="20"/>
                <w:szCs w:val="20"/>
              </w:rPr>
              <w:t>5% (v/v) Acetic Acid</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4C2605">
            <w:pPr>
              <w:spacing w:after="60" w:line="240" w:lineRule="auto"/>
              <w:jc w:val="center"/>
              <w:rPr>
                <w:rFonts w:ascii="Times New Roman" w:hAnsi="Times New Roman"/>
                <w:b/>
                <w:sz w:val="20"/>
                <w:szCs w:val="20"/>
              </w:rPr>
            </w:pPr>
            <w:r w:rsidRPr="00687EFC">
              <w:rPr>
                <w:rFonts w:ascii="Times New Roman" w:hAnsi="Times New Roman"/>
                <w:b/>
                <w:sz w:val="20"/>
                <w:szCs w:val="20"/>
              </w:rPr>
              <w:t>Distilled Water</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4C2605">
            <w:pPr>
              <w:spacing w:after="60" w:line="240" w:lineRule="auto"/>
              <w:jc w:val="center"/>
              <w:rPr>
                <w:rFonts w:ascii="Times New Roman" w:hAnsi="Times New Roman"/>
                <w:b/>
                <w:sz w:val="20"/>
                <w:szCs w:val="20"/>
              </w:rPr>
            </w:pPr>
            <w:r w:rsidRPr="00687EFC">
              <w:rPr>
                <w:rFonts w:ascii="Times New Roman" w:hAnsi="Times New Roman"/>
                <w:b/>
                <w:sz w:val="20"/>
                <w:szCs w:val="20"/>
              </w:rPr>
              <w:t>0.1 M NaOH</w:t>
            </w:r>
          </w:p>
        </w:tc>
      </w:tr>
      <w:tr w:rsidR="00687EFC" w:rsidRPr="00687EFC" w:rsidTr="004C2605">
        <w:trPr>
          <w:trHeight w:val="288"/>
          <w:jc w:val="center"/>
        </w:trPr>
        <w:tc>
          <w:tcPr>
            <w:tcW w:w="0" w:type="auto"/>
            <w:tcBorders>
              <w:top w:val="single" w:sz="4" w:space="0" w:color="auto"/>
              <w:bottom w:val="nil"/>
            </w:tcBorders>
            <w:shd w:val="clear" w:color="auto" w:fill="auto"/>
            <w:noWrap/>
            <w:vAlign w:val="center"/>
            <w:hideMark/>
          </w:tcPr>
          <w:p w:rsidR="00687EFC" w:rsidRPr="00687EFC" w:rsidRDefault="00687EFC" w:rsidP="004C2605">
            <w:pPr>
              <w:spacing w:before="60" w:after="0" w:line="240" w:lineRule="auto"/>
              <w:rPr>
                <w:rFonts w:ascii="Times New Roman" w:hAnsi="Times New Roman"/>
                <w:sz w:val="20"/>
                <w:szCs w:val="20"/>
              </w:rPr>
            </w:pPr>
            <w:r w:rsidRPr="00687EFC">
              <w:rPr>
                <w:rFonts w:ascii="Times New Roman" w:hAnsi="Times New Roman"/>
                <w:sz w:val="20"/>
                <w:szCs w:val="20"/>
              </w:rPr>
              <w:t>Chitosan beads</w:t>
            </w:r>
          </w:p>
        </w:tc>
        <w:tc>
          <w:tcPr>
            <w:tcW w:w="0" w:type="auto"/>
            <w:tcBorders>
              <w:top w:val="single" w:sz="4" w:space="0" w:color="auto"/>
              <w:bottom w:val="nil"/>
            </w:tcBorders>
            <w:shd w:val="clear" w:color="auto" w:fill="auto"/>
            <w:noWrap/>
            <w:vAlign w:val="center"/>
            <w:hideMark/>
          </w:tcPr>
          <w:p w:rsidR="00687EFC" w:rsidRPr="00687EFC" w:rsidRDefault="00687EFC" w:rsidP="004C2605">
            <w:pPr>
              <w:spacing w:before="60" w:after="0" w:line="240" w:lineRule="auto"/>
              <w:jc w:val="center"/>
              <w:rPr>
                <w:rFonts w:ascii="Times New Roman" w:hAnsi="Times New Roman"/>
                <w:sz w:val="20"/>
                <w:szCs w:val="20"/>
              </w:rPr>
            </w:pPr>
            <w:r w:rsidRPr="00687EFC">
              <w:rPr>
                <w:rFonts w:ascii="Times New Roman" w:hAnsi="Times New Roman"/>
                <w:sz w:val="20"/>
                <w:szCs w:val="20"/>
              </w:rPr>
              <w:t>Soluble</w:t>
            </w:r>
          </w:p>
        </w:tc>
        <w:tc>
          <w:tcPr>
            <w:tcW w:w="0" w:type="auto"/>
            <w:tcBorders>
              <w:top w:val="single" w:sz="4" w:space="0" w:color="auto"/>
              <w:bottom w:val="nil"/>
            </w:tcBorders>
            <w:shd w:val="clear" w:color="auto" w:fill="auto"/>
            <w:noWrap/>
            <w:vAlign w:val="center"/>
            <w:hideMark/>
          </w:tcPr>
          <w:p w:rsidR="00687EFC" w:rsidRPr="00687EFC" w:rsidRDefault="00687EFC" w:rsidP="004C2605">
            <w:pPr>
              <w:spacing w:before="60" w:after="0" w:line="240" w:lineRule="auto"/>
              <w:jc w:val="center"/>
              <w:rPr>
                <w:rFonts w:ascii="Times New Roman" w:hAnsi="Times New Roman"/>
                <w:sz w:val="20"/>
                <w:szCs w:val="20"/>
              </w:rPr>
            </w:pPr>
            <w:r w:rsidRPr="00687EFC">
              <w:rPr>
                <w:rFonts w:ascii="Times New Roman" w:hAnsi="Times New Roman"/>
                <w:sz w:val="20"/>
                <w:szCs w:val="20"/>
              </w:rPr>
              <w:t>164</w:t>
            </w:r>
          </w:p>
        </w:tc>
        <w:tc>
          <w:tcPr>
            <w:tcW w:w="0" w:type="auto"/>
            <w:tcBorders>
              <w:top w:val="single" w:sz="4" w:space="0" w:color="auto"/>
              <w:bottom w:val="nil"/>
            </w:tcBorders>
            <w:shd w:val="clear" w:color="auto" w:fill="auto"/>
            <w:noWrap/>
            <w:vAlign w:val="center"/>
            <w:hideMark/>
          </w:tcPr>
          <w:p w:rsidR="00687EFC" w:rsidRPr="00687EFC" w:rsidRDefault="00687EFC" w:rsidP="004C2605">
            <w:pPr>
              <w:spacing w:before="60" w:after="0" w:line="240" w:lineRule="auto"/>
              <w:jc w:val="center"/>
              <w:rPr>
                <w:rFonts w:ascii="Times New Roman" w:hAnsi="Times New Roman"/>
                <w:sz w:val="20"/>
                <w:szCs w:val="20"/>
              </w:rPr>
            </w:pPr>
            <w:r w:rsidRPr="00687EFC">
              <w:rPr>
                <w:rFonts w:ascii="Times New Roman" w:hAnsi="Times New Roman"/>
                <w:sz w:val="20"/>
                <w:szCs w:val="20"/>
              </w:rPr>
              <w:t>104</w:t>
            </w:r>
          </w:p>
        </w:tc>
      </w:tr>
      <w:tr w:rsidR="00687EFC" w:rsidRPr="00687EFC" w:rsidTr="004C2605">
        <w:trPr>
          <w:trHeight w:val="227"/>
          <w:jc w:val="center"/>
        </w:trPr>
        <w:tc>
          <w:tcPr>
            <w:tcW w:w="0" w:type="auto"/>
            <w:tcBorders>
              <w:top w:val="nil"/>
              <w:bottom w:val="single" w:sz="4" w:space="0" w:color="auto"/>
            </w:tcBorders>
            <w:shd w:val="clear" w:color="auto" w:fill="auto"/>
            <w:noWrap/>
            <w:vAlign w:val="center"/>
            <w:hideMark/>
          </w:tcPr>
          <w:p w:rsidR="00687EFC" w:rsidRPr="00687EFC" w:rsidRDefault="00687EFC" w:rsidP="004C2605">
            <w:pPr>
              <w:spacing w:before="60" w:after="60" w:line="240" w:lineRule="auto"/>
              <w:rPr>
                <w:rFonts w:ascii="Times New Roman" w:hAnsi="Times New Roman"/>
                <w:sz w:val="20"/>
                <w:szCs w:val="20"/>
              </w:rPr>
            </w:pPr>
            <w:r w:rsidRPr="00687EFC">
              <w:rPr>
                <w:rFonts w:ascii="Times New Roman" w:hAnsi="Times New Roman"/>
                <w:sz w:val="20"/>
                <w:szCs w:val="20"/>
              </w:rPr>
              <w:t>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w:t>
            </w:r>
          </w:p>
        </w:tc>
        <w:tc>
          <w:tcPr>
            <w:tcW w:w="0" w:type="auto"/>
            <w:tcBorders>
              <w:top w:val="nil"/>
              <w:bottom w:val="single" w:sz="4" w:space="0" w:color="auto"/>
            </w:tcBorders>
            <w:shd w:val="clear" w:color="auto" w:fill="auto"/>
            <w:noWrap/>
            <w:vAlign w:val="center"/>
            <w:hideMark/>
          </w:tcPr>
          <w:p w:rsidR="00687EFC" w:rsidRPr="00687EFC" w:rsidRDefault="00687EFC" w:rsidP="004C2605">
            <w:pPr>
              <w:spacing w:before="60" w:after="60" w:line="240" w:lineRule="auto"/>
              <w:jc w:val="center"/>
              <w:rPr>
                <w:rFonts w:ascii="Times New Roman" w:hAnsi="Times New Roman"/>
                <w:sz w:val="20"/>
                <w:szCs w:val="20"/>
              </w:rPr>
            </w:pPr>
            <w:r w:rsidRPr="00687EFC">
              <w:rPr>
                <w:rFonts w:ascii="Times New Roman" w:hAnsi="Times New Roman"/>
                <w:sz w:val="20"/>
                <w:szCs w:val="20"/>
              </w:rPr>
              <w:t>125</w:t>
            </w:r>
          </w:p>
        </w:tc>
        <w:tc>
          <w:tcPr>
            <w:tcW w:w="0" w:type="auto"/>
            <w:tcBorders>
              <w:top w:val="nil"/>
              <w:bottom w:val="single" w:sz="4" w:space="0" w:color="auto"/>
            </w:tcBorders>
            <w:shd w:val="clear" w:color="auto" w:fill="auto"/>
            <w:noWrap/>
            <w:vAlign w:val="center"/>
            <w:hideMark/>
          </w:tcPr>
          <w:p w:rsidR="00687EFC" w:rsidRPr="00687EFC" w:rsidRDefault="00687EFC" w:rsidP="004C2605">
            <w:pPr>
              <w:spacing w:before="60" w:after="60" w:line="240" w:lineRule="auto"/>
              <w:jc w:val="center"/>
              <w:rPr>
                <w:rFonts w:ascii="Times New Roman" w:hAnsi="Times New Roman"/>
                <w:sz w:val="20"/>
                <w:szCs w:val="20"/>
              </w:rPr>
            </w:pPr>
            <w:r w:rsidRPr="00687EFC">
              <w:rPr>
                <w:rFonts w:ascii="Times New Roman" w:hAnsi="Times New Roman"/>
                <w:sz w:val="20"/>
                <w:szCs w:val="20"/>
              </w:rPr>
              <w:t>81.5</w:t>
            </w:r>
          </w:p>
        </w:tc>
        <w:tc>
          <w:tcPr>
            <w:tcW w:w="0" w:type="auto"/>
            <w:tcBorders>
              <w:top w:val="nil"/>
              <w:bottom w:val="single" w:sz="4" w:space="0" w:color="auto"/>
            </w:tcBorders>
            <w:shd w:val="clear" w:color="auto" w:fill="auto"/>
            <w:noWrap/>
            <w:vAlign w:val="center"/>
            <w:hideMark/>
          </w:tcPr>
          <w:p w:rsidR="00687EFC" w:rsidRPr="00687EFC" w:rsidRDefault="00687EFC" w:rsidP="004C2605">
            <w:pPr>
              <w:spacing w:before="60" w:after="60" w:line="240" w:lineRule="auto"/>
              <w:jc w:val="center"/>
              <w:rPr>
                <w:rFonts w:ascii="Times New Roman" w:hAnsi="Times New Roman"/>
                <w:sz w:val="20"/>
                <w:szCs w:val="20"/>
              </w:rPr>
            </w:pPr>
            <w:r w:rsidRPr="00687EFC">
              <w:rPr>
                <w:rFonts w:ascii="Times New Roman" w:hAnsi="Times New Roman"/>
                <w:sz w:val="20"/>
                <w:szCs w:val="20"/>
              </w:rPr>
              <w:t>71</w:t>
            </w:r>
          </w:p>
        </w:tc>
      </w:tr>
    </w:tbl>
    <w:p w:rsidR="00687EFC" w:rsidRPr="00687EFC" w:rsidRDefault="00687EFC" w:rsidP="004C2605">
      <w:pPr>
        <w:spacing w:after="12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Effect of initial pH</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Figure 1 shows the effect of different pH for the adsorption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It can be seen that dye adsorption was unfavorable at pH &lt; 4. As the pH of the system decreased, the –NH</w:t>
      </w:r>
      <w:r w:rsidRPr="00687EFC">
        <w:rPr>
          <w:rFonts w:ascii="Times New Roman" w:hAnsi="Times New Roman"/>
          <w:sz w:val="20"/>
          <w:szCs w:val="20"/>
          <w:vertAlign w:val="subscript"/>
        </w:rPr>
        <w:t>2</w:t>
      </w:r>
      <w:r w:rsidRPr="00687EFC">
        <w:rPr>
          <w:rFonts w:ascii="Times New Roman" w:hAnsi="Times New Roman"/>
          <w:sz w:val="20"/>
          <w:szCs w:val="20"/>
        </w:rPr>
        <w:t xml:space="preserve"> groups that surround the adsorbent surface are protonated. The number of negatively charged adsorbent sites decreased and the number of positively charged surface sites increased, which did not favor the adsorption of positively charged dye cations due to electrostatic repulsion. This would cause repulsion between the –NH</w:t>
      </w:r>
      <w:r w:rsidRPr="00687EFC">
        <w:rPr>
          <w:rFonts w:ascii="Times New Roman" w:hAnsi="Times New Roman"/>
          <w:sz w:val="20"/>
          <w:szCs w:val="20"/>
          <w:vertAlign w:val="subscript"/>
        </w:rPr>
        <w:t>3</w:t>
      </w:r>
      <w:r w:rsidRPr="00687EFC">
        <w:rPr>
          <w:rFonts w:ascii="Times New Roman" w:hAnsi="Times New Roman"/>
          <w:sz w:val="20"/>
          <w:szCs w:val="20"/>
          <w:vertAlign w:val="superscript"/>
        </w:rPr>
        <w:t>+</w:t>
      </w:r>
      <w:r w:rsidRPr="00687EFC">
        <w:rPr>
          <w:rFonts w:ascii="Times New Roman" w:hAnsi="Times New Roman"/>
          <w:sz w:val="20"/>
          <w:szCs w:val="20"/>
        </w:rPr>
        <w:t xml:space="preserve"> groups on the adsorbent surface and the –N</w:t>
      </w:r>
      <w:r w:rsidRPr="00687EFC">
        <w:rPr>
          <w:rFonts w:ascii="Times New Roman" w:hAnsi="Times New Roman"/>
          <w:sz w:val="20"/>
          <w:szCs w:val="20"/>
          <w:vertAlign w:val="superscript"/>
        </w:rPr>
        <w:t>+</w:t>
      </w:r>
      <w:r w:rsidRPr="00687EFC">
        <w:rPr>
          <w:rFonts w:ascii="Times New Roman" w:hAnsi="Times New Roman"/>
          <w:sz w:val="20"/>
          <w:szCs w:val="20"/>
        </w:rPr>
        <w:t>(CH</w:t>
      </w:r>
      <w:r w:rsidRPr="00687EFC">
        <w:rPr>
          <w:rFonts w:ascii="Times New Roman" w:hAnsi="Times New Roman"/>
          <w:sz w:val="20"/>
          <w:szCs w:val="20"/>
          <w:vertAlign w:val="subscript"/>
        </w:rPr>
        <w:t>3</w:t>
      </w:r>
      <w:r w:rsidRPr="00687EFC">
        <w:rPr>
          <w:rFonts w:ascii="Times New Roman" w:hAnsi="Times New Roman"/>
          <w:sz w:val="20"/>
          <w:szCs w:val="20"/>
        </w:rPr>
        <w:t>)</w:t>
      </w:r>
      <w:r w:rsidRPr="00687EFC">
        <w:rPr>
          <w:rFonts w:ascii="Times New Roman" w:hAnsi="Times New Roman"/>
          <w:sz w:val="20"/>
          <w:szCs w:val="20"/>
          <w:vertAlign w:val="subscript"/>
        </w:rPr>
        <w:t>2</w:t>
      </w:r>
      <w:r w:rsidRPr="00687EFC">
        <w:rPr>
          <w:rFonts w:ascii="Times New Roman" w:hAnsi="Times New Roman"/>
          <w:sz w:val="20"/>
          <w:szCs w:val="20"/>
        </w:rPr>
        <w:t xml:space="preserve"> groups of MG. Lower adsorption of MG at acidic pH is due to the presence of excess H</w:t>
      </w:r>
      <w:r w:rsidRPr="00687EFC">
        <w:rPr>
          <w:rFonts w:ascii="Times New Roman" w:hAnsi="Times New Roman"/>
          <w:sz w:val="20"/>
          <w:szCs w:val="20"/>
          <w:vertAlign w:val="superscript"/>
        </w:rPr>
        <w:t>+</w:t>
      </w:r>
      <w:r w:rsidRPr="00687EFC">
        <w:rPr>
          <w:rFonts w:ascii="Times New Roman" w:hAnsi="Times New Roman"/>
          <w:sz w:val="20"/>
          <w:szCs w:val="20"/>
        </w:rPr>
        <w:t xml:space="preserve"> ions competing with dye cations for the adsorption sites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[12]. With the increase in pH, the number of H</w:t>
      </w:r>
      <w:r w:rsidRPr="00687EFC">
        <w:rPr>
          <w:rFonts w:ascii="Times New Roman" w:hAnsi="Times New Roman"/>
          <w:sz w:val="20"/>
          <w:szCs w:val="20"/>
          <w:vertAlign w:val="superscript"/>
        </w:rPr>
        <w:t xml:space="preserve">+ </w:t>
      </w:r>
      <w:r w:rsidRPr="00687EFC">
        <w:rPr>
          <w:rFonts w:ascii="Times New Roman" w:hAnsi="Times New Roman"/>
          <w:sz w:val="20"/>
          <w:szCs w:val="20"/>
        </w:rPr>
        <w:t>ions decreased and the adsorbent surface carried more negative charge resulting in greater attraction between the adsorbent and the cationic form of the adsorbate. Therefore, pH 6 was chosen as the optimum condition for following adsorption experiments.</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4C2605">
      <w:pPr>
        <w:tabs>
          <w:tab w:val="left" w:pos="450"/>
        </w:tabs>
        <w:spacing w:after="120" w:line="240" w:lineRule="auto"/>
        <w:jc w:val="center"/>
        <w:rPr>
          <w:rFonts w:ascii="Times New Roman" w:hAnsi="Times New Roman"/>
          <w:b/>
          <w:sz w:val="20"/>
          <w:szCs w:val="20"/>
        </w:rPr>
      </w:pPr>
      <w:r w:rsidRPr="00687EFC">
        <w:rPr>
          <w:rFonts w:ascii="Times New Roman" w:hAnsi="Times New Roman"/>
          <w:noProof/>
          <w:sz w:val="20"/>
          <w:szCs w:val="20"/>
          <w:lang w:bidi="ar-SA"/>
        </w:rPr>
        <w:drawing>
          <wp:inline distT="0" distB="0" distL="0" distR="0" wp14:anchorId="6CA76A4D" wp14:editId="6DA5F34C">
            <wp:extent cx="3600000" cy="2880000"/>
            <wp:effectExtent l="0" t="0" r="635"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7EFC" w:rsidRPr="00687EFC" w:rsidRDefault="00687EFC" w:rsidP="004C2605">
      <w:pPr>
        <w:tabs>
          <w:tab w:val="left" w:pos="450"/>
        </w:tabs>
        <w:spacing w:after="0" w:line="240" w:lineRule="auto"/>
        <w:ind w:left="1440" w:hanging="1440"/>
        <w:jc w:val="center"/>
        <w:rPr>
          <w:rFonts w:ascii="Times New Roman" w:hAnsi="Times New Roman"/>
          <w:sz w:val="20"/>
          <w:szCs w:val="20"/>
        </w:rPr>
      </w:pPr>
      <w:r w:rsidRPr="00687EFC">
        <w:rPr>
          <w:rFonts w:ascii="Times New Roman" w:hAnsi="Times New Roman"/>
          <w:sz w:val="20"/>
          <w:szCs w:val="20"/>
        </w:rPr>
        <w:t xml:space="preserve">Figure 1. </w:t>
      </w:r>
      <w:r w:rsidR="004C2605">
        <w:rPr>
          <w:rFonts w:ascii="Times New Roman" w:hAnsi="Times New Roman"/>
          <w:sz w:val="20"/>
          <w:szCs w:val="20"/>
        </w:rPr>
        <w:t xml:space="preserve"> </w:t>
      </w:r>
      <w:r w:rsidRPr="00687EFC">
        <w:rPr>
          <w:rFonts w:ascii="Times New Roman" w:hAnsi="Times New Roman"/>
          <w:sz w:val="20"/>
          <w:szCs w:val="20"/>
        </w:rPr>
        <w:t>Effect of initial pH on the adsorption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w:t>
      </w:r>
    </w:p>
    <w:p w:rsidR="00687EFC" w:rsidRPr="00687EFC" w:rsidRDefault="00687EFC" w:rsidP="004C2605">
      <w:pPr>
        <w:spacing w:after="12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Effect of adsorbent dosage</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The effect of adsorbent dosage is illustrated in Figure 2. The percentage removal increases with the increasing adsorbent dosage from 8 to 17% for an adsorbent dosage of 0.01 g to 0.10 g. However, the adsorption capacity, which is the amount of MG adsorbed per unit weight decreased with increasing adsorbent dosage. Percentage removal is increased because the availability of adsorption surface is increased yet the decrease in adsorption capacity with increase adsorbent dosage is due to saturation of adsorption sites.</w:t>
      </w:r>
    </w:p>
    <w:p w:rsidR="00687EFC" w:rsidRPr="00687EFC" w:rsidRDefault="00687EFC" w:rsidP="004C2605">
      <w:pPr>
        <w:spacing w:after="120" w:line="240" w:lineRule="auto"/>
        <w:jc w:val="both"/>
        <w:outlineLvl w:val="0"/>
        <w:rPr>
          <w:rFonts w:ascii="Times New Roman" w:hAnsi="Times New Roman"/>
          <w:sz w:val="20"/>
          <w:szCs w:val="20"/>
        </w:rPr>
      </w:pPr>
    </w:p>
    <w:p w:rsidR="00687EFC" w:rsidRPr="00687EFC" w:rsidRDefault="00687EFC" w:rsidP="004C2605">
      <w:pPr>
        <w:tabs>
          <w:tab w:val="left" w:pos="450"/>
        </w:tabs>
        <w:spacing w:after="120" w:line="240" w:lineRule="auto"/>
        <w:jc w:val="center"/>
        <w:rPr>
          <w:rFonts w:ascii="Times New Roman" w:hAnsi="Times New Roman"/>
          <w:sz w:val="20"/>
          <w:szCs w:val="20"/>
        </w:rPr>
      </w:pPr>
      <w:r w:rsidRPr="00687EFC">
        <w:rPr>
          <w:rFonts w:ascii="Times New Roman" w:hAnsi="Times New Roman"/>
          <w:noProof/>
          <w:sz w:val="20"/>
          <w:szCs w:val="20"/>
          <w:lang w:bidi="ar-SA"/>
        </w:rPr>
        <w:drawing>
          <wp:inline distT="0" distB="0" distL="0" distR="0" wp14:anchorId="12739709" wp14:editId="7775E173">
            <wp:extent cx="3600000" cy="3027680"/>
            <wp:effectExtent l="0" t="0" r="63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7EFC" w:rsidRPr="00687EFC" w:rsidRDefault="00687EFC" w:rsidP="004C2605">
      <w:pPr>
        <w:tabs>
          <w:tab w:val="left" w:pos="450"/>
        </w:tabs>
        <w:spacing w:after="0" w:line="240" w:lineRule="auto"/>
        <w:ind w:left="1440" w:hanging="1440"/>
        <w:jc w:val="center"/>
        <w:rPr>
          <w:rFonts w:ascii="Times New Roman" w:hAnsi="Times New Roman"/>
          <w:sz w:val="20"/>
          <w:szCs w:val="20"/>
        </w:rPr>
      </w:pPr>
      <w:r w:rsidRPr="00687EFC">
        <w:rPr>
          <w:rFonts w:ascii="Times New Roman" w:hAnsi="Times New Roman"/>
          <w:sz w:val="20"/>
          <w:szCs w:val="20"/>
        </w:rPr>
        <w:t xml:space="preserve">Figure 2. </w:t>
      </w:r>
      <w:r w:rsidR="004C2605">
        <w:rPr>
          <w:rFonts w:ascii="Times New Roman" w:hAnsi="Times New Roman"/>
          <w:sz w:val="20"/>
          <w:szCs w:val="20"/>
        </w:rPr>
        <w:t xml:space="preserve"> </w:t>
      </w:r>
      <w:r w:rsidRPr="00687EFC">
        <w:rPr>
          <w:rFonts w:ascii="Times New Roman" w:hAnsi="Times New Roman"/>
          <w:sz w:val="20"/>
          <w:szCs w:val="20"/>
        </w:rPr>
        <w:t>Effect of adsorbent dosage on the adsorption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Effect of agitation period</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It is necessary to determine the optimum agitation period required for the adsorption of MG because it represented the time required for the adsorbate to reach an equilibrium state after contact with the adsorbent. The optimum period can be observed in Figure 3 by looking at a rapid adsorption capacity within the first 10 minutes, then a decrease before slowly becoming constant at 30 minutes. The initial rapid phase during the first 10 minutes was due to the availability of adsorption sites for the uptake of MG. Meanwhile, after 30 minutes the adsorption became constant because of the quick exhaustion of the adsorption sites [13]. As a result, the equilibrium time of 30 minutes was selected for additional studies.</w:t>
      </w:r>
    </w:p>
    <w:p w:rsidR="00687EFC" w:rsidRPr="00687EFC" w:rsidRDefault="00687EFC" w:rsidP="004C2605">
      <w:pPr>
        <w:spacing w:after="120" w:line="240" w:lineRule="auto"/>
        <w:jc w:val="both"/>
        <w:outlineLvl w:val="0"/>
        <w:rPr>
          <w:rFonts w:ascii="Times New Roman" w:hAnsi="Times New Roman"/>
          <w:sz w:val="20"/>
          <w:szCs w:val="20"/>
        </w:rPr>
      </w:pPr>
    </w:p>
    <w:p w:rsidR="00687EFC" w:rsidRPr="00687EFC" w:rsidRDefault="00687EFC" w:rsidP="004C2605">
      <w:pPr>
        <w:tabs>
          <w:tab w:val="left" w:pos="1980"/>
        </w:tabs>
        <w:spacing w:after="120" w:line="240" w:lineRule="auto"/>
        <w:jc w:val="center"/>
        <w:rPr>
          <w:rFonts w:ascii="Times New Roman" w:hAnsi="Times New Roman"/>
          <w:sz w:val="20"/>
          <w:szCs w:val="20"/>
        </w:rPr>
      </w:pPr>
      <w:r w:rsidRPr="00687EFC">
        <w:rPr>
          <w:rFonts w:ascii="Times New Roman" w:hAnsi="Times New Roman"/>
          <w:noProof/>
          <w:sz w:val="20"/>
          <w:szCs w:val="20"/>
          <w:lang w:bidi="ar-SA"/>
        </w:rPr>
        <w:drawing>
          <wp:inline distT="0" distB="0" distL="0" distR="0" wp14:anchorId="0056E6ED" wp14:editId="20E5C606">
            <wp:extent cx="3600000" cy="2880000"/>
            <wp:effectExtent l="0" t="0" r="63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7EFC" w:rsidRPr="00687EFC" w:rsidRDefault="00687EFC" w:rsidP="004C2605">
      <w:pPr>
        <w:tabs>
          <w:tab w:val="left" w:pos="1440"/>
        </w:tabs>
        <w:spacing w:after="0" w:line="240" w:lineRule="auto"/>
        <w:ind w:left="1503" w:hanging="1503"/>
        <w:jc w:val="center"/>
        <w:rPr>
          <w:rFonts w:ascii="Times New Roman" w:hAnsi="Times New Roman"/>
          <w:sz w:val="20"/>
          <w:szCs w:val="20"/>
        </w:rPr>
      </w:pPr>
      <w:r w:rsidRPr="00687EFC">
        <w:rPr>
          <w:rFonts w:ascii="Times New Roman" w:hAnsi="Times New Roman"/>
          <w:sz w:val="20"/>
          <w:szCs w:val="20"/>
        </w:rPr>
        <w:t xml:space="preserve">Figure 3. </w:t>
      </w:r>
      <w:r w:rsidR="004C2605">
        <w:rPr>
          <w:rFonts w:ascii="Times New Roman" w:hAnsi="Times New Roman"/>
          <w:sz w:val="20"/>
          <w:szCs w:val="20"/>
        </w:rPr>
        <w:t xml:space="preserve"> </w:t>
      </w:r>
      <w:r w:rsidRPr="00687EFC">
        <w:rPr>
          <w:rFonts w:ascii="Times New Roman" w:hAnsi="Times New Roman"/>
          <w:sz w:val="20"/>
          <w:szCs w:val="20"/>
        </w:rPr>
        <w:t>Effect of agitation time on the adsorption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w:t>
      </w:r>
    </w:p>
    <w:p w:rsidR="00687EFC" w:rsidRPr="00687EFC" w:rsidRDefault="00687EFC" w:rsidP="004C2605">
      <w:pPr>
        <w:spacing w:after="12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Adsorption equilibrium isotherms</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An adsorption isotherm is an expression that shows the relationship between the amounts of adsorbate adsorbed per unit weight of adsorbent (q</w:t>
      </w:r>
      <w:r w:rsidRPr="00687EFC">
        <w:rPr>
          <w:rFonts w:ascii="Times New Roman" w:hAnsi="Times New Roman"/>
          <w:sz w:val="20"/>
          <w:szCs w:val="20"/>
          <w:vertAlign w:val="subscript"/>
        </w:rPr>
        <w:t>e</w:t>
      </w:r>
      <w:r w:rsidRPr="00687EFC">
        <w:rPr>
          <w:rFonts w:ascii="Times New Roman" w:hAnsi="Times New Roman"/>
          <w:sz w:val="20"/>
          <w:szCs w:val="20"/>
        </w:rPr>
        <w:t>, mg/g) and the concentration of adsorbate in the bulk solution (C</w:t>
      </w:r>
      <w:r w:rsidRPr="00687EFC">
        <w:rPr>
          <w:rFonts w:ascii="Times New Roman" w:hAnsi="Times New Roman"/>
          <w:sz w:val="20"/>
          <w:szCs w:val="20"/>
          <w:vertAlign w:val="subscript"/>
        </w:rPr>
        <w:t>e</w:t>
      </w:r>
      <w:r w:rsidRPr="00687EFC">
        <w:rPr>
          <w:rFonts w:ascii="Times New Roman" w:hAnsi="Times New Roman"/>
          <w:sz w:val="20"/>
          <w:szCs w:val="20"/>
        </w:rPr>
        <w:t>, mg/L) at 300 K under equilibrium conditions. The Langmuir and Freundlich models are often used to describe equilibrium adsorption isotherms. The Langmuir isotherm usually indicates individual chemical adsorption (chemisorption) and reflects a relatively high affinity between adsorbate and the adsorbent within a low concentration range [1].</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rPr>
          <w:rFonts w:ascii="Times New Roman" w:hAnsi="Times New Roman"/>
          <w:sz w:val="20"/>
          <w:szCs w:val="20"/>
        </w:rPr>
      </w:pPr>
      <w:r w:rsidRPr="00687EFC">
        <w:rPr>
          <w:rFonts w:ascii="Times New Roman" w:hAnsi="Times New Roman"/>
          <w:sz w:val="20"/>
          <w:szCs w:val="20"/>
        </w:rPr>
        <w:t>The Langmuir isotherm also assumes that the adsorbed layer is one molecule in thickness and that all adsorption sites have equal energies and enthalpies of adsorption. The linearized Langmuir and Freundlich models plot at 300 K are shown in Figures 4 and 5, respectively. Table 3 shows the obtained values for the Langmuir and Freundlich isotherms constants and coefficients of determination (R</w:t>
      </w:r>
      <w:r w:rsidRPr="00687EFC">
        <w:rPr>
          <w:rFonts w:ascii="Times New Roman" w:hAnsi="Times New Roman"/>
          <w:sz w:val="20"/>
          <w:szCs w:val="20"/>
          <w:vertAlign w:val="superscript"/>
        </w:rPr>
        <w:t>2</w:t>
      </w:r>
      <w:r w:rsidRPr="00687EFC">
        <w:rPr>
          <w:rFonts w:ascii="Times New Roman" w:hAnsi="Times New Roman"/>
          <w:sz w:val="20"/>
          <w:szCs w:val="20"/>
        </w:rPr>
        <w:t>). Overall, the experimental data fitted well with the Langmuir isotherm model because the R</w:t>
      </w:r>
      <w:r w:rsidRPr="00687EFC">
        <w:rPr>
          <w:rFonts w:ascii="Times New Roman" w:hAnsi="Times New Roman"/>
          <w:sz w:val="20"/>
          <w:szCs w:val="20"/>
          <w:vertAlign w:val="superscript"/>
        </w:rPr>
        <w:t>2</w:t>
      </w:r>
      <w:r w:rsidRPr="00687EFC">
        <w:rPr>
          <w:rFonts w:ascii="Times New Roman" w:hAnsi="Times New Roman"/>
          <w:sz w:val="20"/>
          <w:szCs w:val="20"/>
        </w:rPr>
        <w:t xml:space="preserve"> values were very high. This showed that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had homogeneous adsorption sites.</w:t>
      </w:r>
    </w:p>
    <w:p w:rsidR="00687EFC" w:rsidRPr="00687EFC" w:rsidRDefault="00687EFC" w:rsidP="00687EFC">
      <w:pPr>
        <w:spacing w:after="0" w:line="240" w:lineRule="auto"/>
        <w:jc w:val="both"/>
        <w:outlineLvl w:val="0"/>
        <w:rPr>
          <w:rFonts w:ascii="Times New Roman" w:hAnsi="Times New Roman"/>
          <w:sz w:val="20"/>
          <w:szCs w:val="20"/>
        </w:rPr>
      </w:pPr>
    </w:p>
    <w:p w:rsidR="00687EFC" w:rsidRPr="00687EFC" w:rsidRDefault="00687EFC" w:rsidP="004C2605">
      <w:pPr>
        <w:tabs>
          <w:tab w:val="left" w:pos="1980"/>
        </w:tabs>
        <w:spacing w:after="120" w:line="240" w:lineRule="auto"/>
        <w:jc w:val="center"/>
        <w:rPr>
          <w:rFonts w:ascii="Times New Roman" w:hAnsi="Times New Roman"/>
          <w:sz w:val="20"/>
          <w:szCs w:val="20"/>
        </w:rPr>
      </w:pPr>
      <w:r w:rsidRPr="00687EFC">
        <w:rPr>
          <w:rFonts w:ascii="Times New Roman" w:hAnsi="Times New Roman"/>
          <w:noProof/>
          <w:sz w:val="20"/>
          <w:szCs w:val="20"/>
          <w:lang w:bidi="ar-SA"/>
        </w:rPr>
        <w:lastRenderedPageBreak/>
        <w:drawing>
          <wp:inline distT="0" distB="0" distL="0" distR="0" wp14:anchorId="29EAA94D" wp14:editId="2A6DBE06">
            <wp:extent cx="3448050" cy="27717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7EFC" w:rsidRPr="00687EFC" w:rsidRDefault="00687EFC" w:rsidP="004C2605">
      <w:pPr>
        <w:tabs>
          <w:tab w:val="left" w:pos="1980"/>
        </w:tabs>
        <w:spacing w:after="0" w:line="240" w:lineRule="auto"/>
        <w:ind w:left="1440" w:hanging="1440"/>
        <w:jc w:val="center"/>
        <w:rPr>
          <w:rFonts w:ascii="Times New Roman" w:hAnsi="Times New Roman"/>
          <w:sz w:val="20"/>
          <w:szCs w:val="20"/>
        </w:rPr>
      </w:pPr>
      <w:r w:rsidRPr="00687EFC">
        <w:rPr>
          <w:rFonts w:ascii="Times New Roman" w:hAnsi="Times New Roman"/>
          <w:sz w:val="20"/>
          <w:szCs w:val="20"/>
        </w:rPr>
        <w:t xml:space="preserve">Figure 4. </w:t>
      </w:r>
      <w:r w:rsidR="004C2605">
        <w:rPr>
          <w:rFonts w:ascii="Times New Roman" w:hAnsi="Times New Roman"/>
          <w:sz w:val="20"/>
          <w:szCs w:val="20"/>
        </w:rPr>
        <w:t xml:space="preserve"> </w:t>
      </w:r>
      <w:r w:rsidRPr="00687EFC">
        <w:rPr>
          <w:rFonts w:ascii="Times New Roman" w:hAnsi="Times New Roman"/>
          <w:sz w:val="20"/>
          <w:szCs w:val="20"/>
        </w:rPr>
        <w:t>Linearized Langmuir adsorption isotherm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w:t>
      </w:r>
    </w:p>
    <w:p w:rsidR="00687EFC" w:rsidRDefault="00687EFC" w:rsidP="004C2605">
      <w:pPr>
        <w:spacing w:after="0" w:line="240" w:lineRule="auto"/>
        <w:jc w:val="center"/>
        <w:outlineLvl w:val="0"/>
        <w:rPr>
          <w:rFonts w:ascii="Times New Roman" w:hAnsi="Times New Roman"/>
          <w:sz w:val="20"/>
          <w:szCs w:val="20"/>
        </w:rPr>
      </w:pPr>
    </w:p>
    <w:p w:rsidR="004C2605" w:rsidRPr="00687EFC" w:rsidRDefault="004C2605" w:rsidP="004C2605">
      <w:pPr>
        <w:spacing w:after="0" w:line="240" w:lineRule="auto"/>
        <w:jc w:val="center"/>
        <w:outlineLvl w:val="0"/>
        <w:rPr>
          <w:rFonts w:ascii="Times New Roman" w:hAnsi="Times New Roman"/>
          <w:sz w:val="20"/>
          <w:szCs w:val="20"/>
        </w:rPr>
      </w:pPr>
    </w:p>
    <w:p w:rsidR="00687EFC" w:rsidRPr="00687EFC" w:rsidRDefault="00687EFC" w:rsidP="004C2605">
      <w:pPr>
        <w:tabs>
          <w:tab w:val="left" w:pos="1980"/>
        </w:tabs>
        <w:spacing w:after="120" w:line="240" w:lineRule="auto"/>
        <w:jc w:val="center"/>
        <w:rPr>
          <w:rFonts w:ascii="Times New Roman" w:hAnsi="Times New Roman"/>
          <w:sz w:val="20"/>
          <w:szCs w:val="20"/>
        </w:rPr>
      </w:pPr>
      <w:r w:rsidRPr="00687EFC">
        <w:rPr>
          <w:rFonts w:ascii="Times New Roman" w:hAnsi="Times New Roman"/>
          <w:noProof/>
          <w:sz w:val="20"/>
          <w:szCs w:val="20"/>
          <w:lang w:bidi="ar-SA"/>
        </w:rPr>
        <w:drawing>
          <wp:inline distT="0" distB="0" distL="0" distR="0" wp14:anchorId="4F1FB7DB" wp14:editId="0EDD37EF">
            <wp:extent cx="3476625" cy="27622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87EFC" w:rsidRPr="00687EFC" w:rsidRDefault="00687EFC" w:rsidP="004C2605">
      <w:pPr>
        <w:tabs>
          <w:tab w:val="left" w:pos="1980"/>
        </w:tabs>
        <w:spacing w:after="0" w:line="240" w:lineRule="auto"/>
        <w:ind w:left="1440" w:hanging="1440"/>
        <w:jc w:val="center"/>
        <w:rPr>
          <w:rFonts w:ascii="Times New Roman" w:hAnsi="Times New Roman"/>
          <w:sz w:val="20"/>
          <w:szCs w:val="20"/>
        </w:rPr>
      </w:pPr>
      <w:r w:rsidRPr="00687EFC">
        <w:rPr>
          <w:rFonts w:ascii="Times New Roman" w:hAnsi="Times New Roman"/>
          <w:sz w:val="20"/>
          <w:szCs w:val="20"/>
        </w:rPr>
        <w:t xml:space="preserve">Figure 5. </w:t>
      </w:r>
      <w:r w:rsidR="004C2605">
        <w:rPr>
          <w:rFonts w:ascii="Times New Roman" w:hAnsi="Times New Roman"/>
          <w:sz w:val="20"/>
          <w:szCs w:val="20"/>
        </w:rPr>
        <w:t xml:space="preserve"> </w:t>
      </w:r>
      <w:r w:rsidRPr="00687EFC">
        <w:rPr>
          <w:rFonts w:ascii="Times New Roman" w:hAnsi="Times New Roman"/>
          <w:sz w:val="20"/>
          <w:szCs w:val="20"/>
        </w:rPr>
        <w:t>Linearized Freundlich adsorption isotherm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w:t>
      </w:r>
    </w:p>
    <w:p w:rsidR="00081B64" w:rsidRDefault="00081B64" w:rsidP="00081B64">
      <w:pPr>
        <w:tabs>
          <w:tab w:val="left" w:pos="0"/>
        </w:tabs>
        <w:spacing w:after="0" w:line="240" w:lineRule="auto"/>
        <w:jc w:val="center"/>
        <w:rPr>
          <w:rFonts w:ascii="Times New Roman" w:hAnsi="Times New Roman"/>
          <w:sz w:val="20"/>
          <w:szCs w:val="20"/>
        </w:rPr>
      </w:pPr>
    </w:p>
    <w:p w:rsidR="00081B64" w:rsidRPr="00687EFC" w:rsidRDefault="00081B64" w:rsidP="00081B64">
      <w:pPr>
        <w:tabs>
          <w:tab w:val="left" w:pos="0"/>
        </w:tabs>
        <w:spacing w:after="0" w:line="240" w:lineRule="auto"/>
        <w:jc w:val="center"/>
        <w:rPr>
          <w:rFonts w:ascii="Times New Roman" w:hAnsi="Times New Roman"/>
          <w:sz w:val="20"/>
          <w:szCs w:val="20"/>
        </w:rPr>
      </w:pPr>
    </w:p>
    <w:p w:rsidR="004C2605" w:rsidRDefault="004C2605" w:rsidP="004C2605">
      <w:pPr>
        <w:spacing w:after="0" w:line="240" w:lineRule="auto"/>
        <w:ind w:left="706" w:hanging="706"/>
        <w:jc w:val="center"/>
        <w:rPr>
          <w:rFonts w:ascii="Times New Roman" w:hAnsi="Times New Roman"/>
          <w:sz w:val="20"/>
          <w:szCs w:val="20"/>
        </w:rPr>
      </w:pPr>
      <w:r>
        <w:rPr>
          <w:rFonts w:ascii="Times New Roman" w:hAnsi="Times New Roman"/>
          <w:sz w:val="20"/>
          <w:szCs w:val="20"/>
        </w:rPr>
        <w:t xml:space="preserve">Table 3.  </w:t>
      </w:r>
      <w:r w:rsidR="00687EFC" w:rsidRPr="00687EFC">
        <w:rPr>
          <w:rFonts w:ascii="Times New Roman" w:hAnsi="Times New Roman"/>
          <w:sz w:val="20"/>
          <w:szCs w:val="20"/>
        </w:rPr>
        <w:t>Langmuir and Freundlich isotherm constants and correlation for the adsorption of MG</w:t>
      </w:r>
    </w:p>
    <w:p w:rsidR="00687EFC" w:rsidRPr="00687EFC" w:rsidRDefault="00687EFC" w:rsidP="004C2605">
      <w:pPr>
        <w:spacing w:after="120" w:line="240" w:lineRule="auto"/>
        <w:ind w:left="706" w:hanging="706"/>
        <w:jc w:val="center"/>
        <w:rPr>
          <w:rFonts w:ascii="Times New Roman" w:hAnsi="Times New Roman"/>
          <w:sz w:val="20"/>
          <w:szCs w:val="20"/>
        </w:rPr>
      </w:pPr>
      <w:r w:rsidRPr="00687EFC">
        <w:rPr>
          <w:rFonts w:ascii="Times New Roman" w:hAnsi="Times New Roman"/>
          <w:sz w:val="20"/>
          <w:szCs w:val="20"/>
        </w:rPr>
        <w:t xml:space="preserve">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 at 300 K</w:t>
      </w:r>
    </w:p>
    <w:tbl>
      <w:tblPr>
        <w:tblW w:w="0" w:type="auto"/>
        <w:jc w:val="center"/>
        <w:tblLook w:val="04A0" w:firstRow="1" w:lastRow="0" w:firstColumn="1" w:lastColumn="0" w:noHBand="0" w:noVBand="1"/>
      </w:tblPr>
      <w:tblGrid>
        <w:gridCol w:w="772"/>
        <w:gridCol w:w="805"/>
        <w:gridCol w:w="766"/>
        <w:gridCol w:w="772"/>
        <w:gridCol w:w="766"/>
        <w:gridCol w:w="766"/>
      </w:tblGrid>
      <w:tr w:rsidR="00687EFC" w:rsidRPr="00687EFC" w:rsidTr="004C2605">
        <w:trPr>
          <w:trHeight w:val="156"/>
          <w:jc w:val="center"/>
        </w:trPr>
        <w:tc>
          <w:tcPr>
            <w:tcW w:w="0" w:type="auto"/>
            <w:gridSpan w:val="3"/>
            <w:tcBorders>
              <w:top w:val="single" w:sz="4" w:space="0" w:color="auto"/>
              <w:bottom w:val="single" w:sz="4" w:space="0" w:color="auto"/>
            </w:tcBorders>
            <w:shd w:val="clear" w:color="auto" w:fill="auto"/>
            <w:noWrap/>
            <w:vAlign w:val="center"/>
            <w:hideMark/>
          </w:tcPr>
          <w:p w:rsidR="00687EFC" w:rsidRPr="00687EFC" w:rsidRDefault="00687EFC" w:rsidP="00081B64">
            <w:pPr>
              <w:spacing w:before="60" w:after="60" w:line="240" w:lineRule="auto"/>
              <w:jc w:val="center"/>
              <w:rPr>
                <w:rFonts w:ascii="Times New Roman" w:hAnsi="Times New Roman"/>
                <w:b/>
                <w:sz w:val="20"/>
                <w:szCs w:val="20"/>
              </w:rPr>
            </w:pPr>
            <w:r w:rsidRPr="00687EFC">
              <w:rPr>
                <w:rFonts w:ascii="Times New Roman" w:hAnsi="Times New Roman"/>
                <w:b/>
                <w:sz w:val="20"/>
                <w:szCs w:val="20"/>
              </w:rPr>
              <w:t>Langmuir</w:t>
            </w:r>
          </w:p>
        </w:tc>
        <w:tc>
          <w:tcPr>
            <w:tcW w:w="0" w:type="auto"/>
            <w:gridSpan w:val="3"/>
            <w:tcBorders>
              <w:top w:val="single" w:sz="4" w:space="0" w:color="auto"/>
              <w:bottom w:val="single" w:sz="4" w:space="0" w:color="auto"/>
            </w:tcBorders>
            <w:shd w:val="clear" w:color="auto" w:fill="auto"/>
            <w:noWrap/>
            <w:vAlign w:val="center"/>
            <w:hideMark/>
          </w:tcPr>
          <w:p w:rsidR="00687EFC" w:rsidRPr="00687EFC" w:rsidRDefault="00687EFC" w:rsidP="00081B64">
            <w:pPr>
              <w:spacing w:before="60" w:after="60" w:line="240" w:lineRule="auto"/>
              <w:jc w:val="center"/>
              <w:rPr>
                <w:rFonts w:ascii="Times New Roman" w:hAnsi="Times New Roman"/>
                <w:b/>
                <w:sz w:val="20"/>
                <w:szCs w:val="20"/>
              </w:rPr>
            </w:pPr>
            <w:r w:rsidRPr="00687EFC">
              <w:rPr>
                <w:rFonts w:ascii="Times New Roman" w:hAnsi="Times New Roman"/>
                <w:b/>
                <w:sz w:val="20"/>
                <w:szCs w:val="20"/>
              </w:rPr>
              <w:t>Freundlich</w:t>
            </w:r>
          </w:p>
        </w:tc>
      </w:tr>
      <w:tr w:rsidR="00687EFC" w:rsidRPr="00687EFC" w:rsidTr="00081B64">
        <w:trPr>
          <w:trHeight w:val="550"/>
          <w:jc w:val="center"/>
        </w:trPr>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after="0" w:line="240" w:lineRule="auto"/>
              <w:jc w:val="center"/>
              <w:rPr>
                <w:rFonts w:ascii="Times New Roman" w:hAnsi="Times New Roman"/>
                <w:b/>
                <w:sz w:val="20"/>
                <w:szCs w:val="20"/>
              </w:rPr>
            </w:pPr>
            <w:r w:rsidRPr="00687EFC">
              <w:rPr>
                <w:rFonts w:ascii="Times New Roman" w:hAnsi="Times New Roman"/>
                <w:b/>
                <w:sz w:val="20"/>
                <w:szCs w:val="20"/>
              </w:rPr>
              <w:t>Q</w:t>
            </w:r>
          </w:p>
          <w:p w:rsidR="00687EFC" w:rsidRPr="00687EFC" w:rsidRDefault="00687EFC" w:rsidP="00081B64">
            <w:pPr>
              <w:spacing w:after="0" w:line="240" w:lineRule="auto"/>
              <w:jc w:val="center"/>
              <w:rPr>
                <w:rFonts w:ascii="Times New Roman" w:hAnsi="Times New Roman"/>
                <w:b/>
                <w:sz w:val="20"/>
                <w:szCs w:val="20"/>
              </w:rPr>
            </w:pPr>
            <w:r w:rsidRPr="00687EFC">
              <w:rPr>
                <w:rFonts w:ascii="Times New Roman" w:hAnsi="Times New Roman"/>
                <w:b/>
                <w:sz w:val="20"/>
                <w:szCs w:val="20"/>
              </w:rPr>
              <w:t>(mg/g)</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after="0" w:line="240" w:lineRule="auto"/>
              <w:jc w:val="center"/>
              <w:rPr>
                <w:rFonts w:ascii="Times New Roman" w:hAnsi="Times New Roman"/>
                <w:b/>
                <w:sz w:val="20"/>
                <w:szCs w:val="20"/>
              </w:rPr>
            </w:pPr>
            <w:r w:rsidRPr="00687EFC">
              <w:rPr>
                <w:rFonts w:ascii="Times New Roman" w:hAnsi="Times New Roman"/>
                <w:b/>
                <w:sz w:val="20"/>
                <w:szCs w:val="20"/>
              </w:rPr>
              <w:t>b</w:t>
            </w:r>
          </w:p>
          <w:p w:rsidR="00687EFC" w:rsidRPr="00687EFC" w:rsidRDefault="00687EFC" w:rsidP="00081B64">
            <w:pPr>
              <w:spacing w:after="0" w:line="240" w:lineRule="auto"/>
              <w:jc w:val="center"/>
              <w:rPr>
                <w:rFonts w:ascii="Times New Roman" w:hAnsi="Times New Roman"/>
                <w:b/>
                <w:sz w:val="20"/>
                <w:szCs w:val="20"/>
              </w:rPr>
            </w:pPr>
            <w:r w:rsidRPr="00687EFC">
              <w:rPr>
                <w:rFonts w:ascii="Times New Roman" w:hAnsi="Times New Roman"/>
                <w:b/>
                <w:sz w:val="20"/>
                <w:szCs w:val="20"/>
              </w:rPr>
              <w:t>(L/mg)</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after="0" w:line="240" w:lineRule="auto"/>
              <w:jc w:val="center"/>
              <w:rPr>
                <w:rFonts w:ascii="Times New Roman" w:hAnsi="Times New Roman"/>
                <w:b/>
                <w:sz w:val="20"/>
                <w:szCs w:val="20"/>
              </w:rPr>
            </w:pPr>
            <w:r w:rsidRPr="00687EFC">
              <w:rPr>
                <w:rFonts w:ascii="Times New Roman" w:hAnsi="Times New Roman"/>
                <w:b/>
                <w:sz w:val="20"/>
                <w:szCs w:val="20"/>
              </w:rPr>
              <w:t>R</w:t>
            </w:r>
            <w:r w:rsidRPr="00687EFC">
              <w:rPr>
                <w:rFonts w:ascii="Times New Roman" w:hAnsi="Times New Roman"/>
                <w:b/>
                <w:sz w:val="20"/>
                <w:szCs w:val="20"/>
                <w:vertAlign w:val="superscript"/>
              </w:rPr>
              <w:t>2</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after="0" w:line="240" w:lineRule="auto"/>
              <w:jc w:val="center"/>
              <w:rPr>
                <w:rFonts w:ascii="Times New Roman" w:hAnsi="Times New Roman"/>
                <w:b/>
                <w:sz w:val="20"/>
                <w:szCs w:val="20"/>
              </w:rPr>
            </w:pPr>
            <w:r w:rsidRPr="00687EFC">
              <w:rPr>
                <w:rFonts w:ascii="Times New Roman" w:hAnsi="Times New Roman"/>
                <w:b/>
                <w:sz w:val="20"/>
                <w:szCs w:val="20"/>
              </w:rPr>
              <w:t>K</w:t>
            </w:r>
            <w:r w:rsidRPr="00687EFC">
              <w:rPr>
                <w:rFonts w:ascii="Times New Roman" w:hAnsi="Times New Roman"/>
                <w:b/>
                <w:sz w:val="20"/>
                <w:szCs w:val="20"/>
                <w:vertAlign w:val="subscript"/>
              </w:rPr>
              <w:t>f</w:t>
            </w:r>
          </w:p>
          <w:p w:rsidR="00687EFC" w:rsidRPr="00687EFC" w:rsidRDefault="00687EFC" w:rsidP="00081B64">
            <w:pPr>
              <w:spacing w:after="0" w:line="240" w:lineRule="auto"/>
              <w:jc w:val="center"/>
              <w:rPr>
                <w:rFonts w:ascii="Times New Roman" w:hAnsi="Times New Roman"/>
                <w:b/>
                <w:sz w:val="20"/>
                <w:szCs w:val="20"/>
              </w:rPr>
            </w:pPr>
            <w:r w:rsidRPr="00687EFC">
              <w:rPr>
                <w:rFonts w:ascii="Times New Roman" w:hAnsi="Times New Roman"/>
                <w:b/>
                <w:sz w:val="20"/>
                <w:szCs w:val="20"/>
              </w:rPr>
              <w:t>(mg/g)</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after="0" w:line="240" w:lineRule="auto"/>
              <w:jc w:val="center"/>
              <w:rPr>
                <w:rFonts w:ascii="Times New Roman" w:hAnsi="Times New Roman"/>
                <w:b/>
                <w:sz w:val="20"/>
                <w:szCs w:val="20"/>
              </w:rPr>
            </w:pPr>
            <w:r w:rsidRPr="00687EFC">
              <w:rPr>
                <w:rFonts w:ascii="Times New Roman" w:hAnsi="Times New Roman"/>
                <w:b/>
                <w:sz w:val="20"/>
                <w:szCs w:val="20"/>
              </w:rPr>
              <w:t>n</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after="0" w:line="240" w:lineRule="auto"/>
              <w:jc w:val="center"/>
              <w:rPr>
                <w:rFonts w:ascii="Times New Roman" w:hAnsi="Times New Roman"/>
                <w:b/>
                <w:sz w:val="20"/>
                <w:szCs w:val="20"/>
              </w:rPr>
            </w:pPr>
            <w:r w:rsidRPr="00687EFC">
              <w:rPr>
                <w:rFonts w:ascii="Times New Roman" w:hAnsi="Times New Roman"/>
                <w:b/>
                <w:sz w:val="20"/>
                <w:szCs w:val="20"/>
              </w:rPr>
              <w:t>R</w:t>
            </w:r>
            <w:r w:rsidRPr="00687EFC">
              <w:rPr>
                <w:rFonts w:ascii="Times New Roman" w:hAnsi="Times New Roman"/>
                <w:b/>
                <w:sz w:val="20"/>
                <w:szCs w:val="20"/>
                <w:vertAlign w:val="superscript"/>
              </w:rPr>
              <w:t>2</w:t>
            </w:r>
          </w:p>
        </w:tc>
      </w:tr>
      <w:tr w:rsidR="00687EFC" w:rsidRPr="00687EFC" w:rsidTr="00081B64">
        <w:trPr>
          <w:trHeight w:val="196"/>
          <w:jc w:val="center"/>
        </w:trPr>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before="60" w:after="60" w:line="240" w:lineRule="auto"/>
              <w:jc w:val="center"/>
              <w:rPr>
                <w:rFonts w:ascii="Times New Roman" w:hAnsi="Times New Roman"/>
                <w:sz w:val="20"/>
                <w:szCs w:val="20"/>
              </w:rPr>
            </w:pPr>
            <w:r w:rsidRPr="00687EFC">
              <w:rPr>
                <w:rFonts w:ascii="Times New Roman" w:hAnsi="Times New Roman"/>
                <w:sz w:val="20"/>
                <w:szCs w:val="20"/>
              </w:rPr>
              <w:t>30.96</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before="60" w:after="60" w:line="240" w:lineRule="auto"/>
              <w:jc w:val="both"/>
              <w:rPr>
                <w:rFonts w:ascii="Times New Roman" w:hAnsi="Times New Roman"/>
                <w:sz w:val="20"/>
                <w:szCs w:val="20"/>
              </w:rPr>
            </w:pPr>
            <w:r w:rsidRPr="00687EFC">
              <w:rPr>
                <w:rFonts w:ascii="Times New Roman" w:hAnsi="Times New Roman"/>
                <w:sz w:val="20"/>
                <w:szCs w:val="20"/>
              </w:rPr>
              <w:t>0.0730</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before="60" w:after="60" w:line="240" w:lineRule="auto"/>
              <w:jc w:val="both"/>
              <w:rPr>
                <w:rFonts w:ascii="Times New Roman" w:hAnsi="Times New Roman"/>
                <w:sz w:val="20"/>
                <w:szCs w:val="20"/>
              </w:rPr>
            </w:pPr>
            <w:r w:rsidRPr="00687EFC">
              <w:rPr>
                <w:rFonts w:ascii="Times New Roman" w:hAnsi="Times New Roman"/>
                <w:sz w:val="20"/>
                <w:szCs w:val="20"/>
              </w:rPr>
              <w:t>0.9985</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before="60" w:after="60" w:line="240" w:lineRule="auto"/>
              <w:jc w:val="both"/>
              <w:rPr>
                <w:rFonts w:ascii="Times New Roman" w:hAnsi="Times New Roman"/>
                <w:sz w:val="20"/>
                <w:szCs w:val="20"/>
              </w:rPr>
            </w:pPr>
            <w:r w:rsidRPr="00687EFC">
              <w:rPr>
                <w:rFonts w:ascii="Times New Roman" w:hAnsi="Times New Roman"/>
                <w:sz w:val="20"/>
                <w:szCs w:val="20"/>
              </w:rPr>
              <w:t>2.23</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before="60" w:after="60" w:line="240" w:lineRule="auto"/>
              <w:jc w:val="both"/>
              <w:rPr>
                <w:rFonts w:ascii="Times New Roman" w:hAnsi="Times New Roman"/>
                <w:sz w:val="20"/>
                <w:szCs w:val="20"/>
              </w:rPr>
            </w:pPr>
            <w:r w:rsidRPr="00687EFC">
              <w:rPr>
                <w:rFonts w:ascii="Times New Roman" w:hAnsi="Times New Roman"/>
                <w:sz w:val="20"/>
                <w:szCs w:val="20"/>
              </w:rPr>
              <w:t>1.1287</w:t>
            </w:r>
          </w:p>
        </w:tc>
        <w:tc>
          <w:tcPr>
            <w:tcW w:w="0" w:type="auto"/>
            <w:tcBorders>
              <w:top w:val="single" w:sz="4" w:space="0" w:color="auto"/>
              <w:bottom w:val="single" w:sz="4" w:space="0" w:color="auto"/>
            </w:tcBorders>
            <w:shd w:val="clear" w:color="auto" w:fill="auto"/>
            <w:noWrap/>
            <w:vAlign w:val="center"/>
            <w:hideMark/>
          </w:tcPr>
          <w:p w:rsidR="00687EFC" w:rsidRPr="00687EFC" w:rsidRDefault="00687EFC" w:rsidP="00081B64">
            <w:pPr>
              <w:spacing w:before="60" w:after="60" w:line="240" w:lineRule="auto"/>
              <w:jc w:val="both"/>
              <w:rPr>
                <w:rFonts w:ascii="Times New Roman" w:hAnsi="Times New Roman"/>
                <w:sz w:val="20"/>
                <w:szCs w:val="20"/>
              </w:rPr>
            </w:pPr>
            <w:r w:rsidRPr="00687EFC">
              <w:rPr>
                <w:rFonts w:ascii="Times New Roman" w:hAnsi="Times New Roman"/>
                <w:sz w:val="20"/>
                <w:szCs w:val="20"/>
              </w:rPr>
              <w:t>0.9666</w:t>
            </w:r>
          </w:p>
        </w:tc>
      </w:tr>
    </w:tbl>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lastRenderedPageBreak/>
        <w:t>It has been stated that the effect of isotherm shape with a view to predicting if an adsorption system is ‘favorable’ or ‘unfavorable’. It has been established that for favorable adsorption, 0 &lt; R</w:t>
      </w:r>
      <w:r w:rsidRPr="00687EFC">
        <w:rPr>
          <w:rFonts w:ascii="Times New Roman" w:hAnsi="Times New Roman"/>
          <w:sz w:val="20"/>
          <w:szCs w:val="20"/>
          <w:vertAlign w:val="subscript"/>
        </w:rPr>
        <w:t>L</w:t>
      </w:r>
      <w:r w:rsidRPr="00687EFC">
        <w:rPr>
          <w:rFonts w:ascii="Times New Roman" w:hAnsi="Times New Roman"/>
          <w:sz w:val="20"/>
          <w:szCs w:val="20"/>
        </w:rPr>
        <w:t xml:space="preserve"> &lt; 1; unfavorable adsorption, R</w:t>
      </w:r>
      <w:r w:rsidRPr="00687EFC">
        <w:rPr>
          <w:rFonts w:ascii="Times New Roman" w:hAnsi="Times New Roman"/>
          <w:sz w:val="20"/>
          <w:szCs w:val="20"/>
          <w:vertAlign w:val="subscript"/>
        </w:rPr>
        <w:t>L</w:t>
      </w:r>
      <w:r w:rsidRPr="00687EFC">
        <w:rPr>
          <w:rFonts w:ascii="Times New Roman" w:hAnsi="Times New Roman"/>
          <w:sz w:val="20"/>
          <w:szCs w:val="20"/>
        </w:rPr>
        <w:t xml:space="preserve"> &gt; 1; linear adsorption, R</w:t>
      </w:r>
      <w:r w:rsidRPr="00687EFC">
        <w:rPr>
          <w:rFonts w:ascii="Times New Roman" w:hAnsi="Times New Roman"/>
          <w:sz w:val="20"/>
          <w:szCs w:val="20"/>
          <w:vertAlign w:val="subscript"/>
        </w:rPr>
        <w:t>L</w:t>
      </w:r>
      <w:r w:rsidRPr="00687EFC">
        <w:rPr>
          <w:rFonts w:ascii="Times New Roman" w:hAnsi="Times New Roman"/>
          <w:sz w:val="20"/>
          <w:szCs w:val="20"/>
        </w:rPr>
        <w:t xml:space="preserve"> = 1; and irreversible adsorption process if R</w:t>
      </w:r>
      <w:r w:rsidRPr="00687EFC">
        <w:rPr>
          <w:rFonts w:ascii="Times New Roman" w:hAnsi="Times New Roman"/>
          <w:sz w:val="20"/>
          <w:szCs w:val="20"/>
          <w:vertAlign w:val="subscript"/>
        </w:rPr>
        <w:t>L</w:t>
      </w:r>
      <w:r w:rsidRPr="00687EFC">
        <w:rPr>
          <w:rFonts w:ascii="Times New Roman" w:hAnsi="Times New Roman"/>
          <w:sz w:val="20"/>
          <w:szCs w:val="20"/>
        </w:rPr>
        <w:t xml:space="preserve"> = 0. Based on Table 4, the R</w:t>
      </w:r>
      <w:r w:rsidRPr="00687EFC">
        <w:rPr>
          <w:rFonts w:ascii="Times New Roman" w:hAnsi="Times New Roman"/>
          <w:sz w:val="20"/>
          <w:szCs w:val="20"/>
          <w:vertAlign w:val="subscript"/>
        </w:rPr>
        <w:t>L</w:t>
      </w:r>
      <w:r w:rsidRPr="00687EFC">
        <w:rPr>
          <w:rFonts w:ascii="Times New Roman" w:hAnsi="Times New Roman"/>
          <w:sz w:val="20"/>
          <w:szCs w:val="20"/>
        </w:rPr>
        <w:t xml:space="preserve"> values are in the range of 0 &lt; R</w:t>
      </w:r>
      <w:r w:rsidRPr="00687EFC">
        <w:rPr>
          <w:rFonts w:ascii="Times New Roman" w:hAnsi="Times New Roman"/>
          <w:sz w:val="20"/>
          <w:szCs w:val="20"/>
          <w:vertAlign w:val="subscript"/>
        </w:rPr>
        <w:t>L</w:t>
      </w:r>
      <w:r w:rsidRPr="00687EFC">
        <w:rPr>
          <w:rFonts w:ascii="Times New Roman" w:hAnsi="Times New Roman"/>
          <w:sz w:val="20"/>
          <w:szCs w:val="20"/>
        </w:rPr>
        <w:t xml:space="preserve"> &lt; 1, which reveals the adsorption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is favorable.</w:t>
      </w:r>
    </w:p>
    <w:p w:rsidR="00687EFC" w:rsidRPr="00687EFC" w:rsidRDefault="00687EFC" w:rsidP="00081B64">
      <w:pPr>
        <w:spacing w:after="120" w:line="240" w:lineRule="auto"/>
        <w:jc w:val="both"/>
        <w:outlineLvl w:val="0"/>
        <w:rPr>
          <w:rFonts w:ascii="Times New Roman" w:hAnsi="Times New Roman"/>
          <w:sz w:val="20"/>
          <w:szCs w:val="20"/>
        </w:rPr>
      </w:pPr>
    </w:p>
    <w:p w:rsidR="00687EFC" w:rsidRPr="00687EFC" w:rsidRDefault="00687EFC" w:rsidP="00081B64">
      <w:pPr>
        <w:tabs>
          <w:tab w:val="left" w:pos="1440"/>
        </w:tabs>
        <w:spacing w:after="120" w:line="240" w:lineRule="auto"/>
        <w:ind w:left="1440" w:hanging="1440"/>
        <w:jc w:val="center"/>
        <w:rPr>
          <w:rFonts w:ascii="Times New Roman" w:hAnsi="Times New Roman"/>
          <w:sz w:val="20"/>
          <w:szCs w:val="20"/>
        </w:rPr>
      </w:pPr>
      <w:r w:rsidRPr="00687EFC">
        <w:rPr>
          <w:rFonts w:ascii="Times New Roman" w:hAnsi="Times New Roman"/>
          <w:sz w:val="20"/>
          <w:szCs w:val="20"/>
        </w:rPr>
        <w:t xml:space="preserve">Table 4. </w:t>
      </w:r>
      <w:r w:rsidR="00081B64">
        <w:rPr>
          <w:rFonts w:ascii="Times New Roman" w:hAnsi="Times New Roman"/>
          <w:sz w:val="20"/>
          <w:szCs w:val="20"/>
        </w:rPr>
        <w:t xml:space="preserve"> </w:t>
      </w:r>
      <w:r w:rsidRPr="00687EFC">
        <w:rPr>
          <w:rFonts w:ascii="Times New Roman" w:hAnsi="Times New Roman"/>
          <w:sz w:val="20"/>
          <w:szCs w:val="20"/>
        </w:rPr>
        <w:t>Values of R</w:t>
      </w:r>
      <w:r w:rsidRPr="00687EFC">
        <w:rPr>
          <w:rFonts w:ascii="Times New Roman" w:hAnsi="Times New Roman"/>
          <w:sz w:val="20"/>
          <w:szCs w:val="20"/>
          <w:vertAlign w:val="subscript"/>
        </w:rPr>
        <w:t>L</w:t>
      </w:r>
      <w:r w:rsidRPr="00687EFC">
        <w:rPr>
          <w:rFonts w:ascii="Times New Roman" w:hAnsi="Times New Roman"/>
          <w:sz w:val="20"/>
          <w:szCs w:val="20"/>
        </w:rPr>
        <w:t xml:space="preserve"> for initial concentrations range from 0 to 30 mg/L at 300 K</w:t>
      </w:r>
    </w:p>
    <w:tbl>
      <w:tblPr>
        <w:tblW w:w="0" w:type="auto"/>
        <w:jc w:val="center"/>
        <w:tblLook w:val="04A0" w:firstRow="1" w:lastRow="0" w:firstColumn="1" w:lastColumn="0" w:noHBand="0" w:noVBand="1"/>
      </w:tblPr>
      <w:tblGrid>
        <w:gridCol w:w="3338"/>
        <w:gridCol w:w="1249"/>
      </w:tblGrid>
      <w:tr w:rsidR="00687EFC" w:rsidRPr="00687EFC" w:rsidTr="003F04E0">
        <w:trPr>
          <w:trHeight w:val="363"/>
          <w:jc w:val="center"/>
        </w:trPr>
        <w:tc>
          <w:tcPr>
            <w:tcW w:w="3338" w:type="dxa"/>
            <w:tcBorders>
              <w:top w:val="single" w:sz="4" w:space="0" w:color="auto"/>
              <w:bottom w:val="single" w:sz="4" w:space="0" w:color="auto"/>
            </w:tcBorders>
            <w:shd w:val="clear" w:color="auto" w:fill="auto"/>
            <w:noWrap/>
            <w:vAlign w:val="center"/>
            <w:hideMark/>
          </w:tcPr>
          <w:p w:rsidR="003F04E0" w:rsidRDefault="00687EFC" w:rsidP="003F04E0">
            <w:pPr>
              <w:spacing w:before="60" w:after="0" w:line="240" w:lineRule="auto"/>
              <w:jc w:val="both"/>
              <w:rPr>
                <w:rFonts w:ascii="Times New Roman" w:hAnsi="Times New Roman"/>
                <w:b/>
                <w:sz w:val="20"/>
                <w:szCs w:val="20"/>
              </w:rPr>
            </w:pPr>
            <w:r w:rsidRPr="00687EFC">
              <w:rPr>
                <w:rFonts w:ascii="Times New Roman" w:hAnsi="Times New Roman"/>
                <w:b/>
                <w:sz w:val="20"/>
                <w:szCs w:val="20"/>
              </w:rPr>
              <w:t xml:space="preserve">Initial Concentration of MG </w:t>
            </w:r>
          </w:p>
          <w:p w:rsidR="00687EFC" w:rsidRPr="00687EFC" w:rsidRDefault="00687EFC" w:rsidP="003F04E0">
            <w:pPr>
              <w:spacing w:before="60" w:after="60" w:line="240" w:lineRule="auto"/>
              <w:jc w:val="both"/>
              <w:rPr>
                <w:rFonts w:ascii="Times New Roman" w:hAnsi="Times New Roman"/>
                <w:b/>
                <w:sz w:val="20"/>
                <w:szCs w:val="20"/>
              </w:rPr>
            </w:pPr>
            <w:r w:rsidRPr="00687EFC">
              <w:rPr>
                <w:rFonts w:ascii="Times New Roman" w:hAnsi="Times New Roman"/>
                <w:b/>
                <w:sz w:val="20"/>
                <w:szCs w:val="20"/>
              </w:rPr>
              <w:t>(mg/L)</w:t>
            </w:r>
          </w:p>
        </w:tc>
        <w:tc>
          <w:tcPr>
            <w:tcW w:w="1249" w:type="dxa"/>
            <w:tcBorders>
              <w:top w:val="single" w:sz="4" w:space="0" w:color="auto"/>
              <w:bottom w:val="single" w:sz="4" w:space="0" w:color="auto"/>
            </w:tcBorders>
            <w:shd w:val="clear" w:color="auto" w:fill="auto"/>
            <w:noWrap/>
            <w:vAlign w:val="center"/>
            <w:hideMark/>
          </w:tcPr>
          <w:p w:rsidR="00687EFC" w:rsidRPr="00687EFC" w:rsidRDefault="00687EFC" w:rsidP="00081B64">
            <w:pPr>
              <w:spacing w:before="60" w:after="60" w:line="240" w:lineRule="auto"/>
              <w:jc w:val="both"/>
              <w:rPr>
                <w:rFonts w:ascii="Times New Roman" w:hAnsi="Times New Roman"/>
                <w:b/>
                <w:sz w:val="20"/>
                <w:szCs w:val="20"/>
              </w:rPr>
            </w:pPr>
            <w:r w:rsidRPr="00687EFC">
              <w:rPr>
                <w:rFonts w:ascii="Times New Roman" w:hAnsi="Times New Roman"/>
                <w:b/>
                <w:sz w:val="20"/>
                <w:szCs w:val="20"/>
              </w:rPr>
              <w:t>R</w:t>
            </w:r>
            <w:r w:rsidRPr="00687EFC">
              <w:rPr>
                <w:rFonts w:ascii="Times New Roman" w:hAnsi="Times New Roman"/>
                <w:b/>
                <w:sz w:val="20"/>
                <w:szCs w:val="20"/>
                <w:vertAlign w:val="subscript"/>
              </w:rPr>
              <w:t>L</w:t>
            </w:r>
            <w:r w:rsidRPr="00687EFC">
              <w:rPr>
                <w:rFonts w:ascii="Times New Roman" w:hAnsi="Times New Roman"/>
                <w:b/>
                <w:sz w:val="20"/>
                <w:szCs w:val="20"/>
              </w:rPr>
              <w:t xml:space="preserve"> value</w:t>
            </w:r>
          </w:p>
        </w:tc>
      </w:tr>
      <w:tr w:rsidR="00687EFC" w:rsidRPr="00687EFC" w:rsidTr="003F04E0">
        <w:trPr>
          <w:trHeight w:val="43"/>
          <w:jc w:val="center"/>
        </w:trPr>
        <w:tc>
          <w:tcPr>
            <w:tcW w:w="3338" w:type="dxa"/>
            <w:tcBorders>
              <w:top w:val="single" w:sz="4" w:space="0" w:color="auto"/>
            </w:tcBorders>
            <w:shd w:val="clear" w:color="auto" w:fill="auto"/>
            <w:noWrap/>
            <w:vAlign w:val="center"/>
            <w:hideMark/>
          </w:tcPr>
          <w:p w:rsidR="00687EFC" w:rsidRPr="00687EFC" w:rsidRDefault="00687EFC" w:rsidP="00081B64">
            <w:pPr>
              <w:spacing w:before="60" w:after="0" w:line="240" w:lineRule="auto"/>
              <w:jc w:val="both"/>
              <w:rPr>
                <w:rFonts w:ascii="Times New Roman" w:hAnsi="Times New Roman"/>
                <w:sz w:val="20"/>
                <w:szCs w:val="20"/>
              </w:rPr>
            </w:pPr>
            <w:r w:rsidRPr="00687EFC">
              <w:rPr>
                <w:rFonts w:ascii="Times New Roman" w:hAnsi="Times New Roman"/>
                <w:sz w:val="20"/>
                <w:szCs w:val="20"/>
              </w:rPr>
              <w:t>5</w:t>
            </w:r>
          </w:p>
        </w:tc>
        <w:tc>
          <w:tcPr>
            <w:tcW w:w="1249" w:type="dxa"/>
            <w:tcBorders>
              <w:top w:val="single" w:sz="4" w:space="0" w:color="auto"/>
            </w:tcBorders>
            <w:shd w:val="clear" w:color="auto" w:fill="auto"/>
            <w:noWrap/>
            <w:vAlign w:val="center"/>
            <w:hideMark/>
          </w:tcPr>
          <w:p w:rsidR="00687EFC" w:rsidRPr="00687EFC" w:rsidRDefault="00687EFC" w:rsidP="00081B64">
            <w:pPr>
              <w:spacing w:before="60" w:after="0" w:line="240" w:lineRule="auto"/>
              <w:jc w:val="both"/>
              <w:rPr>
                <w:rFonts w:ascii="Times New Roman" w:hAnsi="Times New Roman"/>
                <w:sz w:val="20"/>
                <w:szCs w:val="20"/>
              </w:rPr>
            </w:pPr>
            <w:r w:rsidRPr="00687EFC">
              <w:rPr>
                <w:rFonts w:ascii="Times New Roman" w:hAnsi="Times New Roman"/>
                <w:sz w:val="20"/>
                <w:szCs w:val="20"/>
              </w:rPr>
              <w:t>0.7326</w:t>
            </w:r>
          </w:p>
        </w:tc>
      </w:tr>
      <w:tr w:rsidR="00687EFC" w:rsidRPr="00687EFC" w:rsidTr="003F04E0">
        <w:trPr>
          <w:trHeight w:val="396"/>
          <w:jc w:val="center"/>
        </w:trPr>
        <w:tc>
          <w:tcPr>
            <w:tcW w:w="3338" w:type="dxa"/>
            <w:tcBorders>
              <w:top w:val="nil"/>
            </w:tcBorders>
            <w:shd w:val="clear" w:color="auto" w:fill="auto"/>
            <w:noWrap/>
            <w:vAlign w:val="center"/>
            <w:hideMark/>
          </w:tcPr>
          <w:p w:rsidR="00687EFC" w:rsidRPr="00687EFC" w:rsidRDefault="00687EFC" w:rsidP="00081B64">
            <w:pPr>
              <w:spacing w:before="60" w:after="0" w:line="240" w:lineRule="auto"/>
              <w:jc w:val="both"/>
              <w:rPr>
                <w:rFonts w:ascii="Times New Roman" w:hAnsi="Times New Roman"/>
                <w:sz w:val="20"/>
                <w:szCs w:val="20"/>
              </w:rPr>
            </w:pPr>
            <w:r w:rsidRPr="00687EFC">
              <w:rPr>
                <w:rFonts w:ascii="Times New Roman" w:hAnsi="Times New Roman"/>
                <w:sz w:val="20"/>
                <w:szCs w:val="20"/>
              </w:rPr>
              <w:t>10</w:t>
            </w:r>
          </w:p>
        </w:tc>
        <w:tc>
          <w:tcPr>
            <w:tcW w:w="1249" w:type="dxa"/>
            <w:tcBorders>
              <w:top w:val="nil"/>
            </w:tcBorders>
            <w:shd w:val="clear" w:color="auto" w:fill="auto"/>
            <w:noWrap/>
            <w:vAlign w:val="center"/>
            <w:hideMark/>
          </w:tcPr>
          <w:p w:rsidR="00687EFC" w:rsidRPr="00687EFC" w:rsidRDefault="00687EFC" w:rsidP="00081B64">
            <w:pPr>
              <w:spacing w:before="60" w:after="0" w:line="240" w:lineRule="auto"/>
              <w:jc w:val="both"/>
              <w:rPr>
                <w:rFonts w:ascii="Times New Roman" w:hAnsi="Times New Roman"/>
                <w:sz w:val="20"/>
                <w:szCs w:val="20"/>
              </w:rPr>
            </w:pPr>
            <w:r w:rsidRPr="00687EFC">
              <w:rPr>
                <w:rFonts w:ascii="Times New Roman" w:hAnsi="Times New Roman"/>
                <w:sz w:val="20"/>
                <w:szCs w:val="20"/>
              </w:rPr>
              <w:t>0.5780</w:t>
            </w:r>
          </w:p>
        </w:tc>
      </w:tr>
      <w:tr w:rsidR="00687EFC" w:rsidRPr="00687EFC" w:rsidTr="003F04E0">
        <w:trPr>
          <w:trHeight w:val="53"/>
          <w:jc w:val="center"/>
        </w:trPr>
        <w:tc>
          <w:tcPr>
            <w:tcW w:w="3338" w:type="dxa"/>
            <w:tcBorders>
              <w:top w:val="nil"/>
            </w:tcBorders>
            <w:shd w:val="clear" w:color="auto" w:fill="auto"/>
            <w:noWrap/>
            <w:vAlign w:val="center"/>
            <w:hideMark/>
          </w:tcPr>
          <w:p w:rsidR="00687EFC" w:rsidRPr="00687EFC" w:rsidRDefault="00687EFC" w:rsidP="00081B64">
            <w:pPr>
              <w:spacing w:before="60" w:after="0" w:line="240" w:lineRule="auto"/>
              <w:jc w:val="both"/>
              <w:rPr>
                <w:rFonts w:ascii="Times New Roman" w:hAnsi="Times New Roman"/>
                <w:sz w:val="20"/>
                <w:szCs w:val="20"/>
              </w:rPr>
            </w:pPr>
            <w:r w:rsidRPr="00687EFC">
              <w:rPr>
                <w:rFonts w:ascii="Times New Roman" w:hAnsi="Times New Roman"/>
                <w:sz w:val="20"/>
                <w:szCs w:val="20"/>
              </w:rPr>
              <w:t>15</w:t>
            </w:r>
          </w:p>
        </w:tc>
        <w:tc>
          <w:tcPr>
            <w:tcW w:w="1249" w:type="dxa"/>
            <w:tcBorders>
              <w:top w:val="nil"/>
            </w:tcBorders>
            <w:shd w:val="clear" w:color="auto" w:fill="auto"/>
            <w:noWrap/>
            <w:vAlign w:val="center"/>
            <w:hideMark/>
          </w:tcPr>
          <w:p w:rsidR="00687EFC" w:rsidRPr="00687EFC" w:rsidRDefault="00687EFC" w:rsidP="00081B64">
            <w:pPr>
              <w:spacing w:before="60" w:after="0" w:line="240" w:lineRule="auto"/>
              <w:jc w:val="both"/>
              <w:rPr>
                <w:rFonts w:ascii="Times New Roman" w:hAnsi="Times New Roman"/>
                <w:sz w:val="20"/>
                <w:szCs w:val="20"/>
              </w:rPr>
            </w:pPr>
            <w:r w:rsidRPr="00687EFC">
              <w:rPr>
                <w:rFonts w:ascii="Times New Roman" w:hAnsi="Times New Roman"/>
                <w:sz w:val="20"/>
                <w:szCs w:val="20"/>
              </w:rPr>
              <w:t>0.4773</w:t>
            </w:r>
          </w:p>
        </w:tc>
      </w:tr>
      <w:tr w:rsidR="00687EFC" w:rsidRPr="00687EFC" w:rsidTr="003F04E0">
        <w:trPr>
          <w:trHeight w:val="53"/>
          <w:jc w:val="center"/>
        </w:trPr>
        <w:tc>
          <w:tcPr>
            <w:tcW w:w="3338" w:type="dxa"/>
            <w:tcBorders>
              <w:top w:val="nil"/>
            </w:tcBorders>
            <w:shd w:val="clear" w:color="auto" w:fill="auto"/>
            <w:noWrap/>
            <w:vAlign w:val="center"/>
            <w:hideMark/>
          </w:tcPr>
          <w:p w:rsidR="00687EFC" w:rsidRPr="00687EFC" w:rsidRDefault="00687EFC" w:rsidP="00081B64">
            <w:pPr>
              <w:spacing w:before="60" w:after="0" w:line="240" w:lineRule="auto"/>
              <w:jc w:val="both"/>
              <w:rPr>
                <w:rFonts w:ascii="Times New Roman" w:hAnsi="Times New Roman"/>
                <w:sz w:val="20"/>
                <w:szCs w:val="20"/>
              </w:rPr>
            </w:pPr>
            <w:r w:rsidRPr="00687EFC">
              <w:rPr>
                <w:rFonts w:ascii="Times New Roman" w:hAnsi="Times New Roman"/>
                <w:sz w:val="20"/>
                <w:szCs w:val="20"/>
              </w:rPr>
              <w:t>20</w:t>
            </w:r>
          </w:p>
        </w:tc>
        <w:tc>
          <w:tcPr>
            <w:tcW w:w="1249" w:type="dxa"/>
            <w:tcBorders>
              <w:top w:val="nil"/>
            </w:tcBorders>
            <w:shd w:val="clear" w:color="auto" w:fill="auto"/>
            <w:noWrap/>
            <w:vAlign w:val="center"/>
            <w:hideMark/>
          </w:tcPr>
          <w:p w:rsidR="00687EFC" w:rsidRPr="00687EFC" w:rsidRDefault="00687EFC" w:rsidP="00081B64">
            <w:pPr>
              <w:spacing w:before="60" w:after="0" w:line="240" w:lineRule="auto"/>
              <w:jc w:val="both"/>
              <w:rPr>
                <w:rFonts w:ascii="Times New Roman" w:hAnsi="Times New Roman"/>
                <w:sz w:val="20"/>
                <w:szCs w:val="20"/>
              </w:rPr>
            </w:pPr>
            <w:r w:rsidRPr="00687EFC">
              <w:rPr>
                <w:rFonts w:ascii="Times New Roman" w:hAnsi="Times New Roman"/>
                <w:sz w:val="20"/>
                <w:szCs w:val="20"/>
              </w:rPr>
              <w:t>0.4065</w:t>
            </w:r>
          </w:p>
        </w:tc>
      </w:tr>
      <w:tr w:rsidR="00687EFC" w:rsidRPr="00687EFC" w:rsidTr="003F04E0">
        <w:trPr>
          <w:trHeight w:val="53"/>
          <w:jc w:val="center"/>
        </w:trPr>
        <w:tc>
          <w:tcPr>
            <w:tcW w:w="3338" w:type="dxa"/>
            <w:tcBorders>
              <w:top w:val="nil"/>
            </w:tcBorders>
            <w:shd w:val="clear" w:color="auto" w:fill="auto"/>
            <w:noWrap/>
            <w:vAlign w:val="center"/>
            <w:hideMark/>
          </w:tcPr>
          <w:p w:rsidR="00687EFC" w:rsidRPr="00687EFC" w:rsidRDefault="00687EFC" w:rsidP="00081B64">
            <w:pPr>
              <w:spacing w:before="60" w:after="0" w:line="240" w:lineRule="auto"/>
              <w:jc w:val="both"/>
              <w:rPr>
                <w:rFonts w:ascii="Times New Roman" w:hAnsi="Times New Roman"/>
                <w:sz w:val="20"/>
                <w:szCs w:val="20"/>
              </w:rPr>
            </w:pPr>
            <w:r w:rsidRPr="00687EFC">
              <w:rPr>
                <w:rFonts w:ascii="Times New Roman" w:hAnsi="Times New Roman"/>
                <w:sz w:val="20"/>
                <w:szCs w:val="20"/>
              </w:rPr>
              <w:t>25</w:t>
            </w:r>
          </w:p>
        </w:tc>
        <w:tc>
          <w:tcPr>
            <w:tcW w:w="1249" w:type="dxa"/>
            <w:tcBorders>
              <w:top w:val="nil"/>
            </w:tcBorders>
            <w:shd w:val="clear" w:color="auto" w:fill="auto"/>
            <w:noWrap/>
            <w:vAlign w:val="center"/>
            <w:hideMark/>
          </w:tcPr>
          <w:p w:rsidR="00687EFC" w:rsidRPr="00687EFC" w:rsidRDefault="00687EFC" w:rsidP="00081B64">
            <w:pPr>
              <w:spacing w:before="60" w:after="0" w:line="240" w:lineRule="auto"/>
              <w:jc w:val="both"/>
              <w:rPr>
                <w:rFonts w:ascii="Times New Roman" w:hAnsi="Times New Roman"/>
                <w:sz w:val="20"/>
                <w:szCs w:val="20"/>
              </w:rPr>
            </w:pPr>
            <w:r w:rsidRPr="00687EFC">
              <w:rPr>
                <w:rFonts w:ascii="Times New Roman" w:hAnsi="Times New Roman"/>
                <w:sz w:val="20"/>
                <w:szCs w:val="20"/>
              </w:rPr>
              <w:t>0.3540</w:t>
            </w:r>
          </w:p>
        </w:tc>
      </w:tr>
      <w:tr w:rsidR="00687EFC" w:rsidRPr="00687EFC" w:rsidTr="003F04E0">
        <w:trPr>
          <w:trHeight w:val="70"/>
          <w:jc w:val="center"/>
        </w:trPr>
        <w:tc>
          <w:tcPr>
            <w:tcW w:w="3338" w:type="dxa"/>
            <w:tcBorders>
              <w:top w:val="nil"/>
              <w:bottom w:val="single" w:sz="4" w:space="0" w:color="auto"/>
            </w:tcBorders>
            <w:shd w:val="clear" w:color="auto" w:fill="auto"/>
            <w:noWrap/>
            <w:vAlign w:val="center"/>
            <w:hideMark/>
          </w:tcPr>
          <w:p w:rsidR="00687EFC" w:rsidRPr="00687EFC" w:rsidRDefault="00687EFC" w:rsidP="00081B64">
            <w:pPr>
              <w:spacing w:before="60" w:after="60" w:line="240" w:lineRule="auto"/>
              <w:jc w:val="both"/>
              <w:rPr>
                <w:rFonts w:ascii="Times New Roman" w:hAnsi="Times New Roman"/>
                <w:sz w:val="20"/>
                <w:szCs w:val="20"/>
              </w:rPr>
            </w:pPr>
            <w:r w:rsidRPr="00687EFC">
              <w:rPr>
                <w:rFonts w:ascii="Times New Roman" w:hAnsi="Times New Roman"/>
                <w:sz w:val="20"/>
                <w:szCs w:val="20"/>
              </w:rPr>
              <w:t>30</w:t>
            </w:r>
          </w:p>
        </w:tc>
        <w:tc>
          <w:tcPr>
            <w:tcW w:w="1249" w:type="dxa"/>
            <w:tcBorders>
              <w:top w:val="nil"/>
              <w:bottom w:val="single" w:sz="4" w:space="0" w:color="auto"/>
            </w:tcBorders>
            <w:shd w:val="clear" w:color="auto" w:fill="auto"/>
            <w:noWrap/>
            <w:vAlign w:val="center"/>
            <w:hideMark/>
          </w:tcPr>
          <w:p w:rsidR="00687EFC" w:rsidRPr="00687EFC" w:rsidRDefault="00687EFC" w:rsidP="00081B64">
            <w:pPr>
              <w:spacing w:before="60" w:after="60" w:line="240" w:lineRule="auto"/>
              <w:jc w:val="both"/>
              <w:rPr>
                <w:rFonts w:ascii="Times New Roman" w:hAnsi="Times New Roman"/>
                <w:sz w:val="20"/>
                <w:szCs w:val="20"/>
              </w:rPr>
            </w:pPr>
            <w:r w:rsidRPr="00687EFC">
              <w:rPr>
                <w:rFonts w:ascii="Times New Roman" w:hAnsi="Times New Roman"/>
                <w:sz w:val="20"/>
                <w:szCs w:val="20"/>
              </w:rPr>
              <w:t>0.3135</w:t>
            </w:r>
          </w:p>
        </w:tc>
      </w:tr>
    </w:tbl>
    <w:p w:rsidR="00687EFC" w:rsidRPr="00687EFC" w:rsidRDefault="00687EFC" w:rsidP="00081B64">
      <w:pPr>
        <w:spacing w:after="12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Adsorption kinetics</w:t>
      </w:r>
    </w:p>
    <w:p w:rsid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The kinetics of adsorption is applied to determine the adsorption rate of MG uptake on the beads. The most common kinetic models applied in adsorption studies are pseudo-first-order and pseudo-second-order. Figure 6 represents the pseudo-first-order kinetic plot for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w:t>
      </w:r>
    </w:p>
    <w:p w:rsidR="003F04E0" w:rsidRPr="00687EFC" w:rsidRDefault="003F04E0" w:rsidP="003F04E0">
      <w:pPr>
        <w:spacing w:after="120" w:line="240" w:lineRule="auto"/>
        <w:jc w:val="both"/>
        <w:outlineLvl w:val="0"/>
        <w:rPr>
          <w:rFonts w:ascii="Times New Roman" w:hAnsi="Times New Roman"/>
          <w:sz w:val="20"/>
          <w:szCs w:val="20"/>
        </w:rPr>
      </w:pPr>
    </w:p>
    <w:p w:rsidR="00687EFC" w:rsidRPr="00687EFC" w:rsidRDefault="00687EFC" w:rsidP="003F04E0">
      <w:pPr>
        <w:tabs>
          <w:tab w:val="left" w:pos="1980"/>
        </w:tabs>
        <w:spacing w:after="120" w:line="240" w:lineRule="auto"/>
        <w:jc w:val="center"/>
        <w:rPr>
          <w:rFonts w:ascii="Times New Roman" w:hAnsi="Times New Roman"/>
          <w:sz w:val="20"/>
          <w:szCs w:val="20"/>
        </w:rPr>
      </w:pPr>
      <w:r w:rsidRPr="00687EFC">
        <w:rPr>
          <w:rFonts w:ascii="Times New Roman" w:hAnsi="Times New Roman"/>
          <w:noProof/>
          <w:sz w:val="20"/>
          <w:szCs w:val="20"/>
          <w:lang w:bidi="ar-SA"/>
        </w:rPr>
        <w:drawing>
          <wp:inline distT="0" distB="0" distL="0" distR="0" wp14:anchorId="57B78A77" wp14:editId="3747CB60">
            <wp:extent cx="3600000" cy="2880000"/>
            <wp:effectExtent l="0" t="0" r="63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87EFC" w:rsidRPr="00687EFC" w:rsidRDefault="00687EFC" w:rsidP="003F04E0">
      <w:pPr>
        <w:tabs>
          <w:tab w:val="left" w:pos="0"/>
        </w:tabs>
        <w:spacing w:after="0" w:line="240" w:lineRule="auto"/>
        <w:jc w:val="center"/>
        <w:rPr>
          <w:rFonts w:ascii="Times New Roman" w:hAnsi="Times New Roman"/>
          <w:sz w:val="20"/>
          <w:szCs w:val="20"/>
        </w:rPr>
      </w:pPr>
      <w:r w:rsidRPr="00687EFC">
        <w:rPr>
          <w:rFonts w:ascii="Times New Roman" w:hAnsi="Times New Roman"/>
          <w:sz w:val="20"/>
          <w:szCs w:val="20"/>
        </w:rPr>
        <w:t xml:space="preserve">Figure 6. </w:t>
      </w:r>
      <w:r w:rsidR="003F04E0">
        <w:rPr>
          <w:rFonts w:ascii="Times New Roman" w:hAnsi="Times New Roman"/>
          <w:sz w:val="20"/>
          <w:szCs w:val="20"/>
        </w:rPr>
        <w:t xml:space="preserve"> </w:t>
      </w:r>
      <w:r w:rsidRPr="00687EFC">
        <w:rPr>
          <w:rFonts w:ascii="Times New Roman" w:hAnsi="Times New Roman"/>
          <w:sz w:val="20"/>
          <w:szCs w:val="20"/>
        </w:rPr>
        <w:t>Plot of pseudo–first–order kinetic model for the adsorption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 xml:space="preserve">4 </w:t>
      </w:r>
      <w:r w:rsidRPr="00687EFC">
        <w:rPr>
          <w:rFonts w:ascii="Times New Roman" w:hAnsi="Times New Roman"/>
          <w:sz w:val="20"/>
          <w:szCs w:val="20"/>
        </w:rPr>
        <w:t>beads</w:t>
      </w:r>
    </w:p>
    <w:p w:rsidR="00687EFC" w:rsidRPr="00687EFC" w:rsidRDefault="00687EFC" w:rsidP="003F04E0">
      <w:pPr>
        <w:spacing w:after="12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rPr>
          <w:rFonts w:ascii="Times New Roman" w:hAnsi="Times New Roman"/>
          <w:sz w:val="20"/>
          <w:szCs w:val="20"/>
        </w:rPr>
      </w:pPr>
      <w:r w:rsidRPr="00687EFC">
        <w:rPr>
          <w:rFonts w:ascii="Times New Roman" w:hAnsi="Times New Roman"/>
          <w:sz w:val="20"/>
          <w:szCs w:val="20"/>
        </w:rPr>
        <w:t>The straight-line plots of t/q</w:t>
      </w:r>
      <w:r w:rsidRPr="00687EFC">
        <w:rPr>
          <w:rFonts w:ascii="Times New Roman" w:hAnsi="Times New Roman"/>
          <w:sz w:val="20"/>
          <w:szCs w:val="20"/>
          <w:vertAlign w:val="subscript"/>
        </w:rPr>
        <w:t>t</w:t>
      </w:r>
      <w:r w:rsidRPr="00687EFC">
        <w:rPr>
          <w:rFonts w:ascii="Times New Roman" w:hAnsi="Times New Roman"/>
          <w:sz w:val="20"/>
          <w:szCs w:val="20"/>
        </w:rPr>
        <w:t xml:space="preserve"> against t were used to determine the rate constant, k</w:t>
      </w:r>
      <w:r w:rsidRPr="00687EFC">
        <w:rPr>
          <w:rFonts w:ascii="Times New Roman" w:hAnsi="Times New Roman"/>
          <w:sz w:val="20"/>
          <w:szCs w:val="20"/>
          <w:vertAlign w:val="subscript"/>
        </w:rPr>
        <w:t>2</w:t>
      </w:r>
      <w:r w:rsidRPr="00687EFC">
        <w:rPr>
          <w:rFonts w:ascii="Times New Roman" w:hAnsi="Times New Roman"/>
          <w:sz w:val="20"/>
          <w:szCs w:val="20"/>
        </w:rPr>
        <w:t xml:space="preserve"> and coefficient of determination, R</w:t>
      </w:r>
      <w:r w:rsidRPr="00687EFC">
        <w:rPr>
          <w:rFonts w:ascii="Times New Roman" w:hAnsi="Times New Roman"/>
          <w:sz w:val="20"/>
          <w:szCs w:val="20"/>
          <w:vertAlign w:val="superscript"/>
        </w:rPr>
        <w:t>2</w:t>
      </w:r>
      <w:r w:rsidRPr="00687EFC">
        <w:rPr>
          <w:rFonts w:ascii="Times New Roman" w:hAnsi="Times New Roman"/>
          <w:sz w:val="20"/>
          <w:szCs w:val="20"/>
        </w:rPr>
        <w:t>. Figure 7 represents the pseudo-second-order plot for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The results of kinetic parameters of the pseudo-first-order and pseudo-second-order kinetic models for the adsorption of MG are given in Table 5. Based on the R</w:t>
      </w:r>
      <w:r w:rsidRPr="00687EFC">
        <w:rPr>
          <w:rFonts w:ascii="Times New Roman" w:hAnsi="Times New Roman"/>
          <w:sz w:val="20"/>
          <w:szCs w:val="20"/>
          <w:vertAlign w:val="superscript"/>
        </w:rPr>
        <w:t>2</w:t>
      </w:r>
      <w:r w:rsidRPr="00687EFC">
        <w:rPr>
          <w:rFonts w:ascii="Times New Roman" w:hAnsi="Times New Roman"/>
          <w:sz w:val="20"/>
          <w:szCs w:val="20"/>
        </w:rPr>
        <w:t xml:space="preserve"> values shown in the table, it can be concluded that the pseudo-second-order kinetic model can be used to represent the adsorption behavior over the whole range of contact time. Moreover, the calculated adsorption </w:t>
      </w:r>
      <w:r w:rsidRPr="00687EFC">
        <w:rPr>
          <w:rFonts w:ascii="Times New Roman" w:hAnsi="Times New Roman"/>
          <w:sz w:val="20"/>
          <w:szCs w:val="20"/>
        </w:rPr>
        <w:lastRenderedPageBreak/>
        <w:t>capacity (q</w:t>
      </w:r>
      <w:r w:rsidRPr="00687EFC">
        <w:rPr>
          <w:rFonts w:ascii="Times New Roman" w:hAnsi="Times New Roman"/>
          <w:sz w:val="20"/>
          <w:szCs w:val="20"/>
          <w:vertAlign w:val="subscript"/>
        </w:rPr>
        <w:t>e, calc</w:t>
      </w:r>
      <w:r w:rsidRPr="00687EFC">
        <w:rPr>
          <w:rFonts w:ascii="Times New Roman" w:hAnsi="Times New Roman"/>
          <w:sz w:val="20"/>
          <w:szCs w:val="20"/>
        </w:rPr>
        <w:t>) values were in agreement with the experimental adsorption capacity (q</w:t>
      </w:r>
      <w:r w:rsidRPr="00687EFC">
        <w:rPr>
          <w:rFonts w:ascii="Times New Roman" w:hAnsi="Times New Roman"/>
          <w:sz w:val="20"/>
          <w:szCs w:val="20"/>
          <w:vertAlign w:val="subscript"/>
        </w:rPr>
        <w:t>e, exp)</w:t>
      </w:r>
      <w:r w:rsidRPr="00687EFC">
        <w:rPr>
          <w:rFonts w:ascii="Times New Roman" w:hAnsi="Times New Roman"/>
          <w:sz w:val="20"/>
          <w:szCs w:val="20"/>
        </w:rPr>
        <w:t xml:space="preserve"> value. This showed that the uptake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was rapid and favorable. The initial adsorption rate, h, of the pseudo-second-order kinetic model increased as concentrations increased. The large number of adsorption sites available on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might cause the rapid adsorption of MG at higher concentrations, possibly due to the increase in the driving force for mass transfer, and thus, allowing MG molecules to reach the adsorbent surface in a shorter period of time [24, 25].</w:t>
      </w:r>
    </w:p>
    <w:p w:rsidR="00687EFC" w:rsidRPr="00687EFC" w:rsidRDefault="00687EFC" w:rsidP="003F04E0">
      <w:pPr>
        <w:spacing w:after="120" w:line="240" w:lineRule="auto"/>
        <w:jc w:val="both"/>
        <w:outlineLvl w:val="0"/>
        <w:rPr>
          <w:rFonts w:ascii="Times New Roman" w:hAnsi="Times New Roman"/>
          <w:sz w:val="20"/>
          <w:szCs w:val="20"/>
        </w:rPr>
      </w:pPr>
    </w:p>
    <w:p w:rsidR="00687EFC" w:rsidRPr="00687EFC" w:rsidRDefault="00687EFC" w:rsidP="003F04E0">
      <w:pPr>
        <w:tabs>
          <w:tab w:val="left" w:pos="1980"/>
        </w:tabs>
        <w:spacing w:after="120" w:line="240" w:lineRule="auto"/>
        <w:jc w:val="center"/>
        <w:rPr>
          <w:rFonts w:ascii="Times New Roman" w:hAnsi="Times New Roman"/>
          <w:sz w:val="20"/>
          <w:szCs w:val="20"/>
        </w:rPr>
      </w:pPr>
      <w:r w:rsidRPr="00687EFC">
        <w:rPr>
          <w:rFonts w:ascii="Times New Roman" w:hAnsi="Times New Roman"/>
          <w:noProof/>
          <w:sz w:val="20"/>
          <w:szCs w:val="20"/>
          <w:lang w:bidi="ar-SA"/>
        </w:rPr>
        <w:drawing>
          <wp:inline distT="0" distB="0" distL="0" distR="0" wp14:anchorId="5851FB0A" wp14:editId="5C188E51">
            <wp:extent cx="3600000" cy="2880000"/>
            <wp:effectExtent l="0" t="0" r="635"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87EFC" w:rsidRPr="00687EFC" w:rsidRDefault="00687EFC" w:rsidP="003F04E0">
      <w:pPr>
        <w:tabs>
          <w:tab w:val="left" w:pos="0"/>
        </w:tabs>
        <w:spacing w:after="0" w:line="240" w:lineRule="auto"/>
        <w:jc w:val="center"/>
        <w:rPr>
          <w:rFonts w:ascii="Times New Roman" w:hAnsi="Times New Roman"/>
          <w:sz w:val="20"/>
          <w:szCs w:val="20"/>
        </w:rPr>
      </w:pPr>
      <w:r w:rsidRPr="00687EFC">
        <w:rPr>
          <w:rFonts w:ascii="Times New Roman" w:hAnsi="Times New Roman"/>
          <w:sz w:val="20"/>
          <w:szCs w:val="20"/>
        </w:rPr>
        <w:t xml:space="preserve">Figure 7. </w:t>
      </w:r>
      <w:r w:rsidR="003F04E0">
        <w:rPr>
          <w:rFonts w:ascii="Times New Roman" w:hAnsi="Times New Roman"/>
          <w:sz w:val="20"/>
          <w:szCs w:val="20"/>
        </w:rPr>
        <w:t xml:space="preserve"> </w:t>
      </w:r>
      <w:r w:rsidRPr="00687EFC">
        <w:rPr>
          <w:rFonts w:ascii="Times New Roman" w:hAnsi="Times New Roman"/>
          <w:sz w:val="20"/>
          <w:szCs w:val="20"/>
        </w:rPr>
        <w:t>Plot of pseudo–second–order kinetic model for the adsorption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w:t>
      </w:r>
    </w:p>
    <w:p w:rsidR="00687EFC" w:rsidRDefault="00687EFC" w:rsidP="009808E1">
      <w:pPr>
        <w:spacing w:after="0" w:line="240" w:lineRule="auto"/>
        <w:jc w:val="both"/>
        <w:outlineLvl w:val="0"/>
        <w:rPr>
          <w:rFonts w:ascii="Times New Roman" w:hAnsi="Times New Roman"/>
          <w:sz w:val="20"/>
          <w:szCs w:val="20"/>
        </w:rPr>
      </w:pPr>
    </w:p>
    <w:p w:rsidR="009808E1" w:rsidRPr="00687EFC" w:rsidRDefault="009808E1" w:rsidP="009808E1">
      <w:pPr>
        <w:spacing w:after="0" w:line="240" w:lineRule="auto"/>
        <w:jc w:val="both"/>
        <w:outlineLvl w:val="0"/>
        <w:rPr>
          <w:rFonts w:ascii="Times New Roman" w:hAnsi="Times New Roman"/>
          <w:sz w:val="20"/>
          <w:szCs w:val="20"/>
        </w:rPr>
      </w:pPr>
    </w:p>
    <w:p w:rsidR="00687EFC" w:rsidRPr="00687EFC" w:rsidRDefault="00687EFC" w:rsidP="003F04E0">
      <w:pPr>
        <w:spacing w:after="120" w:line="240" w:lineRule="auto"/>
        <w:ind w:left="706" w:hanging="706"/>
        <w:jc w:val="center"/>
        <w:rPr>
          <w:rFonts w:ascii="Times New Roman" w:hAnsi="Times New Roman"/>
          <w:sz w:val="20"/>
          <w:szCs w:val="20"/>
        </w:rPr>
      </w:pPr>
      <w:r w:rsidRPr="00687EFC">
        <w:rPr>
          <w:rFonts w:ascii="Times New Roman" w:hAnsi="Times New Roman"/>
          <w:sz w:val="20"/>
          <w:szCs w:val="20"/>
        </w:rPr>
        <w:t xml:space="preserve">Table 5. </w:t>
      </w:r>
      <w:r w:rsidR="003F04E0">
        <w:rPr>
          <w:rFonts w:ascii="Times New Roman" w:hAnsi="Times New Roman"/>
          <w:sz w:val="20"/>
          <w:szCs w:val="20"/>
        </w:rPr>
        <w:t xml:space="preserve"> </w:t>
      </w:r>
      <w:r w:rsidRPr="00687EFC">
        <w:rPr>
          <w:rFonts w:ascii="Times New Roman" w:hAnsi="Times New Roman"/>
          <w:sz w:val="20"/>
          <w:szCs w:val="20"/>
        </w:rPr>
        <w:t>Kinetic parameters for the adsorption of MG onto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based on pseudo–first–order and pseudo–second–order kinetic model</w:t>
      </w:r>
    </w:p>
    <w:tbl>
      <w:tblPr>
        <w:tblW w:w="4924" w:type="pct"/>
        <w:jc w:val="center"/>
        <w:tblBorders>
          <w:top w:val="single" w:sz="4" w:space="0" w:color="auto"/>
          <w:bottom w:val="single" w:sz="4" w:space="0" w:color="auto"/>
        </w:tblBorders>
        <w:tblLayout w:type="fixed"/>
        <w:tblLook w:val="04A0" w:firstRow="1" w:lastRow="0" w:firstColumn="1" w:lastColumn="0" w:noHBand="0" w:noVBand="1"/>
      </w:tblPr>
      <w:tblGrid>
        <w:gridCol w:w="1504"/>
        <w:gridCol w:w="854"/>
        <w:gridCol w:w="1391"/>
        <w:gridCol w:w="871"/>
        <w:gridCol w:w="871"/>
        <w:gridCol w:w="899"/>
        <w:gridCol w:w="1119"/>
        <w:gridCol w:w="859"/>
        <w:gridCol w:w="1034"/>
      </w:tblGrid>
      <w:tr w:rsidR="00687EFC" w:rsidRPr="00687EFC" w:rsidTr="009808E1">
        <w:trPr>
          <w:trHeight w:val="253"/>
          <w:jc w:val="center"/>
        </w:trPr>
        <w:tc>
          <w:tcPr>
            <w:tcW w:w="800" w:type="pct"/>
            <w:tcBorders>
              <w:top w:val="single" w:sz="4" w:space="0" w:color="auto"/>
              <w:bottom w:val="nil"/>
            </w:tcBorders>
            <w:shd w:val="clear" w:color="auto" w:fill="auto"/>
            <w:noWrap/>
            <w:vAlign w:val="center"/>
            <w:hideMark/>
          </w:tcPr>
          <w:p w:rsidR="00687EFC" w:rsidRPr="00687EFC" w:rsidRDefault="00687EFC" w:rsidP="009808E1">
            <w:pPr>
              <w:spacing w:after="0" w:line="240" w:lineRule="auto"/>
              <w:rPr>
                <w:rFonts w:ascii="Times New Roman" w:hAnsi="Times New Roman"/>
                <w:sz w:val="20"/>
                <w:szCs w:val="20"/>
              </w:rPr>
            </w:pPr>
          </w:p>
        </w:tc>
        <w:tc>
          <w:tcPr>
            <w:tcW w:w="454" w:type="pct"/>
            <w:tcBorders>
              <w:top w:val="single" w:sz="4" w:space="0" w:color="auto"/>
              <w:bottom w:val="single" w:sz="4" w:space="0" w:color="auto"/>
            </w:tcBorders>
            <w:shd w:val="clear" w:color="auto" w:fill="auto"/>
            <w:noWrap/>
            <w:vAlign w:val="center"/>
            <w:hideMark/>
          </w:tcPr>
          <w:p w:rsidR="00687EFC" w:rsidRPr="00687EFC" w:rsidRDefault="00687EFC" w:rsidP="00EB09C3">
            <w:pPr>
              <w:spacing w:after="0" w:line="240" w:lineRule="auto"/>
              <w:jc w:val="both"/>
              <w:rPr>
                <w:rFonts w:ascii="Times New Roman" w:hAnsi="Times New Roman"/>
                <w:sz w:val="20"/>
                <w:szCs w:val="20"/>
              </w:rPr>
            </w:pPr>
          </w:p>
        </w:tc>
        <w:tc>
          <w:tcPr>
            <w:tcW w:w="1666" w:type="pct"/>
            <w:gridSpan w:val="3"/>
            <w:tcBorders>
              <w:top w:val="single" w:sz="4" w:space="0" w:color="auto"/>
              <w:bottom w:val="single" w:sz="4" w:space="0" w:color="auto"/>
            </w:tcBorders>
            <w:shd w:val="clear" w:color="auto" w:fill="auto"/>
            <w:noWrap/>
            <w:vAlign w:val="center"/>
            <w:hideMark/>
          </w:tcPr>
          <w:p w:rsidR="00687EFC" w:rsidRPr="00687EFC" w:rsidRDefault="00687EFC" w:rsidP="003F04E0">
            <w:pPr>
              <w:spacing w:before="60" w:after="0" w:line="240" w:lineRule="auto"/>
              <w:jc w:val="both"/>
              <w:rPr>
                <w:rFonts w:ascii="Times New Roman" w:hAnsi="Times New Roman"/>
                <w:b/>
                <w:sz w:val="20"/>
                <w:szCs w:val="20"/>
              </w:rPr>
            </w:pPr>
            <w:r w:rsidRPr="00687EFC">
              <w:rPr>
                <w:rFonts w:ascii="Times New Roman" w:hAnsi="Times New Roman"/>
                <w:b/>
                <w:sz w:val="20"/>
                <w:szCs w:val="20"/>
              </w:rPr>
              <w:t>Pseudo–First–Order</w:t>
            </w:r>
          </w:p>
        </w:tc>
        <w:tc>
          <w:tcPr>
            <w:tcW w:w="2080" w:type="pct"/>
            <w:gridSpan w:val="4"/>
            <w:tcBorders>
              <w:top w:val="single" w:sz="4" w:space="0" w:color="auto"/>
              <w:bottom w:val="single" w:sz="4" w:space="0" w:color="auto"/>
            </w:tcBorders>
            <w:shd w:val="clear" w:color="auto" w:fill="auto"/>
            <w:noWrap/>
            <w:vAlign w:val="center"/>
            <w:hideMark/>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b/>
                <w:sz w:val="20"/>
                <w:szCs w:val="20"/>
              </w:rPr>
              <w:t>Pseudo–Second–Order</w:t>
            </w:r>
          </w:p>
        </w:tc>
      </w:tr>
      <w:tr w:rsidR="00687EFC" w:rsidRPr="00687EFC" w:rsidTr="009808E1">
        <w:trPr>
          <w:trHeight w:val="764"/>
          <w:jc w:val="center"/>
        </w:trPr>
        <w:tc>
          <w:tcPr>
            <w:tcW w:w="800" w:type="pct"/>
            <w:tcBorders>
              <w:top w:val="nil"/>
              <w:bottom w:val="single" w:sz="4" w:space="0" w:color="auto"/>
            </w:tcBorders>
            <w:shd w:val="clear" w:color="auto" w:fill="auto"/>
            <w:noWrap/>
            <w:vAlign w:val="center"/>
            <w:hideMark/>
          </w:tcPr>
          <w:p w:rsidR="00687EFC" w:rsidRPr="00687EFC" w:rsidRDefault="00687EFC" w:rsidP="009808E1">
            <w:pPr>
              <w:spacing w:after="0" w:line="240" w:lineRule="auto"/>
              <w:rPr>
                <w:rFonts w:ascii="Times New Roman" w:hAnsi="Times New Roman"/>
                <w:b/>
                <w:sz w:val="20"/>
                <w:szCs w:val="20"/>
              </w:rPr>
            </w:pPr>
            <w:r w:rsidRPr="00687EFC">
              <w:rPr>
                <w:rFonts w:ascii="Times New Roman" w:hAnsi="Times New Roman"/>
                <w:b/>
                <w:sz w:val="20"/>
                <w:szCs w:val="20"/>
              </w:rPr>
              <w:t>Concentration of MG</w:t>
            </w:r>
          </w:p>
          <w:p w:rsidR="00687EFC" w:rsidRPr="00687EFC" w:rsidRDefault="00687EFC" w:rsidP="009808E1">
            <w:pPr>
              <w:spacing w:after="60" w:line="240" w:lineRule="auto"/>
              <w:rPr>
                <w:rFonts w:ascii="Times New Roman" w:hAnsi="Times New Roman"/>
                <w:b/>
                <w:sz w:val="20"/>
                <w:szCs w:val="20"/>
              </w:rPr>
            </w:pPr>
            <w:r w:rsidRPr="00687EFC">
              <w:rPr>
                <w:rFonts w:ascii="Times New Roman" w:hAnsi="Times New Roman"/>
                <w:b/>
                <w:sz w:val="20"/>
                <w:szCs w:val="20"/>
              </w:rPr>
              <w:t>(mg/L)</w:t>
            </w:r>
          </w:p>
        </w:tc>
        <w:tc>
          <w:tcPr>
            <w:tcW w:w="454" w:type="pct"/>
            <w:tcBorders>
              <w:top w:val="single" w:sz="4" w:space="0" w:color="auto"/>
              <w:bottom w:val="single" w:sz="4" w:space="0" w:color="auto"/>
            </w:tcBorders>
            <w:shd w:val="clear" w:color="auto" w:fill="auto"/>
            <w:noWrap/>
            <w:vAlign w:val="center"/>
            <w:hideMark/>
          </w:tcPr>
          <w:p w:rsidR="00687EFC" w:rsidRPr="00687EFC" w:rsidRDefault="00687EFC" w:rsidP="009808E1">
            <w:pPr>
              <w:spacing w:after="0" w:line="240" w:lineRule="auto"/>
              <w:jc w:val="center"/>
              <w:rPr>
                <w:rFonts w:ascii="Times New Roman" w:hAnsi="Times New Roman"/>
                <w:b/>
                <w:sz w:val="20"/>
                <w:szCs w:val="20"/>
              </w:rPr>
            </w:pPr>
            <w:r w:rsidRPr="00687EFC">
              <w:rPr>
                <w:rFonts w:ascii="Times New Roman" w:hAnsi="Times New Roman"/>
                <w:b/>
                <w:sz w:val="20"/>
                <w:szCs w:val="20"/>
              </w:rPr>
              <w:t>q</w:t>
            </w:r>
            <w:r w:rsidRPr="00687EFC">
              <w:rPr>
                <w:rFonts w:ascii="Times New Roman" w:hAnsi="Times New Roman"/>
                <w:b/>
                <w:sz w:val="20"/>
                <w:szCs w:val="20"/>
                <w:vertAlign w:val="subscript"/>
              </w:rPr>
              <w:t>e</w:t>
            </w:r>
            <w:r w:rsidRPr="00687EFC">
              <w:rPr>
                <w:rFonts w:ascii="Times New Roman" w:hAnsi="Times New Roman"/>
                <w:b/>
                <w:sz w:val="20"/>
                <w:szCs w:val="20"/>
              </w:rPr>
              <w:t xml:space="preserve">, </w:t>
            </w:r>
            <w:r w:rsidRPr="00687EFC">
              <w:rPr>
                <w:rFonts w:ascii="Times New Roman" w:hAnsi="Times New Roman"/>
                <w:b/>
                <w:sz w:val="20"/>
                <w:szCs w:val="20"/>
                <w:vertAlign w:val="subscript"/>
              </w:rPr>
              <w:t xml:space="preserve">exp </w:t>
            </w:r>
            <w:r w:rsidRPr="00687EFC">
              <w:rPr>
                <w:rFonts w:ascii="Times New Roman" w:hAnsi="Times New Roman"/>
                <w:b/>
                <w:sz w:val="20"/>
                <w:szCs w:val="20"/>
              </w:rPr>
              <w:t>(mg/g)</w:t>
            </w:r>
          </w:p>
          <w:p w:rsidR="00687EFC" w:rsidRPr="00687EFC" w:rsidRDefault="00687EFC" w:rsidP="009808E1">
            <w:pPr>
              <w:spacing w:after="0" w:line="240" w:lineRule="auto"/>
              <w:jc w:val="center"/>
              <w:rPr>
                <w:rFonts w:ascii="Times New Roman" w:hAnsi="Times New Roman"/>
                <w:b/>
                <w:sz w:val="20"/>
                <w:szCs w:val="20"/>
              </w:rPr>
            </w:pPr>
          </w:p>
        </w:tc>
        <w:tc>
          <w:tcPr>
            <w:tcW w:w="740" w:type="pct"/>
            <w:tcBorders>
              <w:top w:val="single" w:sz="4" w:space="0" w:color="auto"/>
              <w:bottom w:val="single" w:sz="4" w:space="0" w:color="auto"/>
            </w:tcBorders>
            <w:shd w:val="clear" w:color="auto" w:fill="auto"/>
            <w:noWrap/>
            <w:vAlign w:val="center"/>
            <w:hideMark/>
          </w:tcPr>
          <w:p w:rsidR="00687EFC" w:rsidRPr="00687EFC" w:rsidRDefault="00687EFC" w:rsidP="009808E1">
            <w:pPr>
              <w:spacing w:after="0" w:line="240" w:lineRule="auto"/>
              <w:jc w:val="center"/>
              <w:rPr>
                <w:rFonts w:ascii="Times New Roman" w:hAnsi="Times New Roman"/>
                <w:b/>
                <w:sz w:val="20"/>
                <w:szCs w:val="20"/>
                <w:vertAlign w:val="subscript"/>
              </w:rPr>
            </w:pPr>
            <w:r w:rsidRPr="00687EFC">
              <w:rPr>
                <w:rFonts w:ascii="Times New Roman" w:hAnsi="Times New Roman"/>
                <w:b/>
                <w:sz w:val="20"/>
                <w:szCs w:val="20"/>
              </w:rPr>
              <w:t>k</w:t>
            </w:r>
            <w:r w:rsidRPr="00687EFC">
              <w:rPr>
                <w:rFonts w:ascii="Times New Roman" w:hAnsi="Times New Roman"/>
                <w:b/>
                <w:sz w:val="20"/>
                <w:szCs w:val="20"/>
                <w:vertAlign w:val="subscript"/>
              </w:rPr>
              <w:t>1</w:t>
            </w:r>
          </w:p>
          <w:p w:rsidR="00687EFC" w:rsidRPr="00687EFC" w:rsidRDefault="00687EFC" w:rsidP="009808E1">
            <w:pPr>
              <w:spacing w:after="0" w:line="240" w:lineRule="auto"/>
              <w:jc w:val="center"/>
              <w:rPr>
                <w:rFonts w:ascii="Times New Roman" w:hAnsi="Times New Roman"/>
                <w:b/>
                <w:sz w:val="20"/>
                <w:szCs w:val="20"/>
              </w:rPr>
            </w:pPr>
            <w:r w:rsidRPr="00687EFC">
              <w:rPr>
                <w:rFonts w:ascii="Times New Roman" w:hAnsi="Times New Roman"/>
                <w:b/>
                <w:sz w:val="20"/>
                <w:szCs w:val="20"/>
              </w:rPr>
              <w:t>(1/min)</w:t>
            </w:r>
          </w:p>
          <w:p w:rsidR="00687EFC" w:rsidRPr="00687EFC" w:rsidRDefault="00687EFC" w:rsidP="009808E1">
            <w:pPr>
              <w:spacing w:after="0" w:line="240" w:lineRule="auto"/>
              <w:jc w:val="center"/>
              <w:rPr>
                <w:rFonts w:ascii="Times New Roman" w:hAnsi="Times New Roman"/>
                <w:b/>
                <w:sz w:val="20"/>
                <w:szCs w:val="20"/>
              </w:rPr>
            </w:pPr>
          </w:p>
        </w:tc>
        <w:tc>
          <w:tcPr>
            <w:tcW w:w="463" w:type="pct"/>
            <w:tcBorders>
              <w:top w:val="single" w:sz="4" w:space="0" w:color="auto"/>
              <w:bottom w:val="single" w:sz="4" w:space="0" w:color="auto"/>
            </w:tcBorders>
            <w:shd w:val="clear" w:color="auto" w:fill="auto"/>
            <w:noWrap/>
            <w:vAlign w:val="center"/>
            <w:hideMark/>
          </w:tcPr>
          <w:p w:rsidR="00687EFC" w:rsidRPr="00687EFC" w:rsidRDefault="00687EFC" w:rsidP="009808E1">
            <w:pPr>
              <w:spacing w:after="0" w:line="240" w:lineRule="auto"/>
              <w:jc w:val="center"/>
              <w:rPr>
                <w:rFonts w:ascii="Times New Roman" w:hAnsi="Times New Roman"/>
                <w:b/>
                <w:sz w:val="20"/>
                <w:szCs w:val="20"/>
                <w:vertAlign w:val="superscript"/>
              </w:rPr>
            </w:pPr>
            <w:r w:rsidRPr="00687EFC">
              <w:rPr>
                <w:rFonts w:ascii="Times New Roman" w:hAnsi="Times New Roman"/>
                <w:b/>
                <w:sz w:val="20"/>
                <w:szCs w:val="20"/>
              </w:rPr>
              <w:t>R</w:t>
            </w:r>
            <w:r w:rsidRPr="00687EFC">
              <w:rPr>
                <w:rFonts w:ascii="Times New Roman" w:hAnsi="Times New Roman"/>
                <w:b/>
                <w:sz w:val="20"/>
                <w:szCs w:val="20"/>
                <w:vertAlign w:val="superscript"/>
              </w:rPr>
              <w:t>2</w:t>
            </w:r>
          </w:p>
          <w:p w:rsidR="00687EFC" w:rsidRPr="00687EFC" w:rsidRDefault="00687EFC" w:rsidP="009808E1">
            <w:pPr>
              <w:spacing w:after="0" w:line="240" w:lineRule="auto"/>
              <w:jc w:val="center"/>
              <w:rPr>
                <w:rFonts w:ascii="Times New Roman" w:hAnsi="Times New Roman"/>
                <w:b/>
                <w:sz w:val="20"/>
                <w:szCs w:val="20"/>
              </w:rPr>
            </w:pPr>
          </w:p>
        </w:tc>
        <w:tc>
          <w:tcPr>
            <w:tcW w:w="463" w:type="pct"/>
            <w:tcBorders>
              <w:top w:val="single" w:sz="4" w:space="0" w:color="auto"/>
              <w:bottom w:val="single" w:sz="4" w:space="0" w:color="auto"/>
            </w:tcBorders>
            <w:shd w:val="clear" w:color="auto" w:fill="auto"/>
            <w:noWrap/>
            <w:vAlign w:val="center"/>
            <w:hideMark/>
          </w:tcPr>
          <w:p w:rsidR="00687EFC" w:rsidRPr="00687EFC" w:rsidRDefault="00687EFC" w:rsidP="009808E1">
            <w:pPr>
              <w:spacing w:after="0" w:line="240" w:lineRule="auto"/>
              <w:jc w:val="center"/>
              <w:rPr>
                <w:rFonts w:ascii="Times New Roman" w:hAnsi="Times New Roman"/>
                <w:b/>
                <w:sz w:val="20"/>
                <w:szCs w:val="20"/>
              </w:rPr>
            </w:pPr>
            <w:r w:rsidRPr="00687EFC">
              <w:rPr>
                <w:rFonts w:ascii="Times New Roman" w:hAnsi="Times New Roman"/>
                <w:b/>
                <w:sz w:val="20"/>
                <w:szCs w:val="20"/>
              </w:rPr>
              <w:t>q</w:t>
            </w:r>
            <w:r w:rsidRPr="00687EFC">
              <w:rPr>
                <w:rFonts w:ascii="Times New Roman" w:hAnsi="Times New Roman"/>
                <w:b/>
                <w:sz w:val="20"/>
                <w:szCs w:val="20"/>
                <w:vertAlign w:val="subscript"/>
              </w:rPr>
              <w:t>e</w:t>
            </w:r>
            <w:r w:rsidRPr="00687EFC">
              <w:rPr>
                <w:rFonts w:ascii="Times New Roman" w:hAnsi="Times New Roman"/>
                <w:b/>
                <w:sz w:val="20"/>
                <w:szCs w:val="20"/>
              </w:rPr>
              <w:t xml:space="preserve">, </w:t>
            </w:r>
            <w:r w:rsidRPr="00687EFC">
              <w:rPr>
                <w:rFonts w:ascii="Times New Roman" w:hAnsi="Times New Roman"/>
                <w:b/>
                <w:sz w:val="20"/>
                <w:szCs w:val="20"/>
                <w:vertAlign w:val="subscript"/>
              </w:rPr>
              <w:t>calc</w:t>
            </w:r>
            <w:r w:rsidRPr="00687EFC">
              <w:rPr>
                <w:rFonts w:ascii="Times New Roman" w:hAnsi="Times New Roman"/>
                <w:b/>
                <w:sz w:val="20"/>
                <w:szCs w:val="20"/>
              </w:rPr>
              <w:t xml:space="preserve"> (mg/g)</w:t>
            </w:r>
          </w:p>
          <w:p w:rsidR="00687EFC" w:rsidRPr="00687EFC" w:rsidRDefault="00687EFC" w:rsidP="009808E1">
            <w:pPr>
              <w:spacing w:after="0" w:line="240" w:lineRule="auto"/>
              <w:jc w:val="center"/>
              <w:rPr>
                <w:rFonts w:ascii="Times New Roman" w:hAnsi="Times New Roman"/>
                <w:b/>
                <w:sz w:val="20"/>
                <w:szCs w:val="20"/>
              </w:rPr>
            </w:pPr>
          </w:p>
        </w:tc>
        <w:tc>
          <w:tcPr>
            <w:tcW w:w="478" w:type="pct"/>
            <w:tcBorders>
              <w:top w:val="single" w:sz="4" w:space="0" w:color="auto"/>
              <w:bottom w:val="single" w:sz="4" w:space="0" w:color="auto"/>
            </w:tcBorders>
            <w:shd w:val="clear" w:color="auto" w:fill="auto"/>
            <w:noWrap/>
            <w:vAlign w:val="center"/>
            <w:hideMark/>
          </w:tcPr>
          <w:p w:rsidR="00687EFC" w:rsidRPr="00687EFC" w:rsidRDefault="00687EFC" w:rsidP="009808E1">
            <w:pPr>
              <w:spacing w:after="0" w:line="240" w:lineRule="auto"/>
              <w:jc w:val="center"/>
              <w:rPr>
                <w:rFonts w:ascii="Times New Roman" w:hAnsi="Times New Roman"/>
                <w:b/>
                <w:sz w:val="20"/>
                <w:szCs w:val="20"/>
                <w:vertAlign w:val="subscript"/>
              </w:rPr>
            </w:pPr>
            <w:r w:rsidRPr="00687EFC">
              <w:rPr>
                <w:rFonts w:ascii="Times New Roman" w:hAnsi="Times New Roman"/>
                <w:b/>
                <w:sz w:val="20"/>
                <w:szCs w:val="20"/>
              </w:rPr>
              <w:t>k</w:t>
            </w:r>
            <w:r w:rsidRPr="00687EFC">
              <w:rPr>
                <w:rFonts w:ascii="Times New Roman" w:hAnsi="Times New Roman"/>
                <w:b/>
                <w:sz w:val="20"/>
                <w:szCs w:val="20"/>
                <w:vertAlign w:val="subscript"/>
              </w:rPr>
              <w:t>2</w:t>
            </w:r>
          </w:p>
          <w:p w:rsidR="00687EFC" w:rsidRPr="00687EFC" w:rsidRDefault="00687EFC" w:rsidP="009808E1">
            <w:pPr>
              <w:spacing w:after="0" w:line="240" w:lineRule="auto"/>
              <w:jc w:val="center"/>
              <w:rPr>
                <w:rFonts w:ascii="Times New Roman" w:hAnsi="Times New Roman"/>
                <w:b/>
                <w:sz w:val="20"/>
                <w:szCs w:val="20"/>
              </w:rPr>
            </w:pPr>
            <w:r w:rsidRPr="00687EFC">
              <w:rPr>
                <w:rFonts w:ascii="Times New Roman" w:hAnsi="Times New Roman"/>
                <w:b/>
                <w:sz w:val="20"/>
                <w:szCs w:val="20"/>
              </w:rPr>
              <w:t>(g/mg</w:t>
            </w:r>
          </w:p>
          <w:p w:rsidR="00687EFC" w:rsidRPr="00687EFC" w:rsidRDefault="00687EFC" w:rsidP="009808E1">
            <w:pPr>
              <w:spacing w:after="60" w:line="240" w:lineRule="auto"/>
              <w:jc w:val="center"/>
              <w:rPr>
                <w:rFonts w:ascii="Times New Roman" w:hAnsi="Times New Roman"/>
                <w:b/>
                <w:sz w:val="20"/>
                <w:szCs w:val="20"/>
              </w:rPr>
            </w:pPr>
            <w:r w:rsidRPr="00687EFC">
              <w:rPr>
                <w:rFonts w:ascii="Times New Roman" w:hAnsi="Times New Roman"/>
                <w:b/>
                <w:sz w:val="20"/>
                <w:szCs w:val="20"/>
              </w:rPr>
              <w:t>/min)</w:t>
            </w:r>
          </w:p>
        </w:tc>
        <w:tc>
          <w:tcPr>
            <w:tcW w:w="595" w:type="pct"/>
            <w:tcBorders>
              <w:top w:val="single" w:sz="4" w:space="0" w:color="auto"/>
              <w:bottom w:val="single" w:sz="4" w:space="0" w:color="auto"/>
            </w:tcBorders>
            <w:shd w:val="clear" w:color="auto" w:fill="auto"/>
            <w:noWrap/>
            <w:vAlign w:val="center"/>
            <w:hideMark/>
          </w:tcPr>
          <w:p w:rsidR="00687EFC" w:rsidRPr="00687EFC" w:rsidRDefault="00687EFC" w:rsidP="009808E1">
            <w:pPr>
              <w:spacing w:after="0" w:line="240" w:lineRule="auto"/>
              <w:jc w:val="center"/>
              <w:rPr>
                <w:rFonts w:ascii="Times New Roman" w:hAnsi="Times New Roman"/>
                <w:b/>
                <w:sz w:val="20"/>
                <w:szCs w:val="20"/>
              </w:rPr>
            </w:pPr>
            <w:r w:rsidRPr="00687EFC">
              <w:rPr>
                <w:rFonts w:ascii="Times New Roman" w:hAnsi="Times New Roman"/>
                <w:b/>
                <w:sz w:val="20"/>
                <w:szCs w:val="20"/>
              </w:rPr>
              <w:t>h</w:t>
            </w:r>
          </w:p>
          <w:p w:rsidR="00687EFC" w:rsidRPr="00687EFC" w:rsidRDefault="00687EFC" w:rsidP="009808E1">
            <w:pPr>
              <w:spacing w:after="0" w:line="240" w:lineRule="auto"/>
              <w:jc w:val="center"/>
              <w:rPr>
                <w:rFonts w:ascii="Times New Roman" w:hAnsi="Times New Roman"/>
                <w:b/>
                <w:sz w:val="20"/>
                <w:szCs w:val="20"/>
              </w:rPr>
            </w:pPr>
            <w:r w:rsidRPr="00687EFC">
              <w:rPr>
                <w:rFonts w:ascii="Times New Roman" w:hAnsi="Times New Roman"/>
                <w:b/>
                <w:sz w:val="20"/>
                <w:szCs w:val="20"/>
              </w:rPr>
              <w:t>(mg/g</w:t>
            </w:r>
          </w:p>
          <w:p w:rsidR="00687EFC" w:rsidRPr="00687EFC" w:rsidRDefault="00687EFC" w:rsidP="009808E1">
            <w:pPr>
              <w:spacing w:after="60" w:line="240" w:lineRule="auto"/>
              <w:jc w:val="center"/>
              <w:rPr>
                <w:rFonts w:ascii="Times New Roman" w:hAnsi="Times New Roman"/>
                <w:b/>
                <w:sz w:val="20"/>
                <w:szCs w:val="20"/>
              </w:rPr>
            </w:pPr>
            <w:r w:rsidRPr="00687EFC">
              <w:rPr>
                <w:rFonts w:ascii="Times New Roman" w:hAnsi="Times New Roman"/>
                <w:b/>
                <w:sz w:val="20"/>
                <w:szCs w:val="20"/>
              </w:rPr>
              <w:t>/min)</w:t>
            </w:r>
          </w:p>
        </w:tc>
        <w:tc>
          <w:tcPr>
            <w:tcW w:w="457" w:type="pct"/>
            <w:tcBorders>
              <w:top w:val="single" w:sz="4" w:space="0" w:color="auto"/>
              <w:bottom w:val="single" w:sz="4" w:space="0" w:color="auto"/>
            </w:tcBorders>
            <w:shd w:val="clear" w:color="auto" w:fill="auto"/>
            <w:noWrap/>
            <w:vAlign w:val="center"/>
            <w:hideMark/>
          </w:tcPr>
          <w:p w:rsidR="00687EFC" w:rsidRPr="00687EFC" w:rsidRDefault="00687EFC" w:rsidP="009808E1">
            <w:pPr>
              <w:spacing w:after="0" w:line="240" w:lineRule="auto"/>
              <w:jc w:val="center"/>
              <w:rPr>
                <w:rFonts w:ascii="Times New Roman" w:hAnsi="Times New Roman"/>
                <w:b/>
                <w:sz w:val="20"/>
                <w:szCs w:val="20"/>
                <w:vertAlign w:val="superscript"/>
              </w:rPr>
            </w:pPr>
            <w:r w:rsidRPr="00687EFC">
              <w:rPr>
                <w:rFonts w:ascii="Times New Roman" w:hAnsi="Times New Roman"/>
                <w:b/>
                <w:sz w:val="20"/>
                <w:szCs w:val="20"/>
              </w:rPr>
              <w:t>R</w:t>
            </w:r>
            <w:r w:rsidRPr="00687EFC">
              <w:rPr>
                <w:rFonts w:ascii="Times New Roman" w:hAnsi="Times New Roman"/>
                <w:b/>
                <w:sz w:val="20"/>
                <w:szCs w:val="20"/>
                <w:vertAlign w:val="superscript"/>
              </w:rPr>
              <w:t>2</w:t>
            </w:r>
          </w:p>
          <w:p w:rsidR="00687EFC" w:rsidRPr="00687EFC" w:rsidRDefault="00687EFC" w:rsidP="009808E1">
            <w:pPr>
              <w:spacing w:after="0" w:line="240" w:lineRule="auto"/>
              <w:jc w:val="center"/>
              <w:rPr>
                <w:rFonts w:ascii="Times New Roman" w:hAnsi="Times New Roman"/>
                <w:b/>
                <w:sz w:val="20"/>
                <w:szCs w:val="20"/>
              </w:rPr>
            </w:pPr>
          </w:p>
        </w:tc>
        <w:tc>
          <w:tcPr>
            <w:tcW w:w="550" w:type="pct"/>
            <w:tcBorders>
              <w:top w:val="single" w:sz="4" w:space="0" w:color="auto"/>
              <w:bottom w:val="single" w:sz="4" w:space="0" w:color="auto"/>
            </w:tcBorders>
            <w:shd w:val="clear" w:color="auto" w:fill="auto"/>
            <w:noWrap/>
            <w:vAlign w:val="center"/>
            <w:hideMark/>
          </w:tcPr>
          <w:p w:rsidR="00687EFC" w:rsidRPr="00687EFC" w:rsidRDefault="00687EFC" w:rsidP="009808E1">
            <w:pPr>
              <w:spacing w:after="0" w:line="240" w:lineRule="auto"/>
              <w:jc w:val="center"/>
              <w:rPr>
                <w:rFonts w:ascii="Times New Roman" w:hAnsi="Times New Roman"/>
                <w:b/>
                <w:sz w:val="20"/>
                <w:szCs w:val="20"/>
              </w:rPr>
            </w:pPr>
            <w:r w:rsidRPr="00687EFC">
              <w:rPr>
                <w:rFonts w:ascii="Times New Roman" w:hAnsi="Times New Roman"/>
                <w:b/>
                <w:sz w:val="20"/>
                <w:szCs w:val="20"/>
              </w:rPr>
              <w:t>q</w:t>
            </w:r>
            <w:r w:rsidRPr="00687EFC">
              <w:rPr>
                <w:rFonts w:ascii="Times New Roman" w:hAnsi="Times New Roman"/>
                <w:b/>
                <w:sz w:val="20"/>
                <w:szCs w:val="20"/>
                <w:vertAlign w:val="subscript"/>
              </w:rPr>
              <w:t>e</w:t>
            </w:r>
            <w:r w:rsidRPr="00687EFC">
              <w:rPr>
                <w:rFonts w:ascii="Times New Roman" w:hAnsi="Times New Roman"/>
                <w:b/>
                <w:sz w:val="20"/>
                <w:szCs w:val="20"/>
              </w:rPr>
              <w:t xml:space="preserve">, </w:t>
            </w:r>
            <w:r w:rsidRPr="00687EFC">
              <w:rPr>
                <w:rFonts w:ascii="Times New Roman" w:hAnsi="Times New Roman"/>
                <w:b/>
                <w:sz w:val="20"/>
                <w:szCs w:val="20"/>
                <w:vertAlign w:val="subscript"/>
              </w:rPr>
              <w:t>calc</w:t>
            </w:r>
            <w:r w:rsidRPr="00687EFC">
              <w:rPr>
                <w:rFonts w:ascii="Times New Roman" w:hAnsi="Times New Roman"/>
                <w:b/>
                <w:sz w:val="20"/>
                <w:szCs w:val="20"/>
              </w:rPr>
              <w:t xml:space="preserve"> (mg/g)</w:t>
            </w:r>
          </w:p>
        </w:tc>
      </w:tr>
      <w:tr w:rsidR="00687EFC" w:rsidRPr="00687EFC" w:rsidTr="009808E1">
        <w:trPr>
          <w:trHeight w:val="253"/>
          <w:jc w:val="center"/>
        </w:trPr>
        <w:tc>
          <w:tcPr>
            <w:tcW w:w="800" w:type="pct"/>
            <w:tcBorders>
              <w:top w:val="single" w:sz="4" w:space="0" w:color="auto"/>
            </w:tcBorders>
            <w:shd w:val="clear" w:color="auto" w:fill="auto"/>
            <w:noWrap/>
            <w:vAlign w:val="center"/>
            <w:hideMark/>
          </w:tcPr>
          <w:p w:rsidR="00687EFC" w:rsidRPr="00687EFC" w:rsidRDefault="00687EFC" w:rsidP="009808E1">
            <w:pPr>
              <w:spacing w:before="60" w:after="0" w:line="240" w:lineRule="auto"/>
              <w:rPr>
                <w:rFonts w:ascii="Times New Roman" w:hAnsi="Times New Roman"/>
                <w:sz w:val="20"/>
                <w:szCs w:val="20"/>
              </w:rPr>
            </w:pPr>
            <w:r w:rsidRPr="00687EFC">
              <w:rPr>
                <w:rFonts w:ascii="Times New Roman" w:hAnsi="Times New Roman"/>
                <w:sz w:val="20"/>
                <w:szCs w:val="20"/>
              </w:rPr>
              <w:t>10</w:t>
            </w:r>
          </w:p>
        </w:tc>
        <w:tc>
          <w:tcPr>
            <w:tcW w:w="454" w:type="pct"/>
            <w:tcBorders>
              <w:top w:val="single" w:sz="4" w:space="0" w:color="auto"/>
            </w:tcBorders>
            <w:shd w:val="clear" w:color="auto" w:fill="auto"/>
            <w:noWrap/>
            <w:vAlign w:val="center"/>
            <w:hideMark/>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5.97</w:t>
            </w:r>
          </w:p>
        </w:tc>
        <w:tc>
          <w:tcPr>
            <w:tcW w:w="740" w:type="pct"/>
            <w:tcBorders>
              <w:top w:val="single" w:sz="4" w:space="0" w:color="auto"/>
            </w:tcBorders>
            <w:shd w:val="clear" w:color="auto" w:fill="auto"/>
            <w:noWrap/>
            <w:vAlign w:val="center"/>
            <w:hideMark/>
          </w:tcPr>
          <w:p w:rsidR="00687EFC" w:rsidRPr="00687EFC" w:rsidRDefault="00687EFC" w:rsidP="009808E1">
            <w:pPr>
              <w:spacing w:before="60" w:after="0" w:line="240" w:lineRule="auto"/>
              <w:jc w:val="center"/>
              <w:rPr>
                <w:rFonts w:ascii="Times New Roman" w:hAnsi="Times New Roman"/>
                <w:sz w:val="20"/>
                <w:szCs w:val="20"/>
                <w:vertAlign w:val="superscript"/>
              </w:rPr>
            </w:pPr>
            <w:r w:rsidRPr="00687EFC">
              <w:rPr>
                <w:rFonts w:ascii="Times New Roman" w:hAnsi="Times New Roman"/>
                <w:sz w:val="20"/>
                <w:szCs w:val="20"/>
              </w:rPr>
              <w:t>4.38 ×10</w:t>
            </w:r>
            <w:r w:rsidRPr="00687EFC">
              <w:rPr>
                <w:rFonts w:ascii="Times New Roman" w:hAnsi="Times New Roman"/>
                <w:sz w:val="20"/>
                <w:szCs w:val="20"/>
                <w:vertAlign w:val="superscript"/>
              </w:rPr>
              <w:t>-3</w:t>
            </w:r>
          </w:p>
        </w:tc>
        <w:tc>
          <w:tcPr>
            <w:tcW w:w="463" w:type="pct"/>
            <w:tcBorders>
              <w:top w:val="single" w:sz="4" w:space="0" w:color="auto"/>
            </w:tcBorders>
            <w:shd w:val="clear" w:color="auto" w:fill="auto"/>
            <w:noWrap/>
            <w:vAlign w:val="center"/>
            <w:hideMark/>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0.9335</w:t>
            </w:r>
          </w:p>
        </w:tc>
        <w:tc>
          <w:tcPr>
            <w:tcW w:w="463" w:type="pct"/>
            <w:tcBorders>
              <w:top w:val="single" w:sz="4" w:space="0" w:color="auto"/>
            </w:tcBorders>
            <w:shd w:val="clear" w:color="auto" w:fill="auto"/>
            <w:noWrap/>
            <w:vAlign w:val="center"/>
            <w:hideMark/>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0.61</w:t>
            </w:r>
          </w:p>
        </w:tc>
        <w:tc>
          <w:tcPr>
            <w:tcW w:w="478" w:type="pct"/>
            <w:tcBorders>
              <w:top w:val="single" w:sz="4" w:space="0" w:color="auto"/>
            </w:tcBorders>
            <w:shd w:val="clear" w:color="auto" w:fill="auto"/>
            <w:noWrap/>
            <w:vAlign w:val="center"/>
            <w:hideMark/>
          </w:tcPr>
          <w:p w:rsidR="00687EFC" w:rsidRPr="00687EFC" w:rsidRDefault="00687EFC" w:rsidP="009808E1">
            <w:pPr>
              <w:spacing w:before="60" w:after="0" w:line="240" w:lineRule="auto"/>
              <w:jc w:val="center"/>
              <w:rPr>
                <w:rFonts w:ascii="Times New Roman" w:hAnsi="Times New Roman"/>
                <w:sz w:val="20"/>
                <w:szCs w:val="20"/>
                <w:vertAlign w:val="superscript"/>
              </w:rPr>
            </w:pPr>
            <w:r w:rsidRPr="00687EFC">
              <w:rPr>
                <w:rFonts w:ascii="Times New Roman" w:hAnsi="Times New Roman"/>
                <w:sz w:val="20"/>
                <w:szCs w:val="20"/>
              </w:rPr>
              <w:t>0.17</w:t>
            </w:r>
          </w:p>
        </w:tc>
        <w:tc>
          <w:tcPr>
            <w:tcW w:w="595" w:type="pct"/>
            <w:tcBorders>
              <w:top w:val="single" w:sz="4" w:space="0" w:color="auto"/>
            </w:tcBorders>
            <w:shd w:val="clear" w:color="auto" w:fill="auto"/>
            <w:noWrap/>
            <w:vAlign w:val="center"/>
            <w:hideMark/>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5.97</w:t>
            </w:r>
          </w:p>
        </w:tc>
        <w:tc>
          <w:tcPr>
            <w:tcW w:w="457" w:type="pct"/>
            <w:tcBorders>
              <w:top w:val="single" w:sz="4" w:space="0" w:color="auto"/>
            </w:tcBorders>
            <w:shd w:val="clear" w:color="auto" w:fill="auto"/>
            <w:noWrap/>
            <w:vAlign w:val="center"/>
            <w:hideMark/>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0.9716</w:t>
            </w:r>
          </w:p>
        </w:tc>
        <w:tc>
          <w:tcPr>
            <w:tcW w:w="550" w:type="pct"/>
            <w:tcBorders>
              <w:top w:val="single" w:sz="4" w:space="0" w:color="auto"/>
            </w:tcBorders>
            <w:shd w:val="clear" w:color="auto" w:fill="auto"/>
            <w:noWrap/>
            <w:vAlign w:val="center"/>
            <w:hideMark/>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5.93</w:t>
            </w:r>
          </w:p>
        </w:tc>
      </w:tr>
      <w:tr w:rsidR="00687EFC" w:rsidRPr="00687EFC" w:rsidTr="009808E1">
        <w:trPr>
          <w:trHeight w:val="253"/>
          <w:jc w:val="center"/>
        </w:trPr>
        <w:tc>
          <w:tcPr>
            <w:tcW w:w="800" w:type="pct"/>
            <w:tcBorders>
              <w:bottom w:val="nil"/>
            </w:tcBorders>
            <w:shd w:val="clear" w:color="auto" w:fill="auto"/>
            <w:noWrap/>
            <w:vAlign w:val="center"/>
          </w:tcPr>
          <w:p w:rsidR="00687EFC" w:rsidRPr="00687EFC" w:rsidRDefault="00687EFC" w:rsidP="009808E1">
            <w:pPr>
              <w:spacing w:before="60" w:after="0" w:line="240" w:lineRule="auto"/>
              <w:rPr>
                <w:rFonts w:ascii="Times New Roman" w:hAnsi="Times New Roman"/>
                <w:sz w:val="20"/>
                <w:szCs w:val="20"/>
              </w:rPr>
            </w:pPr>
            <w:r w:rsidRPr="00687EFC">
              <w:rPr>
                <w:rFonts w:ascii="Times New Roman" w:hAnsi="Times New Roman"/>
                <w:sz w:val="20"/>
                <w:szCs w:val="20"/>
              </w:rPr>
              <w:t>20</w:t>
            </w:r>
          </w:p>
        </w:tc>
        <w:tc>
          <w:tcPr>
            <w:tcW w:w="454" w:type="pct"/>
            <w:tcBorders>
              <w:bottom w:val="nil"/>
            </w:tcBorders>
            <w:shd w:val="clear" w:color="auto" w:fill="auto"/>
            <w:noWrap/>
            <w:vAlign w:val="center"/>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7.98</w:t>
            </w:r>
          </w:p>
        </w:tc>
        <w:tc>
          <w:tcPr>
            <w:tcW w:w="740" w:type="pct"/>
            <w:tcBorders>
              <w:bottom w:val="nil"/>
            </w:tcBorders>
            <w:shd w:val="clear" w:color="auto" w:fill="auto"/>
            <w:noWrap/>
            <w:vAlign w:val="center"/>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5.94 × 10</w:t>
            </w:r>
            <w:r w:rsidRPr="00687EFC">
              <w:rPr>
                <w:rFonts w:ascii="Times New Roman" w:hAnsi="Times New Roman"/>
                <w:sz w:val="20"/>
                <w:szCs w:val="20"/>
                <w:vertAlign w:val="superscript"/>
              </w:rPr>
              <w:t>-2</w:t>
            </w:r>
          </w:p>
        </w:tc>
        <w:tc>
          <w:tcPr>
            <w:tcW w:w="463" w:type="pct"/>
            <w:tcBorders>
              <w:bottom w:val="nil"/>
            </w:tcBorders>
            <w:shd w:val="clear" w:color="auto" w:fill="auto"/>
            <w:noWrap/>
            <w:vAlign w:val="center"/>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0.8227</w:t>
            </w:r>
          </w:p>
        </w:tc>
        <w:tc>
          <w:tcPr>
            <w:tcW w:w="463" w:type="pct"/>
            <w:tcBorders>
              <w:bottom w:val="nil"/>
            </w:tcBorders>
            <w:shd w:val="clear" w:color="auto" w:fill="auto"/>
            <w:noWrap/>
            <w:vAlign w:val="center"/>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1.06</w:t>
            </w:r>
          </w:p>
        </w:tc>
        <w:tc>
          <w:tcPr>
            <w:tcW w:w="478" w:type="pct"/>
            <w:tcBorders>
              <w:bottom w:val="nil"/>
            </w:tcBorders>
            <w:shd w:val="clear" w:color="auto" w:fill="auto"/>
            <w:noWrap/>
            <w:vAlign w:val="center"/>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0.25</w:t>
            </w:r>
          </w:p>
        </w:tc>
        <w:tc>
          <w:tcPr>
            <w:tcW w:w="595" w:type="pct"/>
            <w:tcBorders>
              <w:bottom w:val="nil"/>
            </w:tcBorders>
            <w:shd w:val="clear" w:color="auto" w:fill="auto"/>
            <w:noWrap/>
            <w:vAlign w:val="center"/>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16.10</w:t>
            </w:r>
          </w:p>
        </w:tc>
        <w:tc>
          <w:tcPr>
            <w:tcW w:w="457" w:type="pct"/>
            <w:tcBorders>
              <w:bottom w:val="nil"/>
            </w:tcBorders>
            <w:shd w:val="clear" w:color="auto" w:fill="auto"/>
            <w:noWrap/>
            <w:vAlign w:val="center"/>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0.9996</w:t>
            </w:r>
          </w:p>
        </w:tc>
        <w:tc>
          <w:tcPr>
            <w:tcW w:w="550" w:type="pct"/>
            <w:tcBorders>
              <w:bottom w:val="nil"/>
            </w:tcBorders>
            <w:shd w:val="clear" w:color="auto" w:fill="auto"/>
            <w:noWrap/>
            <w:vAlign w:val="center"/>
          </w:tcPr>
          <w:p w:rsidR="00687EFC" w:rsidRPr="00687EFC" w:rsidRDefault="00687EFC" w:rsidP="009808E1">
            <w:pPr>
              <w:spacing w:before="60" w:after="0" w:line="240" w:lineRule="auto"/>
              <w:jc w:val="center"/>
              <w:rPr>
                <w:rFonts w:ascii="Times New Roman" w:hAnsi="Times New Roman"/>
                <w:sz w:val="20"/>
                <w:szCs w:val="20"/>
              </w:rPr>
            </w:pPr>
            <w:r w:rsidRPr="00687EFC">
              <w:rPr>
                <w:rFonts w:ascii="Times New Roman" w:hAnsi="Times New Roman"/>
                <w:sz w:val="20"/>
                <w:szCs w:val="20"/>
              </w:rPr>
              <w:t>7.97</w:t>
            </w:r>
          </w:p>
        </w:tc>
      </w:tr>
      <w:tr w:rsidR="00687EFC" w:rsidRPr="00687EFC" w:rsidTr="009808E1">
        <w:trPr>
          <w:trHeight w:val="223"/>
          <w:jc w:val="center"/>
        </w:trPr>
        <w:tc>
          <w:tcPr>
            <w:tcW w:w="800" w:type="pct"/>
            <w:tcBorders>
              <w:top w:val="nil"/>
              <w:bottom w:val="single" w:sz="4" w:space="0" w:color="auto"/>
            </w:tcBorders>
            <w:shd w:val="clear" w:color="auto" w:fill="auto"/>
            <w:noWrap/>
            <w:vAlign w:val="center"/>
            <w:hideMark/>
          </w:tcPr>
          <w:p w:rsidR="00687EFC" w:rsidRPr="00687EFC" w:rsidRDefault="00687EFC" w:rsidP="009808E1">
            <w:pPr>
              <w:spacing w:before="60" w:after="60" w:line="240" w:lineRule="auto"/>
              <w:rPr>
                <w:rFonts w:ascii="Times New Roman" w:hAnsi="Times New Roman"/>
                <w:sz w:val="20"/>
                <w:szCs w:val="20"/>
              </w:rPr>
            </w:pPr>
            <w:r w:rsidRPr="00687EFC">
              <w:rPr>
                <w:rFonts w:ascii="Times New Roman" w:hAnsi="Times New Roman"/>
                <w:sz w:val="20"/>
                <w:szCs w:val="20"/>
              </w:rPr>
              <w:t>30</w:t>
            </w:r>
          </w:p>
        </w:tc>
        <w:tc>
          <w:tcPr>
            <w:tcW w:w="454" w:type="pct"/>
            <w:tcBorders>
              <w:top w:val="nil"/>
              <w:bottom w:val="single" w:sz="4" w:space="0" w:color="auto"/>
            </w:tcBorders>
            <w:shd w:val="clear" w:color="auto" w:fill="auto"/>
            <w:noWrap/>
            <w:vAlign w:val="center"/>
            <w:hideMark/>
          </w:tcPr>
          <w:p w:rsidR="00687EFC" w:rsidRPr="00687EFC" w:rsidRDefault="00687EFC" w:rsidP="009808E1">
            <w:pPr>
              <w:spacing w:before="60" w:after="60" w:line="240" w:lineRule="auto"/>
              <w:jc w:val="center"/>
              <w:rPr>
                <w:rFonts w:ascii="Times New Roman" w:hAnsi="Times New Roman"/>
                <w:sz w:val="20"/>
                <w:szCs w:val="20"/>
              </w:rPr>
            </w:pPr>
            <w:r w:rsidRPr="00687EFC">
              <w:rPr>
                <w:rFonts w:ascii="Times New Roman" w:hAnsi="Times New Roman"/>
                <w:sz w:val="20"/>
                <w:szCs w:val="20"/>
              </w:rPr>
              <w:t>9.97</w:t>
            </w:r>
          </w:p>
        </w:tc>
        <w:tc>
          <w:tcPr>
            <w:tcW w:w="740" w:type="pct"/>
            <w:tcBorders>
              <w:top w:val="nil"/>
              <w:bottom w:val="single" w:sz="4" w:space="0" w:color="auto"/>
            </w:tcBorders>
            <w:shd w:val="clear" w:color="auto" w:fill="auto"/>
            <w:noWrap/>
            <w:vAlign w:val="center"/>
            <w:hideMark/>
          </w:tcPr>
          <w:p w:rsidR="00687EFC" w:rsidRPr="00687EFC" w:rsidRDefault="00687EFC" w:rsidP="009808E1">
            <w:pPr>
              <w:spacing w:before="60" w:after="60" w:line="240" w:lineRule="auto"/>
              <w:jc w:val="center"/>
              <w:rPr>
                <w:rFonts w:ascii="Times New Roman" w:hAnsi="Times New Roman"/>
                <w:sz w:val="20"/>
                <w:szCs w:val="20"/>
              </w:rPr>
            </w:pPr>
            <w:r w:rsidRPr="00687EFC">
              <w:rPr>
                <w:rFonts w:ascii="Times New Roman" w:hAnsi="Times New Roman"/>
                <w:sz w:val="20"/>
                <w:szCs w:val="20"/>
              </w:rPr>
              <w:t>3.68×10</w:t>
            </w:r>
            <w:r w:rsidRPr="00687EFC">
              <w:rPr>
                <w:rFonts w:ascii="Times New Roman" w:hAnsi="Times New Roman"/>
                <w:sz w:val="20"/>
                <w:szCs w:val="20"/>
                <w:vertAlign w:val="superscript"/>
              </w:rPr>
              <w:t>-3</w:t>
            </w:r>
          </w:p>
        </w:tc>
        <w:tc>
          <w:tcPr>
            <w:tcW w:w="463" w:type="pct"/>
            <w:tcBorders>
              <w:top w:val="nil"/>
              <w:bottom w:val="single" w:sz="4" w:space="0" w:color="auto"/>
            </w:tcBorders>
            <w:shd w:val="clear" w:color="auto" w:fill="auto"/>
            <w:noWrap/>
            <w:vAlign w:val="center"/>
            <w:hideMark/>
          </w:tcPr>
          <w:p w:rsidR="00687EFC" w:rsidRPr="00687EFC" w:rsidRDefault="00687EFC" w:rsidP="009808E1">
            <w:pPr>
              <w:spacing w:before="60" w:after="60" w:line="240" w:lineRule="auto"/>
              <w:jc w:val="center"/>
              <w:rPr>
                <w:rFonts w:ascii="Times New Roman" w:hAnsi="Times New Roman"/>
                <w:sz w:val="20"/>
                <w:szCs w:val="20"/>
              </w:rPr>
            </w:pPr>
            <w:r w:rsidRPr="00687EFC">
              <w:rPr>
                <w:rFonts w:ascii="Times New Roman" w:hAnsi="Times New Roman"/>
                <w:sz w:val="20"/>
                <w:szCs w:val="20"/>
              </w:rPr>
              <w:t>0.1768</w:t>
            </w:r>
          </w:p>
        </w:tc>
        <w:tc>
          <w:tcPr>
            <w:tcW w:w="463" w:type="pct"/>
            <w:tcBorders>
              <w:top w:val="nil"/>
              <w:bottom w:val="single" w:sz="4" w:space="0" w:color="auto"/>
            </w:tcBorders>
            <w:shd w:val="clear" w:color="auto" w:fill="auto"/>
            <w:noWrap/>
            <w:vAlign w:val="center"/>
            <w:hideMark/>
          </w:tcPr>
          <w:p w:rsidR="00687EFC" w:rsidRPr="00687EFC" w:rsidRDefault="00687EFC" w:rsidP="009808E1">
            <w:pPr>
              <w:spacing w:before="60" w:after="60" w:line="240" w:lineRule="auto"/>
              <w:jc w:val="center"/>
              <w:rPr>
                <w:rFonts w:ascii="Times New Roman" w:hAnsi="Times New Roman"/>
                <w:sz w:val="20"/>
                <w:szCs w:val="20"/>
              </w:rPr>
            </w:pPr>
            <w:r w:rsidRPr="00687EFC">
              <w:rPr>
                <w:rFonts w:ascii="Times New Roman" w:hAnsi="Times New Roman"/>
                <w:sz w:val="20"/>
                <w:szCs w:val="20"/>
              </w:rPr>
              <w:t>0.85</w:t>
            </w:r>
          </w:p>
        </w:tc>
        <w:tc>
          <w:tcPr>
            <w:tcW w:w="478" w:type="pct"/>
            <w:tcBorders>
              <w:top w:val="nil"/>
              <w:bottom w:val="single" w:sz="4" w:space="0" w:color="auto"/>
            </w:tcBorders>
            <w:shd w:val="clear" w:color="auto" w:fill="auto"/>
            <w:noWrap/>
            <w:vAlign w:val="center"/>
            <w:hideMark/>
          </w:tcPr>
          <w:p w:rsidR="00687EFC" w:rsidRPr="00687EFC" w:rsidRDefault="00687EFC" w:rsidP="009808E1">
            <w:pPr>
              <w:spacing w:before="60" w:after="60" w:line="240" w:lineRule="auto"/>
              <w:jc w:val="center"/>
              <w:rPr>
                <w:rFonts w:ascii="Times New Roman" w:hAnsi="Times New Roman"/>
                <w:sz w:val="20"/>
                <w:szCs w:val="20"/>
              </w:rPr>
            </w:pPr>
            <w:r w:rsidRPr="00687EFC">
              <w:rPr>
                <w:rFonts w:ascii="Times New Roman" w:hAnsi="Times New Roman"/>
                <w:sz w:val="20"/>
                <w:szCs w:val="20"/>
              </w:rPr>
              <w:t>23.89</w:t>
            </w:r>
          </w:p>
        </w:tc>
        <w:tc>
          <w:tcPr>
            <w:tcW w:w="595" w:type="pct"/>
            <w:tcBorders>
              <w:top w:val="nil"/>
              <w:bottom w:val="single" w:sz="4" w:space="0" w:color="auto"/>
            </w:tcBorders>
            <w:shd w:val="clear" w:color="auto" w:fill="auto"/>
            <w:noWrap/>
            <w:vAlign w:val="center"/>
            <w:hideMark/>
          </w:tcPr>
          <w:p w:rsidR="00687EFC" w:rsidRPr="00687EFC" w:rsidRDefault="00687EFC" w:rsidP="009808E1">
            <w:pPr>
              <w:spacing w:before="60" w:after="60" w:line="240" w:lineRule="auto"/>
              <w:jc w:val="center"/>
              <w:rPr>
                <w:rFonts w:ascii="Times New Roman" w:hAnsi="Times New Roman"/>
                <w:sz w:val="20"/>
                <w:szCs w:val="20"/>
              </w:rPr>
            </w:pPr>
            <w:r w:rsidRPr="00687EFC">
              <w:rPr>
                <w:rFonts w:ascii="Times New Roman" w:hAnsi="Times New Roman"/>
                <w:sz w:val="20"/>
                <w:szCs w:val="20"/>
              </w:rPr>
              <w:t>1999.74</w:t>
            </w:r>
          </w:p>
        </w:tc>
        <w:tc>
          <w:tcPr>
            <w:tcW w:w="457" w:type="pct"/>
            <w:tcBorders>
              <w:top w:val="nil"/>
              <w:bottom w:val="single" w:sz="4" w:space="0" w:color="auto"/>
            </w:tcBorders>
            <w:shd w:val="clear" w:color="auto" w:fill="auto"/>
            <w:noWrap/>
            <w:vAlign w:val="center"/>
            <w:hideMark/>
          </w:tcPr>
          <w:p w:rsidR="00687EFC" w:rsidRPr="00687EFC" w:rsidRDefault="00687EFC" w:rsidP="009808E1">
            <w:pPr>
              <w:spacing w:before="60" w:after="60" w:line="240" w:lineRule="auto"/>
              <w:jc w:val="center"/>
              <w:rPr>
                <w:rFonts w:ascii="Times New Roman" w:hAnsi="Times New Roman"/>
                <w:sz w:val="20"/>
                <w:szCs w:val="20"/>
              </w:rPr>
            </w:pPr>
            <w:r w:rsidRPr="00687EFC">
              <w:rPr>
                <w:rFonts w:ascii="Times New Roman" w:hAnsi="Times New Roman"/>
                <w:sz w:val="20"/>
                <w:szCs w:val="20"/>
              </w:rPr>
              <w:t>0.9999</w:t>
            </w:r>
          </w:p>
        </w:tc>
        <w:tc>
          <w:tcPr>
            <w:tcW w:w="550" w:type="pct"/>
            <w:tcBorders>
              <w:top w:val="nil"/>
              <w:bottom w:val="single" w:sz="4" w:space="0" w:color="auto"/>
            </w:tcBorders>
            <w:shd w:val="clear" w:color="auto" w:fill="auto"/>
            <w:noWrap/>
            <w:vAlign w:val="center"/>
            <w:hideMark/>
          </w:tcPr>
          <w:p w:rsidR="00687EFC" w:rsidRPr="00687EFC" w:rsidRDefault="00687EFC" w:rsidP="009808E1">
            <w:pPr>
              <w:spacing w:before="60" w:after="60" w:line="240" w:lineRule="auto"/>
              <w:jc w:val="center"/>
              <w:rPr>
                <w:rFonts w:ascii="Times New Roman" w:hAnsi="Times New Roman"/>
                <w:sz w:val="20"/>
                <w:szCs w:val="20"/>
              </w:rPr>
            </w:pPr>
            <w:r w:rsidRPr="00687EFC">
              <w:rPr>
                <w:rFonts w:ascii="Times New Roman" w:hAnsi="Times New Roman"/>
                <w:sz w:val="20"/>
                <w:szCs w:val="20"/>
              </w:rPr>
              <w:t>9.15</w:t>
            </w:r>
          </w:p>
        </w:tc>
      </w:tr>
    </w:tbl>
    <w:p w:rsidR="00687EFC" w:rsidRPr="00687EFC" w:rsidRDefault="00687EFC" w:rsidP="009808E1">
      <w:pPr>
        <w:spacing w:after="120" w:line="240" w:lineRule="auto"/>
        <w:jc w:val="both"/>
        <w:outlineLvl w:val="0"/>
        <w:rPr>
          <w:rFonts w:ascii="Times New Roman" w:hAnsi="Times New Roman"/>
          <w:sz w:val="20"/>
          <w:szCs w:val="20"/>
        </w:rPr>
      </w:pPr>
    </w:p>
    <w:p w:rsidR="00687EFC" w:rsidRPr="00687EFC" w:rsidRDefault="00687EFC" w:rsidP="00687EFC">
      <w:pPr>
        <w:spacing w:after="0" w:line="240" w:lineRule="auto"/>
        <w:jc w:val="both"/>
        <w:outlineLvl w:val="0"/>
        <w:rPr>
          <w:rFonts w:ascii="Times New Roman" w:hAnsi="Times New Roman"/>
          <w:b/>
          <w:sz w:val="20"/>
          <w:szCs w:val="20"/>
        </w:rPr>
      </w:pPr>
      <w:r w:rsidRPr="00687EFC">
        <w:rPr>
          <w:rFonts w:ascii="Times New Roman" w:hAnsi="Times New Roman"/>
          <w:b/>
          <w:sz w:val="20"/>
          <w:szCs w:val="20"/>
        </w:rPr>
        <w:t>FT–IR analysis</w:t>
      </w:r>
    </w:p>
    <w:p w:rsidR="00687EFC" w:rsidRPr="00687EFC" w:rsidRDefault="00687EFC" w:rsidP="00687EFC">
      <w:pPr>
        <w:spacing w:after="0" w:line="240" w:lineRule="auto"/>
        <w:jc w:val="both"/>
        <w:outlineLvl w:val="0"/>
        <w:rPr>
          <w:rFonts w:ascii="Times New Roman" w:hAnsi="Times New Roman"/>
          <w:sz w:val="20"/>
          <w:szCs w:val="20"/>
        </w:rPr>
      </w:pPr>
      <w:r w:rsidRPr="00687EFC">
        <w:rPr>
          <w:rFonts w:ascii="Times New Roman" w:hAnsi="Times New Roman"/>
          <w:sz w:val="20"/>
          <w:szCs w:val="20"/>
        </w:rPr>
        <w:t>The FTIR spectra obtained for chitosan beads and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before and after adsorption were shown in Figure 8. The broad peaks at 3428.58 cm</w:t>
      </w:r>
      <w:r w:rsidRPr="00687EFC">
        <w:rPr>
          <w:rFonts w:ascii="Times New Roman" w:hAnsi="Times New Roman"/>
          <w:sz w:val="20"/>
          <w:szCs w:val="20"/>
          <w:vertAlign w:val="superscript"/>
        </w:rPr>
        <w:t>–1</w:t>
      </w:r>
      <w:r w:rsidRPr="00687EFC">
        <w:rPr>
          <w:rFonts w:ascii="Times New Roman" w:hAnsi="Times New Roman"/>
          <w:sz w:val="20"/>
          <w:szCs w:val="20"/>
        </w:rPr>
        <w:t xml:space="preserve"> in chitosan beads can be assigned to stretching vibration of hydroxyl group and N–H groups found in chitosan. The adsorption band at 1655.12 cm</w:t>
      </w:r>
      <w:r w:rsidRPr="00687EFC">
        <w:rPr>
          <w:rFonts w:ascii="Times New Roman" w:hAnsi="Times New Roman"/>
          <w:sz w:val="20"/>
          <w:szCs w:val="20"/>
          <w:vertAlign w:val="superscript"/>
        </w:rPr>
        <w:t xml:space="preserve">–1 </w:t>
      </w:r>
      <w:r w:rsidRPr="00687EFC">
        <w:rPr>
          <w:rFonts w:ascii="Times New Roman" w:hAnsi="Times New Roman"/>
          <w:sz w:val="20"/>
          <w:szCs w:val="20"/>
        </w:rPr>
        <w:t>is the N–H bending in primary amine groups (–NH</w:t>
      </w:r>
      <w:r w:rsidRPr="00687EFC">
        <w:rPr>
          <w:rFonts w:ascii="Times New Roman" w:hAnsi="Times New Roman"/>
          <w:sz w:val="20"/>
          <w:szCs w:val="20"/>
          <w:vertAlign w:val="subscript"/>
        </w:rPr>
        <w:t>2</w:t>
      </w:r>
      <w:r w:rsidRPr="00687EFC">
        <w:rPr>
          <w:rFonts w:ascii="Times New Roman" w:hAnsi="Times New Roman"/>
          <w:sz w:val="20"/>
          <w:szCs w:val="20"/>
        </w:rPr>
        <w:t>). Other major band observed at 1383.14 cm</w:t>
      </w:r>
      <w:r w:rsidRPr="00687EFC">
        <w:rPr>
          <w:rFonts w:ascii="Times New Roman" w:hAnsi="Times New Roman"/>
          <w:sz w:val="20"/>
          <w:szCs w:val="20"/>
          <w:vertAlign w:val="superscript"/>
        </w:rPr>
        <w:t xml:space="preserve">–1 </w:t>
      </w:r>
      <w:r w:rsidRPr="00687EFC">
        <w:rPr>
          <w:rFonts w:ascii="Times New Roman" w:hAnsi="Times New Roman"/>
          <w:sz w:val="20"/>
          <w:szCs w:val="20"/>
        </w:rPr>
        <w:t>represents C–N stretching vibration. After the cross–linking process, several changes were observed in the spectra obtained for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The broad peak at 3428.58 cm</w:t>
      </w:r>
      <w:r w:rsidRPr="00687EFC">
        <w:rPr>
          <w:rFonts w:ascii="Times New Roman" w:hAnsi="Times New Roman"/>
          <w:sz w:val="20"/>
          <w:szCs w:val="20"/>
          <w:vertAlign w:val="superscript"/>
        </w:rPr>
        <w:t>–1</w:t>
      </w:r>
      <w:r w:rsidRPr="00687EFC">
        <w:rPr>
          <w:rFonts w:ascii="Times New Roman" w:hAnsi="Times New Roman"/>
          <w:sz w:val="20"/>
          <w:szCs w:val="20"/>
        </w:rPr>
        <w:t>, shifted to 3423.52 cm</w:t>
      </w:r>
      <w:r w:rsidRPr="00687EFC">
        <w:rPr>
          <w:rFonts w:ascii="Times New Roman" w:hAnsi="Times New Roman"/>
          <w:sz w:val="20"/>
          <w:szCs w:val="20"/>
          <w:vertAlign w:val="superscript"/>
        </w:rPr>
        <w:t>–1</w:t>
      </w:r>
      <w:r w:rsidRPr="00687EFC">
        <w:rPr>
          <w:rFonts w:ascii="Times New Roman" w:hAnsi="Times New Roman"/>
          <w:sz w:val="20"/>
          <w:szCs w:val="20"/>
        </w:rPr>
        <w:t xml:space="preserve"> and eventually become broader. This showed that the –NH</w:t>
      </w:r>
      <w:r w:rsidRPr="00687EFC">
        <w:rPr>
          <w:rFonts w:ascii="Times New Roman" w:hAnsi="Times New Roman"/>
          <w:sz w:val="20"/>
          <w:szCs w:val="20"/>
          <w:vertAlign w:val="subscript"/>
        </w:rPr>
        <w:t>2</w:t>
      </w:r>
      <w:r w:rsidRPr="00687EFC">
        <w:rPr>
          <w:rFonts w:ascii="Times New Roman" w:hAnsi="Times New Roman"/>
          <w:sz w:val="20"/>
          <w:szCs w:val="20"/>
        </w:rPr>
        <w:t xml:space="preserve"> groups in chitosan were protonated to –NH</w:t>
      </w:r>
      <w:r w:rsidRPr="00687EFC">
        <w:rPr>
          <w:rFonts w:ascii="Times New Roman" w:hAnsi="Times New Roman"/>
          <w:sz w:val="20"/>
          <w:szCs w:val="20"/>
          <w:vertAlign w:val="subscript"/>
        </w:rPr>
        <w:t>3</w:t>
      </w:r>
      <w:r w:rsidRPr="00687EFC">
        <w:rPr>
          <w:rFonts w:ascii="Times New Roman" w:hAnsi="Times New Roman"/>
          <w:sz w:val="20"/>
          <w:szCs w:val="20"/>
          <w:vertAlign w:val="superscript"/>
        </w:rPr>
        <w:t>+</w:t>
      </w:r>
      <w:r w:rsidRPr="00687EFC">
        <w:rPr>
          <w:rFonts w:ascii="Times New Roman" w:hAnsi="Times New Roman"/>
          <w:sz w:val="20"/>
          <w:szCs w:val="20"/>
        </w:rPr>
        <w:t>, as this broader band represented the stretching vibration of –NH</w:t>
      </w:r>
      <w:r w:rsidRPr="00687EFC">
        <w:rPr>
          <w:rFonts w:ascii="Times New Roman" w:hAnsi="Times New Roman"/>
          <w:sz w:val="20"/>
          <w:szCs w:val="20"/>
          <w:vertAlign w:val="subscript"/>
        </w:rPr>
        <w:t>3</w:t>
      </w:r>
      <w:r w:rsidRPr="00687EFC">
        <w:rPr>
          <w:rFonts w:ascii="Times New Roman" w:hAnsi="Times New Roman"/>
          <w:sz w:val="20"/>
          <w:szCs w:val="20"/>
          <w:vertAlign w:val="superscript"/>
        </w:rPr>
        <w:t>+</w:t>
      </w:r>
      <w:r w:rsidRPr="00687EFC">
        <w:rPr>
          <w:rFonts w:ascii="Times New Roman" w:hAnsi="Times New Roman"/>
          <w:sz w:val="20"/>
          <w:szCs w:val="20"/>
        </w:rPr>
        <w:t>. The adsorption bands at 1635.05 and 1532.64 cm</w:t>
      </w:r>
      <w:r w:rsidRPr="00687EFC">
        <w:rPr>
          <w:rFonts w:ascii="Times New Roman" w:hAnsi="Times New Roman"/>
          <w:sz w:val="20"/>
          <w:szCs w:val="20"/>
          <w:vertAlign w:val="superscript"/>
        </w:rPr>
        <w:t>–1</w:t>
      </w:r>
      <w:r w:rsidRPr="00687EFC">
        <w:rPr>
          <w:rFonts w:ascii="Times New Roman" w:hAnsi="Times New Roman"/>
          <w:sz w:val="20"/>
          <w:szCs w:val="20"/>
        </w:rPr>
        <w:t xml:space="preserve"> represented the bending vibration of –NH</w:t>
      </w:r>
      <w:r w:rsidRPr="00687EFC">
        <w:rPr>
          <w:rFonts w:ascii="Times New Roman" w:hAnsi="Times New Roman"/>
          <w:sz w:val="20"/>
          <w:szCs w:val="20"/>
          <w:vertAlign w:val="subscript"/>
        </w:rPr>
        <w:t>3</w:t>
      </w:r>
      <w:r w:rsidRPr="00687EFC">
        <w:rPr>
          <w:rFonts w:ascii="Times New Roman" w:hAnsi="Times New Roman"/>
          <w:sz w:val="20"/>
          <w:szCs w:val="20"/>
          <w:vertAlign w:val="superscript"/>
        </w:rPr>
        <w:t>+</w:t>
      </w:r>
      <w:r w:rsidRPr="00687EFC">
        <w:rPr>
          <w:rFonts w:ascii="Times New Roman" w:hAnsi="Times New Roman"/>
          <w:sz w:val="20"/>
          <w:szCs w:val="20"/>
        </w:rPr>
        <w:t xml:space="preserve"> groups. The involvement </w:t>
      </w:r>
      <w:r w:rsidRPr="00687EFC">
        <w:rPr>
          <w:rFonts w:ascii="Times New Roman" w:hAnsi="Times New Roman"/>
          <w:sz w:val="20"/>
          <w:szCs w:val="20"/>
        </w:rPr>
        <w:lastRenderedPageBreak/>
        <w:t>of SO</w:t>
      </w:r>
      <w:r w:rsidRPr="00687EFC">
        <w:rPr>
          <w:rFonts w:ascii="Times New Roman" w:hAnsi="Times New Roman"/>
          <w:sz w:val="20"/>
          <w:szCs w:val="20"/>
          <w:vertAlign w:val="subscript"/>
        </w:rPr>
        <w:t>4</w:t>
      </w:r>
      <w:r w:rsidRPr="00687EFC">
        <w:rPr>
          <w:rFonts w:ascii="Times New Roman" w:hAnsi="Times New Roman"/>
          <w:sz w:val="20"/>
          <w:szCs w:val="20"/>
          <w:vertAlign w:val="superscript"/>
        </w:rPr>
        <w:t>2–</w:t>
      </w:r>
      <w:r w:rsidRPr="00687EFC">
        <w:rPr>
          <w:rFonts w:ascii="Times New Roman" w:hAnsi="Times New Roman"/>
          <w:sz w:val="20"/>
          <w:szCs w:val="20"/>
        </w:rPr>
        <w:t xml:space="preserve"> ions in the cross–linking process was confirmed by the presence of the adsorption bands at 1191.64 cm</w:t>
      </w:r>
      <w:r w:rsidRPr="00687EFC">
        <w:rPr>
          <w:rFonts w:ascii="Times New Roman" w:hAnsi="Times New Roman"/>
          <w:sz w:val="20"/>
          <w:szCs w:val="20"/>
          <w:vertAlign w:val="superscript"/>
        </w:rPr>
        <w:t>–1</w:t>
      </w:r>
      <w:r w:rsidRPr="00687EFC">
        <w:rPr>
          <w:rFonts w:ascii="Times New Roman" w:hAnsi="Times New Roman"/>
          <w:sz w:val="20"/>
          <w:szCs w:val="20"/>
        </w:rPr>
        <w:t xml:space="preserve"> that represented the sulfo groups. The band observed at 1076.47 cm</w:t>
      </w:r>
      <w:r w:rsidRPr="00687EFC">
        <w:rPr>
          <w:rFonts w:ascii="Times New Roman" w:hAnsi="Times New Roman"/>
          <w:sz w:val="20"/>
          <w:szCs w:val="20"/>
          <w:vertAlign w:val="superscript"/>
        </w:rPr>
        <w:t xml:space="preserve">–1 </w:t>
      </w:r>
      <w:r w:rsidRPr="00687EFC">
        <w:rPr>
          <w:rFonts w:ascii="Times New Roman" w:hAnsi="Times New Roman"/>
          <w:sz w:val="20"/>
          <w:szCs w:val="20"/>
        </w:rPr>
        <w:t>also confirmed the presence of S=O stretching found in the SO</w:t>
      </w:r>
      <w:r w:rsidRPr="00687EFC">
        <w:rPr>
          <w:rFonts w:ascii="Times New Roman" w:hAnsi="Times New Roman"/>
          <w:sz w:val="20"/>
          <w:szCs w:val="20"/>
          <w:vertAlign w:val="subscript"/>
        </w:rPr>
        <w:t>4</w:t>
      </w:r>
      <w:r w:rsidRPr="00687EFC">
        <w:rPr>
          <w:rFonts w:ascii="Times New Roman" w:hAnsi="Times New Roman"/>
          <w:sz w:val="20"/>
          <w:szCs w:val="20"/>
          <w:vertAlign w:val="superscript"/>
        </w:rPr>
        <w:t>2–</w:t>
      </w:r>
      <w:r w:rsidRPr="00687EFC">
        <w:rPr>
          <w:rFonts w:ascii="Times New Roman" w:hAnsi="Times New Roman"/>
          <w:sz w:val="20"/>
          <w:szCs w:val="20"/>
        </w:rPr>
        <w:t xml:space="preserve"> ions. This FTIR spectra proved that the formation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was through the ionic interaction between the protonated amine groups (–NH</w:t>
      </w:r>
      <w:r w:rsidRPr="00687EFC">
        <w:rPr>
          <w:rFonts w:ascii="Times New Roman" w:hAnsi="Times New Roman"/>
          <w:sz w:val="20"/>
          <w:szCs w:val="20"/>
          <w:vertAlign w:val="subscript"/>
        </w:rPr>
        <w:t>3</w:t>
      </w:r>
      <w:r w:rsidRPr="00687EFC">
        <w:rPr>
          <w:rFonts w:ascii="Times New Roman" w:hAnsi="Times New Roman"/>
          <w:sz w:val="20"/>
          <w:szCs w:val="20"/>
          <w:vertAlign w:val="superscript"/>
        </w:rPr>
        <w:t>+</w:t>
      </w:r>
      <w:r w:rsidRPr="00687EFC">
        <w:rPr>
          <w:rFonts w:ascii="Times New Roman" w:hAnsi="Times New Roman"/>
          <w:sz w:val="20"/>
          <w:szCs w:val="20"/>
        </w:rPr>
        <w:t>) of chitosan and the SO</w:t>
      </w:r>
      <w:r w:rsidRPr="00687EFC">
        <w:rPr>
          <w:rFonts w:ascii="Times New Roman" w:hAnsi="Times New Roman"/>
          <w:sz w:val="20"/>
          <w:szCs w:val="20"/>
          <w:vertAlign w:val="subscript"/>
        </w:rPr>
        <w:t>4</w:t>
      </w:r>
      <w:r w:rsidRPr="00687EFC">
        <w:rPr>
          <w:rFonts w:ascii="Times New Roman" w:hAnsi="Times New Roman"/>
          <w:sz w:val="20"/>
          <w:szCs w:val="20"/>
          <w:vertAlign w:val="superscript"/>
        </w:rPr>
        <w:t>2–</w:t>
      </w:r>
      <w:r w:rsidRPr="00687EFC">
        <w:rPr>
          <w:rFonts w:ascii="Times New Roman" w:hAnsi="Times New Roman"/>
          <w:sz w:val="20"/>
          <w:szCs w:val="20"/>
        </w:rPr>
        <w:t xml:space="preserve"> ions of sulfuric acid. The FTIR of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beads after adsorption showed there were no appearances of new bands. However, there were adsorption bands at 887.59 and 855.15 cm</w:t>
      </w:r>
      <w:r w:rsidRPr="00687EFC">
        <w:rPr>
          <w:rFonts w:ascii="Times New Roman" w:hAnsi="Times New Roman"/>
          <w:sz w:val="20"/>
          <w:szCs w:val="20"/>
          <w:vertAlign w:val="superscript"/>
        </w:rPr>
        <w:t>–1</w:t>
      </w:r>
      <w:r w:rsidRPr="00687EFC">
        <w:rPr>
          <w:rFonts w:ascii="Times New Roman" w:hAnsi="Times New Roman"/>
          <w:sz w:val="20"/>
          <w:szCs w:val="20"/>
        </w:rPr>
        <w:t xml:space="preserve"> represented –NH</w:t>
      </w:r>
      <w:r w:rsidRPr="00687EFC">
        <w:rPr>
          <w:rFonts w:ascii="Times New Roman" w:hAnsi="Times New Roman"/>
          <w:sz w:val="20"/>
          <w:szCs w:val="20"/>
          <w:vertAlign w:val="subscript"/>
        </w:rPr>
        <w:t>3</w:t>
      </w:r>
      <w:r w:rsidRPr="00687EFC">
        <w:rPr>
          <w:rFonts w:ascii="Times New Roman" w:hAnsi="Times New Roman"/>
          <w:sz w:val="20"/>
          <w:szCs w:val="20"/>
          <w:vertAlign w:val="superscript"/>
        </w:rPr>
        <w:t>+</w:t>
      </w:r>
      <w:r w:rsidRPr="00687EFC">
        <w:rPr>
          <w:rFonts w:ascii="Times New Roman" w:hAnsi="Times New Roman"/>
          <w:sz w:val="20"/>
          <w:szCs w:val="20"/>
        </w:rPr>
        <w:t xml:space="preserve"> rocking vibrations. These spectral changes shown that many amine groups were protonated to form –NH</w:t>
      </w:r>
      <w:r w:rsidRPr="00687EFC">
        <w:rPr>
          <w:rFonts w:ascii="Times New Roman" w:hAnsi="Times New Roman"/>
          <w:sz w:val="20"/>
          <w:szCs w:val="20"/>
          <w:vertAlign w:val="subscript"/>
        </w:rPr>
        <w:t>3</w:t>
      </w:r>
      <w:r w:rsidRPr="00687EFC">
        <w:rPr>
          <w:rFonts w:ascii="Times New Roman" w:hAnsi="Times New Roman"/>
          <w:sz w:val="20"/>
          <w:szCs w:val="20"/>
          <w:vertAlign w:val="superscript"/>
        </w:rPr>
        <w:t>+</w:t>
      </w:r>
      <w:r w:rsidRPr="00687EFC">
        <w:rPr>
          <w:rFonts w:ascii="Times New Roman" w:hAnsi="Times New Roman"/>
          <w:sz w:val="20"/>
          <w:szCs w:val="20"/>
        </w:rPr>
        <w:t>.</w:t>
      </w:r>
    </w:p>
    <w:p w:rsidR="00687EFC" w:rsidRPr="00687EFC" w:rsidRDefault="00687EFC" w:rsidP="009808E1">
      <w:pPr>
        <w:spacing w:after="120" w:line="240" w:lineRule="auto"/>
        <w:jc w:val="both"/>
        <w:outlineLvl w:val="0"/>
        <w:rPr>
          <w:rFonts w:ascii="Times New Roman" w:hAnsi="Times New Roman"/>
          <w:sz w:val="20"/>
          <w:szCs w:val="20"/>
        </w:rPr>
      </w:pPr>
    </w:p>
    <w:p w:rsidR="00687EFC" w:rsidRPr="00687EFC" w:rsidRDefault="00687EFC" w:rsidP="009808E1">
      <w:pPr>
        <w:tabs>
          <w:tab w:val="left" w:pos="0"/>
        </w:tabs>
        <w:spacing w:after="120" w:line="240" w:lineRule="auto"/>
        <w:jc w:val="center"/>
        <w:rPr>
          <w:rFonts w:ascii="Times New Roman" w:hAnsi="Times New Roman"/>
          <w:sz w:val="20"/>
          <w:szCs w:val="20"/>
        </w:rPr>
      </w:pPr>
      <w:r w:rsidRPr="00687EFC">
        <w:rPr>
          <w:rFonts w:ascii="Times New Roman" w:hAnsi="Times New Roman"/>
          <w:noProof/>
          <w:sz w:val="20"/>
          <w:szCs w:val="20"/>
          <w:lang w:bidi="ar-SA"/>
        </w:rPr>
        <w:drawing>
          <wp:inline distT="0" distB="0" distL="0" distR="0" wp14:anchorId="3518918B" wp14:editId="0A944C5A">
            <wp:extent cx="4680000" cy="2880000"/>
            <wp:effectExtent l="19050" t="19050" r="25400" b="15875"/>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srcRect/>
                    <a:stretch>
                      <a:fillRect/>
                    </a:stretch>
                  </pic:blipFill>
                  <pic:spPr bwMode="auto">
                    <a:xfrm>
                      <a:off x="0" y="0"/>
                      <a:ext cx="4680000" cy="2880000"/>
                    </a:xfrm>
                    <a:prstGeom prst="rect">
                      <a:avLst/>
                    </a:prstGeom>
                    <a:noFill/>
                    <a:ln w="6350">
                      <a:solidFill>
                        <a:schemeClr val="tx1"/>
                      </a:solidFill>
                      <a:miter lim="800000"/>
                      <a:headEnd/>
                      <a:tailEnd/>
                    </a:ln>
                  </pic:spPr>
                </pic:pic>
              </a:graphicData>
            </a:graphic>
          </wp:inline>
        </w:drawing>
      </w:r>
    </w:p>
    <w:p w:rsidR="00687EFC" w:rsidRPr="00687EFC" w:rsidRDefault="00687EFC" w:rsidP="009808E1">
      <w:pPr>
        <w:tabs>
          <w:tab w:val="left" w:pos="450"/>
        </w:tabs>
        <w:spacing w:after="0" w:line="240" w:lineRule="auto"/>
        <w:ind w:left="1440" w:hanging="1440"/>
        <w:jc w:val="center"/>
        <w:rPr>
          <w:rFonts w:ascii="Times New Roman" w:hAnsi="Times New Roman"/>
          <w:sz w:val="20"/>
          <w:szCs w:val="20"/>
        </w:rPr>
      </w:pPr>
      <w:r w:rsidRPr="00687EFC">
        <w:rPr>
          <w:rFonts w:ascii="Times New Roman" w:hAnsi="Times New Roman"/>
          <w:sz w:val="20"/>
          <w:szCs w:val="20"/>
        </w:rPr>
        <w:t xml:space="preserve">Figure 8. </w:t>
      </w:r>
      <w:r w:rsidR="009808E1">
        <w:rPr>
          <w:rFonts w:ascii="Times New Roman" w:hAnsi="Times New Roman"/>
          <w:sz w:val="20"/>
          <w:szCs w:val="20"/>
        </w:rPr>
        <w:t xml:space="preserve"> </w:t>
      </w:r>
      <w:r w:rsidRPr="00687EFC">
        <w:rPr>
          <w:rFonts w:ascii="Times New Roman" w:hAnsi="Times New Roman"/>
          <w:sz w:val="20"/>
          <w:szCs w:val="20"/>
        </w:rPr>
        <w:t>Infrared spectra for chitosan flakes and chitosan–H</w:t>
      </w:r>
      <w:r w:rsidRPr="00687EFC">
        <w:rPr>
          <w:rFonts w:ascii="Times New Roman" w:hAnsi="Times New Roman"/>
          <w:sz w:val="20"/>
          <w:szCs w:val="20"/>
          <w:vertAlign w:val="subscript"/>
        </w:rPr>
        <w:t>2</w:t>
      </w:r>
      <w:r w:rsidRPr="00687EFC">
        <w:rPr>
          <w:rFonts w:ascii="Times New Roman" w:hAnsi="Times New Roman"/>
          <w:sz w:val="20"/>
          <w:szCs w:val="20"/>
        </w:rPr>
        <w:t>SO</w:t>
      </w:r>
      <w:r w:rsidRPr="00687EFC">
        <w:rPr>
          <w:rFonts w:ascii="Times New Roman" w:hAnsi="Times New Roman"/>
          <w:sz w:val="20"/>
          <w:szCs w:val="20"/>
          <w:vertAlign w:val="subscript"/>
        </w:rPr>
        <w:t>4</w:t>
      </w:r>
      <w:r w:rsidRPr="00687EFC">
        <w:rPr>
          <w:rFonts w:ascii="Times New Roman" w:hAnsi="Times New Roman"/>
          <w:sz w:val="20"/>
          <w:szCs w:val="20"/>
        </w:rPr>
        <w:t xml:space="preserve"> before and after adsorption</w:t>
      </w:r>
    </w:p>
    <w:p w:rsidR="00AC0033" w:rsidRDefault="00AC0033" w:rsidP="00AC0033">
      <w:pPr>
        <w:spacing w:after="0" w:line="240" w:lineRule="auto"/>
        <w:jc w:val="center"/>
        <w:rPr>
          <w:rFonts w:ascii="Times New Roman" w:hAnsi="Times New Roman"/>
          <w:noProof/>
          <w:sz w:val="20"/>
          <w:szCs w:val="20"/>
          <w:lang w:bidi="ar-SA"/>
        </w:rPr>
      </w:pPr>
    </w:p>
    <w:p w:rsidR="009808E1" w:rsidRPr="00F447A7" w:rsidRDefault="009808E1"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808E1" w:rsidRPr="009808E1" w:rsidRDefault="009808E1" w:rsidP="009808E1">
      <w:pPr>
        <w:spacing w:after="0" w:line="240" w:lineRule="auto"/>
        <w:jc w:val="both"/>
        <w:outlineLvl w:val="0"/>
        <w:rPr>
          <w:rFonts w:ascii="Times New Roman" w:hAnsi="Times New Roman"/>
          <w:sz w:val="20"/>
          <w:szCs w:val="20"/>
        </w:rPr>
      </w:pPr>
      <w:r w:rsidRPr="009808E1">
        <w:rPr>
          <w:rFonts w:ascii="Times New Roman" w:hAnsi="Times New Roman"/>
          <w:sz w:val="20"/>
          <w:szCs w:val="20"/>
        </w:rPr>
        <w:t>This study demonstrated that chitosan–H</w:t>
      </w:r>
      <w:r w:rsidRPr="009808E1">
        <w:rPr>
          <w:rFonts w:ascii="Times New Roman" w:hAnsi="Times New Roman"/>
          <w:sz w:val="20"/>
          <w:szCs w:val="20"/>
          <w:vertAlign w:val="subscript"/>
        </w:rPr>
        <w:t>2</w:t>
      </w:r>
      <w:r w:rsidRPr="009808E1">
        <w:rPr>
          <w:rFonts w:ascii="Times New Roman" w:hAnsi="Times New Roman"/>
          <w:sz w:val="20"/>
          <w:szCs w:val="20"/>
        </w:rPr>
        <w:t>SO</w:t>
      </w:r>
      <w:r w:rsidRPr="009808E1">
        <w:rPr>
          <w:rFonts w:ascii="Times New Roman" w:hAnsi="Times New Roman"/>
          <w:sz w:val="20"/>
          <w:szCs w:val="20"/>
          <w:vertAlign w:val="subscript"/>
        </w:rPr>
        <w:t>4</w:t>
      </w:r>
      <w:r w:rsidRPr="009808E1">
        <w:rPr>
          <w:rFonts w:ascii="Times New Roman" w:hAnsi="Times New Roman"/>
          <w:sz w:val="20"/>
          <w:szCs w:val="20"/>
        </w:rPr>
        <w:t xml:space="preserve"> beads are a promising adsorbent for the removal of MG from aqueous solutions. Chitosan–H</w:t>
      </w:r>
      <w:r w:rsidRPr="009808E1">
        <w:rPr>
          <w:rFonts w:ascii="Times New Roman" w:hAnsi="Times New Roman"/>
          <w:sz w:val="20"/>
          <w:szCs w:val="20"/>
          <w:vertAlign w:val="subscript"/>
        </w:rPr>
        <w:t>2</w:t>
      </w:r>
      <w:r w:rsidRPr="009808E1">
        <w:rPr>
          <w:rFonts w:ascii="Times New Roman" w:hAnsi="Times New Roman"/>
          <w:sz w:val="20"/>
          <w:szCs w:val="20"/>
        </w:rPr>
        <w:t>SO</w:t>
      </w:r>
      <w:r w:rsidRPr="009808E1">
        <w:rPr>
          <w:rFonts w:ascii="Times New Roman" w:hAnsi="Times New Roman"/>
          <w:sz w:val="20"/>
          <w:szCs w:val="20"/>
          <w:vertAlign w:val="subscript"/>
        </w:rPr>
        <w:t>4</w:t>
      </w:r>
      <w:r w:rsidRPr="009808E1">
        <w:rPr>
          <w:rFonts w:ascii="Times New Roman" w:hAnsi="Times New Roman"/>
          <w:sz w:val="20"/>
          <w:szCs w:val="20"/>
        </w:rPr>
        <w:t xml:space="preserve"> beads show a lower percentage of swelling than chitosan beads. The adsorption isotherm could be well fitted by the Langmuir equation and the MG adsorption followed the pseudo-second-order equation. The interaction between MG and chitosan–H</w:t>
      </w:r>
      <w:r w:rsidRPr="009808E1">
        <w:rPr>
          <w:rFonts w:ascii="Times New Roman" w:hAnsi="Times New Roman"/>
          <w:sz w:val="20"/>
          <w:szCs w:val="20"/>
          <w:vertAlign w:val="subscript"/>
        </w:rPr>
        <w:t>2</w:t>
      </w:r>
      <w:r w:rsidRPr="009808E1">
        <w:rPr>
          <w:rFonts w:ascii="Times New Roman" w:hAnsi="Times New Roman"/>
          <w:sz w:val="20"/>
          <w:szCs w:val="20"/>
        </w:rPr>
        <w:t>SO</w:t>
      </w:r>
      <w:r w:rsidRPr="009808E1">
        <w:rPr>
          <w:rFonts w:ascii="Times New Roman" w:hAnsi="Times New Roman"/>
          <w:sz w:val="20"/>
          <w:szCs w:val="20"/>
          <w:vertAlign w:val="subscript"/>
        </w:rPr>
        <w:t>4</w:t>
      </w:r>
      <w:r w:rsidRPr="009808E1">
        <w:rPr>
          <w:rFonts w:ascii="Times New Roman" w:hAnsi="Times New Roman"/>
          <w:sz w:val="20"/>
          <w:szCs w:val="20"/>
        </w:rPr>
        <w:t xml:space="preserve"> beads was confirmed by FTIR spectroscopy. Hence, it can be concluded that chitosan–H</w:t>
      </w:r>
      <w:r w:rsidRPr="009808E1">
        <w:rPr>
          <w:rFonts w:ascii="Times New Roman" w:hAnsi="Times New Roman"/>
          <w:sz w:val="20"/>
          <w:szCs w:val="20"/>
          <w:vertAlign w:val="subscript"/>
        </w:rPr>
        <w:t>2</w:t>
      </w:r>
      <w:r w:rsidRPr="009808E1">
        <w:rPr>
          <w:rFonts w:ascii="Times New Roman" w:hAnsi="Times New Roman"/>
          <w:sz w:val="20"/>
          <w:szCs w:val="20"/>
        </w:rPr>
        <w:t>SO</w:t>
      </w:r>
      <w:r w:rsidRPr="009808E1">
        <w:rPr>
          <w:rFonts w:ascii="Times New Roman" w:hAnsi="Times New Roman"/>
          <w:sz w:val="20"/>
          <w:szCs w:val="20"/>
          <w:vertAlign w:val="subscript"/>
        </w:rPr>
        <w:t>4</w:t>
      </w:r>
      <w:r w:rsidRPr="009808E1">
        <w:rPr>
          <w:rFonts w:ascii="Times New Roman" w:hAnsi="Times New Roman"/>
          <w:sz w:val="20"/>
          <w:szCs w:val="20"/>
        </w:rPr>
        <w:t xml:space="preserve"> beads are effective adsorbents for the uptake of MG sorption studies. Based on these findings, the prepared chitosan–H</w:t>
      </w:r>
      <w:r w:rsidRPr="009808E1">
        <w:rPr>
          <w:rFonts w:ascii="Times New Roman" w:hAnsi="Times New Roman"/>
          <w:sz w:val="20"/>
          <w:szCs w:val="20"/>
          <w:vertAlign w:val="subscript"/>
        </w:rPr>
        <w:t>2</w:t>
      </w:r>
      <w:r w:rsidRPr="009808E1">
        <w:rPr>
          <w:rFonts w:ascii="Times New Roman" w:hAnsi="Times New Roman"/>
          <w:sz w:val="20"/>
          <w:szCs w:val="20"/>
        </w:rPr>
        <w:t>SO</w:t>
      </w:r>
      <w:r w:rsidRPr="009808E1">
        <w:rPr>
          <w:rFonts w:ascii="Times New Roman" w:hAnsi="Times New Roman"/>
          <w:sz w:val="20"/>
          <w:szCs w:val="20"/>
          <w:vertAlign w:val="subscript"/>
        </w:rPr>
        <w:t>4</w:t>
      </w:r>
      <w:r w:rsidRPr="009808E1">
        <w:rPr>
          <w:rFonts w:ascii="Times New Roman" w:hAnsi="Times New Roman"/>
          <w:sz w:val="20"/>
          <w:szCs w:val="20"/>
        </w:rPr>
        <w:t xml:space="preserve"> beads can be used to remove MG from the wastewater, which is currently being carried out. In addition, the chitosan–H</w:t>
      </w:r>
      <w:r w:rsidRPr="009808E1">
        <w:rPr>
          <w:rFonts w:ascii="Times New Roman" w:hAnsi="Times New Roman"/>
          <w:sz w:val="20"/>
          <w:szCs w:val="20"/>
          <w:vertAlign w:val="subscript"/>
        </w:rPr>
        <w:t>2</w:t>
      </w:r>
      <w:r w:rsidRPr="009808E1">
        <w:rPr>
          <w:rFonts w:ascii="Times New Roman" w:hAnsi="Times New Roman"/>
          <w:sz w:val="20"/>
          <w:szCs w:val="20"/>
        </w:rPr>
        <w:t>SO</w:t>
      </w:r>
      <w:r w:rsidRPr="009808E1">
        <w:rPr>
          <w:rFonts w:ascii="Times New Roman" w:hAnsi="Times New Roman"/>
          <w:sz w:val="20"/>
          <w:szCs w:val="20"/>
          <w:vertAlign w:val="subscript"/>
        </w:rPr>
        <w:t>4</w:t>
      </w:r>
      <w:r w:rsidRPr="009808E1">
        <w:rPr>
          <w:rFonts w:ascii="Times New Roman" w:hAnsi="Times New Roman"/>
          <w:sz w:val="20"/>
          <w:szCs w:val="20"/>
        </w:rPr>
        <w:t xml:space="preserve"> beads can also be prepared in membrane, microbead and nanoparticle forms. It is expected that the removal of MG shall be increased with the use of different physical shapes of the cross-linked chitosan–H</w:t>
      </w:r>
      <w:r w:rsidRPr="009808E1">
        <w:rPr>
          <w:rFonts w:ascii="Times New Roman" w:hAnsi="Times New Roman"/>
          <w:sz w:val="20"/>
          <w:szCs w:val="20"/>
          <w:vertAlign w:val="subscript"/>
        </w:rPr>
        <w:t>2</w:t>
      </w:r>
      <w:r w:rsidRPr="009808E1">
        <w:rPr>
          <w:rFonts w:ascii="Times New Roman" w:hAnsi="Times New Roman"/>
          <w:sz w:val="20"/>
          <w:szCs w:val="20"/>
        </w:rPr>
        <w:t>SO</w:t>
      </w:r>
      <w:r w:rsidRPr="009808E1">
        <w:rPr>
          <w:rFonts w:ascii="Times New Roman" w:hAnsi="Times New Roman"/>
          <w:sz w:val="20"/>
          <w:szCs w:val="20"/>
          <w:vertAlign w:val="subscript"/>
        </w:rPr>
        <w:t>4</w:t>
      </w:r>
      <w:r w:rsidRPr="009808E1">
        <w:rPr>
          <w:rFonts w:ascii="Times New Roman" w:hAnsi="Times New Roman"/>
          <w:sz w:val="20"/>
          <w:szCs w:val="20"/>
        </w:rPr>
        <w:t>.</w:t>
      </w:r>
    </w:p>
    <w:p w:rsidR="009808E1" w:rsidRPr="009808E1" w:rsidRDefault="009808E1" w:rsidP="009808E1">
      <w:pPr>
        <w:spacing w:after="0" w:line="240" w:lineRule="auto"/>
        <w:jc w:val="center"/>
        <w:outlineLvl w:val="0"/>
        <w:rPr>
          <w:rFonts w:ascii="Times New Roman" w:hAnsi="Times New Roman"/>
          <w:sz w:val="20"/>
          <w:szCs w:val="20"/>
        </w:rPr>
      </w:pPr>
    </w:p>
    <w:p w:rsidR="009808E1" w:rsidRPr="009808E1" w:rsidRDefault="009808E1" w:rsidP="009808E1">
      <w:pPr>
        <w:spacing w:after="0" w:line="240" w:lineRule="auto"/>
        <w:jc w:val="center"/>
        <w:outlineLvl w:val="0"/>
        <w:rPr>
          <w:rFonts w:ascii="Times New Roman" w:hAnsi="Times New Roman"/>
          <w:b/>
          <w:sz w:val="20"/>
          <w:szCs w:val="20"/>
        </w:rPr>
      </w:pPr>
      <w:r w:rsidRPr="009808E1">
        <w:rPr>
          <w:rFonts w:ascii="Times New Roman" w:hAnsi="Times New Roman"/>
          <w:b/>
          <w:sz w:val="20"/>
          <w:szCs w:val="20"/>
        </w:rPr>
        <w:t>Acknowledgement</w:t>
      </w:r>
    </w:p>
    <w:p w:rsidR="00AC0033" w:rsidRPr="00F447A7" w:rsidRDefault="009808E1" w:rsidP="009808E1">
      <w:pPr>
        <w:spacing w:after="0" w:line="240" w:lineRule="auto"/>
        <w:jc w:val="both"/>
        <w:outlineLvl w:val="0"/>
        <w:rPr>
          <w:rFonts w:ascii="Times New Roman" w:hAnsi="Times New Roman"/>
          <w:sz w:val="20"/>
          <w:szCs w:val="20"/>
        </w:rPr>
      </w:pPr>
      <w:r w:rsidRPr="009808E1">
        <w:rPr>
          <w:rFonts w:ascii="Times New Roman" w:hAnsi="Times New Roman"/>
          <w:sz w:val="20"/>
          <w:szCs w:val="20"/>
        </w:rPr>
        <w:t>Authors would like to thank Universiti Sains Malaysia for providing financial assistances through a bridging grant (304/PKIMIA/6316215) and a short-term grant (304/PKIMIA/6315197).</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Zhou, Y., Lu, J., Zhou, Y. and Liu, Y. (2019). Recent advances for dyes removal using novel adsorbents: A review. </w:t>
      </w:r>
      <w:r w:rsidRPr="009808E1">
        <w:rPr>
          <w:rFonts w:ascii="Times New Roman" w:hAnsi="Times New Roman"/>
          <w:i/>
          <w:sz w:val="20"/>
          <w:szCs w:val="20"/>
        </w:rPr>
        <w:t>Environmental Pollution</w:t>
      </w:r>
      <w:r w:rsidRPr="009808E1">
        <w:rPr>
          <w:rFonts w:ascii="Times New Roman" w:hAnsi="Times New Roman"/>
          <w:sz w:val="20"/>
          <w:szCs w:val="20"/>
        </w:rPr>
        <w:t>, 252: 352-365.</w:t>
      </w:r>
    </w:p>
    <w:p w:rsid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Bekci, Z., Ozveri, C., Seki, Y. and Yurdakoc, K. (2008). Sorption of MG on chitosan beads. </w:t>
      </w:r>
      <w:r w:rsidRPr="009808E1">
        <w:rPr>
          <w:rFonts w:ascii="Times New Roman" w:hAnsi="Times New Roman"/>
          <w:i/>
          <w:sz w:val="20"/>
          <w:szCs w:val="20"/>
        </w:rPr>
        <w:t>Journal of Hazardous Materials</w:t>
      </w:r>
      <w:r w:rsidRPr="009808E1">
        <w:rPr>
          <w:rFonts w:ascii="Times New Roman" w:hAnsi="Times New Roman"/>
          <w:sz w:val="20"/>
          <w:szCs w:val="20"/>
        </w:rPr>
        <w:t>, 154: 254-261.</w:t>
      </w:r>
    </w:p>
    <w:p w:rsidR="009808E1" w:rsidRPr="009808E1" w:rsidRDefault="009808E1" w:rsidP="009808E1">
      <w:pPr>
        <w:widowControl w:val="0"/>
        <w:autoSpaceDE w:val="0"/>
        <w:autoSpaceDN w:val="0"/>
        <w:spacing w:after="0" w:line="240" w:lineRule="auto"/>
        <w:jc w:val="both"/>
        <w:outlineLvl w:val="0"/>
        <w:rPr>
          <w:rFonts w:ascii="Times New Roman" w:hAnsi="Times New Roman"/>
          <w:sz w:val="20"/>
          <w:szCs w:val="20"/>
        </w:rPr>
      </w:pP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lastRenderedPageBreak/>
        <w:t>Yeoh, Y. L. and Mohd Suah, F. B. (2017).</w:t>
      </w:r>
      <w:r w:rsidRPr="009808E1">
        <w:rPr>
          <w:sz w:val="20"/>
          <w:szCs w:val="20"/>
        </w:rPr>
        <w:t xml:space="preserve"> </w:t>
      </w:r>
      <w:r w:rsidRPr="009808E1">
        <w:rPr>
          <w:rFonts w:ascii="Times New Roman" w:hAnsi="Times New Roman"/>
          <w:sz w:val="20"/>
          <w:szCs w:val="20"/>
        </w:rPr>
        <w:t xml:space="preserve">Extraction of malachite green from wastewater by using polymer inclusion membrane. </w:t>
      </w:r>
      <w:r w:rsidRPr="009808E1">
        <w:rPr>
          <w:rFonts w:ascii="Times New Roman" w:hAnsi="Times New Roman"/>
          <w:i/>
          <w:sz w:val="20"/>
          <w:szCs w:val="20"/>
        </w:rPr>
        <w:t>Journal of Environmental Chemical Engineering</w:t>
      </w:r>
      <w:r w:rsidRPr="009808E1">
        <w:rPr>
          <w:rFonts w:ascii="Times New Roman" w:hAnsi="Times New Roman"/>
          <w:sz w:val="20"/>
          <w:szCs w:val="20"/>
        </w:rPr>
        <w:t>, 5: 785-794.</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Ngah, W. S. W., Fathinathan, F. and Yosop, N. A. (2011). Isotherm and kinetic studies on the adsorption of humic acid onto chitosan–H</w:t>
      </w:r>
      <w:r w:rsidRPr="009808E1">
        <w:rPr>
          <w:rFonts w:ascii="Times New Roman" w:hAnsi="Times New Roman"/>
          <w:sz w:val="20"/>
          <w:szCs w:val="20"/>
          <w:vertAlign w:val="subscript"/>
        </w:rPr>
        <w:t>2</w:t>
      </w:r>
      <w:r w:rsidRPr="009808E1">
        <w:rPr>
          <w:rFonts w:ascii="Times New Roman" w:hAnsi="Times New Roman"/>
          <w:sz w:val="20"/>
          <w:szCs w:val="20"/>
        </w:rPr>
        <w:t>SO</w:t>
      </w:r>
      <w:r w:rsidRPr="009808E1">
        <w:rPr>
          <w:rFonts w:ascii="Times New Roman" w:hAnsi="Times New Roman"/>
          <w:sz w:val="20"/>
          <w:szCs w:val="20"/>
          <w:vertAlign w:val="subscript"/>
        </w:rPr>
        <w:t>4</w:t>
      </w:r>
      <w:r w:rsidRPr="009808E1">
        <w:rPr>
          <w:rFonts w:ascii="Times New Roman" w:hAnsi="Times New Roman"/>
          <w:sz w:val="20"/>
          <w:szCs w:val="20"/>
        </w:rPr>
        <w:t xml:space="preserve"> beads. </w:t>
      </w:r>
      <w:r w:rsidRPr="009808E1">
        <w:rPr>
          <w:rFonts w:ascii="Times New Roman" w:hAnsi="Times New Roman"/>
          <w:i/>
          <w:sz w:val="20"/>
          <w:szCs w:val="20"/>
        </w:rPr>
        <w:t>Desalination,</w:t>
      </w:r>
      <w:r w:rsidRPr="009808E1">
        <w:rPr>
          <w:rFonts w:ascii="Times New Roman" w:hAnsi="Times New Roman"/>
          <w:sz w:val="20"/>
          <w:szCs w:val="20"/>
        </w:rPr>
        <w:t xml:space="preserve"> 272: 293-300.</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Ngah, W. S. W., Teong, L. C. and Hanafiah, M. A. K. M. (2011). Adsorption of dyes and heavy metal ions by chitosan composites: A review. </w:t>
      </w:r>
      <w:r w:rsidRPr="009808E1">
        <w:rPr>
          <w:rFonts w:ascii="Times New Roman" w:hAnsi="Times New Roman"/>
          <w:i/>
          <w:sz w:val="20"/>
          <w:szCs w:val="20"/>
        </w:rPr>
        <w:t>Carbohydrate Polymers</w:t>
      </w:r>
      <w:r w:rsidRPr="009808E1">
        <w:rPr>
          <w:rFonts w:ascii="Times New Roman" w:hAnsi="Times New Roman"/>
          <w:sz w:val="20"/>
          <w:szCs w:val="20"/>
        </w:rPr>
        <w:t>, 83: 1446-1456.</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Ngah, W. S. W. and Isa, I. M. (1998). Comparison study of copper ion adsorption on chitosan Dowex A–1 and zeolite. </w:t>
      </w:r>
      <w:r w:rsidRPr="009808E1">
        <w:rPr>
          <w:rFonts w:ascii="Times New Roman" w:hAnsi="Times New Roman"/>
          <w:i/>
          <w:sz w:val="20"/>
          <w:szCs w:val="20"/>
        </w:rPr>
        <w:t>Journal of Applied Polymer Science</w:t>
      </w:r>
      <w:r w:rsidRPr="009808E1">
        <w:rPr>
          <w:rFonts w:ascii="Times New Roman" w:hAnsi="Times New Roman"/>
          <w:sz w:val="20"/>
          <w:szCs w:val="20"/>
        </w:rPr>
        <w:t>, 67: 1067-1070.</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Muzzarelli, C., Stanic, V., Gobbi, L., Tossi, G. and Muzzarelli, R. A. A. (2004). Spray–drying of solutions containing chitosan together with polyuronans and characterization of the microspheres. </w:t>
      </w:r>
      <w:r w:rsidRPr="009808E1">
        <w:rPr>
          <w:rFonts w:ascii="Times New Roman" w:hAnsi="Times New Roman"/>
          <w:i/>
          <w:sz w:val="20"/>
          <w:szCs w:val="20"/>
        </w:rPr>
        <w:t>Carbohydrate Polymers</w:t>
      </w:r>
      <w:r w:rsidRPr="009808E1">
        <w:rPr>
          <w:rFonts w:ascii="Times New Roman" w:hAnsi="Times New Roman"/>
          <w:sz w:val="20"/>
          <w:szCs w:val="20"/>
        </w:rPr>
        <w:t>, 57: 73-82.</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Chang, M. Y. and Juang, R. S. (2004). Adsorption of tannic acid, humic acid, and dyes from water using the composite of chitosan and activated clay. </w:t>
      </w:r>
      <w:r w:rsidRPr="009808E1">
        <w:rPr>
          <w:rFonts w:ascii="Times New Roman" w:hAnsi="Times New Roman"/>
          <w:i/>
          <w:sz w:val="20"/>
          <w:szCs w:val="20"/>
        </w:rPr>
        <w:t>Journal of Colloid Interface Science</w:t>
      </w:r>
      <w:r w:rsidRPr="009808E1">
        <w:rPr>
          <w:rFonts w:ascii="Times New Roman" w:hAnsi="Times New Roman"/>
          <w:sz w:val="20"/>
          <w:szCs w:val="20"/>
        </w:rPr>
        <w:t>, 278: 18-25.</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Boddu, V. M., Abburi, K., Talbott, J. L. and Smith, E. D. (2003). Removal of hexavalent chromium from wastewater using a new composite chitosan biosorbent. </w:t>
      </w:r>
      <w:r w:rsidRPr="009808E1">
        <w:rPr>
          <w:rFonts w:ascii="Times New Roman" w:hAnsi="Times New Roman"/>
          <w:i/>
          <w:sz w:val="20"/>
          <w:szCs w:val="20"/>
        </w:rPr>
        <w:t>Environmental Science Technology</w:t>
      </w:r>
      <w:r w:rsidRPr="009808E1">
        <w:rPr>
          <w:rFonts w:ascii="Times New Roman" w:hAnsi="Times New Roman"/>
          <w:sz w:val="20"/>
          <w:szCs w:val="20"/>
        </w:rPr>
        <w:t>. 37: 4449-4456.</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Ngah, W. S. W., Endud, C. S. and Mayanar, R. (2002). Removal of copper (II) ions from aqueous solution onto chitosan and cross–linked chitosan beads. </w:t>
      </w:r>
      <w:r w:rsidRPr="009808E1">
        <w:rPr>
          <w:rFonts w:ascii="Times New Roman" w:hAnsi="Times New Roman"/>
          <w:i/>
          <w:sz w:val="20"/>
          <w:szCs w:val="20"/>
        </w:rPr>
        <w:t>Reactive and Functional Polymers,</w:t>
      </w:r>
      <w:r w:rsidRPr="009808E1">
        <w:rPr>
          <w:rFonts w:ascii="Times New Roman" w:hAnsi="Times New Roman"/>
          <w:sz w:val="20"/>
          <w:szCs w:val="20"/>
        </w:rPr>
        <w:t xml:space="preserve"> 50: 181-190.</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Lee, S. T., Mi, F. L., Shen, Y. J. and Shyu, S. S. (2001). Equilibrium and kinetic studies of copper (II) ion uptake by chitosan–tripolyphosphate chelating resin. </w:t>
      </w:r>
      <w:r w:rsidRPr="009808E1">
        <w:rPr>
          <w:rFonts w:ascii="Times New Roman" w:hAnsi="Times New Roman"/>
          <w:i/>
          <w:sz w:val="20"/>
          <w:szCs w:val="20"/>
        </w:rPr>
        <w:t>Polymer,</w:t>
      </w:r>
      <w:r w:rsidRPr="009808E1">
        <w:rPr>
          <w:rFonts w:ascii="Times New Roman" w:hAnsi="Times New Roman"/>
          <w:sz w:val="20"/>
          <w:szCs w:val="20"/>
        </w:rPr>
        <w:t xml:space="preserve"> 42: 1879-1892.</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Hameed, B. H. and El–Khaiary, M. I. (2008). Batch removal of malachite green from aqueous solutions by adsorption on oil palm trunk fibre: Equilibrium isotherms and kinetic studies. </w:t>
      </w:r>
      <w:r w:rsidRPr="009808E1">
        <w:rPr>
          <w:rFonts w:ascii="Times New Roman" w:hAnsi="Times New Roman"/>
          <w:i/>
          <w:sz w:val="20"/>
          <w:szCs w:val="20"/>
        </w:rPr>
        <w:t>Journal of Hazardous Materials</w:t>
      </w:r>
      <w:r w:rsidRPr="009808E1">
        <w:rPr>
          <w:rFonts w:ascii="Times New Roman" w:hAnsi="Times New Roman"/>
          <w:sz w:val="20"/>
          <w:szCs w:val="20"/>
        </w:rPr>
        <w:t>, 154: 237-244.</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El–Ashtoukhy, E. S. Z., Amin, N. K. and Abdelwahab, O. (2008). Removal of lead (II) and copper (II) from aqueous solution using pomegranate peel as a new adsorbent. </w:t>
      </w:r>
      <w:r w:rsidRPr="009808E1">
        <w:rPr>
          <w:rFonts w:ascii="Times New Roman" w:hAnsi="Times New Roman"/>
          <w:i/>
          <w:sz w:val="20"/>
          <w:szCs w:val="20"/>
        </w:rPr>
        <w:t>Desalination</w:t>
      </w:r>
      <w:r w:rsidRPr="009808E1">
        <w:rPr>
          <w:rFonts w:ascii="Times New Roman" w:hAnsi="Times New Roman"/>
          <w:sz w:val="20"/>
          <w:szCs w:val="20"/>
        </w:rPr>
        <w:t>, 223: 162-173.</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Naseeruteen, F., Abdul Hamid, N. S. Mohd Suah, F. B., Wan Ngah, W. S. and Mehamod, F. S. (2018). Adsorption of malachite green from aqueous solution by using novel chitosan ionic liquid beads. </w:t>
      </w:r>
      <w:r w:rsidRPr="009808E1">
        <w:rPr>
          <w:rFonts w:ascii="Times New Roman" w:hAnsi="Times New Roman"/>
          <w:i/>
          <w:sz w:val="20"/>
          <w:szCs w:val="20"/>
        </w:rPr>
        <w:t>International Journal of Biological Macromolecules</w:t>
      </w:r>
      <w:r w:rsidRPr="009808E1">
        <w:rPr>
          <w:rFonts w:ascii="Times New Roman" w:hAnsi="Times New Roman"/>
          <w:sz w:val="20"/>
          <w:szCs w:val="20"/>
        </w:rPr>
        <w:t>, 107: 1270-1277.</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Abou-Gamra, Z. M. and Ahmed, M. A. (2015). TiO</w:t>
      </w:r>
      <w:r w:rsidRPr="009808E1">
        <w:rPr>
          <w:rFonts w:ascii="Times New Roman" w:hAnsi="Times New Roman"/>
          <w:sz w:val="20"/>
          <w:szCs w:val="20"/>
          <w:vertAlign w:val="subscript"/>
        </w:rPr>
        <w:t>2</w:t>
      </w:r>
      <w:r w:rsidRPr="009808E1">
        <w:rPr>
          <w:rFonts w:ascii="Times New Roman" w:hAnsi="Times New Roman"/>
          <w:sz w:val="20"/>
          <w:szCs w:val="20"/>
        </w:rPr>
        <w:t xml:space="preserve"> nanoparticles for removal of malachite green dye from waste water. </w:t>
      </w:r>
      <w:r w:rsidRPr="009808E1">
        <w:rPr>
          <w:rFonts w:ascii="Times New Roman" w:hAnsi="Times New Roman"/>
          <w:i/>
          <w:sz w:val="20"/>
          <w:szCs w:val="20"/>
        </w:rPr>
        <w:t>Advances in Chemical Engineering and Science</w:t>
      </w:r>
      <w:r w:rsidRPr="009808E1">
        <w:rPr>
          <w:rFonts w:ascii="Times New Roman" w:hAnsi="Times New Roman"/>
          <w:sz w:val="20"/>
          <w:szCs w:val="20"/>
        </w:rPr>
        <w:t>, 5: 373-388.</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Wang, W. J., Cui, Q. Y., Qin, T. and Sun, H. H. (2018). Preparation of Fe</w:t>
      </w:r>
      <w:r w:rsidRPr="009808E1">
        <w:rPr>
          <w:rFonts w:ascii="Times New Roman" w:hAnsi="Times New Roman"/>
          <w:sz w:val="20"/>
          <w:szCs w:val="20"/>
          <w:vertAlign w:val="subscript"/>
        </w:rPr>
        <w:t>3</w:t>
      </w:r>
      <w:r w:rsidRPr="009808E1">
        <w:rPr>
          <w:rFonts w:ascii="Times New Roman" w:hAnsi="Times New Roman"/>
          <w:sz w:val="20"/>
          <w:szCs w:val="20"/>
        </w:rPr>
        <w:t>O</w:t>
      </w:r>
      <w:r w:rsidRPr="009808E1">
        <w:rPr>
          <w:rFonts w:ascii="Times New Roman" w:hAnsi="Times New Roman"/>
          <w:sz w:val="20"/>
          <w:szCs w:val="20"/>
          <w:vertAlign w:val="subscript"/>
        </w:rPr>
        <w:t>4</w:t>
      </w:r>
      <w:r w:rsidRPr="009808E1">
        <w:rPr>
          <w:rFonts w:ascii="Times New Roman" w:hAnsi="Times New Roman"/>
          <w:sz w:val="20"/>
          <w:szCs w:val="20"/>
        </w:rPr>
        <w:t>@SiO</w:t>
      </w:r>
      <w:r w:rsidRPr="009808E1">
        <w:rPr>
          <w:rFonts w:ascii="Times New Roman" w:hAnsi="Times New Roman"/>
          <w:sz w:val="20"/>
          <w:szCs w:val="20"/>
          <w:vertAlign w:val="subscript"/>
        </w:rPr>
        <w:t>2</w:t>
      </w:r>
      <w:r w:rsidRPr="009808E1">
        <w:rPr>
          <w:rFonts w:ascii="Times New Roman" w:hAnsi="Times New Roman"/>
          <w:sz w:val="20"/>
          <w:szCs w:val="20"/>
        </w:rPr>
        <w:t xml:space="preserve">@ chitosan for the adsorption of malachite green. </w:t>
      </w:r>
      <w:r w:rsidRPr="009808E1">
        <w:rPr>
          <w:rFonts w:ascii="Times New Roman" w:hAnsi="Times New Roman"/>
          <w:i/>
          <w:sz w:val="20"/>
          <w:szCs w:val="20"/>
        </w:rPr>
        <w:t>IOP Conf. Series: Earth and Environmental Science</w:t>
      </w:r>
      <w:r w:rsidRPr="009808E1">
        <w:rPr>
          <w:rFonts w:ascii="Times New Roman" w:hAnsi="Times New Roman"/>
          <w:sz w:val="20"/>
          <w:szCs w:val="20"/>
        </w:rPr>
        <w:t>, 186: 012014.</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Zhang, Y., Wan, H., Zhao, J. and Li, J. (2019). Biosorption of anionic and cationic dyes via raw and chitosan oligosaccharide-modified Huai Flos Chrysanthemum at different temperature. </w:t>
      </w:r>
      <w:r w:rsidRPr="009808E1">
        <w:rPr>
          <w:rFonts w:ascii="Times New Roman" w:hAnsi="Times New Roman"/>
          <w:i/>
          <w:sz w:val="20"/>
          <w:szCs w:val="20"/>
        </w:rPr>
        <w:t>RSC Advances</w:t>
      </w:r>
      <w:r w:rsidRPr="009808E1">
        <w:rPr>
          <w:rFonts w:ascii="Times New Roman" w:hAnsi="Times New Roman"/>
          <w:sz w:val="20"/>
          <w:szCs w:val="20"/>
        </w:rPr>
        <w:t>,</w:t>
      </w:r>
      <w:r w:rsidRPr="009808E1">
        <w:rPr>
          <w:rStyle w:val="supref"/>
          <w:rFonts w:ascii="Times New Roman" w:hAnsi="Times New Roman"/>
          <w:iCs/>
          <w:spacing w:val="-5"/>
          <w:sz w:val="20"/>
          <w:szCs w:val="20"/>
          <w:shd w:val="clear" w:color="auto" w:fill="FFFFFF"/>
        </w:rPr>
        <w:t xml:space="preserve"> 9: 11202-11211.</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Arumugam, T. K., Krishnamoorty, P., Rajagopalan, N. R., Nanthini, S. and Vasudevan, D. (2019). Removal of malachite green from aqueous solutions using a modified chitosan composite. </w:t>
      </w:r>
      <w:r w:rsidRPr="009808E1">
        <w:rPr>
          <w:rFonts w:ascii="Times New Roman" w:hAnsi="Times New Roman"/>
          <w:i/>
          <w:sz w:val="20"/>
          <w:szCs w:val="20"/>
        </w:rPr>
        <w:t>International Journal of Biological Macromolecules</w:t>
      </w:r>
      <w:r w:rsidRPr="009808E1">
        <w:rPr>
          <w:rFonts w:ascii="Times New Roman" w:hAnsi="Times New Roman"/>
          <w:sz w:val="20"/>
          <w:szCs w:val="20"/>
        </w:rPr>
        <w:t>, 128: 655-664.</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Ngah, W. S. W., Ariff, N. F. M., Hashim, A. and Hanafiah, M. A. K. M. (2010). Malachite green adsorption onto chitosan coated bentonite beads: Isotherms, kinetics and mechanism. </w:t>
      </w:r>
      <w:r w:rsidRPr="009808E1">
        <w:rPr>
          <w:rFonts w:ascii="Times New Roman" w:hAnsi="Times New Roman"/>
          <w:i/>
          <w:sz w:val="20"/>
          <w:szCs w:val="20"/>
        </w:rPr>
        <w:t>Clean–Soil Air Water,</w:t>
      </w:r>
      <w:r w:rsidRPr="009808E1">
        <w:rPr>
          <w:rFonts w:ascii="Times New Roman" w:hAnsi="Times New Roman"/>
          <w:sz w:val="20"/>
          <w:szCs w:val="20"/>
        </w:rPr>
        <w:t xml:space="preserve"> 38: 394-400.</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Li, X. X., li, J., Cai, L. Y., Li, T. T., Liu, X. F. and Li, J. R. (2016). Malachite green adsorption behavior of polyurethane/ chitosan foam. </w:t>
      </w:r>
      <w:r w:rsidRPr="009808E1">
        <w:rPr>
          <w:rFonts w:ascii="Times New Roman" w:hAnsi="Times New Roman"/>
          <w:i/>
          <w:sz w:val="20"/>
          <w:szCs w:val="20"/>
        </w:rPr>
        <w:t>Cellular Polymers</w:t>
      </w:r>
      <w:r w:rsidRPr="009808E1">
        <w:rPr>
          <w:rFonts w:ascii="Times New Roman" w:hAnsi="Times New Roman"/>
          <w:sz w:val="20"/>
          <w:szCs w:val="20"/>
        </w:rPr>
        <w:t>, 35: 1-17.</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Gimbert, F., Morin–Crini, N., Renault, F., Badot, P. M. and Crini, G. (2008). Adsorption isotherm models for dye removal by cationized starch–based material in a single component system: Error analysis. </w:t>
      </w:r>
      <w:r w:rsidRPr="009808E1">
        <w:rPr>
          <w:rFonts w:ascii="Times New Roman" w:hAnsi="Times New Roman"/>
          <w:i/>
          <w:sz w:val="20"/>
          <w:szCs w:val="20"/>
        </w:rPr>
        <w:t>Journal of Hazardous Materials</w:t>
      </w:r>
      <w:r w:rsidRPr="009808E1">
        <w:rPr>
          <w:rFonts w:ascii="Times New Roman" w:hAnsi="Times New Roman"/>
          <w:sz w:val="20"/>
          <w:szCs w:val="20"/>
        </w:rPr>
        <w:t>, 157: 34-46.</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Ho, Y. S. and McKay, G. (2000). The kinetics of sorption of divalent metal ions onto sphagnum moss peat. </w:t>
      </w:r>
      <w:r w:rsidRPr="009808E1">
        <w:rPr>
          <w:rFonts w:ascii="Times New Roman" w:hAnsi="Times New Roman"/>
          <w:i/>
          <w:sz w:val="20"/>
          <w:szCs w:val="20"/>
        </w:rPr>
        <w:t>Water Research</w:t>
      </w:r>
      <w:r w:rsidRPr="009808E1">
        <w:rPr>
          <w:rFonts w:ascii="Times New Roman" w:hAnsi="Times New Roman"/>
          <w:sz w:val="20"/>
          <w:szCs w:val="20"/>
        </w:rPr>
        <w:t>, 34: 735-742.</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Ho, Y. S. and McKay, G. (1998). A comparison of chemisorption kinetic models applied to pollutant removal on various sorbents. </w:t>
      </w:r>
      <w:r w:rsidRPr="009808E1">
        <w:rPr>
          <w:rFonts w:ascii="Times New Roman" w:hAnsi="Times New Roman"/>
          <w:i/>
          <w:sz w:val="20"/>
          <w:szCs w:val="20"/>
        </w:rPr>
        <w:t>Process Safety and Environment Protection</w:t>
      </w:r>
      <w:r w:rsidRPr="009808E1">
        <w:rPr>
          <w:rFonts w:ascii="Times New Roman" w:hAnsi="Times New Roman"/>
          <w:sz w:val="20"/>
          <w:szCs w:val="20"/>
        </w:rPr>
        <w:t>, 76: 332-340.</w:t>
      </w:r>
    </w:p>
    <w:p w:rsidR="009808E1"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Xu, X., Bai, B., Wang, H. and Suo, Y. (2017). Synthesis of human hair fiber-impregnated chitosan beads functionalized with citric acid for the adsorption of lysozyme. </w:t>
      </w:r>
      <w:r w:rsidRPr="009808E1">
        <w:rPr>
          <w:rFonts w:ascii="Times New Roman" w:hAnsi="Times New Roman"/>
          <w:i/>
          <w:sz w:val="20"/>
          <w:szCs w:val="20"/>
        </w:rPr>
        <w:t>RSC Advances</w:t>
      </w:r>
      <w:r w:rsidRPr="009808E1">
        <w:rPr>
          <w:rFonts w:ascii="Times New Roman" w:hAnsi="Times New Roman"/>
          <w:sz w:val="20"/>
          <w:szCs w:val="20"/>
        </w:rPr>
        <w:t>, 7: 6636-6647.</w:t>
      </w:r>
    </w:p>
    <w:p w:rsidR="001F7F04" w:rsidRPr="009808E1" w:rsidRDefault="009808E1" w:rsidP="009808E1">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9808E1">
        <w:rPr>
          <w:rFonts w:ascii="Times New Roman" w:hAnsi="Times New Roman"/>
          <w:sz w:val="20"/>
          <w:szCs w:val="20"/>
        </w:rPr>
        <w:t xml:space="preserve">Pal, P. and Pal, A. (2017). </w:t>
      </w:r>
      <w:r w:rsidRPr="009808E1">
        <w:rPr>
          <w:rFonts w:ascii="Times New Roman" w:hAnsi="Times New Roman"/>
          <w:bCs/>
          <w:sz w:val="20"/>
          <w:szCs w:val="20"/>
          <w:lang w:val="en-GB"/>
        </w:rPr>
        <w:t xml:space="preserve">Surfactant-modified chitosan beads for cadmium ion adsorption. </w:t>
      </w:r>
      <w:r w:rsidRPr="009808E1">
        <w:rPr>
          <w:rFonts w:ascii="Times New Roman" w:hAnsi="Times New Roman"/>
          <w:bCs/>
          <w:i/>
          <w:sz w:val="20"/>
          <w:szCs w:val="20"/>
          <w:lang w:val="en-GB"/>
        </w:rPr>
        <w:t>International Journal of Biological Macromolecules</w:t>
      </w:r>
      <w:r w:rsidRPr="009808E1">
        <w:rPr>
          <w:rFonts w:ascii="Times New Roman" w:hAnsi="Times New Roman"/>
          <w:bCs/>
          <w:sz w:val="20"/>
          <w:szCs w:val="20"/>
          <w:lang w:val="en-GB"/>
        </w:rPr>
        <w:t>, 104: 1548-</w:t>
      </w:r>
      <w:r w:rsidRPr="009808E1">
        <w:rPr>
          <w:rFonts w:ascii="Times New Roman" w:hAnsi="Times New Roman"/>
          <w:sz w:val="20"/>
          <w:szCs w:val="20"/>
        </w:rPr>
        <w:t>1555.</w:t>
      </w:r>
    </w:p>
    <w:sectPr w:rsidR="001F7F04" w:rsidRPr="009808E1" w:rsidSect="00702059">
      <w:headerReference w:type="even" r:id="rId19"/>
      <w:headerReference w:type="default" r:id="rId20"/>
      <w:footerReference w:type="even" r:id="rId21"/>
      <w:footerReference w:type="default" r:id="rId22"/>
      <w:pgSz w:w="12240" w:h="15840" w:code="1"/>
      <w:pgMar w:top="1800" w:right="1469" w:bottom="1699" w:left="1440" w:header="706" w:footer="706" w:gutter="0"/>
      <w:pgNumType w:start="6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BE588C" w:rsidRDefault="008B5904">
    <w:pPr>
      <w:pStyle w:val="Footer"/>
      <w:rPr>
        <w:rFonts w:ascii="Times New Roman" w:hAnsi="Times New Roman"/>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0549C">
      <w:rPr>
        <w:rFonts w:ascii="Times New Roman" w:hAnsi="Times New Roman"/>
        <w:noProof/>
      </w:rPr>
      <w:t>636</w:t>
    </w:r>
    <w:r w:rsidRPr="008B5904">
      <w:rPr>
        <w:rFonts w:ascii="Times New Roman" w:hAnsi="Times New Roman"/>
        <w:noProof/>
      </w:rPr>
      <w:fldChar w:fldCharType="end"/>
    </w:r>
  </w:p>
  <w:p w:rsidR="007964D6" w:rsidRDefault="007964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8C" w:rsidRPr="00BE588C"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0549C">
      <w:rPr>
        <w:rFonts w:ascii="Times New Roman" w:hAnsi="Times New Roman"/>
        <w:noProof/>
      </w:rPr>
      <w:t>635</w:t>
    </w:r>
    <w:r w:rsidRPr="008B5904">
      <w:rPr>
        <w:rFonts w:ascii="Times New Roman" w:hAnsi="Times New Roman"/>
        <w:noProof/>
      </w:rPr>
      <w:fldChar w:fldCharType="end"/>
    </w:r>
  </w:p>
  <w:p w:rsidR="001F27E8" w:rsidRDefault="001F27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FC" w:rsidRPr="00687EFC" w:rsidRDefault="00687EFC" w:rsidP="00687EFC">
    <w:pPr>
      <w:spacing w:after="0" w:line="240" w:lineRule="auto"/>
      <w:ind w:left="1170" w:hanging="1170"/>
      <w:outlineLvl w:val="0"/>
      <w:rPr>
        <w:rFonts w:ascii="Times New Roman" w:hAnsi="Times New Roman"/>
        <w:sz w:val="20"/>
        <w:szCs w:val="20"/>
      </w:rPr>
    </w:pPr>
    <w:r>
      <w:rPr>
        <w:rFonts w:ascii="Times New Roman" w:hAnsi="Times New Roman"/>
        <w:sz w:val="20"/>
        <w:szCs w:val="20"/>
      </w:rPr>
      <w:t>Suhaila et al</w:t>
    </w:r>
    <w:r w:rsidR="006B72B0" w:rsidRPr="00687EFC">
      <w:rPr>
        <w:rFonts w:ascii="Times New Roman" w:hAnsi="Times New Roman"/>
        <w:sz w:val="20"/>
        <w:szCs w:val="20"/>
      </w:rPr>
      <w:t xml:space="preserve">: </w:t>
    </w:r>
    <w:r w:rsidR="00070F31" w:rsidRPr="00687EFC">
      <w:rPr>
        <w:rFonts w:ascii="Times New Roman" w:hAnsi="Times New Roman"/>
        <w:sz w:val="20"/>
        <w:szCs w:val="20"/>
      </w:rPr>
      <w:t xml:space="preserve"> </w:t>
    </w:r>
    <w:r>
      <w:rPr>
        <w:rFonts w:ascii="Times New Roman" w:hAnsi="Times New Roman"/>
        <w:sz w:val="20"/>
        <w:szCs w:val="20"/>
      </w:rPr>
      <w:tab/>
    </w:r>
    <w:r w:rsidRPr="00687EFC">
      <w:rPr>
        <w:rFonts w:ascii="Times New Roman" w:hAnsi="Times New Roman"/>
        <w:sz w:val="20"/>
        <w:szCs w:val="20"/>
      </w:rPr>
      <w:t>ADSORPTION OF MALACHITE GREEN ONTO MODIFIED CHITOSAN–SULFURIC ACID BEADS: A PRELIMINARY STUDY</w:t>
    </w:r>
  </w:p>
  <w:p w:rsidR="007964D6" w:rsidRDefault="007964D6" w:rsidP="00687EFC">
    <w:pPr>
      <w:autoSpaceDE w:val="0"/>
      <w:autoSpaceDN w:val="0"/>
      <w:adjustRightInd w:val="0"/>
      <w:spacing w:after="0" w:line="240" w:lineRule="auto"/>
      <w:ind w:left="1260" w:hanging="12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 xml:space="preserve">No </w:t>
    </w:r>
    <w:r w:rsidR="00374BCC">
      <w:rPr>
        <w:rFonts w:ascii="Times New Roman" w:hAnsi="Times New Roman"/>
        <w:i/>
        <w:lang w:val="en-US"/>
      </w:rPr>
      <w:t>4</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9273B4">
      <w:rPr>
        <w:rFonts w:ascii="Times New Roman" w:hAnsi="Times New Roman"/>
        <w:i/>
        <w:lang w:val="en-US"/>
      </w:rPr>
      <w:t>6</w:t>
    </w:r>
    <w:r w:rsidR="00702059">
      <w:rPr>
        <w:rFonts w:ascii="Times New Roman" w:hAnsi="Times New Roman"/>
        <w:i/>
        <w:lang w:val="en-US"/>
      </w:rPr>
      <w:t>2</w:t>
    </w:r>
    <w:r w:rsidR="009273B4">
      <w:rPr>
        <w:rFonts w:ascii="Times New Roman" w:hAnsi="Times New Roman"/>
        <w:i/>
        <w:lang w:val="en-US"/>
      </w:rPr>
      <w:t>5</w:t>
    </w:r>
    <w:r>
      <w:rPr>
        <w:rFonts w:ascii="Times New Roman" w:hAnsi="Times New Roman"/>
        <w:i/>
        <w:lang w:val="en-US"/>
      </w:rPr>
      <w:t xml:space="preserve"> </w:t>
    </w:r>
    <w:r w:rsidR="007A0583">
      <w:rPr>
        <w:rFonts w:ascii="Times New Roman" w:hAnsi="Times New Roman"/>
        <w:i/>
        <w:lang w:val="en-US"/>
      </w:rPr>
      <w:t>-</w:t>
    </w:r>
    <w:r w:rsidR="00702059">
      <w:rPr>
        <w:rFonts w:ascii="Times New Roman" w:hAnsi="Times New Roman"/>
        <w:i/>
        <w:lang w:val="en-US"/>
      </w:rPr>
      <w:t xml:space="preserve"> 63</w:t>
    </w:r>
    <w:r w:rsidR="009273B4">
      <w:rPr>
        <w:rFonts w:ascii="Times New Roman" w:hAnsi="Times New Roman"/>
        <w:i/>
        <w:lang w:val="en-US"/>
      </w:rPr>
      <w:t>6</w:t>
    </w:r>
  </w:p>
  <w:p w:rsidR="007964D6" w:rsidRPr="00687EFC" w:rsidRDefault="00F4760B" w:rsidP="00687EFC">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374BCC">
      <w:rPr>
        <w:rFonts w:ascii="Times New Roman" w:hAnsi="Times New Roman"/>
        <w:i/>
        <w:lang w:val="en-US"/>
      </w:rPr>
      <w:t>4</w:t>
    </w:r>
    <w:r w:rsidR="009273B4">
      <w:rPr>
        <w:rFonts w:ascii="Times New Roman" w:hAnsi="Times New Roman"/>
        <w:i/>
        <w:lang w:val="en-US"/>
      </w:rPr>
      <w:t>-08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8D68302C"/>
    <w:lvl w:ilvl="0" w:tplc="52A2700A">
      <w:start w:val="1"/>
      <w:numFmt w:val="decimal"/>
      <w:lvlText w:val="%1."/>
      <w:lvlJc w:val="left"/>
      <w:pPr>
        <w:ind w:left="1572" w:hanging="360"/>
      </w:pPr>
      <w:rPr>
        <w:sz w:val="20"/>
        <w:szCs w:val="2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1B64"/>
    <w:rsid w:val="00084936"/>
    <w:rsid w:val="000875CD"/>
    <w:rsid w:val="000C49FF"/>
    <w:rsid w:val="000D16A1"/>
    <w:rsid w:val="000D2B0C"/>
    <w:rsid w:val="000F77DA"/>
    <w:rsid w:val="001068E8"/>
    <w:rsid w:val="001106D8"/>
    <w:rsid w:val="00117BCD"/>
    <w:rsid w:val="001D035A"/>
    <w:rsid w:val="001D3855"/>
    <w:rsid w:val="001D6F2C"/>
    <w:rsid w:val="001F27E8"/>
    <w:rsid w:val="001F7F04"/>
    <w:rsid w:val="0020549C"/>
    <w:rsid w:val="00277498"/>
    <w:rsid w:val="0028007D"/>
    <w:rsid w:val="002860B7"/>
    <w:rsid w:val="00290F4D"/>
    <w:rsid w:val="002A2FC0"/>
    <w:rsid w:val="002B188F"/>
    <w:rsid w:val="002B3BD8"/>
    <w:rsid w:val="002F3F91"/>
    <w:rsid w:val="00304767"/>
    <w:rsid w:val="00304B34"/>
    <w:rsid w:val="003330D2"/>
    <w:rsid w:val="00361BAF"/>
    <w:rsid w:val="00362FCE"/>
    <w:rsid w:val="00367D1F"/>
    <w:rsid w:val="00374BCC"/>
    <w:rsid w:val="003B1886"/>
    <w:rsid w:val="003B6019"/>
    <w:rsid w:val="003D4CDD"/>
    <w:rsid w:val="003D585B"/>
    <w:rsid w:val="003E7DA6"/>
    <w:rsid w:val="003F04E0"/>
    <w:rsid w:val="003F12FF"/>
    <w:rsid w:val="00401EB9"/>
    <w:rsid w:val="0043729D"/>
    <w:rsid w:val="0047088F"/>
    <w:rsid w:val="004760D4"/>
    <w:rsid w:val="00494C46"/>
    <w:rsid w:val="004B43FF"/>
    <w:rsid w:val="004C2605"/>
    <w:rsid w:val="004D7E25"/>
    <w:rsid w:val="00502641"/>
    <w:rsid w:val="005C6768"/>
    <w:rsid w:val="005E4871"/>
    <w:rsid w:val="00601C8A"/>
    <w:rsid w:val="00623CB8"/>
    <w:rsid w:val="006257E5"/>
    <w:rsid w:val="00634C25"/>
    <w:rsid w:val="006416AB"/>
    <w:rsid w:val="0065447F"/>
    <w:rsid w:val="006768E9"/>
    <w:rsid w:val="00687982"/>
    <w:rsid w:val="00687EFC"/>
    <w:rsid w:val="0069647A"/>
    <w:rsid w:val="006B3EC8"/>
    <w:rsid w:val="006B72B0"/>
    <w:rsid w:val="006D286E"/>
    <w:rsid w:val="006D695E"/>
    <w:rsid w:val="00702059"/>
    <w:rsid w:val="00725A6A"/>
    <w:rsid w:val="007943F3"/>
    <w:rsid w:val="007964D6"/>
    <w:rsid w:val="007A0583"/>
    <w:rsid w:val="007A738C"/>
    <w:rsid w:val="007B1349"/>
    <w:rsid w:val="007C28A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273B4"/>
    <w:rsid w:val="009357B8"/>
    <w:rsid w:val="009623CA"/>
    <w:rsid w:val="009808E1"/>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A7D4B"/>
    <w:rsid w:val="00BB58AF"/>
    <w:rsid w:val="00BE588C"/>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97987"/>
    <w:rsid w:val="00DD377F"/>
    <w:rsid w:val="00E16130"/>
    <w:rsid w:val="00E25547"/>
    <w:rsid w:val="00E3287E"/>
    <w:rsid w:val="00E54D12"/>
    <w:rsid w:val="00E66197"/>
    <w:rsid w:val="00F31093"/>
    <w:rsid w:val="00F412AF"/>
    <w:rsid w:val="00F43667"/>
    <w:rsid w:val="00F447A7"/>
    <w:rsid w:val="00F4760B"/>
    <w:rsid w:val="00FB4C59"/>
    <w:rsid w:val="00FB6730"/>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nowrap">
    <w:name w:val="nowrap"/>
    <w:basedOn w:val="DefaultParagraphFont"/>
    <w:rsid w:val="001F7F04"/>
  </w:style>
  <w:style w:type="character" w:customStyle="1" w:styleId="titleheading">
    <w:name w:val="title_heading"/>
    <w:basedOn w:val="DefaultParagraphFont"/>
    <w:rsid w:val="001F7F04"/>
  </w:style>
  <w:style w:type="character" w:customStyle="1" w:styleId="bold">
    <w:name w:val="bold"/>
    <w:basedOn w:val="DefaultParagraphFont"/>
    <w:rsid w:val="001F7F04"/>
  </w:style>
  <w:style w:type="character" w:customStyle="1" w:styleId="orcid">
    <w:name w:val="orcid"/>
    <w:basedOn w:val="DefaultParagraphFont"/>
    <w:rsid w:val="001F7F04"/>
  </w:style>
  <w:style w:type="character" w:customStyle="1" w:styleId="supref">
    <w:name w:val="sup_ref"/>
    <w:basedOn w:val="DefaultParagraphFont"/>
    <w:rsid w:val="001F7F04"/>
  </w:style>
  <w:style w:type="character" w:customStyle="1" w:styleId="italic">
    <w:name w:val="italic"/>
    <w:basedOn w:val="DefaultParagraphFont"/>
    <w:rsid w:val="001F7F04"/>
  </w:style>
  <w:style w:type="character" w:customStyle="1" w:styleId="title-text">
    <w:name w:val="title-text"/>
    <w:basedOn w:val="DefaultParagraphFont"/>
    <w:rsid w:val="001F7F04"/>
  </w:style>
  <w:style w:type="character" w:customStyle="1" w:styleId="text">
    <w:name w:val="text"/>
    <w:basedOn w:val="DefaultParagraphFont"/>
    <w:rsid w:val="001F7F04"/>
  </w:style>
  <w:style w:type="character" w:customStyle="1" w:styleId="author-ref">
    <w:name w:val="author-ref"/>
    <w:basedOn w:val="DefaultParagraphFont"/>
    <w:rsid w:val="001F7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nowrap">
    <w:name w:val="nowrap"/>
    <w:basedOn w:val="DefaultParagraphFont"/>
    <w:rsid w:val="001F7F04"/>
  </w:style>
  <w:style w:type="character" w:customStyle="1" w:styleId="titleheading">
    <w:name w:val="title_heading"/>
    <w:basedOn w:val="DefaultParagraphFont"/>
    <w:rsid w:val="001F7F04"/>
  </w:style>
  <w:style w:type="character" w:customStyle="1" w:styleId="bold">
    <w:name w:val="bold"/>
    <w:basedOn w:val="DefaultParagraphFont"/>
    <w:rsid w:val="001F7F04"/>
  </w:style>
  <w:style w:type="character" w:customStyle="1" w:styleId="orcid">
    <w:name w:val="orcid"/>
    <w:basedOn w:val="DefaultParagraphFont"/>
    <w:rsid w:val="001F7F04"/>
  </w:style>
  <w:style w:type="character" w:customStyle="1" w:styleId="supref">
    <w:name w:val="sup_ref"/>
    <w:basedOn w:val="DefaultParagraphFont"/>
    <w:rsid w:val="001F7F04"/>
  </w:style>
  <w:style w:type="character" w:customStyle="1" w:styleId="italic">
    <w:name w:val="italic"/>
    <w:basedOn w:val="DefaultParagraphFont"/>
    <w:rsid w:val="001F7F04"/>
  </w:style>
  <w:style w:type="character" w:customStyle="1" w:styleId="title-text">
    <w:name w:val="title-text"/>
    <w:basedOn w:val="DefaultParagraphFont"/>
    <w:rsid w:val="001F7F04"/>
  </w:style>
  <w:style w:type="character" w:customStyle="1" w:styleId="text">
    <w:name w:val="text"/>
    <w:basedOn w:val="DefaultParagraphFont"/>
    <w:rsid w:val="001F7F04"/>
  </w:style>
  <w:style w:type="character" w:customStyle="1" w:styleId="author-ref">
    <w:name w:val="author-ref"/>
    <w:basedOn w:val="DefaultParagraphFont"/>
    <w:rsid w:val="001F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821621388876933"/>
          <c:y val="5.1400554097404488E-2"/>
          <c:w val="0.73993469108829202"/>
          <c:h val="0.72706401283172961"/>
        </c:manualLayout>
      </c:layout>
      <c:scatterChart>
        <c:scatterStyle val="lineMarker"/>
        <c:varyColors val="0"/>
        <c:ser>
          <c:idx val="0"/>
          <c:order val="0"/>
          <c:spPr>
            <a:ln w="28575">
              <a:solidFill>
                <a:schemeClr val="accent1"/>
              </a:solidFill>
            </a:ln>
          </c:spPr>
          <c:marker>
            <c:spPr>
              <a:solidFill>
                <a:schemeClr val="accent1"/>
              </a:solidFill>
            </c:spPr>
          </c:marker>
          <c:xVal>
            <c:numRef>
              <c:f>Sheet2!$A$9:$A$14</c:f>
              <c:numCache>
                <c:formatCode>General</c:formatCode>
                <c:ptCount val="6"/>
                <c:pt idx="0">
                  <c:v>2</c:v>
                </c:pt>
                <c:pt idx="1">
                  <c:v>4</c:v>
                </c:pt>
                <c:pt idx="2">
                  <c:v>6</c:v>
                </c:pt>
                <c:pt idx="3">
                  <c:v>8</c:v>
                </c:pt>
                <c:pt idx="4">
                  <c:v>10</c:v>
                </c:pt>
                <c:pt idx="5">
                  <c:v>12</c:v>
                </c:pt>
              </c:numCache>
            </c:numRef>
          </c:xVal>
          <c:yVal>
            <c:numRef>
              <c:f>Sheet2!$B$9:$B$14</c:f>
              <c:numCache>
                <c:formatCode>General</c:formatCode>
                <c:ptCount val="6"/>
                <c:pt idx="0">
                  <c:v>3.3170999999999977</c:v>
                </c:pt>
                <c:pt idx="1">
                  <c:v>3.3633000000000002</c:v>
                </c:pt>
                <c:pt idx="2">
                  <c:v>3.8587999999999987</c:v>
                </c:pt>
                <c:pt idx="3">
                  <c:v>3.7951000000000001</c:v>
                </c:pt>
                <c:pt idx="4">
                  <c:v>3.7574999999999998</c:v>
                </c:pt>
                <c:pt idx="5">
                  <c:v>3.9382999999999977</c:v>
                </c:pt>
              </c:numCache>
            </c:numRef>
          </c:yVal>
          <c:smooth val="1"/>
          <c:extLst xmlns:c16r2="http://schemas.microsoft.com/office/drawing/2015/06/chart">
            <c:ext xmlns:c16="http://schemas.microsoft.com/office/drawing/2014/chart" uri="{C3380CC4-5D6E-409C-BE32-E72D297353CC}">
              <c16:uniqueId val="{00000000-8FC8-4EBC-AAA9-7FCB1B2397D5}"/>
            </c:ext>
          </c:extLst>
        </c:ser>
        <c:dLbls>
          <c:showLegendKey val="0"/>
          <c:showVal val="0"/>
          <c:showCatName val="0"/>
          <c:showSerName val="0"/>
          <c:showPercent val="0"/>
          <c:showBubbleSize val="0"/>
        </c:dLbls>
        <c:axId val="35661696"/>
        <c:axId val="37783040"/>
      </c:scatterChart>
      <c:valAx>
        <c:axId val="35661696"/>
        <c:scaling>
          <c:orientation val="minMax"/>
        </c:scaling>
        <c:delete val="0"/>
        <c:axPos val="b"/>
        <c:title>
          <c:tx>
            <c:rich>
              <a:bodyPr/>
              <a:lstStyle/>
              <a:p>
                <a:pPr>
                  <a:defRPr/>
                </a:pPr>
                <a:r>
                  <a:rPr lang="en-US" sz="1000">
                    <a:latin typeface="Times New Roman" pitchFamily="18" charset="0"/>
                    <a:cs typeface="Times New Roman" pitchFamily="18" charset="0"/>
                  </a:rPr>
                  <a:t>Initial pH</a:t>
                </a:r>
              </a:p>
            </c:rich>
          </c:tx>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7783040"/>
        <c:crosses val="autoZero"/>
        <c:crossBetween val="midCat"/>
      </c:valAx>
      <c:valAx>
        <c:axId val="37783040"/>
        <c:scaling>
          <c:orientation val="minMax"/>
          <c:max val="5"/>
        </c:scaling>
        <c:delete val="0"/>
        <c:axPos val="l"/>
        <c:title>
          <c:tx>
            <c:rich>
              <a:bodyPr rot="-5400000" vert="horz"/>
              <a:lstStyle/>
              <a:p>
                <a:pPr>
                  <a:defRPr/>
                </a:pPr>
                <a:r>
                  <a:rPr lang="en-US" sz="1000" b="1">
                    <a:latin typeface="Times New Roman" pitchFamily="18" charset="0"/>
                    <a:cs typeface="Times New Roman" pitchFamily="18" charset="0"/>
                  </a:rPr>
                  <a:t>Adsorption capacity, </a:t>
                </a:r>
              </a:p>
              <a:p>
                <a:pPr>
                  <a:defRPr/>
                </a:pPr>
                <a:r>
                  <a:rPr lang="en-US" sz="1000" b="1">
                    <a:latin typeface="Times New Roman" pitchFamily="18" charset="0"/>
                    <a:cs typeface="Times New Roman" pitchFamily="18" charset="0"/>
                  </a:rPr>
                  <a:t>q</a:t>
                </a:r>
                <a:r>
                  <a:rPr lang="en-US" sz="1000" b="1" baseline="-25000">
                    <a:latin typeface="Times New Roman" pitchFamily="18" charset="0"/>
                    <a:cs typeface="Times New Roman" pitchFamily="18" charset="0"/>
                  </a:rPr>
                  <a:t>e</a:t>
                </a:r>
                <a:r>
                  <a:rPr lang="en-US" sz="1000" b="1">
                    <a:latin typeface="Times New Roman" pitchFamily="18" charset="0"/>
                    <a:cs typeface="Times New Roman" pitchFamily="18" charset="0"/>
                  </a:rPr>
                  <a:t> (mg/g)</a:t>
                </a:r>
              </a:p>
            </c:rich>
          </c:tx>
          <c:layout>
            <c:manualLayout>
              <c:xMode val="edge"/>
              <c:yMode val="edge"/>
              <c:x val="4.4270833333333412E-2"/>
              <c:y val="0.1793190434529022"/>
            </c:manualLayout>
          </c:layout>
          <c:overlay val="0"/>
        </c:title>
        <c:numFmt formatCode="#,##0.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5661696"/>
        <c:crosses val="autoZero"/>
        <c:crossBetween val="midCat"/>
        <c:majorUnit val="1"/>
      </c:valAx>
    </c:plotArea>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25741045025921"/>
          <c:y val="5.7781050061726923E-2"/>
          <c:w val="0.64235273201539522"/>
          <c:h val="0.78054817316782055"/>
        </c:manualLayout>
      </c:layout>
      <c:scatterChart>
        <c:scatterStyle val="lineMarker"/>
        <c:varyColors val="0"/>
        <c:ser>
          <c:idx val="0"/>
          <c:order val="0"/>
          <c:tx>
            <c:v>qe</c:v>
          </c:tx>
          <c:spPr>
            <a:ln w="28575">
              <a:solidFill>
                <a:schemeClr val="accent1"/>
              </a:solidFill>
            </a:ln>
          </c:spPr>
          <c:xVal>
            <c:numRef>
              <c:f>Sheet2!$A$3:$A$8</c:f>
              <c:numCache>
                <c:formatCode>General</c:formatCode>
                <c:ptCount val="6"/>
                <c:pt idx="0">
                  <c:v>1.0000000000000005E-2</c:v>
                </c:pt>
                <c:pt idx="1">
                  <c:v>2.0000000000000011E-2</c:v>
                </c:pt>
                <c:pt idx="2">
                  <c:v>4.0000000000000022E-2</c:v>
                </c:pt>
                <c:pt idx="3">
                  <c:v>6.0000000000000032E-2</c:v>
                </c:pt>
                <c:pt idx="4">
                  <c:v>8.0000000000000043E-2</c:v>
                </c:pt>
                <c:pt idx="5">
                  <c:v>0.1</c:v>
                </c:pt>
              </c:numCache>
            </c:numRef>
          </c:xVal>
          <c:yVal>
            <c:numRef>
              <c:f>Sheet2!$B$3:$B$8</c:f>
              <c:numCache>
                <c:formatCode>General</c:formatCode>
                <c:ptCount val="6"/>
                <c:pt idx="0">
                  <c:v>16.801500000000001</c:v>
                </c:pt>
                <c:pt idx="1">
                  <c:v>11.0923</c:v>
                </c:pt>
                <c:pt idx="2">
                  <c:v>6.5257999999999985</c:v>
                </c:pt>
                <c:pt idx="3">
                  <c:v>4.4937000000000014</c:v>
                </c:pt>
                <c:pt idx="4">
                  <c:v>3.6545000000000001</c:v>
                </c:pt>
                <c:pt idx="5">
                  <c:v>3.0792999999999977</c:v>
                </c:pt>
              </c:numCache>
            </c:numRef>
          </c:yVal>
          <c:smooth val="1"/>
          <c:extLst xmlns:c16r2="http://schemas.microsoft.com/office/drawing/2015/06/chart">
            <c:ext xmlns:c16="http://schemas.microsoft.com/office/drawing/2014/chart" uri="{C3380CC4-5D6E-409C-BE32-E72D297353CC}">
              <c16:uniqueId val="{00000000-8A10-4E4D-8DDC-761F20FA41F8}"/>
            </c:ext>
          </c:extLst>
        </c:ser>
        <c:dLbls>
          <c:showLegendKey val="0"/>
          <c:showVal val="0"/>
          <c:showCatName val="0"/>
          <c:showSerName val="0"/>
          <c:showPercent val="0"/>
          <c:showBubbleSize val="0"/>
        </c:dLbls>
        <c:axId val="120000512"/>
        <c:axId val="120002432"/>
      </c:scatterChart>
      <c:scatterChart>
        <c:scatterStyle val="lineMarker"/>
        <c:varyColors val="0"/>
        <c:ser>
          <c:idx val="1"/>
          <c:order val="1"/>
          <c:tx>
            <c:v>% Removal</c:v>
          </c:tx>
          <c:spPr>
            <a:ln w="28575">
              <a:solidFill>
                <a:schemeClr val="accent2"/>
              </a:solidFill>
            </a:ln>
          </c:spPr>
          <c:xVal>
            <c:numRef>
              <c:f>Sheet2!$A$3:$A$8</c:f>
              <c:numCache>
                <c:formatCode>General</c:formatCode>
                <c:ptCount val="6"/>
                <c:pt idx="0">
                  <c:v>1.0000000000000005E-2</c:v>
                </c:pt>
                <c:pt idx="1">
                  <c:v>2.0000000000000011E-2</c:v>
                </c:pt>
                <c:pt idx="2">
                  <c:v>4.0000000000000022E-2</c:v>
                </c:pt>
                <c:pt idx="3">
                  <c:v>6.0000000000000032E-2</c:v>
                </c:pt>
                <c:pt idx="4">
                  <c:v>8.0000000000000043E-2</c:v>
                </c:pt>
                <c:pt idx="5">
                  <c:v>0.1</c:v>
                </c:pt>
              </c:numCache>
            </c:numRef>
          </c:xVal>
          <c:yVal>
            <c:numRef>
              <c:f>Sheet2!$C$3:$C$8</c:f>
              <c:numCache>
                <c:formatCode>General</c:formatCode>
                <c:ptCount val="6"/>
                <c:pt idx="0">
                  <c:v>33.603000000000002</c:v>
                </c:pt>
                <c:pt idx="1">
                  <c:v>44.369</c:v>
                </c:pt>
                <c:pt idx="2">
                  <c:v>52.206000000000003</c:v>
                </c:pt>
                <c:pt idx="3">
                  <c:v>53.924000000000007</c:v>
                </c:pt>
                <c:pt idx="4">
                  <c:v>58.472000000000001</c:v>
                </c:pt>
                <c:pt idx="5">
                  <c:v>61.586000000000006</c:v>
                </c:pt>
              </c:numCache>
            </c:numRef>
          </c:yVal>
          <c:smooth val="1"/>
          <c:extLst xmlns:c16r2="http://schemas.microsoft.com/office/drawing/2015/06/chart">
            <c:ext xmlns:c16="http://schemas.microsoft.com/office/drawing/2014/chart" uri="{C3380CC4-5D6E-409C-BE32-E72D297353CC}">
              <c16:uniqueId val="{00000001-8A10-4E4D-8DDC-761F20FA41F8}"/>
            </c:ext>
          </c:extLst>
        </c:ser>
        <c:dLbls>
          <c:showLegendKey val="0"/>
          <c:showVal val="0"/>
          <c:showCatName val="0"/>
          <c:showSerName val="0"/>
          <c:showPercent val="0"/>
          <c:showBubbleSize val="0"/>
        </c:dLbls>
        <c:axId val="120042240"/>
        <c:axId val="120044544"/>
      </c:scatterChart>
      <c:valAx>
        <c:axId val="120000512"/>
        <c:scaling>
          <c:orientation val="minMax"/>
        </c:scaling>
        <c:delete val="0"/>
        <c:axPos val="b"/>
        <c:title>
          <c:tx>
            <c:rich>
              <a:bodyPr/>
              <a:lstStyle/>
              <a:p>
                <a:pPr>
                  <a:defRPr sz="1100" b="1" i="0" u="none" strike="noStrike" baseline="0">
                    <a:solidFill>
                      <a:srgbClr val="000000"/>
                    </a:solidFill>
                    <a:latin typeface="Times New Roman" pitchFamily="18" charset="0"/>
                    <a:ea typeface="Calibri"/>
                    <a:cs typeface="Times New Roman" pitchFamily="18" charset="0"/>
                  </a:defRPr>
                </a:pPr>
                <a:r>
                  <a:rPr lang="en-US" sz="1000">
                    <a:latin typeface="Times New Roman" pitchFamily="18" charset="0"/>
                    <a:cs typeface="Times New Roman" pitchFamily="18" charset="0"/>
                  </a:rPr>
                  <a:t>Adsorbent dosage (g)</a:t>
                </a:r>
              </a:p>
            </c:rich>
          </c:tx>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20002432"/>
        <c:crosses val="autoZero"/>
        <c:crossBetween val="midCat"/>
        <c:majorUnit val="2.0000000000000011E-2"/>
      </c:valAx>
      <c:valAx>
        <c:axId val="120002432"/>
        <c:scaling>
          <c:orientation val="minMax"/>
        </c:scaling>
        <c:delete val="0"/>
        <c:axPos val="l"/>
        <c:title>
          <c:tx>
            <c:rich>
              <a:bodyPr/>
              <a:lstStyle/>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Times New Roman" pitchFamily="18" charset="0"/>
                    <a:cs typeface="Times New Roman" pitchFamily="18" charset="0"/>
                  </a:rPr>
                  <a:t>Adsorption capacity, </a:t>
                </a:r>
              </a:p>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Times New Roman" pitchFamily="18" charset="0"/>
                    <a:cs typeface="Times New Roman" pitchFamily="18" charset="0"/>
                  </a:rPr>
                  <a:t>q</a:t>
                </a:r>
                <a:r>
                  <a:rPr lang="en-US" sz="1000" b="1" i="0" u="none" strike="noStrike" baseline="-25000">
                    <a:solidFill>
                      <a:srgbClr val="000000"/>
                    </a:solidFill>
                    <a:latin typeface="Times New Roman" pitchFamily="18" charset="0"/>
                    <a:cs typeface="Times New Roman" pitchFamily="18" charset="0"/>
                  </a:rPr>
                  <a:t>e</a:t>
                </a:r>
                <a:r>
                  <a:rPr lang="en-US" sz="1000" b="1" i="0" u="none" strike="noStrike" baseline="0">
                    <a:solidFill>
                      <a:srgbClr val="000000"/>
                    </a:solidFill>
                    <a:latin typeface="Times New Roman" pitchFamily="18" charset="0"/>
                    <a:cs typeface="Times New Roman" pitchFamily="18" charset="0"/>
                  </a:rPr>
                  <a:t> (mg/g)</a:t>
                </a:r>
                <a:endParaRPr lang="en-US" sz="1000">
                  <a:latin typeface="Times New Roman" pitchFamily="18" charset="0"/>
                  <a:cs typeface="Times New Roman" pitchFamily="18" charset="0"/>
                </a:endParaRPr>
              </a:p>
            </c:rich>
          </c:tx>
          <c:layout>
            <c:manualLayout>
              <c:xMode val="edge"/>
              <c:yMode val="edge"/>
              <c:x val="3.1893583420259095E-2"/>
              <c:y val="0.24904084975955187"/>
            </c:manualLayout>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20000512"/>
        <c:crosses val="autoZero"/>
        <c:crossBetween val="midCat"/>
      </c:valAx>
      <c:valAx>
        <c:axId val="120042240"/>
        <c:scaling>
          <c:orientation val="minMax"/>
        </c:scaling>
        <c:delete val="1"/>
        <c:axPos val="b"/>
        <c:numFmt formatCode="General" sourceLinked="1"/>
        <c:majorTickMark val="out"/>
        <c:minorTickMark val="none"/>
        <c:tickLblPos val="none"/>
        <c:crossAx val="120044544"/>
        <c:crosses val="autoZero"/>
        <c:crossBetween val="midCat"/>
      </c:valAx>
      <c:valAx>
        <c:axId val="120044544"/>
        <c:scaling>
          <c:orientation val="minMax"/>
        </c:scaling>
        <c:delete val="0"/>
        <c:axPos val="r"/>
        <c:title>
          <c:tx>
            <c:rich>
              <a:bodyPr/>
              <a:lstStyle/>
              <a:p>
                <a:pPr>
                  <a:defRPr sz="1100" b="1" i="0" u="none" strike="noStrike" baseline="0">
                    <a:solidFill>
                      <a:srgbClr val="000000"/>
                    </a:solidFill>
                    <a:latin typeface="Times New Roman" pitchFamily="18" charset="0"/>
                    <a:ea typeface="Calibri"/>
                    <a:cs typeface="Times New Roman" pitchFamily="18" charset="0"/>
                  </a:defRPr>
                </a:pPr>
                <a:r>
                  <a:rPr lang="en-US" sz="1000">
                    <a:latin typeface="Times New Roman" pitchFamily="18" charset="0"/>
                    <a:cs typeface="Times New Roman" pitchFamily="18" charset="0"/>
                  </a:rPr>
                  <a:t>Removal (%)</a:t>
                </a:r>
              </a:p>
            </c:rich>
          </c:tx>
          <c:layout>
            <c:manualLayout>
              <c:xMode val="edge"/>
              <c:yMode val="edge"/>
              <c:x val="0.90466315630108773"/>
              <c:y val="0.31607105110183381"/>
            </c:manualLayout>
          </c:layout>
          <c:overlay val="0"/>
        </c:title>
        <c:numFmt formatCode="General" sourceLinked="1"/>
        <c:majorTickMark val="out"/>
        <c:minorTickMark val="none"/>
        <c:tickLblPos val="nextTo"/>
        <c:spPr>
          <a:ln w="6350"/>
        </c:spPr>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20042240"/>
        <c:crosses val="max"/>
        <c:crossBetween val="midCat"/>
      </c:valAx>
    </c:plotArea>
    <c:legend>
      <c:legendPos val="r"/>
      <c:layout>
        <c:manualLayout>
          <c:xMode val="edge"/>
          <c:yMode val="edge"/>
          <c:x val="0.55455460112940425"/>
          <c:y val="0.31591214891242103"/>
          <c:w val="0.22530283146424879"/>
          <c:h val="0.20134492416635841"/>
        </c:manualLayout>
      </c:layout>
      <c:overlay val="0"/>
      <c:spPr>
        <a:noFill/>
        <a:ln>
          <a:noFill/>
        </a:ln>
      </c:spPr>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legend>
    <c:plotVisOnly val="1"/>
    <c:dispBlanksAs val="gap"/>
    <c:showDLblsOverMax val="0"/>
  </c:chart>
  <c:spPr>
    <a:ln w="6350">
      <a:solidFill>
        <a:schemeClr val="tx1"/>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375313731400085"/>
          <c:y val="4.8963703131375394E-2"/>
          <c:w val="0.71192158485922197"/>
          <c:h val="0.75014697583970691"/>
        </c:manualLayout>
      </c:layout>
      <c:scatterChart>
        <c:scatterStyle val="lineMarker"/>
        <c:varyColors val="0"/>
        <c:ser>
          <c:idx val="0"/>
          <c:order val="0"/>
          <c:tx>
            <c:v>10 mg/L</c:v>
          </c:tx>
          <c:spPr>
            <a:ln w="28575">
              <a:solidFill>
                <a:schemeClr val="accent1"/>
              </a:solidFill>
            </a:ln>
          </c:spPr>
          <c:xVal>
            <c:numRef>
              <c:f>Sheet2!$AK$226:$AK$232</c:f>
              <c:numCache>
                <c:formatCode>General</c:formatCode>
                <c:ptCount val="7"/>
                <c:pt idx="0">
                  <c:v>0</c:v>
                </c:pt>
                <c:pt idx="1">
                  <c:v>10</c:v>
                </c:pt>
                <c:pt idx="2">
                  <c:v>20</c:v>
                </c:pt>
                <c:pt idx="3">
                  <c:v>30</c:v>
                </c:pt>
                <c:pt idx="4">
                  <c:v>40</c:v>
                </c:pt>
                <c:pt idx="5">
                  <c:v>50</c:v>
                </c:pt>
                <c:pt idx="6">
                  <c:v>60</c:v>
                </c:pt>
              </c:numCache>
            </c:numRef>
          </c:xVal>
          <c:yVal>
            <c:numRef>
              <c:f>Sheet2!$AL$226:$AL$232</c:f>
              <c:numCache>
                <c:formatCode>General</c:formatCode>
                <c:ptCount val="7"/>
                <c:pt idx="0">
                  <c:v>0</c:v>
                </c:pt>
                <c:pt idx="1">
                  <c:v>5.4055999999999997</c:v>
                </c:pt>
                <c:pt idx="2">
                  <c:v>5.4020999999999999</c:v>
                </c:pt>
                <c:pt idx="3">
                  <c:v>5.4386000000000081</c:v>
                </c:pt>
                <c:pt idx="4">
                  <c:v>5.4752000000000081</c:v>
                </c:pt>
                <c:pt idx="5">
                  <c:v>5.4752000000000081</c:v>
                </c:pt>
                <c:pt idx="6">
                  <c:v>5.5118</c:v>
                </c:pt>
              </c:numCache>
            </c:numRef>
          </c:yVal>
          <c:smooth val="1"/>
          <c:extLst xmlns:c16r2="http://schemas.microsoft.com/office/drawing/2015/06/chart">
            <c:ext xmlns:c16="http://schemas.microsoft.com/office/drawing/2014/chart" uri="{C3380CC4-5D6E-409C-BE32-E72D297353CC}">
              <c16:uniqueId val="{00000000-3944-427A-AAAF-265E40D0E045}"/>
            </c:ext>
          </c:extLst>
        </c:ser>
        <c:ser>
          <c:idx val="1"/>
          <c:order val="1"/>
          <c:tx>
            <c:v>20 mg/L</c:v>
          </c:tx>
          <c:xVal>
            <c:numRef>
              <c:f>Sheet2!$AK$243:$AK$249</c:f>
              <c:numCache>
                <c:formatCode>General</c:formatCode>
                <c:ptCount val="7"/>
                <c:pt idx="0">
                  <c:v>0</c:v>
                </c:pt>
                <c:pt idx="1">
                  <c:v>10</c:v>
                </c:pt>
                <c:pt idx="2">
                  <c:v>20</c:v>
                </c:pt>
                <c:pt idx="3">
                  <c:v>30</c:v>
                </c:pt>
                <c:pt idx="4">
                  <c:v>40</c:v>
                </c:pt>
                <c:pt idx="5">
                  <c:v>50</c:v>
                </c:pt>
                <c:pt idx="6">
                  <c:v>60</c:v>
                </c:pt>
              </c:numCache>
            </c:numRef>
          </c:xVal>
          <c:yVal>
            <c:numRef>
              <c:f>Sheet2!$AL$243:$AL$249</c:f>
              <c:numCache>
                <c:formatCode>General</c:formatCode>
                <c:ptCount val="7"/>
                <c:pt idx="0">
                  <c:v>0</c:v>
                </c:pt>
                <c:pt idx="1">
                  <c:v>7.6058999999999966</c:v>
                </c:pt>
                <c:pt idx="2">
                  <c:v>7.6918999999999995</c:v>
                </c:pt>
                <c:pt idx="3">
                  <c:v>7.7375999999999996</c:v>
                </c:pt>
                <c:pt idx="4">
                  <c:v>7.7613000000000003</c:v>
                </c:pt>
                <c:pt idx="5">
                  <c:v>7.9276</c:v>
                </c:pt>
                <c:pt idx="6">
                  <c:v>7.9661</c:v>
                </c:pt>
              </c:numCache>
            </c:numRef>
          </c:yVal>
          <c:smooth val="1"/>
          <c:extLst xmlns:c16r2="http://schemas.microsoft.com/office/drawing/2015/06/chart">
            <c:ext xmlns:c16="http://schemas.microsoft.com/office/drawing/2014/chart" uri="{C3380CC4-5D6E-409C-BE32-E72D297353CC}">
              <c16:uniqueId val="{00000001-3944-427A-AAAF-265E40D0E045}"/>
            </c:ext>
          </c:extLst>
        </c:ser>
        <c:ser>
          <c:idx val="2"/>
          <c:order val="2"/>
          <c:tx>
            <c:v>30 mg/L</c:v>
          </c:tx>
          <c:xVal>
            <c:numRef>
              <c:f>Sheet2!$AK$252:$AK$258</c:f>
              <c:numCache>
                <c:formatCode>General</c:formatCode>
                <c:ptCount val="7"/>
                <c:pt idx="0">
                  <c:v>0</c:v>
                </c:pt>
                <c:pt idx="1">
                  <c:v>10</c:v>
                </c:pt>
                <c:pt idx="2">
                  <c:v>20</c:v>
                </c:pt>
                <c:pt idx="3">
                  <c:v>30</c:v>
                </c:pt>
                <c:pt idx="4">
                  <c:v>40</c:v>
                </c:pt>
                <c:pt idx="5">
                  <c:v>50</c:v>
                </c:pt>
                <c:pt idx="6">
                  <c:v>60</c:v>
                </c:pt>
              </c:numCache>
            </c:numRef>
          </c:xVal>
          <c:yVal>
            <c:numRef>
              <c:f>Sheet2!$AL$252:$AL$258</c:f>
              <c:numCache>
                <c:formatCode>General</c:formatCode>
                <c:ptCount val="7"/>
                <c:pt idx="0">
                  <c:v>0</c:v>
                </c:pt>
                <c:pt idx="1">
                  <c:v>9.3042000000000016</c:v>
                </c:pt>
                <c:pt idx="2">
                  <c:v>9.0595000000000194</c:v>
                </c:pt>
                <c:pt idx="3">
                  <c:v>9.0488999999999997</c:v>
                </c:pt>
                <c:pt idx="4">
                  <c:v>9.2425000000000015</c:v>
                </c:pt>
                <c:pt idx="5">
                  <c:v>9.1583000000000006</c:v>
                </c:pt>
                <c:pt idx="6">
                  <c:v>9.1308000000000025</c:v>
                </c:pt>
              </c:numCache>
            </c:numRef>
          </c:yVal>
          <c:smooth val="1"/>
          <c:extLst xmlns:c16r2="http://schemas.microsoft.com/office/drawing/2015/06/chart">
            <c:ext xmlns:c16="http://schemas.microsoft.com/office/drawing/2014/chart" uri="{C3380CC4-5D6E-409C-BE32-E72D297353CC}">
              <c16:uniqueId val="{00000002-3944-427A-AAAF-265E40D0E045}"/>
            </c:ext>
          </c:extLst>
        </c:ser>
        <c:dLbls>
          <c:showLegendKey val="0"/>
          <c:showVal val="0"/>
          <c:showCatName val="0"/>
          <c:showSerName val="0"/>
          <c:showPercent val="0"/>
          <c:showBubbleSize val="0"/>
        </c:dLbls>
        <c:axId val="116422912"/>
        <c:axId val="116445568"/>
      </c:scatterChart>
      <c:valAx>
        <c:axId val="116422912"/>
        <c:scaling>
          <c:orientation val="minMax"/>
        </c:scaling>
        <c:delete val="0"/>
        <c:axPos val="b"/>
        <c:title>
          <c:tx>
            <c:rich>
              <a:bodyPr/>
              <a:lstStyle/>
              <a:p>
                <a:pPr>
                  <a:defRPr sz="1100" b="1"/>
                </a:pPr>
                <a:r>
                  <a:rPr lang="en-US" sz="1000" b="1">
                    <a:latin typeface="Times New Roman" pitchFamily="18" charset="0"/>
                    <a:cs typeface="Times New Roman" pitchFamily="18" charset="0"/>
                  </a:rPr>
                  <a:t>Agitation period (minutes)</a:t>
                </a:r>
              </a:p>
            </c:rich>
          </c:tx>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16445568"/>
        <c:crosses val="autoZero"/>
        <c:crossBetween val="midCat"/>
      </c:valAx>
      <c:valAx>
        <c:axId val="116445568"/>
        <c:scaling>
          <c:orientation val="minMax"/>
          <c:max val="12"/>
        </c:scaling>
        <c:delete val="0"/>
        <c:axPos val="l"/>
        <c:title>
          <c:tx>
            <c:rich>
              <a:bodyPr rot="-5400000" vert="horz"/>
              <a:lstStyle/>
              <a:p>
                <a:pPr>
                  <a:defRPr sz="1100" b="1"/>
                </a:pPr>
                <a:r>
                  <a:rPr lang="en-US" sz="1000" b="1">
                    <a:latin typeface="Times New Roman" pitchFamily="18" charset="0"/>
                    <a:cs typeface="Times New Roman" pitchFamily="18" charset="0"/>
                  </a:rPr>
                  <a:t>q</a:t>
                </a:r>
                <a:r>
                  <a:rPr lang="en-US" sz="1000" b="1" baseline="-25000">
                    <a:latin typeface="Times New Roman" pitchFamily="18" charset="0"/>
                    <a:cs typeface="Times New Roman" pitchFamily="18" charset="0"/>
                  </a:rPr>
                  <a:t>e </a:t>
                </a:r>
                <a:r>
                  <a:rPr lang="en-US" sz="1000" b="1">
                    <a:latin typeface="Times New Roman" pitchFamily="18" charset="0"/>
                    <a:cs typeface="Times New Roman" pitchFamily="18" charset="0"/>
                  </a:rPr>
                  <a:t>(mg/g)</a:t>
                </a:r>
              </a:p>
            </c:rich>
          </c:tx>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16422912"/>
        <c:crosses val="autoZero"/>
        <c:crossBetween val="midCat"/>
        <c:majorUnit val="2"/>
      </c:valAx>
    </c:plotArea>
    <c:legend>
      <c:legendPos val="r"/>
      <c:layout>
        <c:manualLayout>
          <c:xMode val="edge"/>
          <c:yMode val="edge"/>
          <c:x val="0.68855788422460595"/>
          <c:y val="0.52598946079920816"/>
          <c:w val="0.25900747677311198"/>
          <c:h val="0.22031393803047372"/>
        </c:manualLayout>
      </c:layout>
      <c:overlay val="0"/>
      <c:txPr>
        <a:bodyPr/>
        <a:lstStyle/>
        <a:p>
          <a:pPr>
            <a:defRPr sz="800" b="0" i="0" u="none" strike="noStrike" baseline="0">
              <a:solidFill>
                <a:srgbClr val="000000"/>
              </a:solidFill>
              <a:latin typeface="Times New Roman" pitchFamily="18" charset="0"/>
              <a:ea typeface="Calibri"/>
              <a:cs typeface="Times New Roman" pitchFamily="18" charset="0"/>
            </a:defRPr>
          </a:pPr>
          <a:endParaRPr lang="en-US"/>
        </a:p>
      </c:txPr>
    </c:legend>
    <c:plotVisOnly val="1"/>
    <c:dispBlanksAs val="gap"/>
    <c:showDLblsOverMax val="0"/>
  </c:chart>
  <c:spPr>
    <a:ln w="6350">
      <a:solidFill>
        <a:sysClr val="windowText" lastClr="000000"/>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15579272823742"/>
          <c:y val="0.11621536891221951"/>
          <c:w val="0.79631647737453171"/>
          <c:h val="0.70204068241469975"/>
        </c:manualLayout>
      </c:layout>
      <c:scatterChart>
        <c:scatterStyle val="lineMarker"/>
        <c:varyColors val="0"/>
        <c:ser>
          <c:idx val="0"/>
          <c:order val="0"/>
          <c:tx>
            <c:v>300 K</c:v>
          </c:tx>
          <c:spPr>
            <a:ln w="28575">
              <a:noFill/>
            </a:ln>
          </c:spPr>
          <c:trendline>
            <c:trendlineType val="linear"/>
            <c:dispRSqr val="0"/>
            <c:dispEq val="0"/>
          </c:trendline>
          <c:xVal>
            <c:numRef>
              <c:f>Sheet8!$B$8:$B$13</c:f>
              <c:numCache>
                <c:formatCode>General</c:formatCode>
                <c:ptCount val="6"/>
                <c:pt idx="0">
                  <c:v>1.6447499999999999</c:v>
                </c:pt>
                <c:pt idx="1">
                  <c:v>3.1459000000000001</c:v>
                </c:pt>
                <c:pt idx="2">
                  <c:v>5.8080499999999997</c:v>
                </c:pt>
                <c:pt idx="3">
                  <c:v>7.5869999999999997</c:v>
                </c:pt>
                <c:pt idx="4">
                  <c:v>8.1824000000000048</c:v>
                </c:pt>
                <c:pt idx="5">
                  <c:v>10.051600000000002</c:v>
                </c:pt>
              </c:numCache>
            </c:numRef>
          </c:xVal>
          <c:yVal>
            <c:numRef>
              <c:f>Sheet8!$C$8:$C$13</c:f>
              <c:numCache>
                <c:formatCode>0.00000</c:formatCode>
                <c:ptCount val="6"/>
                <c:pt idx="0">
                  <c:v>0.49020000000000002</c:v>
                </c:pt>
                <c:pt idx="1">
                  <c:v>0.54898000000000002</c:v>
                </c:pt>
                <c:pt idx="2">
                  <c:v>0.63186000000000064</c:v>
                </c:pt>
                <c:pt idx="3">
                  <c:v>0.69120999999999999</c:v>
                </c:pt>
                <c:pt idx="4">
                  <c:v>0.7065399999999995</c:v>
                </c:pt>
                <c:pt idx="5">
                  <c:v>0.763880000000001</c:v>
                </c:pt>
              </c:numCache>
            </c:numRef>
          </c:yVal>
          <c:smooth val="0"/>
          <c:extLst xmlns:c16r2="http://schemas.microsoft.com/office/drawing/2015/06/chart">
            <c:ext xmlns:c16="http://schemas.microsoft.com/office/drawing/2014/chart" uri="{C3380CC4-5D6E-409C-BE32-E72D297353CC}">
              <c16:uniqueId val="{00000001-FD91-4CAF-925F-D73F4B52B0D9}"/>
            </c:ext>
          </c:extLst>
        </c:ser>
        <c:dLbls>
          <c:showLegendKey val="0"/>
          <c:showVal val="0"/>
          <c:showCatName val="0"/>
          <c:showSerName val="0"/>
          <c:showPercent val="0"/>
          <c:showBubbleSize val="0"/>
        </c:dLbls>
        <c:axId val="117070080"/>
        <c:axId val="117076352"/>
      </c:scatterChart>
      <c:valAx>
        <c:axId val="117070080"/>
        <c:scaling>
          <c:orientation val="minMax"/>
        </c:scaling>
        <c:delete val="0"/>
        <c:axPos val="b"/>
        <c:title>
          <c:tx>
            <c:rich>
              <a:bodyPr/>
              <a:lstStyle/>
              <a:p>
                <a:pPr>
                  <a:defRPr sz="1100"/>
                </a:pPr>
                <a:r>
                  <a:rPr lang="en-US" sz="1000">
                    <a:latin typeface="Times New Roman" pitchFamily="18" charset="0"/>
                    <a:cs typeface="Times New Roman" pitchFamily="18" charset="0"/>
                  </a:rPr>
                  <a:t>C</a:t>
                </a:r>
                <a:r>
                  <a:rPr lang="en-US" sz="1000" baseline="-25000">
                    <a:latin typeface="Times New Roman" pitchFamily="18" charset="0"/>
                    <a:cs typeface="Times New Roman" pitchFamily="18" charset="0"/>
                  </a:rPr>
                  <a:t>e</a:t>
                </a:r>
                <a:r>
                  <a:rPr lang="en-US" sz="1000">
                    <a:latin typeface="Times New Roman" pitchFamily="18" charset="0"/>
                    <a:cs typeface="Times New Roman" pitchFamily="18" charset="0"/>
                  </a:rPr>
                  <a:t> (mg/L)</a:t>
                </a:r>
              </a:p>
            </c:rich>
          </c:tx>
          <c:layout>
            <c:manualLayout>
              <c:xMode val="edge"/>
              <c:yMode val="edge"/>
              <c:x val="0.4787303149606299"/>
              <c:y val="0.89719889180519163"/>
            </c:manualLayout>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17076352"/>
        <c:crosses val="autoZero"/>
        <c:crossBetween val="midCat"/>
      </c:valAx>
      <c:valAx>
        <c:axId val="117076352"/>
        <c:scaling>
          <c:orientation val="minMax"/>
        </c:scaling>
        <c:delete val="0"/>
        <c:axPos val="l"/>
        <c:title>
          <c:tx>
            <c:rich>
              <a:bodyPr rot="-5400000" vert="horz"/>
              <a:lstStyle/>
              <a:p>
                <a:pPr>
                  <a:defRPr/>
                </a:pPr>
                <a:r>
                  <a:rPr lang="en-US" sz="1000" b="1">
                    <a:latin typeface="Times New Roman" pitchFamily="18" charset="0"/>
                    <a:cs typeface="Times New Roman" pitchFamily="18" charset="0"/>
                  </a:rPr>
                  <a:t>Ce/q</a:t>
                </a:r>
                <a:r>
                  <a:rPr lang="en-US" sz="1000" b="1" baseline="-25000">
                    <a:latin typeface="Times New Roman" pitchFamily="18" charset="0"/>
                    <a:cs typeface="Times New Roman" pitchFamily="18" charset="0"/>
                  </a:rPr>
                  <a:t>e</a:t>
                </a:r>
                <a:r>
                  <a:rPr lang="en-US" sz="1000" b="1">
                    <a:latin typeface="Times New Roman" pitchFamily="18" charset="0"/>
                    <a:cs typeface="Times New Roman" pitchFamily="18" charset="0"/>
                  </a:rPr>
                  <a:t> (g/L)</a:t>
                </a:r>
              </a:p>
            </c:rich>
          </c:tx>
          <c:layout>
            <c:manualLayout>
              <c:xMode val="edge"/>
              <c:yMode val="edge"/>
              <c:x val="1.4486855574522577E-2"/>
              <c:y val="0.32864770073531324"/>
            </c:manualLayout>
          </c:layout>
          <c:overlay val="0"/>
        </c:title>
        <c:numFmt formatCode="0.00"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17070080"/>
        <c:crosses val="autoZero"/>
        <c:crossBetween val="midCat"/>
        <c:majorUnit val="0.2"/>
      </c:valAx>
    </c:plotArea>
    <c:legend>
      <c:legendPos val="r"/>
      <c:legendEntry>
        <c:idx val="1"/>
        <c:delete val="1"/>
      </c:legendEntry>
      <c:layout>
        <c:manualLayout>
          <c:xMode val="edge"/>
          <c:yMode val="edge"/>
          <c:x val="0.75138555731336198"/>
          <c:y val="0.41184492563429637"/>
          <c:w val="0.1912806630340726"/>
          <c:h val="0.13222859821684363"/>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ysClr val="windowText" lastClr="000000"/>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79418197725331"/>
          <c:y val="0.11039352522406271"/>
          <c:w val="0.81394881889763782"/>
          <c:h val="0.71215161649944447"/>
        </c:manualLayout>
      </c:layout>
      <c:scatterChart>
        <c:scatterStyle val="lineMarker"/>
        <c:varyColors val="0"/>
        <c:ser>
          <c:idx val="0"/>
          <c:order val="0"/>
          <c:tx>
            <c:v>300 K</c:v>
          </c:tx>
          <c:spPr>
            <a:ln w="28575">
              <a:noFill/>
            </a:ln>
          </c:spPr>
          <c:trendline>
            <c:trendlineType val="linear"/>
            <c:dispRSqr val="0"/>
            <c:dispEq val="0"/>
          </c:trendline>
          <c:xVal>
            <c:numRef>
              <c:f>Sheet8!$M$7:$M$14</c:f>
              <c:numCache>
                <c:formatCode>General</c:formatCode>
                <c:ptCount val="8"/>
                <c:pt idx="0">
                  <c:v>0.21610000000000001</c:v>
                </c:pt>
                <c:pt idx="1">
                  <c:v>0.49770000000000031</c:v>
                </c:pt>
                <c:pt idx="2">
                  <c:v>0.76400000000000101</c:v>
                </c:pt>
                <c:pt idx="3">
                  <c:v>0.88009999999999999</c:v>
                </c:pt>
                <c:pt idx="4">
                  <c:v>0.91290000000000004</c:v>
                </c:pt>
                <c:pt idx="5">
                  <c:v>1.0022</c:v>
                </c:pt>
              </c:numCache>
            </c:numRef>
          </c:xVal>
          <c:yVal>
            <c:numRef>
              <c:f>Sheet8!$N$7:$N$14</c:f>
              <c:numCache>
                <c:formatCode>General</c:formatCode>
                <c:ptCount val="8"/>
                <c:pt idx="0">
                  <c:v>0.52569999999999995</c:v>
                </c:pt>
                <c:pt idx="1">
                  <c:v>0.83600000000000063</c:v>
                </c:pt>
                <c:pt idx="2">
                  <c:v>0.96340000000000003</c:v>
                </c:pt>
                <c:pt idx="3">
                  <c:v>1.0938999999999981</c:v>
                </c:pt>
                <c:pt idx="4">
                  <c:v>1.2257999999999973</c:v>
                </c:pt>
                <c:pt idx="5">
                  <c:v>1.23</c:v>
                </c:pt>
              </c:numCache>
            </c:numRef>
          </c:yVal>
          <c:smooth val="0"/>
          <c:extLst xmlns:c16r2="http://schemas.microsoft.com/office/drawing/2015/06/chart">
            <c:ext xmlns:c16="http://schemas.microsoft.com/office/drawing/2014/chart" uri="{C3380CC4-5D6E-409C-BE32-E72D297353CC}">
              <c16:uniqueId val="{00000001-4271-418E-8F32-2893C80BAC65}"/>
            </c:ext>
          </c:extLst>
        </c:ser>
        <c:dLbls>
          <c:showLegendKey val="0"/>
          <c:showVal val="0"/>
          <c:showCatName val="0"/>
          <c:showSerName val="0"/>
          <c:showPercent val="0"/>
          <c:showBubbleSize val="0"/>
        </c:dLbls>
        <c:axId val="125264640"/>
        <c:axId val="125266560"/>
      </c:scatterChart>
      <c:valAx>
        <c:axId val="125264640"/>
        <c:scaling>
          <c:orientation val="minMax"/>
        </c:scaling>
        <c:delete val="0"/>
        <c:axPos val="b"/>
        <c:title>
          <c:tx>
            <c:rich>
              <a:bodyPr/>
              <a:lstStyle/>
              <a:p>
                <a:pPr>
                  <a:defRPr sz="1100"/>
                </a:pPr>
                <a:r>
                  <a:rPr lang="en-US" sz="1000"/>
                  <a:t>log C</a:t>
                </a:r>
                <a:r>
                  <a:rPr lang="en-US" sz="1000" baseline="-25000"/>
                  <a:t>e</a:t>
                </a:r>
              </a:p>
            </c:rich>
          </c:tx>
          <c:layout/>
          <c:overlay val="0"/>
        </c:title>
        <c:numFmt formatCode="General" sourceLinked="1"/>
        <c:majorTickMark val="out"/>
        <c:minorTickMark val="none"/>
        <c:tickLblPos val="nextTo"/>
        <c:txPr>
          <a:bodyPr rot="0" vert="horz"/>
          <a:lstStyle/>
          <a:p>
            <a:pPr>
              <a:defRPr sz="900"/>
            </a:pPr>
            <a:endParaRPr lang="en-US"/>
          </a:p>
        </c:txPr>
        <c:crossAx val="125266560"/>
        <c:crosses val="autoZero"/>
        <c:crossBetween val="midCat"/>
      </c:valAx>
      <c:valAx>
        <c:axId val="125266560"/>
        <c:scaling>
          <c:orientation val="minMax"/>
        </c:scaling>
        <c:delete val="0"/>
        <c:axPos val="l"/>
        <c:title>
          <c:tx>
            <c:rich>
              <a:bodyPr rot="-5400000" vert="horz"/>
              <a:lstStyle/>
              <a:p>
                <a:pPr>
                  <a:defRPr sz="1100"/>
                </a:pPr>
                <a:r>
                  <a:rPr lang="en-US" sz="1000"/>
                  <a:t>log q</a:t>
                </a:r>
                <a:r>
                  <a:rPr lang="en-US" sz="1000" baseline="-25000"/>
                  <a:t>e</a:t>
                </a:r>
              </a:p>
            </c:rich>
          </c:tx>
          <c:layout>
            <c:manualLayout>
              <c:xMode val="edge"/>
              <c:yMode val="edge"/>
              <c:x val="3.333333333333334E-2"/>
              <c:y val="0.36562188923709038"/>
            </c:manualLayout>
          </c:layout>
          <c:overlay val="0"/>
        </c:title>
        <c:numFmt formatCode="General" sourceLinked="1"/>
        <c:majorTickMark val="out"/>
        <c:minorTickMark val="none"/>
        <c:tickLblPos val="nextTo"/>
        <c:spPr>
          <a:ln w="6350"/>
        </c:spPr>
        <c:txPr>
          <a:bodyPr/>
          <a:lstStyle/>
          <a:p>
            <a:pPr>
              <a:defRPr sz="900"/>
            </a:pPr>
            <a:endParaRPr lang="en-US"/>
          </a:p>
        </c:txPr>
        <c:crossAx val="125264640"/>
        <c:crosses val="autoZero"/>
        <c:crossBetween val="midCat"/>
      </c:valAx>
      <c:spPr>
        <a:noFill/>
        <a:ln w="25400">
          <a:noFill/>
        </a:ln>
      </c:spPr>
    </c:plotArea>
    <c:legend>
      <c:legendPos val="r"/>
      <c:legendEntry>
        <c:idx val="1"/>
        <c:delete val="1"/>
      </c:legendEntry>
      <c:layout>
        <c:manualLayout>
          <c:xMode val="edge"/>
          <c:yMode val="edge"/>
          <c:x val="0.828751312335959"/>
          <c:y val="0.43292549969715405"/>
          <c:w val="0.11013757655293092"/>
          <c:h val="8.0637294920074792E-2"/>
        </c:manualLayout>
      </c:layout>
      <c:overlay val="0"/>
      <c:txPr>
        <a:bodyPr/>
        <a:lstStyle/>
        <a:p>
          <a:pPr>
            <a:defRPr sz="800"/>
          </a:pPr>
          <a:endParaRPr lang="en-US"/>
        </a:p>
      </c:txPr>
    </c:legend>
    <c:plotVisOnly val="1"/>
    <c:dispBlanksAs val="gap"/>
    <c:showDLblsOverMax val="0"/>
  </c:chart>
  <c:spPr>
    <a:ln w="6350">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89923731832723"/>
          <c:y val="9.0708358861482652E-2"/>
          <c:w val="0.78957387251801392"/>
          <c:h val="0.80093852821711409"/>
        </c:manualLayout>
      </c:layout>
      <c:scatterChart>
        <c:scatterStyle val="lineMarker"/>
        <c:varyColors val="0"/>
        <c:ser>
          <c:idx val="0"/>
          <c:order val="0"/>
          <c:tx>
            <c:v>10 mg/L</c:v>
          </c:tx>
          <c:spPr>
            <a:ln w="28575">
              <a:noFill/>
            </a:ln>
          </c:spPr>
          <c:trendline>
            <c:trendlineType val="linear"/>
            <c:dispRSqr val="0"/>
            <c:dispEq val="0"/>
          </c:trendline>
          <c:trendline>
            <c:trendlineType val="linear"/>
            <c:dispRSqr val="0"/>
            <c:dispEq val="0"/>
          </c:trendline>
          <c:xVal>
            <c:numRef>
              <c:f>Sheet3!$C$22:$C$27</c:f>
              <c:numCache>
                <c:formatCode>General</c:formatCode>
                <c:ptCount val="6"/>
                <c:pt idx="0">
                  <c:v>10</c:v>
                </c:pt>
                <c:pt idx="1">
                  <c:v>20</c:v>
                </c:pt>
                <c:pt idx="2">
                  <c:v>30</c:v>
                </c:pt>
                <c:pt idx="3">
                  <c:v>40</c:v>
                </c:pt>
                <c:pt idx="4">
                  <c:v>50</c:v>
                </c:pt>
                <c:pt idx="5">
                  <c:v>60</c:v>
                </c:pt>
              </c:numCache>
            </c:numRef>
          </c:xVal>
          <c:yVal>
            <c:numRef>
              <c:f>Sheet3!$D$22:$D$27</c:f>
              <c:numCache>
                <c:formatCode>General</c:formatCode>
                <c:ptCount val="6"/>
                <c:pt idx="0">
                  <c:v>-0.24600000000000022</c:v>
                </c:pt>
                <c:pt idx="1">
                  <c:v>-0.24340000000000028</c:v>
                </c:pt>
                <c:pt idx="2">
                  <c:v>-0.27210000000000001</c:v>
                </c:pt>
                <c:pt idx="3">
                  <c:v>-0.30290000000000045</c:v>
                </c:pt>
                <c:pt idx="4">
                  <c:v>-0.30290000000000045</c:v>
                </c:pt>
                <c:pt idx="5">
                  <c:v>-0.33600000000000058</c:v>
                </c:pt>
              </c:numCache>
            </c:numRef>
          </c:yVal>
          <c:smooth val="0"/>
          <c:extLst xmlns:c16r2="http://schemas.microsoft.com/office/drawing/2015/06/chart">
            <c:ext xmlns:c16="http://schemas.microsoft.com/office/drawing/2014/chart" uri="{C3380CC4-5D6E-409C-BE32-E72D297353CC}">
              <c16:uniqueId val="{00000002-D257-40D3-B825-7A27E10AB3F7}"/>
            </c:ext>
          </c:extLst>
        </c:ser>
        <c:ser>
          <c:idx val="1"/>
          <c:order val="1"/>
          <c:tx>
            <c:v>20 mg/L</c:v>
          </c:tx>
          <c:spPr>
            <a:ln w="28575">
              <a:noFill/>
            </a:ln>
          </c:spPr>
          <c:trendline>
            <c:trendlineType val="linear"/>
            <c:dispRSqr val="0"/>
            <c:dispEq val="0"/>
          </c:trendline>
          <c:trendline>
            <c:trendlineType val="linear"/>
            <c:dispRSqr val="0"/>
            <c:dispEq val="0"/>
          </c:trendline>
          <c:xVal>
            <c:numRef>
              <c:f>Sheet3!$F$22:$F$27</c:f>
              <c:numCache>
                <c:formatCode>General</c:formatCode>
                <c:ptCount val="6"/>
                <c:pt idx="0">
                  <c:v>10</c:v>
                </c:pt>
                <c:pt idx="1">
                  <c:v>20</c:v>
                </c:pt>
                <c:pt idx="2">
                  <c:v>30</c:v>
                </c:pt>
                <c:pt idx="3">
                  <c:v>40</c:v>
                </c:pt>
                <c:pt idx="4">
                  <c:v>50</c:v>
                </c:pt>
                <c:pt idx="5">
                  <c:v>60</c:v>
                </c:pt>
              </c:numCache>
            </c:numRef>
          </c:xVal>
          <c:yVal>
            <c:numRef>
              <c:f>Sheet3!$G$22:$G$27</c:f>
              <c:numCache>
                <c:formatCode>General</c:formatCode>
                <c:ptCount val="6"/>
                <c:pt idx="0">
                  <c:v>-0.42420000000000002</c:v>
                </c:pt>
                <c:pt idx="1">
                  <c:v>-0.53690000000000004</c:v>
                </c:pt>
                <c:pt idx="2">
                  <c:v>-0.61120000000000063</c:v>
                </c:pt>
                <c:pt idx="3">
                  <c:v>-0.65540000000000065</c:v>
                </c:pt>
                <c:pt idx="4">
                  <c:v>-1.2611999999999981</c:v>
                </c:pt>
                <c:pt idx="5">
                  <c:v>-1.7877999999999976</c:v>
                </c:pt>
              </c:numCache>
            </c:numRef>
          </c:yVal>
          <c:smooth val="0"/>
          <c:extLst xmlns:c16r2="http://schemas.microsoft.com/office/drawing/2015/06/chart">
            <c:ext xmlns:c16="http://schemas.microsoft.com/office/drawing/2014/chart" uri="{C3380CC4-5D6E-409C-BE32-E72D297353CC}">
              <c16:uniqueId val="{00000005-D257-40D3-B825-7A27E10AB3F7}"/>
            </c:ext>
          </c:extLst>
        </c:ser>
        <c:ser>
          <c:idx val="2"/>
          <c:order val="2"/>
          <c:tx>
            <c:v>30 mg/L</c:v>
          </c:tx>
          <c:spPr>
            <a:ln w="28575">
              <a:noFill/>
            </a:ln>
          </c:spPr>
          <c:trendline>
            <c:trendlineType val="linear"/>
            <c:dispRSqr val="0"/>
            <c:dispEq val="0"/>
          </c:trendline>
          <c:xVal>
            <c:numRef>
              <c:f>Sheet3!$I$22:$I$27</c:f>
              <c:numCache>
                <c:formatCode>General</c:formatCode>
                <c:ptCount val="6"/>
                <c:pt idx="0">
                  <c:v>10</c:v>
                </c:pt>
                <c:pt idx="1">
                  <c:v>20</c:v>
                </c:pt>
                <c:pt idx="2">
                  <c:v>30</c:v>
                </c:pt>
                <c:pt idx="3">
                  <c:v>40</c:v>
                </c:pt>
                <c:pt idx="4">
                  <c:v>50</c:v>
                </c:pt>
                <c:pt idx="5">
                  <c:v>60</c:v>
                </c:pt>
              </c:numCache>
            </c:numRef>
          </c:xVal>
          <c:yVal>
            <c:numRef>
              <c:f>Sheet3!$J$22:$J$27</c:f>
              <c:numCache>
                <c:formatCode>General</c:formatCode>
                <c:ptCount val="6"/>
                <c:pt idx="0">
                  <c:v>-0.17440000000000025</c:v>
                </c:pt>
                <c:pt idx="1">
                  <c:v>-3.9100000000000003E-2</c:v>
                </c:pt>
                <c:pt idx="2">
                  <c:v>-3.4099999999999998E-2</c:v>
                </c:pt>
                <c:pt idx="3">
                  <c:v>-0.1361</c:v>
                </c:pt>
                <c:pt idx="4">
                  <c:v>-0.18880000000000022</c:v>
                </c:pt>
                <c:pt idx="5">
                  <c:v>-0.17490000000000025</c:v>
                </c:pt>
              </c:numCache>
            </c:numRef>
          </c:yVal>
          <c:smooth val="0"/>
          <c:extLst xmlns:c16r2="http://schemas.microsoft.com/office/drawing/2015/06/chart">
            <c:ext xmlns:c16="http://schemas.microsoft.com/office/drawing/2014/chart" uri="{C3380CC4-5D6E-409C-BE32-E72D297353CC}">
              <c16:uniqueId val="{00000007-D257-40D3-B825-7A27E10AB3F7}"/>
            </c:ext>
          </c:extLst>
        </c:ser>
        <c:dLbls>
          <c:showLegendKey val="0"/>
          <c:showVal val="0"/>
          <c:showCatName val="0"/>
          <c:showSerName val="0"/>
          <c:showPercent val="0"/>
          <c:showBubbleSize val="0"/>
        </c:dLbls>
        <c:axId val="126625664"/>
        <c:axId val="126627840"/>
      </c:scatterChart>
      <c:valAx>
        <c:axId val="126625664"/>
        <c:scaling>
          <c:orientation val="minMax"/>
        </c:scaling>
        <c:delete val="0"/>
        <c:axPos val="b"/>
        <c:title>
          <c:tx>
            <c:rich>
              <a:bodyPr/>
              <a:lstStyle/>
              <a:p>
                <a:pPr>
                  <a:defRPr sz="1050" b="1"/>
                </a:pPr>
                <a:r>
                  <a:rPr lang="en-US" sz="1000" b="1">
                    <a:latin typeface="Times New Roman" pitchFamily="18" charset="0"/>
                    <a:cs typeface="Times New Roman" pitchFamily="18" charset="0"/>
                  </a:rPr>
                  <a:t>time (minutes)</a:t>
                </a:r>
              </a:p>
            </c:rich>
          </c:tx>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26627840"/>
        <c:crosses val="autoZero"/>
        <c:crossBetween val="midCat"/>
      </c:valAx>
      <c:valAx>
        <c:axId val="126627840"/>
        <c:scaling>
          <c:orientation val="minMax"/>
        </c:scaling>
        <c:delete val="0"/>
        <c:axPos val="l"/>
        <c:title>
          <c:tx>
            <c:rich>
              <a:bodyPr rot="-5400000" vert="horz"/>
              <a:lstStyle/>
              <a:p>
                <a:pPr>
                  <a:defRPr sz="1050" b="1"/>
                </a:pPr>
                <a:r>
                  <a:rPr lang="en-US" sz="1000" b="1">
                    <a:latin typeface="Times New Roman" pitchFamily="18" charset="0"/>
                    <a:cs typeface="Times New Roman" pitchFamily="18" charset="0"/>
                  </a:rPr>
                  <a:t>log (q</a:t>
                </a:r>
                <a:r>
                  <a:rPr lang="en-US" sz="1000" b="1" baseline="-25000">
                    <a:latin typeface="Times New Roman" pitchFamily="18" charset="0"/>
                    <a:cs typeface="Times New Roman" pitchFamily="18" charset="0"/>
                  </a:rPr>
                  <a:t>e </a:t>
                </a:r>
                <a:r>
                  <a:rPr lang="en-US" sz="1000" b="1" baseline="0">
                    <a:latin typeface="Times New Roman" pitchFamily="18" charset="0"/>
                    <a:cs typeface="Times New Roman" pitchFamily="18" charset="0"/>
                  </a:rPr>
                  <a:t>- </a:t>
                </a:r>
                <a:r>
                  <a:rPr lang="en-US" sz="1000" b="1">
                    <a:latin typeface="Times New Roman" pitchFamily="18" charset="0"/>
                    <a:cs typeface="Times New Roman" pitchFamily="18" charset="0"/>
                  </a:rPr>
                  <a:t>q</a:t>
                </a:r>
                <a:r>
                  <a:rPr lang="en-US" sz="1000" b="1" baseline="-25000">
                    <a:latin typeface="Times New Roman" pitchFamily="18" charset="0"/>
                    <a:cs typeface="Times New Roman" pitchFamily="18" charset="0"/>
                  </a:rPr>
                  <a:t>t</a:t>
                </a:r>
                <a:r>
                  <a:rPr lang="en-US" sz="1000" b="1">
                    <a:latin typeface="Times New Roman" pitchFamily="18" charset="0"/>
                    <a:cs typeface="Times New Roman" pitchFamily="18" charset="0"/>
                  </a:rPr>
                  <a:t>)</a:t>
                </a:r>
              </a:p>
            </c:rich>
          </c:tx>
          <c:layout/>
          <c:overlay val="0"/>
          <c:spPr>
            <a:ln w="6350"/>
          </c:spPr>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26625664"/>
        <c:crosses val="autoZero"/>
        <c:crossBetween val="midCat"/>
        <c:majorUnit val="0.4"/>
      </c:valAx>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ayout>
        <c:manualLayout>
          <c:xMode val="edge"/>
          <c:yMode val="edge"/>
          <c:x val="0.76465401694253732"/>
          <c:y val="0.3472304544609085"/>
          <c:w val="0.20764511509619243"/>
          <c:h val="0.23153530285009855"/>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ln w="6350">
      <a:solidFill>
        <a:sysClr val="windowText" lastClr="000000"/>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984547817040597"/>
          <c:y val="6.4682052674450166E-2"/>
          <c:w val="0.77889641551024147"/>
          <c:h val="0.79353498054122429"/>
        </c:manualLayout>
      </c:layout>
      <c:scatterChart>
        <c:scatterStyle val="lineMarker"/>
        <c:varyColors val="0"/>
        <c:ser>
          <c:idx val="0"/>
          <c:order val="0"/>
          <c:tx>
            <c:v>10 mg/L</c:v>
          </c:tx>
          <c:spPr>
            <a:ln w="28575">
              <a:noFill/>
            </a:ln>
          </c:spPr>
          <c:trendline>
            <c:trendlineType val="linear"/>
            <c:dispRSqr val="0"/>
            <c:dispEq val="0"/>
          </c:trendline>
          <c:xVal>
            <c:numRef>
              <c:f>Sheet4!$A$3:$A$10</c:f>
              <c:numCache>
                <c:formatCode>General</c:formatCode>
                <c:ptCount val="8"/>
                <c:pt idx="0">
                  <c:v>0</c:v>
                </c:pt>
                <c:pt idx="1">
                  <c:v>10</c:v>
                </c:pt>
                <c:pt idx="2">
                  <c:v>20</c:v>
                </c:pt>
                <c:pt idx="3">
                  <c:v>30</c:v>
                </c:pt>
                <c:pt idx="4">
                  <c:v>40</c:v>
                </c:pt>
                <c:pt idx="5">
                  <c:v>50</c:v>
                </c:pt>
                <c:pt idx="6">
                  <c:v>60</c:v>
                </c:pt>
              </c:numCache>
            </c:numRef>
          </c:xVal>
          <c:yVal>
            <c:numRef>
              <c:f>Sheet4!$B$3:$B$10</c:f>
              <c:numCache>
                <c:formatCode>General</c:formatCode>
                <c:ptCount val="8"/>
                <c:pt idx="0">
                  <c:v>0</c:v>
                </c:pt>
                <c:pt idx="1">
                  <c:v>1.8498999999999981</c:v>
                </c:pt>
                <c:pt idx="2">
                  <c:v>3.7023000000000001</c:v>
                </c:pt>
                <c:pt idx="3">
                  <c:v>5.5160999999999998</c:v>
                </c:pt>
                <c:pt idx="4">
                  <c:v>7.3056999999999999</c:v>
                </c:pt>
                <c:pt idx="5">
                  <c:v>7.3056999999999999</c:v>
                </c:pt>
                <c:pt idx="6">
                  <c:v>10.885700000000016</c:v>
                </c:pt>
              </c:numCache>
            </c:numRef>
          </c:yVal>
          <c:smooth val="0"/>
          <c:extLst xmlns:c16r2="http://schemas.microsoft.com/office/drawing/2015/06/chart">
            <c:ext xmlns:c16="http://schemas.microsoft.com/office/drawing/2014/chart" uri="{C3380CC4-5D6E-409C-BE32-E72D297353CC}">
              <c16:uniqueId val="{00000001-ABEA-4FFC-997A-ABBA469060F8}"/>
            </c:ext>
          </c:extLst>
        </c:ser>
        <c:ser>
          <c:idx val="1"/>
          <c:order val="1"/>
          <c:tx>
            <c:v>20 mg/L</c:v>
          </c:tx>
          <c:spPr>
            <a:ln w="28575">
              <a:noFill/>
            </a:ln>
          </c:spPr>
          <c:trendline>
            <c:trendlineType val="linear"/>
            <c:dispRSqr val="0"/>
            <c:dispEq val="0"/>
          </c:trendline>
          <c:xVal>
            <c:numRef>
              <c:f>Sheet4!$D$3:$D$9</c:f>
              <c:numCache>
                <c:formatCode>General</c:formatCode>
                <c:ptCount val="7"/>
                <c:pt idx="0">
                  <c:v>0</c:v>
                </c:pt>
                <c:pt idx="1">
                  <c:v>10</c:v>
                </c:pt>
                <c:pt idx="2">
                  <c:v>20</c:v>
                </c:pt>
                <c:pt idx="3">
                  <c:v>30</c:v>
                </c:pt>
                <c:pt idx="4">
                  <c:v>40</c:v>
                </c:pt>
                <c:pt idx="5">
                  <c:v>50</c:v>
                </c:pt>
                <c:pt idx="6">
                  <c:v>60</c:v>
                </c:pt>
              </c:numCache>
            </c:numRef>
          </c:xVal>
          <c:yVal>
            <c:numRef>
              <c:f>Sheet4!$E$3:$E$9</c:f>
              <c:numCache>
                <c:formatCode>General</c:formatCode>
                <c:ptCount val="7"/>
                <c:pt idx="0">
                  <c:v>0</c:v>
                </c:pt>
                <c:pt idx="1">
                  <c:v>1.3148</c:v>
                </c:pt>
                <c:pt idx="2">
                  <c:v>2.6000999999999999</c:v>
                </c:pt>
                <c:pt idx="3">
                  <c:v>3.8771999999999998</c:v>
                </c:pt>
                <c:pt idx="4">
                  <c:v>5.1537999999999995</c:v>
                </c:pt>
                <c:pt idx="5">
                  <c:v>6.3070999999999975</c:v>
                </c:pt>
                <c:pt idx="6">
                  <c:v>7.5319000000000003</c:v>
                </c:pt>
              </c:numCache>
            </c:numRef>
          </c:yVal>
          <c:smooth val="0"/>
          <c:extLst xmlns:c16r2="http://schemas.microsoft.com/office/drawing/2015/06/chart">
            <c:ext xmlns:c16="http://schemas.microsoft.com/office/drawing/2014/chart" uri="{C3380CC4-5D6E-409C-BE32-E72D297353CC}">
              <c16:uniqueId val="{00000003-ABEA-4FFC-997A-ABBA469060F8}"/>
            </c:ext>
          </c:extLst>
        </c:ser>
        <c:ser>
          <c:idx val="2"/>
          <c:order val="2"/>
          <c:tx>
            <c:v>30 mg/L</c:v>
          </c:tx>
          <c:spPr>
            <a:ln w="28575">
              <a:noFill/>
            </a:ln>
          </c:spPr>
          <c:trendline>
            <c:trendlineType val="linear"/>
            <c:dispRSqr val="0"/>
            <c:dispEq val="0"/>
          </c:trendline>
          <c:xVal>
            <c:numRef>
              <c:f>Sheet4!$G$3:$G$9</c:f>
              <c:numCache>
                <c:formatCode>General</c:formatCode>
                <c:ptCount val="7"/>
                <c:pt idx="0">
                  <c:v>0</c:v>
                </c:pt>
                <c:pt idx="1">
                  <c:v>10</c:v>
                </c:pt>
                <c:pt idx="2">
                  <c:v>20</c:v>
                </c:pt>
                <c:pt idx="3">
                  <c:v>30</c:v>
                </c:pt>
                <c:pt idx="4">
                  <c:v>40</c:v>
                </c:pt>
                <c:pt idx="5">
                  <c:v>50</c:v>
                </c:pt>
                <c:pt idx="6">
                  <c:v>60</c:v>
                </c:pt>
              </c:numCache>
            </c:numRef>
          </c:xVal>
          <c:yVal>
            <c:numRef>
              <c:f>Sheet4!$H$3:$H$9</c:f>
              <c:numCache>
                <c:formatCode>General</c:formatCode>
                <c:ptCount val="7"/>
                <c:pt idx="0">
                  <c:v>0</c:v>
                </c:pt>
                <c:pt idx="1">
                  <c:v>1.0748</c:v>
                </c:pt>
                <c:pt idx="2">
                  <c:v>2.2076000000000002</c:v>
                </c:pt>
                <c:pt idx="3">
                  <c:v>3.3152999999999961</c:v>
                </c:pt>
                <c:pt idx="4">
                  <c:v>4.3277999999999945</c:v>
                </c:pt>
                <c:pt idx="5">
                  <c:v>5.4595000000000002</c:v>
                </c:pt>
                <c:pt idx="6">
                  <c:v>6.5712000000000081</c:v>
                </c:pt>
              </c:numCache>
            </c:numRef>
          </c:yVal>
          <c:smooth val="0"/>
          <c:extLst xmlns:c16r2="http://schemas.microsoft.com/office/drawing/2015/06/chart">
            <c:ext xmlns:c16="http://schemas.microsoft.com/office/drawing/2014/chart" uri="{C3380CC4-5D6E-409C-BE32-E72D297353CC}">
              <c16:uniqueId val="{00000005-ABEA-4FFC-997A-ABBA469060F8}"/>
            </c:ext>
          </c:extLst>
        </c:ser>
        <c:dLbls>
          <c:showLegendKey val="0"/>
          <c:showVal val="0"/>
          <c:showCatName val="0"/>
          <c:showSerName val="0"/>
          <c:showPercent val="0"/>
          <c:showBubbleSize val="0"/>
        </c:dLbls>
        <c:axId val="129174528"/>
        <c:axId val="129188992"/>
      </c:scatterChart>
      <c:valAx>
        <c:axId val="129174528"/>
        <c:scaling>
          <c:orientation val="minMax"/>
        </c:scaling>
        <c:delete val="0"/>
        <c:axPos val="b"/>
        <c:title>
          <c:tx>
            <c:rich>
              <a:bodyPr/>
              <a:lstStyle/>
              <a:p>
                <a:pPr>
                  <a:defRPr sz="1050" b="1">
                    <a:latin typeface="Times New Roman" pitchFamily="18" charset="0"/>
                    <a:cs typeface="Times New Roman" pitchFamily="18" charset="0"/>
                  </a:defRPr>
                </a:pPr>
                <a:r>
                  <a:rPr lang="en-US" sz="1000" b="1">
                    <a:latin typeface="Times New Roman" pitchFamily="18" charset="0"/>
                    <a:cs typeface="Times New Roman" pitchFamily="18" charset="0"/>
                  </a:rPr>
                  <a:t>time</a:t>
                </a:r>
                <a:r>
                  <a:rPr lang="en-US" sz="1000" b="1" baseline="0">
                    <a:latin typeface="Times New Roman" pitchFamily="18" charset="0"/>
                    <a:cs typeface="Times New Roman" pitchFamily="18" charset="0"/>
                  </a:rPr>
                  <a:t> (minutes)</a:t>
                </a:r>
                <a:endParaRPr lang="en-US" sz="1000" b="1">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29188992"/>
        <c:crosses val="autoZero"/>
        <c:crossBetween val="midCat"/>
      </c:valAx>
      <c:valAx>
        <c:axId val="129188992"/>
        <c:scaling>
          <c:orientation val="minMax"/>
        </c:scaling>
        <c:delete val="0"/>
        <c:axPos val="l"/>
        <c:title>
          <c:tx>
            <c:rich>
              <a:bodyPr rot="-5400000" vert="horz"/>
              <a:lstStyle/>
              <a:p>
                <a:pPr>
                  <a:defRPr sz="1050" b="1">
                    <a:latin typeface="Times New Roman" pitchFamily="18" charset="0"/>
                    <a:cs typeface="Times New Roman" pitchFamily="18" charset="0"/>
                  </a:defRPr>
                </a:pPr>
                <a:r>
                  <a:rPr lang="en-US" sz="1000" b="1">
                    <a:latin typeface="Times New Roman" pitchFamily="18" charset="0"/>
                    <a:cs typeface="Times New Roman" pitchFamily="18" charset="0"/>
                  </a:rPr>
                  <a:t>t/q</a:t>
                </a:r>
                <a:r>
                  <a:rPr lang="en-US" sz="1000" b="1" baseline="-25000">
                    <a:latin typeface="Times New Roman" pitchFamily="18" charset="0"/>
                    <a:cs typeface="Times New Roman" pitchFamily="18" charset="0"/>
                  </a:rPr>
                  <a:t>t </a:t>
                </a:r>
                <a:r>
                  <a:rPr lang="en-US" sz="1000" b="1">
                    <a:latin typeface="Times New Roman" pitchFamily="18" charset="0"/>
                    <a:cs typeface="Times New Roman" pitchFamily="18" charset="0"/>
                  </a:rPr>
                  <a:t>(g min / mg)</a:t>
                </a:r>
              </a:p>
            </c:rich>
          </c:tx>
          <c:layout/>
          <c:overlay val="0"/>
        </c:title>
        <c:numFmt formatCode="#,##0.0"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29174528"/>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7560152396720383"/>
          <c:y val="0.44273220533210644"/>
          <c:w val="0.17602904593708288"/>
          <c:h val="0.20034308831572464"/>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ln w="6350">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2855A-404A-4F7D-AEF6-C4B25A4F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5022</Words>
  <Characters>26820</Characters>
  <Application>Microsoft Office Word</Application>
  <DocSecurity>0</DocSecurity>
  <Lines>547</Lines>
  <Paragraphs>263</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31579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11</cp:revision>
  <cp:lastPrinted>2019-08-18T06:59:00Z</cp:lastPrinted>
  <dcterms:created xsi:type="dcterms:W3CDTF">2019-07-31T07:03:00Z</dcterms:created>
  <dcterms:modified xsi:type="dcterms:W3CDTF">2019-08-18T06:59:00Z</dcterms:modified>
</cp:coreProperties>
</file>