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C5EEF" w:rsidRDefault="00BC5EEF" w:rsidP="00BC5EEF">
      <w:pPr>
        <w:pStyle w:val="Normal1"/>
        <w:jc w:val="center"/>
        <w:rPr>
          <w:sz w:val="28"/>
          <w:szCs w:val="28"/>
        </w:rPr>
      </w:pPr>
      <w:r w:rsidRPr="00E94067">
        <w:rPr>
          <w:sz w:val="28"/>
          <w:szCs w:val="28"/>
        </w:rPr>
        <w:t xml:space="preserve">HYDROSILYLATION OF ALDEHYDES CATALYZED BY DIETHYL </w:t>
      </w:r>
    </w:p>
    <w:p w:rsidR="00BC5EEF" w:rsidRPr="00E94067" w:rsidRDefault="00BC5EEF" w:rsidP="00BC5EEF">
      <w:pPr>
        <w:pStyle w:val="Normal1"/>
        <w:jc w:val="center"/>
        <w:rPr>
          <w:sz w:val="28"/>
          <w:szCs w:val="28"/>
        </w:rPr>
      </w:pPr>
      <w:r w:rsidRPr="00E94067">
        <w:rPr>
          <w:sz w:val="28"/>
          <w:szCs w:val="28"/>
        </w:rPr>
        <w:t>2-PYRIDYLPHOSPHONATE</w:t>
      </w:r>
    </w:p>
    <w:p w:rsidR="00BC5EEF" w:rsidRPr="00E94067" w:rsidRDefault="00BC5EEF" w:rsidP="00BC5EEF">
      <w:pPr>
        <w:pStyle w:val="Normal1"/>
        <w:jc w:val="center"/>
        <w:rPr>
          <w:b/>
          <w:sz w:val="24"/>
          <w:szCs w:val="24"/>
        </w:rPr>
      </w:pPr>
    </w:p>
    <w:p w:rsidR="00BC5EEF" w:rsidRPr="00E94067" w:rsidRDefault="00BC5EEF" w:rsidP="00BC5EEF">
      <w:pPr>
        <w:pStyle w:val="Normal1"/>
        <w:jc w:val="center"/>
        <w:rPr>
          <w:b/>
          <w:sz w:val="24"/>
          <w:szCs w:val="24"/>
        </w:rPr>
      </w:pPr>
      <w:r w:rsidRPr="00E94067">
        <w:rPr>
          <w:b/>
          <w:sz w:val="24"/>
          <w:szCs w:val="24"/>
        </w:rPr>
        <w:t>(</w:t>
      </w:r>
      <w:r w:rsidRPr="00E94067">
        <w:rPr>
          <w:sz w:val="24"/>
          <w:szCs w:val="24"/>
          <w:lang w:val="ms-MY"/>
        </w:rPr>
        <w:t>Hidrosililasi Aldehida Bermangkin Dietil 2-</w:t>
      </w:r>
      <w:r>
        <w:rPr>
          <w:sz w:val="24"/>
          <w:szCs w:val="24"/>
          <w:lang w:val="ms-MY"/>
        </w:rPr>
        <w:t>P</w:t>
      </w:r>
      <w:r w:rsidRPr="00E94067">
        <w:rPr>
          <w:sz w:val="24"/>
          <w:szCs w:val="24"/>
          <w:lang w:val="ms-MY"/>
        </w:rPr>
        <w:t>iridilfosfonat</w:t>
      </w:r>
      <w:r w:rsidRPr="00E94067">
        <w:rPr>
          <w:sz w:val="24"/>
          <w:szCs w:val="24"/>
        </w:rPr>
        <w:t>)</w:t>
      </w:r>
    </w:p>
    <w:p w:rsidR="00BC5EEF" w:rsidRPr="00BC5EEF" w:rsidRDefault="00BC5EEF" w:rsidP="00BC5EEF">
      <w:pPr>
        <w:pStyle w:val="Normal1"/>
        <w:jc w:val="center"/>
        <w:rPr>
          <w:b/>
        </w:rPr>
      </w:pPr>
    </w:p>
    <w:p w:rsidR="00BC5EEF" w:rsidRPr="00DC3935" w:rsidRDefault="00BC5EEF" w:rsidP="00BC5EEF">
      <w:pPr>
        <w:pStyle w:val="Normal1"/>
        <w:jc w:val="center"/>
      </w:pPr>
      <w:r w:rsidRPr="00E94067">
        <w:t>Natsuhisa Oka</w:t>
      </w:r>
      <w:r w:rsidRPr="00E94067">
        <w:rPr>
          <w:vertAlign w:val="superscript"/>
        </w:rPr>
        <w:t>1,2</w:t>
      </w:r>
      <w:r w:rsidRPr="00BC5EEF">
        <w:t>*</w:t>
      </w:r>
      <w:r w:rsidRPr="00E94067">
        <w:t>, Kousuke Ito</w:t>
      </w:r>
      <w:r w:rsidRPr="00E94067">
        <w:rPr>
          <w:vertAlign w:val="superscript"/>
        </w:rPr>
        <w:t>1</w:t>
      </w:r>
      <w:r w:rsidRPr="00E94067">
        <w:t>, Kaori Ando</w:t>
      </w:r>
      <w:r w:rsidRPr="00E94067">
        <w:rPr>
          <w:vertAlign w:val="superscript"/>
        </w:rPr>
        <w:t>1</w:t>
      </w:r>
      <w:r w:rsidRPr="00DC3935">
        <w:t>*</w:t>
      </w:r>
    </w:p>
    <w:p w:rsidR="00BC5EEF" w:rsidRPr="00E94067" w:rsidRDefault="00BC5EEF" w:rsidP="00BC5EEF">
      <w:pPr>
        <w:pStyle w:val="Normal1"/>
        <w:jc w:val="center"/>
        <w:rPr>
          <w:b/>
          <w:sz w:val="18"/>
          <w:szCs w:val="18"/>
        </w:rPr>
      </w:pPr>
    </w:p>
    <w:p w:rsidR="00BC5EEF" w:rsidRPr="00E94067" w:rsidRDefault="00BC5EEF" w:rsidP="00BC5EEF">
      <w:pPr>
        <w:pStyle w:val="Normal1"/>
        <w:jc w:val="center"/>
        <w:rPr>
          <w:i/>
          <w:sz w:val="18"/>
          <w:szCs w:val="18"/>
        </w:rPr>
      </w:pPr>
      <w:r w:rsidRPr="00E94067">
        <w:rPr>
          <w:i/>
          <w:sz w:val="18"/>
          <w:szCs w:val="18"/>
          <w:vertAlign w:val="superscript"/>
        </w:rPr>
        <w:t>1</w:t>
      </w:r>
      <w:r w:rsidRPr="00E94067">
        <w:rPr>
          <w:i/>
          <w:sz w:val="18"/>
          <w:szCs w:val="18"/>
        </w:rPr>
        <w:t xml:space="preserve">Department of Chemistry and Biomolecular Science, </w:t>
      </w:r>
      <w:r>
        <w:rPr>
          <w:i/>
          <w:sz w:val="18"/>
          <w:szCs w:val="18"/>
        </w:rPr>
        <w:t>Faculty of Engineering</w:t>
      </w:r>
      <w:r w:rsidRPr="00E94067">
        <w:rPr>
          <w:i/>
          <w:sz w:val="18"/>
          <w:szCs w:val="18"/>
        </w:rPr>
        <w:t xml:space="preserve"> </w:t>
      </w:r>
    </w:p>
    <w:p w:rsidR="00BC5EEF" w:rsidRDefault="00BC5EEF" w:rsidP="00BC5EEF">
      <w:pPr>
        <w:pStyle w:val="Normal1"/>
        <w:jc w:val="center"/>
        <w:rPr>
          <w:i/>
          <w:sz w:val="18"/>
          <w:szCs w:val="18"/>
        </w:rPr>
      </w:pPr>
      <w:r w:rsidRPr="00E94067">
        <w:rPr>
          <w:i/>
          <w:sz w:val="18"/>
          <w:szCs w:val="18"/>
          <w:vertAlign w:val="superscript"/>
        </w:rPr>
        <w:t>2</w:t>
      </w:r>
      <w:r w:rsidRPr="00E94067">
        <w:rPr>
          <w:i/>
          <w:sz w:val="18"/>
          <w:szCs w:val="18"/>
        </w:rPr>
        <w:t>Center for Highly Advanced Integra</w:t>
      </w:r>
      <w:r>
        <w:rPr>
          <w:i/>
          <w:sz w:val="18"/>
          <w:szCs w:val="18"/>
        </w:rPr>
        <w:t>tion of Nano and Life Sciences</w:t>
      </w:r>
    </w:p>
    <w:p w:rsidR="00BC5EEF" w:rsidRPr="00E94067" w:rsidRDefault="00BC5EEF" w:rsidP="00BC5EEF">
      <w:pPr>
        <w:pStyle w:val="Normal1"/>
        <w:jc w:val="center"/>
        <w:rPr>
          <w:i/>
          <w:sz w:val="18"/>
          <w:szCs w:val="18"/>
        </w:rPr>
      </w:pPr>
      <w:r w:rsidRPr="00E94067">
        <w:rPr>
          <w:i/>
          <w:sz w:val="18"/>
          <w:szCs w:val="18"/>
        </w:rPr>
        <w:t>Gifu University</w:t>
      </w:r>
      <w:r>
        <w:rPr>
          <w:i/>
          <w:sz w:val="18"/>
          <w:szCs w:val="18"/>
        </w:rPr>
        <w:t xml:space="preserve">, </w:t>
      </w:r>
      <w:r w:rsidRPr="00E94067">
        <w:rPr>
          <w:i/>
          <w:sz w:val="18"/>
          <w:szCs w:val="18"/>
        </w:rPr>
        <w:t>1-1 Yanagido, Gifu 501-1193, Japan</w:t>
      </w:r>
    </w:p>
    <w:p w:rsidR="00BC5EEF" w:rsidRPr="00E94067" w:rsidRDefault="00BC5EEF" w:rsidP="00BC5EEF">
      <w:pPr>
        <w:pStyle w:val="Normal1"/>
        <w:jc w:val="center"/>
        <w:rPr>
          <w:b/>
          <w:sz w:val="18"/>
          <w:szCs w:val="18"/>
        </w:rPr>
      </w:pPr>
    </w:p>
    <w:p w:rsidR="00BC5EEF" w:rsidRPr="00E94067" w:rsidRDefault="00BC5EEF" w:rsidP="00BC5EEF">
      <w:pPr>
        <w:pStyle w:val="Normal1"/>
        <w:jc w:val="center"/>
        <w:rPr>
          <w:i/>
          <w:sz w:val="18"/>
          <w:szCs w:val="18"/>
        </w:rPr>
      </w:pPr>
      <w:r w:rsidRPr="00BC5EEF">
        <w:rPr>
          <w:i/>
          <w:sz w:val="18"/>
        </w:rPr>
        <w:t>*</w:t>
      </w:r>
      <w:r w:rsidRPr="00E94067">
        <w:rPr>
          <w:i/>
          <w:sz w:val="18"/>
        </w:rPr>
        <w:t>Corresponding author</w:t>
      </w:r>
      <w:r w:rsidR="00DC3935">
        <w:rPr>
          <w:i/>
          <w:sz w:val="18"/>
        </w:rPr>
        <w:t>s</w:t>
      </w:r>
      <w:r w:rsidRPr="00E94067">
        <w:rPr>
          <w:i/>
          <w:sz w:val="18"/>
        </w:rPr>
        <w:t xml:space="preserve">: </w:t>
      </w:r>
      <w:r w:rsidR="00DC3935">
        <w:rPr>
          <w:i/>
          <w:sz w:val="18"/>
        </w:rPr>
        <w:t xml:space="preserve">oka@gifu-u.ac.jp, </w:t>
      </w:r>
      <w:r>
        <w:rPr>
          <w:i/>
          <w:sz w:val="18"/>
        </w:rPr>
        <w:t xml:space="preserve"> </w:t>
      </w:r>
      <w:r w:rsidRPr="00E94067">
        <w:rPr>
          <w:i/>
          <w:sz w:val="18"/>
          <w:szCs w:val="18"/>
        </w:rPr>
        <w:t>ando@gifu-u.ac.jp</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837A6">
        <w:rPr>
          <w:rFonts w:ascii="Times New Roman" w:hAnsi="Times New Roman"/>
          <w:noProof/>
          <w:sz w:val="18"/>
          <w:szCs w:val="18"/>
          <w:lang w:bidi="ar-SA"/>
        </w:rPr>
        <w:t>31 March 2018</w:t>
      </w:r>
      <w:r>
        <w:rPr>
          <w:rFonts w:ascii="Times New Roman" w:hAnsi="Times New Roman"/>
          <w:noProof/>
          <w:sz w:val="18"/>
          <w:szCs w:val="18"/>
          <w:lang w:bidi="ar-SA"/>
        </w:rPr>
        <w:t xml:space="preserve">; Accepted: </w:t>
      </w:r>
      <w:r w:rsidR="001837A6">
        <w:rPr>
          <w:rFonts w:ascii="Times New Roman" w:hAnsi="Times New Roman"/>
          <w:noProof/>
          <w:sz w:val="18"/>
          <w:szCs w:val="18"/>
          <w:lang w:bidi="ar-SA"/>
        </w:rPr>
        <w:t>17 April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C5EEF" w:rsidRPr="00E94067" w:rsidRDefault="00BC5EEF" w:rsidP="00BC5EEF">
      <w:pPr>
        <w:pStyle w:val="Normal1"/>
        <w:rPr>
          <w:sz w:val="18"/>
          <w:szCs w:val="18"/>
        </w:rPr>
      </w:pPr>
      <w:r w:rsidRPr="00E94067">
        <w:rPr>
          <w:sz w:val="18"/>
          <w:szCs w:val="18"/>
        </w:rPr>
        <w:t>We studied the catalytic activity of diethyl pyridylphosphonates in the hydrosilylation of aldehydes using HSiCl</w:t>
      </w:r>
      <w:r w:rsidRPr="00E94067">
        <w:rPr>
          <w:sz w:val="18"/>
          <w:szCs w:val="18"/>
          <w:vertAlign w:val="subscript"/>
        </w:rPr>
        <w:t>3</w:t>
      </w:r>
      <w:r w:rsidRPr="00E94067">
        <w:rPr>
          <w:sz w:val="18"/>
          <w:szCs w:val="18"/>
        </w:rPr>
        <w:t xml:space="preserve"> as a hydride source. Diethyl 2-pyridylphosphonate was found to be a good catalyst, while 2-pyridylthiophosphonate, 3- and 4-pyridylphosphonates, and phenylphosphonate showed much lower catalytic activity. </w:t>
      </w:r>
      <w:r>
        <w:rPr>
          <w:sz w:val="18"/>
          <w:szCs w:val="18"/>
        </w:rPr>
        <w:t xml:space="preserve"> </w:t>
      </w:r>
      <w:r w:rsidRPr="00E94067">
        <w:rPr>
          <w:sz w:val="18"/>
          <w:szCs w:val="18"/>
        </w:rPr>
        <w:t xml:space="preserve">The </w:t>
      </w:r>
      <w:r>
        <w:rPr>
          <w:sz w:val="18"/>
          <w:szCs w:val="18"/>
        </w:rPr>
        <w:t xml:space="preserve"> </w:t>
      </w:r>
      <w:r w:rsidRPr="00E94067">
        <w:rPr>
          <w:sz w:val="18"/>
          <w:szCs w:val="18"/>
        </w:rPr>
        <w:t xml:space="preserve">study </w:t>
      </w:r>
      <w:r>
        <w:rPr>
          <w:sz w:val="18"/>
          <w:szCs w:val="18"/>
        </w:rPr>
        <w:t xml:space="preserve"> </w:t>
      </w:r>
      <w:r w:rsidRPr="00E94067">
        <w:rPr>
          <w:sz w:val="18"/>
          <w:szCs w:val="18"/>
        </w:rPr>
        <w:t xml:space="preserve">shows </w:t>
      </w:r>
      <w:r>
        <w:rPr>
          <w:sz w:val="18"/>
          <w:szCs w:val="18"/>
        </w:rPr>
        <w:t xml:space="preserve"> </w:t>
      </w:r>
      <w:r w:rsidRPr="00E94067">
        <w:rPr>
          <w:sz w:val="18"/>
          <w:szCs w:val="18"/>
        </w:rPr>
        <w:t xml:space="preserve">that </w:t>
      </w:r>
      <w:r>
        <w:rPr>
          <w:sz w:val="18"/>
          <w:szCs w:val="18"/>
        </w:rPr>
        <w:t xml:space="preserve"> </w:t>
      </w:r>
      <w:r w:rsidRPr="00E94067">
        <w:rPr>
          <w:sz w:val="18"/>
          <w:szCs w:val="18"/>
        </w:rPr>
        <w:t>diethyl 2-pyridylphosphonate works as a bidentate Lewis base catalyst to activate HSiCl</w:t>
      </w:r>
      <w:r w:rsidRPr="00E94067">
        <w:rPr>
          <w:sz w:val="18"/>
          <w:szCs w:val="18"/>
          <w:vertAlign w:val="subscript"/>
        </w:rPr>
        <w:t>3</w:t>
      </w:r>
      <w:r w:rsidRPr="00E94067">
        <w:rPr>
          <w:sz w:val="18"/>
          <w:szCs w:val="18"/>
        </w:rPr>
        <w:t xml:space="preserve">. A complete chemoselective hydrosilylation of benzaldehyde in the presence of acetophenone was also demonstrated. </w:t>
      </w:r>
    </w:p>
    <w:p w:rsidR="00BC5EEF" w:rsidRPr="00E94067" w:rsidRDefault="00BC5EEF" w:rsidP="00BC5EEF">
      <w:pPr>
        <w:pStyle w:val="Normal1"/>
        <w:rPr>
          <w:sz w:val="18"/>
          <w:szCs w:val="18"/>
        </w:rPr>
      </w:pPr>
    </w:p>
    <w:p w:rsidR="00BC5EEF" w:rsidRPr="00E94067" w:rsidRDefault="00BC5EEF" w:rsidP="00BC5EEF">
      <w:pPr>
        <w:pStyle w:val="Normal1"/>
        <w:rPr>
          <w:sz w:val="18"/>
          <w:szCs w:val="18"/>
        </w:rPr>
      </w:pPr>
      <w:r w:rsidRPr="00E94067">
        <w:rPr>
          <w:b/>
          <w:sz w:val="18"/>
          <w:szCs w:val="18"/>
        </w:rPr>
        <w:t>Keywords:</w:t>
      </w:r>
      <w:r w:rsidRPr="00E94067">
        <w:rPr>
          <w:sz w:val="18"/>
          <w:szCs w:val="18"/>
        </w:rPr>
        <w:t xml:space="preserve"> </w:t>
      </w:r>
      <w:r>
        <w:rPr>
          <w:sz w:val="18"/>
          <w:szCs w:val="18"/>
        </w:rPr>
        <w:t xml:space="preserve"> h</w:t>
      </w:r>
      <w:r w:rsidRPr="00E94067">
        <w:rPr>
          <w:sz w:val="18"/>
          <w:szCs w:val="18"/>
        </w:rPr>
        <w:t>ydrosilylation, aldehyde, pyridyl, phosphonate, chemoselective</w:t>
      </w:r>
    </w:p>
    <w:p w:rsidR="00BC5EEF" w:rsidRPr="00E94067" w:rsidRDefault="00BC5EEF" w:rsidP="00BC5EEF">
      <w:pPr>
        <w:pStyle w:val="Normal1"/>
        <w:jc w:val="center"/>
        <w:rPr>
          <w:sz w:val="18"/>
          <w:szCs w:val="18"/>
        </w:rPr>
      </w:pPr>
    </w:p>
    <w:p w:rsidR="00BC5EEF" w:rsidRPr="00E94067" w:rsidRDefault="00BC5EEF" w:rsidP="00BC5EEF">
      <w:pPr>
        <w:pStyle w:val="Normal1"/>
        <w:jc w:val="center"/>
        <w:rPr>
          <w:b/>
          <w:sz w:val="18"/>
          <w:szCs w:val="18"/>
          <w:lang w:val="ms-MY"/>
        </w:rPr>
      </w:pPr>
      <w:r w:rsidRPr="00E94067">
        <w:rPr>
          <w:b/>
          <w:sz w:val="18"/>
          <w:szCs w:val="18"/>
          <w:lang w:val="ms-MY"/>
        </w:rPr>
        <w:t>Abstrak</w:t>
      </w:r>
    </w:p>
    <w:p w:rsidR="00BC5EEF" w:rsidRPr="00E94067" w:rsidRDefault="00BC5EEF" w:rsidP="00BC5EEF">
      <w:pPr>
        <w:pStyle w:val="Normal1"/>
        <w:rPr>
          <w:sz w:val="18"/>
          <w:szCs w:val="18"/>
          <w:lang w:val="ms-MY"/>
        </w:rPr>
      </w:pPr>
      <w:r w:rsidRPr="00E94067">
        <w:rPr>
          <w:sz w:val="18"/>
          <w:szCs w:val="18"/>
          <w:lang w:val="ms-MY"/>
        </w:rPr>
        <w:t>Kami mengkaji aktiviti pemangkinan dietil piridilfosfonat di dalam hidrosililasi aldehida telah dikaji dalam makalah ini menggunakan HSiCl</w:t>
      </w:r>
      <w:r w:rsidRPr="00E94067">
        <w:rPr>
          <w:sz w:val="18"/>
          <w:szCs w:val="18"/>
          <w:vertAlign w:val="subscript"/>
          <w:lang w:val="ms-MY"/>
        </w:rPr>
        <w:t>3</w:t>
      </w:r>
      <w:r w:rsidRPr="00E94067">
        <w:rPr>
          <w:sz w:val="18"/>
          <w:szCs w:val="18"/>
          <w:lang w:val="ms-MY"/>
        </w:rPr>
        <w:t xml:space="preserve"> sebagai sumber hidrida. Dietil 2-piridilfosfonat didapati merupakan pemangkin yang baik sementara 2-piridiltiolfosfonat, 3- dan 4- piridilfosfonat, dan fenilfosfonat menunjukkan aktiviti pemangkinan yang lebih rendah. Kajian ini menunjukkan dietil 2-piridilfosfonat berfungsi sebagai pemangkin Lewis bes bidentat untuk mengaktifkan HSiCl</w:t>
      </w:r>
      <w:r w:rsidRPr="00E94067">
        <w:rPr>
          <w:sz w:val="18"/>
          <w:szCs w:val="18"/>
          <w:vertAlign w:val="subscript"/>
          <w:lang w:val="ms-MY"/>
        </w:rPr>
        <w:t>3</w:t>
      </w:r>
      <w:r w:rsidRPr="00E94067">
        <w:rPr>
          <w:sz w:val="18"/>
          <w:szCs w:val="18"/>
          <w:lang w:val="ms-MY"/>
        </w:rPr>
        <w:t>. Satu hidrosililasi kemoselektif lengkap benzaldehida dengan kewujudan asetofenon juga telah dapat ditunjukkan dalam kajian ini.</w:t>
      </w:r>
    </w:p>
    <w:p w:rsidR="00BC5EEF" w:rsidRPr="00E94067" w:rsidRDefault="00BC5EEF" w:rsidP="00BC5EEF">
      <w:pPr>
        <w:pStyle w:val="Normal1"/>
        <w:rPr>
          <w:sz w:val="18"/>
          <w:szCs w:val="18"/>
          <w:lang w:val="ms-MY"/>
        </w:rPr>
      </w:pPr>
    </w:p>
    <w:p w:rsidR="00BC5EEF" w:rsidRPr="00E94067" w:rsidRDefault="00BC5EEF" w:rsidP="00BC5EEF">
      <w:pPr>
        <w:pStyle w:val="Normal1"/>
        <w:rPr>
          <w:sz w:val="18"/>
          <w:szCs w:val="18"/>
          <w:lang w:val="ms-MY"/>
        </w:rPr>
      </w:pPr>
      <w:r w:rsidRPr="00E94067">
        <w:rPr>
          <w:b/>
          <w:sz w:val="18"/>
          <w:szCs w:val="18"/>
          <w:lang w:val="ms-MY"/>
        </w:rPr>
        <w:t>Kata kunci:</w:t>
      </w:r>
      <w:r w:rsidRPr="00E94067">
        <w:rPr>
          <w:sz w:val="18"/>
          <w:szCs w:val="18"/>
          <w:lang w:val="ms-MY"/>
        </w:rPr>
        <w:t xml:space="preserve"> </w:t>
      </w:r>
      <w:r>
        <w:rPr>
          <w:sz w:val="18"/>
          <w:szCs w:val="18"/>
          <w:lang w:val="ms-MY"/>
        </w:rPr>
        <w:t xml:space="preserve"> h</w:t>
      </w:r>
      <w:r w:rsidRPr="00E94067">
        <w:rPr>
          <w:sz w:val="18"/>
          <w:szCs w:val="18"/>
          <w:lang w:val="ms-MY"/>
        </w:rPr>
        <w:t>idrosililasi, aldehida, piridil, fosfonat, kemoselektif</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C5EEF" w:rsidRDefault="00BC5EEF" w:rsidP="00BC5EEF">
      <w:pPr>
        <w:pStyle w:val="Normal1"/>
      </w:pPr>
      <w:r w:rsidRPr="00E94067">
        <w:t>Lewis base-catalyzed metal-free hydrosilylation is a useful alternative to the reduction using metal hydrides and transition metal-catalyzed hydrogenation. It is often used for the chemoselective reduction of aldehydes, ketones, and imines to the corresponding alcohols and amines in the presence of various functional groups which are susceptible to other kinds of reducing agents. Many kinds of Lewis base catalysts have been developed for this reaction so far [1-8]. However, there is still a need for the development of new catalysts with improved activity and selectivity.</w:t>
      </w:r>
    </w:p>
    <w:p w:rsidR="00BC5EEF" w:rsidRDefault="00BC5EEF" w:rsidP="00BC5EEF">
      <w:pPr>
        <w:pStyle w:val="Normal1"/>
      </w:pPr>
    </w:p>
    <w:p w:rsidR="00BC5EEF" w:rsidRPr="00E94067" w:rsidRDefault="00BC5EEF" w:rsidP="00BC5EEF">
      <w:pPr>
        <w:pStyle w:val="Normal1"/>
      </w:pPr>
      <w:r w:rsidRPr="00E94067">
        <w:t xml:space="preserve">In order to develop a new class of Lewis base catalyst, we focused on pyridylphosphonate derivatives [9]. A variety of Lewis base catalysts carrying pyridyl or P=O groups have been developed and applied to the hydrosilylation of aldehydes, ketones, and imines [10-18]. Both functional groups are usually used in combination with other kinds of coordinating groups such as carbonyl groups in the design of Lewis base catalysts. However, the combination of </w:t>
      </w:r>
      <w:r w:rsidRPr="00E94067">
        <w:lastRenderedPageBreak/>
        <w:t xml:space="preserve">pyridyl and P=O groups has been scarcely used and, to the best of our knowledge, pyridylphosphonates have not yet been studied for their catalytic activity. We have recently directed our efforts to the synthesis of 2-pyridylphosphonates and 2-pyridylphosphinates [19-20]. These compounds can be easily synthesized from low-cost starting materials, </w:t>
      </w:r>
      <w:r w:rsidRPr="00E94067">
        <w:rPr>
          <w:i/>
        </w:rPr>
        <w:t>H</w:t>
      </w:r>
      <w:r w:rsidRPr="00E94067">
        <w:t xml:space="preserve">-phosphonates and </w:t>
      </w:r>
      <w:r w:rsidRPr="00E94067">
        <w:rPr>
          <w:i/>
        </w:rPr>
        <w:t>N</w:t>
      </w:r>
      <w:r w:rsidRPr="00E94067">
        <w:t>-methoxypyridinium salts [9,</w:t>
      </w:r>
      <w:r>
        <w:t xml:space="preserve"> </w:t>
      </w:r>
      <w:r w:rsidRPr="00E94067">
        <w:t>21-23] and thus can be cost-effective catalysts. In this study, we investigated the potential of diethyl</w:t>
      </w:r>
      <w:r>
        <w:t xml:space="preserve"> </w:t>
      </w:r>
      <w:r w:rsidRPr="00E94067">
        <w:t>2-pyridylphosphonate and some relevant phosphonates as Lewis base catalysts in the hydrosilylation of aldehydes.</w:t>
      </w:r>
    </w:p>
    <w:p w:rsidR="00BC5EEF" w:rsidRPr="00E94067" w:rsidRDefault="00BC5EEF" w:rsidP="00BC5EEF">
      <w:pPr>
        <w:pStyle w:val="Normal1"/>
        <w:jc w:val="center"/>
      </w:pPr>
    </w:p>
    <w:p w:rsidR="00BC5EEF" w:rsidRPr="00E94067" w:rsidRDefault="00BC5EEF" w:rsidP="00BC5EEF">
      <w:pPr>
        <w:pStyle w:val="Normal1"/>
        <w:jc w:val="center"/>
        <w:rPr>
          <w:b/>
        </w:rPr>
      </w:pPr>
      <w:r w:rsidRPr="00E94067">
        <w:rPr>
          <w:b/>
        </w:rPr>
        <w:t>Materials and Methods</w:t>
      </w:r>
    </w:p>
    <w:p w:rsidR="00BC5EEF" w:rsidRDefault="00BC5EEF" w:rsidP="00BC5EEF">
      <w:pPr>
        <w:pStyle w:val="Normal1"/>
        <w:rPr>
          <w:b/>
        </w:rPr>
      </w:pPr>
      <w:r w:rsidRPr="00E94067">
        <w:rPr>
          <w:b/>
        </w:rPr>
        <w:t>General information</w:t>
      </w:r>
    </w:p>
    <w:p w:rsidR="00BC5EEF" w:rsidRDefault="00BC5EEF" w:rsidP="00BC5EEF">
      <w:pPr>
        <w:pStyle w:val="Normal1"/>
        <w:rPr>
          <w:b/>
        </w:rPr>
      </w:pPr>
      <w:r w:rsidRPr="00E94067">
        <w:t>Commercially available reagents were used without purification. Dry organic solvents were prepared by appropriate procedures prior to use. The other organic solvents were reagent grade and used as received. All reactions in dry solvents were carried out under argon. Analytical thin-layer chromatography (TLC) was performed on Merck TLC plates (No. 5715) precoated with silica gel 60 F</w:t>
      </w:r>
      <w:r w:rsidRPr="00E94067">
        <w:rPr>
          <w:vertAlign w:val="subscript"/>
        </w:rPr>
        <w:t>254</w:t>
      </w:r>
      <w:r w:rsidRPr="00E94067">
        <w:t xml:space="preserve">. Column chromatography on silica gel was carried out using Kanto silica gel 60N (spherical, neutral, 63–210 </w:t>
      </w:r>
      <w:r w:rsidRPr="00E94067">
        <w:rPr>
          <w:highlight w:val="white"/>
        </w:rPr>
        <w:t>μ</w:t>
      </w:r>
      <w:r w:rsidRPr="00E94067">
        <w:t xml:space="preserve">m). The </w:t>
      </w:r>
      <w:r w:rsidRPr="00E94067">
        <w:rPr>
          <w:vertAlign w:val="superscript"/>
        </w:rPr>
        <w:t>1</w:t>
      </w:r>
      <w:r w:rsidRPr="00E94067">
        <w:t xml:space="preserve">H (400 MHz) spectra were recorded on a JNM-ECS-400 spectrometer (JEOL). Diethyl 2-pyridylphosphonate </w:t>
      </w:r>
      <w:r w:rsidRPr="00E94067">
        <w:rPr>
          <w:b/>
        </w:rPr>
        <w:t>1a</w:t>
      </w:r>
      <w:r w:rsidRPr="00E94067">
        <w:t xml:space="preserve"> [23], diethyl 2-pyridylthiophosphonate </w:t>
      </w:r>
      <w:r w:rsidRPr="00E94067">
        <w:rPr>
          <w:b/>
        </w:rPr>
        <w:t>1b</w:t>
      </w:r>
      <w:r w:rsidRPr="00E94067">
        <w:t xml:space="preserve"> [24], diethyl 3-pyridylphosphonate </w:t>
      </w:r>
      <w:r w:rsidRPr="00E94067">
        <w:rPr>
          <w:b/>
        </w:rPr>
        <w:t>2</w:t>
      </w:r>
      <w:r w:rsidRPr="00E94067">
        <w:t xml:space="preserve"> [25], and diethyl 4-pyridylphosphonate </w:t>
      </w:r>
      <w:r w:rsidRPr="00E94067">
        <w:rPr>
          <w:b/>
        </w:rPr>
        <w:t>3</w:t>
      </w:r>
      <w:r w:rsidRPr="00E94067">
        <w:t xml:space="preserve"> [26] were synthesized according to the procedures reported in the literature.</w:t>
      </w:r>
    </w:p>
    <w:p w:rsidR="00BC5EEF" w:rsidRDefault="00BC5EEF" w:rsidP="00BC5EEF">
      <w:pPr>
        <w:pStyle w:val="Normal1"/>
        <w:rPr>
          <w:b/>
        </w:rPr>
      </w:pPr>
    </w:p>
    <w:p w:rsidR="00BC5EEF" w:rsidRDefault="00BC5EEF" w:rsidP="00BC5EEF">
      <w:pPr>
        <w:pStyle w:val="Normal1"/>
        <w:rPr>
          <w:b/>
        </w:rPr>
      </w:pPr>
      <w:r w:rsidRPr="00E94067">
        <w:rPr>
          <w:b/>
        </w:rPr>
        <w:t>General procedure for the hydrosilylation of aldehydes</w:t>
      </w:r>
    </w:p>
    <w:p w:rsidR="00BC5EEF" w:rsidRPr="00E94067" w:rsidRDefault="00BC5EEF" w:rsidP="00BC5EEF">
      <w:pPr>
        <w:pStyle w:val="Normal1"/>
        <w:rPr>
          <w:b/>
        </w:rPr>
      </w:pPr>
      <w:r w:rsidRPr="00E94067">
        <w:t>An aldehyde (1.0 mmol) and HSiCl</w:t>
      </w:r>
      <w:r w:rsidRPr="00E94067">
        <w:rPr>
          <w:vertAlign w:val="subscript"/>
        </w:rPr>
        <w:t>3</w:t>
      </w:r>
      <w:r w:rsidRPr="00E94067">
        <w:t xml:space="preserve"> (1.2 or 2.0 mmol) were added dropwise to a solution of </w:t>
      </w:r>
      <w:r w:rsidRPr="00E94067">
        <w:rPr>
          <w:b/>
        </w:rPr>
        <w:t>1a</w:t>
      </w:r>
      <w:r w:rsidRPr="00E94067">
        <w:t xml:space="preserve"> (0.20 mmol) in dry CH</w:t>
      </w:r>
      <w:r w:rsidRPr="00E94067">
        <w:rPr>
          <w:vertAlign w:val="subscript"/>
        </w:rPr>
        <w:t>2</w:t>
      </w:r>
      <w:r w:rsidRPr="00E94067">
        <w:t>Cl</w:t>
      </w:r>
      <w:r w:rsidRPr="00E94067">
        <w:rPr>
          <w:vertAlign w:val="subscript"/>
        </w:rPr>
        <w:t>2</w:t>
      </w:r>
      <w:r w:rsidRPr="00E94067">
        <w:t xml:space="preserve"> (2.0 mL) under stirring at RT and stirring was continued for 20 h</w:t>
      </w:r>
      <w:r>
        <w:t>ours</w:t>
      </w:r>
      <w:r w:rsidRPr="00E94067">
        <w:t>. The mixture was then washed with a 1 M aqueous solution of HCl (10 mL). The aqueous layer was extracted with CH</w:t>
      </w:r>
      <w:r w:rsidRPr="00E94067">
        <w:rPr>
          <w:vertAlign w:val="subscript"/>
        </w:rPr>
        <w:t>2</w:t>
      </w:r>
      <w:r w:rsidRPr="00E94067">
        <w:t>Cl</w:t>
      </w:r>
      <w:r w:rsidRPr="00E94067">
        <w:rPr>
          <w:vertAlign w:val="subscript"/>
        </w:rPr>
        <w:t>2</w:t>
      </w:r>
      <w:r w:rsidRPr="00E94067">
        <w:t xml:space="preserve"> (5 × 10 mL). The organic layers were combined, dried over Na</w:t>
      </w:r>
      <w:r w:rsidRPr="00E94067">
        <w:rPr>
          <w:vertAlign w:val="subscript"/>
        </w:rPr>
        <w:t>2</w:t>
      </w:r>
      <w:r w:rsidRPr="00E94067">
        <w:t>SO</w:t>
      </w:r>
      <w:r w:rsidRPr="00E94067">
        <w:rPr>
          <w:vertAlign w:val="subscript"/>
        </w:rPr>
        <w:t>4</w:t>
      </w:r>
      <w:r w:rsidRPr="00E94067">
        <w:t xml:space="preserve">, filtered, and concentrated under reduced pressure. The residue was then purified by column chromatography on silica gel (hexane/ethyl acetate) to afford the corresponding alcohols in 27%–94% yield. </w:t>
      </w:r>
      <w:r w:rsidRPr="00E94067">
        <w:rPr>
          <w:highlight w:val="white"/>
        </w:rPr>
        <w:t>I</w:t>
      </w:r>
      <w:r w:rsidRPr="00E94067">
        <w:t xml:space="preserve">dentities of the products were confirmed by comparison of </w:t>
      </w:r>
      <w:r w:rsidRPr="00E94067">
        <w:rPr>
          <w:vertAlign w:val="superscript"/>
        </w:rPr>
        <w:t>1</w:t>
      </w:r>
      <w:r w:rsidRPr="00E94067">
        <w:t>H NMR data with those of commercial samples.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C5EEF" w:rsidRPr="00BC5EEF" w:rsidRDefault="00BC5EEF" w:rsidP="00BC5EEF">
      <w:pPr>
        <w:pStyle w:val="Normal1"/>
      </w:pPr>
      <w:r w:rsidRPr="00BC5EEF">
        <w:t>Initially, we examined the hydrosilylation of benzaldehyde using HSiCl</w:t>
      </w:r>
      <w:r w:rsidRPr="00BC5EEF">
        <w:rPr>
          <w:vertAlign w:val="subscript"/>
        </w:rPr>
        <w:t>3</w:t>
      </w:r>
      <w:r w:rsidRPr="00BC5EEF">
        <w:t xml:space="preserve"> and diethyl 2-pyridylphosphonate </w:t>
      </w:r>
      <w:r w:rsidRPr="00BC5EEF">
        <w:rPr>
          <w:b/>
        </w:rPr>
        <w:t>1a</w:t>
      </w:r>
      <w:r w:rsidRPr="00BC5EEF">
        <w:t xml:space="preserve"> as a reducing agent and a catalyst, respectively (Figure 1 and Table 1). As shown in entries 1 and 2, benzaldehyde was completely reduced in the presence of 2 equiv. of HSiCl</w:t>
      </w:r>
      <w:r w:rsidRPr="00BC5EEF">
        <w:rPr>
          <w:vertAlign w:val="subscript"/>
        </w:rPr>
        <w:t>3</w:t>
      </w:r>
      <w:r w:rsidRPr="00BC5EEF">
        <w:t xml:space="preserve"> and 20 mol% of </w:t>
      </w:r>
      <w:r w:rsidRPr="00BC5EEF">
        <w:rPr>
          <w:b/>
        </w:rPr>
        <w:t>1a</w:t>
      </w:r>
      <w:r w:rsidRPr="00BC5EEF">
        <w:t xml:space="preserve"> in CH</w:t>
      </w:r>
      <w:r w:rsidRPr="00BC5EEF">
        <w:rPr>
          <w:vertAlign w:val="subscript"/>
        </w:rPr>
        <w:t>2</w:t>
      </w:r>
      <w:r w:rsidRPr="00BC5EEF">
        <w:t>Cl</w:t>
      </w:r>
      <w:r w:rsidRPr="00BC5EEF">
        <w:rPr>
          <w:vertAlign w:val="subscript"/>
        </w:rPr>
        <w:t>2</w:t>
      </w:r>
      <w:r w:rsidRPr="00BC5EEF">
        <w:t xml:space="preserve"> at RT within 20 h and benzyl alcohol was isolated in 70% yield. The reaction was also practically completed in CHCl</w:t>
      </w:r>
      <w:r w:rsidRPr="00BC5EEF">
        <w:rPr>
          <w:vertAlign w:val="subscript"/>
        </w:rPr>
        <w:t>3</w:t>
      </w:r>
      <w:r w:rsidRPr="00BC5EEF">
        <w:t>, Et</w:t>
      </w:r>
      <w:r w:rsidRPr="00BC5EEF">
        <w:rPr>
          <w:vertAlign w:val="subscript"/>
        </w:rPr>
        <w:t>2</w:t>
      </w:r>
      <w:r w:rsidRPr="00BC5EEF">
        <w:t xml:space="preserve">O, and toluene under </w:t>
      </w:r>
      <w:r w:rsidR="00C92AD4">
        <w:t xml:space="preserve"> </w:t>
      </w:r>
      <w:r w:rsidRPr="00BC5EEF">
        <w:t xml:space="preserve">the </w:t>
      </w:r>
      <w:r w:rsidR="00C92AD4">
        <w:t xml:space="preserve"> </w:t>
      </w:r>
      <w:r w:rsidRPr="00BC5EEF">
        <w:t xml:space="preserve">same </w:t>
      </w:r>
      <w:r w:rsidR="00C92AD4">
        <w:t xml:space="preserve"> </w:t>
      </w:r>
      <w:r w:rsidRPr="00BC5EEF">
        <w:t>conditions</w:t>
      </w:r>
      <w:r w:rsidR="00C92AD4">
        <w:t xml:space="preserve"> </w:t>
      </w:r>
      <w:r w:rsidRPr="00BC5EEF">
        <w:t xml:space="preserve"> (entries 3–5). </w:t>
      </w:r>
      <w:r w:rsidR="00C92AD4">
        <w:t xml:space="preserve"> </w:t>
      </w:r>
      <w:r w:rsidRPr="00BC5EEF">
        <w:t>It</w:t>
      </w:r>
      <w:r w:rsidR="00C92AD4">
        <w:t xml:space="preserve"> </w:t>
      </w:r>
      <w:r w:rsidRPr="00BC5EEF">
        <w:t xml:space="preserve"> was </w:t>
      </w:r>
      <w:r w:rsidR="00C92AD4">
        <w:t xml:space="preserve"> </w:t>
      </w:r>
      <w:r w:rsidRPr="00BC5EEF">
        <w:t xml:space="preserve">found </w:t>
      </w:r>
      <w:r w:rsidR="00C92AD4">
        <w:t xml:space="preserve"> </w:t>
      </w:r>
      <w:r w:rsidRPr="00BC5EEF">
        <w:t>that</w:t>
      </w:r>
      <w:r w:rsidR="00C92AD4">
        <w:t xml:space="preserve"> </w:t>
      </w:r>
      <w:r w:rsidRPr="00BC5EEF">
        <w:t xml:space="preserve"> the reaction was slower in toluene than in CH</w:t>
      </w:r>
      <w:r w:rsidRPr="00BC5EEF">
        <w:rPr>
          <w:vertAlign w:val="subscript"/>
        </w:rPr>
        <w:t>2</w:t>
      </w:r>
      <w:r w:rsidRPr="00BC5EEF">
        <w:t>Cl</w:t>
      </w:r>
      <w:r w:rsidRPr="00BC5EEF">
        <w:rPr>
          <w:vertAlign w:val="subscript"/>
        </w:rPr>
        <w:t>2</w:t>
      </w:r>
      <w:r w:rsidRPr="00BC5EEF">
        <w:t xml:space="preserve"> by reducing the catalyst loading from</w:t>
      </w:r>
      <w:r w:rsidR="00C92AD4">
        <w:t xml:space="preserve"> 20 mol% to 10 mol% (entries 6, </w:t>
      </w:r>
      <w:r w:rsidRPr="00BC5EEF">
        <w:t xml:space="preserve">7). </w:t>
      </w:r>
      <w:r w:rsidR="00C92AD4">
        <w:t xml:space="preserve"> </w:t>
      </w:r>
      <w:r w:rsidRPr="00BC5EEF">
        <w:t xml:space="preserve">Next, we used diethyl 2-pyridylthiophosphonate </w:t>
      </w:r>
      <w:r w:rsidRPr="00BC5EEF">
        <w:rPr>
          <w:b/>
        </w:rPr>
        <w:t>1b</w:t>
      </w:r>
      <w:r w:rsidRPr="00BC5EEF">
        <w:t xml:space="preserve">, diethyl 3-pyridylphosphonate </w:t>
      </w:r>
      <w:r w:rsidRPr="00BC5EEF">
        <w:rPr>
          <w:b/>
        </w:rPr>
        <w:t>2</w:t>
      </w:r>
      <w:r w:rsidRPr="00BC5EEF">
        <w:t xml:space="preserve">, diethyl 4-pyridylphosphonate </w:t>
      </w:r>
      <w:r w:rsidRPr="00BC5EEF">
        <w:rPr>
          <w:b/>
        </w:rPr>
        <w:t>3</w:t>
      </w:r>
      <w:r w:rsidRPr="00BC5EEF">
        <w:t xml:space="preserve">, diethyl phenylphosphonate </w:t>
      </w:r>
      <w:r w:rsidRPr="00BC5EEF">
        <w:rPr>
          <w:b/>
        </w:rPr>
        <w:t>4</w:t>
      </w:r>
      <w:r w:rsidRPr="00BC5EEF">
        <w:t xml:space="preserve">, and pyridine as catalysts in place of </w:t>
      </w:r>
      <w:r w:rsidRPr="00BC5EEF">
        <w:rPr>
          <w:b/>
        </w:rPr>
        <w:t>1a</w:t>
      </w:r>
      <w:r w:rsidRPr="00BC5EEF">
        <w:t xml:space="preserve"> to investigate the structure–activity relationship of the catalyst (entries 8–13). The lower conversion of benzaldehyde (8%–47%) shows that these catalysts are much less effective than </w:t>
      </w:r>
      <w:r w:rsidRPr="00BC5EEF">
        <w:rPr>
          <w:b/>
        </w:rPr>
        <w:t>1a</w:t>
      </w:r>
      <w:r w:rsidRPr="00BC5EEF">
        <w:t xml:space="preserve"> in this reaction. These results also indicate that </w:t>
      </w:r>
      <w:r w:rsidRPr="00BC5EEF">
        <w:rPr>
          <w:b/>
        </w:rPr>
        <w:t>1a</w:t>
      </w:r>
      <w:r w:rsidRPr="00BC5EEF">
        <w:t xml:space="preserve"> promotes the reaction as a bidentate Lewis base catalyst which coordinates to the silicon atom of HSiCl</w:t>
      </w:r>
      <w:r w:rsidRPr="00BC5EEF">
        <w:rPr>
          <w:vertAlign w:val="subscript"/>
        </w:rPr>
        <w:t>3</w:t>
      </w:r>
      <w:r w:rsidRPr="00BC5EEF">
        <w:t xml:space="preserve"> with its 2-pyridyl and P=O groups. The catalyst activity of </w:t>
      </w:r>
      <w:r w:rsidRPr="00BC5EEF">
        <w:rPr>
          <w:b/>
        </w:rPr>
        <w:t>1b</w:t>
      </w:r>
      <w:r w:rsidRPr="00BC5EEF">
        <w:t xml:space="preserve"> is much lower (entry 8) because the coordination of the soft sulfur to the hard silicon of HSiCl</w:t>
      </w:r>
      <w:r w:rsidRPr="00BC5EEF">
        <w:rPr>
          <w:vertAlign w:val="subscript"/>
        </w:rPr>
        <w:t>3</w:t>
      </w:r>
      <w:r w:rsidRPr="00BC5EEF">
        <w:t xml:space="preserve"> is weaker than that of the hard oxygen of </w:t>
      </w:r>
      <w:r w:rsidRPr="00BC5EEF">
        <w:rPr>
          <w:b/>
        </w:rPr>
        <w:t>1a</w:t>
      </w:r>
      <w:r w:rsidRPr="00BC5EEF">
        <w:t xml:space="preserve"> [27,28]. Compounds </w:t>
      </w:r>
      <w:r w:rsidRPr="00BC5EEF">
        <w:rPr>
          <w:b/>
        </w:rPr>
        <w:t>2</w:t>
      </w:r>
      <w:r w:rsidRPr="00BC5EEF">
        <w:t xml:space="preserve"> and </w:t>
      </w:r>
      <w:r w:rsidRPr="00BC5EEF">
        <w:rPr>
          <w:b/>
        </w:rPr>
        <w:t>3</w:t>
      </w:r>
      <w:r w:rsidRPr="00BC5EEF">
        <w:t xml:space="preserve"> cannot work as bidentate Lewis bases due to their structural limitations. The low conversions by </w:t>
      </w:r>
      <w:r w:rsidRPr="00BC5EEF">
        <w:rPr>
          <w:b/>
        </w:rPr>
        <w:t>4</w:t>
      </w:r>
      <w:r w:rsidRPr="00BC5EEF">
        <w:t xml:space="preserve"> and pyridine even with 40 mol% catalyst loading (entries 11–13) show that the pyridyl and phosphonate groups do not promote the reaction effectively when they work independently. It was also confirmed that the reaction did not proceed at all without catalyst (entry 14). Finally, the isolated yield of benzyl alcohol was improved from 70% to 80% as the amount of HSiCl</w:t>
      </w:r>
      <w:r w:rsidRPr="00BC5EEF">
        <w:rPr>
          <w:vertAlign w:val="subscript"/>
        </w:rPr>
        <w:t>3</w:t>
      </w:r>
      <w:r w:rsidRPr="00BC5EEF">
        <w:t xml:space="preserve"> was reduced from 2.0 equiv. to 1.2 equiv. It is because the amount of polysiloxane produced by the hydrolysis of HSiCl</w:t>
      </w:r>
      <w:r w:rsidRPr="00BC5EEF">
        <w:rPr>
          <w:vertAlign w:val="subscript"/>
        </w:rPr>
        <w:t xml:space="preserve">3 </w:t>
      </w:r>
      <w:r w:rsidRPr="00BC5EEF">
        <w:t>during aqueous workup was reduced and the isolation of the product became easier (entries 2 and 15).</w:t>
      </w:r>
    </w:p>
    <w:p w:rsidR="00BC5EEF" w:rsidRPr="00BC5EEF" w:rsidRDefault="00BC5EEF" w:rsidP="00BC5EEF">
      <w:pPr>
        <w:pStyle w:val="Normal1"/>
      </w:pPr>
    </w:p>
    <w:p w:rsidR="00BC5EEF" w:rsidRPr="00BC5EEF" w:rsidRDefault="00BC5EEF" w:rsidP="00C92AD4">
      <w:pPr>
        <w:pStyle w:val="Normal1"/>
        <w:spacing w:after="120"/>
        <w:jc w:val="center"/>
      </w:pPr>
      <w:r w:rsidRPr="00BC5EEF">
        <w:rPr>
          <w:noProof/>
          <w:lang w:eastAsia="en-US"/>
        </w:rPr>
        <w:lastRenderedPageBreak/>
        <w:drawing>
          <wp:inline distT="0" distB="0" distL="114300" distR="114300" wp14:anchorId="5F383735" wp14:editId="0AAAE1E5">
            <wp:extent cx="5740400" cy="9271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40400" cy="927100"/>
                    </a:xfrm>
                    <a:prstGeom prst="rect">
                      <a:avLst/>
                    </a:prstGeom>
                    <a:ln/>
                  </pic:spPr>
                </pic:pic>
              </a:graphicData>
            </a:graphic>
          </wp:inline>
        </w:drawing>
      </w:r>
    </w:p>
    <w:p w:rsidR="00BC5EEF" w:rsidRPr="00BC5EEF" w:rsidRDefault="00BC5EEF" w:rsidP="00C92AD4">
      <w:pPr>
        <w:pStyle w:val="Normal1"/>
        <w:jc w:val="center"/>
      </w:pPr>
      <w:r w:rsidRPr="00BC5EEF">
        <w:t>Figure 1.  Hydrosilylation reaction of benzaldehyde</w:t>
      </w:r>
    </w:p>
    <w:p w:rsidR="00BC5EEF" w:rsidRDefault="00BC5EEF" w:rsidP="00BC5EEF">
      <w:pPr>
        <w:pStyle w:val="Normal1"/>
      </w:pPr>
    </w:p>
    <w:p w:rsidR="00C92AD4" w:rsidRPr="00BC5EEF" w:rsidRDefault="00C92AD4" w:rsidP="00BC5EEF">
      <w:pPr>
        <w:pStyle w:val="Normal1"/>
      </w:pPr>
    </w:p>
    <w:p w:rsidR="00BC5EEF" w:rsidRPr="00BC5EEF" w:rsidRDefault="00C92AD4" w:rsidP="00C92AD4">
      <w:pPr>
        <w:pStyle w:val="Normal1"/>
        <w:spacing w:after="120"/>
        <w:jc w:val="center"/>
      </w:pPr>
      <w:r>
        <w:t xml:space="preserve">Table 1.  </w:t>
      </w:r>
      <w:r w:rsidR="00BC5EEF" w:rsidRPr="00BC5EEF">
        <w:t>Hydrosilylation of benzaldehyde</w:t>
      </w:r>
    </w:p>
    <w:tbl>
      <w:tblPr>
        <w:tblW w:w="8191" w:type="dxa"/>
        <w:jc w:val="center"/>
        <w:tblBorders>
          <w:top w:val="single" w:sz="8" w:space="0" w:color="000000"/>
          <w:bottom w:val="single" w:sz="8" w:space="0" w:color="000000"/>
        </w:tblBorders>
        <w:tblLook w:val="04A0" w:firstRow="1" w:lastRow="0" w:firstColumn="1" w:lastColumn="0" w:noHBand="0" w:noVBand="1"/>
      </w:tblPr>
      <w:tblGrid>
        <w:gridCol w:w="716"/>
        <w:gridCol w:w="1206"/>
        <w:gridCol w:w="1373"/>
        <w:gridCol w:w="850"/>
        <w:gridCol w:w="1073"/>
        <w:gridCol w:w="1477"/>
        <w:gridCol w:w="1496"/>
      </w:tblGrid>
      <w:tr w:rsidR="00C92AD4" w:rsidRPr="00BC5EEF" w:rsidTr="00C92AD4">
        <w:trPr>
          <w:trHeight w:val="338"/>
          <w:jc w:val="center"/>
        </w:trPr>
        <w:tc>
          <w:tcPr>
            <w:tcW w:w="0" w:type="auto"/>
            <w:tcBorders>
              <w:top w:val="single" w:sz="4" w:space="0" w:color="auto"/>
              <w:bottom w:val="single" w:sz="4" w:space="0" w:color="auto"/>
            </w:tcBorders>
            <w:shd w:val="clear" w:color="auto" w:fill="FFFFFF"/>
            <w:vAlign w:val="center"/>
          </w:tcPr>
          <w:p w:rsidR="00BC5EEF" w:rsidRPr="00C92AD4" w:rsidRDefault="00BC5EEF" w:rsidP="00C92AD4">
            <w:pPr>
              <w:pStyle w:val="Normal1"/>
              <w:jc w:val="left"/>
              <w:rPr>
                <w:b/>
              </w:rPr>
            </w:pPr>
            <w:r w:rsidRPr="00C92AD4">
              <w:rPr>
                <w:b/>
              </w:rPr>
              <w:t>Entry</w:t>
            </w:r>
          </w:p>
        </w:tc>
        <w:tc>
          <w:tcPr>
            <w:tcW w:w="0" w:type="auto"/>
            <w:tcBorders>
              <w:top w:val="single" w:sz="4" w:space="0" w:color="auto"/>
              <w:bottom w:val="single" w:sz="4" w:space="0" w:color="auto"/>
            </w:tcBorders>
            <w:shd w:val="clear" w:color="auto" w:fill="FFFFFF"/>
            <w:vAlign w:val="center"/>
          </w:tcPr>
          <w:p w:rsidR="00BC5EEF" w:rsidRPr="00C92AD4" w:rsidRDefault="00BC5EEF" w:rsidP="00C92AD4">
            <w:pPr>
              <w:pStyle w:val="Normal1"/>
              <w:spacing w:before="60" w:after="60"/>
              <w:jc w:val="left"/>
              <w:rPr>
                <w:b/>
              </w:rPr>
            </w:pPr>
            <w:r w:rsidRPr="00C92AD4">
              <w:rPr>
                <w:b/>
              </w:rPr>
              <w:t>HSiCl</w:t>
            </w:r>
            <w:r w:rsidRPr="00C92AD4">
              <w:rPr>
                <w:b/>
                <w:vertAlign w:val="subscript"/>
              </w:rPr>
              <w:t xml:space="preserve">3 </w:t>
            </w:r>
            <w:r w:rsidRPr="00C92AD4">
              <w:rPr>
                <w:b/>
              </w:rPr>
              <w:t>(equiv)</w:t>
            </w:r>
          </w:p>
        </w:tc>
        <w:tc>
          <w:tcPr>
            <w:tcW w:w="0" w:type="auto"/>
            <w:tcBorders>
              <w:top w:val="single" w:sz="4" w:space="0" w:color="auto"/>
              <w:bottom w:val="single" w:sz="4" w:space="0" w:color="auto"/>
            </w:tcBorders>
            <w:shd w:val="clear" w:color="auto" w:fill="FFFFFF"/>
            <w:vAlign w:val="center"/>
          </w:tcPr>
          <w:p w:rsidR="00BC5EEF" w:rsidRPr="00C92AD4" w:rsidRDefault="00BC5EEF" w:rsidP="00C92AD4">
            <w:pPr>
              <w:pStyle w:val="Normal1"/>
              <w:spacing w:before="60" w:after="60"/>
              <w:jc w:val="left"/>
              <w:rPr>
                <w:b/>
              </w:rPr>
            </w:pPr>
            <w:r w:rsidRPr="00C92AD4">
              <w:rPr>
                <w:b/>
              </w:rPr>
              <w:t>Catalyst (mol%)</w:t>
            </w:r>
          </w:p>
        </w:tc>
        <w:tc>
          <w:tcPr>
            <w:tcW w:w="0" w:type="auto"/>
            <w:tcBorders>
              <w:top w:val="single" w:sz="4" w:space="0" w:color="auto"/>
              <w:bottom w:val="single" w:sz="4" w:space="0" w:color="auto"/>
            </w:tcBorders>
            <w:shd w:val="clear" w:color="auto" w:fill="FFFFFF"/>
            <w:vAlign w:val="center"/>
          </w:tcPr>
          <w:p w:rsidR="00BC5EEF" w:rsidRPr="00C92AD4" w:rsidRDefault="00BC5EEF" w:rsidP="00C92AD4">
            <w:pPr>
              <w:pStyle w:val="Normal1"/>
              <w:spacing w:before="60"/>
              <w:jc w:val="left"/>
              <w:rPr>
                <w:b/>
              </w:rPr>
            </w:pPr>
            <w:r w:rsidRPr="00C92AD4">
              <w:rPr>
                <w:b/>
              </w:rPr>
              <w:t>Solvent</w:t>
            </w:r>
          </w:p>
        </w:tc>
        <w:tc>
          <w:tcPr>
            <w:tcW w:w="0" w:type="auto"/>
            <w:tcBorders>
              <w:top w:val="single" w:sz="4" w:space="0" w:color="auto"/>
              <w:bottom w:val="single" w:sz="4" w:space="0" w:color="auto"/>
            </w:tcBorders>
            <w:shd w:val="clear" w:color="auto" w:fill="FFFFFF"/>
            <w:vAlign w:val="center"/>
          </w:tcPr>
          <w:p w:rsidR="00BC5EEF" w:rsidRPr="00C92AD4" w:rsidRDefault="00BC5EEF" w:rsidP="00C92AD4">
            <w:pPr>
              <w:pStyle w:val="Normal1"/>
              <w:spacing w:before="60" w:after="60"/>
              <w:jc w:val="center"/>
              <w:rPr>
                <w:b/>
              </w:rPr>
            </w:pPr>
            <w:r w:rsidRPr="00C92AD4">
              <w:rPr>
                <w:b/>
              </w:rPr>
              <w:t>Time (hour)</w:t>
            </w:r>
          </w:p>
        </w:tc>
        <w:tc>
          <w:tcPr>
            <w:tcW w:w="0" w:type="auto"/>
            <w:tcBorders>
              <w:top w:val="single" w:sz="4" w:space="0" w:color="auto"/>
              <w:bottom w:val="single" w:sz="4" w:space="0" w:color="auto"/>
            </w:tcBorders>
            <w:shd w:val="clear" w:color="auto" w:fill="FFFFFF"/>
            <w:vAlign w:val="center"/>
          </w:tcPr>
          <w:p w:rsidR="00BC5EEF" w:rsidRPr="00C92AD4" w:rsidRDefault="00BC5EEF" w:rsidP="00C92AD4">
            <w:pPr>
              <w:pStyle w:val="Normal1"/>
              <w:spacing w:before="60" w:after="60"/>
              <w:jc w:val="center"/>
              <w:rPr>
                <w:b/>
                <w:vertAlign w:val="superscript"/>
              </w:rPr>
            </w:pPr>
            <w:r w:rsidRPr="00C92AD4">
              <w:rPr>
                <w:b/>
              </w:rPr>
              <w:t>Conversion (%)</w:t>
            </w:r>
            <w:r w:rsidRPr="00C92AD4">
              <w:rPr>
                <w:b/>
                <w:i/>
                <w:vertAlign w:val="superscript"/>
              </w:rPr>
              <w:t>a</w:t>
            </w:r>
          </w:p>
        </w:tc>
        <w:tc>
          <w:tcPr>
            <w:tcW w:w="0" w:type="auto"/>
            <w:tcBorders>
              <w:top w:val="single" w:sz="4" w:space="0" w:color="auto"/>
              <w:bottom w:val="single" w:sz="4" w:space="0" w:color="auto"/>
            </w:tcBorders>
            <w:shd w:val="clear" w:color="auto" w:fill="FFFFFF"/>
            <w:vAlign w:val="center"/>
          </w:tcPr>
          <w:p w:rsidR="00BC5EEF" w:rsidRPr="00C92AD4" w:rsidRDefault="00BC5EEF" w:rsidP="00C92AD4">
            <w:pPr>
              <w:pStyle w:val="Normal1"/>
              <w:spacing w:before="60" w:after="60"/>
              <w:jc w:val="center"/>
              <w:rPr>
                <w:b/>
              </w:rPr>
            </w:pPr>
            <w:r w:rsidRPr="00C92AD4">
              <w:rPr>
                <w:b/>
              </w:rPr>
              <w:t>Isolated Yield (%)</w:t>
            </w:r>
            <w:r w:rsidRPr="00C92AD4">
              <w:rPr>
                <w:b/>
                <w:i/>
                <w:vertAlign w:val="superscript"/>
              </w:rPr>
              <w:t>b</w:t>
            </w:r>
          </w:p>
        </w:tc>
      </w:tr>
      <w:tr w:rsidR="00BC5EEF" w:rsidRPr="00BC5EEF" w:rsidTr="00C92AD4">
        <w:trPr>
          <w:trHeight w:val="42"/>
          <w:jc w:val="center"/>
        </w:trPr>
        <w:tc>
          <w:tcPr>
            <w:tcW w:w="0" w:type="auto"/>
            <w:tcBorders>
              <w:top w:val="single" w:sz="4" w:space="0" w:color="auto"/>
              <w:bottom w:val="nil"/>
            </w:tcBorders>
            <w:shd w:val="clear" w:color="auto" w:fill="FFFFFF"/>
            <w:vAlign w:val="center"/>
          </w:tcPr>
          <w:p w:rsidR="00BC5EEF" w:rsidRPr="00BC5EEF" w:rsidRDefault="00BC5EEF" w:rsidP="00C92AD4">
            <w:pPr>
              <w:pStyle w:val="Normal1"/>
              <w:spacing w:before="60"/>
              <w:jc w:val="left"/>
              <w:rPr>
                <w:vertAlign w:val="superscript"/>
              </w:rPr>
            </w:pPr>
            <w:r w:rsidRPr="00BC5EEF">
              <w:t>1</w:t>
            </w:r>
          </w:p>
        </w:tc>
        <w:tc>
          <w:tcPr>
            <w:tcW w:w="0" w:type="auto"/>
            <w:tcBorders>
              <w:top w:val="single" w:sz="4" w:space="0" w:color="auto"/>
              <w:bottom w:val="nil"/>
            </w:tcBorders>
            <w:shd w:val="clear" w:color="auto" w:fill="FFFFFF"/>
            <w:vAlign w:val="center"/>
          </w:tcPr>
          <w:p w:rsidR="00BC5EEF" w:rsidRPr="00BC5EEF" w:rsidRDefault="00BC5EEF" w:rsidP="00C92AD4">
            <w:pPr>
              <w:pStyle w:val="Normal1"/>
              <w:spacing w:before="60"/>
              <w:jc w:val="left"/>
            </w:pPr>
            <w:r w:rsidRPr="00BC5EEF">
              <w:t>2.0</w:t>
            </w:r>
          </w:p>
        </w:tc>
        <w:tc>
          <w:tcPr>
            <w:tcW w:w="0" w:type="auto"/>
            <w:tcBorders>
              <w:top w:val="single" w:sz="4" w:space="0" w:color="auto"/>
              <w:bottom w:val="nil"/>
            </w:tcBorders>
            <w:shd w:val="clear" w:color="auto" w:fill="FFFFFF"/>
            <w:vAlign w:val="center"/>
          </w:tcPr>
          <w:p w:rsidR="00BC5EEF" w:rsidRPr="00BC5EEF" w:rsidRDefault="00BC5EEF" w:rsidP="00C92AD4">
            <w:pPr>
              <w:pStyle w:val="Normal1"/>
              <w:spacing w:before="60"/>
              <w:jc w:val="left"/>
            </w:pPr>
            <w:r w:rsidRPr="00BC5EEF">
              <w:rPr>
                <w:b/>
              </w:rPr>
              <w:t>1a</w:t>
            </w:r>
            <w:r w:rsidRPr="00BC5EEF">
              <w:t xml:space="preserve"> (20)</w:t>
            </w:r>
          </w:p>
        </w:tc>
        <w:tc>
          <w:tcPr>
            <w:tcW w:w="0" w:type="auto"/>
            <w:tcBorders>
              <w:top w:val="single" w:sz="4" w:space="0" w:color="auto"/>
              <w:bottom w:val="nil"/>
            </w:tcBorders>
            <w:shd w:val="clear" w:color="auto" w:fill="FFFFFF"/>
            <w:vAlign w:val="center"/>
          </w:tcPr>
          <w:p w:rsidR="00BC5EEF" w:rsidRPr="00BC5EEF" w:rsidRDefault="00BC5EEF" w:rsidP="00C92AD4">
            <w:pPr>
              <w:pStyle w:val="Normal1"/>
              <w:spacing w:before="60"/>
              <w:jc w:val="left"/>
            </w:pPr>
            <w:r w:rsidRPr="00BC5EEF">
              <w:t>CH</w:t>
            </w:r>
            <w:r w:rsidRPr="00BC5EEF">
              <w:rPr>
                <w:vertAlign w:val="subscript"/>
              </w:rPr>
              <w:t>2</w:t>
            </w:r>
            <w:r w:rsidRPr="00BC5EEF">
              <w:t>Cl</w:t>
            </w:r>
            <w:r w:rsidRPr="00BC5EEF">
              <w:rPr>
                <w:vertAlign w:val="subscript"/>
              </w:rPr>
              <w:t>2</w:t>
            </w:r>
          </w:p>
        </w:tc>
        <w:tc>
          <w:tcPr>
            <w:tcW w:w="0" w:type="auto"/>
            <w:tcBorders>
              <w:top w:val="single" w:sz="4" w:space="0" w:color="auto"/>
              <w:bottom w:val="nil"/>
            </w:tcBorders>
            <w:shd w:val="clear" w:color="auto" w:fill="FFFFFF"/>
            <w:vAlign w:val="center"/>
          </w:tcPr>
          <w:p w:rsidR="00BC5EEF" w:rsidRPr="00BC5EEF" w:rsidRDefault="00BC5EEF" w:rsidP="00C92AD4">
            <w:pPr>
              <w:pStyle w:val="Normal1"/>
              <w:spacing w:before="60"/>
              <w:jc w:val="center"/>
            </w:pPr>
            <w:r w:rsidRPr="00BC5EEF">
              <w:t>8</w:t>
            </w:r>
          </w:p>
        </w:tc>
        <w:tc>
          <w:tcPr>
            <w:tcW w:w="0" w:type="auto"/>
            <w:tcBorders>
              <w:top w:val="single" w:sz="4" w:space="0" w:color="auto"/>
              <w:bottom w:val="nil"/>
            </w:tcBorders>
            <w:shd w:val="clear" w:color="auto" w:fill="FFFFFF"/>
            <w:vAlign w:val="center"/>
          </w:tcPr>
          <w:p w:rsidR="00BC5EEF" w:rsidRPr="00BC5EEF" w:rsidRDefault="00BC5EEF" w:rsidP="00C92AD4">
            <w:pPr>
              <w:pStyle w:val="Normal1"/>
              <w:spacing w:before="60"/>
              <w:jc w:val="center"/>
            </w:pPr>
            <w:r w:rsidRPr="00BC5EEF">
              <w:t>84</w:t>
            </w:r>
          </w:p>
        </w:tc>
        <w:tc>
          <w:tcPr>
            <w:tcW w:w="0" w:type="auto"/>
            <w:tcBorders>
              <w:top w:val="single" w:sz="4" w:space="0" w:color="auto"/>
              <w:bottom w:val="nil"/>
            </w:tcBorders>
            <w:shd w:val="clear" w:color="auto" w:fill="FFFFFF"/>
            <w:vAlign w:val="center"/>
          </w:tcPr>
          <w:p w:rsidR="00BC5EEF" w:rsidRPr="00BC5EEF" w:rsidRDefault="00BC5EEF" w:rsidP="00C92AD4">
            <w:pPr>
              <w:pStyle w:val="Normal1"/>
              <w:spacing w:before="60"/>
              <w:jc w:val="center"/>
            </w:pPr>
            <w:r w:rsidRPr="00BC5EEF">
              <w:t>–</w:t>
            </w:r>
          </w:p>
        </w:tc>
      </w:tr>
      <w:tr w:rsidR="00BC5EEF" w:rsidRPr="00BC5EEF" w:rsidTr="00D11168">
        <w:trPr>
          <w:trHeight w:val="62"/>
          <w:jc w:val="center"/>
        </w:trPr>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2</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2.0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rPr>
                <w:b/>
              </w:rPr>
              <w:t>1a</w:t>
            </w:r>
            <w:r w:rsidRPr="00BC5EEF">
              <w:t xml:space="preserve"> (20)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CH</w:t>
            </w:r>
            <w:r w:rsidRPr="00BC5EEF">
              <w:rPr>
                <w:vertAlign w:val="subscript"/>
              </w:rPr>
              <w:t>2</w:t>
            </w:r>
            <w:r w:rsidRPr="00BC5EEF">
              <w:t>Cl</w:t>
            </w:r>
            <w:r w:rsidRPr="00BC5EEF">
              <w:rPr>
                <w:vertAlign w:val="subscript"/>
              </w:rPr>
              <w:t>2</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20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&gt;99</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70</w:t>
            </w:r>
          </w:p>
        </w:tc>
      </w:tr>
      <w:tr w:rsidR="00BC5EEF" w:rsidRPr="00BC5EEF" w:rsidTr="00D11168">
        <w:trPr>
          <w:trHeight w:val="62"/>
          <w:jc w:val="center"/>
        </w:trPr>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t>3</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t>2.0</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rPr>
                <w:b/>
              </w:rPr>
              <w:t>1a</w:t>
            </w:r>
            <w:r w:rsidRPr="00BC5EEF">
              <w:t xml:space="preserve"> (20)</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t>CHCl</w:t>
            </w:r>
            <w:r w:rsidRPr="00BC5EEF">
              <w:rPr>
                <w:vertAlign w:val="subscript"/>
              </w:rPr>
              <w:t>3</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center"/>
            </w:pPr>
            <w:r w:rsidRPr="00BC5EEF">
              <w:t>20</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center"/>
            </w:pPr>
            <w:r w:rsidRPr="00BC5EEF">
              <w:t>98</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center"/>
            </w:pPr>
            <w:r w:rsidRPr="00BC5EEF">
              <w:t>–</w:t>
            </w:r>
          </w:p>
        </w:tc>
      </w:tr>
      <w:tr w:rsidR="00BC5EEF" w:rsidRPr="00BC5EEF" w:rsidTr="00D11168">
        <w:trPr>
          <w:trHeight w:val="62"/>
          <w:jc w:val="center"/>
        </w:trPr>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4</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2.0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rPr>
                <w:b/>
              </w:rPr>
              <w:t>1a</w:t>
            </w:r>
            <w:r w:rsidRPr="00BC5EEF">
              <w:t xml:space="preserve"> (20)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Et</w:t>
            </w:r>
            <w:r w:rsidRPr="00BC5EEF">
              <w:rPr>
                <w:vertAlign w:val="subscript"/>
              </w:rPr>
              <w:t>2</w:t>
            </w:r>
            <w:r w:rsidRPr="00BC5EEF">
              <w:t>O</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20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99</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w:t>
            </w:r>
          </w:p>
        </w:tc>
      </w:tr>
      <w:tr w:rsidR="00BC5EEF" w:rsidRPr="00BC5EEF" w:rsidTr="00D11168">
        <w:trPr>
          <w:trHeight w:val="62"/>
          <w:jc w:val="center"/>
        </w:trPr>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t>5</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t>2.0</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rPr>
                <w:b/>
              </w:rPr>
              <w:t>1a</w:t>
            </w:r>
            <w:r w:rsidRPr="00BC5EEF">
              <w:t xml:space="preserve"> (20)</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t>toluene</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center"/>
            </w:pPr>
            <w:r w:rsidRPr="00BC5EEF">
              <w:t>20</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center"/>
            </w:pPr>
            <w:r w:rsidRPr="00BC5EEF">
              <w:t>&gt;99</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center"/>
            </w:pPr>
            <w:r w:rsidRPr="00BC5EEF">
              <w:t>–</w:t>
            </w:r>
          </w:p>
        </w:tc>
      </w:tr>
      <w:tr w:rsidR="00BC5EEF" w:rsidRPr="00BC5EEF" w:rsidTr="00D11168">
        <w:trPr>
          <w:trHeight w:val="62"/>
          <w:jc w:val="center"/>
        </w:trPr>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6</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2.0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rPr>
                <w:b/>
              </w:rPr>
              <w:t>1a</w:t>
            </w:r>
            <w:r w:rsidRPr="00BC5EEF">
              <w:t xml:space="preserve"> (10)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CH</w:t>
            </w:r>
            <w:r w:rsidRPr="00BC5EEF">
              <w:rPr>
                <w:vertAlign w:val="subscript"/>
              </w:rPr>
              <w:t>2</w:t>
            </w:r>
            <w:r w:rsidRPr="00BC5EEF">
              <w:t>Cl</w:t>
            </w:r>
            <w:r w:rsidRPr="00BC5EEF">
              <w:rPr>
                <w:vertAlign w:val="subscript"/>
              </w:rPr>
              <w:t>2</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20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98</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w:t>
            </w:r>
          </w:p>
        </w:tc>
      </w:tr>
      <w:tr w:rsidR="00BC5EEF" w:rsidRPr="00BC5EEF" w:rsidTr="00D11168">
        <w:trPr>
          <w:trHeight w:val="62"/>
          <w:jc w:val="center"/>
        </w:trPr>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t>7</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t>2.0</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rPr>
                <w:b/>
              </w:rPr>
              <w:t>1a</w:t>
            </w:r>
            <w:r w:rsidRPr="00BC5EEF">
              <w:t xml:space="preserve"> (10)</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t>toluene</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center"/>
            </w:pPr>
            <w:r w:rsidRPr="00BC5EEF">
              <w:t>20</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center"/>
            </w:pPr>
            <w:r w:rsidRPr="00BC5EEF">
              <w:t>52</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center"/>
            </w:pPr>
            <w:r w:rsidRPr="00BC5EEF">
              <w:t>–</w:t>
            </w:r>
          </w:p>
        </w:tc>
      </w:tr>
      <w:tr w:rsidR="00BC5EEF" w:rsidRPr="00BC5EEF" w:rsidTr="00D11168">
        <w:trPr>
          <w:trHeight w:val="62"/>
          <w:jc w:val="center"/>
        </w:trPr>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8</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2.0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rPr>
                <w:b/>
              </w:rPr>
              <w:t>1b</w:t>
            </w:r>
            <w:r w:rsidRPr="00BC5EEF">
              <w:t xml:space="preserve"> (20)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CH</w:t>
            </w:r>
            <w:r w:rsidRPr="00BC5EEF">
              <w:rPr>
                <w:vertAlign w:val="subscript"/>
              </w:rPr>
              <w:t>2</w:t>
            </w:r>
            <w:r w:rsidRPr="00BC5EEF">
              <w:t>Cl</w:t>
            </w:r>
            <w:r w:rsidRPr="00BC5EEF">
              <w:rPr>
                <w:vertAlign w:val="subscript"/>
              </w:rPr>
              <w:t>2</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20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19</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w:t>
            </w:r>
          </w:p>
        </w:tc>
      </w:tr>
      <w:tr w:rsidR="00BC5EEF" w:rsidRPr="00BC5EEF" w:rsidTr="00D11168">
        <w:trPr>
          <w:trHeight w:val="62"/>
          <w:jc w:val="center"/>
        </w:trPr>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t>9</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t>2.0</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rPr>
                <w:b/>
              </w:rPr>
              <w:t>2</w:t>
            </w:r>
            <w:r w:rsidRPr="00BC5EEF">
              <w:t xml:space="preserve"> (20)</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t>CH</w:t>
            </w:r>
            <w:r w:rsidRPr="00BC5EEF">
              <w:rPr>
                <w:vertAlign w:val="subscript"/>
              </w:rPr>
              <w:t>2</w:t>
            </w:r>
            <w:r w:rsidRPr="00BC5EEF">
              <w:t>Cl</w:t>
            </w:r>
            <w:r w:rsidRPr="00BC5EEF">
              <w:rPr>
                <w:vertAlign w:val="subscript"/>
              </w:rPr>
              <w:t>2</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center"/>
            </w:pPr>
            <w:r w:rsidRPr="00BC5EEF">
              <w:t>20</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center"/>
            </w:pPr>
            <w:r w:rsidRPr="00BC5EEF">
              <w:t>47</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center"/>
            </w:pPr>
            <w:r w:rsidRPr="00BC5EEF">
              <w:t>–</w:t>
            </w:r>
          </w:p>
        </w:tc>
      </w:tr>
      <w:tr w:rsidR="00BC5EEF" w:rsidRPr="00BC5EEF" w:rsidTr="00D11168">
        <w:trPr>
          <w:trHeight w:val="62"/>
          <w:jc w:val="center"/>
        </w:trPr>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10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2.0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rPr>
                <w:b/>
              </w:rPr>
              <w:t>3</w:t>
            </w:r>
            <w:r w:rsidRPr="00BC5EEF">
              <w:t xml:space="preserve"> (20)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CH</w:t>
            </w:r>
            <w:r w:rsidRPr="00BC5EEF">
              <w:rPr>
                <w:vertAlign w:val="subscript"/>
              </w:rPr>
              <w:t>2</w:t>
            </w:r>
            <w:r w:rsidRPr="00BC5EEF">
              <w:t>Cl</w:t>
            </w:r>
            <w:r w:rsidRPr="00BC5EEF">
              <w:rPr>
                <w:vertAlign w:val="subscript"/>
              </w:rPr>
              <w:t>2</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20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25</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w:t>
            </w:r>
          </w:p>
        </w:tc>
      </w:tr>
      <w:tr w:rsidR="00BC5EEF" w:rsidRPr="00BC5EEF" w:rsidTr="00D11168">
        <w:trPr>
          <w:trHeight w:val="62"/>
          <w:jc w:val="center"/>
        </w:trPr>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t>11</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t>2.0</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rPr>
                <w:b/>
              </w:rPr>
              <w:t xml:space="preserve">4 </w:t>
            </w:r>
            <w:r w:rsidRPr="00BC5EEF">
              <w:t>(40)</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t>CH</w:t>
            </w:r>
            <w:r w:rsidRPr="00BC5EEF">
              <w:rPr>
                <w:vertAlign w:val="subscript"/>
              </w:rPr>
              <w:t>2</w:t>
            </w:r>
            <w:r w:rsidRPr="00BC5EEF">
              <w:t>Cl</w:t>
            </w:r>
            <w:r w:rsidRPr="00BC5EEF">
              <w:rPr>
                <w:vertAlign w:val="subscript"/>
              </w:rPr>
              <w:t>2</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center"/>
            </w:pPr>
            <w:r w:rsidRPr="00BC5EEF">
              <w:t>20</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center"/>
            </w:pPr>
            <w:r w:rsidRPr="00BC5EEF">
              <w:t>30</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center"/>
            </w:pPr>
            <w:r w:rsidRPr="00BC5EEF">
              <w:t>–</w:t>
            </w:r>
          </w:p>
        </w:tc>
      </w:tr>
      <w:tr w:rsidR="00BC5EEF" w:rsidRPr="00BC5EEF" w:rsidTr="00D11168">
        <w:trPr>
          <w:trHeight w:val="63"/>
          <w:jc w:val="center"/>
        </w:trPr>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12</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2.0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pyridine (40)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CH</w:t>
            </w:r>
            <w:r w:rsidRPr="00BC5EEF">
              <w:rPr>
                <w:vertAlign w:val="subscript"/>
              </w:rPr>
              <w:t>2</w:t>
            </w:r>
            <w:r w:rsidRPr="00BC5EEF">
              <w:t>Cl</w:t>
            </w:r>
            <w:r w:rsidRPr="00BC5EEF">
              <w:rPr>
                <w:vertAlign w:val="subscript"/>
              </w:rPr>
              <w:t>2</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20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14</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w:t>
            </w:r>
          </w:p>
        </w:tc>
      </w:tr>
      <w:tr w:rsidR="00BC5EEF" w:rsidRPr="00BC5EEF" w:rsidTr="00D11168">
        <w:trPr>
          <w:trHeight w:val="63"/>
          <w:jc w:val="center"/>
        </w:trPr>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t>13</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t>2.0</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t>pyridine (20)</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left"/>
            </w:pPr>
            <w:r w:rsidRPr="00BC5EEF">
              <w:t>CH</w:t>
            </w:r>
            <w:r w:rsidRPr="00BC5EEF">
              <w:rPr>
                <w:vertAlign w:val="subscript"/>
              </w:rPr>
              <w:t>2</w:t>
            </w:r>
            <w:r w:rsidRPr="00BC5EEF">
              <w:t>Cl</w:t>
            </w:r>
            <w:r w:rsidRPr="00BC5EEF">
              <w:rPr>
                <w:vertAlign w:val="subscript"/>
              </w:rPr>
              <w:t>2</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center"/>
            </w:pPr>
            <w:r w:rsidRPr="00BC5EEF">
              <w:t>20</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center"/>
            </w:pPr>
            <w:r w:rsidRPr="00BC5EEF">
              <w:t>8</w:t>
            </w:r>
          </w:p>
        </w:tc>
        <w:tc>
          <w:tcPr>
            <w:tcW w:w="0" w:type="auto"/>
            <w:tcBorders>
              <w:top w:val="nil"/>
              <w:bottom w:val="nil"/>
            </w:tcBorders>
            <w:shd w:val="clear" w:color="auto" w:fill="FFFFFF"/>
            <w:vAlign w:val="center"/>
          </w:tcPr>
          <w:p w:rsidR="00BC5EEF" w:rsidRPr="00BC5EEF" w:rsidRDefault="00BC5EEF" w:rsidP="00C92AD4">
            <w:pPr>
              <w:pStyle w:val="Normal1"/>
              <w:spacing w:before="60"/>
              <w:jc w:val="center"/>
            </w:pPr>
            <w:r w:rsidRPr="00BC5EEF">
              <w:t>–</w:t>
            </w:r>
          </w:p>
        </w:tc>
      </w:tr>
      <w:tr w:rsidR="00BC5EEF" w:rsidRPr="00BC5EEF" w:rsidTr="00C92AD4">
        <w:trPr>
          <w:trHeight w:val="63"/>
          <w:jc w:val="center"/>
        </w:trPr>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14</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2.0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left"/>
            </w:pPr>
            <w:r w:rsidRPr="00BC5EEF">
              <w:t>CH</w:t>
            </w:r>
            <w:r w:rsidRPr="00BC5EEF">
              <w:rPr>
                <w:vertAlign w:val="subscript"/>
              </w:rPr>
              <w:t>2</w:t>
            </w:r>
            <w:r w:rsidRPr="00BC5EEF">
              <w:t>Cl</w:t>
            </w:r>
            <w:r w:rsidRPr="00BC5EEF">
              <w:rPr>
                <w:vertAlign w:val="subscript"/>
              </w:rPr>
              <w:t>2</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20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0</w:t>
            </w:r>
          </w:p>
        </w:tc>
        <w:tc>
          <w:tcPr>
            <w:tcW w:w="0" w:type="auto"/>
            <w:tcBorders>
              <w:top w:val="nil"/>
              <w:left w:val="nil"/>
              <w:bottom w:val="nil"/>
              <w:right w:val="nil"/>
            </w:tcBorders>
            <w:shd w:val="clear" w:color="auto" w:fill="FFFFFF"/>
            <w:vAlign w:val="center"/>
          </w:tcPr>
          <w:p w:rsidR="00BC5EEF" w:rsidRPr="00BC5EEF" w:rsidRDefault="00BC5EEF" w:rsidP="00C92AD4">
            <w:pPr>
              <w:pStyle w:val="Normal1"/>
              <w:spacing w:before="60"/>
              <w:jc w:val="center"/>
            </w:pPr>
            <w:r w:rsidRPr="00BC5EEF">
              <w:t>–</w:t>
            </w:r>
          </w:p>
        </w:tc>
      </w:tr>
      <w:tr w:rsidR="00BC5EEF" w:rsidRPr="00BC5EEF" w:rsidTr="00C92AD4">
        <w:trPr>
          <w:trHeight w:val="63"/>
          <w:jc w:val="center"/>
        </w:trPr>
        <w:tc>
          <w:tcPr>
            <w:tcW w:w="0" w:type="auto"/>
            <w:tcBorders>
              <w:top w:val="nil"/>
              <w:bottom w:val="single" w:sz="4" w:space="0" w:color="auto"/>
            </w:tcBorders>
            <w:shd w:val="clear" w:color="auto" w:fill="FFFFFF"/>
            <w:vAlign w:val="center"/>
          </w:tcPr>
          <w:p w:rsidR="00BC5EEF" w:rsidRPr="00BC5EEF" w:rsidRDefault="00BC5EEF" w:rsidP="00C92AD4">
            <w:pPr>
              <w:pStyle w:val="Normal1"/>
              <w:spacing w:before="60" w:after="60"/>
              <w:jc w:val="left"/>
            </w:pPr>
            <w:r w:rsidRPr="00BC5EEF">
              <w:t>15</w:t>
            </w:r>
          </w:p>
        </w:tc>
        <w:tc>
          <w:tcPr>
            <w:tcW w:w="0" w:type="auto"/>
            <w:tcBorders>
              <w:top w:val="nil"/>
              <w:bottom w:val="single" w:sz="4" w:space="0" w:color="auto"/>
            </w:tcBorders>
            <w:shd w:val="clear" w:color="auto" w:fill="FFFFFF"/>
            <w:vAlign w:val="center"/>
          </w:tcPr>
          <w:p w:rsidR="00BC5EEF" w:rsidRPr="00BC5EEF" w:rsidRDefault="00BC5EEF" w:rsidP="00C92AD4">
            <w:pPr>
              <w:pStyle w:val="Normal1"/>
              <w:spacing w:before="60" w:after="60"/>
              <w:jc w:val="left"/>
            </w:pPr>
            <w:r w:rsidRPr="00BC5EEF">
              <w:t>1.2</w:t>
            </w:r>
          </w:p>
        </w:tc>
        <w:tc>
          <w:tcPr>
            <w:tcW w:w="0" w:type="auto"/>
            <w:tcBorders>
              <w:top w:val="nil"/>
              <w:bottom w:val="single" w:sz="4" w:space="0" w:color="auto"/>
            </w:tcBorders>
            <w:shd w:val="clear" w:color="auto" w:fill="FFFFFF"/>
            <w:vAlign w:val="center"/>
          </w:tcPr>
          <w:p w:rsidR="00BC5EEF" w:rsidRPr="00BC5EEF" w:rsidRDefault="00BC5EEF" w:rsidP="00C92AD4">
            <w:pPr>
              <w:pStyle w:val="Normal1"/>
              <w:spacing w:before="60" w:after="60"/>
              <w:jc w:val="left"/>
            </w:pPr>
            <w:r w:rsidRPr="00BC5EEF">
              <w:rPr>
                <w:b/>
              </w:rPr>
              <w:t>1a</w:t>
            </w:r>
            <w:r w:rsidRPr="00BC5EEF">
              <w:t xml:space="preserve"> (20)</w:t>
            </w:r>
          </w:p>
        </w:tc>
        <w:tc>
          <w:tcPr>
            <w:tcW w:w="0" w:type="auto"/>
            <w:tcBorders>
              <w:top w:val="nil"/>
              <w:bottom w:val="single" w:sz="4" w:space="0" w:color="auto"/>
            </w:tcBorders>
            <w:shd w:val="clear" w:color="auto" w:fill="FFFFFF"/>
            <w:vAlign w:val="center"/>
          </w:tcPr>
          <w:p w:rsidR="00BC5EEF" w:rsidRPr="00BC5EEF" w:rsidRDefault="00BC5EEF" w:rsidP="00C92AD4">
            <w:pPr>
              <w:pStyle w:val="Normal1"/>
              <w:spacing w:before="60" w:after="60"/>
              <w:jc w:val="left"/>
            </w:pPr>
            <w:r w:rsidRPr="00BC5EEF">
              <w:t>CH</w:t>
            </w:r>
            <w:r w:rsidRPr="00BC5EEF">
              <w:rPr>
                <w:vertAlign w:val="subscript"/>
              </w:rPr>
              <w:t>2</w:t>
            </w:r>
            <w:r w:rsidRPr="00BC5EEF">
              <w:t>Cl</w:t>
            </w:r>
            <w:r w:rsidRPr="00BC5EEF">
              <w:rPr>
                <w:vertAlign w:val="subscript"/>
              </w:rPr>
              <w:t>2</w:t>
            </w:r>
          </w:p>
        </w:tc>
        <w:tc>
          <w:tcPr>
            <w:tcW w:w="0" w:type="auto"/>
            <w:tcBorders>
              <w:top w:val="nil"/>
              <w:bottom w:val="single" w:sz="4" w:space="0" w:color="auto"/>
            </w:tcBorders>
            <w:shd w:val="clear" w:color="auto" w:fill="FFFFFF"/>
            <w:vAlign w:val="center"/>
          </w:tcPr>
          <w:p w:rsidR="00BC5EEF" w:rsidRPr="00BC5EEF" w:rsidRDefault="00BC5EEF" w:rsidP="00C92AD4">
            <w:pPr>
              <w:pStyle w:val="Normal1"/>
              <w:spacing w:before="60" w:after="60"/>
              <w:jc w:val="center"/>
            </w:pPr>
            <w:r w:rsidRPr="00BC5EEF">
              <w:t>20</w:t>
            </w:r>
          </w:p>
        </w:tc>
        <w:tc>
          <w:tcPr>
            <w:tcW w:w="0" w:type="auto"/>
            <w:tcBorders>
              <w:top w:val="nil"/>
              <w:bottom w:val="single" w:sz="4" w:space="0" w:color="auto"/>
            </w:tcBorders>
            <w:shd w:val="clear" w:color="auto" w:fill="FFFFFF"/>
            <w:vAlign w:val="center"/>
          </w:tcPr>
          <w:p w:rsidR="00BC5EEF" w:rsidRPr="00BC5EEF" w:rsidRDefault="00BC5EEF" w:rsidP="00C92AD4">
            <w:pPr>
              <w:pStyle w:val="Normal1"/>
              <w:spacing w:before="60" w:after="60"/>
              <w:jc w:val="center"/>
            </w:pPr>
            <w:r w:rsidRPr="00BC5EEF">
              <w:t>&gt;99</w:t>
            </w:r>
          </w:p>
        </w:tc>
        <w:tc>
          <w:tcPr>
            <w:tcW w:w="0" w:type="auto"/>
            <w:tcBorders>
              <w:top w:val="nil"/>
              <w:bottom w:val="single" w:sz="4" w:space="0" w:color="auto"/>
            </w:tcBorders>
            <w:shd w:val="clear" w:color="auto" w:fill="FFFFFF"/>
            <w:vAlign w:val="center"/>
          </w:tcPr>
          <w:p w:rsidR="00BC5EEF" w:rsidRPr="00BC5EEF" w:rsidRDefault="00BC5EEF" w:rsidP="00C92AD4">
            <w:pPr>
              <w:pStyle w:val="Normal1"/>
              <w:spacing w:before="60" w:after="60"/>
              <w:jc w:val="center"/>
            </w:pPr>
            <w:r w:rsidRPr="00BC5EEF">
              <w:t>80</w:t>
            </w:r>
          </w:p>
        </w:tc>
      </w:tr>
    </w:tbl>
    <w:p w:rsidR="00BC5EEF" w:rsidRPr="00C92AD4" w:rsidRDefault="00BC5EEF" w:rsidP="00C92AD4">
      <w:pPr>
        <w:pStyle w:val="Normal1"/>
        <w:spacing w:before="60"/>
        <w:ind w:firstLine="101"/>
        <w:rPr>
          <w:sz w:val="18"/>
          <w:szCs w:val="18"/>
        </w:rPr>
      </w:pPr>
      <w:r w:rsidRPr="00C92AD4">
        <w:rPr>
          <w:i/>
          <w:sz w:val="18"/>
          <w:szCs w:val="18"/>
          <w:vertAlign w:val="superscript"/>
        </w:rPr>
        <w:t xml:space="preserve">            </w:t>
      </w:r>
      <w:r w:rsidR="00C92AD4">
        <w:rPr>
          <w:i/>
          <w:sz w:val="18"/>
          <w:szCs w:val="18"/>
          <w:vertAlign w:val="superscript"/>
        </w:rPr>
        <w:t xml:space="preserve">  </w:t>
      </w:r>
      <w:r w:rsidRPr="00C92AD4">
        <w:rPr>
          <w:i/>
          <w:sz w:val="18"/>
          <w:szCs w:val="18"/>
          <w:vertAlign w:val="superscript"/>
        </w:rPr>
        <w:t xml:space="preserve"> a</w:t>
      </w:r>
      <w:r w:rsidRPr="00C92AD4">
        <w:rPr>
          <w:sz w:val="18"/>
          <w:szCs w:val="18"/>
        </w:rPr>
        <w:t xml:space="preserve"> Determined by </w:t>
      </w:r>
      <w:r w:rsidRPr="00C92AD4">
        <w:rPr>
          <w:sz w:val="18"/>
          <w:szCs w:val="18"/>
          <w:vertAlign w:val="superscript"/>
        </w:rPr>
        <w:t>1</w:t>
      </w:r>
      <w:r w:rsidRPr="00C92AD4">
        <w:rPr>
          <w:sz w:val="18"/>
          <w:szCs w:val="18"/>
        </w:rPr>
        <w:t xml:space="preserve">H NMR. </w:t>
      </w:r>
      <w:r w:rsidRPr="00C92AD4">
        <w:rPr>
          <w:i/>
          <w:sz w:val="18"/>
          <w:szCs w:val="18"/>
          <w:vertAlign w:val="superscript"/>
        </w:rPr>
        <w:t xml:space="preserve">b </w:t>
      </w:r>
      <w:r w:rsidRPr="00C92AD4">
        <w:rPr>
          <w:sz w:val="18"/>
          <w:szCs w:val="18"/>
        </w:rPr>
        <w:t>Isolation was not attempted except for entries 2 and 15</w:t>
      </w:r>
    </w:p>
    <w:p w:rsidR="00BC5EEF" w:rsidRPr="00BC5EEF" w:rsidRDefault="00BC5EEF" w:rsidP="00C92AD4">
      <w:pPr>
        <w:pStyle w:val="Normal1"/>
        <w:spacing w:after="120"/>
      </w:pPr>
    </w:p>
    <w:p w:rsidR="00BC5EEF" w:rsidRPr="00BC5EEF" w:rsidRDefault="00BC5EEF" w:rsidP="00BC5EEF">
      <w:pPr>
        <w:pStyle w:val="Normal1"/>
      </w:pPr>
      <w:r w:rsidRPr="00BC5EEF">
        <w:t>The optimized conditions were then applied to several aromatic aldehydes, cinnamaldehyde, and cyclohexanecarboxaldehyde to examine the scope of substrates (Figure 2 and Table 2). As shown in entries 1–6, the aromatic aldehydes and cinnamaldehyde were completely converted into the corresponding alcohols, though some proportions of them were lost during purification procedures. The difficulty of isolation was partly due to the production of polysiloxane as described above and the reduction of the amount of HSiCl</w:t>
      </w:r>
      <w:r w:rsidRPr="00BC5EEF">
        <w:rPr>
          <w:vertAlign w:val="subscript"/>
        </w:rPr>
        <w:t>3</w:t>
      </w:r>
      <w:r w:rsidRPr="00BC5EEF">
        <w:t xml:space="preserve"> from 2 equiv. to 1.2 equiv. greatly improved the isolated yield of </w:t>
      </w:r>
      <w:r w:rsidRPr="00BC5EEF">
        <w:rPr>
          <w:i/>
        </w:rPr>
        <w:t>p</w:t>
      </w:r>
      <w:r w:rsidRPr="00BC5EEF">
        <w:t>-chlorobenzaldehyde (entries 2, 3), though it did not improve the result with 1-naphthaldehyde (entries 4, 5). Contrary to the complete conversion of aromatic and α,β-unsaturated aldehydes, the reaction of cyclohexanecarboxaldehyde was not completed under the same conditions and the isolated yield of the desired alcohol was only 27% (entry 7).</w:t>
      </w:r>
    </w:p>
    <w:p w:rsidR="00BC5EEF" w:rsidRPr="00BC5EEF" w:rsidRDefault="00BC5EEF" w:rsidP="00BC5EEF">
      <w:pPr>
        <w:pStyle w:val="Normal1"/>
      </w:pPr>
    </w:p>
    <w:p w:rsidR="00BC5EEF" w:rsidRPr="00BC5EEF" w:rsidRDefault="00BC5EEF" w:rsidP="003D71F4">
      <w:pPr>
        <w:pStyle w:val="Normal1"/>
        <w:spacing w:after="120"/>
        <w:jc w:val="center"/>
      </w:pPr>
      <w:r w:rsidRPr="00BC5EEF">
        <w:rPr>
          <w:noProof/>
          <w:lang w:eastAsia="en-US"/>
        </w:rPr>
        <w:drawing>
          <wp:inline distT="0" distB="0" distL="114300" distR="114300" wp14:anchorId="48F23252" wp14:editId="0E815C64">
            <wp:extent cx="3111500" cy="9017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111500" cy="901700"/>
                    </a:xfrm>
                    <a:prstGeom prst="rect">
                      <a:avLst/>
                    </a:prstGeom>
                    <a:ln/>
                  </pic:spPr>
                </pic:pic>
              </a:graphicData>
            </a:graphic>
          </wp:inline>
        </w:drawing>
      </w:r>
    </w:p>
    <w:p w:rsidR="00BC5EEF" w:rsidRPr="00BC5EEF" w:rsidRDefault="00BC5EEF" w:rsidP="00C92AD4">
      <w:pPr>
        <w:pStyle w:val="Normal1"/>
        <w:jc w:val="center"/>
      </w:pPr>
      <w:r w:rsidRPr="00BC5EEF">
        <w:t>Figure 2.</w:t>
      </w:r>
      <w:r w:rsidRPr="00BC5EEF">
        <w:rPr>
          <w:b/>
        </w:rPr>
        <w:t xml:space="preserve"> </w:t>
      </w:r>
      <w:r w:rsidR="00C92AD4">
        <w:rPr>
          <w:b/>
        </w:rPr>
        <w:t xml:space="preserve"> </w:t>
      </w:r>
      <w:r w:rsidRPr="00BC5EEF">
        <w:t>Hydrosilylation reaction of aldehydes</w:t>
      </w:r>
    </w:p>
    <w:p w:rsidR="00BC5EEF" w:rsidRPr="00BC5EEF" w:rsidRDefault="00BC5EEF" w:rsidP="00BC5EEF">
      <w:pPr>
        <w:pStyle w:val="Normal1"/>
      </w:pPr>
    </w:p>
    <w:p w:rsidR="00BC5EEF" w:rsidRPr="00BC5EEF" w:rsidRDefault="00BC5EEF" w:rsidP="00C92AD4">
      <w:pPr>
        <w:pStyle w:val="Normal1"/>
        <w:spacing w:after="120"/>
        <w:jc w:val="center"/>
      </w:pPr>
      <w:r w:rsidRPr="00BC5EEF">
        <w:t>Table 2.</w:t>
      </w:r>
      <w:r w:rsidRPr="00BC5EEF">
        <w:rPr>
          <w:b/>
        </w:rPr>
        <w:t xml:space="preserve"> </w:t>
      </w:r>
      <w:r w:rsidR="00C92AD4">
        <w:rPr>
          <w:b/>
        </w:rPr>
        <w:t xml:space="preserve"> </w:t>
      </w:r>
      <w:r w:rsidRPr="00BC5EEF">
        <w:t>Hydrosilylation of aldehydes</w:t>
      </w:r>
    </w:p>
    <w:tbl>
      <w:tblPr>
        <w:tblW w:w="6376" w:type="dxa"/>
        <w:jc w:val="center"/>
        <w:tblBorders>
          <w:top w:val="single" w:sz="8" w:space="0" w:color="000000"/>
          <w:bottom w:val="single" w:sz="8" w:space="0" w:color="000000"/>
        </w:tblBorders>
        <w:tblLook w:val="04A0" w:firstRow="1" w:lastRow="0" w:firstColumn="1" w:lastColumn="0" w:noHBand="0" w:noVBand="1"/>
      </w:tblPr>
      <w:tblGrid>
        <w:gridCol w:w="716"/>
        <w:gridCol w:w="1260"/>
        <w:gridCol w:w="1496"/>
        <w:gridCol w:w="1373"/>
        <w:gridCol w:w="1531"/>
      </w:tblGrid>
      <w:tr w:rsidR="003D71F4" w:rsidRPr="00BC5EEF" w:rsidTr="003D71F4">
        <w:trPr>
          <w:trHeight w:val="364"/>
          <w:jc w:val="center"/>
        </w:trPr>
        <w:tc>
          <w:tcPr>
            <w:tcW w:w="0" w:type="auto"/>
            <w:tcBorders>
              <w:top w:val="single" w:sz="4" w:space="0" w:color="auto"/>
              <w:bottom w:val="single" w:sz="4" w:space="0" w:color="auto"/>
            </w:tcBorders>
            <w:shd w:val="clear" w:color="auto" w:fill="FFFFFF"/>
            <w:vAlign w:val="center"/>
          </w:tcPr>
          <w:p w:rsidR="00BC5EEF" w:rsidRPr="00C92AD4" w:rsidRDefault="00BC5EEF" w:rsidP="003D71F4">
            <w:pPr>
              <w:pStyle w:val="Normal1"/>
              <w:jc w:val="left"/>
              <w:rPr>
                <w:b/>
              </w:rPr>
            </w:pPr>
            <w:r w:rsidRPr="00C92AD4">
              <w:rPr>
                <w:b/>
              </w:rPr>
              <w:t>Entry</w:t>
            </w:r>
          </w:p>
        </w:tc>
        <w:tc>
          <w:tcPr>
            <w:tcW w:w="0" w:type="auto"/>
            <w:tcBorders>
              <w:top w:val="single" w:sz="4" w:space="0" w:color="auto"/>
              <w:bottom w:val="single" w:sz="4" w:space="0" w:color="auto"/>
            </w:tcBorders>
            <w:shd w:val="clear" w:color="auto" w:fill="FFFFFF"/>
            <w:vAlign w:val="center"/>
          </w:tcPr>
          <w:p w:rsidR="00BC5EEF" w:rsidRPr="00C92AD4" w:rsidRDefault="00BC5EEF" w:rsidP="003D71F4">
            <w:pPr>
              <w:pStyle w:val="Normal1"/>
              <w:spacing w:before="60" w:after="60"/>
              <w:jc w:val="center"/>
              <w:rPr>
                <w:b/>
              </w:rPr>
            </w:pPr>
            <w:r w:rsidRPr="00C92AD4">
              <w:rPr>
                <w:b/>
              </w:rPr>
              <w:t>HSiCl</w:t>
            </w:r>
            <w:r w:rsidRPr="00C92AD4">
              <w:rPr>
                <w:b/>
                <w:vertAlign w:val="subscript"/>
              </w:rPr>
              <w:t xml:space="preserve">3 </w:t>
            </w:r>
            <w:r w:rsidRPr="00C92AD4">
              <w:rPr>
                <w:b/>
              </w:rPr>
              <w:t>(equiv)</w:t>
            </w:r>
          </w:p>
        </w:tc>
        <w:tc>
          <w:tcPr>
            <w:tcW w:w="1496" w:type="dxa"/>
            <w:tcBorders>
              <w:top w:val="single" w:sz="4" w:space="0" w:color="auto"/>
              <w:bottom w:val="single" w:sz="4" w:space="0" w:color="auto"/>
            </w:tcBorders>
            <w:shd w:val="clear" w:color="auto" w:fill="FFFFFF"/>
            <w:vAlign w:val="center"/>
          </w:tcPr>
          <w:p w:rsidR="00BC5EEF" w:rsidRPr="00C92AD4" w:rsidRDefault="00BC5EEF" w:rsidP="003D71F4">
            <w:pPr>
              <w:pStyle w:val="Normal1"/>
              <w:jc w:val="center"/>
              <w:rPr>
                <w:b/>
              </w:rPr>
            </w:pPr>
            <w:r w:rsidRPr="00C92AD4">
              <w:rPr>
                <w:b/>
              </w:rPr>
              <w:t>R</w:t>
            </w:r>
          </w:p>
        </w:tc>
        <w:tc>
          <w:tcPr>
            <w:tcW w:w="1373" w:type="dxa"/>
            <w:tcBorders>
              <w:top w:val="single" w:sz="4" w:space="0" w:color="auto"/>
              <w:bottom w:val="single" w:sz="4" w:space="0" w:color="auto"/>
            </w:tcBorders>
            <w:shd w:val="clear" w:color="auto" w:fill="FFFFFF"/>
            <w:vAlign w:val="center"/>
          </w:tcPr>
          <w:p w:rsidR="00BC5EEF" w:rsidRPr="00C92AD4" w:rsidRDefault="00BC5EEF" w:rsidP="003D71F4">
            <w:pPr>
              <w:pStyle w:val="Normal1"/>
              <w:spacing w:before="60" w:after="60"/>
              <w:jc w:val="center"/>
              <w:rPr>
                <w:b/>
              </w:rPr>
            </w:pPr>
            <w:r w:rsidRPr="00C92AD4">
              <w:rPr>
                <w:b/>
              </w:rPr>
              <w:t>Conversion (%)</w:t>
            </w:r>
            <w:r w:rsidRPr="00C92AD4">
              <w:rPr>
                <w:b/>
                <w:i/>
                <w:vertAlign w:val="superscript"/>
              </w:rPr>
              <w:t>a</w:t>
            </w:r>
          </w:p>
        </w:tc>
        <w:tc>
          <w:tcPr>
            <w:tcW w:w="0" w:type="auto"/>
            <w:tcBorders>
              <w:top w:val="single" w:sz="4" w:space="0" w:color="auto"/>
              <w:bottom w:val="single" w:sz="4" w:space="0" w:color="auto"/>
            </w:tcBorders>
            <w:shd w:val="clear" w:color="auto" w:fill="FFFFFF"/>
            <w:vAlign w:val="center"/>
          </w:tcPr>
          <w:p w:rsidR="00BC5EEF" w:rsidRPr="00C92AD4" w:rsidRDefault="00BC5EEF" w:rsidP="003D71F4">
            <w:pPr>
              <w:pStyle w:val="Normal1"/>
              <w:spacing w:before="60" w:after="60"/>
              <w:jc w:val="center"/>
              <w:rPr>
                <w:b/>
              </w:rPr>
            </w:pPr>
            <w:r w:rsidRPr="00C92AD4">
              <w:rPr>
                <w:b/>
              </w:rPr>
              <w:t>Isolated Yield (%)</w:t>
            </w:r>
          </w:p>
        </w:tc>
      </w:tr>
      <w:tr w:rsidR="003D71F4" w:rsidRPr="00BC5EEF" w:rsidTr="003D71F4">
        <w:trPr>
          <w:trHeight w:val="57"/>
          <w:jc w:val="center"/>
        </w:trPr>
        <w:tc>
          <w:tcPr>
            <w:tcW w:w="0" w:type="auto"/>
            <w:tcBorders>
              <w:top w:val="single" w:sz="4" w:space="0" w:color="auto"/>
            </w:tcBorders>
            <w:shd w:val="clear" w:color="auto" w:fill="FFFFFF"/>
            <w:vAlign w:val="center"/>
          </w:tcPr>
          <w:p w:rsidR="00BC5EEF" w:rsidRPr="00BC5EEF" w:rsidRDefault="00BC5EEF" w:rsidP="003D71F4">
            <w:pPr>
              <w:pStyle w:val="Normal1"/>
              <w:spacing w:before="60"/>
              <w:jc w:val="left"/>
            </w:pPr>
            <w:r w:rsidRPr="00BC5EEF">
              <w:t>1</w:t>
            </w:r>
          </w:p>
        </w:tc>
        <w:tc>
          <w:tcPr>
            <w:tcW w:w="0" w:type="auto"/>
            <w:tcBorders>
              <w:top w:val="single" w:sz="4" w:space="0" w:color="auto"/>
            </w:tcBorders>
            <w:shd w:val="clear" w:color="auto" w:fill="FFFFFF"/>
            <w:vAlign w:val="center"/>
          </w:tcPr>
          <w:p w:rsidR="00BC5EEF" w:rsidRPr="00BC5EEF" w:rsidRDefault="00BC5EEF" w:rsidP="003D71F4">
            <w:pPr>
              <w:pStyle w:val="Normal1"/>
              <w:spacing w:before="60"/>
              <w:jc w:val="center"/>
            </w:pPr>
            <w:r w:rsidRPr="00BC5EEF">
              <w:t>2.0</w:t>
            </w:r>
          </w:p>
        </w:tc>
        <w:tc>
          <w:tcPr>
            <w:tcW w:w="1496" w:type="dxa"/>
            <w:tcBorders>
              <w:top w:val="single" w:sz="4" w:space="0" w:color="auto"/>
            </w:tcBorders>
            <w:shd w:val="clear" w:color="auto" w:fill="FFFFFF"/>
            <w:vAlign w:val="center"/>
          </w:tcPr>
          <w:p w:rsidR="00BC5EEF" w:rsidRPr="00BC5EEF" w:rsidRDefault="00BC5EEF" w:rsidP="003D71F4">
            <w:pPr>
              <w:pStyle w:val="Normal1"/>
              <w:spacing w:before="60"/>
              <w:ind w:left="28"/>
              <w:jc w:val="left"/>
            </w:pPr>
            <w:r w:rsidRPr="00BC5EEF">
              <w:rPr>
                <w:i/>
              </w:rPr>
              <w:t>p</w:t>
            </w:r>
            <w:r w:rsidRPr="00BC5EEF">
              <w:t>-MeOC</w:t>
            </w:r>
            <w:r w:rsidRPr="00BC5EEF">
              <w:rPr>
                <w:vertAlign w:val="subscript"/>
              </w:rPr>
              <w:t>6</w:t>
            </w:r>
            <w:r w:rsidRPr="00BC5EEF">
              <w:t>H</w:t>
            </w:r>
            <w:r w:rsidRPr="00BC5EEF">
              <w:rPr>
                <w:vertAlign w:val="subscript"/>
              </w:rPr>
              <w:t>4</w:t>
            </w:r>
          </w:p>
        </w:tc>
        <w:tc>
          <w:tcPr>
            <w:tcW w:w="1373" w:type="dxa"/>
            <w:tcBorders>
              <w:top w:val="single" w:sz="4" w:space="0" w:color="auto"/>
            </w:tcBorders>
            <w:shd w:val="clear" w:color="auto" w:fill="FFFFFF"/>
            <w:vAlign w:val="center"/>
          </w:tcPr>
          <w:p w:rsidR="00BC5EEF" w:rsidRPr="00BC5EEF" w:rsidRDefault="00BC5EEF" w:rsidP="003D71F4">
            <w:pPr>
              <w:pStyle w:val="Normal1"/>
              <w:spacing w:before="60"/>
              <w:jc w:val="center"/>
            </w:pPr>
            <w:r w:rsidRPr="00BC5EEF">
              <w:t>&gt;99</w:t>
            </w:r>
          </w:p>
        </w:tc>
        <w:tc>
          <w:tcPr>
            <w:tcW w:w="0" w:type="auto"/>
            <w:tcBorders>
              <w:top w:val="single" w:sz="4" w:space="0" w:color="auto"/>
            </w:tcBorders>
            <w:shd w:val="clear" w:color="auto" w:fill="FFFFFF"/>
            <w:vAlign w:val="center"/>
          </w:tcPr>
          <w:p w:rsidR="00BC5EEF" w:rsidRPr="00BC5EEF" w:rsidRDefault="00BC5EEF" w:rsidP="003D71F4">
            <w:pPr>
              <w:pStyle w:val="Normal1"/>
              <w:spacing w:before="60"/>
              <w:jc w:val="center"/>
            </w:pPr>
            <w:r w:rsidRPr="00BC5EEF">
              <w:t>50</w:t>
            </w:r>
          </w:p>
        </w:tc>
      </w:tr>
      <w:tr w:rsidR="003D71F4" w:rsidRPr="00BC5EEF" w:rsidTr="003D71F4">
        <w:trPr>
          <w:trHeight w:val="67"/>
          <w:jc w:val="center"/>
        </w:trPr>
        <w:tc>
          <w:tcPr>
            <w:tcW w:w="0" w:type="auto"/>
            <w:shd w:val="clear" w:color="auto" w:fill="FFFFFF"/>
            <w:vAlign w:val="center"/>
          </w:tcPr>
          <w:p w:rsidR="00BC5EEF" w:rsidRPr="00BC5EEF" w:rsidRDefault="00BC5EEF" w:rsidP="003D71F4">
            <w:pPr>
              <w:pStyle w:val="Normal1"/>
              <w:spacing w:before="60"/>
              <w:jc w:val="left"/>
            </w:pPr>
            <w:r w:rsidRPr="00BC5EEF">
              <w:t>2</w:t>
            </w:r>
          </w:p>
        </w:tc>
        <w:tc>
          <w:tcPr>
            <w:tcW w:w="0" w:type="auto"/>
            <w:shd w:val="clear" w:color="auto" w:fill="FFFFFF"/>
            <w:vAlign w:val="center"/>
          </w:tcPr>
          <w:p w:rsidR="00BC5EEF" w:rsidRPr="00BC5EEF" w:rsidRDefault="00BC5EEF" w:rsidP="003D71F4">
            <w:pPr>
              <w:pStyle w:val="Normal1"/>
              <w:spacing w:before="60"/>
              <w:jc w:val="center"/>
            </w:pPr>
            <w:r w:rsidRPr="00BC5EEF">
              <w:t>2.0</w:t>
            </w:r>
          </w:p>
        </w:tc>
        <w:tc>
          <w:tcPr>
            <w:tcW w:w="1496" w:type="dxa"/>
            <w:shd w:val="clear" w:color="auto" w:fill="FFFFFF"/>
            <w:vAlign w:val="center"/>
          </w:tcPr>
          <w:p w:rsidR="00BC5EEF" w:rsidRPr="00BC5EEF" w:rsidRDefault="00BC5EEF" w:rsidP="003D71F4">
            <w:pPr>
              <w:pStyle w:val="Normal1"/>
              <w:spacing w:before="60"/>
              <w:ind w:left="28"/>
              <w:jc w:val="left"/>
            </w:pPr>
            <w:r w:rsidRPr="00BC5EEF">
              <w:rPr>
                <w:i/>
              </w:rPr>
              <w:t>p</w:t>
            </w:r>
            <w:r w:rsidRPr="00BC5EEF">
              <w:t>-ClC</w:t>
            </w:r>
            <w:r w:rsidRPr="00BC5EEF">
              <w:rPr>
                <w:vertAlign w:val="subscript"/>
              </w:rPr>
              <w:t>6</w:t>
            </w:r>
            <w:r w:rsidRPr="00BC5EEF">
              <w:t>H</w:t>
            </w:r>
            <w:r w:rsidRPr="00BC5EEF">
              <w:rPr>
                <w:vertAlign w:val="subscript"/>
              </w:rPr>
              <w:t>4</w:t>
            </w:r>
          </w:p>
        </w:tc>
        <w:tc>
          <w:tcPr>
            <w:tcW w:w="1373" w:type="dxa"/>
            <w:shd w:val="clear" w:color="auto" w:fill="FFFFFF"/>
            <w:vAlign w:val="center"/>
          </w:tcPr>
          <w:p w:rsidR="00BC5EEF" w:rsidRPr="00BC5EEF" w:rsidRDefault="00BC5EEF" w:rsidP="003D71F4">
            <w:pPr>
              <w:pStyle w:val="Normal1"/>
              <w:spacing w:before="60"/>
              <w:jc w:val="center"/>
            </w:pPr>
            <w:r w:rsidRPr="00BC5EEF">
              <w:t>&gt;99</w:t>
            </w:r>
          </w:p>
        </w:tc>
        <w:tc>
          <w:tcPr>
            <w:tcW w:w="0" w:type="auto"/>
            <w:shd w:val="clear" w:color="auto" w:fill="FFFFFF"/>
            <w:vAlign w:val="center"/>
          </w:tcPr>
          <w:p w:rsidR="00BC5EEF" w:rsidRPr="00BC5EEF" w:rsidRDefault="00BC5EEF" w:rsidP="003D71F4">
            <w:pPr>
              <w:pStyle w:val="Normal1"/>
              <w:spacing w:before="60"/>
              <w:jc w:val="center"/>
            </w:pPr>
            <w:r w:rsidRPr="00BC5EEF">
              <w:t>62</w:t>
            </w:r>
          </w:p>
        </w:tc>
      </w:tr>
      <w:tr w:rsidR="003D71F4" w:rsidRPr="00BC5EEF" w:rsidTr="003D71F4">
        <w:trPr>
          <w:trHeight w:val="89"/>
          <w:jc w:val="center"/>
        </w:trPr>
        <w:tc>
          <w:tcPr>
            <w:tcW w:w="0" w:type="auto"/>
            <w:shd w:val="clear" w:color="auto" w:fill="FFFFFF"/>
            <w:vAlign w:val="center"/>
          </w:tcPr>
          <w:p w:rsidR="00BC5EEF" w:rsidRPr="00BC5EEF" w:rsidRDefault="00BC5EEF" w:rsidP="003D71F4">
            <w:pPr>
              <w:pStyle w:val="Normal1"/>
              <w:spacing w:before="60"/>
              <w:jc w:val="left"/>
            </w:pPr>
            <w:r w:rsidRPr="00BC5EEF">
              <w:t>3</w:t>
            </w:r>
          </w:p>
        </w:tc>
        <w:tc>
          <w:tcPr>
            <w:tcW w:w="0" w:type="auto"/>
            <w:shd w:val="clear" w:color="auto" w:fill="FFFFFF"/>
            <w:vAlign w:val="center"/>
          </w:tcPr>
          <w:p w:rsidR="00BC5EEF" w:rsidRPr="00BC5EEF" w:rsidRDefault="00BC5EEF" w:rsidP="003D71F4">
            <w:pPr>
              <w:pStyle w:val="Normal1"/>
              <w:spacing w:before="60"/>
              <w:jc w:val="center"/>
            </w:pPr>
            <w:r w:rsidRPr="00BC5EEF">
              <w:t>1.2</w:t>
            </w:r>
          </w:p>
        </w:tc>
        <w:tc>
          <w:tcPr>
            <w:tcW w:w="1496" w:type="dxa"/>
            <w:shd w:val="clear" w:color="auto" w:fill="FFFFFF"/>
            <w:vAlign w:val="center"/>
          </w:tcPr>
          <w:p w:rsidR="00BC5EEF" w:rsidRPr="00BC5EEF" w:rsidRDefault="00BC5EEF" w:rsidP="003D71F4">
            <w:pPr>
              <w:pStyle w:val="Normal1"/>
              <w:spacing w:before="60"/>
              <w:ind w:left="28"/>
              <w:jc w:val="left"/>
              <w:rPr>
                <w:rFonts w:eastAsia="Calibri"/>
              </w:rPr>
            </w:pPr>
            <w:r w:rsidRPr="00BC5EEF">
              <w:rPr>
                <w:i/>
              </w:rPr>
              <w:t>p</w:t>
            </w:r>
            <w:r w:rsidRPr="00BC5EEF">
              <w:t>-ClC</w:t>
            </w:r>
            <w:r w:rsidRPr="00BC5EEF">
              <w:rPr>
                <w:vertAlign w:val="subscript"/>
              </w:rPr>
              <w:t>6</w:t>
            </w:r>
            <w:r w:rsidRPr="00BC5EEF">
              <w:t>H</w:t>
            </w:r>
            <w:r w:rsidRPr="00BC5EEF">
              <w:rPr>
                <w:vertAlign w:val="subscript"/>
              </w:rPr>
              <w:t>4</w:t>
            </w:r>
          </w:p>
        </w:tc>
        <w:tc>
          <w:tcPr>
            <w:tcW w:w="1373" w:type="dxa"/>
            <w:shd w:val="clear" w:color="auto" w:fill="FFFFFF"/>
            <w:vAlign w:val="center"/>
          </w:tcPr>
          <w:p w:rsidR="00BC5EEF" w:rsidRPr="00BC5EEF" w:rsidRDefault="00BC5EEF" w:rsidP="003D71F4">
            <w:pPr>
              <w:pStyle w:val="Normal1"/>
              <w:spacing w:before="60"/>
              <w:jc w:val="center"/>
            </w:pPr>
            <w:r w:rsidRPr="00BC5EEF">
              <w:t>&gt;99</w:t>
            </w:r>
          </w:p>
        </w:tc>
        <w:tc>
          <w:tcPr>
            <w:tcW w:w="0" w:type="auto"/>
            <w:shd w:val="clear" w:color="auto" w:fill="FFFFFF"/>
            <w:vAlign w:val="center"/>
          </w:tcPr>
          <w:p w:rsidR="00BC5EEF" w:rsidRPr="00BC5EEF" w:rsidRDefault="00BC5EEF" w:rsidP="003D71F4">
            <w:pPr>
              <w:pStyle w:val="Normal1"/>
              <w:spacing w:before="60"/>
              <w:jc w:val="center"/>
            </w:pPr>
            <w:r w:rsidRPr="00BC5EEF">
              <w:t>94</w:t>
            </w:r>
          </w:p>
        </w:tc>
      </w:tr>
      <w:tr w:rsidR="003D71F4" w:rsidRPr="00BC5EEF" w:rsidTr="003D71F4">
        <w:trPr>
          <w:trHeight w:val="67"/>
          <w:jc w:val="center"/>
        </w:trPr>
        <w:tc>
          <w:tcPr>
            <w:tcW w:w="0" w:type="auto"/>
            <w:shd w:val="clear" w:color="auto" w:fill="FFFFFF"/>
            <w:vAlign w:val="center"/>
          </w:tcPr>
          <w:p w:rsidR="00BC5EEF" w:rsidRPr="00BC5EEF" w:rsidRDefault="00BC5EEF" w:rsidP="003D71F4">
            <w:pPr>
              <w:pStyle w:val="Normal1"/>
              <w:spacing w:before="60"/>
              <w:jc w:val="left"/>
            </w:pPr>
            <w:r w:rsidRPr="00BC5EEF">
              <w:t>4</w:t>
            </w:r>
          </w:p>
        </w:tc>
        <w:tc>
          <w:tcPr>
            <w:tcW w:w="0" w:type="auto"/>
            <w:shd w:val="clear" w:color="auto" w:fill="FFFFFF"/>
            <w:vAlign w:val="center"/>
          </w:tcPr>
          <w:p w:rsidR="00BC5EEF" w:rsidRPr="00BC5EEF" w:rsidRDefault="00BC5EEF" w:rsidP="003D71F4">
            <w:pPr>
              <w:pStyle w:val="Normal1"/>
              <w:spacing w:before="60"/>
              <w:jc w:val="center"/>
            </w:pPr>
            <w:r w:rsidRPr="00BC5EEF">
              <w:t>2.0</w:t>
            </w:r>
          </w:p>
        </w:tc>
        <w:tc>
          <w:tcPr>
            <w:tcW w:w="1496" w:type="dxa"/>
            <w:shd w:val="clear" w:color="auto" w:fill="FFFFFF"/>
            <w:vAlign w:val="center"/>
          </w:tcPr>
          <w:p w:rsidR="00BC5EEF" w:rsidRPr="00BC5EEF" w:rsidRDefault="00BC5EEF" w:rsidP="003D71F4">
            <w:pPr>
              <w:pStyle w:val="Normal1"/>
              <w:spacing w:before="60"/>
              <w:ind w:left="28"/>
              <w:jc w:val="left"/>
            </w:pPr>
            <w:r w:rsidRPr="00BC5EEF">
              <w:t>1-naphthyl</w:t>
            </w:r>
          </w:p>
        </w:tc>
        <w:tc>
          <w:tcPr>
            <w:tcW w:w="1373" w:type="dxa"/>
            <w:shd w:val="clear" w:color="auto" w:fill="FFFFFF"/>
            <w:vAlign w:val="center"/>
          </w:tcPr>
          <w:p w:rsidR="00BC5EEF" w:rsidRPr="00BC5EEF" w:rsidRDefault="00BC5EEF" w:rsidP="003D71F4">
            <w:pPr>
              <w:pStyle w:val="Normal1"/>
              <w:spacing w:before="60"/>
              <w:jc w:val="center"/>
            </w:pPr>
            <w:r w:rsidRPr="00BC5EEF">
              <w:t>&gt;99</w:t>
            </w:r>
          </w:p>
        </w:tc>
        <w:tc>
          <w:tcPr>
            <w:tcW w:w="0" w:type="auto"/>
            <w:shd w:val="clear" w:color="auto" w:fill="FFFFFF"/>
            <w:vAlign w:val="center"/>
          </w:tcPr>
          <w:p w:rsidR="00BC5EEF" w:rsidRPr="00BC5EEF" w:rsidRDefault="00BC5EEF" w:rsidP="003D71F4">
            <w:pPr>
              <w:pStyle w:val="Normal1"/>
              <w:spacing w:before="60"/>
              <w:jc w:val="center"/>
            </w:pPr>
            <w:r w:rsidRPr="00BC5EEF">
              <w:t>87</w:t>
            </w:r>
          </w:p>
        </w:tc>
      </w:tr>
      <w:tr w:rsidR="003D71F4" w:rsidRPr="00BC5EEF" w:rsidTr="003D71F4">
        <w:trPr>
          <w:trHeight w:val="67"/>
          <w:jc w:val="center"/>
        </w:trPr>
        <w:tc>
          <w:tcPr>
            <w:tcW w:w="0" w:type="auto"/>
            <w:shd w:val="clear" w:color="auto" w:fill="FFFFFF"/>
            <w:vAlign w:val="center"/>
          </w:tcPr>
          <w:p w:rsidR="00BC5EEF" w:rsidRPr="00BC5EEF" w:rsidRDefault="00BC5EEF" w:rsidP="003D71F4">
            <w:pPr>
              <w:pStyle w:val="Normal1"/>
              <w:spacing w:before="60"/>
              <w:jc w:val="left"/>
            </w:pPr>
            <w:r w:rsidRPr="00BC5EEF">
              <w:t>5</w:t>
            </w:r>
          </w:p>
        </w:tc>
        <w:tc>
          <w:tcPr>
            <w:tcW w:w="0" w:type="auto"/>
            <w:shd w:val="clear" w:color="auto" w:fill="FFFFFF"/>
            <w:vAlign w:val="center"/>
          </w:tcPr>
          <w:p w:rsidR="00BC5EEF" w:rsidRPr="00BC5EEF" w:rsidRDefault="00BC5EEF" w:rsidP="003D71F4">
            <w:pPr>
              <w:pStyle w:val="Normal1"/>
              <w:spacing w:before="60"/>
              <w:jc w:val="center"/>
            </w:pPr>
            <w:r w:rsidRPr="00BC5EEF">
              <w:t>1.2</w:t>
            </w:r>
          </w:p>
        </w:tc>
        <w:tc>
          <w:tcPr>
            <w:tcW w:w="1496" w:type="dxa"/>
            <w:shd w:val="clear" w:color="auto" w:fill="FFFFFF"/>
            <w:vAlign w:val="center"/>
          </w:tcPr>
          <w:p w:rsidR="00BC5EEF" w:rsidRPr="00BC5EEF" w:rsidRDefault="00BC5EEF" w:rsidP="003D71F4">
            <w:pPr>
              <w:pStyle w:val="Normal1"/>
              <w:spacing w:before="60"/>
              <w:ind w:left="28"/>
              <w:jc w:val="left"/>
              <w:rPr>
                <w:rFonts w:eastAsia="Calibri"/>
              </w:rPr>
            </w:pPr>
            <w:r w:rsidRPr="00BC5EEF">
              <w:t>1-naphthyl</w:t>
            </w:r>
          </w:p>
        </w:tc>
        <w:tc>
          <w:tcPr>
            <w:tcW w:w="1373" w:type="dxa"/>
            <w:shd w:val="clear" w:color="auto" w:fill="FFFFFF"/>
            <w:vAlign w:val="center"/>
          </w:tcPr>
          <w:p w:rsidR="00BC5EEF" w:rsidRPr="00BC5EEF" w:rsidRDefault="00BC5EEF" w:rsidP="003D71F4">
            <w:pPr>
              <w:pStyle w:val="Normal1"/>
              <w:spacing w:before="60"/>
              <w:jc w:val="center"/>
            </w:pPr>
            <w:r w:rsidRPr="00BC5EEF">
              <w:t>&gt;99</w:t>
            </w:r>
          </w:p>
        </w:tc>
        <w:tc>
          <w:tcPr>
            <w:tcW w:w="0" w:type="auto"/>
            <w:shd w:val="clear" w:color="auto" w:fill="FFFFFF"/>
            <w:vAlign w:val="center"/>
          </w:tcPr>
          <w:p w:rsidR="00BC5EEF" w:rsidRPr="00BC5EEF" w:rsidRDefault="00BC5EEF" w:rsidP="003D71F4">
            <w:pPr>
              <w:pStyle w:val="Normal1"/>
              <w:spacing w:before="60"/>
              <w:jc w:val="center"/>
            </w:pPr>
            <w:r w:rsidRPr="00BC5EEF">
              <w:t>83</w:t>
            </w:r>
          </w:p>
        </w:tc>
      </w:tr>
      <w:tr w:rsidR="003D71F4" w:rsidRPr="00BC5EEF" w:rsidTr="003D71F4">
        <w:trPr>
          <w:trHeight w:val="128"/>
          <w:jc w:val="center"/>
        </w:trPr>
        <w:tc>
          <w:tcPr>
            <w:tcW w:w="0" w:type="auto"/>
            <w:tcBorders>
              <w:bottom w:val="nil"/>
            </w:tcBorders>
            <w:shd w:val="clear" w:color="auto" w:fill="FFFFFF"/>
            <w:vAlign w:val="center"/>
          </w:tcPr>
          <w:p w:rsidR="00BC5EEF" w:rsidRPr="00BC5EEF" w:rsidRDefault="00BC5EEF" w:rsidP="003D71F4">
            <w:pPr>
              <w:pStyle w:val="Normal1"/>
              <w:spacing w:before="60"/>
              <w:jc w:val="left"/>
            </w:pPr>
            <w:r w:rsidRPr="00BC5EEF">
              <w:t>6</w:t>
            </w:r>
          </w:p>
        </w:tc>
        <w:tc>
          <w:tcPr>
            <w:tcW w:w="0" w:type="auto"/>
            <w:tcBorders>
              <w:bottom w:val="nil"/>
            </w:tcBorders>
            <w:shd w:val="clear" w:color="auto" w:fill="FFFFFF"/>
            <w:vAlign w:val="center"/>
          </w:tcPr>
          <w:p w:rsidR="00BC5EEF" w:rsidRPr="00BC5EEF" w:rsidRDefault="00BC5EEF" w:rsidP="003D71F4">
            <w:pPr>
              <w:pStyle w:val="Normal1"/>
              <w:spacing w:before="60"/>
              <w:jc w:val="center"/>
            </w:pPr>
            <w:r w:rsidRPr="00BC5EEF">
              <w:t>2.0</w:t>
            </w:r>
          </w:p>
        </w:tc>
        <w:tc>
          <w:tcPr>
            <w:tcW w:w="1496" w:type="dxa"/>
            <w:tcBorders>
              <w:bottom w:val="nil"/>
            </w:tcBorders>
            <w:shd w:val="clear" w:color="auto" w:fill="FFFFFF"/>
            <w:vAlign w:val="center"/>
          </w:tcPr>
          <w:p w:rsidR="00BC5EEF" w:rsidRPr="00BC5EEF" w:rsidRDefault="00BC5EEF" w:rsidP="003D71F4">
            <w:pPr>
              <w:pStyle w:val="Normal1"/>
              <w:spacing w:before="60"/>
              <w:ind w:left="28"/>
              <w:jc w:val="left"/>
            </w:pPr>
            <w:r w:rsidRPr="00BC5EEF">
              <w:t>(</w:t>
            </w:r>
            <w:r w:rsidRPr="00BC5EEF">
              <w:rPr>
                <w:i/>
              </w:rPr>
              <w:t>E</w:t>
            </w:r>
            <w:r w:rsidRPr="00BC5EEF">
              <w:t>)-PhCH=CH</w:t>
            </w:r>
          </w:p>
        </w:tc>
        <w:tc>
          <w:tcPr>
            <w:tcW w:w="1373" w:type="dxa"/>
            <w:tcBorders>
              <w:bottom w:val="nil"/>
            </w:tcBorders>
            <w:shd w:val="clear" w:color="auto" w:fill="FFFFFF"/>
            <w:vAlign w:val="center"/>
          </w:tcPr>
          <w:p w:rsidR="00BC5EEF" w:rsidRPr="00BC5EEF" w:rsidRDefault="00BC5EEF" w:rsidP="003D71F4">
            <w:pPr>
              <w:pStyle w:val="Normal1"/>
              <w:spacing w:before="60"/>
              <w:jc w:val="center"/>
            </w:pPr>
            <w:r w:rsidRPr="00BC5EEF">
              <w:t>&gt;99</w:t>
            </w:r>
          </w:p>
        </w:tc>
        <w:tc>
          <w:tcPr>
            <w:tcW w:w="0" w:type="auto"/>
            <w:tcBorders>
              <w:bottom w:val="nil"/>
            </w:tcBorders>
            <w:shd w:val="clear" w:color="auto" w:fill="FFFFFF"/>
            <w:vAlign w:val="center"/>
          </w:tcPr>
          <w:p w:rsidR="00BC5EEF" w:rsidRPr="00BC5EEF" w:rsidRDefault="00BC5EEF" w:rsidP="003D71F4">
            <w:pPr>
              <w:pStyle w:val="Normal1"/>
              <w:spacing w:before="60"/>
              <w:jc w:val="center"/>
            </w:pPr>
            <w:r w:rsidRPr="00BC5EEF">
              <w:t>78</w:t>
            </w:r>
          </w:p>
        </w:tc>
      </w:tr>
      <w:tr w:rsidR="003D71F4" w:rsidRPr="00BC5EEF" w:rsidTr="003D71F4">
        <w:trPr>
          <w:trHeight w:val="67"/>
          <w:jc w:val="center"/>
        </w:trPr>
        <w:tc>
          <w:tcPr>
            <w:tcW w:w="0" w:type="auto"/>
            <w:tcBorders>
              <w:top w:val="nil"/>
              <w:bottom w:val="single" w:sz="4" w:space="0" w:color="auto"/>
            </w:tcBorders>
            <w:shd w:val="clear" w:color="auto" w:fill="FFFFFF"/>
            <w:vAlign w:val="center"/>
          </w:tcPr>
          <w:p w:rsidR="00BC5EEF" w:rsidRPr="00BC5EEF" w:rsidRDefault="00BC5EEF" w:rsidP="003D71F4">
            <w:pPr>
              <w:pStyle w:val="Normal1"/>
              <w:spacing w:before="60" w:after="60"/>
              <w:jc w:val="left"/>
            </w:pPr>
            <w:r w:rsidRPr="00BC5EEF">
              <w:t>7</w:t>
            </w:r>
          </w:p>
        </w:tc>
        <w:tc>
          <w:tcPr>
            <w:tcW w:w="0" w:type="auto"/>
            <w:tcBorders>
              <w:top w:val="nil"/>
              <w:bottom w:val="single" w:sz="4" w:space="0" w:color="auto"/>
            </w:tcBorders>
            <w:shd w:val="clear" w:color="auto" w:fill="FFFFFF"/>
            <w:vAlign w:val="center"/>
          </w:tcPr>
          <w:p w:rsidR="00BC5EEF" w:rsidRPr="00BC5EEF" w:rsidRDefault="00BC5EEF" w:rsidP="003D71F4">
            <w:pPr>
              <w:pStyle w:val="Normal1"/>
              <w:spacing w:before="60" w:after="60"/>
              <w:jc w:val="center"/>
            </w:pPr>
            <w:r w:rsidRPr="00BC5EEF">
              <w:t>2.0</w:t>
            </w:r>
          </w:p>
        </w:tc>
        <w:tc>
          <w:tcPr>
            <w:tcW w:w="1496" w:type="dxa"/>
            <w:tcBorders>
              <w:top w:val="nil"/>
              <w:bottom w:val="single" w:sz="4" w:space="0" w:color="auto"/>
            </w:tcBorders>
            <w:shd w:val="clear" w:color="auto" w:fill="FFFFFF"/>
            <w:vAlign w:val="center"/>
          </w:tcPr>
          <w:p w:rsidR="00BC5EEF" w:rsidRPr="00BC5EEF" w:rsidRDefault="00BC5EEF" w:rsidP="003D71F4">
            <w:pPr>
              <w:pStyle w:val="Normal1"/>
              <w:spacing w:before="60" w:after="60"/>
              <w:ind w:left="28"/>
              <w:jc w:val="left"/>
            </w:pPr>
            <w:r w:rsidRPr="00BC5EEF">
              <w:rPr>
                <w:i/>
              </w:rPr>
              <w:t>c</w:t>
            </w:r>
            <w:r w:rsidRPr="00BC5EEF">
              <w:t>-Hex</w:t>
            </w:r>
          </w:p>
        </w:tc>
        <w:tc>
          <w:tcPr>
            <w:tcW w:w="1373" w:type="dxa"/>
            <w:tcBorders>
              <w:top w:val="nil"/>
              <w:bottom w:val="single" w:sz="4" w:space="0" w:color="auto"/>
            </w:tcBorders>
            <w:shd w:val="clear" w:color="auto" w:fill="FFFFFF"/>
            <w:vAlign w:val="center"/>
          </w:tcPr>
          <w:p w:rsidR="00BC5EEF" w:rsidRPr="00BC5EEF" w:rsidRDefault="00BC5EEF" w:rsidP="003D71F4">
            <w:pPr>
              <w:pStyle w:val="Normal1"/>
              <w:spacing w:before="60" w:after="60"/>
              <w:jc w:val="center"/>
            </w:pPr>
            <w:r w:rsidRPr="00BC5EEF">
              <w:t>62</w:t>
            </w:r>
          </w:p>
        </w:tc>
        <w:tc>
          <w:tcPr>
            <w:tcW w:w="0" w:type="auto"/>
            <w:tcBorders>
              <w:top w:val="nil"/>
              <w:bottom w:val="single" w:sz="4" w:space="0" w:color="auto"/>
            </w:tcBorders>
            <w:shd w:val="clear" w:color="auto" w:fill="FFFFFF"/>
            <w:vAlign w:val="center"/>
          </w:tcPr>
          <w:p w:rsidR="00BC5EEF" w:rsidRPr="00BC5EEF" w:rsidRDefault="00BC5EEF" w:rsidP="003D71F4">
            <w:pPr>
              <w:pStyle w:val="Normal1"/>
              <w:spacing w:before="60" w:after="60"/>
              <w:jc w:val="center"/>
            </w:pPr>
            <w:r w:rsidRPr="00BC5EEF">
              <w:t>27</w:t>
            </w:r>
          </w:p>
        </w:tc>
      </w:tr>
    </w:tbl>
    <w:p w:rsidR="00BC5EEF" w:rsidRPr="003D71F4" w:rsidRDefault="00BC5EEF" w:rsidP="003D71F4">
      <w:pPr>
        <w:pStyle w:val="Normal1"/>
        <w:spacing w:before="60"/>
        <w:ind w:left="720"/>
        <w:rPr>
          <w:sz w:val="18"/>
          <w:szCs w:val="18"/>
        </w:rPr>
      </w:pPr>
      <w:r w:rsidRPr="00BC5EEF">
        <w:rPr>
          <w:i/>
          <w:vertAlign w:val="superscript"/>
        </w:rPr>
        <w:t xml:space="preserve">                    </w:t>
      </w:r>
      <w:r w:rsidR="003D71F4">
        <w:rPr>
          <w:i/>
          <w:vertAlign w:val="superscript"/>
        </w:rPr>
        <w:t xml:space="preserve">      </w:t>
      </w:r>
      <w:r w:rsidRPr="003D71F4">
        <w:rPr>
          <w:i/>
          <w:sz w:val="18"/>
          <w:szCs w:val="18"/>
          <w:vertAlign w:val="superscript"/>
        </w:rPr>
        <w:t xml:space="preserve">a </w:t>
      </w:r>
      <w:r w:rsidRPr="003D71F4">
        <w:rPr>
          <w:sz w:val="18"/>
          <w:szCs w:val="18"/>
        </w:rPr>
        <w:t xml:space="preserve">Determined by </w:t>
      </w:r>
      <w:r w:rsidRPr="003D71F4">
        <w:rPr>
          <w:sz w:val="18"/>
          <w:szCs w:val="18"/>
          <w:vertAlign w:val="superscript"/>
        </w:rPr>
        <w:t>1</w:t>
      </w:r>
      <w:r w:rsidRPr="003D71F4">
        <w:rPr>
          <w:sz w:val="18"/>
          <w:szCs w:val="18"/>
        </w:rPr>
        <w:t>H NMR</w:t>
      </w:r>
    </w:p>
    <w:p w:rsidR="00BC5EEF" w:rsidRPr="00BC5EEF" w:rsidRDefault="00BC5EEF" w:rsidP="003D71F4">
      <w:pPr>
        <w:pStyle w:val="Normal1"/>
        <w:spacing w:after="120"/>
      </w:pPr>
    </w:p>
    <w:p w:rsidR="00BC5EEF" w:rsidRPr="00BC5EEF" w:rsidRDefault="00BC5EEF" w:rsidP="00BC5EEF">
      <w:pPr>
        <w:pStyle w:val="Normal1"/>
      </w:pPr>
      <w:r w:rsidRPr="00BC5EEF">
        <w:t xml:space="preserve">Next, we investigated the hydrosilylation of acetophenone using </w:t>
      </w:r>
      <w:r w:rsidRPr="00BC5EEF">
        <w:rPr>
          <w:b/>
        </w:rPr>
        <w:t>1a</w:t>
      </w:r>
      <w:r w:rsidRPr="00BC5EEF">
        <w:t xml:space="preserve"> as a catalyst (Figure 3 and Table 3). As expected from the result obtained with cyclohexanecarboxaldehyde, the hydrosilylation of acetophenone, which is less reactive than cyclohexanecarboxaldehyde, was very slow. Only 5% of acetophenone was converted into 1-phenylethanol under the conditions optimized for aldehydes (entry 1). The reaction was equally sluggish in CHCl</w:t>
      </w:r>
      <w:r w:rsidRPr="00BC5EEF">
        <w:rPr>
          <w:vertAlign w:val="subscript"/>
        </w:rPr>
        <w:t>3</w:t>
      </w:r>
      <w:r w:rsidRPr="00BC5EEF">
        <w:t xml:space="preserve"> (entry 2) and toluene (entry 3) and promoted a little further in Et</w:t>
      </w:r>
      <w:r w:rsidRPr="00BC5EEF">
        <w:rPr>
          <w:vertAlign w:val="subscript"/>
        </w:rPr>
        <w:t>2</w:t>
      </w:r>
      <w:r w:rsidRPr="00BC5EEF">
        <w:t xml:space="preserve">O (entry 4) and 1,4-dioxane (entry 5), though only up to 15%. The reaction did not occur when diethyl phenylphosphonate </w:t>
      </w:r>
      <w:r w:rsidRPr="00BC5EEF">
        <w:rPr>
          <w:b/>
        </w:rPr>
        <w:t>4</w:t>
      </w:r>
      <w:r w:rsidRPr="00BC5EEF">
        <w:t xml:space="preserve"> was used as a catalyst in toluene (entry 6).</w:t>
      </w:r>
    </w:p>
    <w:p w:rsidR="00BC5EEF" w:rsidRPr="00BC5EEF" w:rsidRDefault="00BC5EEF" w:rsidP="003D71F4">
      <w:pPr>
        <w:pStyle w:val="Normal1"/>
        <w:spacing w:after="120"/>
      </w:pPr>
    </w:p>
    <w:p w:rsidR="00BC5EEF" w:rsidRPr="00BC5EEF" w:rsidRDefault="00BC5EEF" w:rsidP="003D71F4">
      <w:pPr>
        <w:pStyle w:val="Normal1"/>
        <w:spacing w:after="120"/>
        <w:jc w:val="center"/>
      </w:pPr>
      <w:r w:rsidRPr="00BC5EEF">
        <w:rPr>
          <w:noProof/>
          <w:lang w:eastAsia="en-US"/>
        </w:rPr>
        <w:drawing>
          <wp:inline distT="0" distB="0" distL="114300" distR="114300" wp14:anchorId="561B7A0A" wp14:editId="7725C53E">
            <wp:extent cx="3238500" cy="4318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cstate="print"/>
                    <a:srcRect/>
                    <a:stretch>
                      <a:fillRect/>
                    </a:stretch>
                  </pic:blipFill>
                  <pic:spPr>
                    <a:xfrm>
                      <a:off x="0" y="0"/>
                      <a:ext cx="3238500" cy="431800"/>
                    </a:xfrm>
                    <a:prstGeom prst="rect">
                      <a:avLst/>
                    </a:prstGeom>
                    <a:ln/>
                  </pic:spPr>
                </pic:pic>
              </a:graphicData>
            </a:graphic>
          </wp:inline>
        </w:drawing>
      </w:r>
    </w:p>
    <w:p w:rsidR="00BC5EEF" w:rsidRPr="00BC5EEF" w:rsidRDefault="00BC5EEF" w:rsidP="003D71F4">
      <w:pPr>
        <w:pStyle w:val="Normal1"/>
        <w:jc w:val="center"/>
      </w:pPr>
      <w:r w:rsidRPr="00BC5EEF">
        <w:t>Figure 3.</w:t>
      </w:r>
      <w:r w:rsidRPr="00BC5EEF">
        <w:rPr>
          <w:b/>
        </w:rPr>
        <w:t xml:space="preserve"> </w:t>
      </w:r>
      <w:r w:rsidR="003D71F4">
        <w:rPr>
          <w:b/>
        </w:rPr>
        <w:t xml:space="preserve"> </w:t>
      </w:r>
      <w:r w:rsidRPr="00BC5EEF">
        <w:t>Hydrosilylation reaction of acetophenone</w:t>
      </w:r>
    </w:p>
    <w:p w:rsidR="00BC5EEF" w:rsidRPr="00BC5EEF" w:rsidRDefault="00BC5EEF" w:rsidP="00BC5EEF">
      <w:pPr>
        <w:pStyle w:val="Normal1"/>
      </w:pPr>
    </w:p>
    <w:p w:rsidR="00BC5EEF" w:rsidRPr="00BC5EEF" w:rsidRDefault="00BC5EEF" w:rsidP="00BC5EEF">
      <w:pPr>
        <w:pStyle w:val="Normal1"/>
      </w:pPr>
    </w:p>
    <w:p w:rsidR="00BC5EEF" w:rsidRPr="00BC5EEF" w:rsidRDefault="00BC5EEF" w:rsidP="003D71F4">
      <w:pPr>
        <w:pStyle w:val="Normal1"/>
        <w:spacing w:after="120"/>
        <w:jc w:val="center"/>
      </w:pPr>
      <w:r w:rsidRPr="00BC5EEF">
        <w:t>Table 3.</w:t>
      </w:r>
      <w:r w:rsidRPr="00BC5EEF">
        <w:rPr>
          <w:b/>
        </w:rPr>
        <w:t xml:space="preserve"> </w:t>
      </w:r>
      <w:r w:rsidR="003D71F4">
        <w:rPr>
          <w:b/>
        </w:rPr>
        <w:t xml:space="preserve"> </w:t>
      </w:r>
      <w:r w:rsidRPr="00BC5EEF">
        <w:t>Hydrosilylation of acetophenone</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716"/>
        <w:gridCol w:w="928"/>
        <w:gridCol w:w="1166"/>
        <w:gridCol w:w="1664"/>
      </w:tblGrid>
      <w:tr w:rsidR="00BC5EEF" w:rsidRPr="00BC5EEF" w:rsidTr="003D71F4">
        <w:trPr>
          <w:trHeight w:val="340"/>
          <w:jc w:val="center"/>
        </w:trPr>
        <w:tc>
          <w:tcPr>
            <w:tcW w:w="0" w:type="auto"/>
            <w:tcBorders>
              <w:top w:val="single" w:sz="4" w:space="0" w:color="auto"/>
              <w:bottom w:val="single" w:sz="4" w:space="0" w:color="auto"/>
            </w:tcBorders>
            <w:shd w:val="clear" w:color="auto" w:fill="FFFFFF"/>
            <w:vAlign w:val="center"/>
          </w:tcPr>
          <w:p w:rsidR="00BC5EEF" w:rsidRPr="003D71F4" w:rsidRDefault="00BC5EEF" w:rsidP="003D71F4">
            <w:pPr>
              <w:pStyle w:val="Normal1"/>
              <w:spacing w:before="60" w:after="60"/>
              <w:jc w:val="left"/>
              <w:rPr>
                <w:b/>
              </w:rPr>
            </w:pPr>
            <w:r w:rsidRPr="003D71F4">
              <w:rPr>
                <w:b/>
              </w:rPr>
              <w:t>Entry</w:t>
            </w:r>
          </w:p>
        </w:tc>
        <w:tc>
          <w:tcPr>
            <w:tcW w:w="0" w:type="auto"/>
            <w:tcBorders>
              <w:top w:val="single" w:sz="4" w:space="0" w:color="auto"/>
              <w:bottom w:val="single" w:sz="4" w:space="0" w:color="auto"/>
            </w:tcBorders>
            <w:shd w:val="clear" w:color="auto" w:fill="FFFFFF"/>
            <w:vAlign w:val="center"/>
          </w:tcPr>
          <w:p w:rsidR="00BC5EEF" w:rsidRPr="003D71F4" w:rsidRDefault="00BC5EEF" w:rsidP="003D71F4">
            <w:pPr>
              <w:pStyle w:val="Normal1"/>
              <w:spacing w:before="60" w:after="60"/>
              <w:jc w:val="left"/>
              <w:rPr>
                <w:b/>
              </w:rPr>
            </w:pPr>
            <w:r w:rsidRPr="003D71F4">
              <w:rPr>
                <w:b/>
              </w:rPr>
              <w:t>Catalyst</w:t>
            </w:r>
          </w:p>
        </w:tc>
        <w:tc>
          <w:tcPr>
            <w:tcW w:w="0" w:type="auto"/>
            <w:tcBorders>
              <w:top w:val="single" w:sz="4" w:space="0" w:color="auto"/>
              <w:bottom w:val="single" w:sz="4" w:space="0" w:color="auto"/>
            </w:tcBorders>
            <w:shd w:val="clear" w:color="auto" w:fill="FFFFFF"/>
            <w:vAlign w:val="center"/>
          </w:tcPr>
          <w:p w:rsidR="00BC5EEF" w:rsidRPr="003D71F4" w:rsidRDefault="00BC5EEF" w:rsidP="003D71F4">
            <w:pPr>
              <w:pStyle w:val="Normal1"/>
              <w:spacing w:before="60" w:after="60"/>
              <w:jc w:val="left"/>
              <w:rPr>
                <w:b/>
              </w:rPr>
            </w:pPr>
            <w:r w:rsidRPr="003D71F4">
              <w:rPr>
                <w:b/>
              </w:rPr>
              <w:t>Solvent</w:t>
            </w:r>
          </w:p>
        </w:tc>
        <w:tc>
          <w:tcPr>
            <w:tcW w:w="0" w:type="auto"/>
            <w:tcBorders>
              <w:top w:val="single" w:sz="4" w:space="0" w:color="auto"/>
              <w:bottom w:val="single" w:sz="4" w:space="0" w:color="auto"/>
            </w:tcBorders>
            <w:shd w:val="clear" w:color="auto" w:fill="FFFFFF"/>
            <w:vAlign w:val="center"/>
          </w:tcPr>
          <w:p w:rsidR="00BC5EEF" w:rsidRPr="003D71F4" w:rsidRDefault="00BC5EEF" w:rsidP="003D71F4">
            <w:pPr>
              <w:pStyle w:val="Normal1"/>
              <w:spacing w:before="60" w:after="60"/>
              <w:jc w:val="center"/>
              <w:rPr>
                <w:b/>
                <w:vertAlign w:val="superscript"/>
              </w:rPr>
            </w:pPr>
            <w:r w:rsidRPr="003D71F4">
              <w:rPr>
                <w:b/>
              </w:rPr>
              <w:t>Conversion (%)</w:t>
            </w:r>
            <w:r w:rsidRPr="003D71F4">
              <w:rPr>
                <w:b/>
                <w:i/>
                <w:vertAlign w:val="superscript"/>
              </w:rPr>
              <w:t>A</w:t>
            </w:r>
          </w:p>
        </w:tc>
      </w:tr>
      <w:tr w:rsidR="00BC5EEF" w:rsidRPr="00BC5EEF" w:rsidTr="003D71F4">
        <w:trPr>
          <w:trHeight w:val="43"/>
          <w:jc w:val="center"/>
        </w:trPr>
        <w:tc>
          <w:tcPr>
            <w:tcW w:w="0" w:type="auto"/>
            <w:tcBorders>
              <w:top w:val="single" w:sz="4" w:space="0" w:color="auto"/>
            </w:tcBorders>
            <w:shd w:val="clear" w:color="auto" w:fill="FFFFFF"/>
            <w:vAlign w:val="center"/>
          </w:tcPr>
          <w:p w:rsidR="00BC5EEF" w:rsidRPr="00BC5EEF" w:rsidRDefault="00BC5EEF" w:rsidP="003D71F4">
            <w:pPr>
              <w:pStyle w:val="Normal1"/>
              <w:spacing w:before="60"/>
              <w:jc w:val="left"/>
            </w:pPr>
            <w:r w:rsidRPr="00BC5EEF">
              <w:t>1</w:t>
            </w:r>
          </w:p>
        </w:tc>
        <w:tc>
          <w:tcPr>
            <w:tcW w:w="0" w:type="auto"/>
            <w:tcBorders>
              <w:top w:val="single" w:sz="4" w:space="0" w:color="auto"/>
            </w:tcBorders>
            <w:shd w:val="clear" w:color="auto" w:fill="FFFFFF"/>
            <w:vAlign w:val="center"/>
          </w:tcPr>
          <w:p w:rsidR="00BC5EEF" w:rsidRPr="00BC5EEF" w:rsidRDefault="00BC5EEF" w:rsidP="003D71F4">
            <w:pPr>
              <w:pStyle w:val="Normal1"/>
              <w:spacing w:before="60"/>
              <w:jc w:val="left"/>
            </w:pPr>
            <w:r w:rsidRPr="00BC5EEF">
              <w:rPr>
                <w:b/>
              </w:rPr>
              <w:t>1a</w:t>
            </w:r>
          </w:p>
        </w:tc>
        <w:tc>
          <w:tcPr>
            <w:tcW w:w="0" w:type="auto"/>
            <w:tcBorders>
              <w:top w:val="single" w:sz="4" w:space="0" w:color="auto"/>
            </w:tcBorders>
            <w:shd w:val="clear" w:color="auto" w:fill="FFFFFF"/>
            <w:vAlign w:val="center"/>
          </w:tcPr>
          <w:p w:rsidR="00BC5EEF" w:rsidRPr="00BC5EEF" w:rsidRDefault="00BC5EEF" w:rsidP="003D71F4">
            <w:pPr>
              <w:pStyle w:val="Normal1"/>
              <w:spacing w:before="60"/>
              <w:jc w:val="left"/>
              <w:rPr>
                <w:vertAlign w:val="subscript"/>
              </w:rPr>
            </w:pPr>
            <w:r w:rsidRPr="00BC5EEF">
              <w:t>CH</w:t>
            </w:r>
            <w:r w:rsidRPr="00BC5EEF">
              <w:rPr>
                <w:vertAlign w:val="subscript"/>
              </w:rPr>
              <w:t>2</w:t>
            </w:r>
            <w:r w:rsidRPr="00BC5EEF">
              <w:t>Cl</w:t>
            </w:r>
            <w:r w:rsidRPr="00BC5EEF">
              <w:rPr>
                <w:vertAlign w:val="subscript"/>
              </w:rPr>
              <w:t>2</w:t>
            </w:r>
          </w:p>
        </w:tc>
        <w:tc>
          <w:tcPr>
            <w:tcW w:w="0" w:type="auto"/>
            <w:tcBorders>
              <w:top w:val="single" w:sz="4" w:space="0" w:color="auto"/>
            </w:tcBorders>
            <w:shd w:val="clear" w:color="auto" w:fill="FFFFFF"/>
            <w:vAlign w:val="center"/>
          </w:tcPr>
          <w:p w:rsidR="00BC5EEF" w:rsidRPr="00BC5EEF" w:rsidRDefault="00BC5EEF" w:rsidP="003D71F4">
            <w:pPr>
              <w:pStyle w:val="Normal1"/>
              <w:spacing w:before="60"/>
              <w:jc w:val="center"/>
            </w:pPr>
            <w:r w:rsidRPr="00BC5EEF">
              <w:t>5</w:t>
            </w:r>
          </w:p>
        </w:tc>
      </w:tr>
      <w:tr w:rsidR="00BC5EEF" w:rsidRPr="00BC5EEF" w:rsidTr="00D11168">
        <w:trPr>
          <w:trHeight w:val="63"/>
          <w:jc w:val="center"/>
        </w:trPr>
        <w:tc>
          <w:tcPr>
            <w:tcW w:w="0" w:type="auto"/>
            <w:shd w:val="clear" w:color="auto" w:fill="FFFFFF"/>
            <w:vAlign w:val="center"/>
          </w:tcPr>
          <w:p w:rsidR="00BC5EEF" w:rsidRPr="00BC5EEF" w:rsidRDefault="00BC5EEF" w:rsidP="003D71F4">
            <w:pPr>
              <w:pStyle w:val="Normal1"/>
              <w:spacing w:before="60"/>
              <w:jc w:val="left"/>
            </w:pPr>
            <w:r w:rsidRPr="00BC5EEF">
              <w:t>2</w:t>
            </w:r>
          </w:p>
        </w:tc>
        <w:tc>
          <w:tcPr>
            <w:tcW w:w="0" w:type="auto"/>
            <w:shd w:val="clear" w:color="auto" w:fill="FFFFFF"/>
            <w:vAlign w:val="center"/>
          </w:tcPr>
          <w:p w:rsidR="00BC5EEF" w:rsidRPr="00BC5EEF" w:rsidRDefault="00BC5EEF" w:rsidP="003D71F4">
            <w:pPr>
              <w:pStyle w:val="Normal1"/>
              <w:spacing w:before="60"/>
              <w:jc w:val="left"/>
            </w:pPr>
            <w:r w:rsidRPr="00BC5EEF">
              <w:rPr>
                <w:b/>
              </w:rPr>
              <w:t>1a</w:t>
            </w:r>
          </w:p>
        </w:tc>
        <w:tc>
          <w:tcPr>
            <w:tcW w:w="0" w:type="auto"/>
            <w:shd w:val="clear" w:color="auto" w:fill="FFFFFF"/>
            <w:vAlign w:val="center"/>
          </w:tcPr>
          <w:p w:rsidR="00BC5EEF" w:rsidRPr="00BC5EEF" w:rsidRDefault="00BC5EEF" w:rsidP="003D71F4">
            <w:pPr>
              <w:pStyle w:val="Normal1"/>
              <w:spacing w:before="60"/>
              <w:jc w:val="left"/>
              <w:rPr>
                <w:vertAlign w:val="subscript"/>
              </w:rPr>
            </w:pPr>
            <w:r w:rsidRPr="00BC5EEF">
              <w:t>CHCl</w:t>
            </w:r>
            <w:r w:rsidRPr="00BC5EEF">
              <w:rPr>
                <w:vertAlign w:val="subscript"/>
              </w:rPr>
              <w:t>3</w:t>
            </w:r>
          </w:p>
        </w:tc>
        <w:tc>
          <w:tcPr>
            <w:tcW w:w="0" w:type="auto"/>
            <w:shd w:val="clear" w:color="auto" w:fill="FFFFFF"/>
            <w:vAlign w:val="center"/>
          </w:tcPr>
          <w:p w:rsidR="00BC5EEF" w:rsidRPr="00BC5EEF" w:rsidRDefault="00BC5EEF" w:rsidP="003D71F4">
            <w:pPr>
              <w:pStyle w:val="Normal1"/>
              <w:spacing w:before="60"/>
              <w:jc w:val="center"/>
            </w:pPr>
            <w:r w:rsidRPr="00BC5EEF">
              <w:t>4</w:t>
            </w:r>
          </w:p>
        </w:tc>
      </w:tr>
      <w:tr w:rsidR="00BC5EEF" w:rsidRPr="00BC5EEF" w:rsidTr="00D11168">
        <w:trPr>
          <w:trHeight w:val="63"/>
          <w:jc w:val="center"/>
        </w:trPr>
        <w:tc>
          <w:tcPr>
            <w:tcW w:w="0" w:type="auto"/>
            <w:shd w:val="clear" w:color="auto" w:fill="FFFFFF"/>
            <w:vAlign w:val="center"/>
          </w:tcPr>
          <w:p w:rsidR="00BC5EEF" w:rsidRPr="00BC5EEF" w:rsidRDefault="00BC5EEF" w:rsidP="003D71F4">
            <w:pPr>
              <w:pStyle w:val="Normal1"/>
              <w:spacing w:before="60"/>
              <w:jc w:val="left"/>
            </w:pPr>
            <w:r w:rsidRPr="00BC5EEF">
              <w:t>3</w:t>
            </w:r>
          </w:p>
        </w:tc>
        <w:tc>
          <w:tcPr>
            <w:tcW w:w="0" w:type="auto"/>
            <w:shd w:val="clear" w:color="auto" w:fill="FFFFFF"/>
            <w:vAlign w:val="center"/>
          </w:tcPr>
          <w:p w:rsidR="00BC5EEF" w:rsidRPr="00BC5EEF" w:rsidRDefault="00BC5EEF" w:rsidP="003D71F4">
            <w:pPr>
              <w:pStyle w:val="Normal1"/>
              <w:spacing w:before="60"/>
              <w:jc w:val="left"/>
            </w:pPr>
            <w:r w:rsidRPr="00BC5EEF">
              <w:rPr>
                <w:b/>
              </w:rPr>
              <w:t>1a</w:t>
            </w:r>
          </w:p>
        </w:tc>
        <w:tc>
          <w:tcPr>
            <w:tcW w:w="0" w:type="auto"/>
            <w:shd w:val="clear" w:color="auto" w:fill="FFFFFF"/>
            <w:vAlign w:val="center"/>
          </w:tcPr>
          <w:p w:rsidR="00BC5EEF" w:rsidRPr="00BC5EEF" w:rsidRDefault="00BC5EEF" w:rsidP="003D71F4">
            <w:pPr>
              <w:pStyle w:val="Normal1"/>
              <w:spacing w:before="60"/>
              <w:jc w:val="left"/>
            </w:pPr>
            <w:r w:rsidRPr="00BC5EEF">
              <w:t>toluene</w:t>
            </w:r>
          </w:p>
        </w:tc>
        <w:tc>
          <w:tcPr>
            <w:tcW w:w="0" w:type="auto"/>
            <w:shd w:val="clear" w:color="auto" w:fill="FFFFFF"/>
            <w:vAlign w:val="center"/>
          </w:tcPr>
          <w:p w:rsidR="00BC5EEF" w:rsidRPr="00BC5EEF" w:rsidRDefault="00BC5EEF" w:rsidP="003D71F4">
            <w:pPr>
              <w:pStyle w:val="Normal1"/>
              <w:spacing w:before="60"/>
              <w:jc w:val="center"/>
            </w:pPr>
            <w:r w:rsidRPr="00BC5EEF">
              <w:t>3</w:t>
            </w:r>
          </w:p>
        </w:tc>
      </w:tr>
      <w:tr w:rsidR="00BC5EEF" w:rsidRPr="00BC5EEF" w:rsidTr="00D11168">
        <w:trPr>
          <w:trHeight w:val="63"/>
          <w:jc w:val="center"/>
        </w:trPr>
        <w:tc>
          <w:tcPr>
            <w:tcW w:w="0" w:type="auto"/>
            <w:shd w:val="clear" w:color="auto" w:fill="FFFFFF"/>
            <w:vAlign w:val="center"/>
          </w:tcPr>
          <w:p w:rsidR="00BC5EEF" w:rsidRPr="00BC5EEF" w:rsidRDefault="00BC5EEF" w:rsidP="003D71F4">
            <w:pPr>
              <w:pStyle w:val="Normal1"/>
              <w:spacing w:before="60"/>
              <w:jc w:val="left"/>
            </w:pPr>
            <w:r w:rsidRPr="00BC5EEF">
              <w:t>4</w:t>
            </w:r>
          </w:p>
        </w:tc>
        <w:tc>
          <w:tcPr>
            <w:tcW w:w="0" w:type="auto"/>
            <w:shd w:val="clear" w:color="auto" w:fill="FFFFFF"/>
            <w:vAlign w:val="center"/>
          </w:tcPr>
          <w:p w:rsidR="00BC5EEF" w:rsidRPr="00BC5EEF" w:rsidRDefault="00BC5EEF" w:rsidP="003D71F4">
            <w:pPr>
              <w:pStyle w:val="Normal1"/>
              <w:spacing w:before="60"/>
              <w:jc w:val="left"/>
            </w:pPr>
            <w:r w:rsidRPr="00BC5EEF">
              <w:rPr>
                <w:b/>
              </w:rPr>
              <w:t>1a</w:t>
            </w:r>
          </w:p>
        </w:tc>
        <w:tc>
          <w:tcPr>
            <w:tcW w:w="0" w:type="auto"/>
            <w:shd w:val="clear" w:color="auto" w:fill="FFFFFF"/>
            <w:vAlign w:val="center"/>
          </w:tcPr>
          <w:p w:rsidR="00BC5EEF" w:rsidRPr="00BC5EEF" w:rsidRDefault="00BC5EEF" w:rsidP="003D71F4">
            <w:pPr>
              <w:pStyle w:val="Normal1"/>
              <w:spacing w:before="60"/>
              <w:jc w:val="left"/>
            </w:pPr>
            <w:r w:rsidRPr="00BC5EEF">
              <w:t>Et</w:t>
            </w:r>
            <w:r w:rsidRPr="00BC5EEF">
              <w:rPr>
                <w:vertAlign w:val="subscript"/>
              </w:rPr>
              <w:t>2</w:t>
            </w:r>
            <w:r w:rsidRPr="00BC5EEF">
              <w:t>O</w:t>
            </w:r>
          </w:p>
        </w:tc>
        <w:tc>
          <w:tcPr>
            <w:tcW w:w="0" w:type="auto"/>
            <w:shd w:val="clear" w:color="auto" w:fill="FFFFFF"/>
            <w:vAlign w:val="center"/>
          </w:tcPr>
          <w:p w:rsidR="00BC5EEF" w:rsidRPr="00BC5EEF" w:rsidRDefault="00BC5EEF" w:rsidP="003D71F4">
            <w:pPr>
              <w:pStyle w:val="Normal1"/>
              <w:spacing w:before="60"/>
              <w:jc w:val="center"/>
            </w:pPr>
            <w:r w:rsidRPr="00BC5EEF">
              <w:t>11</w:t>
            </w:r>
          </w:p>
        </w:tc>
      </w:tr>
      <w:tr w:rsidR="00BC5EEF" w:rsidRPr="00BC5EEF" w:rsidTr="003D71F4">
        <w:trPr>
          <w:trHeight w:val="63"/>
          <w:jc w:val="center"/>
        </w:trPr>
        <w:tc>
          <w:tcPr>
            <w:tcW w:w="0" w:type="auto"/>
            <w:tcBorders>
              <w:bottom w:val="nil"/>
            </w:tcBorders>
            <w:shd w:val="clear" w:color="auto" w:fill="FFFFFF"/>
            <w:vAlign w:val="center"/>
          </w:tcPr>
          <w:p w:rsidR="00BC5EEF" w:rsidRPr="00BC5EEF" w:rsidRDefault="00BC5EEF" w:rsidP="003D71F4">
            <w:pPr>
              <w:pStyle w:val="Normal1"/>
              <w:spacing w:before="60"/>
              <w:jc w:val="left"/>
            </w:pPr>
            <w:r w:rsidRPr="00BC5EEF">
              <w:t>5</w:t>
            </w:r>
          </w:p>
        </w:tc>
        <w:tc>
          <w:tcPr>
            <w:tcW w:w="0" w:type="auto"/>
            <w:tcBorders>
              <w:bottom w:val="nil"/>
            </w:tcBorders>
            <w:shd w:val="clear" w:color="auto" w:fill="FFFFFF"/>
            <w:vAlign w:val="center"/>
          </w:tcPr>
          <w:p w:rsidR="00BC5EEF" w:rsidRPr="00BC5EEF" w:rsidRDefault="00BC5EEF" w:rsidP="003D71F4">
            <w:pPr>
              <w:pStyle w:val="Normal1"/>
              <w:spacing w:before="60"/>
              <w:jc w:val="left"/>
            </w:pPr>
            <w:r w:rsidRPr="00BC5EEF">
              <w:rPr>
                <w:b/>
              </w:rPr>
              <w:t>1a</w:t>
            </w:r>
          </w:p>
        </w:tc>
        <w:tc>
          <w:tcPr>
            <w:tcW w:w="0" w:type="auto"/>
            <w:tcBorders>
              <w:bottom w:val="nil"/>
            </w:tcBorders>
            <w:shd w:val="clear" w:color="auto" w:fill="FFFFFF"/>
            <w:vAlign w:val="center"/>
          </w:tcPr>
          <w:p w:rsidR="00BC5EEF" w:rsidRPr="00BC5EEF" w:rsidRDefault="00BC5EEF" w:rsidP="003D71F4">
            <w:pPr>
              <w:pStyle w:val="Normal1"/>
              <w:spacing w:before="60"/>
              <w:jc w:val="left"/>
            </w:pPr>
            <w:r w:rsidRPr="00BC5EEF">
              <w:t>1,4-dioxane</w:t>
            </w:r>
          </w:p>
        </w:tc>
        <w:tc>
          <w:tcPr>
            <w:tcW w:w="0" w:type="auto"/>
            <w:tcBorders>
              <w:bottom w:val="nil"/>
            </w:tcBorders>
            <w:shd w:val="clear" w:color="auto" w:fill="FFFFFF"/>
            <w:vAlign w:val="center"/>
          </w:tcPr>
          <w:p w:rsidR="00BC5EEF" w:rsidRPr="00BC5EEF" w:rsidRDefault="00BC5EEF" w:rsidP="003D71F4">
            <w:pPr>
              <w:pStyle w:val="Normal1"/>
              <w:spacing w:before="60"/>
              <w:jc w:val="center"/>
            </w:pPr>
            <w:r w:rsidRPr="00BC5EEF">
              <w:t>15</w:t>
            </w:r>
          </w:p>
        </w:tc>
      </w:tr>
      <w:tr w:rsidR="00BC5EEF" w:rsidRPr="00BC5EEF" w:rsidTr="003D71F4">
        <w:trPr>
          <w:trHeight w:val="63"/>
          <w:jc w:val="center"/>
        </w:trPr>
        <w:tc>
          <w:tcPr>
            <w:tcW w:w="0" w:type="auto"/>
            <w:tcBorders>
              <w:top w:val="nil"/>
              <w:bottom w:val="single" w:sz="4" w:space="0" w:color="auto"/>
            </w:tcBorders>
            <w:shd w:val="clear" w:color="auto" w:fill="FFFFFF"/>
            <w:vAlign w:val="center"/>
          </w:tcPr>
          <w:p w:rsidR="00BC5EEF" w:rsidRPr="00BC5EEF" w:rsidRDefault="00BC5EEF" w:rsidP="003D71F4">
            <w:pPr>
              <w:pStyle w:val="Normal1"/>
              <w:spacing w:before="60" w:after="60"/>
              <w:jc w:val="left"/>
            </w:pPr>
            <w:r w:rsidRPr="00BC5EEF">
              <w:t>6</w:t>
            </w:r>
          </w:p>
        </w:tc>
        <w:tc>
          <w:tcPr>
            <w:tcW w:w="0" w:type="auto"/>
            <w:tcBorders>
              <w:top w:val="nil"/>
              <w:bottom w:val="single" w:sz="4" w:space="0" w:color="auto"/>
            </w:tcBorders>
            <w:shd w:val="clear" w:color="auto" w:fill="FFFFFF"/>
            <w:vAlign w:val="center"/>
          </w:tcPr>
          <w:p w:rsidR="00BC5EEF" w:rsidRPr="00BC5EEF" w:rsidRDefault="00BC5EEF" w:rsidP="003D71F4">
            <w:pPr>
              <w:pStyle w:val="Normal1"/>
              <w:spacing w:before="60" w:after="60"/>
              <w:jc w:val="left"/>
            </w:pPr>
            <w:r w:rsidRPr="00BC5EEF">
              <w:rPr>
                <w:b/>
              </w:rPr>
              <w:t>4</w:t>
            </w:r>
          </w:p>
        </w:tc>
        <w:tc>
          <w:tcPr>
            <w:tcW w:w="0" w:type="auto"/>
            <w:tcBorders>
              <w:top w:val="nil"/>
              <w:bottom w:val="single" w:sz="4" w:space="0" w:color="auto"/>
            </w:tcBorders>
            <w:shd w:val="clear" w:color="auto" w:fill="FFFFFF"/>
            <w:vAlign w:val="center"/>
          </w:tcPr>
          <w:p w:rsidR="00BC5EEF" w:rsidRPr="00BC5EEF" w:rsidRDefault="00BC5EEF" w:rsidP="003D71F4">
            <w:pPr>
              <w:pStyle w:val="Normal1"/>
              <w:spacing w:before="60" w:after="60"/>
              <w:jc w:val="left"/>
            </w:pPr>
            <w:r w:rsidRPr="00BC5EEF">
              <w:t>toluene</w:t>
            </w:r>
          </w:p>
        </w:tc>
        <w:tc>
          <w:tcPr>
            <w:tcW w:w="0" w:type="auto"/>
            <w:tcBorders>
              <w:top w:val="nil"/>
              <w:bottom w:val="single" w:sz="4" w:space="0" w:color="auto"/>
            </w:tcBorders>
            <w:shd w:val="clear" w:color="auto" w:fill="FFFFFF"/>
            <w:vAlign w:val="center"/>
          </w:tcPr>
          <w:p w:rsidR="00BC5EEF" w:rsidRPr="00BC5EEF" w:rsidRDefault="00BC5EEF" w:rsidP="003D71F4">
            <w:pPr>
              <w:pStyle w:val="Normal1"/>
              <w:spacing w:before="60" w:after="60"/>
              <w:jc w:val="center"/>
            </w:pPr>
            <w:r w:rsidRPr="00BC5EEF">
              <w:t>0</w:t>
            </w:r>
          </w:p>
        </w:tc>
      </w:tr>
    </w:tbl>
    <w:p w:rsidR="00BC5EEF" w:rsidRPr="003D71F4" w:rsidRDefault="00BC5EEF" w:rsidP="003D71F4">
      <w:pPr>
        <w:pStyle w:val="Normal1"/>
        <w:spacing w:before="60"/>
        <w:ind w:firstLine="1094"/>
        <w:rPr>
          <w:sz w:val="18"/>
          <w:szCs w:val="18"/>
        </w:rPr>
      </w:pPr>
      <w:r w:rsidRPr="003D71F4">
        <w:rPr>
          <w:i/>
          <w:sz w:val="18"/>
          <w:szCs w:val="18"/>
          <w:vertAlign w:val="superscript"/>
        </w:rPr>
        <w:t xml:space="preserve">                                           a</w:t>
      </w:r>
      <w:r w:rsidRPr="003D71F4">
        <w:rPr>
          <w:sz w:val="18"/>
          <w:szCs w:val="18"/>
        </w:rPr>
        <w:t xml:space="preserve"> Determined by </w:t>
      </w:r>
      <w:r w:rsidRPr="003D71F4">
        <w:rPr>
          <w:sz w:val="18"/>
          <w:szCs w:val="18"/>
          <w:vertAlign w:val="superscript"/>
        </w:rPr>
        <w:t>1</w:t>
      </w:r>
      <w:r w:rsidRPr="003D71F4">
        <w:rPr>
          <w:sz w:val="18"/>
          <w:szCs w:val="18"/>
        </w:rPr>
        <w:t>H NMR</w:t>
      </w:r>
    </w:p>
    <w:p w:rsidR="00BC5EEF" w:rsidRPr="00BC5EEF" w:rsidRDefault="00BC5EEF" w:rsidP="003D71F4">
      <w:pPr>
        <w:pStyle w:val="Normal1"/>
        <w:spacing w:after="120"/>
      </w:pPr>
    </w:p>
    <w:p w:rsidR="00BC5EEF" w:rsidRPr="00BC5EEF" w:rsidRDefault="00BC5EEF" w:rsidP="00BC5EEF">
      <w:pPr>
        <w:pStyle w:val="Normal1"/>
      </w:pPr>
      <w:r w:rsidRPr="00BC5EEF">
        <w:t xml:space="preserve">The marked difference in the reactivity of aldehydes and acetophenone suggested the possibility of chemoselective reduction of aldehydes over ketones. Therefore, we carried out the hydrosilylation of a 1:1 mixture of benzaldehyde and acetophenone in the presence of 20 mol% of </w:t>
      </w:r>
      <w:r w:rsidRPr="00BC5EEF">
        <w:rPr>
          <w:b/>
        </w:rPr>
        <w:t>1a</w:t>
      </w:r>
      <w:r w:rsidRPr="00BC5EEF">
        <w:t xml:space="preserve"> (Scheme 1). As we expected, benzaldehyde was completely reduced to benzyl alcohol while acetophenone was recovered quantitatively. This result shows that </w:t>
      </w:r>
      <w:r w:rsidRPr="00BC5EEF">
        <w:rPr>
          <w:b/>
        </w:rPr>
        <w:t>1a</w:t>
      </w:r>
      <w:r w:rsidRPr="00BC5EEF">
        <w:t xml:space="preserve"> will be useful for the chemoselective reduction of a formyl group over a keto group [29-31].</w:t>
      </w:r>
    </w:p>
    <w:p w:rsidR="00BC5EEF" w:rsidRPr="00BC5EEF" w:rsidRDefault="00BC5EEF" w:rsidP="00BC5EEF">
      <w:pPr>
        <w:pStyle w:val="Normal1"/>
      </w:pPr>
    </w:p>
    <w:p w:rsidR="00BC5EEF" w:rsidRPr="00BC5EEF" w:rsidRDefault="00BC5EEF" w:rsidP="003D71F4">
      <w:pPr>
        <w:pStyle w:val="Normal1"/>
        <w:jc w:val="center"/>
      </w:pPr>
      <w:r w:rsidRPr="00BC5EEF">
        <w:rPr>
          <w:noProof/>
          <w:lang w:eastAsia="en-US"/>
        </w:rPr>
        <w:lastRenderedPageBreak/>
        <w:drawing>
          <wp:inline distT="0" distB="0" distL="114300" distR="114300" wp14:anchorId="34C63FB1" wp14:editId="348631D5">
            <wp:extent cx="5245100" cy="107950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245100" cy="1079500"/>
                    </a:xfrm>
                    <a:prstGeom prst="rect">
                      <a:avLst/>
                    </a:prstGeom>
                    <a:ln/>
                  </pic:spPr>
                </pic:pic>
              </a:graphicData>
            </a:graphic>
          </wp:inline>
        </w:drawing>
      </w:r>
    </w:p>
    <w:p w:rsidR="00BC5EEF" w:rsidRPr="00BC5EEF" w:rsidRDefault="00BC5EEF" w:rsidP="00BC5EEF">
      <w:pPr>
        <w:pStyle w:val="Normal1"/>
      </w:pPr>
    </w:p>
    <w:p w:rsidR="00BC5EEF" w:rsidRPr="00BC5EEF" w:rsidRDefault="00BC5EEF" w:rsidP="003D71F4">
      <w:pPr>
        <w:pStyle w:val="Normal1"/>
        <w:jc w:val="center"/>
      </w:pPr>
      <w:r w:rsidRPr="00BC5EEF">
        <w:t xml:space="preserve">Scheme 1. </w:t>
      </w:r>
      <w:r w:rsidR="003D71F4">
        <w:t xml:space="preserve"> </w:t>
      </w:r>
      <w:r w:rsidRPr="00BC5EEF">
        <w:t>Chemoselective hydrosilylation of benzaldehyde in the presence of acetophenone</w:t>
      </w:r>
    </w:p>
    <w:p w:rsidR="006768E9" w:rsidRDefault="006768E9" w:rsidP="00BC5EEF">
      <w:pPr>
        <w:spacing w:after="0" w:line="240" w:lineRule="auto"/>
        <w:jc w:val="center"/>
        <w:rPr>
          <w:rFonts w:ascii="Times New Roman" w:hAnsi="Times New Roman"/>
          <w:noProof/>
          <w:sz w:val="20"/>
          <w:szCs w:val="20"/>
          <w:lang w:bidi="ar-SA"/>
        </w:rPr>
      </w:pPr>
    </w:p>
    <w:p w:rsidR="003D71F4" w:rsidRPr="00F447A7" w:rsidRDefault="003D71F4" w:rsidP="00BC5EE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D71F4" w:rsidRPr="00E94067" w:rsidRDefault="003D71F4" w:rsidP="003D71F4">
      <w:pPr>
        <w:pStyle w:val="Normal1"/>
      </w:pPr>
      <w:r w:rsidRPr="00E94067">
        <w:t>In conclusion, we have found that diethyl 2-pyridylphosphonate works as an efficient catalyst for the hydrosilylation of aldehydes using HSiCl</w:t>
      </w:r>
      <w:r w:rsidRPr="00E94067">
        <w:rPr>
          <w:vertAlign w:val="subscript"/>
        </w:rPr>
        <w:t>3</w:t>
      </w:r>
      <w:r w:rsidRPr="00E94067">
        <w:t xml:space="preserve"> as a reducing agent. A comparative study on the structure and activity of catalysts suggested that diethyl 2-pyridylphosphonate works as a bidentate Lewis base catalyst to activate HSiCl</w:t>
      </w:r>
      <w:r w:rsidRPr="00E94067">
        <w:rPr>
          <w:vertAlign w:val="subscript"/>
        </w:rPr>
        <w:t>3</w:t>
      </w:r>
      <w:r w:rsidRPr="00E94067">
        <w:t>. The hydrosilylation was found to be completely chemoselective for an aldehyde over a ketone.</w:t>
      </w:r>
    </w:p>
    <w:p w:rsidR="003D71F4" w:rsidRPr="00E94067" w:rsidRDefault="003D71F4" w:rsidP="003D71F4">
      <w:pPr>
        <w:pStyle w:val="Normal1"/>
        <w:jc w:val="center"/>
      </w:pPr>
    </w:p>
    <w:p w:rsidR="003D71F4" w:rsidRPr="00E94067" w:rsidRDefault="003D71F4" w:rsidP="003D71F4">
      <w:pPr>
        <w:pStyle w:val="Normal1"/>
        <w:jc w:val="center"/>
        <w:rPr>
          <w:b/>
        </w:rPr>
      </w:pPr>
      <w:r w:rsidRPr="00E94067">
        <w:rPr>
          <w:b/>
        </w:rPr>
        <w:t>Acknowledgement</w:t>
      </w:r>
    </w:p>
    <w:p w:rsidR="006768E9" w:rsidRPr="003D71F4" w:rsidRDefault="003D71F4" w:rsidP="003D71F4">
      <w:pPr>
        <w:spacing w:after="0" w:line="240" w:lineRule="auto"/>
        <w:jc w:val="both"/>
        <w:rPr>
          <w:rFonts w:ascii="Times New Roman" w:hAnsi="Times New Roman"/>
          <w:noProof/>
          <w:sz w:val="20"/>
          <w:szCs w:val="20"/>
          <w:lang w:bidi="ar-SA"/>
        </w:rPr>
      </w:pPr>
      <w:r w:rsidRPr="003D71F4">
        <w:rPr>
          <w:rFonts w:ascii="Times New Roman" w:hAnsi="Times New Roman"/>
          <w:sz w:val="20"/>
          <w:szCs w:val="20"/>
        </w:rPr>
        <w:t>This research was partially supported by a Grant-in-Aid for Scientific Research on Innovative Areas “Advanced Molecular Transformations by Organocatalysts” from MEXT, Japan (Grant Number JP24105510).</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Herrera, R. P. (2016). Organocatalytic transfer hydrogenation and hydrosilylation reactions. </w:t>
      </w:r>
      <w:r w:rsidRPr="003D71F4">
        <w:rPr>
          <w:i/>
        </w:rPr>
        <w:t>Topics in Current Chemistry</w:t>
      </w:r>
      <w:r w:rsidRPr="003D71F4">
        <w:t xml:space="preserve">, 374(29): 1-40.  </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Kocovsky, P. and Malkov, A. V. Edited by Vedejs, E. and Denmark, S. E. (2016). Lewis bases as catalysts in the reduction of imines and ketones with silanes (n </w:t>
      </w:r>
      <w:bookmarkStart w:id="0" w:name="30j0zll" w:colFirst="0" w:colLast="0"/>
      <w:bookmarkEnd w:id="0"/>
      <w:r w:rsidRPr="003D71F4">
        <w:rPr>
          <w:rFonts w:eastAsia="Cardo"/>
        </w:rPr>
        <w:t xml:space="preserve">→ </w:t>
      </w:r>
      <w:r w:rsidRPr="003D71F4">
        <w:rPr>
          <w:highlight w:val="white"/>
        </w:rPr>
        <w:t>σ</w:t>
      </w:r>
      <w:r w:rsidRPr="003D71F4">
        <w:t>*). Lewis base catalysis in organic synthesis. Wiley-VCH, Germany: pp. 1077-1112.</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Boyer, J., Corriu, R. J. P., Perz, R. and Reye, C. (1979). Catalyse heterogene en presence de sels et sans solvant: II. Hydrosilylation d'aldehydes et de cetones satures et α,β ethyleniques. </w:t>
      </w:r>
      <w:r w:rsidRPr="003D71F4">
        <w:rPr>
          <w:i/>
        </w:rPr>
        <w:t>Journal of Organometallic Chemistry</w:t>
      </w:r>
      <w:r w:rsidRPr="003D71F4">
        <w:t xml:space="preserve">, 172(2): 143-152. </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Corriu, R. J. P., Perz, R. and Reye, C. (1983). Activation of silicon-hydrogen, silicon-oxygen, silicon-nitrogen bonds in heterogeneous phase: some new methods in organic synthesis. </w:t>
      </w:r>
      <w:r w:rsidRPr="003D71F4">
        <w:rPr>
          <w:i/>
        </w:rPr>
        <w:t>Tetrahedron</w:t>
      </w:r>
      <w:r w:rsidRPr="003D71F4">
        <w:t xml:space="preserve">, 39(6): 999-1009. </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Fujita, M. and Hiyama, T. (1984). Highly diastereocontrolled reduction of ketones by means of hydrosilanes. practical synthesis of optically active 1,2-diols and 2-amino alcohols of threo or erythro configuration. </w:t>
      </w:r>
      <w:r w:rsidRPr="003D71F4">
        <w:rPr>
          <w:i/>
        </w:rPr>
        <w:t>Journal of the American Chemical Society</w:t>
      </w:r>
      <w:r w:rsidRPr="003D71F4">
        <w:t xml:space="preserve">, 106(16): 4629-4630. </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Fujita, M. and Hiyama, T. (1988). Erythro-directive reduction of α-substituted alkanones by means of hydrosilanes in acidic media. </w:t>
      </w:r>
      <w:r w:rsidRPr="003D71F4">
        <w:rPr>
          <w:i/>
        </w:rPr>
        <w:t>The Journal of Organic Chemistry</w:t>
      </w:r>
      <w:r w:rsidRPr="003D71F4">
        <w:t xml:space="preserve">, 53(23): 5415-5421. </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Kohra, S., Hayashida, H., Tominaga, Y. and Hosomi, A. (1988). Pentaco-ordinate organosilicon compounds in synthesis: Asymmetric reduction of carbonyl compounds with hydrosilanes catalyzed by chiral bases. </w:t>
      </w:r>
      <w:r w:rsidRPr="003D71F4">
        <w:rPr>
          <w:i/>
        </w:rPr>
        <w:t>Tetrahedron Letters</w:t>
      </w:r>
      <w:r w:rsidRPr="003D71F4">
        <w:t xml:space="preserve">, 29(1): 89-92. </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Hojo, M., Fujii, A., Murakami, C., Aihara, H. and Hosomi, A. (1995). Divergent stereoselectivity in the reduction of </w:t>
      </w:r>
      <w:r w:rsidRPr="003D71F4">
        <w:rPr>
          <w:rFonts w:eastAsia="Noto Sans Symbols"/>
        </w:rPr>
        <w:t>α</w:t>
      </w:r>
      <w:r w:rsidRPr="003D71F4">
        <w:t>,</w:t>
      </w:r>
      <w:r w:rsidRPr="003D71F4">
        <w:rPr>
          <w:rFonts w:eastAsia="Noto Sans Symbols"/>
        </w:rPr>
        <w:t>β</w:t>
      </w:r>
      <w:r w:rsidRPr="003D71F4">
        <w:t xml:space="preserve">-epoxy ketones using hydridosilicates. </w:t>
      </w:r>
      <w:r w:rsidRPr="003D71F4">
        <w:rPr>
          <w:i/>
        </w:rPr>
        <w:t>Tetrahedron Letters</w:t>
      </w:r>
      <w:r w:rsidRPr="003D71F4">
        <w:t xml:space="preserve">, 36(4): 571-574. </w:t>
      </w:r>
    </w:p>
    <w:p w:rsidR="008F6181" w:rsidRPr="003D71F4" w:rsidRDefault="008F6181" w:rsidP="008F6181">
      <w:pPr>
        <w:pStyle w:val="Normal1"/>
        <w:numPr>
          <w:ilvl w:val="0"/>
          <w:numId w:val="2"/>
        </w:numPr>
        <w:pBdr>
          <w:top w:val="nil"/>
          <w:left w:val="nil"/>
          <w:bottom w:val="nil"/>
          <w:right w:val="nil"/>
          <w:between w:val="nil"/>
        </w:pBdr>
        <w:ind w:left="360"/>
      </w:pPr>
      <w:r w:rsidRPr="003D71F4">
        <w:t>Van der Jeught, S. and Stevens, C. V. (2009). Direct phosphonylation of aromatic azaheterocycles.</w:t>
      </w:r>
      <w:r w:rsidRPr="003D71F4">
        <w:rPr>
          <w:b/>
        </w:rPr>
        <w:t xml:space="preserve"> </w:t>
      </w:r>
      <w:r w:rsidRPr="003D71F4">
        <w:rPr>
          <w:i/>
        </w:rPr>
        <w:t>Chemical Reviews</w:t>
      </w:r>
      <w:r w:rsidRPr="003D71F4">
        <w:t>, 109(6): 2672-2702.</w:t>
      </w:r>
    </w:p>
    <w:p w:rsidR="008F6181" w:rsidRPr="003D71F4" w:rsidRDefault="008F6181" w:rsidP="008F6181">
      <w:pPr>
        <w:pStyle w:val="Normal1"/>
        <w:numPr>
          <w:ilvl w:val="0"/>
          <w:numId w:val="2"/>
        </w:numPr>
        <w:pBdr>
          <w:top w:val="nil"/>
          <w:left w:val="nil"/>
          <w:bottom w:val="nil"/>
          <w:right w:val="nil"/>
          <w:between w:val="nil"/>
        </w:pBdr>
        <w:ind w:left="360"/>
      </w:pPr>
      <w:r w:rsidRPr="003D71F4">
        <w:t>Onomura, O., Kouchi, Y., Iwasaki, F. and Matsumura, Y. (2006). New organic activators for the enantioselective reduction of aromatic imines with trichlorosilane.</w:t>
      </w:r>
      <w:r w:rsidRPr="003D71F4">
        <w:rPr>
          <w:b/>
        </w:rPr>
        <w:t xml:space="preserve"> </w:t>
      </w:r>
      <w:r w:rsidRPr="003D71F4">
        <w:rPr>
          <w:i/>
        </w:rPr>
        <w:t>Tetrahedron Letters</w:t>
      </w:r>
      <w:r w:rsidRPr="003D71F4">
        <w:t xml:space="preserve">, 47(22): 3751- 3754. </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Onomura, O., Kirira, P. G., Tanaka, T., Tsukada, S., Matsumura, Y. and Demizu, Y. (2008). Diastereoselective arylation of l-proline derivatives at the 5-position. </w:t>
      </w:r>
      <w:r w:rsidRPr="003D71F4">
        <w:rPr>
          <w:i/>
        </w:rPr>
        <w:t>Tetrahedron</w:t>
      </w:r>
      <w:r w:rsidRPr="003D71F4">
        <w:t xml:space="preserve">, 64(32): 7498-7503. </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Zheng, H., Deng, J., Lin, W. and Zhang, X. (2007). Enantioselective hydrosilylations of ketimines with trichlorosilane promoted by chiral </w:t>
      </w:r>
      <w:r w:rsidRPr="003D71F4">
        <w:rPr>
          <w:i/>
        </w:rPr>
        <w:t>n</w:t>
      </w:r>
      <w:r w:rsidRPr="003D71F4">
        <w:t xml:space="preserve">-picolinoylaminoalcohols. </w:t>
      </w:r>
      <w:r w:rsidRPr="003D71F4">
        <w:rPr>
          <w:i/>
        </w:rPr>
        <w:t>Tetrahedron Letters</w:t>
      </w:r>
      <w:r w:rsidRPr="003D71F4">
        <w:t xml:space="preserve">, 48(45): 7934-7937. </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Zheng, H.-J., Chen, W.-B., Wu, Z.-J., Deng, J.-G., Lin, W.-Q., Yuan, W.-C. and Zhang, X.-M. (2008). Highly enantioselective synthesis of </w:t>
      </w:r>
      <w:r w:rsidRPr="003D71F4">
        <w:rPr>
          <w:rFonts w:eastAsia="Noto Sans Symbols"/>
        </w:rPr>
        <w:t>β</w:t>
      </w:r>
      <w:r w:rsidRPr="003D71F4">
        <w:t xml:space="preserve">-amino acid derivatives by the Lewis base catalyzed hydrosilylation of </w:t>
      </w:r>
      <w:r w:rsidRPr="003D71F4">
        <w:rPr>
          <w:rFonts w:eastAsia="Noto Sans Symbols"/>
        </w:rPr>
        <w:t>β</w:t>
      </w:r>
      <w:r w:rsidRPr="003D71F4">
        <w:t xml:space="preserve">-enamino esters. </w:t>
      </w:r>
      <w:r w:rsidRPr="003D71F4">
        <w:rPr>
          <w:i/>
        </w:rPr>
        <w:t>Chemistry – A European Journal</w:t>
      </w:r>
      <w:r w:rsidRPr="003D71F4">
        <w:t xml:space="preserve">, 14(32): 9864-9867. </w:t>
      </w:r>
    </w:p>
    <w:p w:rsidR="008F6181" w:rsidRPr="003D71F4" w:rsidRDefault="008F6181" w:rsidP="008F6181">
      <w:pPr>
        <w:pStyle w:val="Normal1"/>
        <w:numPr>
          <w:ilvl w:val="0"/>
          <w:numId w:val="2"/>
        </w:numPr>
        <w:pBdr>
          <w:top w:val="nil"/>
          <w:left w:val="nil"/>
          <w:bottom w:val="nil"/>
          <w:right w:val="nil"/>
          <w:between w:val="nil"/>
        </w:pBdr>
        <w:ind w:left="360"/>
      </w:pPr>
      <w:r w:rsidRPr="003D71F4">
        <w:lastRenderedPageBreak/>
        <w:t xml:space="preserve">Guizzetti, S., Benaglia, M. and Rossi, S. (2009). Highly stereoselective metal-free catalytic reduction of imines: an easy entry to enantiomerically pure amines and natural and unnatural </w:t>
      </w:r>
      <w:r w:rsidRPr="003D71F4">
        <w:rPr>
          <w:rFonts w:eastAsia="Noto Sans Symbols"/>
        </w:rPr>
        <w:t>α</w:t>
      </w:r>
      <w:r w:rsidRPr="003D71F4">
        <w:t xml:space="preserve">-amino esters. </w:t>
      </w:r>
      <w:r w:rsidRPr="003D71F4">
        <w:rPr>
          <w:i/>
        </w:rPr>
        <w:t>Organic Letters</w:t>
      </w:r>
      <w:r w:rsidRPr="003D71F4">
        <w:t xml:space="preserve">, 11(13): 2928-2931. </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Xiao, Y.-C., Wang, C., Yao, Y., Sun, J. and Chen, Y.-C. (2011). Direct asymmetric hydrosilylation of indoles: combined Lewis base and Brønsted acid activation. </w:t>
      </w:r>
      <w:r w:rsidRPr="003D71F4">
        <w:rPr>
          <w:i/>
        </w:rPr>
        <w:t>Angewandte Chemie International Edition</w:t>
      </w:r>
      <w:r w:rsidRPr="003D71F4">
        <w:t xml:space="preserve">, 50(45): 10661-10664. </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Malkov, A. V., Stewart-Liddon, A. J. P., McGeoch, G. D., Ramirez-López, P. and Kočovský, P. (2012). Catalyst development for organocatalytic hydrosilylation of aromatic ketones and ketimines. </w:t>
      </w:r>
      <w:r w:rsidRPr="003D71F4">
        <w:rPr>
          <w:i/>
        </w:rPr>
        <w:t>Organic &amp; Biomolecular Chemistry</w:t>
      </w:r>
      <w:r w:rsidRPr="003D71F4">
        <w:t>, 10(25): 4864-4877.</w:t>
      </w:r>
    </w:p>
    <w:p w:rsidR="008F6181" w:rsidRPr="003D71F4" w:rsidRDefault="008F6181" w:rsidP="008F6181">
      <w:pPr>
        <w:pStyle w:val="Normal1"/>
        <w:numPr>
          <w:ilvl w:val="0"/>
          <w:numId w:val="2"/>
        </w:numPr>
        <w:pBdr>
          <w:top w:val="nil"/>
          <w:left w:val="nil"/>
          <w:bottom w:val="nil"/>
          <w:right w:val="nil"/>
          <w:between w:val="nil"/>
        </w:pBdr>
        <w:ind w:left="360"/>
      </w:pPr>
      <w:r w:rsidRPr="003D71F4">
        <w:t>Malkov, A. V., Liddon, A. J. S., Ramírez-López, P., Bendov</w:t>
      </w:r>
      <w:bookmarkStart w:id="1" w:name="1fob9te" w:colFirst="0" w:colLast="0"/>
      <w:bookmarkEnd w:id="1"/>
      <w:r w:rsidRPr="003D71F4">
        <w:t xml:space="preserve">á, L., Haigh, D. and Kočovský, P. (2006). Remote chiral induction in the organocatalytic hydrosilylation of aromatic ketones and ketimines. </w:t>
      </w:r>
      <w:r w:rsidRPr="003D71F4">
        <w:rPr>
          <w:i/>
        </w:rPr>
        <w:t>Angewandte Chemie International Edition</w:t>
      </w:r>
      <w:r w:rsidRPr="003D71F4">
        <w:t xml:space="preserve">, 45(9): 1432-1435. </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Bonsignore, M., Benaglia, M., Annunziata, R. and Celentano, G. (2011). New, readily available organocatalysts for the enantioselective reduction of </w:t>
      </w:r>
      <w:r w:rsidRPr="003D71F4">
        <w:rPr>
          <w:rFonts w:eastAsia="Noto Sans Symbols"/>
        </w:rPr>
        <w:t>α</w:t>
      </w:r>
      <w:r w:rsidRPr="003D71F4">
        <w:t xml:space="preserve">-imino- and </w:t>
      </w:r>
      <w:r w:rsidRPr="003D71F4">
        <w:rPr>
          <w:rFonts w:eastAsia="Noto Sans Symbols"/>
        </w:rPr>
        <w:t>β</w:t>
      </w:r>
      <w:r w:rsidRPr="003D71F4">
        <w:t xml:space="preserve">-imino esters. </w:t>
      </w:r>
      <w:r w:rsidRPr="003D71F4">
        <w:rPr>
          <w:i/>
        </w:rPr>
        <w:t>Synlett</w:t>
      </w:r>
      <w:r w:rsidRPr="003D71F4">
        <w:t>, (8): 1085- 1088.</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Oka, N., Ito, K., Tomita, F. and Ando, K. (2012). Synthesis of 2-pyridylphosphinate and thiophosphinate derivatives by nucleophilic aromatic substitution of </w:t>
      </w:r>
      <w:r w:rsidRPr="003D71F4">
        <w:rPr>
          <w:i/>
        </w:rPr>
        <w:t>n</w:t>
      </w:r>
      <w:r w:rsidRPr="003D71F4">
        <w:t xml:space="preserve">-methoxypyridinium tosylates. </w:t>
      </w:r>
      <w:r w:rsidRPr="003D71F4">
        <w:rPr>
          <w:i/>
        </w:rPr>
        <w:t>Chemistry Letters</w:t>
      </w:r>
      <w:r w:rsidRPr="003D71F4">
        <w:t xml:space="preserve">, 41(12): 1630-1632. </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Oka, N., Ori, K. and Ando, K. (2017). Synthesis of 2-pyridylthiophosphinic acids and 2-pyridylthiophosphonate monoesters via nucleophilic aromatic substitution. </w:t>
      </w:r>
      <w:r w:rsidRPr="003D71F4">
        <w:rPr>
          <w:i/>
        </w:rPr>
        <w:t>Phosphorus, Sulfur, and Silicon and the Related Elements</w:t>
      </w:r>
      <w:r w:rsidRPr="003D71F4">
        <w:t>, 192(4): 454-463.</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Redmore, D. (1970). Phosphorus derivatives of nitrogen heterocycles. 2. pyridinephosphonic acid derivatives. </w:t>
      </w:r>
      <w:r w:rsidRPr="003D71F4">
        <w:rPr>
          <w:i/>
        </w:rPr>
        <w:t>The Journal of Organic Chemistry</w:t>
      </w:r>
      <w:r w:rsidRPr="003D71F4">
        <w:t xml:space="preserve">, 35(12): 4114-4117. </w:t>
      </w:r>
    </w:p>
    <w:p w:rsidR="008F6181" w:rsidRPr="003D71F4" w:rsidRDefault="008F6181" w:rsidP="008F6181">
      <w:pPr>
        <w:pStyle w:val="Normal1"/>
        <w:numPr>
          <w:ilvl w:val="0"/>
          <w:numId w:val="2"/>
        </w:numPr>
        <w:pBdr>
          <w:top w:val="nil"/>
          <w:left w:val="nil"/>
          <w:bottom w:val="nil"/>
          <w:right w:val="nil"/>
          <w:between w:val="nil"/>
        </w:pBdr>
        <w:ind w:left="360"/>
      </w:pPr>
      <w:r w:rsidRPr="003D71F4">
        <w:t>Chen, D., Martell, A. E., Motekaitis, R. J. and McManus, D. (1998). Syntheses and Fe(II)/Fe(III) equilibria of the new multidentate ligands pyridine-2-phosphonic-6-carboxylic acid and 2,6-pyridinediphosphonic acid for the use of their iron chelates as catalysts for the oxidation of H</w:t>
      </w:r>
      <w:r w:rsidRPr="003D71F4">
        <w:rPr>
          <w:vertAlign w:val="subscript"/>
        </w:rPr>
        <w:t>2</w:t>
      </w:r>
      <w:r w:rsidRPr="003D71F4">
        <w:t>S to S</w:t>
      </w:r>
      <w:r w:rsidRPr="003D71F4">
        <w:rPr>
          <w:vertAlign w:val="subscript"/>
        </w:rPr>
        <w:t>8</w:t>
      </w:r>
      <w:r w:rsidRPr="003D71F4">
        <w:t xml:space="preserve"> by air. </w:t>
      </w:r>
      <w:r w:rsidRPr="003D71F4">
        <w:rPr>
          <w:i/>
        </w:rPr>
        <w:t>Canadian Journal of Chemistry</w:t>
      </w:r>
      <w:r w:rsidRPr="003D71F4">
        <w:t xml:space="preserve">, 76(4): 445-451. </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Johansson, T., Kers, A. and Stawinski, J. (2001). 2-pyridylphosphonates: A new type of modification for nucleotide analogues. </w:t>
      </w:r>
      <w:r w:rsidRPr="003D71F4">
        <w:rPr>
          <w:i/>
        </w:rPr>
        <w:t>Tetrahedron Letters</w:t>
      </w:r>
      <w:r w:rsidRPr="003D71F4">
        <w:t>, 42(11): 2217-2220.</w:t>
      </w:r>
    </w:p>
    <w:p w:rsidR="008F6181" w:rsidRPr="003D71F4" w:rsidRDefault="008F6181" w:rsidP="008F6181">
      <w:pPr>
        <w:pStyle w:val="Normal1"/>
        <w:numPr>
          <w:ilvl w:val="0"/>
          <w:numId w:val="2"/>
        </w:numPr>
        <w:pBdr>
          <w:top w:val="nil"/>
          <w:left w:val="nil"/>
          <w:bottom w:val="nil"/>
          <w:right w:val="nil"/>
          <w:between w:val="nil"/>
        </w:pBdr>
        <w:ind w:left="360"/>
      </w:pPr>
      <w:r w:rsidRPr="003D71F4">
        <w:t>Pitt, L. S., Large, G. B. and MacDonald, A. A. (1978). Insecticidal diethyl 2-​pyridinethionophosphonate. German Offen., CAN: 89: 18370.</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Hirao, T., Masunaga, T., Yamada, N., Ohshiro, Y. and Agawa, T. (1982). Palladium-catalyzed new carbon-phosphorus bond formation. </w:t>
      </w:r>
      <w:r w:rsidRPr="003D71F4">
        <w:rPr>
          <w:i/>
        </w:rPr>
        <w:t>Bulletin of the Chemical Society of Japan.</w:t>
      </w:r>
      <w:r w:rsidRPr="003D71F4">
        <w:t>, 55(3): 909-913.</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Kalek, M., Jezowska, M. and Stawinski, J. (2009). Preparation of arylphosphonates by palladium(0)-catalyzed cross-coupling in the presence of acetate additives: Synthetic and mechanistic studies. </w:t>
      </w:r>
      <w:r w:rsidRPr="003D71F4">
        <w:rPr>
          <w:i/>
        </w:rPr>
        <w:t>Advanced Synthesis &amp; Catalysis</w:t>
      </w:r>
      <w:r w:rsidRPr="003D71F4">
        <w:t>, 351(18): 3207-3216.</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Brook, M. A. (2000). Atomic and molecular properties of silicon. silicon in organic, organometallic, and polymer chemistry. Wiley-Interscience, New York: pp. 27-38. </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Theis, B., Metz, S., Burschka, C., Bertermann, R., Maisch, S. and Tacke, R. (2009). Neutral pentacoordinate silicon(iv) complexes with silicon-chalcogen (S, Se, Te) bonds. </w:t>
      </w:r>
      <w:r w:rsidR="002C5B42">
        <w:rPr>
          <w:i/>
        </w:rPr>
        <w:t xml:space="preserve">Chemistry - </w:t>
      </w:r>
      <w:r w:rsidRPr="003D71F4">
        <w:rPr>
          <w:i/>
        </w:rPr>
        <w:t>A European Journal</w:t>
      </w:r>
      <w:r w:rsidRPr="003D71F4">
        <w:t>, 15(30): 7329-7338.</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Hosomi, A., Hayashida, H., Kohra, S. and Tominaga, Y. (1986). Pentaco-ordinate silicon compounds in synthesis: chemo- and stereo-selective reduction of carbonyl compounds using trialkoxy-substituted silanes and alkali metal alkoxides. </w:t>
      </w:r>
      <w:r w:rsidRPr="003D71F4">
        <w:rPr>
          <w:i/>
        </w:rPr>
        <w:t>Journal of the Chemical Society, Chemical Communications</w:t>
      </w:r>
      <w:r w:rsidRPr="003D71F4">
        <w:t xml:space="preserve">, (18): 1411-1412. </w:t>
      </w:r>
    </w:p>
    <w:p w:rsidR="008F6181" w:rsidRPr="003D71F4" w:rsidRDefault="008F6181" w:rsidP="008F6181">
      <w:pPr>
        <w:pStyle w:val="Normal1"/>
        <w:numPr>
          <w:ilvl w:val="0"/>
          <w:numId w:val="2"/>
        </w:numPr>
        <w:pBdr>
          <w:top w:val="nil"/>
          <w:left w:val="nil"/>
          <w:bottom w:val="nil"/>
          <w:right w:val="nil"/>
          <w:between w:val="nil"/>
        </w:pBdr>
        <w:ind w:left="360"/>
      </w:pPr>
      <w:r w:rsidRPr="003D71F4">
        <w:t>Kobayashi, S., Yasuda, M. and Hachiya, I. (1996). Trichlorosilane-dimethylformamide (Cl</w:t>
      </w:r>
      <w:r w:rsidRPr="003D71F4">
        <w:rPr>
          <w:vertAlign w:val="subscript"/>
        </w:rPr>
        <w:t>3</w:t>
      </w:r>
      <w:r w:rsidRPr="003D71F4">
        <w:t xml:space="preserve">SiH-DMF) as an efficient reducing agent. reduction of aldehydes and imines and reductive amination of aldehydes under mild conditions using hypervalent hydridosilicates. </w:t>
      </w:r>
      <w:r w:rsidRPr="003D71F4">
        <w:rPr>
          <w:i/>
        </w:rPr>
        <w:t>Chemistry Letters</w:t>
      </w:r>
      <w:r w:rsidRPr="003D71F4">
        <w:t xml:space="preserve">, 25(5): 407-408. </w:t>
      </w:r>
    </w:p>
    <w:p w:rsidR="008F6181" w:rsidRPr="003D71F4" w:rsidRDefault="008F6181" w:rsidP="008F6181">
      <w:pPr>
        <w:pStyle w:val="Normal1"/>
        <w:numPr>
          <w:ilvl w:val="0"/>
          <w:numId w:val="2"/>
        </w:numPr>
        <w:pBdr>
          <w:top w:val="nil"/>
          <w:left w:val="nil"/>
          <w:bottom w:val="nil"/>
          <w:right w:val="nil"/>
          <w:between w:val="nil"/>
        </w:pBdr>
        <w:ind w:left="360"/>
      </w:pPr>
      <w:r w:rsidRPr="003D71F4">
        <w:t xml:space="preserve">Zhao, M., Xie, W. and Cui, C. (2014). Cesium carbonate catalyzed chemoselective hydrosilylation of aldehydes and ketones under solvent-free conditions. </w:t>
      </w:r>
      <w:r w:rsidR="002C5B42">
        <w:rPr>
          <w:i/>
        </w:rPr>
        <w:t xml:space="preserve">Chemistry - </w:t>
      </w:r>
      <w:bookmarkStart w:id="2" w:name="_GoBack"/>
      <w:bookmarkEnd w:id="2"/>
      <w:r w:rsidRPr="003D71F4">
        <w:rPr>
          <w:i/>
        </w:rPr>
        <w:t>A European Journal</w:t>
      </w:r>
      <w:r w:rsidRPr="003D71F4">
        <w:t>, 20(30): 9259-9262.</w:t>
      </w:r>
    </w:p>
    <w:p w:rsidR="00A74A7E" w:rsidRPr="007A738C" w:rsidRDefault="00A74A7E" w:rsidP="008F6181">
      <w:pPr>
        <w:spacing w:after="0" w:line="240" w:lineRule="auto"/>
        <w:ind w:left="360"/>
        <w:jc w:val="both"/>
        <w:rPr>
          <w:rFonts w:ascii="Times New Roman" w:hAnsi="Times New Roman"/>
          <w:noProof/>
          <w:lang w:bidi="ar-SA"/>
        </w:rPr>
      </w:pPr>
    </w:p>
    <w:sectPr w:rsidR="00A74A7E" w:rsidRPr="007A738C" w:rsidSect="008D48E1">
      <w:headerReference w:type="even" r:id="rId15"/>
      <w:headerReference w:type="default" r:id="rId16"/>
      <w:footerReference w:type="even" r:id="rId17"/>
      <w:footerReference w:type="default" r:id="rId18"/>
      <w:pgSz w:w="12240" w:h="15840" w:code="1"/>
      <w:pgMar w:top="1800" w:right="1469" w:bottom="1699" w:left="1440" w:header="706" w:footer="706" w:gutter="0"/>
      <w:pgNumType w:start="64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rdo">
    <w:altName w:val="Times New Roman"/>
    <w:charset w:val="00"/>
    <w:family w:val="auto"/>
    <w:pitch w:val="default"/>
  </w:font>
  <w:font w:name="Noto Sans Symbol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BD2480" w:rsidRDefault="00C0756D">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D5D3B">
          <w:rPr>
            <w:rFonts w:ascii="Times New Roman" w:hAnsi="Times New Roman"/>
            <w:noProof/>
          </w:rPr>
          <w:t>652</w:t>
        </w:r>
        <w:r w:rsidRPr="00C0756D">
          <w:rPr>
            <w:rFonts w:ascii="Times New Roman" w:hAnsi="Times New Roman"/>
            <w:noProof/>
          </w:rPr>
          <w:fldChar w:fldCharType="end"/>
        </w:r>
      </w:p>
      <w:p w:rsidR="00C0756D" w:rsidRPr="00C0756D" w:rsidRDefault="00DD5D3B">
        <w:pPr>
          <w:pStyle w:val="Footer"/>
          <w:jc w:val="right"/>
          <w:rPr>
            <w:rFonts w:ascii="Times New Roman" w:hAnsi="Times New Roman"/>
          </w:rPr>
        </w:pP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BD2480" w:rsidRDefault="00C0756D">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D5D3B">
          <w:rPr>
            <w:rFonts w:ascii="Times New Roman" w:hAnsi="Times New Roman"/>
            <w:noProof/>
          </w:rPr>
          <w:t>653</w:t>
        </w:r>
        <w:r w:rsidRPr="00C0756D">
          <w:rPr>
            <w:rFonts w:ascii="Times New Roman" w:hAnsi="Times New Roman"/>
            <w:noProof/>
          </w:rPr>
          <w:fldChar w:fldCharType="end"/>
        </w:r>
      </w:p>
      <w:p w:rsidR="00C0756D" w:rsidRPr="00C0756D" w:rsidRDefault="00DD5D3B">
        <w:pPr>
          <w:pStyle w:val="Footer"/>
          <w:rPr>
            <w:rFonts w:ascii="Times New Roman" w:hAnsi="Times New Roman"/>
          </w:rPr>
        </w:pP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624C7C">
      <w:rPr>
        <w:rFonts w:ascii="Times New Roman" w:hAnsi="Times New Roman"/>
        <w:i/>
        <w:lang w:val="en-US"/>
      </w:rPr>
      <w:t>23</w:t>
    </w:r>
    <w:r w:rsidR="00CF05FF">
      <w:rPr>
        <w:rFonts w:ascii="Times New Roman" w:hAnsi="Times New Roman"/>
        <w:i/>
      </w:rPr>
      <w:t xml:space="preserve"> </w:t>
    </w:r>
    <w:r w:rsidR="00B36193">
      <w:rPr>
        <w:rFonts w:ascii="Times New Roman" w:hAnsi="Times New Roman"/>
        <w:i/>
        <w:lang w:val="en-US"/>
      </w:rPr>
      <w:t>No 4</w:t>
    </w:r>
    <w:r w:rsidR="0039005B">
      <w:rPr>
        <w:rFonts w:ascii="Times New Roman" w:hAnsi="Times New Roman"/>
        <w:i/>
        <w:lang w:val="en-US"/>
      </w:rPr>
      <w:t xml:space="preserve"> </w:t>
    </w:r>
    <w:r w:rsidR="00B25B65">
      <w:rPr>
        <w:rFonts w:ascii="Times New Roman" w:hAnsi="Times New Roman"/>
        <w:i/>
      </w:rPr>
      <w:t>(201</w:t>
    </w:r>
    <w:r w:rsidR="00624C7C">
      <w:rPr>
        <w:rFonts w:ascii="Times New Roman" w:hAnsi="Times New Roman"/>
        <w:i/>
        <w:lang w:val="en-US"/>
      </w:rPr>
      <w:t>9</w:t>
    </w:r>
    <w:r w:rsidRPr="00D75B35">
      <w:rPr>
        <w:rFonts w:ascii="Times New Roman" w:hAnsi="Times New Roman"/>
        <w:i/>
      </w:rPr>
      <w:t xml:space="preserve">): </w:t>
    </w:r>
    <w:r w:rsidR="008D48E1">
      <w:rPr>
        <w:rFonts w:ascii="Times New Roman" w:hAnsi="Times New Roman"/>
        <w:i/>
        <w:lang w:val="en-US"/>
      </w:rPr>
      <w:t>64</w:t>
    </w:r>
    <w:r w:rsidR="008E0143">
      <w:rPr>
        <w:rFonts w:ascii="Times New Roman" w:hAnsi="Times New Roman"/>
        <w:i/>
        <w:lang w:val="en-US"/>
      </w:rPr>
      <w:t>8</w:t>
    </w:r>
    <w:r w:rsidR="004B43FF">
      <w:rPr>
        <w:rFonts w:ascii="Times New Roman" w:hAnsi="Times New Roman"/>
        <w:i/>
        <w:lang w:val="en-US"/>
      </w:rPr>
      <w:t xml:space="preserve"> </w:t>
    </w:r>
    <w:r w:rsidR="00583C85">
      <w:rPr>
        <w:rFonts w:ascii="Times New Roman" w:hAnsi="Times New Roman"/>
        <w:i/>
        <w:lang w:val="en-US"/>
      </w:rPr>
      <w:t>-</w:t>
    </w:r>
    <w:r w:rsidR="008D48E1">
      <w:rPr>
        <w:rFonts w:ascii="Times New Roman" w:hAnsi="Times New Roman"/>
        <w:i/>
        <w:lang w:val="en-US"/>
      </w:rPr>
      <w:t xml:space="preserve"> 65</w:t>
    </w:r>
    <w:r w:rsidR="008E0143">
      <w:rPr>
        <w:rFonts w:ascii="Times New Roman" w:hAnsi="Times New Roman"/>
        <w:i/>
        <w:lang w:val="en-US"/>
      </w:rPr>
      <w:t>3</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624C7C">
      <w:rPr>
        <w:rFonts w:ascii="Times New Roman" w:hAnsi="Times New Roman"/>
        <w:i/>
        <w:lang w:val="en-US"/>
      </w:rPr>
      <w:t>doi.org/10.17576/mjas-2019-23</w:t>
    </w:r>
    <w:r w:rsidR="000C5261">
      <w:rPr>
        <w:rFonts w:ascii="Times New Roman" w:hAnsi="Times New Roman"/>
        <w:i/>
        <w:lang w:val="en-US"/>
      </w:rPr>
      <w:t>0</w:t>
    </w:r>
    <w:r w:rsidR="00B36193">
      <w:rPr>
        <w:rFonts w:ascii="Times New Roman" w:hAnsi="Times New Roman"/>
        <w:i/>
        <w:lang w:val="en-US"/>
      </w:rPr>
      <w:t>4</w:t>
    </w:r>
    <w:r w:rsidR="008E0143">
      <w:rPr>
        <w:rFonts w:ascii="Times New Roman" w:hAnsi="Times New Roman"/>
        <w:i/>
        <w:lang w:val="en-US"/>
      </w:rPr>
      <w:t>-10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EEF" w:rsidRPr="00BC5EEF" w:rsidRDefault="00BC5EEF" w:rsidP="00BC5EEF">
    <w:pPr>
      <w:pStyle w:val="Normal1"/>
      <w:ind w:left="990" w:hanging="990"/>
      <w:jc w:val="left"/>
    </w:pPr>
    <w:r w:rsidRPr="00BC5EEF">
      <w:t>Oka et al</w:t>
    </w:r>
    <w:r w:rsidR="008E6968" w:rsidRPr="00BC5EEF">
      <w:t xml:space="preserve">:  </w:t>
    </w:r>
    <w:r w:rsidRPr="00BC5EEF">
      <w:t xml:space="preserve"> HYDROSILYLATION OF ALDEHYDES CATALYZED BY DIETHYL </w:t>
    </w:r>
    <w:r>
      <w:t>2-</w:t>
    </w:r>
    <w:r w:rsidRPr="00BC5EEF">
      <w:t>YRIDYLPHOSPHONATE</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E6C3CB9"/>
    <w:multiLevelType w:val="multilevel"/>
    <w:tmpl w:val="BDDA0B4C"/>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837A6"/>
    <w:rsid w:val="001D035A"/>
    <w:rsid w:val="001D3855"/>
    <w:rsid w:val="001D6F2C"/>
    <w:rsid w:val="00221D39"/>
    <w:rsid w:val="002B188F"/>
    <w:rsid w:val="002B3BD8"/>
    <w:rsid w:val="002C5B42"/>
    <w:rsid w:val="002F3F91"/>
    <w:rsid w:val="00304767"/>
    <w:rsid w:val="00304B34"/>
    <w:rsid w:val="00312C0E"/>
    <w:rsid w:val="00361BAF"/>
    <w:rsid w:val="00367D1F"/>
    <w:rsid w:val="00373A9B"/>
    <w:rsid w:val="00383F26"/>
    <w:rsid w:val="0039005B"/>
    <w:rsid w:val="003D585B"/>
    <w:rsid w:val="003D71F4"/>
    <w:rsid w:val="003E7DA6"/>
    <w:rsid w:val="003F12FF"/>
    <w:rsid w:val="004760D4"/>
    <w:rsid w:val="00494C46"/>
    <w:rsid w:val="004B43FF"/>
    <w:rsid w:val="00502641"/>
    <w:rsid w:val="00534441"/>
    <w:rsid w:val="00545363"/>
    <w:rsid w:val="00583C85"/>
    <w:rsid w:val="00584156"/>
    <w:rsid w:val="005C6768"/>
    <w:rsid w:val="00624C7C"/>
    <w:rsid w:val="00634C25"/>
    <w:rsid w:val="006416AB"/>
    <w:rsid w:val="006768E9"/>
    <w:rsid w:val="00687982"/>
    <w:rsid w:val="00695D0E"/>
    <w:rsid w:val="006A3A0F"/>
    <w:rsid w:val="006B3EC8"/>
    <w:rsid w:val="006B70C8"/>
    <w:rsid w:val="006D695E"/>
    <w:rsid w:val="00725A6A"/>
    <w:rsid w:val="00730CB3"/>
    <w:rsid w:val="007943F3"/>
    <w:rsid w:val="007A738C"/>
    <w:rsid w:val="007B1349"/>
    <w:rsid w:val="007E25BD"/>
    <w:rsid w:val="007F4ECC"/>
    <w:rsid w:val="00801E18"/>
    <w:rsid w:val="00802C35"/>
    <w:rsid w:val="00812EFD"/>
    <w:rsid w:val="0082181A"/>
    <w:rsid w:val="008B470E"/>
    <w:rsid w:val="008C14D6"/>
    <w:rsid w:val="008D48E1"/>
    <w:rsid w:val="008E0143"/>
    <w:rsid w:val="008E1211"/>
    <w:rsid w:val="008E5BBF"/>
    <w:rsid w:val="008E6968"/>
    <w:rsid w:val="008F6181"/>
    <w:rsid w:val="0093538A"/>
    <w:rsid w:val="00994232"/>
    <w:rsid w:val="00A14DB9"/>
    <w:rsid w:val="00A4762A"/>
    <w:rsid w:val="00A74A7E"/>
    <w:rsid w:val="00A87399"/>
    <w:rsid w:val="00AD1B8A"/>
    <w:rsid w:val="00AD76AF"/>
    <w:rsid w:val="00AE713F"/>
    <w:rsid w:val="00B1121C"/>
    <w:rsid w:val="00B25B65"/>
    <w:rsid w:val="00B2770A"/>
    <w:rsid w:val="00B314AD"/>
    <w:rsid w:val="00B36193"/>
    <w:rsid w:val="00B7255A"/>
    <w:rsid w:val="00B75BF6"/>
    <w:rsid w:val="00BA1F7B"/>
    <w:rsid w:val="00BB58AF"/>
    <w:rsid w:val="00BC5EEF"/>
    <w:rsid w:val="00BD2480"/>
    <w:rsid w:val="00BE7C30"/>
    <w:rsid w:val="00C055BF"/>
    <w:rsid w:val="00C0756D"/>
    <w:rsid w:val="00C2226A"/>
    <w:rsid w:val="00C92AD4"/>
    <w:rsid w:val="00C94D92"/>
    <w:rsid w:val="00C97340"/>
    <w:rsid w:val="00CA513F"/>
    <w:rsid w:val="00CF05FF"/>
    <w:rsid w:val="00D340BB"/>
    <w:rsid w:val="00D505D5"/>
    <w:rsid w:val="00D63C28"/>
    <w:rsid w:val="00D75B35"/>
    <w:rsid w:val="00D76E09"/>
    <w:rsid w:val="00D9736F"/>
    <w:rsid w:val="00D9792A"/>
    <w:rsid w:val="00DC3935"/>
    <w:rsid w:val="00DD377F"/>
    <w:rsid w:val="00DD5D3B"/>
    <w:rsid w:val="00E25547"/>
    <w:rsid w:val="00E2773B"/>
    <w:rsid w:val="00E3287E"/>
    <w:rsid w:val="00E66197"/>
    <w:rsid w:val="00EB5BA5"/>
    <w:rsid w:val="00EF4195"/>
    <w:rsid w:val="00F202C3"/>
    <w:rsid w:val="00F23D94"/>
    <w:rsid w:val="00F31093"/>
    <w:rsid w:val="00F412AF"/>
    <w:rsid w:val="00F43667"/>
    <w:rsid w:val="00F447A7"/>
    <w:rsid w:val="00F467A2"/>
    <w:rsid w:val="00FB4C59"/>
    <w:rsid w:val="00FB4F34"/>
    <w:rsid w:val="00FE0572"/>
    <w:rsid w:val="00FF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Normal1">
    <w:name w:val="Normal1"/>
    <w:rsid w:val="001837A6"/>
    <w:pPr>
      <w:widowControl w:val="0"/>
      <w:jc w:val="both"/>
    </w:pPr>
    <w:rPr>
      <w:rFonts w:ascii="Times New Roman" w:eastAsia="Times New Roman" w:hAnsi="Times New Roman"/>
      <w:lang w:eastAsia="en-MY"/>
    </w:rPr>
  </w:style>
  <w:style w:type="character" w:styleId="Hyperlink">
    <w:name w:val="Hyperlink"/>
    <w:basedOn w:val="DefaultParagraphFont"/>
    <w:uiPriority w:val="99"/>
    <w:unhideWhenUsed/>
    <w:rsid w:val="00DC39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Normal1">
    <w:name w:val="Normal1"/>
    <w:rsid w:val="001837A6"/>
    <w:pPr>
      <w:widowControl w:val="0"/>
      <w:jc w:val="both"/>
    </w:pPr>
    <w:rPr>
      <w:rFonts w:ascii="Times New Roman" w:eastAsia="Times New Roman" w:hAnsi="Times New Roman"/>
      <w:lang w:eastAsia="en-MY"/>
    </w:rPr>
  </w:style>
  <w:style w:type="character" w:styleId="Hyperlink">
    <w:name w:val="Hyperlink"/>
    <w:basedOn w:val="DefaultParagraphFont"/>
    <w:uiPriority w:val="99"/>
    <w:unhideWhenUsed/>
    <w:rsid w:val="00DC39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71637-3B99-4EE7-ADF1-546D0D98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2661</Words>
  <Characters>15671</Characters>
  <Application>Microsoft Office Word</Application>
  <DocSecurity>0</DocSecurity>
  <Lines>427</Lines>
  <Paragraphs>242</Paragraphs>
  <ScaleCrop>false</ScaleCrop>
  <HeadingPairs>
    <vt:vector size="2" baseType="variant">
      <vt:variant>
        <vt:lpstr>Title</vt:lpstr>
      </vt:variant>
      <vt:variant>
        <vt:i4>1</vt:i4>
      </vt:variant>
    </vt:vector>
  </HeadingPairs>
  <TitlesOfParts>
    <vt:vector size="1" baseType="lpstr">
      <vt:lpstr>MJAS Vol 23 No 4 (2019)</vt:lpstr>
    </vt:vector>
  </TitlesOfParts>
  <Company>UKM</Company>
  <LinksUpToDate>false</LinksUpToDate>
  <CharactersWithSpaces>18216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4 (2019)</dc:title>
  <dc:creator>Harun Hj Hamzah</dc:creator>
  <cp:lastModifiedBy>Harun Hamzah</cp:lastModifiedBy>
  <cp:revision>13</cp:revision>
  <cp:lastPrinted>2019-08-18T06:50:00Z</cp:lastPrinted>
  <dcterms:created xsi:type="dcterms:W3CDTF">2019-07-31T15:03:00Z</dcterms:created>
  <dcterms:modified xsi:type="dcterms:W3CDTF">2019-08-18T06:50:00Z</dcterms:modified>
</cp:coreProperties>
</file>