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87002" w:rsidRPr="00E3287E" w:rsidRDefault="00687002"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687002" w:rsidRDefault="00687002"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687002" w:rsidRPr="00E3287E" w:rsidRDefault="00687002"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687002" w:rsidRDefault="00687002"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687002" w:rsidRPr="00687002" w:rsidRDefault="00687002" w:rsidP="00687002">
      <w:pPr>
        <w:spacing w:after="0" w:line="240" w:lineRule="auto"/>
        <w:jc w:val="center"/>
        <w:rPr>
          <w:rFonts w:ascii="Times New Roman" w:hAnsi="Times New Roman"/>
          <w:i/>
          <w:sz w:val="28"/>
          <w:szCs w:val="28"/>
        </w:rPr>
      </w:pPr>
      <w:r w:rsidRPr="00687002">
        <w:rPr>
          <w:rFonts w:ascii="Times New Roman" w:hAnsi="Times New Roman"/>
          <w:sz w:val="28"/>
          <w:szCs w:val="28"/>
        </w:rPr>
        <w:t xml:space="preserve">ANTIBACTERIAL AND ANTIOXIDANT ACTIVITIES OF EXTRACTS FROM </w:t>
      </w:r>
      <w:r w:rsidRPr="00687002">
        <w:rPr>
          <w:rFonts w:ascii="Times New Roman" w:hAnsi="Times New Roman"/>
          <w:i/>
          <w:sz w:val="28"/>
          <w:szCs w:val="28"/>
        </w:rPr>
        <w:t>Calophyllum ferrugineum</w:t>
      </w:r>
      <w:r w:rsidRPr="00687002">
        <w:rPr>
          <w:rFonts w:ascii="Times New Roman" w:hAnsi="Times New Roman"/>
          <w:sz w:val="28"/>
          <w:szCs w:val="28"/>
        </w:rPr>
        <w:t xml:space="preserve"> AND </w:t>
      </w:r>
      <w:r w:rsidRPr="00687002">
        <w:rPr>
          <w:rFonts w:ascii="Times New Roman" w:hAnsi="Times New Roman"/>
          <w:i/>
          <w:sz w:val="28"/>
          <w:szCs w:val="28"/>
        </w:rPr>
        <w:t>Calophyllum incrassatum</w:t>
      </w:r>
    </w:p>
    <w:p w:rsidR="00687002" w:rsidRPr="00687002" w:rsidRDefault="00687002" w:rsidP="00687002">
      <w:pPr>
        <w:tabs>
          <w:tab w:val="left" w:pos="6558"/>
        </w:tabs>
        <w:spacing w:after="0" w:line="240" w:lineRule="auto"/>
        <w:jc w:val="center"/>
        <w:rPr>
          <w:rFonts w:ascii="Times New Roman" w:hAnsi="Times New Roman"/>
          <w:b/>
          <w:sz w:val="24"/>
          <w:szCs w:val="24"/>
        </w:rPr>
      </w:pPr>
    </w:p>
    <w:p w:rsidR="00687002" w:rsidRPr="00687002" w:rsidRDefault="00687002" w:rsidP="00687002">
      <w:pPr>
        <w:spacing w:after="0" w:line="240" w:lineRule="auto"/>
        <w:jc w:val="center"/>
        <w:rPr>
          <w:rFonts w:ascii="Times New Roman" w:hAnsi="Times New Roman"/>
          <w:sz w:val="24"/>
          <w:szCs w:val="24"/>
        </w:rPr>
      </w:pPr>
      <w:r w:rsidRPr="00687002">
        <w:rPr>
          <w:rFonts w:ascii="Times New Roman" w:hAnsi="Times New Roman"/>
          <w:sz w:val="24"/>
          <w:szCs w:val="24"/>
        </w:rPr>
        <w:t xml:space="preserve">(Aktiviti Antibakteria dan Antioksidan Terhadap Ekstrak daripada </w:t>
      </w:r>
      <w:r w:rsidRPr="00687002">
        <w:rPr>
          <w:rFonts w:ascii="Times New Roman" w:hAnsi="Times New Roman"/>
          <w:i/>
          <w:sz w:val="24"/>
          <w:szCs w:val="24"/>
        </w:rPr>
        <w:t>Calophyllum</w:t>
      </w:r>
      <w:r w:rsidRPr="00687002">
        <w:rPr>
          <w:rFonts w:ascii="Times New Roman" w:hAnsi="Times New Roman"/>
          <w:sz w:val="24"/>
          <w:szCs w:val="24"/>
        </w:rPr>
        <w:t xml:space="preserve"> </w:t>
      </w:r>
      <w:r w:rsidRPr="00687002">
        <w:rPr>
          <w:rFonts w:ascii="Times New Roman" w:hAnsi="Times New Roman"/>
          <w:i/>
          <w:sz w:val="24"/>
          <w:szCs w:val="24"/>
        </w:rPr>
        <w:t>ferrugineum</w:t>
      </w:r>
      <w:r w:rsidRPr="00687002">
        <w:rPr>
          <w:rFonts w:ascii="Times New Roman" w:hAnsi="Times New Roman"/>
          <w:sz w:val="24"/>
          <w:szCs w:val="24"/>
        </w:rPr>
        <w:t xml:space="preserve"> dan </w:t>
      </w:r>
      <w:r w:rsidRPr="00687002">
        <w:rPr>
          <w:rFonts w:ascii="Times New Roman" w:hAnsi="Times New Roman"/>
          <w:i/>
          <w:sz w:val="24"/>
          <w:szCs w:val="24"/>
        </w:rPr>
        <w:t>Calophyllum incrassatum</w:t>
      </w:r>
      <w:r w:rsidRPr="00687002">
        <w:rPr>
          <w:rFonts w:ascii="Times New Roman" w:hAnsi="Times New Roman"/>
          <w:sz w:val="24"/>
          <w:szCs w:val="24"/>
        </w:rPr>
        <w:t>)</w:t>
      </w:r>
    </w:p>
    <w:p w:rsidR="00687002" w:rsidRPr="00687002" w:rsidRDefault="00687002" w:rsidP="00687002">
      <w:pPr>
        <w:spacing w:after="0" w:line="240" w:lineRule="auto"/>
        <w:jc w:val="center"/>
        <w:rPr>
          <w:rFonts w:ascii="Times New Roman" w:hAnsi="Times New Roman"/>
          <w:sz w:val="20"/>
          <w:szCs w:val="20"/>
        </w:rPr>
      </w:pPr>
    </w:p>
    <w:p w:rsidR="00687002" w:rsidRPr="00687002" w:rsidRDefault="00687002" w:rsidP="00687002">
      <w:pPr>
        <w:spacing w:after="0" w:line="240" w:lineRule="auto"/>
        <w:jc w:val="center"/>
        <w:rPr>
          <w:rFonts w:ascii="Times New Roman" w:hAnsi="Times New Roman"/>
          <w:sz w:val="20"/>
          <w:szCs w:val="20"/>
        </w:rPr>
      </w:pPr>
      <w:r w:rsidRPr="00687002">
        <w:rPr>
          <w:rFonts w:ascii="Times New Roman" w:hAnsi="Times New Roman"/>
          <w:sz w:val="20"/>
          <w:szCs w:val="20"/>
        </w:rPr>
        <w:t>Nurul Iman Aminudin</w:t>
      </w:r>
      <w:r w:rsidRPr="00687002">
        <w:rPr>
          <w:rFonts w:ascii="Times New Roman" w:hAnsi="Times New Roman"/>
          <w:sz w:val="20"/>
          <w:szCs w:val="20"/>
          <w:vertAlign w:val="superscript"/>
        </w:rPr>
        <w:t>1</w:t>
      </w:r>
      <w:r w:rsidRPr="00687002">
        <w:rPr>
          <w:rFonts w:ascii="Times New Roman" w:hAnsi="Times New Roman"/>
          <w:sz w:val="20"/>
          <w:szCs w:val="20"/>
        </w:rPr>
        <w:t>*, Farediah Ahmad</w:t>
      </w:r>
      <w:r w:rsidRPr="00687002">
        <w:rPr>
          <w:rFonts w:ascii="Times New Roman" w:hAnsi="Times New Roman"/>
          <w:sz w:val="20"/>
          <w:szCs w:val="20"/>
          <w:vertAlign w:val="superscript"/>
        </w:rPr>
        <w:t>2</w:t>
      </w:r>
      <w:r w:rsidRPr="00687002">
        <w:rPr>
          <w:rFonts w:ascii="Times New Roman" w:hAnsi="Times New Roman"/>
          <w:sz w:val="20"/>
          <w:szCs w:val="20"/>
        </w:rPr>
        <w:t>, Muhammad Taher</w:t>
      </w:r>
      <w:r w:rsidRPr="00687002">
        <w:rPr>
          <w:rFonts w:ascii="Times New Roman" w:hAnsi="Times New Roman"/>
          <w:sz w:val="20"/>
          <w:szCs w:val="20"/>
          <w:vertAlign w:val="superscript"/>
        </w:rPr>
        <w:t>3</w:t>
      </w:r>
    </w:p>
    <w:p w:rsidR="00687002" w:rsidRPr="00687002" w:rsidRDefault="00687002" w:rsidP="00687002">
      <w:pPr>
        <w:spacing w:after="0" w:line="240" w:lineRule="auto"/>
        <w:jc w:val="center"/>
        <w:rPr>
          <w:rFonts w:ascii="Times New Roman" w:hAnsi="Times New Roman"/>
          <w:b/>
          <w:sz w:val="20"/>
          <w:szCs w:val="20"/>
        </w:rPr>
      </w:pPr>
    </w:p>
    <w:p w:rsidR="00687002" w:rsidRPr="00687002" w:rsidRDefault="00687002" w:rsidP="00687002">
      <w:pPr>
        <w:pStyle w:val="Affiliation"/>
        <w:spacing w:line="240" w:lineRule="auto"/>
        <w:ind w:left="142" w:hanging="142"/>
        <w:rPr>
          <w:i/>
          <w:color w:val="auto"/>
          <w:sz w:val="18"/>
          <w:szCs w:val="18"/>
          <w:lang w:val="en-GB"/>
        </w:rPr>
      </w:pPr>
      <w:r w:rsidRPr="00687002">
        <w:rPr>
          <w:i/>
          <w:color w:val="auto"/>
          <w:sz w:val="18"/>
          <w:szCs w:val="18"/>
          <w:vertAlign w:val="superscript"/>
          <w:lang w:val="en-GB"/>
        </w:rPr>
        <w:t>1</w:t>
      </w:r>
      <w:r w:rsidRPr="00687002">
        <w:rPr>
          <w:i/>
          <w:color w:val="auto"/>
          <w:sz w:val="18"/>
          <w:szCs w:val="18"/>
          <w:lang w:val="en-GB"/>
        </w:rPr>
        <w:t xml:space="preserve">Department of Chemistry, Kulliyyah of Science, </w:t>
      </w:r>
    </w:p>
    <w:p w:rsidR="00687002" w:rsidRPr="00687002" w:rsidRDefault="00687002" w:rsidP="00687002">
      <w:pPr>
        <w:pStyle w:val="Affiliation"/>
        <w:spacing w:line="240" w:lineRule="auto"/>
        <w:ind w:left="142" w:hanging="142"/>
        <w:rPr>
          <w:i/>
          <w:color w:val="auto"/>
          <w:sz w:val="18"/>
          <w:szCs w:val="18"/>
          <w:lang w:val="en-GB"/>
        </w:rPr>
      </w:pPr>
      <w:r w:rsidRPr="00687002">
        <w:rPr>
          <w:i/>
          <w:color w:val="auto"/>
          <w:sz w:val="18"/>
          <w:szCs w:val="18"/>
          <w:lang w:val="en-GB"/>
        </w:rPr>
        <w:t>International Islamic University Malaysia, 25200 Kuantan, Pahang, Malaysia</w:t>
      </w:r>
    </w:p>
    <w:p w:rsidR="00687002" w:rsidRPr="00687002" w:rsidRDefault="00687002" w:rsidP="00687002">
      <w:pPr>
        <w:pStyle w:val="Affiliation"/>
        <w:spacing w:line="240" w:lineRule="auto"/>
        <w:ind w:left="142" w:hanging="142"/>
        <w:rPr>
          <w:i/>
          <w:color w:val="auto"/>
          <w:sz w:val="18"/>
          <w:szCs w:val="18"/>
          <w:lang w:val="en-GB"/>
        </w:rPr>
      </w:pPr>
      <w:r w:rsidRPr="00687002">
        <w:rPr>
          <w:i/>
          <w:color w:val="auto"/>
          <w:sz w:val="18"/>
          <w:szCs w:val="18"/>
          <w:vertAlign w:val="superscript"/>
          <w:lang w:val="en-GB"/>
        </w:rPr>
        <w:t>2</w:t>
      </w:r>
      <w:r w:rsidRPr="00687002">
        <w:rPr>
          <w:i/>
          <w:color w:val="auto"/>
          <w:sz w:val="18"/>
          <w:szCs w:val="18"/>
          <w:lang w:val="en-GB"/>
        </w:rPr>
        <w:t>Department of Chemistry, Faculty of Science,</w:t>
      </w:r>
    </w:p>
    <w:p w:rsidR="00687002" w:rsidRPr="00687002" w:rsidRDefault="00687002" w:rsidP="00687002">
      <w:pPr>
        <w:pStyle w:val="Affiliation"/>
        <w:spacing w:line="240" w:lineRule="auto"/>
        <w:ind w:left="142" w:hanging="142"/>
        <w:rPr>
          <w:i/>
          <w:color w:val="auto"/>
          <w:sz w:val="18"/>
          <w:szCs w:val="18"/>
          <w:lang w:val="en-GB"/>
        </w:rPr>
      </w:pPr>
      <w:r w:rsidRPr="00687002">
        <w:rPr>
          <w:i/>
          <w:color w:val="auto"/>
          <w:sz w:val="18"/>
          <w:szCs w:val="18"/>
          <w:lang w:val="en-GB"/>
        </w:rPr>
        <w:t xml:space="preserve">Universiti Teknologi Malaysia, 81310 Skudai, Johor, Malaysia </w:t>
      </w:r>
    </w:p>
    <w:p w:rsidR="00687002" w:rsidRPr="00687002" w:rsidRDefault="00687002" w:rsidP="00687002">
      <w:pPr>
        <w:pStyle w:val="Affiliation"/>
        <w:spacing w:line="240" w:lineRule="auto"/>
        <w:ind w:left="142" w:hanging="142"/>
        <w:rPr>
          <w:i/>
          <w:color w:val="auto"/>
          <w:sz w:val="18"/>
          <w:szCs w:val="18"/>
          <w:lang w:val="en-GB"/>
        </w:rPr>
      </w:pPr>
      <w:r w:rsidRPr="00687002">
        <w:rPr>
          <w:i/>
          <w:color w:val="auto"/>
          <w:sz w:val="18"/>
          <w:szCs w:val="18"/>
          <w:vertAlign w:val="superscript"/>
          <w:lang w:val="en-GB"/>
        </w:rPr>
        <w:t>3</w:t>
      </w:r>
      <w:r w:rsidRPr="00687002">
        <w:rPr>
          <w:i/>
          <w:color w:val="auto"/>
          <w:sz w:val="18"/>
          <w:szCs w:val="18"/>
          <w:lang w:val="en-GB"/>
        </w:rPr>
        <w:t>Department of Pharmaceutical Technology, Kulliyyah of Pharmacy</w:t>
      </w:r>
      <w:r>
        <w:rPr>
          <w:i/>
          <w:color w:val="auto"/>
          <w:sz w:val="18"/>
          <w:szCs w:val="18"/>
          <w:lang w:val="en-GB"/>
        </w:rPr>
        <w:t>,</w:t>
      </w:r>
    </w:p>
    <w:p w:rsidR="00687002" w:rsidRPr="00687002" w:rsidRDefault="00687002" w:rsidP="00687002">
      <w:pPr>
        <w:pStyle w:val="Affiliation"/>
        <w:spacing w:line="240" w:lineRule="auto"/>
        <w:ind w:left="142" w:hanging="142"/>
        <w:rPr>
          <w:i/>
          <w:color w:val="auto"/>
          <w:sz w:val="18"/>
          <w:szCs w:val="18"/>
          <w:lang w:val="en-GB"/>
        </w:rPr>
      </w:pPr>
      <w:r w:rsidRPr="00687002">
        <w:rPr>
          <w:i/>
          <w:color w:val="auto"/>
          <w:sz w:val="18"/>
          <w:szCs w:val="18"/>
          <w:lang w:val="en-GB"/>
        </w:rPr>
        <w:t xml:space="preserve">International Islamic University Malaysia, 25200 Kuantan, Pahang, Malaysia </w:t>
      </w:r>
    </w:p>
    <w:p w:rsidR="00687002" w:rsidRPr="00687002" w:rsidRDefault="00687002" w:rsidP="00687002">
      <w:pPr>
        <w:spacing w:after="0" w:line="240" w:lineRule="auto"/>
        <w:jc w:val="center"/>
        <w:rPr>
          <w:rFonts w:ascii="Times New Roman" w:hAnsi="Times New Roman"/>
          <w:b/>
          <w:sz w:val="18"/>
          <w:szCs w:val="18"/>
        </w:rPr>
      </w:pPr>
    </w:p>
    <w:p w:rsidR="00687002" w:rsidRPr="00687002" w:rsidRDefault="00687002" w:rsidP="00687002">
      <w:pPr>
        <w:spacing w:after="0" w:line="240" w:lineRule="auto"/>
        <w:jc w:val="center"/>
        <w:rPr>
          <w:rFonts w:ascii="Times New Roman" w:hAnsi="Times New Roman"/>
          <w:i/>
          <w:sz w:val="18"/>
          <w:szCs w:val="18"/>
        </w:rPr>
      </w:pPr>
      <w:r w:rsidRPr="00687002">
        <w:rPr>
          <w:rFonts w:ascii="Times New Roman" w:hAnsi="Times New Roman"/>
          <w:i/>
          <w:sz w:val="18"/>
          <w:szCs w:val="18"/>
        </w:rPr>
        <w:t xml:space="preserve">*Corresponding author: </w:t>
      </w:r>
      <w:r>
        <w:rPr>
          <w:rFonts w:ascii="Times New Roman" w:hAnsi="Times New Roman"/>
          <w:i/>
          <w:sz w:val="18"/>
          <w:szCs w:val="18"/>
        </w:rPr>
        <w:t xml:space="preserve"> </w:t>
      </w:r>
      <w:r w:rsidRPr="00687002">
        <w:rPr>
          <w:rFonts w:ascii="Times New Roman" w:hAnsi="Times New Roman"/>
          <w:i/>
          <w:sz w:val="18"/>
          <w:szCs w:val="18"/>
        </w:rPr>
        <w:t>nuruliman@iium.edu.my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7C0FAD">
        <w:rPr>
          <w:rFonts w:ascii="Times New Roman" w:hAnsi="Times New Roman"/>
          <w:noProof/>
          <w:sz w:val="18"/>
          <w:szCs w:val="18"/>
          <w:lang w:bidi="ar-SA"/>
        </w:rPr>
        <w:t>19 August 2018</w:t>
      </w:r>
      <w:r>
        <w:rPr>
          <w:rFonts w:ascii="Times New Roman" w:hAnsi="Times New Roman"/>
          <w:noProof/>
          <w:sz w:val="18"/>
          <w:szCs w:val="18"/>
          <w:lang w:bidi="ar-SA"/>
        </w:rPr>
        <w:t xml:space="preserve">; Accepted: </w:t>
      </w:r>
      <w:r w:rsidR="007C0FAD">
        <w:rPr>
          <w:rFonts w:ascii="Times New Roman" w:hAnsi="Times New Roman"/>
          <w:noProof/>
          <w:sz w:val="18"/>
          <w:szCs w:val="18"/>
          <w:lang w:bidi="ar-SA"/>
        </w:rPr>
        <w:t>23 June 2019</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87002" w:rsidRPr="00687002" w:rsidRDefault="00687002" w:rsidP="00687002">
      <w:pPr>
        <w:spacing w:after="0" w:line="240" w:lineRule="auto"/>
        <w:jc w:val="both"/>
        <w:rPr>
          <w:rFonts w:ascii="Times New Roman" w:hAnsi="Times New Roman"/>
          <w:sz w:val="18"/>
          <w:szCs w:val="18"/>
          <w:lang w:val="en-GB"/>
        </w:rPr>
      </w:pPr>
      <w:r w:rsidRPr="00687002">
        <w:rPr>
          <w:rFonts w:ascii="Times New Roman" w:hAnsi="Times New Roman"/>
          <w:i/>
          <w:sz w:val="18"/>
          <w:szCs w:val="18"/>
          <w:lang w:val="en-GB"/>
        </w:rPr>
        <w:t xml:space="preserve">Calophyllum </w:t>
      </w:r>
      <w:r w:rsidRPr="00687002">
        <w:rPr>
          <w:rFonts w:ascii="Times New Roman" w:hAnsi="Times New Roman"/>
          <w:sz w:val="18"/>
          <w:szCs w:val="18"/>
          <w:lang w:val="en-GB"/>
        </w:rPr>
        <w:t>is a pan-tropical genus belongs to the Guttiferae family and locally known in Malaysia as ‘</w:t>
      </w:r>
      <w:r w:rsidRPr="00687002">
        <w:rPr>
          <w:rFonts w:ascii="Times New Roman" w:hAnsi="Times New Roman"/>
          <w:i/>
          <w:sz w:val="18"/>
          <w:szCs w:val="18"/>
          <w:lang w:val="en-GB"/>
        </w:rPr>
        <w:t>bintangor</w:t>
      </w:r>
      <w:r w:rsidRPr="00687002">
        <w:rPr>
          <w:rFonts w:ascii="Times New Roman" w:hAnsi="Times New Roman"/>
          <w:sz w:val="18"/>
          <w:szCs w:val="18"/>
          <w:lang w:val="en-GB"/>
        </w:rPr>
        <w:t xml:space="preserve">’. There has been a continual interest to further investigate the phytochemistry of </w:t>
      </w:r>
      <w:r w:rsidRPr="00687002">
        <w:rPr>
          <w:rFonts w:ascii="Times New Roman" w:hAnsi="Times New Roman"/>
          <w:i/>
          <w:sz w:val="18"/>
          <w:szCs w:val="18"/>
          <w:lang w:val="en-GB"/>
        </w:rPr>
        <w:t xml:space="preserve">Calophyllum sp </w:t>
      </w:r>
      <w:r w:rsidRPr="00687002">
        <w:rPr>
          <w:rFonts w:ascii="Times New Roman" w:hAnsi="Times New Roman"/>
          <w:sz w:val="18"/>
          <w:szCs w:val="18"/>
          <w:lang w:val="en-GB"/>
        </w:rPr>
        <w:t xml:space="preserve">because this genus is a rich source of active secondary metabolites which shows anti-HIV, cytotoxicity and antimicrobial properties. In this study, antibacterial and antioxidant activities of barks and leaves of </w:t>
      </w:r>
      <w:r w:rsidRPr="00687002">
        <w:rPr>
          <w:rFonts w:ascii="Times New Roman" w:hAnsi="Times New Roman"/>
          <w:i/>
          <w:sz w:val="18"/>
          <w:szCs w:val="18"/>
          <w:lang w:val="en-GB"/>
        </w:rPr>
        <w:t>C. ferrugineum</w:t>
      </w:r>
      <w:r w:rsidRPr="00687002">
        <w:rPr>
          <w:rFonts w:ascii="Times New Roman" w:hAnsi="Times New Roman"/>
          <w:sz w:val="18"/>
          <w:szCs w:val="18"/>
          <w:lang w:val="en-GB"/>
        </w:rPr>
        <w:t xml:space="preserve"> and </w:t>
      </w:r>
      <w:r w:rsidRPr="00687002">
        <w:rPr>
          <w:rFonts w:ascii="Times New Roman" w:hAnsi="Times New Roman"/>
          <w:i/>
          <w:sz w:val="18"/>
          <w:szCs w:val="18"/>
          <w:lang w:val="en-GB"/>
        </w:rPr>
        <w:t>C. incrassatum</w:t>
      </w:r>
      <w:r w:rsidRPr="00687002">
        <w:rPr>
          <w:rFonts w:ascii="Times New Roman" w:hAnsi="Times New Roman"/>
          <w:sz w:val="18"/>
          <w:szCs w:val="18"/>
          <w:lang w:val="en-GB"/>
        </w:rPr>
        <w:t xml:space="preserve"> were investigated. Cold extraction method employing dichloromethane, ethyl acetate and methanol as solvent was performed. All extracts</w:t>
      </w:r>
      <w:r w:rsidRPr="00687002">
        <w:rPr>
          <w:rFonts w:ascii="Times New Roman" w:hAnsi="Times New Roman"/>
          <w:i/>
          <w:sz w:val="18"/>
          <w:szCs w:val="18"/>
          <w:lang w:val="en-GB"/>
        </w:rPr>
        <w:t xml:space="preserve"> </w:t>
      </w:r>
      <w:r w:rsidRPr="00687002">
        <w:rPr>
          <w:rFonts w:ascii="Times New Roman" w:hAnsi="Times New Roman"/>
          <w:sz w:val="18"/>
          <w:szCs w:val="18"/>
          <w:lang w:val="en-GB"/>
        </w:rPr>
        <w:t xml:space="preserve">were tested for their total phenolic content and antioxidant activities by DPPH radical scavenging and Ferric Reducing Antioxidant Power (FRAP) assays. The methanol extract from the leaves of </w:t>
      </w:r>
      <w:r w:rsidRPr="00687002">
        <w:rPr>
          <w:rFonts w:ascii="Times New Roman" w:hAnsi="Times New Roman"/>
          <w:i/>
          <w:sz w:val="18"/>
          <w:szCs w:val="18"/>
          <w:lang w:val="en-GB"/>
        </w:rPr>
        <w:t>C. ferrugineum</w:t>
      </w:r>
      <w:r w:rsidRPr="00687002">
        <w:rPr>
          <w:rFonts w:ascii="Times New Roman" w:hAnsi="Times New Roman"/>
          <w:sz w:val="18"/>
          <w:szCs w:val="18"/>
          <w:lang w:val="en-GB"/>
        </w:rPr>
        <w:t xml:space="preserve"> showed the highest TPC value at 122.08 mg GAE/g and the lowest DPPH SC</w:t>
      </w:r>
      <w:r w:rsidRPr="00687002">
        <w:rPr>
          <w:rFonts w:ascii="Times New Roman" w:hAnsi="Times New Roman"/>
          <w:sz w:val="18"/>
          <w:szCs w:val="18"/>
          <w:vertAlign w:val="subscript"/>
          <w:lang w:val="en-GB"/>
        </w:rPr>
        <w:t>50</w:t>
      </w:r>
      <w:r w:rsidRPr="00687002">
        <w:rPr>
          <w:rFonts w:ascii="Times New Roman" w:hAnsi="Times New Roman"/>
          <w:sz w:val="18"/>
          <w:szCs w:val="18"/>
          <w:lang w:val="en-GB"/>
        </w:rPr>
        <w:t xml:space="preserve"> value at 11.80 µg/mL. The methanol extract from the barks of </w:t>
      </w:r>
      <w:r w:rsidRPr="00687002">
        <w:rPr>
          <w:rFonts w:ascii="Times New Roman" w:hAnsi="Times New Roman"/>
          <w:i/>
          <w:sz w:val="18"/>
          <w:szCs w:val="18"/>
          <w:lang w:val="en-GB"/>
        </w:rPr>
        <w:t>C. ferrugineum</w:t>
      </w:r>
      <w:r w:rsidRPr="00687002">
        <w:rPr>
          <w:rFonts w:ascii="Times New Roman" w:hAnsi="Times New Roman"/>
          <w:sz w:val="18"/>
          <w:szCs w:val="18"/>
          <w:lang w:val="en-GB"/>
        </w:rPr>
        <w:t xml:space="preserve"> was found to have the highest FRAP value among all extracts. The antibacterial activity of all extracts was tested using minimum inhibition concentration (MIC) test against </w:t>
      </w:r>
      <w:r w:rsidRPr="00687002">
        <w:rPr>
          <w:rFonts w:ascii="Times New Roman" w:hAnsi="Times New Roman"/>
          <w:i/>
          <w:sz w:val="18"/>
          <w:szCs w:val="18"/>
          <w:lang w:val="en-GB"/>
        </w:rPr>
        <w:t xml:space="preserve">Bacillus subtilis, Staphylococcus aureus, Escheria coli </w:t>
      </w:r>
      <w:r w:rsidRPr="00687002">
        <w:rPr>
          <w:rFonts w:ascii="Times New Roman" w:hAnsi="Times New Roman"/>
          <w:sz w:val="18"/>
          <w:szCs w:val="18"/>
          <w:lang w:val="en-GB"/>
        </w:rPr>
        <w:t xml:space="preserve">and </w:t>
      </w:r>
      <w:r w:rsidRPr="00687002">
        <w:rPr>
          <w:rFonts w:ascii="Times New Roman" w:hAnsi="Times New Roman"/>
          <w:i/>
          <w:sz w:val="18"/>
          <w:szCs w:val="18"/>
          <w:lang w:val="en-GB"/>
        </w:rPr>
        <w:t>Pseudomonas aeruginosa</w:t>
      </w:r>
      <w:r w:rsidRPr="00687002">
        <w:rPr>
          <w:rFonts w:ascii="Times New Roman" w:hAnsi="Times New Roman"/>
          <w:sz w:val="18"/>
          <w:szCs w:val="18"/>
          <w:lang w:val="en-GB"/>
        </w:rPr>
        <w:t xml:space="preserve">. Only the dichloromethane extract from bark of </w:t>
      </w:r>
      <w:r w:rsidRPr="00687002">
        <w:rPr>
          <w:rFonts w:ascii="Times New Roman" w:hAnsi="Times New Roman"/>
          <w:i/>
          <w:sz w:val="18"/>
          <w:szCs w:val="18"/>
          <w:lang w:val="en-GB"/>
        </w:rPr>
        <w:t>C. ferrugineum</w:t>
      </w:r>
      <w:r w:rsidRPr="00687002">
        <w:rPr>
          <w:rFonts w:ascii="Times New Roman" w:hAnsi="Times New Roman"/>
          <w:sz w:val="18"/>
          <w:szCs w:val="18"/>
          <w:lang w:val="en-GB"/>
        </w:rPr>
        <w:t xml:space="preserve"> showed moderate MIC value against Gram positive bacteria, </w:t>
      </w:r>
      <w:r w:rsidRPr="00687002">
        <w:rPr>
          <w:rFonts w:ascii="Times New Roman" w:hAnsi="Times New Roman"/>
          <w:i/>
          <w:sz w:val="18"/>
          <w:szCs w:val="18"/>
          <w:lang w:val="en-GB"/>
        </w:rPr>
        <w:t>B. subtilis</w:t>
      </w:r>
      <w:r w:rsidRPr="00687002">
        <w:rPr>
          <w:rFonts w:ascii="Times New Roman" w:hAnsi="Times New Roman"/>
          <w:sz w:val="18"/>
          <w:szCs w:val="18"/>
          <w:lang w:val="en-GB"/>
        </w:rPr>
        <w:t xml:space="preserve"> and </w:t>
      </w:r>
      <w:r w:rsidRPr="00687002">
        <w:rPr>
          <w:rFonts w:ascii="Times New Roman" w:hAnsi="Times New Roman"/>
          <w:i/>
          <w:sz w:val="18"/>
          <w:szCs w:val="18"/>
          <w:lang w:val="en-GB"/>
        </w:rPr>
        <w:t>S. aureus</w:t>
      </w:r>
      <w:r w:rsidRPr="00687002">
        <w:rPr>
          <w:rFonts w:ascii="Times New Roman" w:hAnsi="Times New Roman"/>
          <w:sz w:val="18"/>
          <w:szCs w:val="18"/>
          <w:lang w:val="en-GB"/>
        </w:rPr>
        <w:t xml:space="preserve"> at 125 µg/mL.</w:t>
      </w:r>
    </w:p>
    <w:p w:rsidR="00687002" w:rsidRPr="00687002" w:rsidRDefault="00687002" w:rsidP="00687002">
      <w:pPr>
        <w:spacing w:after="0" w:line="240" w:lineRule="auto"/>
        <w:jc w:val="both"/>
        <w:rPr>
          <w:rFonts w:ascii="Times New Roman" w:hAnsi="Times New Roman"/>
          <w:sz w:val="18"/>
          <w:szCs w:val="18"/>
        </w:rPr>
      </w:pPr>
    </w:p>
    <w:p w:rsidR="00687002" w:rsidRPr="00687002" w:rsidRDefault="00687002" w:rsidP="00687002">
      <w:pPr>
        <w:spacing w:after="0" w:line="240" w:lineRule="auto"/>
        <w:jc w:val="both"/>
        <w:rPr>
          <w:rFonts w:ascii="Times New Roman" w:hAnsi="Times New Roman"/>
          <w:sz w:val="18"/>
          <w:szCs w:val="18"/>
        </w:rPr>
      </w:pPr>
      <w:r w:rsidRPr="00687002">
        <w:rPr>
          <w:rFonts w:ascii="Times New Roman" w:hAnsi="Times New Roman"/>
          <w:b/>
          <w:sz w:val="18"/>
          <w:szCs w:val="18"/>
        </w:rPr>
        <w:t>Keywords:</w:t>
      </w:r>
      <w:r w:rsidRPr="00687002">
        <w:rPr>
          <w:rFonts w:ascii="Times New Roman" w:hAnsi="Times New Roman"/>
          <w:sz w:val="18"/>
          <w:szCs w:val="18"/>
        </w:rPr>
        <w:t xml:space="preserve"> </w:t>
      </w:r>
      <w:r>
        <w:rPr>
          <w:rFonts w:ascii="Times New Roman" w:hAnsi="Times New Roman"/>
          <w:sz w:val="18"/>
          <w:szCs w:val="18"/>
        </w:rPr>
        <w:t xml:space="preserve"> </w:t>
      </w:r>
      <w:r w:rsidRPr="00687002">
        <w:rPr>
          <w:rFonts w:ascii="Times New Roman" w:hAnsi="Times New Roman"/>
          <w:i/>
          <w:sz w:val="18"/>
          <w:szCs w:val="18"/>
        </w:rPr>
        <w:t>Calophyllum, C. ferrugineum, C. incrassatum</w:t>
      </w:r>
      <w:r w:rsidRPr="00687002">
        <w:rPr>
          <w:rFonts w:ascii="Times New Roman" w:hAnsi="Times New Roman"/>
          <w:sz w:val="18"/>
          <w:szCs w:val="18"/>
        </w:rPr>
        <w:t>, antioxidant, antibacterial</w:t>
      </w:r>
    </w:p>
    <w:p w:rsidR="00687002" w:rsidRPr="00687002" w:rsidRDefault="00687002" w:rsidP="00687002">
      <w:pPr>
        <w:spacing w:after="0" w:line="240" w:lineRule="auto"/>
        <w:jc w:val="center"/>
        <w:rPr>
          <w:rFonts w:ascii="Times New Roman" w:hAnsi="Times New Roman"/>
          <w:sz w:val="18"/>
          <w:szCs w:val="18"/>
        </w:rPr>
      </w:pPr>
    </w:p>
    <w:p w:rsidR="00687002" w:rsidRPr="00687002" w:rsidRDefault="00687002" w:rsidP="00687002">
      <w:pPr>
        <w:spacing w:after="0" w:line="240" w:lineRule="auto"/>
        <w:jc w:val="center"/>
        <w:rPr>
          <w:rFonts w:ascii="Times New Roman" w:hAnsi="Times New Roman"/>
          <w:b/>
          <w:sz w:val="18"/>
          <w:szCs w:val="18"/>
        </w:rPr>
      </w:pPr>
      <w:r w:rsidRPr="00687002">
        <w:rPr>
          <w:rFonts w:ascii="Times New Roman" w:hAnsi="Times New Roman"/>
          <w:b/>
          <w:sz w:val="18"/>
          <w:szCs w:val="18"/>
        </w:rPr>
        <w:t>Abstrak</w:t>
      </w:r>
    </w:p>
    <w:p w:rsidR="00687002" w:rsidRPr="00687002" w:rsidRDefault="00687002" w:rsidP="00687002">
      <w:pPr>
        <w:spacing w:after="0" w:line="240" w:lineRule="auto"/>
        <w:jc w:val="both"/>
        <w:rPr>
          <w:rFonts w:ascii="Times New Roman" w:hAnsi="Times New Roman"/>
          <w:sz w:val="18"/>
          <w:szCs w:val="18"/>
        </w:rPr>
      </w:pPr>
      <w:r w:rsidRPr="00687002">
        <w:rPr>
          <w:rFonts w:ascii="Times New Roman" w:hAnsi="Times New Roman"/>
          <w:i/>
          <w:sz w:val="18"/>
          <w:szCs w:val="18"/>
        </w:rPr>
        <w:t xml:space="preserve">Calophyllum </w:t>
      </w:r>
      <w:r w:rsidRPr="00687002">
        <w:rPr>
          <w:rFonts w:ascii="Times New Roman" w:hAnsi="Times New Roman"/>
          <w:sz w:val="18"/>
          <w:szCs w:val="18"/>
        </w:rPr>
        <w:t xml:space="preserve">adalah genus pan-tropika di dalam keluarga Guttiferae dan dikenali secara tempatan di Malaysia sebagai </w:t>
      </w:r>
      <w:r w:rsidRPr="00687002">
        <w:rPr>
          <w:rFonts w:ascii="Times New Roman" w:hAnsi="Times New Roman"/>
          <w:i/>
          <w:sz w:val="18"/>
          <w:szCs w:val="18"/>
        </w:rPr>
        <w:t>‘bintangor’</w:t>
      </w:r>
      <w:r w:rsidRPr="00687002">
        <w:rPr>
          <w:rFonts w:ascii="Times New Roman" w:hAnsi="Times New Roman"/>
          <w:sz w:val="18"/>
          <w:szCs w:val="18"/>
        </w:rPr>
        <w:t xml:space="preserve">. Terdapat minat berterusan untuk mengkaji lebih mendalam tentang fitokimia </w:t>
      </w:r>
      <w:r w:rsidRPr="00687002">
        <w:rPr>
          <w:rFonts w:ascii="Times New Roman" w:hAnsi="Times New Roman"/>
          <w:i/>
          <w:sz w:val="18"/>
          <w:szCs w:val="18"/>
        </w:rPr>
        <w:t>Calophyllum sp</w:t>
      </w:r>
      <w:r w:rsidRPr="00687002">
        <w:rPr>
          <w:rFonts w:ascii="Times New Roman" w:hAnsi="Times New Roman"/>
          <w:sz w:val="18"/>
          <w:szCs w:val="18"/>
        </w:rPr>
        <w:t xml:space="preserve"> kerana genus ini adalah sumber yang kaya dengan metabolit sekunder aktif yang menunjukkan ciri-ciri anti-HIV, sitotoksiti dan antimikrob. Di dalam kajian ini, aktiviti antibakteria dan antioksidan kulit batang dan daun </w:t>
      </w:r>
      <w:r w:rsidRPr="00687002">
        <w:rPr>
          <w:rFonts w:ascii="Times New Roman" w:hAnsi="Times New Roman"/>
          <w:i/>
          <w:sz w:val="18"/>
          <w:szCs w:val="18"/>
        </w:rPr>
        <w:t>C. ferrugineum</w:t>
      </w:r>
      <w:r w:rsidRPr="00687002">
        <w:rPr>
          <w:rFonts w:ascii="Times New Roman" w:hAnsi="Times New Roman"/>
          <w:sz w:val="18"/>
          <w:szCs w:val="18"/>
        </w:rPr>
        <w:t xml:space="preserve"> dan </w:t>
      </w:r>
      <w:r w:rsidRPr="00687002">
        <w:rPr>
          <w:rFonts w:ascii="Times New Roman" w:hAnsi="Times New Roman"/>
          <w:i/>
          <w:sz w:val="18"/>
          <w:szCs w:val="18"/>
        </w:rPr>
        <w:t>C. incrassatum</w:t>
      </w:r>
      <w:r w:rsidRPr="00687002">
        <w:rPr>
          <w:rFonts w:ascii="Times New Roman" w:hAnsi="Times New Roman"/>
          <w:sz w:val="18"/>
          <w:szCs w:val="18"/>
        </w:rPr>
        <w:t xml:space="preserve"> telah dikaji. Kaedah pengekstrakan sejuk menggunakan diklorometana, etil asetat dan metanol sebagai pelarut telah dilakukan. Semua ekstrak telah diuji untuk kandungan total fenolik dan aktiviti antioksidan melalui cerakin pemerangkapan radikal DPPH dan kuasa antioksidan penurunan Ferik (FRAP). Ekstrak metanol daripada daun </w:t>
      </w:r>
      <w:r w:rsidRPr="00687002">
        <w:rPr>
          <w:rFonts w:ascii="Times New Roman" w:hAnsi="Times New Roman"/>
          <w:i/>
          <w:sz w:val="18"/>
          <w:szCs w:val="18"/>
        </w:rPr>
        <w:t>C. ferrugineum</w:t>
      </w:r>
      <w:r w:rsidRPr="00687002">
        <w:rPr>
          <w:rFonts w:ascii="Times New Roman" w:hAnsi="Times New Roman"/>
          <w:sz w:val="18"/>
          <w:szCs w:val="18"/>
        </w:rPr>
        <w:t xml:space="preserve"> telah menunjukkan nilai TPC tertinggi pada 122.08 mg GAE/g dan nilai SC</w:t>
      </w:r>
      <w:r w:rsidRPr="00687002">
        <w:rPr>
          <w:rFonts w:ascii="Times New Roman" w:hAnsi="Times New Roman"/>
          <w:sz w:val="18"/>
          <w:szCs w:val="18"/>
          <w:vertAlign w:val="subscript"/>
        </w:rPr>
        <w:t xml:space="preserve">50 </w:t>
      </w:r>
      <w:r w:rsidRPr="00687002">
        <w:rPr>
          <w:rFonts w:ascii="Times New Roman" w:hAnsi="Times New Roman"/>
          <w:sz w:val="18"/>
          <w:szCs w:val="18"/>
        </w:rPr>
        <w:t>DPPH terendah pada 11.80 µg/mL. Ekstrak metanol daripada kulit batang</w:t>
      </w:r>
      <w:r w:rsidRPr="00687002">
        <w:rPr>
          <w:rFonts w:ascii="Times New Roman" w:hAnsi="Times New Roman"/>
          <w:i/>
          <w:sz w:val="18"/>
          <w:szCs w:val="18"/>
        </w:rPr>
        <w:t xml:space="preserve"> C. ferrugineum</w:t>
      </w:r>
      <w:r w:rsidRPr="00687002">
        <w:rPr>
          <w:rFonts w:ascii="Times New Roman" w:hAnsi="Times New Roman"/>
          <w:sz w:val="18"/>
          <w:szCs w:val="18"/>
        </w:rPr>
        <w:t xml:space="preserve"> telah menunjukkan nilai FRAP tertinggi antara semua ekstrak. Aktiviti antibakteria semua ekstrak telah diuji untuk kepekatan rencatan minimum (MIC) terhadap </w:t>
      </w:r>
      <w:r w:rsidRPr="00687002">
        <w:rPr>
          <w:rFonts w:ascii="Times New Roman" w:hAnsi="Times New Roman"/>
          <w:i/>
          <w:sz w:val="18"/>
          <w:szCs w:val="18"/>
        </w:rPr>
        <w:t xml:space="preserve">Bacillus subtilis, Staphylococcus aureus, Escheria coli </w:t>
      </w:r>
      <w:r w:rsidRPr="00687002">
        <w:rPr>
          <w:rFonts w:ascii="Times New Roman" w:hAnsi="Times New Roman"/>
          <w:sz w:val="18"/>
          <w:szCs w:val="18"/>
        </w:rPr>
        <w:t xml:space="preserve">dan </w:t>
      </w:r>
      <w:r w:rsidRPr="00687002">
        <w:rPr>
          <w:rFonts w:ascii="Times New Roman" w:hAnsi="Times New Roman"/>
          <w:i/>
          <w:sz w:val="18"/>
          <w:szCs w:val="18"/>
        </w:rPr>
        <w:t>Pseudomonas aeruginosa</w:t>
      </w:r>
      <w:r w:rsidRPr="00687002">
        <w:rPr>
          <w:rFonts w:ascii="Times New Roman" w:hAnsi="Times New Roman"/>
          <w:sz w:val="18"/>
          <w:szCs w:val="18"/>
        </w:rPr>
        <w:t xml:space="preserve">. Hanya ekstrak diklorometana kulit batang </w:t>
      </w:r>
      <w:r w:rsidRPr="00687002">
        <w:rPr>
          <w:rFonts w:ascii="Times New Roman" w:hAnsi="Times New Roman"/>
          <w:i/>
          <w:sz w:val="18"/>
          <w:szCs w:val="18"/>
        </w:rPr>
        <w:t>C. ferrugineum</w:t>
      </w:r>
      <w:r w:rsidRPr="00687002">
        <w:rPr>
          <w:rFonts w:ascii="Times New Roman" w:hAnsi="Times New Roman"/>
          <w:sz w:val="18"/>
          <w:szCs w:val="18"/>
        </w:rPr>
        <w:t xml:space="preserve"> menunjukkan nilai MIC yang sederhana terhadap bakteria Gram positif, </w:t>
      </w:r>
      <w:r w:rsidRPr="00687002">
        <w:rPr>
          <w:rFonts w:ascii="Times New Roman" w:hAnsi="Times New Roman"/>
          <w:i/>
          <w:sz w:val="18"/>
          <w:szCs w:val="18"/>
        </w:rPr>
        <w:t>B. subtilis</w:t>
      </w:r>
      <w:r w:rsidRPr="00687002">
        <w:rPr>
          <w:rFonts w:ascii="Times New Roman" w:hAnsi="Times New Roman"/>
          <w:sz w:val="18"/>
          <w:szCs w:val="18"/>
        </w:rPr>
        <w:t xml:space="preserve"> dan </w:t>
      </w:r>
      <w:r w:rsidRPr="00687002">
        <w:rPr>
          <w:rFonts w:ascii="Times New Roman" w:hAnsi="Times New Roman"/>
          <w:i/>
          <w:sz w:val="18"/>
          <w:szCs w:val="18"/>
        </w:rPr>
        <w:t>S. aureus</w:t>
      </w:r>
      <w:r w:rsidRPr="00687002">
        <w:rPr>
          <w:rFonts w:ascii="Times New Roman" w:hAnsi="Times New Roman"/>
          <w:sz w:val="18"/>
          <w:szCs w:val="18"/>
        </w:rPr>
        <w:t xml:space="preserve"> pada 125 µg/mL.</w:t>
      </w:r>
    </w:p>
    <w:p w:rsidR="00687002" w:rsidRPr="00687002" w:rsidRDefault="00687002" w:rsidP="00687002">
      <w:pPr>
        <w:spacing w:after="0" w:line="240" w:lineRule="auto"/>
        <w:jc w:val="both"/>
        <w:rPr>
          <w:rFonts w:ascii="Times New Roman" w:hAnsi="Times New Roman"/>
          <w:sz w:val="18"/>
          <w:szCs w:val="18"/>
        </w:rPr>
      </w:pPr>
    </w:p>
    <w:p w:rsidR="00687002" w:rsidRPr="00687002" w:rsidRDefault="00687002" w:rsidP="00687002">
      <w:pPr>
        <w:spacing w:after="0" w:line="240" w:lineRule="auto"/>
        <w:jc w:val="both"/>
        <w:rPr>
          <w:rFonts w:ascii="Times New Roman" w:hAnsi="Times New Roman"/>
          <w:sz w:val="18"/>
          <w:szCs w:val="18"/>
        </w:rPr>
      </w:pPr>
      <w:r w:rsidRPr="00687002">
        <w:rPr>
          <w:rFonts w:ascii="Times New Roman" w:hAnsi="Times New Roman"/>
          <w:b/>
          <w:sz w:val="18"/>
          <w:szCs w:val="18"/>
        </w:rPr>
        <w:lastRenderedPageBreak/>
        <w:t>Keywords</w:t>
      </w:r>
      <w:r w:rsidRPr="00687002">
        <w:rPr>
          <w:rFonts w:ascii="Times New Roman" w:hAnsi="Times New Roman"/>
          <w:sz w:val="18"/>
          <w:szCs w:val="18"/>
        </w:rPr>
        <w:t xml:space="preserve">: </w:t>
      </w:r>
      <w:r>
        <w:rPr>
          <w:rFonts w:ascii="Times New Roman" w:hAnsi="Times New Roman"/>
          <w:sz w:val="18"/>
          <w:szCs w:val="18"/>
        </w:rPr>
        <w:t xml:space="preserve"> </w:t>
      </w:r>
      <w:r w:rsidRPr="00687002">
        <w:rPr>
          <w:rFonts w:ascii="Times New Roman" w:hAnsi="Times New Roman"/>
          <w:i/>
          <w:sz w:val="18"/>
          <w:szCs w:val="18"/>
        </w:rPr>
        <w:t>Calophyllum, C. ferrugineum, C. incrassatum</w:t>
      </w:r>
      <w:r w:rsidRPr="00687002">
        <w:rPr>
          <w:rFonts w:ascii="Times New Roman" w:hAnsi="Times New Roman"/>
          <w:sz w:val="18"/>
          <w:szCs w:val="18"/>
        </w:rPr>
        <w:t>, antioksidan, antibakteria</w:t>
      </w:r>
    </w:p>
    <w:p w:rsidR="00AC0033" w:rsidRDefault="00AC0033" w:rsidP="00687002">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687002" w:rsidRPr="00687002" w:rsidRDefault="00687002" w:rsidP="00687002">
      <w:pPr>
        <w:autoSpaceDE w:val="0"/>
        <w:autoSpaceDN w:val="0"/>
        <w:adjustRightInd w:val="0"/>
        <w:spacing w:after="0" w:line="240" w:lineRule="auto"/>
        <w:jc w:val="both"/>
        <w:rPr>
          <w:rFonts w:ascii="Times New Roman" w:hAnsi="Times New Roman"/>
          <w:sz w:val="20"/>
          <w:szCs w:val="20"/>
          <w:lang w:val="en-GB"/>
        </w:rPr>
      </w:pPr>
      <w:r w:rsidRPr="00687002">
        <w:rPr>
          <w:rFonts w:ascii="Times New Roman" w:hAnsi="Times New Roman"/>
          <w:i/>
          <w:sz w:val="20"/>
          <w:szCs w:val="20"/>
          <w:lang w:val="en-GB"/>
        </w:rPr>
        <w:t xml:space="preserve">Calophyllum </w:t>
      </w:r>
      <w:r w:rsidRPr="00687002">
        <w:rPr>
          <w:rFonts w:ascii="Times New Roman" w:hAnsi="Times New Roman"/>
          <w:sz w:val="20"/>
          <w:szCs w:val="20"/>
          <w:lang w:val="en-GB"/>
        </w:rPr>
        <w:t xml:space="preserve">is a pan-tropical genus that comprises approximately 180 – 200 species. It is the largest genus in the sub-family Calophylloideae and categorised under the Guttiferae family </w:t>
      </w:r>
      <w:r w:rsidRPr="00687002">
        <w:rPr>
          <w:rFonts w:ascii="Times New Roman" w:hAnsi="Times New Roman"/>
          <w:sz w:val="20"/>
          <w:szCs w:val="20"/>
          <w:lang w:val="en-GB"/>
        </w:rPr>
        <w:fldChar w:fldCharType="begin" w:fldLock="1"/>
      </w:r>
      <w:r w:rsidRPr="00687002">
        <w:rPr>
          <w:rFonts w:ascii="Times New Roman" w:hAnsi="Times New Roman"/>
          <w:sz w:val="20"/>
          <w:szCs w:val="20"/>
          <w:lang w:val="en-GB"/>
        </w:rPr>
        <w:instrText>ADDIN CSL_CITATION { "citationItems" : [ { "id" : "ITEM-1", "itemData" : { "author" : [ { "dropping-particle" : "", "family" : "Stevens", "given" : "P. F.", "non-dropping-particle" : "", "parse-names" : false, "suffix" : "" } ], "id" : "ITEM-1", "issue" : "2", "issued" : { "date-parts" : [ [ "1980" ] ] }, "page" : "117-424", "title" : "Journal of the Arnold Arboretum", "type" : "chapter", "volume" : "61" }, "uris" : [ "http://www.mendeley.com/documents/?uuid=f836d51c-d256-4177-935e-b1a66415511c" ] } ], "mendeley" : { "formattedCitation" : "[1]", "plainTextFormattedCitation" : "[1]", "previouslyFormattedCitation" : "(Stevens, 1980)" }, "properties" : {  }, "schema" : "https://github.com/citation-style-language/schema/raw/master/csl-citation.json" }</w:instrText>
      </w:r>
      <w:r w:rsidRPr="00687002">
        <w:rPr>
          <w:rFonts w:ascii="Times New Roman" w:hAnsi="Times New Roman"/>
          <w:sz w:val="20"/>
          <w:szCs w:val="20"/>
          <w:lang w:val="en-GB"/>
        </w:rPr>
        <w:fldChar w:fldCharType="separate"/>
      </w:r>
      <w:r w:rsidRPr="00687002">
        <w:rPr>
          <w:rFonts w:ascii="Times New Roman" w:hAnsi="Times New Roman"/>
          <w:sz w:val="20"/>
          <w:szCs w:val="20"/>
          <w:lang w:val="en-GB"/>
        </w:rPr>
        <w:t>[1]</w:t>
      </w:r>
      <w:r w:rsidRPr="00687002">
        <w:rPr>
          <w:rFonts w:ascii="Times New Roman" w:hAnsi="Times New Roman"/>
          <w:sz w:val="20"/>
          <w:szCs w:val="20"/>
          <w:lang w:val="en-GB"/>
        </w:rPr>
        <w:fldChar w:fldCharType="end"/>
      </w:r>
      <w:r w:rsidRPr="00687002">
        <w:rPr>
          <w:rFonts w:ascii="Times New Roman" w:hAnsi="Times New Roman"/>
          <w:sz w:val="20"/>
          <w:szCs w:val="20"/>
          <w:lang w:val="en-GB"/>
        </w:rPr>
        <w:t xml:space="preserve">. In Malaysia, </w:t>
      </w:r>
      <w:r w:rsidRPr="00687002">
        <w:rPr>
          <w:rFonts w:ascii="Times New Roman" w:hAnsi="Times New Roman"/>
          <w:i/>
          <w:sz w:val="20"/>
          <w:szCs w:val="20"/>
          <w:lang w:val="en-GB"/>
        </w:rPr>
        <w:t>Calophyllum</w:t>
      </w:r>
      <w:r w:rsidRPr="00687002">
        <w:rPr>
          <w:rFonts w:ascii="Times New Roman" w:hAnsi="Times New Roman"/>
          <w:sz w:val="20"/>
          <w:szCs w:val="20"/>
          <w:lang w:val="en-GB"/>
        </w:rPr>
        <w:t xml:space="preserve"> is locally known as </w:t>
      </w:r>
      <w:r w:rsidRPr="00687002">
        <w:rPr>
          <w:rFonts w:ascii="Times New Roman" w:hAnsi="Times New Roman"/>
          <w:i/>
          <w:sz w:val="20"/>
          <w:szCs w:val="20"/>
          <w:lang w:val="en-GB"/>
        </w:rPr>
        <w:t>‘bintangor’</w:t>
      </w:r>
      <w:r w:rsidRPr="00687002">
        <w:rPr>
          <w:rFonts w:ascii="Times New Roman" w:hAnsi="Times New Roman"/>
          <w:sz w:val="20"/>
          <w:szCs w:val="20"/>
          <w:lang w:val="en-GB"/>
        </w:rPr>
        <w:t xml:space="preserve">. This plant is used traditionally to treat malaria, bronchitis, gastric and hepatic disturbances pain, wound infections, inflammation, rheumatism, varicose, haemorrhoids, chronic ulcer and acts as diuretic </w:t>
      </w:r>
      <w:r w:rsidRPr="00687002">
        <w:rPr>
          <w:rFonts w:ascii="Times New Roman" w:hAnsi="Times New Roman"/>
          <w:sz w:val="20"/>
          <w:szCs w:val="20"/>
          <w:lang w:val="en-GB"/>
        </w:rPr>
        <w:fldChar w:fldCharType="begin" w:fldLock="1"/>
      </w:r>
      <w:r w:rsidRPr="00687002">
        <w:rPr>
          <w:rFonts w:ascii="Times New Roman" w:hAnsi="Times New Roman"/>
          <w:sz w:val="20"/>
          <w:szCs w:val="20"/>
          <w:lang w:val="en-GB"/>
        </w:rPr>
        <w:instrText>ADDIN CSL_CITATION { "citationItems" : [ { "id" : "ITEM-1", "itemData" : { "author" : [ { "dropping-particle" : "", "family" : "Alkhamaiseh", "given" : "Suhaib Ibrahim", "non-dropping-particle" : "", "parse-names" : false, "suffix" : "" }, { "dropping-particle" : "", "family" : "Taher", "given" : "Muhammad", "non-dropping-particle" : "", "parse-names" : false, "suffix" : "" }, { "dropping-particle" : "", "family" : "Ahmad", "given" : "Farediah", "non-dropping-particle" : "", "parse-names" : false, "suffix" : "" } ], "container-title" : "American Journal of Applied Sciences", "id" : "ITEM-1", "issue" : "3", "issued" : { "date-parts" : [ [ "2011" ] ] }, "page" : "201-205", "title" : "The phytochemical contents and antimicrobial activities of Malaysian Calophyllum Rubiginosum", "type" : "article-journal", "volume" : "8" }, "uris" : [ "http://www.mendeley.com/documents/?uuid=3dbd4629-8dca-4fe8-836e-19aa15fd0ea9" ] } ], "mendeley" : { "formattedCitation" : "[2]", "plainTextFormattedCitation" : "[2]", "previouslyFormattedCitation" : "(Alkhamaiseh, Taher, &amp; Ahmad, 2011)" }, "properties" : {  }, "schema" : "https://github.com/citation-style-language/schema/raw/master/csl-citation.json" }</w:instrText>
      </w:r>
      <w:r w:rsidRPr="00687002">
        <w:rPr>
          <w:rFonts w:ascii="Times New Roman" w:hAnsi="Times New Roman"/>
          <w:sz w:val="20"/>
          <w:szCs w:val="20"/>
          <w:lang w:val="en-GB"/>
        </w:rPr>
        <w:fldChar w:fldCharType="separate"/>
      </w:r>
      <w:r w:rsidRPr="00687002">
        <w:rPr>
          <w:rFonts w:ascii="Times New Roman" w:hAnsi="Times New Roman"/>
          <w:sz w:val="20"/>
          <w:szCs w:val="20"/>
          <w:lang w:val="en-GB"/>
        </w:rPr>
        <w:t>[2]</w:t>
      </w:r>
      <w:r w:rsidRPr="00687002">
        <w:rPr>
          <w:rFonts w:ascii="Times New Roman" w:hAnsi="Times New Roman"/>
          <w:sz w:val="20"/>
          <w:szCs w:val="20"/>
          <w:lang w:val="en-GB"/>
        </w:rPr>
        <w:fldChar w:fldCharType="end"/>
      </w:r>
      <w:r w:rsidRPr="00687002">
        <w:rPr>
          <w:rFonts w:ascii="Times New Roman" w:hAnsi="Times New Roman"/>
          <w:sz w:val="20"/>
          <w:szCs w:val="20"/>
          <w:lang w:val="en-GB"/>
        </w:rPr>
        <w:t xml:space="preserve">. Apart from medicinal values, </w:t>
      </w:r>
      <w:r w:rsidRPr="00687002">
        <w:rPr>
          <w:rFonts w:ascii="Times New Roman" w:hAnsi="Times New Roman"/>
          <w:i/>
          <w:sz w:val="20"/>
          <w:szCs w:val="20"/>
          <w:lang w:val="en-GB"/>
        </w:rPr>
        <w:t>Calophyllum</w:t>
      </w:r>
      <w:r w:rsidRPr="00687002">
        <w:rPr>
          <w:rFonts w:ascii="Times New Roman" w:hAnsi="Times New Roman"/>
          <w:sz w:val="20"/>
          <w:szCs w:val="20"/>
          <w:lang w:val="en-GB"/>
        </w:rPr>
        <w:t xml:space="preserve"> is often used for decorative purposes such as furniture, parquet flooring, solid door and plywood due to their distinctive colours. The poisonous latex from the bark can also be used to numb fish and kill rats </w:t>
      </w:r>
      <w:r w:rsidRPr="00687002">
        <w:rPr>
          <w:rFonts w:ascii="Times New Roman" w:hAnsi="Times New Roman"/>
          <w:sz w:val="20"/>
          <w:szCs w:val="20"/>
          <w:lang w:val="en-GB"/>
        </w:rPr>
        <w:fldChar w:fldCharType="begin" w:fldLock="1"/>
      </w:r>
      <w:r w:rsidRPr="00687002">
        <w:rPr>
          <w:rFonts w:ascii="Times New Roman" w:hAnsi="Times New Roman"/>
          <w:sz w:val="20"/>
          <w:szCs w:val="20"/>
          <w:lang w:val="en-GB"/>
        </w:rPr>
        <w:instrText>ADDIN CSL_CITATION { "citationItems" : [ { "id" : "ITEM-1", "itemData" : { "DOI" : "10.6090/jarq.46.181", "ISSN" : "0021-3551", "author" : [ { "dropping-particle" : "", "family" : "Kawamura", "given" : "Fumio", "non-dropping-particle" : "", "parse-names" : false, "suffix" : "" }, { "dropping-particle" : "", "family" : "Muhamud", "given" : "Amalia", "non-dropping-particle" : "", "parse-names" : false, "suffix" : "" }, { "dropping-particle" : "", "family" : "Hashim", "given" : "Rokiah", "non-dropping-particle" : "", "parse-names" : false, "suffix" : "" }, { "dropping-particle" : "", "family" : "Sulaiman", "given" : "Othman", "non-dropping-particle" : "", "parse-names" : false, "suffix" : "" }, { "dropping-particle" : "", "family" : "Ohara", "given" : "Seiji", "non-dropping-particle" : "", "parse-names" : false, "suffix" : "" } ], "container-title" : "Japan Agricultural Research Quarterly: JARQ", "id" : "ITEM-1", "issue" : "2", "issued" : { "date-parts" : [ [ "2012" ] ] }, "page" : "181-185", "title" : "Two Antifungal Xanthones from the Heartwood of Calophyllum Symingtonianum", "type" : "article-journal", "volume" : "46" }, "uris" : [ "http://www.mendeley.com/documents/?uuid=9e0940d7-80d8-4bcf-b71b-358da063b4ad" ] } ], "mendeley" : { "formattedCitation" : "[3]", "plainTextFormattedCitation" : "[3]", "previouslyFormattedCitation" : "(Kawamura, Muhamud, Hashim, Sulaiman, &amp; Ohara, 2012)" }, "properties" : {  }, "schema" : "https://github.com/citation-style-language/schema/raw/master/csl-citation.json" }</w:instrText>
      </w:r>
      <w:r w:rsidRPr="00687002">
        <w:rPr>
          <w:rFonts w:ascii="Times New Roman" w:hAnsi="Times New Roman"/>
          <w:sz w:val="20"/>
          <w:szCs w:val="20"/>
          <w:lang w:val="en-GB"/>
        </w:rPr>
        <w:fldChar w:fldCharType="separate"/>
      </w:r>
      <w:r w:rsidRPr="00687002">
        <w:rPr>
          <w:rFonts w:ascii="Times New Roman" w:hAnsi="Times New Roman"/>
          <w:sz w:val="20"/>
          <w:szCs w:val="20"/>
          <w:lang w:val="en-GB"/>
        </w:rPr>
        <w:t>[3]</w:t>
      </w:r>
      <w:r w:rsidRPr="00687002">
        <w:rPr>
          <w:rFonts w:ascii="Times New Roman" w:hAnsi="Times New Roman"/>
          <w:sz w:val="20"/>
          <w:szCs w:val="20"/>
          <w:lang w:val="en-GB"/>
        </w:rPr>
        <w:fldChar w:fldCharType="end"/>
      </w:r>
      <w:r w:rsidRPr="00687002">
        <w:rPr>
          <w:rFonts w:ascii="Times New Roman" w:hAnsi="Times New Roman"/>
          <w:sz w:val="20"/>
          <w:szCs w:val="20"/>
          <w:lang w:val="en-GB"/>
        </w:rPr>
        <w:t xml:space="preserve">. </w:t>
      </w:r>
      <w:r w:rsidRPr="00687002">
        <w:rPr>
          <w:rFonts w:ascii="Times New Roman" w:hAnsi="Times New Roman"/>
          <w:i/>
          <w:sz w:val="20"/>
          <w:szCs w:val="20"/>
          <w:lang w:val="en-GB"/>
        </w:rPr>
        <w:t>Calophyllum</w:t>
      </w:r>
      <w:r w:rsidRPr="00687002">
        <w:rPr>
          <w:rFonts w:ascii="Times New Roman" w:hAnsi="Times New Roman"/>
          <w:sz w:val="20"/>
          <w:szCs w:val="20"/>
          <w:lang w:val="en-GB"/>
        </w:rPr>
        <w:t xml:space="preserve"> genus has been reported as a plant-rich source of phenolic compounds including xanthones, flavonoids and coumarins. Numerous researches had been conducted on common </w:t>
      </w:r>
      <w:r w:rsidRPr="00687002">
        <w:rPr>
          <w:rFonts w:ascii="Times New Roman" w:hAnsi="Times New Roman"/>
          <w:i/>
          <w:sz w:val="20"/>
          <w:szCs w:val="20"/>
          <w:lang w:val="en-GB"/>
        </w:rPr>
        <w:t xml:space="preserve">Calophyllum </w:t>
      </w:r>
      <w:r w:rsidRPr="00687002">
        <w:rPr>
          <w:rFonts w:ascii="Times New Roman" w:hAnsi="Times New Roman"/>
          <w:sz w:val="20"/>
          <w:szCs w:val="20"/>
          <w:lang w:val="en-GB"/>
        </w:rPr>
        <w:t xml:space="preserve">species such as </w:t>
      </w:r>
      <w:r w:rsidRPr="00687002">
        <w:rPr>
          <w:rFonts w:ascii="Times New Roman" w:hAnsi="Times New Roman"/>
          <w:i/>
          <w:sz w:val="20"/>
          <w:szCs w:val="20"/>
          <w:lang w:val="en-GB"/>
        </w:rPr>
        <w:t>C. inophyllum</w:t>
      </w:r>
      <w:r w:rsidRPr="00687002">
        <w:rPr>
          <w:rFonts w:ascii="Times New Roman" w:hAnsi="Times New Roman"/>
          <w:sz w:val="20"/>
          <w:szCs w:val="20"/>
          <w:lang w:val="en-GB"/>
        </w:rPr>
        <w:t xml:space="preserve"> and </w:t>
      </w:r>
      <w:r w:rsidRPr="00687002">
        <w:rPr>
          <w:rFonts w:ascii="Times New Roman" w:hAnsi="Times New Roman"/>
          <w:i/>
          <w:sz w:val="20"/>
          <w:szCs w:val="20"/>
          <w:lang w:val="en-GB"/>
        </w:rPr>
        <w:t>C. lanigerum</w:t>
      </w:r>
      <w:r w:rsidRPr="00687002">
        <w:rPr>
          <w:rFonts w:ascii="Times New Roman" w:hAnsi="Times New Roman"/>
          <w:sz w:val="20"/>
          <w:szCs w:val="20"/>
          <w:lang w:val="en-GB"/>
        </w:rPr>
        <w:t xml:space="preserve"> </w:t>
      </w:r>
      <w:r w:rsidRPr="00687002">
        <w:rPr>
          <w:rFonts w:ascii="Times New Roman" w:hAnsi="Times New Roman"/>
          <w:sz w:val="20"/>
          <w:szCs w:val="20"/>
          <w:lang w:val="en-GB"/>
        </w:rPr>
        <w:fldChar w:fldCharType="begin" w:fldLock="1"/>
      </w:r>
      <w:r w:rsidRPr="00687002">
        <w:rPr>
          <w:rFonts w:ascii="Times New Roman" w:hAnsi="Times New Roman"/>
          <w:sz w:val="20"/>
          <w:szCs w:val="20"/>
          <w:lang w:val="en-GB"/>
        </w:rPr>
        <w:instrText>ADDIN CSL_CITATION { "citationItems" : [ { "id" : "ITEM-1", "itemData" : { "author" : [ { "dropping-particle" : "", "family" : "Su", "given" : "Xiao-Hui", "non-dropping-particle" : "", "parse-names" : false, "suffix" : "" }, { "dropping-particle" : "", "family" : "Zhang", "given" : "Man-li", "non-dropping-particle" : "", "parse-names" : false, "suffix" : "" }, { "dropping-particle" : "", "family" : "Li", "given" : "Li-geng", "non-dropping-particle" : "", "parse-names" : false, "suffix" : "" }, { "dropping-particle" : "", "family" : "Huo", "given" : "Chang-hong", "non-dropping-particle" : "", "parse-names" : false, "suffix" : "" }, { "dropping-particle" : "", "family" : "Gu", "given" : "Yu-cheng", "non-dropping-particle" : "", "parse-names" : false, "suffix" : "" }, { "dropping-particle" : "", "family" : "Shi", "given" : "Qing-wen", "non-dropping-particle" : "", "parse-names" : false, "suffix" : "" } ], "container-title" : "Chemistry and Biodiversity", "id" : "ITEM-1", "issued" : { "date-parts" : [ [ "2008" ] ] }, "page" : "2579-2608", "title" : "Chemical Constituents of the Plants of the Genus Calophyllum", "type" : "article-journal", "volume" : "5" }, "uris" : [ "http://www.mendeley.com/documents/?uuid=5cc7ecfb-6cf5-4c90-a52a-772c41259bb0" ] } ], "mendeley" : { "formattedCitation" : "[4]", "plainTextFormattedCitation" : "[4]", "previouslyFormattedCitation" : "(Su et al., 2008)" }, "properties" : {  }, "schema" : "https://github.com/citation-style-language/schema/raw/master/csl-citation.json" }</w:instrText>
      </w:r>
      <w:r w:rsidRPr="00687002">
        <w:rPr>
          <w:rFonts w:ascii="Times New Roman" w:hAnsi="Times New Roman"/>
          <w:sz w:val="20"/>
          <w:szCs w:val="20"/>
          <w:lang w:val="en-GB"/>
        </w:rPr>
        <w:fldChar w:fldCharType="separate"/>
      </w:r>
      <w:r w:rsidRPr="00687002">
        <w:rPr>
          <w:rFonts w:ascii="Times New Roman" w:hAnsi="Times New Roman"/>
          <w:sz w:val="20"/>
          <w:szCs w:val="20"/>
          <w:lang w:val="en-GB"/>
        </w:rPr>
        <w:t>[4]</w:t>
      </w:r>
      <w:r w:rsidRPr="00687002">
        <w:rPr>
          <w:rFonts w:ascii="Times New Roman" w:hAnsi="Times New Roman"/>
          <w:sz w:val="20"/>
          <w:szCs w:val="20"/>
          <w:lang w:val="en-GB"/>
        </w:rPr>
        <w:fldChar w:fldCharType="end"/>
      </w:r>
      <w:r w:rsidRPr="00687002">
        <w:rPr>
          <w:rFonts w:ascii="Times New Roman" w:hAnsi="Times New Roman"/>
          <w:sz w:val="20"/>
          <w:szCs w:val="20"/>
          <w:lang w:val="en-GB"/>
        </w:rPr>
        <w:t xml:space="preserve">. The discovery of a series of pyranocoumarins known as ‘the calanolides’ with strong anti-HIV properties from </w:t>
      </w:r>
      <w:r w:rsidRPr="00687002">
        <w:rPr>
          <w:rFonts w:ascii="Times New Roman" w:hAnsi="Times New Roman"/>
          <w:i/>
          <w:sz w:val="20"/>
          <w:szCs w:val="20"/>
          <w:lang w:val="en-GB"/>
        </w:rPr>
        <w:t>C. lanigerum var. austrocoriaceum</w:t>
      </w:r>
      <w:r w:rsidRPr="00687002">
        <w:rPr>
          <w:rFonts w:ascii="Times New Roman" w:hAnsi="Times New Roman"/>
          <w:sz w:val="20"/>
          <w:szCs w:val="20"/>
          <w:lang w:val="en-GB"/>
        </w:rPr>
        <w:t xml:space="preserve"> </w:t>
      </w:r>
      <w:r w:rsidRPr="00687002">
        <w:rPr>
          <w:rFonts w:ascii="Times New Roman" w:hAnsi="Times New Roman"/>
          <w:sz w:val="20"/>
          <w:szCs w:val="20"/>
          <w:lang w:val="en-GB"/>
        </w:rPr>
        <w:fldChar w:fldCharType="begin" w:fldLock="1"/>
      </w:r>
      <w:r w:rsidRPr="00687002">
        <w:rPr>
          <w:rFonts w:ascii="Times New Roman" w:hAnsi="Times New Roman"/>
          <w:sz w:val="20"/>
          <w:szCs w:val="20"/>
          <w:lang w:val="en-GB"/>
        </w:rPr>
        <w:instrText>ADDIN CSL_CITATION { "citationItems" : [ { "id" : "ITEM-1", "itemData" : { "author" : [ { "dropping-particle" : "", "family" : "Kashman", "given" : "Yoel", "non-dropping-particle" : "", "parse-names" : false, "suffix" : "" }, { "dropping-particle" : "", "family" : "Gustafson", "given" : "Kirk R.", "non-dropping-particle" : "", "parse-names" : false, "suffix" : "" }, { "dropping-particle" : "", "family" : "Fuller", "given" : "Richard W.", "non-dropping-particle" : "", "parse-names" : false, "suffix" : "" }, { "dropping-particle" : "", "family" : "Cardellina", "given" : "John H", "non-dropping-particle" : "", "parse-names" : false, "suffix" : "" }, { "dropping-particle" : "", "family" : "McMahon", "given" : "James B.", "non-dropping-particle" : "", "parse-names" : false, "suffix" : "" }, { "dropping-particle" : "", "family" : "Currens", "given" : "Michael J", "non-dropping-particle" : "", "parse-names" : false, "suffix" : "" }, { "dropping-particle" : "", "family" : "Buckheit", "given" : "Robert W", "non-dropping-particle" : "", "parse-names" : false, "suffix" : "" }, { "dropping-particle" : "", "family" : "Hughes", "given" : "Stephen H", "non-dropping-particle" : "", "parse-names" : false, "suffix" : "" }, { "dropping-particle" : "", "family" : "Cragg", "given" : "Gordon M", "non-dropping-particle" : "", "parse-names" : false, "suffix" : "" }, { "dropping-particle" : "", "family" : "Boyd", "given" : "Michael R", "non-dropping-particle" : "", "parse-names" : false, "suffix" : "" } ], "container-title" : "Journal of Medicinal Chemistry", "id" : "ITEM-1", "issue" : "15", "issued" : { "date-parts" : [ [ "1992" ] ] }, "page" : "2735-2743", "title" : "The Calanolides, a Novel HIV-Inhibitory Class of Coumarin Derivatives from the Tropical Rainforest Tree, Calophyllum lanigerum", "type" : "article-journal", "volume" : "35" }, "uris" : [ "http://www.mendeley.com/documents/?uuid=d917e656-3f20-4179-89ba-db1a4f57b943" ] } ], "mendeley" : { "formattedCitation" : "[5]", "plainTextFormattedCitation" : "[5]", "previouslyFormattedCitation" : "(Kashman et al., 1992)" }, "properties" : {  }, "schema" : "https://github.com/citation-style-language/schema/raw/master/csl-citation.json" }</w:instrText>
      </w:r>
      <w:r w:rsidRPr="00687002">
        <w:rPr>
          <w:rFonts w:ascii="Times New Roman" w:hAnsi="Times New Roman"/>
          <w:sz w:val="20"/>
          <w:szCs w:val="20"/>
          <w:lang w:val="en-GB"/>
        </w:rPr>
        <w:fldChar w:fldCharType="separate"/>
      </w:r>
      <w:r w:rsidRPr="00687002">
        <w:rPr>
          <w:rFonts w:ascii="Times New Roman" w:hAnsi="Times New Roman"/>
          <w:sz w:val="20"/>
          <w:szCs w:val="20"/>
          <w:lang w:val="en-GB"/>
        </w:rPr>
        <w:t>[5]</w:t>
      </w:r>
      <w:r w:rsidRPr="00687002">
        <w:rPr>
          <w:rFonts w:ascii="Times New Roman" w:hAnsi="Times New Roman"/>
          <w:sz w:val="20"/>
          <w:szCs w:val="20"/>
          <w:lang w:val="en-GB"/>
        </w:rPr>
        <w:fldChar w:fldCharType="end"/>
      </w:r>
      <w:r w:rsidRPr="00687002">
        <w:rPr>
          <w:rFonts w:ascii="Times New Roman" w:hAnsi="Times New Roman"/>
          <w:sz w:val="20"/>
          <w:szCs w:val="20"/>
          <w:lang w:val="en-GB"/>
        </w:rPr>
        <w:t xml:space="preserve"> has elevated the phytochemical research of this species. This genus also produces chromanone carboxylic acids, terpenoids and phloroglucinol derivatives.</w:t>
      </w:r>
    </w:p>
    <w:p w:rsidR="00687002" w:rsidRPr="00687002" w:rsidRDefault="00687002" w:rsidP="00687002">
      <w:pPr>
        <w:autoSpaceDE w:val="0"/>
        <w:autoSpaceDN w:val="0"/>
        <w:adjustRightInd w:val="0"/>
        <w:spacing w:after="0" w:line="240" w:lineRule="auto"/>
        <w:jc w:val="both"/>
        <w:rPr>
          <w:rFonts w:ascii="Times New Roman" w:hAnsi="Times New Roman"/>
          <w:sz w:val="20"/>
          <w:szCs w:val="20"/>
          <w:lang w:val="en-GB"/>
        </w:rPr>
      </w:pPr>
    </w:p>
    <w:p w:rsidR="00687002" w:rsidRPr="00687002" w:rsidRDefault="00687002" w:rsidP="00687002">
      <w:pPr>
        <w:autoSpaceDE w:val="0"/>
        <w:autoSpaceDN w:val="0"/>
        <w:adjustRightInd w:val="0"/>
        <w:spacing w:after="0" w:line="240" w:lineRule="auto"/>
        <w:jc w:val="both"/>
        <w:rPr>
          <w:rFonts w:ascii="Times New Roman" w:hAnsi="Times New Roman"/>
          <w:sz w:val="20"/>
          <w:szCs w:val="20"/>
          <w:lang w:val="en-GB"/>
        </w:rPr>
      </w:pPr>
      <w:r w:rsidRPr="00687002">
        <w:rPr>
          <w:rFonts w:ascii="Times New Roman" w:hAnsi="Times New Roman"/>
          <w:sz w:val="20"/>
          <w:szCs w:val="20"/>
          <w:lang w:val="en-GB"/>
        </w:rPr>
        <w:t xml:space="preserve">In continuation of phytochemicals and bioactivities studies on several </w:t>
      </w:r>
      <w:r w:rsidRPr="00687002">
        <w:rPr>
          <w:rFonts w:ascii="Times New Roman" w:hAnsi="Times New Roman"/>
          <w:i/>
          <w:sz w:val="20"/>
          <w:szCs w:val="20"/>
          <w:lang w:val="en-GB"/>
        </w:rPr>
        <w:t>Calophyllum</w:t>
      </w:r>
      <w:r w:rsidRPr="00687002">
        <w:rPr>
          <w:rFonts w:ascii="Times New Roman" w:hAnsi="Times New Roman"/>
          <w:sz w:val="20"/>
          <w:szCs w:val="20"/>
          <w:lang w:val="en-GB"/>
        </w:rPr>
        <w:t xml:space="preserve"> species from Malaysia </w:t>
      </w:r>
      <w:r w:rsidRPr="00687002">
        <w:rPr>
          <w:rFonts w:ascii="Times New Roman" w:hAnsi="Times New Roman"/>
          <w:sz w:val="20"/>
          <w:szCs w:val="20"/>
          <w:lang w:val="en-GB"/>
        </w:rPr>
        <w:fldChar w:fldCharType="begin" w:fldLock="1"/>
      </w:r>
      <w:r w:rsidRPr="00687002">
        <w:rPr>
          <w:rFonts w:ascii="Times New Roman" w:hAnsi="Times New Roman"/>
          <w:sz w:val="20"/>
          <w:szCs w:val="20"/>
          <w:lang w:val="en-GB"/>
        </w:rPr>
        <w:instrText>ADDIN CSL_CITATION { "citationItems" : [ { "id" : "ITEM-1", "itemData" : { "author" : [ { "dropping-particle" : "", "family" : "Aminudin", "given" : "Nurul Iman", "non-dropping-particle" : "", "parse-names" : false, "suffix" : "" }, { "dropping-particle" : "", "family" : "Ahmad", "given" : "Farediah", "non-dropping-particle" : "", "parse-names" : false, "suffix" : "" }, { "dropping-particle" : "", "family" : "Taher", "given" : "Muhammad", "non-dropping-particle" : "", "parse-names" : false, "suffix" : "" }, { "dropping-particle" : "", "family" : "Zulkifli", "given" : "Razauden Mohamed", "non-dropping-particle" : "", "parse-names" : false, "suffix" : "" } ], "container-title" : "Natural Product Communications", "id" : "ITEM-1", "issue" : "9", "issued" : { "date-parts" : [ [ "2015" ] ] }, "page" : "1585-1587", "title" : "\u03b1-Glucosidase and 15-Lipoxygenase Inhibitory Activities of Phytochemicals from Calophyllum symingtonianum", "type" : "article-journal", "volume" : "10" }, "uris" : [ "http://www.mendeley.com/documents/?uuid=0ac09c9c-0921-4ec6-8885-96ae143c4cbc" ] }, { "id" : "ITEM-2", "itemData" : { "DOI" : "10.7324/JAPS.2016.600104", "author" : [ { "dropping-particle" : "", "family" : "Aminudin", "given" : "Nurul Iman", "non-dropping-particle" : "", "parse-names" : false, "suffix" : "" }, { "dropping-particle" : "", "family" : "Ahmad", "given" : "Farediah", "non-dropping-particle" : "", "parse-names" : false, "suffix" : "" }, { "dropping-particle" : "", "family" : "Taher", "given" : "Muhammad", "non-dropping-particle" : "", "parse-names" : false, "suffix" : "" }, { "dropping-particle" : "", "family" : "Zulkifli", "given" : "Razauden Mohamed", "non-dropping-particle" : "", "parse-names" : false, "suffix" : "" } ], "container-title" : "Journal of Applied Pharmaceutical Science", "id" : "ITEM-2", "issue" : "1", "issued" : { "date-parts" : [ [ "2016" ] ] }, "page" : "23-27", "title" : "Cytotoxic and Antibacterial Evaluation of Coumarins and Chromanone Acid from Calophyllum symingtonianum", "type" : "article-journal", "volume" : "6" }, "uris" : [ "http://www.mendeley.com/documents/?uuid=36d9c028-f616-4846-a415-a0d2a75cd479" ] }, { "id" : "ITEM-3", "itemData" : { "DOI" : "10.12980/JCLM.3.2015JCLM-2014-0115", "ISSN" : "23095288", "author" : [ { "dropping-particle" : "", "family" : "Aminudin", "given" : "Nurul Iman", "non-dropping-particle" : "", "parse-names" : false, "suffix" : "" }, { "dropping-particle" : "", "family" : "Ahmad", "given" : "Farediah", "non-dropping-particle" : "", "parse-names" : false, "suffix" : "" }, { "dropping-particle" : "", "family" : "Taher", "given" : "Muhammad", "non-dropping-particle" : "", "parse-names" : false, "suffix" : "" } ], "container-title" : "Journal of Coastal Life Medicine", "id" : "ITEM-3", "issue" : "2", "issued" : { "date-parts" : [ [ "2015" ] ] }, "page" : "126-131", "title" : "In vitro antioxidant, cholinesterase and tyrosinase inhibitory activities of Calophyllum symingtonianum and Calophyllum depressinervosum (Guttiferae)", "type" : "article-journal", "volume" : "3" }, "uris" : [ "http://www.mendeley.com/documents/?uuid=4529b161-e157-486c-8d8d-993a57b022c3" ] }, { "id" : "ITEM-4", "itemData" : { "DOI" : "10.1016/j.phytol.2016.05.008", "ISSN" : "18767486", "abstract" : "Four new 4-substituted coumarins, incrassamarin A (1), B (2), C (3) and D (4) with (7S,8S)-7,8-dihydro-5-hydroxy-7,8-dimethyl-4-propyl-2H,6H-benzo[1,2-b;5,4-b\u2019]dipyran-2,6-dione (5), friedelin, carpachromene, amentoflavone, epiafzelechin and L-quercitrin were isolated from the barks and leaves of Calophyllum incrassatum (Guttiferae). The compounds were isolated and purified by size-exclusion recycling HPLC and column chromatographic techniques. The structures of the compounds were determined by spectroscopic means. The compounds were tested for their cytotoxic activity towards MCF-7 and A-549 cell lines and \u03b1-glucosidase enzymatic inhibitory activity. Compound (1) displayed cytotoxic activity against A-549 cell lines with IC50 87.71\u00a0\u03bcg/mL and showed inhibition towards \u03b1-glucosidase enzymatic activity with IC50 93.25\u00a0\u03bcM. This is the first report on the isolation of phytochemicals from the barks and leaves of C. incrassatum and their bioactivities.", "author" : [ { "dropping-particle" : "", "family" : "Aminudin", "given" : "Nurul Iman", "non-dropping-particle" : "", "parse-names" : false, "suffix" : "" }, { "dropping-particle" : "", "family" : "Ahmad", "given" : "Farediah", "non-dropping-particle" : "", "parse-names" : false, "suffix" : "" }, { "dropping-particle" : "", "family" : "Taher", "given" : "Muhammad", "non-dropping-particle" : "", "parse-names" : false, "suffix" : "" }, { "dropping-particle" : "", "family" : "Zulkifli", "given" : "Razauden Mohamed", "non-dropping-particle" : "", "parse-names" : false, "suffix" : "" } ], "container-title" : "Phytochemistry Letters", "id" : "ITEM-4", "issued" : { "date-parts" : [ [ "2016" ] ] }, "page" : "287-293", "title" : "Incrassamarin A\u2013D: Four new 4-substituted coumarins from Calophyllum incrassatum and their biological activities", "type" : "article-journal", "volume" : "16" }, "uris" : [ "http://www.mendeley.com/documents/?uuid=fd2063bd-b3eb-4dc1-b06f-25c0a3f099dd" ] } ], "mendeley" : { "formattedCitation" : "[6\u20139]", "plainTextFormattedCitation" : "[6\u20139]", "previouslyFormattedCitation" : "(Aminudin, Ahmad, &amp; Taher, 2015; Aminudin, Ahmad, Taher, &amp; Zulkifli, 2016a, 2016b, 2015)" }, "properties" : {  }, "schema" : "https://github.com/citation-style-language/schema/raw/master/csl-citation.json" }</w:instrText>
      </w:r>
      <w:r w:rsidRPr="00687002">
        <w:rPr>
          <w:rFonts w:ascii="Times New Roman" w:hAnsi="Times New Roman"/>
          <w:sz w:val="20"/>
          <w:szCs w:val="20"/>
          <w:lang w:val="en-GB"/>
        </w:rPr>
        <w:fldChar w:fldCharType="separate"/>
      </w:r>
      <w:r w:rsidRPr="00687002">
        <w:rPr>
          <w:rFonts w:ascii="Times New Roman" w:hAnsi="Times New Roman"/>
          <w:sz w:val="20"/>
          <w:szCs w:val="20"/>
          <w:lang w:val="en-GB"/>
        </w:rPr>
        <w:t>[6–9]</w:t>
      </w:r>
      <w:r w:rsidRPr="00687002">
        <w:rPr>
          <w:rFonts w:ascii="Times New Roman" w:hAnsi="Times New Roman"/>
          <w:sz w:val="20"/>
          <w:szCs w:val="20"/>
          <w:lang w:val="en-GB"/>
        </w:rPr>
        <w:fldChar w:fldCharType="end"/>
      </w:r>
      <w:r w:rsidRPr="00687002">
        <w:rPr>
          <w:rFonts w:ascii="Times New Roman" w:hAnsi="Times New Roman"/>
          <w:sz w:val="20"/>
          <w:szCs w:val="20"/>
          <w:lang w:val="en-GB"/>
        </w:rPr>
        <w:t xml:space="preserve">, the antioxidant and antibacterial activities of </w:t>
      </w:r>
      <w:r w:rsidRPr="00687002">
        <w:rPr>
          <w:rFonts w:ascii="Times New Roman" w:hAnsi="Times New Roman"/>
          <w:i/>
          <w:sz w:val="20"/>
          <w:szCs w:val="20"/>
          <w:lang w:val="en-GB"/>
        </w:rPr>
        <w:t>C. ferrugineum</w:t>
      </w:r>
      <w:r w:rsidRPr="00687002">
        <w:rPr>
          <w:rFonts w:ascii="Times New Roman" w:hAnsi="Times New Roman"/>
          <w:sz w:val="20"/>
          <w:szCs w:val="20"/>
          <w:lang w:val="en-GB"/>
        </w:rPr>
        <w:t xml:space="preserve"> Ridley and </w:t>
      </w:r>
      <w:r w:rsidRPr="00687002">
        <w:rPr>
          <w:rFonts w:ascii="Times New Roman" w:hAnsi="Times New Roman"/>
          <w:i/>
          <w:sz w:val="20"/>
          <w:szCs w:val="20"/>
          <w:lang w:val="en-GB"/>
        </w:rPr>
        <w:t>C. incrassatum</w:t>
      </w:r>
      <w:r w:rsidRPr="00687002">
        <w:rPr>
          <w:rFonts w:ascii="Times New Roman" w:hAnsi="Times New Roman"/>
          <w:sz w:val="20"/>
          <w:szCs w:val="20"/>
          <w:lang w:val="en-GB"/>
        </w:rPr>
        <w:t xml:space="preserve"> M. R. Henderson &amp; Wyatt-Smith were investigated. </w:t>
      </w:r>
      <w:r w:rsidRPr="00687002">
        <w:rPr>
          <w:rFonts w:ascii="Times New Roman" w:hAnsi="Times New Roman"/>
          <w:i/>
          <w:sz w:val="20"/>
          <w:szCs w:val="20"/>
          <w:lang w:val="en-GB"/>
        </w:rPr>
        <w:t>C. ferrugineum</w:t>
      </w:r>
      <w:r w:rsidRPr="00687002">
        <w:rPr>
          <w:rFonts w:ascii="Times New Roman" w:hAnsi="Times New Roman"/>
          <w:sz w:val="20"/>
          <w:szCs w:val="20"/>
          <w:lang w:val="en-GB"/>
        </w:rPr>
        <w:t xml:space="preserve"> is an evergreen tree distributed around Southeast Asia especially in Malaysia. It grows from 5 – 30 m and can be found in lowland or colline mixed dipterocarp forest. The bark is used to make walls and masts for house-building. It is also used as decoction by mothers three days after the childbirth. </w:t>
      </w:r>
      <w:r w:rsidRPr="00687002">
        <w:rPr>
          <w:rFonts w:ascii="Times New Roman" w:hAnsi="Times New Roman"/>
          <w:i/>
          <w:sz w:val="20"/>
          <w:szCs w:val="20"/>
          <w:lang w:val="en-GB"/>
        </w:rPr>
        <w:t>C. incrassatum</w:t>
      </w:r>
      <w:r w:rsidRPr="00687002">
        <w:rPr>
          <w:rFonts w:ascii="Times New Roman" w:hAnsi="Times New Roman"/>
          <w:sz w:val="20"/>
          <w:szCs w:val="20"/>
          <w:lang w:val="en-GB"/>
        </w:rPr>
        <w:t xml:space="preserve"> is distributed in East Malaysia, Borneo and Sulawesi. This tree can grow up from 15 – 36 metres and is usually found in well-drained, mixed dipterocarp lowland forest or sometimes in swamp forest </w:t>
      </w:r>
      <w:r w:rsidRPr="00687002">
        <w:rPr>
          <w:rFonts w:ascii="Times New Roman" w:hAnsi="Times New Roman"/>
          <w:sz w:val="20"/>
          <w:szCs w:val="20"/>
          <w:lang w:val="en-GB"/>
        </w:rPr>
        <w:fldChar w:fldCharType="begin" w:fldLock="1"/>
      </w:r>
      <w:r w:rsidRPr="00687002">
        <w:rPr>
          <w:rFonts w:ascii="Times New Roman" w:hAnsi="Times New Roman"/>
          <w:sz w:val="20"/>
          <w:szCs w:val="20"/>
          <w:lang w:val="en-GB"/>
        </w:rPr>
        <w:instrText>ADDIN CSL_CITATION { "citationItems" : [ { "id" : "ITEM-1", "itemData" : { "author" : [ { "dropping-particle" : "", "family" : "Stevens", "given" : "P. F.", "non-dropping-particle" : "", "parse-names" : false, "suffix" : "" } ], "id" : "ITEM-1", "issue" : "2", "issued" : { "date-parts" : [ [ "1980" ] ] }, "page" : "117-424", "title" : "Journal of the Arnold Arboretum", "type" : "chapter", "volume" : "61" }, "uris" : [ "http://www.mendeley.com/documents/?uuid=f836d51c-d256-4177-935e-b1a66415511c" ] } ], "mendeley" : { "formattedCitation" : "[1]", "plainTextFormattedCitation" : "[1]", "previouslyFormattedCitation" : "(Stevens, 1980)" }, "properties" : {  }, "schema" : "https://github.com/citation-style-language/schema/raw/master/csl-citation.json" }</w:instrText>
      </w:r>
      <w:r w:rsidRPr="00687002">
        <w:rPr>
          <w:rFonts w:ascii="Times New Roman" w:hAnsi="Times New Roman"/>
          <w:sz w:val="20"/>
          <w:szCs w:val="20"/>
          <w:lang w:val="en-GB"/>
        </w:rPr>
        <w:fldChar w:fldCharType="separate"/>
      </w:r>
      <w:r w:rsidRPr="00687002">
        <w:rPr>
          <w:rFonts w:ascii="Times New Roman" w:hAnsi="Times New Roman"/>
          <w:sz w:val="20"/>
          <w:szCs w:val="20"/>
          <w:lang w:val="en-GB"/>
        </w:rPr>
        <w:t>[1]</w:t>
      </w:r>
      <w:r w:rsidRPr="00687002">
        <w:rPr>
          <w:rFonts w:ascii="Times New Roman" w:hAnsi="Times New Roman"/>
          <w:sz w:val="20"/>
          <w:szCs w:val="20"/>
          <w:lang w:val="en-GB"/>
        </w:rPr>
        <w:fldChar w:fldCharType="end"/>
      </w:r>
      <w:r w:rsidRPr="00687002">
        <w:rPr>
          <w:rFonts w:ascii="Times New Roman" w:hAnsi="Times New Roman"/>
          <w:sz w:val="20"/>
          <w:szCs w:val="20"/>
          <w:lang w:val="en-GB"/>
        </w:rPr>
        <w:t>. To date, there is no scientific report on the antioxidant and antibacterial activities for both species. Therefore, herein the authors report the evaluation of antioxidant and antibacterial activities of crude extracts from the barks and leaves of both species.</w:t>
      </w:r>
    </w:p>
    <w:p w:rsidR="00687002" w:rsidRPr="00687002" w:rsidRDefault="00687002" w:rsidP="00687002">
      <w:pPr>
        <w:spacing w:after="0" w:line="240" w:lineRule="auto"/>
        <w:jc w:val="center"/>
        <w:rPr>
          <w:rFonts w:ascii="Times New Roman" w:hAnsi="Times New Roman"/>
          <w:b/>
          <w:sz w:val="20"/>
          <w:szCs w:val="20"/>
        </w:rPr>
      </w:pPr>
    </w:p>
    <w:p w:rsidR="00687002" w:rsidRPr="00687002" w:rsidRDefault="00687002" w:rsidP="00687002">
      <w:pPr>
        <w:spacing w:after="0" w:line="240" w:lineRule="auto"/>
        <w:jc w:val="center"/>
        <w:rPr>
          <w:rFonts w:ascii="Times New Roman" w:hAnsi="Times New Roman"/>
          <w:b/>
          <w:sz w:val="20"/>
          <w:szCs w:val="20"/>
        </w:rPr>
      </w:pPr>
      <w:r w:rsidRPr="00687002">
        <w:rPr>
          <w:rFonts w:ascii="Times New Roman" w:hAnsi="Times New Roman"/>
          <w:b/>
          <w:sz w:val="20"/>
          <w:szCs w:val="20"/>
        </w:rPr>
        <w:t>Materials and Methods</w:t>
      </w:r>
    </w:p>
    <w:p w:rsidR="00687002" w:rsidRPr="00687002" w:rsidRDefault="00687002" w:rsidP="00687002">
      <w:pPr>
        <w:spacing w:after="0" w:line="240" w:lineRule="auto"/>
        <w:jc w:val="both"/>
        <w:rPr>
          <w:rFonts w:ascii="Times New Roman" w:hAnsi="Times New Roman"/>
          <w:b/>
          <w:sz w:val="20"/>
          <w:szCs w:val="20"/>
        </w:rPr>
      </w:pPr>
      <w:r w:rsidRPr="00687002">
        <w:rPr>
          <w:rFonts w:ascii="Times New Roman" w:hAnsi="Times New Roman"/>
          <w:b/>
          <w:sz w:val="20"/>
          <w:szCs w:val="20"/>
        </w:rPr>
        <w:t>Chemicals and reagents</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Folin-Ciocalteu’s phenol, gallic acid, butylated hydroxyanisole (BHA) and butylated hydroxytoluene (BHT) were purchased from Sigma Aldrich. Ascorbic acid (AA) was purchased from Goodrich Chemical Enterprice (GCE) while 2,2-diphenyl-1-picrylhydrazyl (DPPH) was purchased from Fluka. 2,4,6-Tri(2-pyridyl)-S-triazine (TPTZ) was purchased from Merck while anhydrous sodium carbonate (Na</w:t>
      </w:r>
      <w:r w:rsidRPr="00687002">
        <w:rPr>
          <w:rFonts w:ascii="Times New Roman" w:hAnsi="Times New Roman"/>
          <w:sz w:val="20"/>
          <w:szCs w:val="20"/>
          <w:vertAlign w:val="subscript"/>
        </w:rPr>
        <w:t>2</w:t>
      </w:r>
      <w:r w:rsidRPr="00687002">
        <w:rPr>
          <w:rFonts w:ascii="Times New Roman" w:hAnsi="Times New Roman"/>
          <w:sz w:val="20"/>
          <w:szCs w:val="20"/>
        </w:rPr>
        <w:t>CO</w:t>
      </w:r>
      <w:r w:rsidRPr="00687002">
        <w:rPr>
          <w:rFonts w:ascii="Times New Roman" w:hAnsi="Times New Roman"/>
          <w:sz w:val="20"/>
          <w:szCs w:val="20"/>
          <w:vertAlign w:val="subscript"/>
        </w:rPr>
        <w:t>3</w:t>
      </w:r>
      <w:r w:rsidRPr="00687002">
        <w:rPr>
          <w:rFonts w:ascii="Times New Roman" w:hAnsi="Times New Roman"/>
          <w:sz w:val="20"/>
          <w:szCs w:val="20"/>
        </w:rPr>
        <w:t>), sodium acetate trihydrate (CH</w:t>
      </w:r>
      <w:r w:rsidRPr="00687002">
        <w:rPr>
          <w:rFonts w:ascii="Times New Roman" w:hAnsi="Times New Roman"/>
          <w:sz w:val="20"/>
          <w:szCs w:val="20"/>
          <w:vertAlign w:val="subscript"/>
        </w:rPr>
        <w:t>3</w:t>
      </w:r>
      <w:r w:rsidRPr="00687002">
        <w:rPr>
          <w:rFonts w:ascii="Times New Roman" w:hAnsi="Times New Roman"/>
          <w:sz w:val="20"/>
          <w:szCs w:val="20"/>
        </w:rPr>
        <w:t>COONa.3H</w:t>
      </w:r>
      <w:r w:rsidRPr="00687002">
        <w:rPr>
          <w:rFonts w:ascii="Times New Roman" w:hAnsi="Times New Roman"/>
          <w:sz w:val="20"/>
          <w:szCs w:val="20"/>
          <w:vertAlign w:val="subscript"/>
        </w:rPr>
        <w:t>2</w:t>
      </w:r>
      <w:r w:rsidRPr="00687002">
        <w:rPr>
          <w:rFonts w:ascii="Times New Roman" w:hAnsi="Times New Roman"/>
          <w:sz w:val="20"/>
          <w:szCs w:val="20"/>
        </w:rPr>
        <w:t>O), iron (III) chloride hexahydrate (FeCl</w:t>
      </w:r>
      <w:r w:rsidRPr="00687002">
        <w:rPr>
          <w:rFonts w:ascii="Times New Roman" w:hAnsi="Times New Roman"/>
          <w:sz w:val="20"/>
          <w:szCs w:val="20"/>
          <w:vertAlign w:val="subscript"/>
        </w:rPr>
        <w:t>3</w:t>
      </w:r>
      <w:r w:rsidRPr="00687002">
        <w:rPr>
          <w:rFonts w:ascii="Times New Roman" w:hAnsi="Times New Roman"/>
          <w:sz w:val="20"/>
          <w:szCs w:val="20"/>
        </w:rPr>
        <w:t>.6H</w:t>
      </w:r>
      <w:r w:rsidRPr="00687002">
        <w:rPr>
          <w:rFonts w:ascii="Times New Roman" w:hAnsi="Times New Roman"/>
          <w:sz w:val="20"/>
          <w:szCs w:val="20"/>
          <w:vertAlign w:val="subscript"/>
        </w:rPr>
        <w:t>2</w:t>
      </w:r>
      <w:r w:rsidRPr="00687002">
        <w:rPr>
          <w:rFonts w:ascii="Times New Roman" w:hAnsi="Times New Roman"/>
          <w:sz w:val="20"/>
          <w:szCs w:val="20"/>
        </w:rPr>
        <w:t xml:space="preserve">O) and hydrochloric acid (HCl) were obtained from Qrec. Nutrient agar (NA) and nutrient broth (NB) were purchased from Merck while streptomycin sulphate (SS) and </w:t>
      </w:r>
      <w:r w:rsidRPr="00687002">
        <w:rPr>
          <w:rFonts w:ascii="Times New Roman" w:hAnsi="Times New Roman"/>
          <w:sz w:val="20"/>
          <w:szCs w:val="20"/>
          <w:shd w:val="clear" w:color="auto" w:fill="FFFFFF"/>
        </w:rPr>
        <w:t>2-(4-iodophenyl)-3-(4-nitrophenyl)-5-phenyl-2</w:t>
      </w:r>
      <w:r w:rsidRPr="00687002">
        <w:rPr>
          <w:rFonts w:ascii="Times New Roman" w:hAnsi="Times New Roman"/>
          <w:i/>
          <w:iCs/>
          <w:sz w:val="20"/>
          <w:szCs w:val="20"/>
          <w:shd w:val="clear" w:color="auto" w:fill="FFFFFF"/>
        </w:rPr>
        <w:t>H</w:t>
      </w:r>
      <w:r w:rsidRPr="00687002">
        <w:rPr>
          <w:rFonts w:ascii="Times New Roman" w:hAnsi="Times New Roman"/>
          <w:sz w:val="20"/>
          <w:szCs w:val="20"/>
          <w:shd w:val="clear" w:color="auto" w:fill="FFFFFF"/>
        </w:rPr>
        <w:t>-tetrazolium (INT) were obtained from Sigma Aldrich. Sodium chloride (NaCl), tryptone, glycerol and H</w:t>
      </w:r>
      <w:r w:rsidRPr="00687002">
        <w:rPr>
          <w:rFonts w:ascii="Times New Roman" w:hAnsi="Times New Roman"/>
          <w:sz w:val="20"/>
          <w:szCs w:val="20"/>
          <w:shd w:val="clear" w:color="auto" w:fill="FFFFFF"/>
          <w:vertAlign w:val="subscript"/>
        </w:rPr>
        <w:t>2</w:t>
      </w:r>
      <w:r w:rsidRPr="00687002">
        <w:rPr>
          <w:rFonts w:ascii="Times New Roman" w:hAnsi="Times New Roman"/>
          <w:sz w:val="20"/>
          <w:szCs w:val="20"/>
          <w:shd w:val="clear" w:color="auto" w:fill="FFFFFF"/>
        </w:rPr>
        <w:t>SO</w:t>
      </w:r>
      <w:r w:rsidRPr="00687002">
        <w:rPr>
          <w:rFonts w:ascii="Times New Roman" w:hAnsi="Times New Roman"/>
          <w:sz w:val="20"/>
          <w:szCs w:val="20"/>
          <w:shd w:val="clear" w:color="auto" w:fill="FFFFFF"/>
          <w:vertAlign w:val="subscript"/>
        </w:rPr>
        <w:t>4</w:t>
      </w:r>
      <w:r w:rsidRPr="00687002">
        <w:rPr>
          <w:rFonts w:ascii="Times New Roman" w:hAnsi="Times New Roman"/>
          <w:sz w:val="20"/>
          <w:szCs w:val="20"/>
          <w:shd w:val="clear" w:color="auto" w:fill="FFFFFF"/>
        </w:rPr>
        <w:t xml:space="preserve"> (98%) were supplied by Qrec, yeast extract was obtained from Scharlau and Tween 80 was purchased from Fischerbrand. </w:t>
      </w:r>
    </w:p>
    <w:p w:rsidR="00687002" w:rsidRPr="00687002" w:rsidRDefault="00687002" w:rsidP="00687002">
      <w:pPr>
        <w:spacing w:after="0" w:line="240" w:lineRule="auto"/>
        <w:jc w:val="both"/>
        <w:rPr>
          <w:rFonts w:ascii="Times New Roman" w:hAnsi="Times New Roman"/>
          <w:b/>
          <w:sz w:val="20"/>
          <w:szCs w:val="20"/>
        </w:rPr>
      </w:pPr>
    </w:p>
    <w:p w:rsidR="00687002" w:rsidRPr="00687002" w:rsidRDefault="00687002" w:rsidP="00687002">
      <w:pPr>
        <w:spacing w:after="0" w:line="240" w:lineRule="auto"/>
        <w:jc w:val="both"/>
        <w:rPr>
          <w:rFonts w:ascii="Times New Roman" w:hAnsi="Times New Roman"/>
          <w:b/>
          <w:sz w:val="20"/>
          <w:szCs w:val="20"/>
        </w:rPr>
      </w:pPr>
      <w:r w:rsidRPr="00687002">
        <w:rPr>
          <w:rFonts w:ascii="Times New Roman" w:hAnsi="Times New Roman"/>
          <w:b/>
          <w:sz w:val="20"/>
          <w:szCs w:val="20"/>
        </w:rPr>
        <w:t xml:space="preserve">Microorganism </w:t>
      </w:r>
    </w:p>
    <w:p w:rsidR="00687002" w:rsidRPr="00687002" w:rsidRDefault="00687002" w:rsidP="00687002">
      <w:pPr>
        <w:pStyle w:val="NoSpacing"/>
        <w:jc w:val="both"/>
        <w:rPr>
          <w:rFonts w:ascii="Times New Roman" w:hAnsi="Times New Roman"/>
          <w:sz w:val="20"/>
          <w:szCs w:val="20"/>
        </w:rPr>
      </w:pPr>
      <w:r w:rsidRPr="00687002">
        <w:rPr>
          <w:rFonts w:ascii="Times New Roman" w:hAnsi="Times New Roman"/>
          <w:sz w:val="20"/>
          <w:szCs w:val="20"/>
          <w:lang w:val="en-GB"/>
        </w:rPr>
        <w:t xml:space="preserve">The bacterial strains acquired were from the American Type Culture Collection (ATCC). The activities of the samples were screened against four strains, two Gram-positive bacteria, </w:t>
      </w:r>
      <w:r w:rsidRPr="00687002">
        <w:rPr>
          <w:rFonts w:ascii="Times New Roman" w:hAnsi="Times New Roman"/>
          <w:i/>
          <w:sz w:val="20"/>
          <w:szCs w:val="20"/>
          <w:lang w:val="en-GB"/>
        </w:rPr>
        <w:t>Bacillus subtilis</w:t>
      </w:r>
      <w:r w:rsidRPr="00687002">
        <w:rPr>
          <w:rFonts w:ascii="Times New Roman" w:hAnsi="Times New Roman"/>
          <w:sz w:val="20"/>
          <w:szCs w:val="20"/>
          <w:lang w:val="en-GB"/>
        </w:rPr>
        <w:t xml:space="preserve"> (ATCC 6633), </w:t>
      </w:r>
      <w:r w:rsidRPr="00687002">
        <w:rPr>
          <w:rFonts w:ascii="Times New Roman" w:hAnsi="Times New Roman"/>
          <w:i/>
          <w:sz w:val="20"/>
          <w:szCs w:val="20"/>
        </w:rPr>
        <w:t xml:space="preserve">Staphylococcus aureus </w:t>
      </w:r>
      <w:r w:rsidRPr="00687002">
        <w:rPr>
          <w:rFonts w:ascii="Times New Roman" w:hAnsi="Times New Roman"/>
          <w:sz w:val="20"/>
          <w:szCs w:val="20"/>
        </w:rPr>
        <w:t>(ATCC 29737)</w:t>
      </w:r>
      <w:r w:rsidRPr="00687002">
        <w:rPr>
          <w:rFonts w:ascii="Times New Roman" w:hAnsi="Times New Roman"/>
          <w:sz w:val="20"/>
          <w:szCs w:val="20"/>
          <w:lang w:val="en-GB"/>
        </w:rPr>
        <w:t xml:space="preserve"> and two Gram-negative bacteria, </w:t>
      </w:r>
      <w:r w:rsidRPr="00687002">
        <w:rPr>
          <w:rFonts w:ascii="Times New Roman" w:hAnsi="Times New Roman"/>
          <w:i/>
          <w:sz w:val="20"/>
          <w:szCs w:val="20"/>
          <w:lang w:val="en-GB"/>
        </w:rPr>
        <w:t>Escherichia coli</w:t>
      </w:r>
      <w:r w:rsidRPr="00687002">
        <w:rPr>
          <w:rFonts w:ascii="Times New Roman" w:hAnsi="Times New Roman"/>
          <w:sz w:val="20"/>
          <w:szCs w:val="20"/>
          <w:lang w:val="en-GB"/>
        </w:rPr>
        <w:t xml:space="preserve"> (ATCC 10536) and </w:t>
      </w:r>
      <w:r w:rsidRPr="00687002">
        <w:rPr>
          <w:rFonts w:ascii="Times New Roman" w:hAnsi="Times New Roman"/>
          <w:i/>
          <w:sz w:val="20"/>
          <w:szCs w:val="20"/>
        </w:rPr>
        <w:t xml:space="preserve">Pseudomonas aeruginosa </w:t>
      </w:r>
      <w:r w:rsidRPr="00687002">
        <w:rPr>
          <w:rFonts w:ascii="Times New Roman" w:hAnsi="Times New Roman"/>
          <w:sz w:val="20"/>
          <w:szCs w:val="20"/>
        </w:rPr>
        <w:t>(ATCC 9027)</w:t>
      </w:r>
      <w:r w:rsidRPr="00687002">
        <w:rPr>
          <w:rFonts w:ascii="Times New Roman" w:hAnsi="Times New Roman"/>
          <w:sz w:val="20"/>
          <w:szCs w:val="20"/>
          <w:lang w:val="en-GB"/>
        </w:rPr>
        <w:t>.</w:t>
      </w:r>
    </w:p>
    <w:p w:rsidR="00687002" w:rsidRPr="00687002" w:rsidRDefault="00687002" w:rsidP="00687002">
      <w:pPr>
        <w:spacing w:after="0" w:line="240" w:lineRule="auto"/>
        <w:jc w:val="both"/>
        <w:rPr>
          <w:rFonts w:ascii="Times New Roman" w:hAnsi="Times New Roman"/>
          <w:b/>
          <w:sz w:val="20"/>
          <w:szCs w:val="20"/>
        </w:rPr>
      </w:pPr>
    </w:p>
    <w:p w:rsidR="00687002" w:rsidRPr="00687002" w:rsidRDefault="00687002" w:rsidP="00687002">
      <w:pPr>
        <w:spacing w:after="0" w:line="240" w:lineRule="auto"/>
        <w:jc w:val="both"/>
        <w:rPr>
          <w:rFonts w:ascii="Times New Roman" w:hAnsi="Times New Roman"/>
          <w:b/>
          <w:sz w:val="20"/>
          <w:szCs w:val="20"/>
        </w:rPr>
      </w:pPr>
      <w:r w:rsidRPr="00687002">
        <w:rPr>
          <w:rFonts w:ascii="Times New Roman" w:hAnsi="Times New Roman"/>
          <w:b/>
          <w:sz w:val="20"/>
          <w:szCs w:val="20"/>
        </w:rPr>
        <w:t>Plant material</w:t>
      </w:r>
    </w:p>
    <w:p w:rsidR="00687002" w:rsidRPr="00687002" w:rsidRDefault="00687002" w:rsidP="00687002">
      <w:pPr>
        <w:spacing w:after="0" w:line="240" w:lineRule="auto"/>
        <w:jc w:val="both"/>
        <w:rPr>
          <w:rFonts w:ascii="Times New Roman" w:hAnsi="Times New Roman"/>
          <w:b/>
          <w:sz w:val="20"/>
          <w:szCs w:val="20"/>
        </w:rPr>
      </w:pPr>
      <w:r w:rsidRPr="00687002">
        <w:rPr>
          <w:rFonts w:ascii="Times New Roman" w:hAnsi="Times New Roman"/>
          <w:sz w:val="20"/>
          <w:szCs w:val="20"/>
        </w:rPr>
        <w:t xml:space="preserve">Sample of </w:t>
      </w:r>
      <w:r w:rsidRPr="00687002">
        <w:rPr>
          <w:rFonts w:ascii="Times New Roman" w:hAnsi="Times New Roman"/>
          <w:i/>
          <w:sz w:val="20"/>
          <w:szCs w:val="20"/>
        </w:rPr>
        <w:t>C. ferrugineum</w:t>
      </w:r>
      <w:r w:rsidRPr="00687002">
        <w:rPr>
          <w:rFonts w:ascii="Times New Roman" w:hAnsi="Times New Roman"/>
          <w:sz w:val="20"/>
          <w:szCs w:val="20"/>
        </w:rPr>
        <w:t xml:space="preserve"> Ridley (SK2587/14) was collected at Hutan Lenggong, Perak on 28 August 2014 while </w:t>
      </w:r>
      <w:r w:rsidRPr="00687002">
        <w:rPr>
          <w:rFonts w:ascii="Times New Roman" w:hAnsi="Times New Roman"/>
          <w:i/>
          <w:sz w:val="20"/>
          <w:szCs w:val="20"/>
        </w:rPr>
        <w:t>C. incrassatum</w:t>
      </w:r>
      <w:r w:rsidRPr="00687002">
        <w:rPr>
          <w:rFonts w:ascii="Times New Roman" w:hAnsi="Times New Roman"/>
          <w:sz w:val="20"/>
          <w:szCs w:val="20"/>
        </w:rPr>
        <w:t xml:space="preserve"> M. R. Henderson &amp; Wyatt-Smith</w:t>
      </w:r>
      <w:r w:rsidRPr="00687002">
        <w:rPr>
          <w:rFonts w:ascii="Times New Roman" w:hAnsi="Times New Roman"/>
          <w:i/>
          <w:sz w:val="20"/>
          <w:szCs w:val="20"/>
        </w:rPr>
        <w:t xml:space="preserve"> </w:t>
      </w:r>
      <w:r w:rsidRPr="00687002">
        <w:rPr>
          <w:rFonts w:ascii="Times New Roman" w:hAnsi="Times New Roman"/>
          <w:sz w:val="20"/>
          <w:szCs w:val="20"/>
        </w:rPr>
        <w:t xml:space="preserve">(SK2612/14) was collected from Hutan Gunung Belumut, Kluang, Johor on 1 October 2014. Plant specimens of </w:t>
      </w:r>
      <w:r w:rsidRPr="00687002">
        <w:rPr>
          <w:rFonts w:ascii="Times New Roman" w:hAnsi="Times New Roman"/>
          <w:i/>
          <w:sz w:val="20"/>
          <w:szCs w:val="20"/>
        </w:rPr>
        <w:t>C. ferrugineum</w:t>
      </w:r>
      <w:r w:rsidRPr="00687002">
        <w:rPr>
          <w:rFonts w:ascii="Times New Roman" w:hAnsi="Times New Roman"/>
          <w:sz w:val="20"/>
          <w:szCs w:val="20"/>
        </w:rPr>
        <w:t xml:space="preserve"> and </w:t>
      </w:r>
      <w:r w:rsidRPr="00687002">
        <w:rPr>
          <w:rFonts w:ascii="Times New Roman" w:hAnsi="Times New Roman"/>
          <w:i/>
          <w:sz w:val="20"/>
          <w:szCs w:val="20"/>
        </w:rPr>
        <w:t>C. incrassatum</w:t>
      </w:r>
      <w:r w:rsidRPr="00687002">
        <w:rPr>
          <w:rFonts w:ascii="Times New Roman" w:hAnsi="Times New Roman"/>
          <w:sz w:val="20"/>
          <w:szCs w:val="20"/>
        </w:rPr>
        <w:t xml:space="preserve"> were deposited at Herbarium Universiti Putra Malaysia. All plant samples were identified by Dr Shamsul Khamis, a botanist from Universiti Kebangsaan Malaysia.</w:t>
      </w:r>
    </w:p>
    <w:p w:rsidR="00687002" w:rsidRPr="00687002" w:rsidRDefault="00687002" w:rsidP="00687002">
      <w:pPr>
        <w:spacing w:after="0" w:line="240" w:lineRule="auto"/>
        <w:jc w:val="both"/>
        <w:rPr>
          <w:rFonts w:ascii="Times New Roman" w:hAnsi="Times New Roman"/>
          <w:b/>
          <w:sz w:val="20"/>
          <w:szCs w:val="20"/>
        </w:rPr>
      </w:pPr>
    </w:p>
    <w:p w:rsidR="00687002" w:rsidRPr="00687002" w:rsidRDefault="00687002" w:rsidP="00687002">
      <w:pPr>
        <w:spacing w:after="0" w:line="240" w:lineRule="auto"/>
        <w:jc w:val="both"/>
        <w:rPr>
          <w:rFonts w:ascii="Times New Roman" w:hAnsi="Times New Roman"/>
          <w:b/>
          <w:sz w:val="20"/>
          <w:szCs w:val="20"/>
        </w:rPr>
      </w:pPr>
      <w:r w:rsidRPr="00687002">
        <w:rPr>
          <w:rFonts w:ascii="Times New Roman" w:hAnsi="Times New Roman"/>
          <w:b/>
          <w:sz w:val="20"/>
          <w:szCs w:val="20"/>
        </w:rPr>
        <w:lastRenderedPageBreak/>
        <w:t>Extraction method</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 xml:space="preserve">The dried and ground barks and leaves of </w:t>
      </w:r>
      <w:r w:rsidRPr="00687002">
        <w:rPr>
          <w:rFonts w:ascii="Times New Roman" w:hAnsi="Times New Roman"/>
          <w:i/>
          <w:sz w:val="20"/>
          <w:szCs w:val="20"/>
        </w:rPr>
        <w:t>C. incrassatum</w:t>
      </w:r>
      <w:r w:rsidRPr="00687002">
        <w:rPr>
          <w:rFonts w:ascii="Times New Roman" w:hAnsi="Times New Roman"/>
          <w:sz w:val="20"/>
          <w:szCs w:val="20"/>
        </w:rPr>
        <w:t xml:space="preserve"> and </w:t>
      </w:r>
      <w:r w:rsidRPr="00687002">
        <w:rPr>
          <w:rFonts w:ascii="Times New Roman" w:hAnsi="Times New Roman"/>
          <w:i/>
          <w:sz w:val="20"/>
          <w:szCs w:val="20"/>
        </w:rPr>
        <w:t>C. ferrugineum</w:t>
      </w:r>
      <w:r w:rsidRPr="00687002">
        <w:rPr>
          <w:rFonts w:ascii="Times New Roman" w:hAnsi="Times New Roman"/>
          <w:sz w:val="20"/>
          <w:szCs w:val="20"/>
        </w:rPr>
        <w:t xml:space="preserve"> were macerated sequentially with dichloromethane, ethyl acetate and methanol for 3 days at room temperature. The extracts were then filtered and similar extraction process was repeated twice. The extracts were then concentrated under reduced pressure by using rotary evaporator. All extracts were stored at 4°C for further use.</w:t>
      </w:r>
    </w:p>
    <w:p w:rsidR="00687002" w:rsidRPr="00687002" w:rsidRDefault="00687002" w:rsidP="00687002">
      <w:pPr>
        <w:spacing w:after="0" w:line="240" w:lineRule="auto"/>
        <w:jc w:val="both"/>
        <w:rPr>
          <w:rFonts w:ascii="Times New Roman" w:hAnsi="Times New Roman"/>
          <w:b/>
          <w:sz w:val="20"/>
          <w:szCs w:val="20"/>
        </w:rPr>
      </w:pPr>
    </w:p>
    <w:p w:rsidR="00687002" w:rsidRPr="00687002" w:rsidRDefault="00687002" w:rsidP="00687002">
      <w:pPr>
        <w:spacing w:after="0" w:line="240" w:lineRule="auto"/>
        <w:jc w:val="both"/>
        <w:rPr>
          <w:rFonts w:ascii="Times New Roman" w:hAnsi="Times New Roman"/>
          <w:b/>
          <w:sz w:val="20"/>
          <w:szCs w:val="20"/>
        </w:rPr>
      </w:pPr>
      <w:r w:rsidRPr="00687002">
        <w:rPr>
          <w:rFonts w:ascii="Times New Roman" w:hAnsi="Times New Roman"/>
          <w:b/>
          <w:sz w:val="20"/>
          <w:szCs w:val="20"/>
        </w:rPr>
        <w:t>Antibacterial activity</w:t>
      </w:r>
    </w:p>
    <w:p w:rsidR="00687002" w:rsidRPr="00687002" w:rsidRDefault="00687002" w:rsidP="00687002">
      <w:pPr>
        <w:pStyle w:val="Default"/>
        <w:jc w:val="both"/>
        <w:rPr>
          <w:rFonts w:ascii="Times New Roman" w:hAnsi="Times New Roman" w:cs="Times New Roman"/>
          <w:color w:val="auto"/>
          <w:sz w:val="20"/>
          <w:szCs w:val="20"/>
        </w:rPr>
      </w:pPr>
      <w:r w:rsidRPr="00687002">
        <w:rPr>
          <w:rFonts w:ascii="Times New Roman" w:hAnsi="Times New Roman" w:cs="Times New Roman"/>
          <w:color w:val="auto"/>
          <w:sz w:val="20"/>
          <w:szCs w:val="20"/>
        </w:rPr>
        <w:t xml:space="preserve">The antibacterial activity of all extracts was tested quantitatively by evaluating their minimum inhibition concentration (MIC). Two </w:t>
      </w:r>
      <w:r w:rsidRPr="00687002">
        <w:rPr>
          <w:rFonts w:ascii="Times New Roman" w:hAnsi="Times New Roman" w:cs="Times New Roman"/>
          <w:i/>
          <w:iCs/>
          <w:color w:val="auto"/>
          <w:sz w:val="20"/>
          <w:szCs w:val="20"/>
        </w:rPr>
        <w:t xml:space="preserve">Gram </w:t>
      </w:r>
      <w:r w:rsidRPr="00687002">
        <w:rPr>
          <w:rFonts w:ascii="Times New Roman" w:hAnsi="Times New Roman" w:cs="Times New Roman"/>
          <w:color w:val="auto"/>
          <w:sz w:val="20"/>
          <w:szCs w:val="20"/>
        </w:rPr>
        <w:t xml:space="preserve">positive bacterial strains of </w:t>
      </w:r>
      <w:r w:rsidRPr="00687002">
        <w:rPr>
          <w:rFonts w:ascii="Times New Roman" w:hAnsi="Times New Roman" w:cs="Times New Roman"/>
          <w:i/>
          <w:iCs/>
          <w:color w:val="auto"/>
          <w:sz w:val="20"/>
          <w:szCs w:val="20"/>
        </w:rPr>
        <w:t xml:space="preserve">Bacillus subtilis </w:t>
      </w:r>
      <w:r w:rsidRPr="00687002">
        <w:rPr>
          <w:rFonts w:ascii="Times New Roman" w:hAnsi="Times New Roman" w:cs="Times New Roman"/>
          <w:color w:val="auto"/>
          <w:sz w:val="20"/>
          <w:szCs w:val="20"/>
        </w:rPr>
        <w:t xml:space="preserve">(ATCC 6633), </w:t>
      </w:r>
      <w:r w:rsidRPr="00687002">
        <w:rPr>
          <w:rFonts w:ascii="Times New Roman" w:hAnsi="Times New Roman" w:cs="Times New Roman"/>
          <w:i/>
          <w:iCs/>
          <w:color w:val="auto"/>
          <w:sz w:val="20"/>
          <w:szCs w:val="20"/>
        </w:rPr>
        <w:t xml:space="preserve">Staphylococcus aureus </w:t>
      </w:r>
      <w:r w:rsidRPr="00687002">
        <w:rPr>
          <w:rFonts w:ascii="Times New Roman" w:hAnsi="Times New Roman" w:cs="Times New Roman"/>
          <w:color w:val="auto"/>
          <w:sz w:val="20"/>
          <w:szCs w:val="20"/>
        </w:rPr>
        <w:t xml:space="preserve">(ATCC 29737) and two </w:t>
      </w:r>
      <w:r w:rsidRPr="00687002">
        <w:rPr>
          <w:rFonts w:ascii="Times New Roman" w:hAnsi="Times New Roman" w:cs="Times New Roman"/>
          <w:i/>
          <w:iCs/>
          <w:color w:val="auto"/>
          <w:sz w:val="20"/>
          <w:szCs w:val="20"/>
        </w:rPr>
        <w:t xml:space="preserve">Gram </w:t>
      </w:r>
      <w:r w:rsidRPr="00687002">
        <w:rPr>
          <w:rFonts w:ascii="Times New Roman" w:hAnsi="Times New Roman" w:cs="Times New Roman"/>
          <w:color w:val="auto"/>
          <w:sz w:val="20"/>
          <w:szCs w:val="20"/>
        </w:rPr>
        <w:t xml:space="preserve">negative bacterial strains of </w:t>
      </w:r>
      <w:r w:rsidRPr="00687002">
        <w:rPr>
          <w:rFonts w:ascii="Times New Roman" w:hAnsi="Times New Roman" w:cs="Times New Roman"/>
          <w:i/>
          <w:iCs/>
          <w:color w:val="auto"/>
          <w:sz w:val="20"/>
          <w:szCs w:val="20"/>
        </w:rPr>
        <w:t xml:space="preserve">Escheria coli </w:t>
      </w:r>
      <w:r w:rsidRPr="00687002">
        <w:rPr>
          <w:rFonts w:ascii="Times New Roman" w:hAnsi="Times New Roman" w:cs="Times New Roman"/>
          <w:color w:val="auto"/>
          <w:sz w:val="20"/>
          <w:szCs w:val="20"/>
        </w:rPr>
        <w:t xml:space="preserve">(ATCC 10536) and </w:t>
      </w:r>
      <w:r w:rsidRPr="00687002">
        <w:rPr>
          <w:rFonts w:ascii="Times New Roman" w:hAnsi="Times New Roman" w:cs="Times New Roman"/>
          <w:i/>
          <w:iCs/>
          <w:color w:val="auto"/>
          <w:sz w:val="20"/>
          <w:szCs w:val="20"/>
        </w:rPr>
        <w:t xml:space="preserve">Pseudomonas aeruginosa </w:t>
      </w:r>
      <w:r w:rsidRPr="00687002">
        <w:rPr>
          <w:rFonts w:ascii="Times New Roman" w:hAnsi="Times New Roman" w:cs="Times New Roman"/>
          <w:color w:val="auto"/>
          <w:sz w:val="20"/>
          <w:szCs w:val="20"/>
        </w:rPr>
        <w:t xml:space="preserve">(ATCC 9027) were chosen. The MIC was carried out by serial broth microdilution according to our previous reported method </w:t>
      </w:r>
      <w:r w:rsidRPr="00687002">
        <w:rPr>
          <w:rFonts w:ascii="Times New Roman" w:hAnsi="Times New Roman" w:cs="Times New Roman"/>
          <w:color w:val="auto"/>
          <w:sz w:val="20"/>
          <w:szCs w:val="20"/>
        </w:rPr>
        <w:fldChar w:fldCharType="begin" w:fldLock="1"/>
      </w:r>
      <w:r w:rsidRPr="00687002">
        <w:rPr>
          <w:rFonts w:ascii="Times New Roman" w:hAnsi="Times New Roman" w:cs="Times New Roman"/>
          <w:color w:val="auto"/>
          <w:sz w:val="20"/>
          <w:szCs w:val="20"/>
        </w:rPr>
        <w:instrText>ADDIN CSL_CITATION { "citationItems" : [ { "id" : "ITEM-1", "itemData" : { "DOI" : "10.7324/JAPS.2016.600104", "author" : [ { "dropping-particle" : "", "family" : "Aminudin", "given" : "Nurul Iman", "non-dropping-particle" : "", "parse-names" : false, "suffix" : "" }, { "dropping-particle" : "", "family" : "Ahmad", "given" : "Farediah", "non-dropping-particle" : "", "parse-names" : false, "suffix" : "" }, { "dropping-particle" : "", "family" : "Taher", "given" : "Muhammad", "non-dropping-particle" : "", "parse-names" : false, "suffix" : "" }, { "dropping-particle" : "", "family" : "Zulkifli", "given" : "Razauden Mohamed", "non-dropping-particle" : "", "parse-names" : false, "suffix" : "" } ], "container-title" : "Journal of Applied Pharmaceutical Science", "id" : "ITEM-1", "issue" : "1", "issued" : { "date-parts" : [ [ "2016" ] ] }, "page" : "23-27", "title" : "Cytotoxic and Antibacterial Evaluation of Coumarins and Chromanone Acid from Calophyllum symingtonianum", "type" : "article-journal", "volume" : "6" }, "uris" : [ "http://www.mendeley.com/documents/?uuid=36d9c028-f616-4846-a415-a0d2a75cd479" ] } ], "mendeley" : { "formattedCitation" : "[7]", "plainTextFormattedCitation" : "[7]", "previouslyFormattedCitation" : "(Aminudin et al., 2016a)" }, "properties" : {  }, "schema" : "https://github.com/citation-style-language/schema/raw/master/csl-citation.json" }</w:instrText>
      </w:r>
      <w:r w:rsidRPr="00687002">
        <w:rPr>
          <w:rFonts w:ascii="Times New Roman" w:hAnsi="Times New Roman" w:cs="Times New Roman"/>
          <w:color w:val="auto"/>
          <w:sz w:val="20"/>
          <w:szCs w:val="20"/>
        </w:rPr>
        <w:fldChar w:fldCharType="separate"/>
      </w:r>
      <w:r w:rsidRPr="00687002">
        <w:rPr>
          <w:rFonts w:ascii="Times New Roman" w:hAnsi="Times New Roman" w:cs="Times New Roman"/>
          <w:noProof/>
          <w:color w:val="auto"/>
          <w:sz w:val="20"/>
          <w:szCs w:val="20"/>
        </w:rPr>
        <w:t>[7]</w:t>
      </w:r>
      <w:r w:rsidRPr="00687002">
        <w:rPr>
          <w:rFonts w:ascii="Times New Roman" w:hAnsi="Times New Roman" w:cs="Times New Roman"/>
          <w:color w:val="auto"/>
          <w:sz w:val="20"/>
          <w:szCs w:val="20"/>
        </w:rPr>
        <w:fldChar w:fldCharType="end"/>
      </w:r>
      <w:r w:rsidRPr="00687002">
        <w:rPr>
          <w:rFonts w:ascii="Times New Roman" w:hAnsi="Times New Roman" w:cs="Times New Roman"/>
          <w:color w:val="auto"/>
          <w:sz w:val="20"/>
          <w:szCs w:val="20"/>
        </w:rPr>
        <w:t xml:space="preserve">. The sample stock solution (1000 μg/mL) was prepared in 5% DMSO in nutrient broth (NB) supplemented with 0.02% (v/v) Tween 80. Further twofold dilution with NB was performed to afford concentration of samples from 1000-7.81 μg/mL. 50 μL of bacteria inocula was dispensed in the 96-well microplate followed by 50 μL of sample solution. Streptomycin sulphate was employed as positive control in this assay. The microplates were pre-incubated for 24 hours at 37 ºC for </w:t>
      </w:r>
      <w:r w:rsidRPr="00687002">
        <w:rPr>
          <w:rFonts w:ascii="Times New Roman" w:hAnsi="Times New Roman" w:cs="Times New Roman"/>
          <w:i/>
          <w:iCs/>
          <w:color w:val="auto"/>
          <w:sz w:val="20"/>
          <w:szCs w:val="20"/>
        </w:rPr>
        <w:t xml:space="preserve">S. aureus, E. coli </w:t>
      </w:r>
      <w:r w:rsidRPr="00687002">
        <w:rPr>
          <w:rFonts w:ascii="Times New Roman" w:hAnsi="Times New Roman" w:cs="Times New Roman"/>
          <w:color w:val="auto"/>
          <w:sz w:val="20"/>
          <w:szCs w:val="20"/>
        </w:rPr>
        <w:t xml:space="preserve">and </w:t>
      </w:r>
      <w:r w:rsidRPr="00687002">
        <w:rPr>
          <w:rFonts w:ascii="Times New Roman" w:hAnsi="Times New Roman" w:cs="Times New Roman"/>
          <w:i/>
          <w:iCs/>
          <w:color w:val="auto"/>
          <w:sz w:val="20"/>
          <w:szCs w:val="20"/>
        </w:rPr>
        <w:t xml:space="preserve">P. aeruginosa </w:t>
      </w:r>
      <w:r w:rsidRPr="00687002">
        <w:rPr>
          <w:rFonts w:ascii="Times New Roman" w:hAnsi="Times New Roman" w:cs="Times New Roman"/>
          <w:color w:val="auto"/>
          <w:sz w:val="20"/>
          <w:szCs w:val="20"/>
        </w:rPr>
        <w:t xml:space="preserve">and 30 ºC </w:t>
      </w:r>
      <w:r w:rsidRPr="00687002">
        <w:rPr>
          <w:rFonts w:ascii="Times New Roman" w:hAnsi="Times New Roman" w:cs="Times New Roman"/>
          <w:i/>
          <w:iCs/>
          <w:color w:val="auto"/>
          <w:sz w:val="20"/>
          <w:szCs w:val="20"/>
        </w:rPr>
        <w:t>for B. subtilis</w:t>
      </w:r>
      <w:r w:rsidRPr="00687002">
        <w:rPr>
          <w:rFonts w:ascii="Times New Roman" w:hAnsi="Times New Roman" w:cs="Times New Roman"/>
          <w:color w:val="auto"/>
          <w:sz w:val="20"/>
          <w:szCs w:val="20"/>
        </w:rPr>
        <w:t xml:space="preserve">. 25 μL of </w:t>
      </w:r>
      <w:r w:rsidRPr="00687002">
        <w:rPr>
          <w:rFonts w:ascii="Times New Roman" w:hAnsi="Times New Roman" w:cs="Times New Roman"/>
          <w:i/>
          <w:iCs/>
          <w:color w:val="auto"/>
          <w:sz w:val="20"/>
          <w:szCs w:val="20"/>
        </w:rPr>
        <w:t>p</w:t>
      </w:r>
      <w:r w:rsidRPr="00687002">
        <w:rPr>
          <w:rFonts w:ascii="Times New Roman" w:hAnsi="Times New Roman" w:cs="Times New Roman"/>
          <w:color w:val="auto"/>
          <w:sz w:val="20"/>
          <w:szCs w:val="20"/>
        </w:rPr>
        <w:t>-iodonitrotetrazolium (INT) (0.2 mg/mL in sterile distilled water) solution was added to all wells and were pre-incubated for at least 30 minutes. Bacterial growth in the wells was indicated by the formation of reddish-pink color while clear well indicates inhibition of bacterial growth by the sample.</w:t>
      </w:r>
    </w:p>
    <w:p w:rsidR="00687002" w:rsidRPr="00687002" w:rsidRDefault="00687002" w:rsidP="00687002">
      <w:pPr>
        <w:spacing w:after="0" w:line="240" w:lineRule="auto"/>
        <w:jc w:val="both"/>
        <w:rPr>
          <w:rFonts w:ascii="Times New Roman" w:hAnsi="Times New Roman"/>
          <w:b/>
          <w:sz w:val="20"/>
          <w:szCs w:val="20"/>
        </w:rPr>
      </w:pPr>
    </w:p>
    <w:p w:rsidR="00687002" w:rsidRPr="00687002" w:rsidRDefault="00687002" w:rsidP="00687002">
      <w:pPr>
        <w:spacing w:after="0" w:line="240" w:lineRule="auto"/>
        <w:jc w:val="both"/>
        <w:rPr>
          <w:rFonts w:ascii="Times New Roman" w:hAnsi="Times New Roman"/>
          <w:b/>
          <w:sz w:val="20"/>
          <w:szCs w:val="20"/>
        </w:rPr>
      </w:pPr>
      <w:r w:rsidRPr="00687002">
        <w:rPr>
          <w:rFonts w:ascii="Times New Roman" w:hAnsi="Times New Roman"/>
          <w:b/>
          <w:sz w:val="20"/>
          <w:szCs w:val="20"/>
        </w:rPr>
        <w:t>Antioxidant activity: Total phenolic content</w:t>
      </w:r>
    </w:p>
    <w:p w:rsidR="00687002" w:rsidRPr="00687002" w:rsidRDefault="00687002" w:rsidP="00687002">
      <w:pPr>
        <w:autoSpaceDE w:val="0"/>
        <w:autoSpaceDN w:val="0"/>
        <w:adjustRightInd w:val="0"/>
        <w:spacing w:after="0" w:line="240" w:lineRule="auto"/>
        <w:jc w:val="both"/>
        <w:rPr>
          <w:rFonts w:ascii="Times New Roman" w:hAnsi="Times New Roman"/>
          <w:sz w:val="20"/>
          <w:szCs w:val="20"/>
        </w:rPr>
      </w:pPr>
      <w:r w:rsidRPr="00687002">
        <w:rPr>
          <w:rFonts w:ascii="Times New Roman" w:hAnsi="Times New Roman"/>
          <w:sz w:val="20"/>
          <w:szCs w:val="20"/>
        </w:rPr>
        <w:t xml:space="preserve">The total phenolic content (TPC) of the extracts were determined by Folin-Ciocalteau’s assay </w:t>
      </w:r>
      <w:r w:rsidRPr="00687002">
        <w:rPr>
          <w:rFonts w:ascii="Times New Roman" w:hAnsi="Times New Roman"/>
          <w:sz w:val="20"/>
          <w:szCs w:val="20"/>
        </w:rPr>
        <w:fldChar w:fldCharType="begin" w:fldLock="1"/>
      </w:r>
      <w:r w:rsidRPr="00687002">
        <w:rPr>
          <w:rFonts w:ascii="Times New Roman" w:hAnsi="Times New Roman"/>
          <w:sz w:val="20"/>
          <w:szCs w:val="20"/>
        </w:rPr>
        <w:instrText>ADDIN CSL_CITATION { "citationItems" : [ { "id" : "ITEM-1", "itemData" : { "DOI" : "10.1016/j.foodchem.2013.01.108", "ISSN" : "0308-8146", "PMID" : "23561082", "abstract" : "The ethyl acetate and methanol bark extracts of Melicope glabra were evaluated for their antioxidant capacities by 1,1-diphenyl-2-picrylhydrazyl (DPPH) free radical scavenging activity and \u03b2-carotene bleaching/linoleic acid system. Both extracts exhibited strong inhibition against the DPPH radical (IC50 values of 24.81 and 13.01 \u03bcg ml(-1), respectively) and strong antioxidant activity in \u03b2-carotene bleaching assay. Both samples were found to have high phenolic content with values of 39 and 44 mg GAE/g as indicated by Follin-Ciocalteau's reagent. Antioxidant TLC assay-guided isolation on the methanol extract led to the isolation of a new pyranocoumarin, glabranin (1), umbelliferone (2), scopoletin (3) and sesamin (4), and their structures were determined by spectroscopy. Compounds (1-3) showed significant activities on DPPH free radical with the IC50 of 240.20, 810.02 and 413.19 \u03bcg ml(-1), respectively. However, in \u03b2-carotene bleaching assay, sesamin (4) showed higher inhibitory activity (1 mg ml(-1), 95%) than glabranin (1) (1 mg ml(-1), 74%), whilst umbelliferone (2) and scopoletin (3) were slightly pro-oxidant.", "author" : [ { "dropping-particle" : "", "family" : "Kassim", "given" : "Nur Kartinee", "non-dropping-particle" : "", "parse-names" : false, "suffix" : "" }, { "dropping-particle" : "", "family" : "Rahmani", "given" : "Mawardi", "non-dropping-particle" : "", "parse-names" : false, "suffix" : "" }, { "dropping-particle" : "", "family" : "Ismail", "given" : "Amin", "non-dropping-particle" : "", "parse-names" : false, "suffix" : "" }, { "dropping-particle" : "", "family" : "Sukari", "given" : "Mohd Aspollah", "non-dropping-particle" : "", "parse-names" : false, "suffix" : "" }, { "dropping-particle" : "", "family" : "Ee", "given" : "Gwendoline Cheng Lian", "non-dropping-particle" : "", "parse-names" : false, "suffix" : "" }, { "dropping-particle" : "", "family" : "Nasir", "given" : "Nadiah Md", "non-dropping-particle" : "", "parse-names" : false, "suffix" : "" }, { "dropping-particle" : "", "family" : "Awang", "given" : "Khalijah", "non-dropping-particle" : "", "parse-names" : false, "suffix" : "" } ], "container-title" : "Food chemistry", "id" : "ITEM-1", "issue" : "1-4", "issued" : { "date-parts" : [ [ "2013", "8", "15" ] ] }, "page" : "87-92", "publisher" : "Elsevier Ltd", "title" : "Antioxidant activity-guided separation of coumarins and lignan from Melicope glabra (Rutaceae).", "type" : "article-journal", "volume" : "139" }, "uris" : [ "http://www.mendeley.com/documents/?uuid=3cdd0f4a-17fa-4300-bc67-1f33a0abb0e9" ] } ], "mendeley" : { "formattedCitation" : "[10]", "plainTextFormattedCitation" : "[10]", "previouslyFormattedCitation" : "(Kassim et al., 2013)" }, "properties" : {  }, "schema" : "https://github.com/citation-style-language/schema/raw/master/csl-citation.json" }</w:instrText>
      </w:r>
      <w:r w:rsidRPr="00687002">
        <w:rPr>
          <w:rFonts w:ascii="Times New Roman" w:hAnsi="Times New Roman"/>
          <w:sz w:val="20"/>
          <w:szCs w:val="20"/>
        </w:rPr>
        <w:fldChar w:fldCharType="separate"/>
      </w:r>
      <w:r w:rsidRPr="00687002">
        <w:rPr>
          <w:rFonts w:ascii="Times New Roman" w:hAnsi="Times New Roman"/>
          <w:noProof/>
          <w:sz w:val="20"/>
          <w:szCs w:val="20"/>
        </w:rPr>
        <w:t>[10]</w:t>
      </w:r>
      <w:r w:rsidRPr="00687002">
        <w:rPr>
          <w:rFonts w:ascii="Times New Roman" w:hAnsi="Times New Roman"/>
          <w:sz w:val="20"/>
          <w:szCs w:val="20"/>
        </w:rPr>
        <w:fldChar w:fldCharType="end"/>
      </w:r>
      <w:r w:rsidRPr="00687002">
        <w:rPr>
          <w:rFonts w:ascii="Times New Roman" w:hAnsi="Times New Roman"/>
          <w:sz w:val="20"/>
          <w:szCs w:val="20"/>
        </w:rPr>
        <w:t>. In brief, sample solution in MeOH (40 μL) with concentrations from 1000-7.81 μg/mL obtained from twofold dilution were mixed with Folin-Ciocalteau’s reagent (20 μL) in the 96-well microplate and were incubated for 5 minutes at room temperature in a dark condition. Sodium carbonate (80 μL) was added to all wells followed by distilled water (60 μL). The mixture was kept in the dark for 90 minutes and the absorbances were recorded at 760 nm. A calibration graph of standard gallic acid  at concentration 125-7.81 μg/mL versus absorbance was constructed. The total phenolic contents were expressed as mg gallic acid equivalent (GAE)/g of extract.</w:t>
      </w:r>
    </w:p>
    <w:p w:rsidR="00687002" w:rsidRPr="00687002" w:rsidRDefault="00687002" w:rsidP="00687002">
      <w:pPr>
        <w:spacing w:after="0" w:line="240" w:lineRule="auto"/>
        <w:jc w:val="both"/>
        <w:rPr>
          <w:rFonts w:ascii="Times New Roman" w:hAnsi="Times New Roman"/>
          <w:b/>
          <w:sz w:val="20"/>
          <w:szCs w:val="20"/>
        </w:rPr>
      </w:pPr>
    </w:p>
    <w:p w:rsidR="00687002" w:rsidRPr="00687002" w:rsidRDefault="00687002" w:rsidP="00687002">
      <w:pPr>
        <w:spacing w:after="0" w:line="240" w:lineRule="auto"/>
        <w:jc w:val="both"/>
        <w:rPr>
          <w:rFonts w:ascii="Times New Roman" w:hAnsi="Times New Roman"/>
          <w:b/>
          <w:sz w:val="20"/>
          <w:szCs w:val="20"/>
        </w:rPr>
      </w:pPr>
      <w:r w:rsidRPr="00687002">
        <w:rPr>
          <w:rFonts w:ascii="Times New Roman" w:hAnsi="Times New Roman"/>
          <w:b/>
          <w:sz w:val="20"/>
          <w:szCs w:val="20"/>
        </w:rPr>
        <w:t>DPPH radical scavenging assay</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2,2-Diphenyl-1-picrylhydrazyl (DPPH) radical scavenging assay of the extracts was carried out following the method by Kassim et al</w:t>
      </w:r>
      <w:r w:rsidRPr="00687002">
        <w:rPr>
          <w:rFonts w:ascii="Times New Roman" w:hAnsi="Times New Roman"/>
          <w:i/>
          <w:sz w:val="20"/>
          <w:szCs w:val="20"/>
        </w:rPr>
        <w:t xml:space="preserve">. </w:t>
      </w:r>
      <w:r w:rsidRPr="00687002">
        <w:rPr>
          <w:rFonts w:ascii="Times New Roman" w:hAnsi="Times New Roman"/>
          <w:i/>
          <w:sz w:val="20"/>
          <w:szCs w:val="20"/>
        </w:rPr>
        <w:fldChar w:fldCharType="begin" w:fldLock="1"/>
      </w:r>
      <w:r w:rsidRPr="00687002">
        <w:rPr>
          <w:rFonts w:ascii="Times New Roman" w:hAnsi="Times New Roman"/>
          <w:i/>
          <w:sz w:val="20"/>
          <w:szCs w:val="20"/>
        </w:rPr>
        <w:instrText>ADDIN CSL_CITATION { "citationItems" : [ { "id" : "ITEM-1", "itemData" : { "DOI" : "10.1016/j.foodchem.2013.01.108", "ISSN" : "0308-8146", "PMID" : "23561082", "abstract" : "The ethyl acetate and methanol bark extracts of Melicope glabra were evaluated for their antioxidant capacities by 1,1-diphenyl-2-picrylhydrazyl (DPPH) free radical scavenging activity and \u03b2-carotene bleaching/linoleic acid system. Both extracts exhibited strong inhibition against the DPPH radical (IC50 values of 24.81 and 13.01 \u03bcg ml(-1), respectively) and strong antioxidant activity in \u03b2-carotene bleaching assay. Both samples were found to have high phenolic content with values of 39 and 44 mg GAE/g as indicated by Follin-Ciocalteau's reagent. Antioxidant TLC assay-guided isolation on the methanol extract led to the isolation of a new pyranocoumarin, glabranin (1), umbelliferone (2), scopoletin (3) and sesamin (4), and their structures were determined by spectroscopy. Compounds (1-3) showed significant activities on DPPH free radical with the IC50 of 240.20, 810.02 and 413.19 \u03bcg ml(-1), respectively. However, in \u03b2-carotene bleaching assay, sesamin (4) showed higher inhibitory activity (1 mg ml(-1), 95%) than glabranin (1) (1 mg ml(-1), 74%), whilst umbelliferone (2) and scopoletin (3) were slightly pro-oxidant.", "author" : [ { "dropping-particle" : "", "family" : "Kassim", "given" : "Nur Kartinee", "non-dropping-particle" : "", "parse-names" : false, "suffix" : "" }, { "dropping-particle" : "", "family" : "Rahmani", "given" : "Mawardi", "non-dropping-particle" : "", "parse-names" : false, "suffix" : "" }, { "dropping-particle" : "", "family" : "Ismail", "given" : "Amin", "non-dropping-particle" : "", "parse-names" : false, "suffix" : "" }, { "dropping-particle" : "", "family" : "Sukari", "given" : "Mohd Aspollah", "non-dropping-particle" : "", "parse-names" : false, "suffix" : "" }, { "dropping-particle" : "", "family" : "Ee", "given" : "Gwendoline Cheng Lian", "non-dropping-particle" : "", "parse-names" : false, "suffix" : "" }, { "dropping-particle" : "", "family" : "Nasir", "given" : "Nadiah Md", "non-dropping-particle" : "", "parse-names" : false, "suffix" : "" }, { "dropping-particle" : "", "family" : "Awang", "given" : "Khalijah", "non-dropping-particle" : "", "parse-names" : false, "suffix" : "" } ], "container-title" : "Food chemistry", "id" : "ITEM-1", "issue" : "1-4", "issued" : { "date-parts" : [ [ "2013", "8", "15" ] ] }, "page" : "87-92", "publisher" : "Elsevier Ltd", "title" : "Antioxidant activity-guided separation of coumarins and lignan from Melicope glabra (Rutaceae).", "type" : "article-journal", "volume" : "139" }, "uris" : [ "http://www.mendeley.com/documents/?uuid=3cdd0f4a-17fa-4300-bc67-1f33a0abb0e9" ] } ], "mendeley" : { "formattedCitation" : "[10]", "plainTextFormattedCitation" : "[10]", "previouslyFormattedCitation" : "(Kassim et al., 2013)" }, "properties" : {  }, "schema" : "https://github.com/citation-style-language/schema/raw/master/csl-citation.json" }</w:instrText>
      </w:r>
      <w:r w:rsidRPr="00687002">
        <w:rPr>
          <w:rFonts w:ascii="Times New Roman" w:hAnsi="Times New Roman"/>
          <w:i/>
          <w:sz w:val="20"/>
          <w:szCs w:val="20"/>
        </w:rPr>
        <w:fldChar w:fldCharType="separate"/>
      </w:r>
      <w:r w:rsidRPr="00687002">
        <w:rPr>
          <w:rFonts w:ascii="Times New Roman" w:hAnsi="Times New Roman"/>
          <w:noProof/>
          <w:sz w:val="20"/>
          <w:szCs w:val="20"/>
        </w:rPr>
        <w:t>[10]</w:t>
      </w:r>
      <w:r w:rsidRPr="00687002">
        <w:rPr>
          <w:rFonts w:ascii="Times New Roman" w:hAnsi="Times New Roman"/>
          <w:i/>
          <w:sz w:val="20"/>
          <w:szCs w:val="20"/>
        </w:rPr>
        <w:fldChar w:fldCharType="end"/>
      </w:r>
      <w:r w:rsidRPr="00687002">
        <w:rPr>
          <w:rFonts w:ascii="Times New Roman" w:hAnsi="Times New Roman"/>
          <w:i/>
          <w:sz w:val="20"/>
          <w:szCs w:val="20"/>
        </w:rPr>
        <w:t>.</w:t>
      </w:r>
      <w:r w:rsidRPr="00687002">
        <w:rPr>
          <w:rFonts w:ascii="Times New Roman" w:hAnsi="Times New Roman"/>
          <w:sz w:val="20"/>
          <w:szCs w:val="20"/>
        </w:rPr>
        <w:t xml:space="preserve"> In brief, DPPH reagent (30 µL) with final concentration of 300 µM was added to the samples (170 µL) with concentration ranging from 1000-7.81 µg/mL in MeOH obtained from twofold dilution. The reaction mixture was allowed to incubate in dark condition at room temperature for 30 minutes. The DPPH</w:t>
      </w:r>
      <w:r w:rsidRPr="00687002">
        <w:rPr>
          <w:rFonts w:ascii="Times New Roman" w:hAnsi="Times New Roman"/>
          <w:sz w:val="20"/>
          <w:szCs w:val="20"/>
          <w:vertAlign w:val="subscript"/>
        </w:rPr>
        <w:t>blank</w:t>
      </w:r>
      <w:r w:rsidRPr="00687002">
        <w:rPr>
          <w:rFonts w:ascii="Times New Roman" w:hAnsi="Times New Roman"/>
          <w:sz w:val="20"/>
          <w:szCs w:val="20"/>
        </w:rPr>
        <w:t xml:space="preserve"> wells consisting of DPPH reagent and MeOH were reserved for each microplate. The absorbance for DPPH radical inhibition was measured at 517 nm. The radical scavenging effect was examined and compared with ascorbic acid (AA) and butylated hydroxytoluene (BHT) as the references. The percentage of DPPH radical scavenging inhibition was calculated by using the following formula;</w:t>
      </w:r>
    </w:p>
    <w:p w:rsidR="00687002" w:rsidRPr="00687002" w:rsidRDefault="00687002" w:rsidP="00687002">
      <w:pPr>
        <w:spacing w:after="0" w:line="240" w:lineRule="auto"/>
        <w:jc w:val="both"/>
        <w:rPr>
          <w:rFonts w:ascii="Times New Roman" w:hAnsi="Times New Roman"/>
          <w:sz w:val="20"/>
          <w:szCs w:val="20"/>
        </w:rPr>
      </w:pPr>
    </w:p>
    <w:p w:rsidR="00687002" w:rsidRPr="00687002" w:rsidRDefault="00687002" w:rsidP="00687002">
      <w:pPr>
        <w:spacing w:after="0" w:line="240" w:lineRule="auto"/>
        <w:ind w:firstLine="720"/>
        <w:jc w:val="both"/>
        <w:rPr>
          <w:rFonts w:ascii="Times New Roman" w:eastAsiaTheme="minorEastAsia" w:hAnsi="Times New Roman"/>
          <w:sz w:val="20"/>
          <w:szCs w:val="20"/>
          <w:vertAlign w:val="subscript"/>
        </w:rPr>
      </w:pPr>
      <w:r w:rsidRPr="00687002">
        <w:rPr>
          <w:rFonts w:ascii="Times New Roman" w:hAnsi="Times New Roman"/>
          <w:sz w:val="20"/>
          <w:szCs w:val="20"/>
        </w:rPr>
        <w:t>Scavenging Concentration (%SC) = [(A</w:t>
      </w:r>
      <w:r w:rsidRPr="00687002">
        <w:rPr>
          <w:rFonts w:ascii="Times New Roman" w:hAnsi="Times New Roman"/>
          <w:sz w:val="20"/>
          <w:szCs w:val="20"/>
          <w:vertAlign w:val="subscript"/>
        </w:rPr>
        <w:t xml:space="preserve">DPPH blank </w:t>
      </w:r>
      <w:r w:rsidRPr="00687002">
        <w:rPr>
          <w:rFonts w:ascii="Times New Roman" w:hAnsi="Times New Roman"/>
          <w:sz w:val="20"/>
          <w:szCs w:val="20"/>
        </w:rPr>
        <w:t>˗ (A</w:t>
      </w:r>
      <w:r w:rsidRPr="00687002">
        <w:rPr>
          <w:rFonts w:ascii="Times New Roman" w:hAnsi="Times New Roman"/>
          <w:sz w:val="20"/>
          <w:szCs w:val="20"/>
          <w:vertAlign w:val="subscript"/>
        </w:rPr>
        <w:t xml:space="preserve">Sample </w:t>
      </w:r>
      <w:r w:rsidRPr="00687002">
        <w:rPr>
          <w:rFonts w:ascii="Times New Roman" w:hAnsi="Times New Roman"/>
          <w:sz w:val="20"/>
          <w:szCs w:val="20"/>
        </w:rPr>
        <w:t>- A</w:t>
      </w:r>
      <w:r w:rsidRPr="00687002">
        <w:rPr>
          <w:rFonts w:ascii="Times New Roman" w:hAnsi="Times New Roman"/>
          <w:sz w:val="20"/>
          <w:szCs w:val="20"/>
          <w:vertAlign w:val="subscript"/>
        </w:rPr>
        <w:t>blank sample</w:t>
      </w:r>
      <w:r w:rsidRPr="00687002">
        <w:rPr>
          <w:rFonts w:ascii="Times New Roman" w:hAnsi="Times New Roman"/>
          <w:sz w:val="20"/>
          <w:szCs w:val="20"/>
        </w:rPr>
        <w:t>)] / A</w:t>
      </w:r>
      <w:r w:rsidRPr="00687002">
        <w:rPr>
          <w:rFonts w:ascii="Times New Roman" w:hAnsi="Times New Roman"/>
          <w:sz w:val="20"/>
          <w:szCs w:val="20"/>
          <w:vertAlign w:val="subscript"/>
        </w:rPr>
        <w:t>DPPH blank</w:t>
      </w:r>
      <w:r w:rsidRPr="00687002">
        <w:rPr>
          <w:rFonts w:ascii="Times New Roman" w:hAnsi="Times New Roman"/>
          <w:sz w:val="20"/>
          <w:szCs w:val="20"/>
        </w:rPr>
        <w:t xml:space="preserve"> x 100%              </w:t>
      </w:r>
      <w:r>
        <w:rPr>
          <w:rFonts w:ascii="Times New Roman" w:hAnsi="Times New Roman"/>
          <w:sz w:val="20"/>
          <w:szCs w:val="20"/>
        </w:rPr>
        <w:t xml:space="preserve">      </w:t>
      </w:r>
      <w:r w:rsidRPr="00687002">
        <w:rPr>
          <w:rFonts w:ascii="Times New Roman" w:hAnsi="Times New Roman"/>
          <w:sz w:val="20"/>
          <w:szCs w:val="20"/>
        </w:rPr>
        <w:t>(1)</w:t>
      </w:r>
    </w:p>
    <w:p w:rsidR="00687002" w:rsidRPr="00687002" w:rsidRDefault="00687002" w:rsidP="00687002">
      <w:pPr>
        <w:spacing w:after="0" w:line="240" w:lineRule="auto"/>
        <w:jc w:val="both"/>
        <w:rPr>
          <w:rFonts w:ascii="Times New Roman" w:hAnsi="Times New Roman"/>
          <w:sz w:val="20"/>
          <w:szCs w:val="20"/>
        </w:rPr>
      </w:pP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where A</w:t>
      </w:r>
      <w:r w:rsidRPr="00687002">
        <w:rPr>
          <w:rFonts w:ascii="Times New Roman" w:hAnsi="Times New Roman"/>
          <w:sz w:val="20"/>
          <w:szCs w:val="20"/>
          <w:vertAlign w:val="subscript"/>
        </w:rPr>
        <w:t>DPPH blank</w:t>
      </w:r>
      <w:r w:rsidRPr="00687002">
        <w:rPr>
          <w:rFonts w:ascii="Times New Roman" w:hAnsi="Times New Roman"/>
          <w:sz w:val="20"/>
          <w:szCs w:val="20"/>
        </w:rPr>
        <w:t xml:space="preserve"> is the absorbance of DPPH reagent with MeOH, A</w:t>
      </w:r>
      <w:r w:rsidRPr="00687002">
        <w:rPr>
          <w:rFonts w:ascii="Times New Roman" w:hAnsi="Times New Roman"/>
          <w:sz w:val="20"/>
          <w:szCs w:val="20"/>
          <w:vertAlign w:val="subscript"/>
        </w:rPr>
        <w:t>sample</w:t>
      </w:r>
      <w:r w:rsidRPr="00687002">
        <w:rPr>
          <w:rFonts w:ascii="Times New Roman" w:hAnsi="Times New Roman"/>
          <w:sz w:val="20"/>
          <w:szCs w:val="20"/>
        </w:rPr>
        <w:t xml:space="preserve"> is the absorbance of sample solution with DPPH reagent and A</w:t>
      </w:r>
      <w:r w:rsidRPr="00687002">
        <w:rPr>
          <w:rFonts w:ascii="Times New Roman" w:hAnsi="Times New Roman"/>
          <w:sz w:val="20"/>
          <w:szCs w:val="20"/>
          <w:vertAlign w:val="subscript"/>
        </w:rPr>
        <w:t>blank sample</w:t>
      </w:r>
      <w:r w:rsidRPr="00687002">
        <w:rPr>
          <w:rFonts w:ascii="Times New Roman" w:hAnsi="Times New Roman"/>
          <w:sz w:val="20"/>
          <w:szCs w:val="20"/>
        </w:rPr>
        <w:t xml:space="preserve"> is the absorbance of sample solution.</w:t>
      </w:r>
    </w:p>
    <w:p w:rsidR="00687002" w:rsidRPr="00687002" w:rsidRDefault="00687002" w:rsidP="00687002">
      <w:pPr>
        <w:spacing w:after="0" w:line="240" w:lineRule="auto"/>
        <w:jc w:val="both"/>
        <w:rPr>
          <w:rFonts w:ascii="Times New Roman" w:hAnsi="Times New Roman"/>
          <w:b/>
          <w:sz w:val="20"/>
          <w:szCs w:val="20"/>
        </w:rPr>
      </w:pPr>
    </w:p>
    <w:p w:rsidR="00687002" w:rsidRPr="00687002" w:rsidRDefault="00687002" w:rsidP="00687002">
      <w:pPr>
        <w:spacing w:after="0" w:line="240" w:lineRule="auto"/>
        <w:jc w:val="both"/>
        <w:rPr>
          <w:rFonts w:ascii="Times New Roman" w:hAnsi="Times New Roman"/>
          <w:b/>
          <w:sz w:val="20"/>
          <w:szCs w:val="20"/>
        </w:rPr>
      </w:pPr>
      <w:r w:rsidRPr="00687002">
        <w:rPr>
          <w:rFonts w:ascii="Times New Roman" w:hAnsi="Times New Roman"/>
          <w:b/>
          <w:sz w:val="20"/>
          <w:szCs w:val="20"/>
        </w:rPr>
        <w:t>Ferric reducing antioxidant potential (FRAP) assay</w:t>
      </w:r>
    </w:p>
    <w:p w:rsidR="00687002" w:rsidRPr="00687002" w:rsidRDefault="00687002" w:rsidP="00687002">
      <w:pPr>
        <w:pStyle w:val="Default"/>
        <w:jc w:val="both"/>
        <w:rPr>
          <w:rFonts w:ascii="Times New Roman" w:hAnsi="Times New Roman" w:cs="Times New Roman"/>
          <w:color w:val="auto"/>
          <w:sz w:val="20"/>
          <w:szCs w:val="20"/>
        </w:rPr>
      </w:pPr>
      <w:r w:rsidRPr="00687002">
        <w:rPr>
          <w:rFonts w:ascii="Times New Roman" w:hAnsi="Times New Roman" w:cs="Times New Roman"/>
          <w:color w:val="auto"/>
          <w:sz w:val="20"/>
          <w:szCs w:val="20"/>
        </w:rPr>
        <w:t xml:space="preserve">Experiment was carried out following the method by Arriffin </w:t>
      </w:r>
      <w:r w:rsidRPr="00687002">
        <w:rPr>
          <w:rFonts w:ascii="Times New Roman" w:hAnsi="Times New Roman" w:cs="Times New Roman"/>
          <w:iCs/>
          <w:color w:val="auto"/>
          <w:sz w:val="20"/>
          <w:szCs w:val="20"/>
        </w:rPr>
        <w:t>et al</w:t>
      </w:r>
      <w:r w:rsidRPr="00687002">
        <w:rPr>
          <w:rFonts w:ascii="Times New Roman" w:hAnsi="Times New Roman" w:cs="Times New Roman"/>
          <w:color w:val="auto"/>
          <w:sz w:val="20"/>
          <w:szCs w:val="20"/>
        </w:rPr>
        <w:t xml:space="preserve">. </w:t>
      </w:r>
      <w:r w:rsidRPr="00687002">
        <w:rPr>
          <w:rFonts w:ascii="Times New Roman" w:hAnsi="Times New Roman" w:cs="Times New Roman"/>
          <w:color w:val="auto"/>
          <w:sz w:val="20"/>
          <w:szCs w:val="20"/>
        </w:rPr>
        <w:fldChar w:fldCharType="begin" w:fldLock="1"/>
      </w:r>
      <w:r w:rsidRPr="00687002">
        <w:rPr>
          <w:rFonts w:ascii="Times New Roman" w:hAnsi="Times New Roman" w:cs="Times New Roman"/>
          <w:color w:val="auto"/>
          <w:sz w:val="20"/>
          <w:szCs w:val="20"/>
        </w:rPr>
        <w:instrText>ADDIN CSL_CITATION { "citationItems" : [ { "id" : "ITEM-1", "itemData" : { "author" : [ { "dropping-particle" : "", "family" : "Arriffin", "given" : "Norzafneza Mohd", "non-dropping-particle" : "", "parse-names" : false, "suffix" : "" }, { "dropping-particle" : "", "family" : "Jamil", "given" : "Shajarahtunnur", "non-dropping-particle" : "", "parse-names" : false, "suffix" : "" }, { "dropping-particle" : "", "family" : "Basar", "given" : "Norazah", "non-dropping-particle" : "", "parse-names" : false, "suffix" : "" }, { "dropping-particle" : "", "family" : "Khamis", "given" : "Shamsul", "non-dropping-particle" : "", "parse-names" : false, "suffix" : "" }, { "dropping-particle" : "", "family" : "Abdullah", "given" : "Siti Awanis", "non-dropping-particle" : "", "parse-names" : false, "suffix" : "" }, { "dropping-particle" : "", "family" : "Mariam", "given" : "Siti", "non-dropping-particle" : "", "parse-names" : false, "suffix" : "" }, { "dropping-particle" : "", "family" : "Lathiff", "given" : "Abdul", "non-dropping-particle" : "", "parse-names" : false, "suffix" : "" } ], "id" : "ITEM-1", "issue" : "December 2013", "issued" : { "date-parts" : [ [ "2017" ] ] }, "page" : "299-303", "title" : "Phytochemical Studies and Antioxidant Activities of Artocarpus scortechinii King", "type" : "article-journal", "volume" : "3" }, "uris" : [ "http://www.mendeley.com/documents/?uuid=b6052e47-e3eb-4e78-ad6f-a8a6eadb1d99" ] } ], "mendeley" : { "formattedCitation" : "[11]", "plainTextFormattedCitation" : "[11]", "previouslyFormattedCitation" : "(Arriffin et al., 2017)" }, "properties" : {  }, "schema" : "https://github.com/citation-style-language/schema/raw/master/csl-citation.json" }</w:instrText>
      </w:r>
      <w:r w:rsidRPr="00687002">
        <w:rPr>
          <w:rFonts w:ascii="Times New Roman" w:hAnsi="Times New Roman" w:cs="Times New Roman"/>
          <w:color w:val="auto"/>
          <w:sz w:val="20"/>
          <w:szCs w:val="20"/>
        </w:rPr>
        <w:fldChar w:fldCharType="separate"/>
      </w:r>
      <w:r w:rsidRPr="00687002">
        <w:rPr>
          <w:rFonts w:ascii="Times New Roman" w:hAnsi="Times New Roman" w:cs="Times New Roman"/>
          <w:noProof/>
          <w:color w:val="auto"/>
          <w:sz w:val="20"/>
          <w:szCs w:val="20"/>
        </w:rPr>
        <w:t>[11]</w:t>
      </w:r>
      <w:r w:rsidRPr="00687002">
        <w:rPr>
          <w:rFonts w:ascii="Times New Roman" w:hAnsi="Times New Roman" w:cs="Times New Roman"/>
          <w:color w:val="auto"/>
          <w:sz w:val="20"/>
          <w:szCs w:val="20"/>
        </w:rPr>
        <w:fldChar w:fldCharType="end"/>
      </w:r>
      <w:r w:rsidRPr="00687002">
        <w:rPr>
          <w:rFonts w:ascii="Times New Roman" w:hAnsi="Times New Roman" w:cs="Times New Roman"/>
          <w:color w:val="auto"/>
          <w:sz w:val="20"/>
          <w:szCs w:val="20"/>
        </w:rPr>
        <w:t>. FRAP reagent was freshly prepared, consist of stock solution with ratio 10:1:1 of acetate buffer (300 mM), TPTZ (10 mM) in HCl (40 mM) and FeCl</w:t>
      </w:r>
      <w:r w:rsidRPr="00687002">
        <w:rPr>
          <w:rFonts w:ascii="Times New Roman" w:hAnsi="Times New Roman" w:cs="Times New Roman"/>
          <w:color w:val="auto"/>
          <w:sz w:val="20"/>
          <w:szCs w:val="20"/>
          <w:vertAlign w:val="subscript"/>
        </w:rPr>
        <w:t>3</w:t>
      </w:r>
      <w:r w:rsidRPr="00687002">
        <w:rPr>
          <w:rFonts w:ascii="Times New Roman" w:hAnsi="Times New Roman" w:cs="Times New Roman"/>
          <w:color w:val="auto"/>
          <w:sz w:val="20"/>
          <w:szCs w:val="20"/>
        </w:rPr>
        <w:t>.6H</w:t>
      </w:r>
      <w:r w:rsidRPr="00687002">
        <w:rPr>
          <w:rFonts w:ascii="Times New Roman" w:hAnsi="Times New Roman" w:cs="Times New Roman"/>
          <w:color w:val="auto"/>
          <w:sz w:val="20"/>
          <w:szCs w:val="20"/>
          <w:vertAlign w:val="subscript"/>
        </w:rPr>
        <w:t>2</w:t>
      </w:r>
      <w:r w:rsidRPr="00687002">
        <w:rPr>
          <w:rFonts w:ascii="Times New Roman" w:hAnsi="Times New Roman" w:cs="Times New Roman"/>
          <w:color w:val="auto"/>
          <w:sz w:val="20"/>
          <w:szCs w:val="20"/>
        </w:rPr>
        <w:t>O (20 mM) solutions. Sample (5 µL) with concentration of 1000-100 μg/mL, methanol (15 µL) and FRAP reagent (150 µL) were added to the 96-well microtiter plate. The absorbance was recorded after 10 minutes of incubation at 37 °C at 573 nm. A calibration graph of standard FeSO</w:t>
      </w:r>
      <w:r w:rsidRPr="00687002">
        <w:rPr>
          <w:rFonts w:ascii="Times New Roman" w:hAnsi="Times New Roman" w:cs="Times New Roman"/>
          <w:color w:val="auto"/>
          <w:sz w:val="20"/>
          <w:szCs w:val="20"/>
          <w:vertAlign w:val="subscript"/>
        </w:rPr>
        <w:t>4</w:t>
      </w:r>
      <w:r w:rsidRPr="00687002">
        <w:rPr>
          <w:rFonts w:ascii="Times New Roman" w:hAnsi="Times New Roman" w:cs="Times New Roman"/>
          <w:color w:val="auto"/>
          <w:sz w:val="20"/>
          <w:szCs w:val="20"/>
        </w:rPr>
        <w:t>.7H</w:t>
      </w:r>
      <w:r w:rsidRPr="00687002">
        <w:rPr>
          <w:rFonts w:ascii="Times New Roman" w:hAnsi="Times New Roman" w:cs="Times New Roman"/>
          <w:color w:val="auto"/>
          <w:sz w:val="20"/>
          <w:szCs w:val="20"/>
          <w:vertAlign w:val="subscript"/>
        </w:rPr>
        <w:t>2</w:t>
      </w:r>
      <w:r w:rsidRPr="00687002">
        <w:rPr>
          <w:rFonts w:ascii="Times New Roman" w:hAnsi="Times New Roman" w:cs="Times New Roman"/>
          <w:color w:val="auto"/>
          <w:sz w:val="20"/>
          <w:szCs w:val="20"/>
        </w:rPr>
        <w:t>O solution with concentration of 1.0-0.1 mM vs absorbance was constructed. The FRAP activity of extracts was expressed as mM FRAP equivalent to FeSO</w:t>
      </w:r>
      <w:r w:rsidRPr="00687002">
        <w:rPr>
          <w:rFonts w:ascii="Times New Roman" w:hAnsi="Times New Roman" w:cs="Times New Roman"/>
          <w:color w:val="auto"/>
          <w:sz w:val="20"/>
          <w:szCs w:val="20"/>
          <w:vertAlign w:val="subscript"/>
        </w:rPr>
        <w:t>4</w:t>
      </w:r>
      <w:r w:rsidRPr="00687002">
        <w:rPr>
          <w:rFonts w:ascii="Times New Roman" w:hAnsi="Times New Roman" w:cs="Times New Roman"/>
          <w:color w:val="auto"/>
          <w:sz w:val="20"/>
          <w:szCs w:val="20"/>
        </w:rPr>
        <w:t>.7H</w:t>
      </w:r>
      <w:r w:rsidRPr="00687002">
        <w:rPr>
          <w:rFonts w:ascii="Times New Roman" w:hAnsi="Times New Roman" w:cs="Times New Roman"/>
          <w:color w:val="auto"/>
          <w:sz w:val="20"/>
          <w:szCs w:val="20"/>
          <w:vertAlign w:val="subscript"/>
        </w:rPr>
        <w:t>2</w:t>
      </w:r>
      <w:r w:rsidRPr="00687002">
        <w:rPr>
          <w:rFonts w:ascii="Times New Roman" w:hAnsi="Times New Roman" w:cs="Times New Roman"/>
          <w:color w:val="auto"/>
          <w:sz w:val="20"/>
          <w:szCs w:val="20"/>
        </w:rPr>
        <w:t>O</w:t>
      </w:r>
    </w:p>
    <w:p w:rsidR="00687002" w:rsidRDefault="00687002" w:rsidP="00687002">
      <w:pPr>
        <w:spacing w:after="0" w:line="240" w:lineRule="auto"/>
        <w:jc w:val="both"/>
        <w:rPr>
          <w:rFonts w:ascii="Times New Roman" w:hAnsi="Times New Roman"/>
          <w:b/>
          <w:sz w:val="20"/>
          <w:szCs w:val="20"/>
        </w:rPr>
      </w:pPr>
    </w:p>
    <w:p w:rsidR="00687002" w:rsidRPr="00687002" w:rsidRDefault="00687002" w:rsidP="00687002">
      <w:pPr>
        <w:spacing w:after="0" w:line="240" w:lineRule="auto"/>
        <w:jc w:val="both"/>
        <w:rPr>
          <w:rFonts w:ascii="Times New Roman" w:hAnsi="Times New Roman"/>
          <w:b/>
          <w:sz w:val="20"/>
          <w:szCs w:val="20"/>
        </w:rPr>
      </w:pPr>
    </w:p>
    <w:p w:rsidR="00687002" w:rsidRPr="00687002" w:rsidRDefault="00687002" w:rsidP="00687002">
      <w:pPr>
        <w:spacing w:after="0" w:line="240" w:lineRule="auto"/>
        <w:jc w:val="both"/>
        <w:rPr>
          <w:rFonts w:ascii="Times New Roman" w:hAnsi="Times New Roman"/>
          <w:b/>
          <w:sz w:val="20"/>
          <w:szCs w:val="20"/>
        </w:rPr>
      </w:pPr>
      <w:r w:rsidRPr="00687002">
        <w:rPr>
          <w:rFonts w:ascii="Times New Roman" w:hAnsi="Times New Roman"/>
          <w:b/>
          <w:sz w:val="20"/>
          <w:szCs w:val="20"/>
        </w:rPr>
        <w:lastRenderedPageBreak/>
        <w:t>Statistical analysis</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Three replicates of each sample were used for statistical analysis with values reported as mean ± SD. Standard curves were generated and calculation of the 50% inhibitory concentration (IC</w:t>
      </w:r>
      <w:r w:rsidRPr="00687002">
        <w:rPr>
          <w:rFonts w:ascii="Times New Roman" w:hAnsi="Times New Roman"/>
          <w:sz w:val="20"/>
          <w:szCs w:val="20"/>
          <w:vertAlign w:val="subscript"/>
        </w:rPr>
        <w:t>50</w:t>
      </w:r>
      <w:r w:rsidRPr="00687002">
        <w:rPr>
          <w:rFonts w:ascii="Times New Roman" w:hAnsi="Times New Roman"/>
          <w:sz w:val="20"/>
          <w:szCs w:val="20"/>
        </w:rPr>
        <w:t xml:space="preserve">) values was done using GraphPad Prism for Windows (version 5.02) software. The Student’s </w:t>
      </w:r>
      <w:r w:rsidRPr="00687002">
        <w:rPr>
          <w:rFonts w:ascii="Times New Roman" w:hAnsi="Times New Roman"/>
          <w:i/>
          <w:iCs/>
          <w:sz w:val="20"/>
          <w:szCs w:val="20"/>
        </w:rPr>
        <w:t>t</w:t>
      </w:r>
      <w:r w:rsidRPr="00687002">
        <w:rPr>
          <w:rFonts w:ascii="Times New Roman" w:hAnsi="Times New Roman"/>
          <w:sz w:val="20"/>
          <w:szCs w:val="20"/>
        </w:rPr>
        <w:t xml:space="preserve">-test was carried out using SPSS (version 22) software for comparison between treatment of samples and positive controls. Pearson’s correlation coefficient was used to determine the correlation between two independent variables. A value of </w:t>
      </w:r>
      <w:r w:rsidRPr="00687002">
        <w:rPr>
          <w:rFonts w:ascii="Times New Roman" w:hAnsi="Times New Roman"/>
          <w:i/>
          <w:iCs/>
          <w:sz w:val="20"/>
          <w:szCs w:val="20"/>
        </w:rPr>
        <w:t xml:space="preserve">p </w:t>
      </w:r>
      <w:r w:rsidRPr="00687002">
        <w:rPr>
          <w:rFonts w:ascii="Times New Roman" w:hAnsi="Times New Roman"/>
          <w:sz w:val="20"/>
          <w:szCs w:val="20"/>
        </w:rPr>
        <w:t xml:space="preserve">&lt; 0.05 was considered significantly different. </w:t>
      </w:r>
    </w:p>
    <w:p w:rsidR="00AC0033" w:rsidRPr="00F447A7" w:rsidRDefault="00AC0033" w:rsidP="00687002">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87002" w:rsidRPr="00687002" w:rsidRDefault="00687002" w:rsidP="00687002">
      <w:pPr>
        <w:spacing w:after="0" w:line="240" w:lineRule="auto"/>
        <w:jc w:val="both"/>
        <w:rPr>
          <w:rFonts w:ascii="Times New Roman" w:hAnsi="Times New Roman"/>
          <w:b/>
          <w:sz w:val="20"/>
          <w:szCs w:val="20"/>
        </w:rPr>
      </w:pPr>
      <w:r w:rsidRPr="00687002">
        <w:rPr>
          <w:rFonts w:ascii="Times New Roman" w:hAnsi="Times New Roman"/>
          <w:b/>
          <w:sz w:val="20"/>
          <w:szCs w:val="20"/>
        </w:rPr>
        <w:t>Antibacterial activity</w:t>
      </w:r>
    </w:p>
    <w:p w:rsidR="00687002" w:rsidRPr="00687002" w:rsidRDefault="00687002" w:rsidP="00687002">
      <w:pPr>
        <w:tabs>
          <w:tab w:val="left" w:pos="7938"/>
        </w:tabs>
        <w:spacing w:after="0" w:line="240" w:lineRule="auto"/>
        <w:jc w:val="both"/>
        <w:rPr>
          <w:rFonts w:ascii="Times New Roman" w:hAnsi="Times New Roman"/>
          <w:sz w:val="20"/>
          <w:szCs w:val="20"/>
          <w:lang w:val="en-GB"/>
        </w:rPr>
      </w:pPr>
      <w:r w:rsidRPr="00687002">
        <w:rPr>
          <w:rFonts w:ascii="Times New Roman" w:hAnsi="Times New Roman"/>
          <w:sz w:val="20"/>
          <w:szCs w:val="20"/>
          <w:lang w:val="en-GB"/>
        </w:rPr>
        <w:t xml:space="preserve">The antibacterial activity of crude extracts from two </w:t>
      </w:r>
      <w:r w:rsidRPr="00687002">
        <w:rPr>
          <w:rFonts w:ascii="Times New Roman" w:hAnsi="Times New Roman"/>
          <w:i/>
          <w:sz w:val="20"/>
          <w:szCs w:val="20"/>
          <w:lang w:val="en-GB"/>
        </w:rPr>
        <w:t>Calophyllum</w:t>
      </w:r>
      <w:r w:rsidRPr="00687002">
        <w:rPr>
          <w:rFonts w:ascii="Times New Roman" w:hAnsi="Times New Roman"/>
          <w:sz w:val="20"/>
          <w:szCs w:val="20"/>
          <w:lang w:val="en-GB"/>
        </w:rPr>
        <w:t xml:space="preserve"> species was tested against two Gram-positive bacteria, </w:t>
      </w:r>
      <w:r w:rsidRPr="00687002">
        <w:rPr>
          <w:rFonts w:ascii="Times New Roman" w:hAnsi="Times New Roman"/>
          <w:i/>
          <w:sz w:val="20"/>
          <w:szCs w:val="20"/>
          <w:lang w:val="en-GB"/>
        </w:rPr>
        <w:t>B. subtilis</w:t>
      </w:r>
      <w:r w:rsidRPr="00687002">
        <w:rPr>
          <w:rFonts w:ascii="Times New Roman" w:hAnsi="Times New Roman"/>
          <w:sz w:val="20"/>
          <w:szCs w:val="20"/>
          <w:lang w:val="en-GB"/>
        </w:rPr>
        <w:t xml:space="preserve"> and </w:t>
      </w:r>
      <w:r w:rsidRPr="00687002">
        <w:rPr>
          <w:rFonts w:ascii="Times New Roman" w:hAnsi="Times New Roman"/>
          <w:i/>
          <w:sz w:val="20"/>
          <w:szCs w:val="20"/>
          <w:lang w:val="en-GB"/>
        </w:rPr>
        <w:t xml:space="preserve">S. aureus </w:t>
      </w:r>
      <w:r w:rsidRPr="00687002">
        <w:rPr>
          <w:rFonts w:ascii="Times New Roman" w:hAnsi="Times New Roman"/>
          <w:sz w:val="20"/>
          <w:szCs w:val="20"/>
          <w:lang w:val="en-GB"/>
        </w:rPr>
        <w:t xml:space="preserve">and two Gram-negative bacteria, </w:t>
      </w:r>
      <w:r w:rsidRPr="00687002">
        <w:rPr>
          <w:rFonts w:ascii="Times New Roman" w:hAnsi="Times New Roman"/>
          <w:i/>
          <w:sz w:val="20"/>
          <w:szCs w:val="20"/>
          <w:lang w:val="en-GB"/>
        </w:rPr>
        <w:t>P. aeruginosa</w:t>
      </w:r>
      <w:r w:rsidRPr="00687002">
        <w:rPr>
          <w:rFonts w:ascii="Times New Roman" w:hAnsi="Times New Roman"/>
          <w:sz w:val="20"/>
          <w:szCs w:val="20"/>
          <w:lang w:val="en-GB"/>
        </w:rPr>
        <w:t xml:space="preserve"> and </w:t>
      </w:r>
      <w:r w:rsidRPr="00687002">
        <w:rPr>
          <w:rFonts w:ascii="Times New Roman" w:hAnsi="Times New Roman"/>
          <w:i/>
          <w:sz w:val="20"/>
          <w:szCs w:val="20"/>
          <w:lang w:val="en-GB"/>
        </w:rPr>
        <w:t>E. coli</w:t>
      </w:r>
      <w:r w:rsidRPr="00687002">
        <w:rPr>
          <w:rFonts w:ascii="Times New Roman" w:hAnsi="Times New Roman"/>
          <w:sz w:val="20"/>
          <w:szCs w:val="20"/>
          <w:lang w:val="en-GB"/>
        </w:rPr>
        <w:t xml:space="preserve"> through MIC determination (Table 1). Streptomycin sulphate was employed as a positive control. According to Sousa et al., the antibacterial activity of MIC values of crude extracts over 1000 µg/mL is inactive, from 500 to 1000 µg/mL is weak, from 100 to 500 µg/mL is moderate and less than 100 µg/mL is considered good </w:t>
      </w:r>
      <w:r w:rsidRPr="00687002">
        <w:rPr>
          <w:rFonts w:ascii="Times New Roman" w:hAnsi="Times New Roman"/>
          <w:sz w:val="20"/>
          <w:szCs w:val="20"/>
          <w:lang w:val="en-GB"/>
        </w:rPr>
        <w:fldChar w:fldCharType="begin" w:fldLock="1"/>
      </w:r>
      <w:r w:rsidRPr="00687002">
        <w:rPr>
          <w:rFonts w:ascii="Times New Roman" w:hAnsi="Times New Roman"/>
          <w:sz w:val="20"/>
          <w:szCs w:val="20"/>
          <w:lang w:val="en-GB"/>
        </w:rPr>
        <w:instrText>ADDIN CSL_CITATION { "citationItems" : [ { "id" : "ITEM-1", "itemData" : { "DOI" : "10.1016/j.indcrop.2014.11.050", "ISBN" : "09266690", "ISSN" : "09266690", "abstract" : "The essential oil (EO) from leaves of Eugenia calycina Cambess. was analysed by Gas Chromatography coupled to Mass Spectrometry (GC\u2013MS). Thirty-nine compounds accounting for 88.09% of the EO composition were identified. The EO was rich in sesquiterpene hydrocarbons and oxygenated sesquiterpenes, and the major components were spathulenol (21.36%), bicyclogermacrene (19.30%), \u03b2-caryophyllene (8.57%), viridiflorol (3.43%), allo-aromadendrene (3.34%), and a mixture of the caryophyllene oxide, gleenol, and globulol (7.71%). The EO was fractioned in four fractions and the first fraction (F1) contained only sesquiterpene hydrocarbons; the second one (F2) contained one sesquiterpene hydrocarbon (1.95%) and 96.98% of oxygenated sesquiterpenes; and the other fractions (F3 and F4) contained mostly oxygenated sesquiterpenes. The antimicrobial activity of the EO and its fractions were evaluated against aerobic and anaerobic oral bacteria by microdilution method. The EO showed strong antimicrobial activity against anaerobic bacteria as Prevotella nigrescens and Porphyromonas gingivalis. Fractions F2\u2013F4 showed values of Minimum Inhibitory Concentration (MIC) ranging between 50 and 100\u03bcgmL\u22121 for most oral microorganisms tested and presented higher activity than EO and F1. The EO and its fractions presented low toxicity to HeLa cells at concentrations with strong antimicrobial activity.", "author" : [ { "dropping-particle" : "", "family" : "Sousa", "given" : "Raquel Maria Ferreira", "non-dropping-particle" : "", "parse-names" : false, "suffix" : "" }, { "dropping-particle" : "", "family" : "Morais", "given" : "S\u00e9rgio a.L.", "non-dropping-particle" : "de", "parse-names" : false, "suffix" : "" }, { "dropping-particle" : "", "family" : "Vieira", "given" : "Raissa B.K.", "non-dropping-particle" : "", "parse-names" : false, "suffix" : "" }, { "dropping-particle" : "", "family" : "Napolitano", "given" : "Danielle R.", "non-dropping-particle" : "", "parse-names" : false, "suffix" : "" }, { "dropping-particle" : "", "family" : "Guzman", "given" : "Valeska B.", "non-dropping-particle" : "", "parse-names" : false, "suffix" : "" }, { "dropping-particle" : "", "family" : "Moraes", "given" : "Thais Silva", "non-dropping-particle" : "", "parse-names" : false, "suffix" : "" }, { "dropping-particle" : "", "family" : "Cunha", "given" : "Lu\u00eds C.S.", "non-dropping-particle" : "", "parse-names" : false, "suffix" : "" }, { "dropping-particle" : "", "family" : "Martins", "given" : "Carlos H.G.", "non-dropping-particle" : "", "parse-names" : false, "suffix" : "" }, { "dropping-particle" : "", "family" : "Chang", "given" : "Roberto", "non-dropping-particle" : "", "parse-names" : false, "suffix" : "" }, { "dropping-particle" : "", "family" : "Aquino", "given" : "Francisco J.T.", "non-dropping-particle" : "de", "parse-names" : false, "suffix" : "" }, { "dropping-particle" : "", "family" : "Nascimento", "given" : "Evandro a.", "non-dropping-particle" : "do", "parse-names" : false, "suffix" : "" }, { "dropping-particle" : "", "family" : "Oliveira", "given" : "Alberto", "non-dropping-particle" : "de", "parse-names" : false, "suffix" : "" } ], "container-title" : "Industrial Crops and Products", "id" : "ITEM-1", "issued" : { "date-parts" : [ [ "2015" ] ] }, "page" : "71-78", "publisher" : "Elsevier B.V.", "title" : "Chemical composition, cytotoxic, and antibacterial activity of the essential oil from Eugenia calycina Cambess. leaves against oral bacteria", "type" : "article-journal", "volume" : "65" }, "uris" : [ "http://www.mendeley.com/documents/?uuid=cd0258b4-a3c9-480d-b7aa-d196c4d0d252" ] } ], "mendeley" : { "formattedCitation" : "[12]", "plainTextFormattedCitation" : "[12]", "previouslyFormattedCitation" : "(Sousa et al., 2015)" }, "properties" : {  }, "schema" : "https://github.com/citation-style-language/schema/raw/master/csl-citation.json" }</w:instrText>
      </w:r>
      <w:r w:rsidRPr="00687002">
        <w:rPr>
          <w:rFonts w:ascii="Times New Roman" w:hAnsi="Times New Roman"/>
          <w:sz w:val="20"/>
          <w:szCs w:val="20"/>
          <w:lang w:val="en-GB"/>
        </w:rPr>
        <w:fldChar w:fldCharType="separate"/>
      </w:r>
      <w:r w:rsidRPr="00687002">
        <w:rPr>
          <w:rFonts w:ascii="Times New Roman" w:hAnsi="Times New Roman"/>
          <w:sz w:val="20"/>
          <w:szCs w:val="20"/>
          <w:lang w:val="en-GB"/>
        </w:rPr>
        <w:t>[12]</w:t>
      </w:r>
      <w:r w:rsidRPr="00687002">
        <w:rPr>
          <w:rFonts w:ascii="Times New Roman" w:hAnsi="Times New Roman"/>
          <w:sz w:val="20"/>
          <w:szCs w:val="20"/>
          <w:lang w:val="en-GB"/>
        </w:rPr>
        <w:fldChar w:fldCharType="end"/>
      </w:r>
      <w:r w:rsidRPr="00687002">
        <w:rPr>
          <w:rFonts w:ascii="Times New Roman" w:hAnsi="Times New Roman"/>
          <w:sz w:val="20"/>
          <w:szCs w:val="20"/>
          <w:lang w:val="en-GB"/>
        </w:rPr>
        <w:t xml:space="preserve">. Rios and Recio also proposed that MIC values below 100 µg/mL for crude extracts are promising </w:t>
      </w:r>
      <w:r w:rsidRPr="00687002">
        <w:rPr>
          <w:rFonts w:ascii="Times New Roman" w:hAnsi="Times New Roman"/>
          <w:sz w:val="20"/>
          <w:szCs w:val="20"/>
          <w:lang w:val="en-GB"/>
        </w:rPr>
        <w:fldChar w:fldCharType="begin" w:fldLock="1"/>
      </w:r>
      <w:r w:rsidRPr="00687002">
        <w:rPr>
          <w:rFonts w:ascii="Times New Roman" w:hAnsi="Times New Roman"/>
          <w:sz w:val="20"/>
          <w:szCs w:val="20"/>
          <w:lang w:val="en-GB"/>
        </w:rPr>
        <w:instrText>ADDIN CSL_CITATION { "citationItems" : [ { "id" : "ITEM-1", "itemData" : { "DOI" : "10.1016/j.jep.2005.04.025", "ISBN" : "0378-8741", "ISSN" : "03788741", "PMID" : "15964727", "abstract" : "In the present paper, we analyze the past, present and future of medicinal plants, both as potential antimicrobial crude drugs as well as a source for natural compounds that act as new anti-infection agents. In the past few decades, the search for new anti-infection agents has occupied many research groups in the field of ethnopharmacology. When we reviewed the number of articles published on the antimicrobial activity of medicinal plants in PubMed during the period between 1966 and 1994, we found 115; however, in the following decade between 1995 and 2004, this number more than doubled to 307. In the studies themselves one finds a wide range of criteria. Many focus on determining the antimicrobial activity of plant extracts found in folk medicine, essential oils or isolated compounds such as alkaloids, flavonoids, sesquiterpene lactones, diterpenes, triterpenes or naphtoquinones, among others. Some of these compounds were isolated or obtained by bio-guided isolation after previously detecting antimicrobial activity on the part of the plant. A second block of studies focuses on the natural flora of a specific region or country; the third relevant group of papers is made up of specific studies of the activity of a plant or principle against a concrete pathological microorganism. Some general considerations must be established for the study of the antimicrobial activity of plant extracts, essential oils and the compounds isolated from them. Of utmost relevance is the definition of common parameters, such as plant material, techniques employed, growth medium and microorganisms tested. \u00a9 2005 Elsevier Ireland Ltd. All rights reserved.", "author" : [ { "dropping-particle" : "", "family" : "R\u00edos", "given" : "J. L.", "non-dropping-particle" : "", "parse-names" : false, "suffix" : "" }, { "dropping-particle" : "", "family" : "Recio", "given" : "M. C.", "non-dropping-particle" : "", "parse-names" : false, "suffix" : "" } ], "container-title" : "Journal of Ethnopharmacology", "id" : "ITEM-1", "issue" : "1-2", "issued" : { "date-parts" : [ [ "2005" ] ] }, "page" : "80-84", "title" : "Medicinal plants and antimicrobial activity", "type" : "article-journal", "volume" : "100" }, "uris" : [ "http://www.mendeley.com/documents/?uuid=49f24dc9-d55a-47d1-9b65-f305e6b98b88" ] } ], "mendeley" : { "formattedCitation" : "[13]", "plainTextFormattedCitation" : "[13]", "previouslyFormattedCitation" : "(R\u00edos &amp; Recio, 2005)" }, "properties" : {  }, "schema" : "https://github.com/citation-style-language/schema/raw/master/csl-citation.json" }</w:instrText>
      </w:r>
      <w:r w:rsidRPr="00687002">
        <w:rPr>
          <w:rFonts w:ascii="Times New Roman" w:hAnsi="Times New Roman"/>
          <w:sz w:val="20"/>
          <w:szCs w:val="20"/>
          <w:lang w:val="en-GB"/>
        </w:rPr>
        <w:fldChar w:fldCharType="separate"/>
      </w:r>
      <w:r w:rsidRPr="00687002">
        <w:rPr>
          <w:rFonts w:ascii="Times New Roman" w:hAnsi="Times New Roman"/>
          <w:sz w:val="20"/>
          <w:szCs w:val="20"/>
          <w:lang w:val="en-GB"/>
        </w:rPr>
        <w:t>[13]</w:t>
      </w:r>
      <w:r w:rsidRPr="00687002">
        <w:rPr>
          <w:rFonts w:ascii="Times New Roman" w:hAnsi="Times New Roman"/>
          <w:sz w:val="20"/>
          <w:szCs w:val="20"/>
          <w:lang w:val="en-GB"/>
        </w:rPr>
        <w:fldChar w:fldCharType="end"/>
      </w:r>
      <w:r w:rsidRPr="00687002">
        <w:rPr>
          <w:rFonts w:ascii="Times New Roman" w:hAnsi="Times New Roman"/>
          <w:sz w:val="20"/>
          <w:szCs w:val="20"/>
          <w:lang w:val="en-GB"/>
        </w:rPr>
        <w:t xml:space="preserve">. </w:t>
      </w:r>
    </w:p>
    <w:p w:rsidR="00687002" w:rsidRPr="00687002" w:rsidRDefault="00687002" w:rsidP="00687002">
      <w:pPr>
        <w:spacing w:after="120" w:line="240" w:lineRule="auto"/>
        <w:jc w:val="both"/>
        <w:rPr>
          <w:rFonts w:ascii="Times New Roman" w:hAnsi="Times New Roman"/>
          <w:sz w:val="20"/>
          <w:szCs w:val="20"/>
        </w:rPr>
      </w:pPr>
    </w:p>
    <w:p w:rsidR="00687002" w:rsidRPr="00687002" w:rsidRDefault="00687002" w:rsidP="00687002">
      <w:pPr>
        <w:spacing w:after="120" w:line="240" w:lineRule="auto"/>
        <w:jc w:val="center"/>
        <w:rPr>
          <w:rFonts w:ascii="Times New Roman" w:hAnsi="Times New Roman"/>
          <w:i/>
          <w:sz w:val="20"/>
          <w:szCs w:val="20"/>
        </w:rPr>
      </w:pPr>
      <w:r w:rsidRPr="00687002">
        <w:rPr>
          <w:rFonts w:ascii="Times New Roman" w:hAnsi="Times New Roman"/>
          <w:sz w:val="20"/>
          <w:szCs w:val="20"/>
        </w:rPr>
        <w:t xml:space="preserve">Table 1. </w:t>
      </w:r>
      <w:r>
        <w:rPr>
          <w:rFonts w:ascii="Times New Roman" w:hAnsi="Times New Roman"/>
          <w:sz w:val="20"/>
          <w:szCs w:val="20"/>
        </w:rPr>
        <w:t xml:space="preserve"> </w:t>
      </w:r>
      <w:r w:rsidRPr="00687002">
        <w:rPr>
          <w:rFonts w:ascii="Times New Roman" w:hAnsi="Times New Roman"/>
          <w:sz w:val="20"/>
          <w:szCs w:val="20"/>
        </w:rPr>
        <w:t xml:space="preserve">Minimum Inhibition Concentration (MIC) of Extracts of </w:t>
      </w:r>
      <w:r w:rsidRPr="00687002">
        <w:rPr>
          <w:rFonts w:ascii="Times New Roman" w:hAnsi="Times New Roman"/>
          <w:i/>
          <w:sz w:val="20"/>
          <w:szCs w:val="20"/>
        </w:rPr>
        <w:t xml:space="preserve">C. ferrugineum </w:t>
      </w:r>
      <w:r w:rsidRPr="00687002">
        <w:rPr>
          <w:rFonts w:ascii="Times New Roman" w:hAnsi="Times New Roman"/>
          <w:sz w:val="20"/>
          <w:szCs w:val="20"/>
        </w:rPr>
        <w:t>and</w:t>
      </w:r>
      <w:r w:rsidRPr="00687002">
        <w:rPr>
          <w:rFonts w:ascii="Times New Roman" w:hAnsi="Times New Roman"/>
          <w:i/>
          <w:sz w:val="20"/>
          <w:szCs w:val="20"/>
        </w:rPr>
        <w:t xml:space="preserve"> C. İncrassatum</w:t>
      </w:r>
    </w:p>
    <w:tbl>
      <w:tblPr>
        <w:tblStyle w:val="TableGrid"/>
        <w:tblW w:w="9099" w:type="dxa"/>
        <w:jc w:val="center"/>
        <w:tblLayout w:type="fixed"/>
        <w:tblLook w:val="04A0" w:firstRow="1" w:lastRow="0" w:firstColumn="1" w:lastColumn="0" w:noHBand="0" w:noVBand="1"/>
      </w:tblPr>
      <w:tblGrid>
        <w:gridCol w:w="1997"/>
        <w:gridCol w:w="992"/>
        <w:gridCol w:w="1843"/>
        <w:gridCol w:w="1178"/>
        <w:gridCol w:w="1231"/>
        <w:gridCol w:w="851"/>
        <w:gridCol w:w="1007"/>
      </w:tblGrid>
      <w:tr w:rsidR="00687002" w:rsidRPr="00687002" w:rsidTr="00687002">
        <w:trPr>
          <w:jc w:val="center"/>
        </w:trPr>
        <w:tc>
          <w:tcPr>
            <w:tcW w:w="1997" w:type="dxa"/>
            <w:vMerge w:val="restart"/>
            <w:tcBorders>
              <w:left w:val="nil"/>
              <w:right w:val="nil"/>
            </w:tcBorders>
            <w:vAlign w:val="center"/>
          </w:tcPr>
          <w:p w:rsidR="00687002" w:rsidRPr="00687002" w:rsidRDefault="00687002" w:rsidP="00687002">
            <w:pPr>
              <w:spacing w:after="0" w:line="240" w:lineRule="auto"/>
              <w:rPr>
                <w:rFonts w:ascii="Times New Roman" w:hAnsi="Times New Roman" w:cs="Times New Roman"/>
                <w:b/>
                <w:sz w:val="20"/>
                <w:szCs w:val="20"/>
              </w:rPr>
            </w:pPr>
            <w:r w:rsidRPr="00687002">
              <w:rPr>
                <w:rFonts w:ascii="Times New Roman" w:hAnsi="Times New Roman" w:cs="Times New Roman"/>
                <w:b/>
                <w:i/>
                <w:sz w:val="20"/>
                <w:szCs w:val="20"/>
              </w:rPr>
              <w:t xml:space="preserve">Calophyllum </w:t>
            </w:r>
            <w:r w:rsidRPr="00687002">
              <w:rPr>
                <w:rFonts w:ascii="Times New Roman" w:hAnsi="Times New Roman" w:cs="Times New Roman"/>
                <w:b/>
                <w:sz w:val="20"/>
                <w:szCs w:val="20"/>
              </w:rPr>
              <w:t>Species</w:t>
            </w:r>
          </w:p>
        </w:tc>
        <w:tc>
          <w:tcPr>
            <w:tcW w:w="992" w:type="dxa"/>
            <w:vMerge w:val="restart"/>
            <w:tcBorders>
              <w:left w:val="nil"/>
              <w:right w:val="nil"/>
            </w:tcBorders>
            <w:vAlign w:val="center"/>
          </w:tcPr>
          <w:p w:rsidR="00687002" w:rsidRPr="00687002" w:rsidRDefault="00687002" w:rsidP="00687002">
            <w:pPr>
              <w:spacing w:after="0" w:line="240" w:lineRule="auto"/>
              <w:rPr>
                <w:rFonts w:ascii="Times New Roman" w:hAnsi="Times New Roman" w:cs="Times New Roman"/>
                <w:b/>
                <w:sz w:val="20"/>
                <w:szCs w:val="20"/>
              </w:rPr>
            </w:pPr>
            <w:r w:rsidRPr="00687002">
              <w:rPr>
                <w:rFonts w:ascii="Times New Roman" w:hAnsi="Times New Roman" w:cs="Times New Roman"/>
                <w:b/>
                <w:sz w:val="20"/>
                <w:szCs w:val="20"/>
              </w:rPr>
              <w:t>Part</w:t>
            </w:r>
          </w:p>
        </w:tc>
        <w:tc>
          <w:tcPr>
            <w:tcW w:w="1843" w:type="dxa"/>
            <w:vMerge w:val="restart"/>
            <w:tcBorders>
              <w:left w:val="nil"/>
              <w:right w:val="nil"/>
            </w:tcBorders>
            <w:vAlign w:val="center"/>
          </w:tcPr>
          <w:p w:rsidR="00687002" w:rsidRPr="00687002" w:rsidRDefault="00687002" w:rsidP="00687002">
            <w:pPr>
              <w:spacing w:after="0" w:line="240" w:lineRule="auto"/>
              <w:rPr>
                <w:rFonts w:ascii="Times New Roman" w:hAnsi="Times New Roman" w:cs="Times New Roman"/>
                <w:b/>
                <w:sz w:val="20"/>
                <w:szCs w:val="20"/>
              </w:rPr>
            </w:pPr>
            <w:r w:rsidRPr="00687002">
              <w:rPr>
                <w:rFonts w:ascii="Times New Roman" w:hAnsi="Times New Roman" w:cs="Times New Roman"/>
                <w:b/>
                <w:sz w:val="20"/>
                <w:szCs w:val="20"/>
              </w:rPr>
              <w:t>Crude (Abbreviation)</w:t>
            </w:r>
          </w:p>
        </w:tc>
        <w:tc>
          <w:tcPr>
            <w:tcW w:w="4267" w:type="dxa"/>
            <w:gridSpan w:val="4"/>
            <w:tcBorders>
              <w:left w:val="nil"/>
              <w:right w:val="nil"/>
            </w:tcBorders>
            <w:vAlign w:val="center"/>
          </w:tcPr>
          <w:p w:rsidR="00687002" w:rsidRPr="00687002" w:rsidRDefault="00687002" w:rsidP="00687002">
            <w:pPr>
              <w:spacing w:before="60" w:after="0" w:line="240" w:lineRule="auto"/>
              <w:jc w:val="center"/>
              <w:rPr>
                <w:rFonts w:ascii="Times New Roman" w:hAnsi="Times New Roman" w:cs="Times New Roman"/>
                <w:b/>
                <w:sz w:val="20"/>
                <w:szCs w:val="20"/>
              </w:rPr>
            </w:pPr>
            <w:r w:rsidRPr="00687002">
              <w:rPr>
                <w:rFonts w:ascii="Times New Roman" w:hAnsi="Times New Roman" w:cs="Times New Roman"/>
                <w:b/>
                <w:sz w:val="20"/>
                <w:szCs w:val="20"/>
              </w:rPr>
              <w:t>Minimum Inhibition Concentration (MIC) (µg/mL)</w:t>
            </w:r>
            <w:r w:rsidRPr="00687002">
              <w:rPr>
                <w:rFonts w:ascii="Times New Roman" w:hAnsi="Times New Roman" w:cs="Times New Roman"/>
                <w:b/>
                <w:sz w:val="20"/>
                <w:szCs w:val="20"/>
                <w:vertAlign w:val="superscript"/>
              </w:rPr>
              <w:t>a</w:t>
            </w:r>
          </w:p>
        </w:tc>
      </w:tr>
      <w:tr w:rsidR="00687002" w:rsidRPr="00687002" w:rsidTr="00687002">
        <w:trPr>
          <w:jc w:val="center"/>
        </w:trPr>
        <w:tc>
          <w:tcPr>
            <w:tcW w:w="1997" w:type="dxa"/>
            <w:vMerge/>
            <w:tcBorders>
              <w:left w:val="nil"/>
              <w:right w:val="nil"/>
            </w:tcBorders>
            <w:vAlign w:val="center"/>
          </w:tcPr>
          <w:p w:rsidR="00687002" w:rsidRPr="00687002" w:rsidRDefault="00687002" w:rsidP="00687002">
            <w:pPr>
              <w:spacing w:after="0" w:line="240" w:lineRule="auto"/>
              <w:rPr>
                <w:rFonts w:ascii="Times New Roman" w:hAnsi="Times New Roman" w:cs="Times New Roman"/>
                <w:b/>
                <w:sz w:val="20"/>
                <w:szCs w:val="20"/>
              </w:rPr>
            </w:pPr>
          </w:p>
        </w:tc>
        <w:tc>
          <w:tcPr>
            <w:tcW w:w="992" w:type="dxa"/>
            <w:vMerge/>
            <w:tcBorders>
              <w:left w:val="nil"/>
              <w:right w:val="nil"/>
            </w:tcBorders>
          </w:tcPr>
          <w:p w:rsidR="00687002" w:rsidRPr="00687002" w:rsidRDefault="00687002" w:rsidP="00687002">
            <w:pPr>
              <w:spacing w:after="0" w:line="240" w:lineRule="auto"/>
              <w:rPr>
                <w:rFonts w:ascii="Times New Roman" w:hAnsi="Times New Roman" w:cs="Times New Roman"/>
                <w:b/>
                <w:sz w:val="20"/>
                <w:szCs w:val="20"/>
              </w:rPr>
            </w:pPr>
          </w:p>
        </w:tc>
        <w:tc>
          <w:tcPr>
            <w:tcW w:w="1843" w:type="dxa"/>
            <w:vMerge/>
            <w:tcBorders>
              <w:left w:val="nil"/>
              <w:right w:val="nil"/>
            </w:tcBorders>
          </w:tcPr>
          <w:p w:rsidR="00687002" w:rsidRPr="00687002" w:rsidRDefault="00687002" w:rsidP="00687002">
            <w:pPr>
              <w:spacing w:after="0" w:line="240" w:lineRule="auto"/>
              <w:rPr>
                <w:rFonts w:ascii="Times New Roman" w:hAnsi="Times New Roman" w:cs="Times New Roman"/>
                <w:b/>
                <w:sz w:val="20"/>
                <w:szCs w:val="20"/>
              </w:rPr>
            </w:pPr>
          </w:p>
        </w:tc>
        <w:tc>
          <w:tcPr>
            <w:tcW w:w="2409" w:type="dxa"/>
            <w:gridSpan w:val="2"/>
            <w:tcBorders>
              <w:left w:val="nil"/>
              <w:right w:val="nil"/>
            </w:tcBorders>
            <w:vAlign w:val="center"/>
          </w:tcPr>
          <w:p w:rsidR="00687002" w:rsidRPr="00687002" w:rsidRDefault="00687002" w:rsidP="00687002">
            <w:pPr>
              <w:spacing w:after="0" w:line="240" w:lineRule="auto"/>
              <w:jc w:val="center"/>
              <w:rPr>
                <w:rFonts w:ascii="Times New Roman" w:hAnsi="Times New Roman" w:cs="Times New Roman"/>
                <w:b/>
                <w:sz w:val="20"/>
                <w:szCs w:val="20"/>
              </w:rPr>
            </w:pPr>
            <w:r w:rsidRPr="00687002">
              <w:rPr>
                <w:rFonts w:ascii="Times New Roman" w:hAnsi="Times New Roman" w:cs="Times New Roman"/>
                <w:b/>
                <w:sz w:val="20"/>
                <w:szCs w:val="20"/>
              </w:rPr>
              <w:t>Gram-positive</w:t>
            </w:r>
          </w:p>
        </w:tc>
        <w:tc>
          <w:tcPr>
            <w:tcW w:w="1858" w:type="dxa"/>
            <w:gridSpan w:val="2"/>
            <w:tcBorders>
              <w:left w:val="nil"/>
              <w:right w:val="nil"/>
            </w:tcBorders>
            <w:vAlign w:val="center"/>
          </w:tcPr>
          <w:p w:rsidR="00687002" w:rsidRPr="00687002" w:rsidRDefault="00687002" w:rsidP="00687002">
            <w:pPr>
              <w:spacing w:after="0" w:line="240" w:lineRule="auto"/>
              <w:jc w:val="center"/>
              <w:rPr>
                <w:rFonts w:ascii="Times New Roman" w:hAnsi="Times New Roman" w:cs="Times New Roman"/>
                <w:b/>
                <w:sz w:val="20"/>
                <w:szCs w:val="20"/>
              </w:rPr>
            </w:pPr>
            <w:r w:rsidRPr="00687002">
              <w:rPr>
                <w:rFonts w:ascii="Times New Roman" w:hAnsi="Times New Roman" w:cs="Times New Roman"/>
                <w:b/>
                <w:sz w:val="20"/>
                <w:szCs w:val="20"/>
              </w:rPr>
              <w:t>Gram-negative</w:t>
            </w:r>
          </w:p>
        </w:tc>
      </w:tr>
      <w:tr w:rsidR="00687002" w:rsidRPr="00687002" w:rsidTr="00687002">
        <w:trPr>
          <w:jc w:val="center"/>
        </w:trPr>
        <w:tc>
          <w:tcPr>
            <w:tcW w:w="1997" w:type="dxa"/>
            <w:vMerge/>
            <w:tcBorders>
              <w:left w:val="nil"/>
              <w:bottom w:val="single" w:sz="4" w:space="0" w:color="auto"/>
              <w:right w:val="nil"/>
            </w:tcBorders>
            <w:vAlign w:val="center"/>
          </w:tcPr>
          <w:p w:rsidR="00687002" w:rsidRPr="00687002" w:rsidRDefault="00687002" w:rsidP="00687002">
            <w:pPr>
              <w:spacing w:after="0" w:line="240" w:lineRule="auto"/>
              <w:rPr>
                <w:rFonts w:ascii="Times New Roman" w:hAnsi="Times New Roman" w:cs="Times New Roman"/>
                <w:sz w:val="20"/>
                <w:szCs w:val="20"/>
              </w:rPr>
            </w:pPr>
          </w:p>
        </w:tc>
        <w:tc>
          <w:tcPr>
            <w:tcW w:w="992" w:type="dxa"/>
            <w:vMerge/>
            <w:tcBorders>
              <w:left w:val="nil"/>
              <w:bottom w:val="single" w:sz="4" w:space="0" w:color="auto"/>
              <w:right w:val="nil"/>
            </w:tcBorders>
          </w:tcPr>
          <w:p w:rsidR="00687002" w:rsidRPr="00687002" w:rsidRDefault="00687002" w:rsidP="00687002">
            <w:pPr>
              <w:spacing w:after="0" w:line="240" w:lineRule="auto"/>
              <w:rPr>
                <w:rFonts w:ascii="Times New Roman" w:hAnsi="Times New Roman" w:cs="Times New Roman"/>
                <w:b/>
                <w:i/>
                <w:sz w:val="20"/>
                <w:szCs w:val="20"/>
              </w:rPr>
            </w:pPr>
          </w:p>
        </w:tc>
        <w:tc>
          <w:tcPr>
            <w:tcW w:w="1843" w:type="dxa"/>
            <w:vMerge/>
            <w:tcBorders>
              <w:left w:val="nil"/>
              <w:bottom w:val="single" w:sz="4" w:space="0" w:color="auto"/>
              <w:right w:val="nil"/>
            </w:tcBorders>
          </w:tcPr>
          <w:p w:rsidR="00687002" w:rsidRPr="00687002" w:rsidRDefault="00687002" w:rsidP="00687002">
            <w:pPr>
              <w:spacing w:after="0" w:line="240" w:lineRule="auto"/>
              <w:rPr>
                <w:rFonts w:ascii="Times New Roman" w:hAnsi="Times New Roman" w:cs="Times New Roman"/>
                <w:b/>
                <w:i/>
                <w:sz w:val="20"/>
                <w:szCs w:val="20"/>
              </w:rPr>
            </w:pPr>
          </w:p>
        </w:tc>
        <w:tc>
          <w:tcPr>
            <w:tcW w:w="1178" w:type="dxa"/>
            <w:tcBorders>
              <w:left w:val="nil"/>
              <w:bottom w:val="single" w:sz="4" w:space="0" w:color="auto"/>
              <w:right w:val="nil"/>
            </w:tcBorders>
            <w:vAlign w:val="center"/>
          </w:tcPr>
          <w:p w:rsidR="00687002" w:rsidRPr="00687002" w:rsidRDefault="00687002" w:rsidP="00687002">
            <w:pPr>
              <w:spacing w:after="0" w:line="240" w:lineRule="auto"/>
              <w:jc w:val="center"/>
              <w:rPr>
                <w:rFonts w:ascii="Times New Roman" w:hAnsi="Times New Roman" w:cs="Times New Roman"/>
                <w:b/>
                <w:i/>
                <w:sz w:val="20"/>
                <w:szCs w:val="20"/>
              </w:rPr>
            </w:pPr>
            <w:r w:rsidRPr="00687002">
              <w:rPr>
                <w:rFonts w:ascii="Times New Roman" w:hAnsi="Times New Roman" w:cs="Times New Roman"/>
                <w:b/>
                <w:i/>
                <w:sz w:val="20"/>
                <w:szCs w:val="20"/>
              </w:rPr>
              <w:t>B. s</w:t>
            </w:r>
          </w:p>
        </w:tc>
        <w:tc>
          <w:tcPr>
            <w:tcW w:w="1231" w:type="dxa"/>
            <w:tcBorders>
              <w:left w:val="nil"/>
              <w:bottom w:val="single" w:sz="4" w:space="0" w:color="auto"/>
              <w:right w:val="nil"/>
            </w:tcBorders>
            <w:vAlign w:val="center"/>
          </w:tcPr>
          <w:p w:rsidR="00687002" w:rsidRPr="00687002" w:rsidRDefault="00687002" w:rsidP="00687002">
            <w:pPr>
              <w:spacing w:after="0" w:line="240" w:lineRule="auto"/>
              <w:jc w:val="center"/>
              <w:rPr>
                <w:rFonts w:ascii="Times New Roman" w:hAnsi="Times New Roman" w:cs="Times New Roman"/>
                <w:b/>
                <w:i/>
                <w:sz w:val="20"/>
                <w:szCs w:val="20"/>
              </w:rPr>
            </w:pPr>
            <w:r w:rsidRPr="00687002">
              <w:rPr>
                <w:rFonts w:ascii="Times New Roman" w:hAnsi="Times New Roman" w:cs="Times New Roman"/>
                <w:b/>
                <w:i/>
                <w:sz w:val="20"/>
                <w:szCs w:val="20"/>
              </w:rPr>
              <w:t>S. a</w:t>
            </w:r>
          </w:p>
        </w:tc>
        <w:tc>
          <w:tcPr>
            <w:tcW w:w="851" w:type="dxa"/>
            <w:tcBorders>
              <w:left w:val="nil"/>
              <w:bottom w:val="single" w:sz="4" w:space="0" w:color="auto"/>
              <w:right w:val="nil"/>
            </w:tcBorders>
            <w:vAlign w:val="center"/>
          </w:tcPr>
          <w:p w:rsidR="00687002" w:rsidRPr="00687002" w:rsidRDefault="00687002" w:rsidP="00687002">
            <w:pPr>
              <w:spacing w:after="0" w:line="240" w:lineRule="auto"/>
              <w:jc w:val="center"/>
              <w:rPr>
                <w:rFonts w:ascii="Times New Roman" w:hAnsi="Times New Roman" w:cs="Times New Roman"/>
                <w:b/>
                <w:i/>
                <w:sz w:val="20"/>
                <w:szCs w:val="20"/>
              </w:rPr>
            </w:pPr>
            <w:r w:rsidRPr="00687002">
              <w:rPr>
                <w:rFonts w:ascii="Times New Roman" w:hAnsi="Times New Roman" w:cs="Times New Roman"/>
                <w:b/>
                <w:i/>
                <w:sz w:val="20"/>
                <w:szCs w:val="20"/>
              </w:rPr>
              <w:t>P. a</w:t>
            </w:r>
          </w:p>
        </w:tc>
        <w:tc>
          <w:tcPr>
            <w:tcW w:w="1007" w:type="dxa"/>
            <w:tcBorders>
              <w:left w:val="nil"/>
              <w:bottom w:val="single" w:sz="4" w:space="0" w:color="auto"/>
              <w:right w:val="nil"/>
            </w:tcBorders>
            <w:vAlign w:val="center"/>
          </w:tcPr>
          <w:p w:rsidR="00687002" w:rsidRPr="00687002" w:rsidRDefault="00687002" w:rsidP="00687002">
            <w:pPr>
              <w:spacing w:after="60" w:line="240" w:lineRule="auto"/>
              <w:jc w:val="center"/>
              <w:rPr>
                <w:rFonts w:ascii="Times New Roman" w:hAnsi="Times New Roman" w:cs="Times New Roman"/>
                <w:b/>
                <w:i/>
                <w:sz w:val="20"/>
                <w:szCs w:val="20"/>
              </w:rPr>
            </w:pPr>
            <w:r w:rsidRPr="00687002">
              <w:rPr>
                <w:rFonts w:ascii="Times New Roman" w:hAnsi="Times New Roman" w:cs="Times New Roman"/>
                <w:b/>
                <w:i/>
                <w:sz w:val="20"/>
                <w:szCs w:val="20"/>
              </w:rPr>
              <w:t>E. c</w:t>
            </w:r>
          </w:p>
        </w:tc>
      </w:tr>
      <w:tr w:rsidR="00687002" w:rsidRPr="00687002" w:rsidTr="00687002">
        <w:trPr>
          <w:jc w:val="center"/>
        </w:trPr>
        <w:tc>
          <w:tcPr>
            <w:tcW w:w="1997" w:type="dxa"/>
            <w:tcBorders>
              <w:left w:val="nil"/>
              <w:bottom w:val="nil"/>
              <w:right w:val="nil"/>
            </w:tcBorders>
            <w:vAlign w:val="center"/>
          </w:tcPr>
          <w:p w:rsidR="00687002" w:rsidRPr="00687002" w:rsidRDefault="00687002" w:rsidP="00042BC7">
            <w:pPr>
              <w:spacing w:before="60" w:after="0" w:line="240" w:lineRule="auto"/>
              <w:rPr>
                <w:rFonts w:ascii="Times New Roman" w:hAnsi="Times New Roman" w:cs="Times New Roman"/>
                <w:b/>
                <w:sz w:val="20"/>
                <w:szCs w:val="20"/>
              </w:rPr>
            </w:pPr>
            <w:r w:rsidRPr="00687002">
              <w:rPr>
                <w:rFonts w:ascii="Times New Roman" w:hAnsi="Times New Roman" w:cs="Times New Roman"/>
                <w:b/>
                <w:sz w:val="20"/>
                <w:szCs w:val="20"/>
              </w:rPr>
              <w:t>Crude Extracts</w:t>
            </w:r>
          </w:p>
        </w:tc>
        <w:tc>
          <w:tcPr>
            <w:tcW w:w="992" w:type="dxa"/>
            <w:tcBorders>
              <w:left w:val="nil"/>
              <w:bottom w:val="nil"/>
              <w:right w:val="nil"/>
            </w:tcBorders>
          </w:tcPr>
          <w:p w:rsidR="00687002" w:rsidRPr="00687002" w:rsidRDefault="00687002" w:rsidP="00687002">
            <w:pPr>
              <w:spacing w:after="0" w:line="240" w:lineRule="auto"/>
              <w:rPr>
                <w:rFonts w:ascii="Times New Roman" w:hAnsi="Times New Roman" w:cs="Times New Roman"/>
                <w:b/>
                <w:i/>
                <w:sz w:val="20"/>
                <w:szCs w:val="20"/>
              </w:rPr>
            </w:pPr>
          </w:p>
        </w:tc>
        <w:tc>
          <w:tcPr>
            <w:tcW w:w="1843" w:type="dxa"/>
            <w:tcBorders>
              <w:left w:val="nil"/>
              <w:bottom w:val="nil"/>
              <w:right w:val="nil"/>
            </w:tcBorders>
          </w:tcPr>
          <w:p w:rsidR="00687002" w:rsidRPr="00687002" w:rsidRDefault="00687002" w:rsidP="00687002">
            <w:pPr>
              <w:spacing w:after="0" w:line="240" w:lineRule="auto"/>
              <w:rPr>
                <w:rFonts w:ascii="Times New Roman" w:hAnsi="Times New Roman" w:cs="Times New Roman"/>
                <w:b/>
                <w:i/>
                <w:sz w:val="20"/>
                <w:szCs w:val="20"/>
              </w:rPr>
            </w:pPr>
          </w:p>
        </w:tc>
        <w:tc>
          <w:tcPr>
            <w:tcW w:w="1178" w:type="dxa"/>
            <w:tcBorders>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b/>
                <w:i/>
                <w:sz w:val="20"/>
                <w:szCs w:val="20"/>
              </w:rPr>
            </w:pPr>
          </w:p>
        </w:tc>
        <w:tc>
          <w:tcPr>
            <w:tcW w:w="1231" w:type="dxa"/>
            <w:tcBorders>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b/>
                <w:i/>
                <w:sz w:val="20"/>
                <w:szCs w:val="20"/>
              </w:rPr>
            </w:pPr>
          </w:p>
        </w:tc>
        <w:tc>
          <w:tcPr>
            <w:tcW w:w="851" w:type="dxa"/>
            <w:tcBorders>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b/>
                <w:i/>
                <w:sz w:val="20"/>
                <w:szCs w:val="20"/>
              </w:rPr>
            </w:pPr>
          </w:p>
        </w:tc>
        <w:tc>
          <w:tcPr>
            <w:tcW w:w="1007" w:type="dxa"/>
            <w:tcBorders>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b/>
                <w:i/>
                <w:sz w:val="20"/>
                <w:szCs w:val="20"/>
              </w:rPr>
            </w:pPr>
          </w:p>
        </w:tc>
      </w:tr>
      <w:tr w:rsidR="00687002" w:rsidRPr="00687002" w:rsidTr="00687002">
        <w:trPr>
          <w:jc w:val="center"/>
        </w:trPr>
        <w:tc>
          <w:tcPr>
            <w:tcW w:w="1997" w:type="dxa"/>
            <w:tcBorders>
              <w:top w:val="nil"/>
              <w:left w:val="nil"/>
              <w:bottom w:val="nil"/>
              <w:right w:val="nil"/>
            </w:tcBorders>
            <w:vAlign w:val="center"/>
          </w:tcPr>
          <w:p w:rsidR="00687002" w:rsidRPr="00687002" w:rsidRDefault="00687002" w:rsidP="00687002">
            <w:pPr>
              <w:spacing w:after="0" w:line="240" w:lineRule="auto"/>
              <w:rPr>
                <w:rFonts w:ascii="Times New Roman" w:hAnsi="Times New Roman" w:cs="Times New Roman"/>
                <w:i/>
                <w:sz w:val="20"/>
                <w:szCs w:val="20"/>
              </w:rPr>
            </w:pPr>
            <w:r w:rsidRPr="00687002">
              <w:rPr>
                <w:rFonts w:ascii="Times New Roman" w:hAnsi="Times New Roman" w:cs="Times New Roman"/>
                <w:i/>
                <w:sz w:val="20"/>
                <w:szCs w:val="20"/>
              </w:rPr>
              <w:t>C. ferrugineum</w:t>
            </w:r>
          </w:p>
        </w:tc>
        <w:tc>
          <w:tcPr>
            <w:tcW w:w="992" w:type="dxa"/>
            <w:tcBorders>
              <w:top w:val="nil"/>
              <w:left w:val="nil"/>
              <w:bottom w:val="nil"/>
              <w:right w:val="nil"/>
            </w:tcBorders>
          </w:tcPr>
          <w:p w:rsidR="00687002" w:rsidRPr="00687002" w:rsidRDefault="00687002" w:rsidP="00687002">
            <w:pPr>
              <w:spacing w:after="0" w:line="240" w:lineRule="auto"/>
              <w:rPr>
                <w:rFonts w:ascii="Times New Roman" w:hAnsi="Times New Roman" w:cs="Times New Roman"/>
                <w:sz w:val="20"/>
                <w:szCs w:val="20"/>
              </w:rPr>
            </w:pPr>
            <w:r w:rsidRPr="00687002">
              <w:rPr>
                <w:rFonts w:ascii="Times New Roman" w:hAnsi="Times New Roman" w:cs="Times New Roman"/>
                <w:sz w:val="20"/>
                <w:szCs w:val="20"/>
              </w:rPr>
              <w:t>B</w:t>
            </w:r>
          </w:p>
        </w:tc>
        <w:tc>
          <w:tcPr>
            <w:tcW w:w="1843" w:type="dxa"/>
            <w:tcBorders>
              <w:top w:val="nil"/>
              <w:left w:val="nil"/>
              <w:bottom w:val="nil"/>
              <w:right w:val="nil"/>
            </w:tcBorders>
          </w:tcPr>
          <w:p w:rsidR="00687002" w:rsidRPr="00687002" w:rsidRDefault="00687002" w:rsidP="00687002">
            <w:pPr>
              <w:spacing w:after="0" w:line="240" w:lineRule="auto"/>
              <w:rPr>
                <w:rFonts w:ascii="Times New Roman" w:hAnsi="Times New Roman" w:cs="Times New Roman"/>
                <w:sz w:val="20"/>
                <w:szCs w:val="20"/>
              </w:rPr>
            </w:pPr>
            <w:r w:rsidRPr="00687002">
              <w:rPr>
                <w:rFonts w:ascii="Times New Roman" w:hAnsi="Times New Roman" w:cs="Times New Roman"/>
                <w:sz w:val="20"/>
                <w:szCs w:val="20"/>
              </w:rPr>
              <w:t>CH</w:t>
            </w:r>
            <w:r w:rsidRPr="00687002">
              <w:rPr>
                <w:rFonts w:ascii="Times New Roman" w:hAnsi="Times New Roman" w:cs="Times New Roman"/>
                <w:sz w:val="20"/>
                <w:szCs w:val="20"/>
                <w:vertAlign w:val="subscript"/>
              </w:rPr>
              <w:t>2</w:t>
            </w:r>
            <w:r w:rsidRPr="00687002">
              <w:rPr>
                <w:rFonts w:ascii="Times New Roman" w:hAnsi="Times New Roman" w:cs="Times New Roman"/>
                <w:sz w:val="20"/>
                <w:szCs w:val="20"/>
              </w:rPr>
              <w:t>Cl</w:t>
            </w:r>
            <w:r w:rsidRPr="00687002">
              <w:rPr>
                <w:rFonts w:ascii="Times New Roman" w:hAnsi="Times New Roman" w:cs="Times New Roman"/>
                <w:sz w:val="20"/>
                <w:szCs w:val="20"/>
                <w:vertAlign w:val="subscript"/>
              </w:rPr>
              <w:t>2</w:t>
            </w:r>
            <w:r w:rsidRPr="00687002">
              <w:rPr>
                <w:rFonts w:ascii="Times New Roman" w:hAnsi="Times New Roman" w:cs="Times New Roman"/>
                <w:sz w:val="20"/>
                <w:szCs w:val="20"/>
              </w:rPr>
              <w:t xml:space="preserve"> (CFBD)</w:t>
            </w:r>
          </w:p>
        </w:tc>
        <w:tc>
          <w:tcPr>
            <w:tcW w:w="1178"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125</w:t>
            </w:r>
          </w:p>
        </w:tc>
        <w:tc>
          <w:tcPr>
            <w:tcW w:w="1231"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125</w:t>
            </w:r>
          </w:p>
        </w:tc>
        <w:tc>
          <w:tcPr>
            <w:tcW w:w="851"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1007"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r>
      <w:tr w:rsidR="00687002" w:rsidRPr="00687002" w:rsidTr="00687002">
        <w:trPr>
          <w:jc w:val="center"/>
        </w:trPr>
        <w:tc>
          <w:tcPr>
            <w:tcW w:w="1997" w:type="dxa"/>
            <w:tcBorders>
              <w:top w:val="nil"/>
              <w:left w:val="nil"/>
              <w:bottom w:val="nil"/>
              <w:right w:val="nil"/>
            </w:tcBorders>
            <w:vAlign w:val="center"/>
          </w:tcPr>
          <w:p w:rsidR="00687002" w:rsidRPr="00687002" w:rsidRDefault="00687002" w:rsidP="00687002">
            <w:pPr>
              <w:spacing w:after="0" w:line="240" w:lineRule="auto"/>
              <w:rPr>
                <w:rFonts w:ascii="Times New Roman" w:hAnsi="Times New Roman" w:cs="Times New Roman"/>
                <w:i/>
                <w:sz w:val="20"/>
                <w:szCs w:val="20"/>
              </w:rPr>
            </w:pPr>
          </w:p>
        </w:tc>
        <w:tc>
          <w:tcPr>
            <w:tcW w:w="992" w:type="dxa"/>
            <w:tcBorders>
              <w:top w:val="nil"/>
              <w:left w:val="nil"/>
              <w:bottom w:val="nil"/>
              <w:right w:val="nil"/>
            </w:tcBorders>
          </w:tcPr>
          <w:p w:rsidR="00687002" w:rsidRPr="00687002" w:rsidRDefault="00687002" w:rsidP="00687002">
            <w:pPr>
              <w:spacing w:after="0" w:line="240" w:lineRule="auto"/>
              <w:rPr>
                <w:rFonts w:ascii="Times New Roman" w:hAnsi="Times New Roman" w:cs="Times New Roman"/>
                <w:sz w:val="20"/>
                <w:szCs w:val="20"/>
              </w:rPr>
            </w:pPr>
          </w:p>
        </w:tc>
        <w:tc>
          <w:tcPr>
            <w:tcW w:w="1843" w:type="dxa"/>
            <w:tcBorders>
              <w:top w:val="nil"/>
              <w:left w:val="nil"/>
              <w:bottom w:val="nil"/>
              <w:right w:val="nil"/>
            </w:tcBorders>
          </w:tcPr>
          <w:p w:rsidR="00687002" w:rsidRPr="00687002" w:rsidRDefault="00687002" w:rsidP="00687002">
            <w:pPr>
              <w:spacing w:after="0" w:line="240" w:lineRule="auto"/>
              <w:rPr>
                <w:rFonts w:ascii="Times New Roman" w:hAnsi="Times New Roman" w:cs="Times New Roman"/>
                <w:sz w:val="20"/>
                <w:szCs w:val="20"/>
              </w:rPr>
            </w:pPr>
            <w:r w:rsidRPr="00687002">
              <w:rPr>
                <w:rFonts w:ascii="Times New Roman" w:hAnsi="Times New Roman" w:cs="Times New Roman"/>
                <w:sz w:val="20"/>
                <w:szCs w:val="20"/>
              </w:rPr>
              <w:t>EtOAc (CFBE)</w:t>
            </w:r>
          </w:p>
        </w:tc>
        <w:tc>
          <w:tcPr>
            <w:tcW w:w="1178"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500</w:t>
            </w:r>
          </w:p>
        </w:tc>
        <w:tc>
          <w:tcPr>
            <w:tcW w:w="1231"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1000</w:t>
            </w:r>
          </w:p>
        </w:tc>
        <w:tc>
          <w:tcPr>
            <w:tcW w:w="851"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1007"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r>
      <w:tr w:rsidR="00687002" w:rsidRPr="00687002" w:rsidTr="00687002">
        <w:trPr>
          <w:jc w:val="center"/>
        </w:trPr>
        <w:tc>
          <w:tcPr>
            <w:tcW w:w="1997" w:type="dxa"/>
            <w:tcBorders>
              <w:top w:val="nil"/>
              <w:left w:val="nil"/>
              <w:bottom w:val="nil"/>
              <w:right w:val="nil"/>
            </w:tcBorders>
            <w:vAlign w:val="center"/>
          </w:tcPr>
          <w:p w:rsidR="00687002" w:rsidRPr="00687002" w:rsidRDefault="00687002" w:rsidP="00687002">
            <w:pPr>
              <w:spacing w:after="0" w:line="240" w:lineRule="auto"/>
              <w:rPr>
                <w:rFonts w:ascii="Times New Roman" w:hAnsi="Times New Roman" w:cs="Times New Roman"/>
                <w:sz w:val="20"/>
                <w:szCs w:val="20"/>
              </w:rPr>
            </w:pPr>
          </w:p>
        </w:tc>
        <w:tc>
          <w:tcPr>
            <w:tcW w:w="992" w:type="dxa"/>
            <w:tcBorders>
              <w:top w:val="nil"/>
              <w:left w:val="nil"/>
              <w:bottom w:val="nil"/>
              <w:right w:val="nil"/>
            </w:tcBorders>
          </w:tcPr>
          <w:p w:rsidR="00687002" w:rsidRPr="00687002" w:rsidRDefault="00687002" w:rsidP="00687002">
            <w:pPr>
              <w:spacing w:after="0" w:line="240" w:lineRule="auto"/>
              <w:rPr>
                <w:rFonts w:ascii="Times New Roman" w:hAnsi="Times New Roman" w:cs="Times New Roman"/>
                <w:sz w:val="20"/>
                <w:szCs w:val="20"/>
              </w:rPr>
            </w:pPr>
          </w:p>
        </w:tc>
        <w:tc>
          <w:tcPr>
            <w:tcW w:w="1843" w:type="dxa"/>
            <w:tcBorders>
              <w:top w:val="nil"/>
              <w:left w:val="nil"/>
              <w:bottom w:val="nil"/>
              <w:right w:val="nil"/>
            </w:tcBorders>
          </w:tcPr>
          <w:p w:rsidR="00687002" w:rsidRPr="00687002" w:rsidRDefault="00687002" w:rsidP="00687002">
            <w:pPr>
              <w:spacing w:after="0" w:line="240" w:lineRule="auto"/>
              <w:rPr>
                <w:rFonts w:ascii="Times New Roman" w:hAnsi="Times New Roman" w:cs="Times New Roman"/>
                <w:sz w:val="20"/>
                <w:szCs w:val="20"/>
              </w:rPr>
            </w:pPr>
            <w:r w:rsidRPr="00687002">
              <w:rPr>
                <w:rFonts w:ascii="Times New Roman" w:hAnsi="Times New Roman" w:cs="Times New Roman"/>
                <w:sz w:val="20"/>
                <w:szCs w:val="20"/>
              </w:rPr>
              <w:t>MeOH (CFBM)</w:t>
            </w:r>
          </w:p>
        </w:tc>
        <w:tc>
          <w:tcPr>
            <w:tcW w:w="1178"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1231"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851"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1007"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r>
      <w:tr w:rsidR="00687002" w:rsidRPr="00687002" w:rsidTr="00687002">
        <w:trPr>
          <w:jc w:val="center"/>
        </w:trPr>
        <w:tc>
          <w:tcPr>
            <w:tcW w:w="1997" w:type="dxa"/>
            <w:tcBorders>
              <w:top w:val="nil"/>
              <w:left w:val="nil"/>
              <w:bottom w:val="nil"/>
              <w:right w:val="nil"/>
            </w:tcBorders>
            <w:vAlign w:val="center"/>
          </w:tcPr>
          <w:p w:rsidR="00687002" w:rsidRPr="00687002" w:rsidRDefault="00687002" w:rsidP="00687002">
            <w:pPr>
              <w:spacing w:after="0" w:line="240" w:lineRule="auto"/>
              <w:rPr>
                <w:rFonts w:ascii="Times New Roman" w:hAnsi="Times New Roman" w:cs="Times New Roman"/>
                <w:sz w:val="20"/>
                <w:szCs w:val="20"/>
              </w:rPr>
            </w:pPr>
          </w:p>
        </w:tc>
        <w:tc>
          <w:tcPr>
            <w:tcW w:w="992" w:type="dxa"/>
            <w:tcBorders>
              <w:top w:val="nil"/>
              <w:left w:val="nil"/>
              <w:bottom w:val="nil"/>
              <w:right w:val="nil"/>
            </w:tcBorders>
          </w:tcPr>
          <w:p w:rsidR="00687002" w:rsidRPr="00687002" w:rsidRDefault="00687002" w:rsidP="00042BC7">
            <w:pPr>
              <w:spacing w:before="60" w:after="0" w:line="240" w:lineRule="auto"/>
              <w:rPr>
                <w:rFonts w:ascii="Times New Roman" w:hAnsi="Times New Roman" w:cs="Times New Roman"/>
                <w:sz w:val="20"/>
                <w:szCs w:val="20"/>
              </w:rPr>
            </w:pPr>
            <w:r w:rsidRPr="00687002">
              <w:rPr>
                <w:rFonts w:ascii="Times New Roman" w:hAnsi="Times New Roman" w:cs="Times New Roman"/>
                <w:sz w:val="20"/>
                <w:szCs w:val="20"/>
              </w:rPr>
              <w:t>L</w:t>
            </w:r>
          </w:p>
        </w:tc>
        <w:tc>
          <w:tcPr>
            <w:tcW w:w="1843" w:type="dxa"/>
            <w:tcBorders>
              <w:top w:val="nil"/>
              <w:left w:val="nil"/>
              <w:bottom w:val="nil"/>
              <w:right w:val="nil"/>
            </w:tcBorders>
          </w:tcPr>
          <w:p w:rsidR="00687002" w:rsidRPr="00687002" w:rsidRDefault="00687002" w:rsidP="00042BC7">
            <w:pPr>
              <w:spacing w:before="60" w:after="0" w:line="240" w:lineRule="auto"/>
              <w:rPr>
                <w:rFonts w:ascii="Times New Roman" w:hAnsi="Times New Roman" w:cs="Times New Roman"/>
                <w:sz w:val="20"/>
                <w:szCs w:val="20"/>
              </w:rPr>
            </w:pPr>
            <w:r w:rsidRPr="00687002">
              <w:rPr>
                <w:rFonts w:ascii="Times New Roman" w:hAnsi="Times New Roman" w:cs="Times New Roman"/>
                <w:sz w:val="20"/>
                <w:szCs w:val="20"/>
              </w:rPr>
              <w:t>CH</w:t>
            </w:r>
            <w:r w:rsidRPr="00687002">
              <w:rPr>
                <w:rFonts w:ascii="Times New Roman" w:hAnsi="Times New Roman" w:cs="Times New Roman"/>
                <w:sz w:val="20"/>
                <w:szCs w:val="20"/>
                <w:vertAlign w:val="subscript"/>
              </w:rPr>
              <w:t>2</w:t>
            </w:r>
            <w:r w:rsidRPr="00687002">
              <w:rPr>
                <w:rFonts w:ascii="Times New Roman" w:hAnsi="Times New Roman" w:cs="Times New Roman"/>
                <w:sz w:val="20"/>
                <w:szCs w:val="20"/>
              </w:rPr>
              <w:t>Cl</w:t>
            </w:r>
            <w:r w:rsidRPr="00687002">
              <w:rPr>
                <w:rFonts w:ascii="Times New Roman" w:hAnsi="Times New Roman" w:cs="Times New Roman"/>
                <w:sz w:val="20"/>
                <w:szCs w:val="20"/>
                <w:vertAlign w:val="subscript"/>
              </w:rPr>
              <w:t>2</w:t>
            </w:r>
            <w:r w:rsidRPr="00687002">
              <w:rPr>
                <w:rFonts w:ascii="Times New Roman" w:hAnsi="Times New Roman" w:cs="Times New Roman"/>
                <w:sz w:val="20"/>
                <w:szCs w:val="20"/>
              </w:rPr>
              <w:t xml:space="preserve"> (CFLD)</w:t>
            </w:r>
          </w:p>
        </w:tc>
        <w:tc>
          <w:tcPr>
            <w:tcW w:w="1178" w:type="dxa"/>
            <w:tcBorders>
              <w:top w:val="nil"/>
              <w:left w:val="nil"/>
              <w:bottom w:val="nil"/>
              <w:right w:val="nil"/>
            </w:tcBorders>
            <w:vAlign w:val="center"/>
          </w:tcPr>
          <w:p w:rsidR="00687002" w:rsidRPr="00687002" w:rsidRDefault="00687002" w:rsidP="00042BC7">
            <w:pPr>
              <w:spacing w:before="6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1000</w:t>
            </w:r>
          </w:p>
        </w:tc>
        <w:tc>
          <w:tcPr>
            <w:tcW w:w="1231" w:type="dxa"/>
            <w:tcBorders>
              <w:top w:val="nil"/>
              <w:left w:val="nil"/>
              <w:bottom w:val="nil"/>
              <w:right w:val="nil"/>
            </w:tcBorders>
            <w:vAlign w:val="center"/>
          </w:tcPr>
          <w:p w:rsidR="00687002" w:rsidRPr="00687002" w:rsidRDefault="00687002" w:rsidP="00042BC7">
            <w:pPr>
              <w:spacing w:before="6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851" w:type="dxa"/>
            <w:tcBorders>
              <w:top w:val="nil"/>
              <w:left w:val="nil"/>
              <w:bottom w:val="nil"/>
              <w:right w:val="nil"/>
            </w:tcBorders>
            <w:vAlign w:val="center"/>
          </w:tcPr>
          <w:p w:rsidR="00687002" w:rsidRPr="00687002" w:rsidRDefault="00687002" w:rsidP="00042BC7">
            <w:pPr>
              <w:spacing w:before="6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1000</w:t>
            </w:r>
          </w:p>
        </w:tc>
        <w:tc>
          <w:tcPr>
            <w:tcW w:w="1007" w:type="dxa"/>
            <w:tcBorders>
              <w:top w:val="nil"/>
              <w:left w:val="nil"/>
              <w:bottom w:val="nil"/>
              <w:right w:val="nil"/>
            </w:tcBorders>
            <w:vAlign w:val="center"/>
          </w:tcPr>
          <w:p w:rsidR="00687002" w:rsidRPr="00687002" w:rsidRDefault="00687002" w:rsidP="00042BC7">
            <w:pPr>
              <w:spacing w:before="6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1000</w:t>
            </w:r>
          </w:p>
        </w:tc>
      </w:tr>
      <w:tr w:rsidR="00687002" w:rsidRPr="00687002" w:rsidTr="00687002">
        <w:trPr>
          <w:jc w:val="center"/>
        </w:trPr>
        <w:tc>
          <w:tcPr>
            <w:tcW w:w="1997" w:type="dxa"/>
            <w:tcBorders>
              <w:top w:val="nil"/>
              <w:left w:val="nil"/>
              <w:bottom w:val="nil"/>
              <w:right w:val="nil"/>
            </w:tcBorders>
            <w:vAlign w:val="center"/>
          </w:tcPr>
          <w:p w:rsidR="00687002" w:rsidRPr="00687002" w:rsidRDefault="00687002" w:rsidP="00687002">
            <w:pPr>
              <w:spacing w:after="0" w:line="240" w:lineRule="auto"/>
              <w:rPr>
                <w:rFonts w:ascii="Times New Roman" w:hAnsi="Times New Roman" w:cs="Times New Roman"/>
                <w:sz w:val="20"/>
                <w:szCs w:val="20"/>
              </w:rPr>
            </w:pPr>
          </w:p>
        </w:tc>
        <w:tc>
          <w:tcPr>
            <w:tcW w:w="992" w:type="dxa"/>
            <w:tcBorders>
              <w:top w:val="nil"/>
              <w:left w:val="nil"/>
              <w:bottom w:val="nil"/>
              <w:right w:val="nil"/>
            </w:tcBorders>
          </w:tcPr>
          <w:p w:rsidR="00687002" w:rsidRPr="00687002" w:rsidRDefault="00687002" w:rsidP="00687002">
            <w:pPr>
              <w:spacing w:after="0" w:line="240" w:lineRule="auto"/>
              <w:rPr>
                <w:rFonts w:ascii="Times New Roman" w:hAnsi="Times New Roman" w:cs="Times New Roman"/>
                <w:sz w:val="20"/>
                <w:szCs w:val="20"/>
              </w:rPr>
            </w:pPr>
          </w:p>
        </w:tc>
        <w:tc>
          <w:tcPr>
            <w:tcW w:w="1843" w:type="dxa"/>
            <w:tcBorders>
              <w:top w:val="nil"/>
              <w:left w:val="nil"/>
              <w:bottom w:val="nil"/>
              <w:right w:val="nil"/>
            </w:tcBorders>
          </w:tcPr>
          <w:p w:rsidR="00687002" w:rsidRPr="00687002" w:rsidRDefault="00687002" w:rsidP="00687002">
            <w:pPr>
              <w:spacing w:after="0" w:line="240" w:lineRule="auto"/>
              <w:rPr>
                <w:rFonts w:ascii="Times New Roman" w:hAnsi="Times New Roman" w:cs="Times New Roman"/>
                <w:sz w:val="20"/>
                <w:szCs w:val="20"/>
              </w:rPr>
            </w:pPr>
            <w:r w:rsidRPr="00687002">
              <w:rPr>
                <w:rFonts w:ascii="Times New Roman" w:hAnsi="Times New Roman" w:cs="Times New Roman"/>
                <w:sz w:val="20"/>
                <w:szCs w:val="20"/>
              </w:rPr>
              <w:t>EtOAc (CFLE)</w:t>
            </w:r>
          </w:p>
        </w:tc>
        <w:tc>
          <w:tcPr>
            <w:tcW w:w="1178"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1231"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1000</w:t>
            </w:r>
          </w:p>
        </w:tc>
        <w:tc>
          <w:tcPr>
            <w:tcW w:w="851"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500</w:t>
            </w:r>
          </w:p>
        </w:tc>
        <w:tc>
          <w:tcPr>
            <w:tcW w:w="1007"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r>
      <w:tr w:rsidR="00687002" w:rsidRPr="00687002" w:rsidTr="00687002">
        <w:trPr>
          <w:jc w:val="center"/>
        </w:trPr>
        <w:tc>
          <w:tcPr>
            <w:tcW w:w="1997" w:type="dxa"/>
            <w:tcBorders>
              <w:top w:val="nil"/>
              <w:left w:val="nil"/>
              <w:bottom w:val="nil"/>
              <w:right w:val="nil"/>
            </w:tcBorders>
            <w:vAlign w:val="center"/>
          </w:tcPr>
          <w:p w:rsidR="00687002" w:rsidRPr="00687002" w:rsidRDefault="00687002" w:rsidP="00687002">
            <w:pPr>
              <w:spacing w:after="0" w:line="240" w:lineRule="auto"/>
              <w:rPr>
                <w:rFonts w:ascii="Times New Roman" w:hAnsi="Times New Roman" w:cs="Times New Roman"/>
                <w:sz w:val="20"/>
                <w:szCs w:val="20"/>
              </w:rPr>
            </w:pPr>
          </w:p>
        </w:tc>
        <w:tc>
          <w:tcPr>
            <w:tcW w:w="992" w:type="dxa"/>
            <w:tcBorders>
              <w:top w:val="nil"/>
              <w:left w:val="nil"/>
              <w:bottom w:val="nil"/>
              <w:right w:val="nil"/>
            </w:tcBorders>
          </w:tcPr>
          <w:p w:rsidR="00687002" w:rsidRPr="00687002" w:rsidRDefault="00687002" w:rsidP="00687002">
            <w:pPr>
              <w:spacing w:after="0" w:line="240" w:lineRule="auto"/>
              <w:rPr>
                <w:rFonts w:ascii="Times New Roman" w:hAnsi="Times New Roman" w:cs="Times New Roman"/>
                <w:sz w:val="20"/>
                <w:szCs w:val="20"/>
              </w:rPr>
            </w:pPr>
          </w:p>
        </w:tc>
        <w:tc>
          <w:tcPr>
            <w:tcW w:w="1843" w:type="dxa"/>
            <w:tcBorders>
              <w:top w:val="nil"/>
              <w:left w:val="nil"/>
              <w:bottom w:val="nil"/>
              <w:right w:val="nil"/>
            </w:tcBorders>
          </w:tcPr>
          <w:p w:rsidR="00687002" w:rsidRPr="00687002" w:rsidRDefault="00687002" w:rsidP="00687002">
            <w:pPr>
              <w:spacing w:after="0" w:line="240" w:lineRule="auto"/>
              <w:rPr>
                <w:rFonts w:ascii="Times New Roman" w:hAnsi="Times New Roman" w:cs="Times New Roman"/>
                <w:sz w:val="20"/>
                <w:szCs w:val="20"/>
              </w:rPr>
            </w:pPr>
            <w:r w:rsidRPr="00687002">
              <w:rPr>
                <w:rFonts w:ascii="Times New Roman" w:hAnsi="Times New Roman" w:cs="Times New Roman"/>
                <w:sz w:val="20"/>
                <w:szCs w:val="20"/>
              </w:rPr>
              <w:t>MeOH (CFLM)</w:t>
            </w:r>
          </w:p>
        </w:tc>
        <w:tc>
          <w:tcPr>
            <w:tcW w:w="1178"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1231"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851"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1007"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r>
      <w:tr w:rsidR="00687002" w:rsidRPr="00687002" w:rsidTr="00687002">
        <w:trPr>
          <w:jc w:val="center"/>
        </w:trPr>
        <w:tc>
          <w:tcPr>
            <w:tcW w:w="1997" w:type="dxa"/>
            <w:tcBorders>
              <w:top w:val="nil"/>
              <w:left w:val="nil"/>
              <w:bottom w:val="nil"/>
              <w:right w:val="nil"/>
            </w:tcBorders>
            <w:vAlign w:val="center"/>
          </w:tcPr>
          <w:p w:rsidR="00687002" w:rsidRPr="00687002" w:rsidRDefault="00687002" w:rsidP="00042BC7">
            <w:pPr>
              <w:spacing w:before="120" w:after="0" w:line="240" w:lineRule="auto"/>
              <w:rPr>
                <w:rFonts w:ascii="Times New Roman" w:hAnsi="Times New Roman" w:cs="Times New Roman"/>
                <w:i/>
                <w:sz w:val="20"/>
                <w:szCs w:val="20"/>
              </w:rPr>
            </w:pPr>
            <w:r w:rsidRPr="00687002">
              <w:rPr>
                <w:rFonts w:ascii="Times New Roman" w:hAnsi="Times New Roman" w:cs="Times New Roman"/>
                <w:i/>
                <w:sz w:val="20"/>
                <w:szCs w:val="20"/>
              </w:rPr>
              <w:t>C. incrassatum</w:t>
            </w:r>
          </w:p>
        </w:tc>
        <w:tc>
          <w:tcPr>
            <w:tcW w:w="992" w:type="dxa"/>
            <w:tcBorders>
              <w:top w:val="nil"/>
              <w:left w:val="nil"/>
              <w:bottom w:val="nil"/>
              <w:right w:val="nil"/>
            </w:tcBorders>
          </w:tcPr>
          <w:p w:rsidR="00687002" w:rsidRPr="00687002" w:rsidRDefault="00687002" w:rsidP="00042BC7">
            <w:pPr>
              <w:spacing w:before="120" w:after="0" w:line="240" w:lineRule="auto"/>
              <w:rPr>
                <w:rFonts w:ascii="Times New Roman" w:hAnsi="Times New Roman" w:cs="Times New Roman"/>
                <w:sz w:val="20"/>
                <w:szCs w:val="20"/>
              </w:rPr>
            </w:pPr>
            <w:r w:rsidRPr="00687002">
              <w:rPr>
                <w:rFonts w:ascii="Times New Roman" w:hAnsi="Times New Roman" w:cs="Times New Roman"/>
                <w:sz w:val="20"/>
                <w:szCs w:val="20"/>
              </w:rPr>
              <w:t>B</w:t>
            </w:r>
          </w:p>
        </w:tc>
        <w:tc>
          <w:tcPr>
            <w:tcW w:w="1843" w:type="dxa"/>
            <w:tcBorders>
              <w:top w:val="nil"/>
              <w:left w:val="nil"/>
              <w:bottom w:val="nil"/>
              <w:right w:val="nil"/>
            </w:tcBorders>
          </w:tcPr>
          <w:p w:rsidR="00687002" w:rsidRPr="00687002" w:rsidRDefault="00687002" w:rsidP="00042BC7">
            <w:pPr>
              <w:spacing w:before="120" w:after="0" w:line="240" w:lineRule="auto"/>
              <w:rPr>
                <w:rFonts w:ascii="Times New Roman" w:hAnsi="Times New Roman" w:cs="Times New Roman"/>
                <w:sz w:val="20"/>
                <w:szCs w:val="20"/>
              </w:rPr>
            </w:pPr>
            <w:r w:rsidRPr="00687002">
              <w:rPr>
                <w:rFonts w:ascii="Times New Roman" w:hAnsi="Times New Roman" w:cs="Times New Roman"/>
                <w:sz w:val="20"/>
                <w:szCs w:val="20"/>
              </w:rPr>
              <w:t>CH</w:t>
            </w:r>
            <w:r w:rsidRPr="00687002">
              <w:rPr>
                <w:rFonts w:ascii="Times New Roman" w:hAnsi="Times New Roman" w:cs="Times New Roman"/>
                <w:sz w:val="20"/>
                <w:szCs w:val="20"/>
                <w:vertAlign w:val="subscript"/>
              </w:rPr>
              <w:t>2</w:t>
            </w:r>
            <w:r w:rsidRPr="00687002">
              <w:rPr>
                <w:rFonts w:ascii="Times New Roman" w:hAnsi="Times New Roman" w:cs="Times New Roman"/>
                <w:sz w:val="20"/>
                <w:szCs w:val="20"/>
              </w:rPr>
              <w:t>Cl</w:t>
            </w:r>
            <w:r w:rsidRPr="00687002">
              <w:rPr>
                <w:rFonts w:ascii="Times New Roman" w:hAnsi="Times New Roman" w:cs="Times New Roman"/>
                <w:sz w:val="20"/>
                <w:szCs w:val="20"/>
                <w:vertAlign w:val="subscript"/>
              </w:rPr>
              <w:t>2</w:t>
            </w:r>
            <w:r w:rsidRPr="00687002">
              <w:rPr>
                <w:rFonts w:ascii="Times New Roman" w:hAnsi="Times New Roman" w:cs="Times New Roman"/>
                <w:sz w:val="20"/>
                <w:szCs w:val="20"/>
              </w:rPr>
              <w:t xml:space="preserve"> (CIBD)</w:t>
            </w:r>
          </w:p>
        </w:tc>
        <w:tc>
          <w:tcPr>
            <w:tcW w:w="1178" w:type="dxa"/>
            <w:tcBorders>
              <w:top w:val="nil"/>
              <w:left w:val="nil"/>
              <w:bottom w:val="nil"/>
              <w:right w:val="nil"/>
            </w:tcBorders>
            <w:vAlign w:val="center"/>
          </w:tcPr>
          <w:p w:rsidR="00687002" w:rsidRPr="00687002" w:rsidRDefault="00687002" w:rsidP="00042BC7">
            <w:pPr>
              <w:spacing w:before="12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1231" w:type="dxa"/>
            <w:tcBorders>
              <w:top w:val="nil"/>
              <w:left w:val="nil"/>
              <w:bottom w:val="nil"/>
              <w:right w:val="nil"/>
            </w:tcBorders>
            <w:vAlign w:val="center"/>
          </w:tcPr>
          <w:p w:rsidR="00687002" w:rsidRPr="00687002" w:rsidRDefault="00687002" w:rsidP="00042BC7">
            <w:pPr>
              <w:spacing w:before="12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851" w:type="dxa"/>
            <w:tcBorders>
              <w:top w:val="nil"/>
              <w:left w:val="nil"/>
              <w:bottom w:val="nil"/>
              <w:right w:val="nil"/>
            </w:tcBorders>
            <w:vAlign w:val="center"/>
          </w:tcPr>
          <w:p w:rsidR="00687002" w:rsidRPr="00687002" w:rsidRDefault="00687002" w:rsidP="00042BC7">
            <w:pPr>
              <w:spacing w:before="12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1007" w:type="dxa"/>
            <w:tcBorders>
              <w:top w:val="nil"/>
              <w:left w:val="nil"/>
              <w:bottom w:val="nil"/>
              <w:right w:val="nil"/>
            </w:tcBorders>
            <w:vAlign w:val="center"/>
          </w:tcPr>
          <w:p w:rsidR="00687002" w:rsidRPr="00687002" w:rsidRDefault="00687002" w:rsidP="00042BC7">
            <w:pPr>
              <w:spacing w:before="12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r>
      <w:tr w:rsidR="00687002" w:rsidRPr="00687002" w:rsidTr="00687002">
        <w:trPr>
          <w:jc w:val="center"/>
        </w:trPr>
        <w:tc>
          <w:tcPr>
            <w:tcW w:w="1997" w:type="dxa"/>
            <w:tcBorders>
              <w:top w:val="nil"/>
              <w:left w:val="nil"/>
              <w:bottom w:val="nil"/>
              <w:right w:val="nil"/>
            </w:tcBorders>
            <w:vAlign w:val="center"/>
          </w:tcPr>
          <w:p w:rsidR="00687002" w:rsidRPr="00687002" w:rsidRDefault="00687002" w:rsidP="00687002">
            <w:pPr>
              <w:spacing w:after="0" w:line="240" w:lineRule="auto"/>
              <w:rPr>
                <w:rFonts w:ascii="Times New Roman" w:hAnsi="Times New Roman" w:cs="Times New Roman"/>
                <w:i/>
                <w:sz w:val="20"/>
                <w:szCs w:val="20"/>
              </w:rPr>
            </w:pPr>
          </w:p>
        </w:tc>
        <w:tc>
          <w:tcPr>
            <w:tcW w:w="992" w:type="dxa"/>
            <w:tcBorders>
              <w:top w:val="nil"/>
              <w:left w:val="nil"/>
              <w:bottom w:val="nil"/>
              <w:right w:val="nil"/>
            </w:tcBorders>
          </w:tcPr>
          <w:p w:rsidR="00687002" w:rsidRPr="00687002" w:rsidRDefault="00687002" w:rsidP="00687002">
            <w:pPr>
              <w:spacing w:after="0" w:line="240" w:lineRule="auto"/>
              <w:rPr>
                <w:rFonts w:ascii="Times New Roman" w:hAnsi="Times New Roman" w:cs="Times New Roman"/>
                <w:sz w:val="20"/>
                <w:szCs w:val="20"/>
              </w:rPr>
            </w:pPr>
          </w:p>
        </w:tc>
        <w:tc>
          <w:tcPr>
            <w:tcW w:w="1843" w:type="dxa"/>
            <w:tcBorders>
              <w:top w:val="nil"/>
              <w:left w:val="nil"/>
              <w:bottom w:val="nil"/>
              <w:right w:val="nil"/>
            </w:tcBorders>
          </w:tcPr>
          <w:p w:rsidR="00687002" w:rsidRPr="00687002" w:rsidRDefault="00687002" w:rsidP="00687002">
            <w:pPr>
              <w:spacing w:after="0" w:line="240" w:lineRule="auto"/>
              <w:rPr>
                <w:rFonts w:ascii="Times New Roman" w:hAnsi="Times New Roman" w:cs="Times New Roman"/>
                <w:sz w:val="20"/>
                <w:szCs w:val="20"/>
              </w:rPr>
            </w:pPr>
            <w:r w:rsidRPr="00687002">
              <w:rPr>
                <w:rFonts w:ascii="Times New Roman" w:hAnsi="Times New Roman" w:cs="Times New Roman"/>
                <w:sz w:val="20"/>
                <w:szCs w:val="20"/>
              </w:rPr>
              <w:t>EtOAc (CIBE)</w:t>
            </w:r>
          </w:p>
        </w:tc>
        <w:tc>
          <w:tcPr>
            <w:tcW w:w="1178"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1231"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851"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1007"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r>
      <w:tr w:rsidR="00687002" w:rsidRPr="00687002" w:rsidTr="00687002">
        <w:trPr>
          <w:jc w:val="center"/>
        </w:trPr>
        <w:tc>
          <w:tcPr>
            <w:tcW w:w="1997" w:type="dxa"/>
            <w:tcBorders>
              <w:top w:val="nil"/>
              <w:left w:val="nil"/>
              <w:bottom w:val="nil"/>
              <w:right w:val="nil"/>
            </w:tcBorders>
            <w:vAlign w:val="center"/>
          </w:tcPr>
          <w:p w:rsidR="00687002" w:rsidRPr="00687002" w:rsidRDefault="00687002" w:rsidP="00687002">
            <w:pPr>
              <w:spacing w:after="0" w:line="240" w:lineRule="auto"/>
              <w:rPr>
                <w:rFonts w:ascii="Times New Roman" w:hAnsi="Times New Roman" w:cs="Times New Roman"/>
                <w:i/>
                <w:sz w:val="20"/>
                <w:szCs w:val="20"/>
              </w:rPr>
            </w:pPr>
          </w:p>
        </w:tc>
        <w:tc>
          <w:tcPr>
            <w:tcW w:w="992" w:type="dxa"/>
            <w:tcBorders>
              <w:top w:val="nil"/>
              <w:left w:val="nil"/>
              <w:bottom w:val="nil"/>
              <w:right w:val="nil"/>
            </w:tcBorders>
          </w:tcPr>
          <w:p w:rsidR="00687002" w:rsidRPr="00687002" w:rsidRDefault="00687002" w:rsidP="00687002">
            <w:pPr>
              <w:spacing w:after="0" w:line="240" w:lineRule="auto"/>
              <w:rPr>
                <w:rFonts w:ascii="Times New Roman" w:hAnsi="Times New Roman" w:cs="Times New Roman"/>
                <w:sz w:val="20"/>
                <w:szCs w:val="20"/>
              </w:rPr>
            </w:pPr>
          </w:p>
        </w:tc>
        <w:tc>
          <w:tcPr>
            <w:tcW w:w="1843" w:type="dxa"/>
            <w:tcBorders>
              <w:top w:val="nil"/>
              <w:left w:val="nil"/>
              <w:bottom w:val="nil"/>
              <w:right w:val="nil"/>
            </w:tcBorders>
          </w:tcPr>
          <w:p w:rsidR="00687002" w:rsidRPr="00687002" w:rsidRDefault="00687002" w:rsidP="00687002">
            <w:pPr>
              <w:spacing w:after="0" w:line="240" w:lineRule="auto"/>
              <w:rPr>
                <w:rFonts w:ascii="Times New Roman" w:hAnsi="Times New Roman" w:cs="Times New Roman"/>
                <w:sz w:val="20"/>
                <w:szCs w:val="20"/>
              </w:rPr>
            </w:pPr>
            <w:r w:rsidRPr="00687002">
              <w:rPr>
                <w:rFonts w:ascii="Times New Roman" w:hAnsi="Times New Roman" w:cs="Times New Roman"/>
                <w:sz w:val="20"/>
                <w:szCs w:val="20"/>
              </w:rPr>
              <w:t>MeOH (CIBM)</w:t>
            </w:r>
          </w:p>
        </w:tc>
        <w:tc>
          <w:tcPr>
            <w:tcW w:w="1178"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1231"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851"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1007"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1000</w:t>
            </w:r>
          </w:p>
        </w:tc>
      </w:tr>
      <w:tr w:rsidR="00687002" w:rsidRPr="00687002" w:rsidTr="00687002">
        <w:trPr>
          <w:jc w:val="center"/>
        </w:trPr>
        <w:tc>
          <w:tcPr>
            <w:tcW w:w="1997" w:type="dxa"/>
            <w:tcBorders>
              <w:top w:val="nil"/>
              <w:left w:val="nil"/>
              <w:bottom w:val="nil"/>
              <w:right w:val="nil"/>
            </w:tcBorders>
            <w:vAlign w:val="center"/>
          </w:tcPr>
          <w:p w:rsidR="00687002" w:rsidRPr="00687002" w:rsidRDefault="00687002" w:rsidP="00687002">
            <w:pPr>
              <w:spacing w:after="0" w:line="240" w:lineRule="auto"/>
              <w:rPr>
                <w:rFonts w:ascii="Times New Roman" w:hAnsi="Times New Roman" w:cs="Times New Roman"/>
                <w:i/>
                <w:sz w:val="20"/>
                <w:szCs w:val="20"/>
              </w:rPr>
            </w:pPr>
          </w:p>
        </w:tc>
        <w:tc>
          <w:tcPr>
            <w:tcW w:w="992" w:type="dxa"/>
            <w:tcBorders>
              <w:top w:val="nil"/>
              <w:left w:val="nil"/>
              <w:bottom w:val="nil"/>
              <w:right w:val="nil"/>
            </w:tcBorders>
          </w:tcPr>
          <w:p w:rsidR="00687002" w:rsidRPr="00687002" w:rsidRDefault="00687002" w:rsidP="00042BC7">
            <w:pPr>
              <w:spacing w:before="60" w:after="0" w:line="240" w:lineRule="auto"/>
              <w:rPr>
                <w:rFonts w:ascii="Times New Roman" w:hAnsi="Times New Roman" w:cs="Times New Roman"/>
                <w:sz w:val="20"/>
                <w:szCs w:val="20"/>
              </w:rPr>
            </w:pPr>
            <w:r w:rsidRPr="00687002">
              <w:rPr>
                <w:rFonts w:ascii="Times New Roman" w:hAnsi="Times New Roman" w:cs="Times New Roman"/>
                <w:sz w:val="20"/>
                <w:szCs w:val="20"/>
              </w:rPr>
              <w:t>L</w:t>
            </w:r>
          </w:p>
        </w:tc>
        <w:tc>
          <w:tcPr>
            <w:tcW w:w="1843" w:type="dxa"/>
            <w:tcBorders>
              <w:top w:val="nil"/>
              <w:left w:val="nil"/>
              <w:bottom w:val="nil"/>
              <w:right w:val="nil"/>
            </w:tcBorders>
          </w:tcPr>
          <w:p w:rsidR="00687002" w:rsidRPr="00687002" w:rsidRDefault="00687002" w:rsidP="00042BC7">
            <w:pPr>
              <w:spacing w:before="60" w:after="0" w:line="240" w:lineRule="auto"/>
              <w:rPr>
                <w:rFonts w:ascii="Times New Roman" w:hAnsi="Times New Roman" w:cs="Times New Roman"/>
                <w:sz w:val="20"/>
                <w:szCs w:val="20"/>
              </w:rPr>
            </w:pPr>
            <w:r w:rsidRPr="00687002">
              <w:rPr>
                <w:rFonts w:ascii="Times New Roman" w:hAnsi="Times New Roman" w:cs="Times New Roman"/>
                <w:sz w:val="20"/>
                <w:szCs w:val="20"/>
              </w:rPr>
              <w:t>CH</w:t>
            </w:r>
            <w:r w:rsidRPr="00687002">
              <w:rPr>
                <w:rFonts w:ascii="Times New Roman" w:hAnsi="Times New Roman" w:cs="Times New Roman"/>
                <w:sz w:val="20"/>
                <w:szCs w:val="20"/>
                <w:vertAlign w:val="subscript"/>
              </w:rPr>
              <w:t>2</w:t>
            </w:r>
            <w:r w:rsidRPr="00687002">
              <w:rPr>
                <w:rFonts w:ascii="Times New Roman" w:hAnsi="Times New Roman" w:cs="Times New Roman"/>
                <w:sz w:val="20"/>
                <w:szCs w:val="20"/>
              </w:rPr>
              <w:t>Cl</w:t>
            </w:r>
            <w:r w:rsidRPr="00687002">
              <w:rPr>
                <w:rFonts w:ascii="Times New Roman" w:hAnsi="Times New Roman" w:cs="Times New Roman"/>
                <w:sz w:val="20"/>
                <w:szCs w:val="20"/>
                <w:vertAlign w:val="subscript"/>
              </w:rPr>
              <w:t>2</w:t>
            </w:r>
            <w:r w:rsidRPr="00687002">
              <w:rPr>
                <w:rFonts w:ascii="Times New Roman" w:hAnsi="Times New Roman" w:cs="Times New Roman"/>
                <w:sz w:val="20"/>
                <w:szCs w:val="20"/>
              </w:rPr>
              <w:t xml:space="preserve"> (CILD)</w:t>
            </w:r>
          </w:p>
        </w:tc>
        <w:tc>
          <w:tcPr>
            <w:tcW w:w="1178" w:type="dxa"/>
            <w:tcBorders>
              <w:top w:val="nil"/>
              <w:left w:val="nil"/>
              <w:bottom w:val="nil"/>
              <w:right w:val="nil"/>
            </w:tcBorders>
            <w:vAlign w:val="center"/>
          </w:tcPr>
          <w:p w:rsidR="00687002" w:rsidRPr="00687002" w:rsidRDefault="00687002" w:rsidP="00042BC7">
            <w:pPr>
              <w:spacing w:before="6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1000</w:t>
            </w:r>
          </w:p>
        </w:tc>
        <w:tc>
          <w:tcPr>
            <w:tcW w:w="1231" w:type="dxa"/>
            <w:tcBorders>
              <w:top w:val="nil"/>
              <w:left w:val="nil"/>
              <w:bottom w:val="nil"/>
              <w:right w:val="nil"/>
            </w:tcBorders>
            <w:vAlign w:val="center"/>
          </w:tcPr>
          <w:p w:rsidR="00687002" w:rsidRPr="00687002" w:rsidRDefault="00687002" w:rsidP="00042BC7">
            <w:pPr>
              <w:spacing w:before="6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1000</w:t>
            </w:r>
          </w:p>
        </w:tc>
        <w:tc>
          <w:tcPr>
            <w:tcW w:w="851" w:type="dxa"/>
            <w:tcBorders>
              <w:top w:val="nil"/>
              <w:left w:val="nil"/>
              <w:bottom w:val="nil"/>
              <w:right w:val="nil"/>
            </w:tcBorders>
            <w:vAlign w:val="center"/>
          </w:tcPr>
          <w:p w:rsidR="00687002" w:rsidRPr="00687002" w:rsidRDefault="00687002" w:rsidP="00042BC7">
            <w:pPr>
              <w:spacing w:before="6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1007" w:type="dxa"/>
            <w:tcBorders>
              <w:top w:val="nil"/>
              <w:left w:val="nil"/>
              <w:bottom w:val="nil"/>
              <w:right w:val="nil"/>
            </w:tcBorders>
            <w:vAlign w:val="center"/>
          </w:tcPr>
          <w:p w:rsidR="00687002" w:rsidRPr="00687002" w:rsidRDefault="00687002" w:rsidP="00042BC7">
            <w:pPr>
              <w:spacing w:before="6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r>
      <w:tr w:rsidR="00687002" w:rsidRPr="00687002" w:rsidTr="00687002">
        <w:trPr>
          <w:jc w:val="center"/>
        </w:trPr>
        <w:tc>
          <w:tcPr>
            <w:tcW w:w="1997" w:type="dxa"/>
            <w:tcBorders>
              <w:top w:val="nil"/>
              <w:left w:val="nil"/>
              <w:bottom w:val="nil"/>
              <w:right w:val="nil"/>
            </w:tcBorders>
            <w:vAlign w:val="center"/>
          </w:tcPr>
          <w:p w:rsidR="00687002" w:rsidRPr="00687002" w:rsidRDefault="00687002" w:rsidP="00687002">
            <w:pPr>
              <w:spacing w:after="0" w:line="240" w:lineRule="auto"/>
              <w:rPr>
                <w:rFonts w:ascii="Times New Roman" w:hAnsi="Times New Roman" w:cs="Times New Roman"/>
                <w:i/>
                <w:sz w:val="20"/>
                <w:szCs w:val="20"/>
              </w:rPr>
            </w:pPr>
          </w:p>
        </w:tc>
        <w:tc>
          <w:tcPr>
            <w:tcW w:w="992" w:type="dxa"/>
            <w:tcBorders>
              <w:top w:val="nil"/>
              <w:left w:val="nil"/>
              <w:bottom w:val="nil"/>
              <w:right w:val="nil"/>
            </w:tcBorders>
          </w:tcPr>
          <w:p w:rsidR="00687002" w:rsidRPr="00687002" w:rsidRDefault="00687002" w:rsidP="00687002">
            <w:pPr>
              <w:spacing w:after="0" w:line="240" w:lineRule="auto"/>
              <w:rPr>
                <w:rFonts w:ascii="Times New Roman" w:hAnsi="Times New Roman" w:cs="Times New Roman"/>
                <w:sz w:val="20"/>
                <w:szCs w:val="20"/>
              </w:rPr>
            </w:pPr>
          </w:p>
        </w:tc>
        <w:tc>
          <w:tcPr>
            <w:tcW w:w="1843" w:type="dxa"/>
            <w:tcBorders>
              <w:top w:val="nil"/>
              <w:left w:val="nil"/>
              <w:bottom w:val="nil"/>
              <w:right w:val="nil"/>
            </w:tcBorders>
          </w:tcPr>
          <w:p w:rsidR="00687002" w:rsidRPr="00687002" w:rsidRDefault="00687002" w:rsidP="00687002">
            <w:pPr>
              <w:spacing w:after="0" w:line="240" w:lineRule="auto"/>
              <w:rPr>
                <w:rFonts w:ascii="Times New Roman" w:hAnsi="Times New Roman" w:cs="Times New Roman"/>
                <w:sz w:val="20"/>
                <w:szCs w:val="20"/>
              </w:rPr>
            </w:pPr>
            <w:r w:rsidRPr="00687002">
              <w:rPr>
                <w:rFonts w:ascii="Times New Roman" w:hAnsi="Times New Roman" w:cs="Times New Roman"/>
                <w:sz w:val="20"/>
                <w:szCs w:val="20"/>
              </w:rPr>
              <w:t>EtOAc (CILE)</w:t>
            </w:r>
          </w:p>
        </w:tc>
        <w:tc>
          <w:tcPr>
            <w:tcW w:w="1178"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1000</w:t>
            </w:r>
          </w:p>
        </w:tc>
        <w:tc>
          <w:tcPr>
            <w:tcW w:w="1231"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851"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1007"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r>
      <w:tr w:rsidR="00687002" w:rsidRPr="00687002" w:rsidTr="00042BC7">
        <w:trPr>
          <w:jc w:val="center"/>
        </w:trPr>
        <w:tc>
          <w:tcPr>
            <w:tcW w:w="1997" w:type="dxa"/>
            <w:tcBorders>
              <w:top w:val="nil"/>
              <w:left w:val="nil"/>
              <w:bottom w:val="nil"/>
              <w:right w:val="nil"/>
            </w:tcBorders>
            <w:vAlign w:val="center"/>
          </w:tcPr>
          <w:p w:rsidR="00687002" w:rsidRPr="00687002" w:rsidRDefault="00687002" w:rsidP="00687002">
            <w:pPr>
              <w:spacing w:after="0" w:line="240" w:lineRule="auto"/>
              <w:rPr>
                <w:rFonts w:ascii="Times New Roman" w:hAnsi="Times New Roman" w:cs="Times New Roman"/>
                <w:i/>
                <w:sz w:val="20"/>
                <w:szCs w:val="20"/>
              </w:rPr>
            </w:pPr>
          </w:p>
        </w:tc>
        <w:tc>
          <w:tcPr>
            <w:tcW w:w="992" w:type="dxa"/>
            <w:tcBorders>
              <w:top w:val="nil"/>
              <w:left w:val="nil"/>
              <w:bottom w:val="nil"/>
              <w:right w:val="nil"/>
            </w:tcBorders>
          </w:tcPr>
          <w:p w:rsidR="00687002" w:rsidRPr="00687002" w:rsidRDefault="00687002" w:rsidP="00687002">
            <w:pPr>
              <w:spacing w:after="0" w:line="240" w:lineRule="auto"/>
              <w:rPr>
                <w:rFonts w:ascii="Times New Roman" w:hAnsi="Times New Roman" w:cs="Times New Roman"/>
                <w:sz w:val="20"/>
                <w:szCs w:val="20"/>
              </w:rPr>
            </w:pPr>
          </w:p>
        </w:tc>
        <w:tc>
          <w:tcPr>
            <w:tcW w:w="1843" w:type="dxa"/>
            <w:tcBorders>
              <w:top w:val="nil"/>
              <w:left w:val="nil"/>
              <w:bottom w:val="nil"/>
              <w:right w:val="nil"/>
            </w:tcBorders>
          </w:tcPr>
          <w:p w:rsidR="00687002" w:rsidRPr="00687002" w:rsidRDefault="00687002" w:rsidP="00687002">
            <w:pPr>
              <w:spacing w:after="0" w:line="240" w:lineRule="auto"/>
              <w:rPr>
                <w:rFonts w:ascii="Times New Roman" w:hAnsi="Times New Roman" w:cs="Times New Roman"/>
                <w:sz w:val="20"/>
                <w:szCs w:val="20"/>
              </w:rPr>
            </w:pPr>
            <w:r w:rsidRPr="00687002">
              <w:rPr>
                <w:rFonts w:ascii="Times New Roman" w:hAnsi="Times New Roman" w:cs="Times New Roman"/>
                <w:sz w:val="20"/>
                <w:szCs w:val="20"/>
              </w:rPr>
              <w:t>MeOH (CILM)</w:t>
            </w:r>
          </w:p>
        </w:tc>
        <w:tc>
          <w:tcPr>
            <w:tcW w:w="1178"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1231"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851"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c>
          <w:tcPr>
            <w:tcW w:w="1007" w:type="dxa"/>
            <w:tcBorders>
              <w:top w:val="nil"/>
              <w:left w:val="nil"/>
              <w:bottom w:val="nil"/>
              <w:right w:val="nil"/>
            </w:tcBorders>
            <w:vAlign w:val="center"/>
          </w:tcPr>
          <w:p w:rsidR="00687002" w:rsidRPr="00687002" w:rsidRDefault="00687002" w:rsidP="00687002">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&gt;1000</w:t>
            </w:r>
          </w:p>
        </w:tc>
      </w:tr>
      <w:tr w:rsidR="00687002" w:rsidRPr="00687002" w:rsidTr="00042BC7">
        <w:trPr>
          <w:jc w:val="center"/>
        </w:trPr>
        <w:tc>
          <w:tcPr>
            <w:tcW w:w="1997" w:type="dxa"/>
            <w:tcBorders>
              <w:top w:val="nil"/>
              <w:left w:val="nil"/>
              <w:bottom w:val="single" w:sz="4" w:space="0" w:color="auto"/>
              <w:right w:val="nil"/>
            </w:tcBorders>
            <w:vAlign w:val="center"/>
          </w:tcPr>
          <w:p w:rsidR="00687002" w:rsidRPr="00687002" w:rsidRDefault="00687002" w:rsidP="00042BC7">
            <w:pPr>
              <w:spacing w:before="120" w:after="60" w:line="240" w:lineRule="auto"/>
              <w:rPr>
                <w:rFonts w:ascii="Times New Roman" w:hAnsi="Times New Roman" w:cs="Times New Roman"/>
                <w:sz w:val="20"/>
                <w:szCs w:val="20"/>
              </w:rPr>
            </w:pPr>
            <w:r w:rsidRPr="00687002">
              <w:rPr>
                <w:rFonts w:ascii="Times New Roman" w:hAnsi="Times New Roman" w:cs="Times New Roman"/>
                <w:sz w:val="20"/>
                <w:szCs w:val="20"/>
              </w:rPr>
              <w:t>SS</w:t>
            </w:r>
            <w:r w:rsidRPr="00687002">
              <w:rPr>
                <w:rFonts w:ascii="Times New Roman" w:hAnsi="Times New Roman" w:cs="Times New Roman"/>
                <w:sz w:val="20"/>
                <w:szCs w:val="20"/>
                <w:vertAlign w:val="superscript"/>
              </w:rPr>
              <w:t>b</w:t>
            </w:r>
          </w:p>
        </w:tc>
        <w:tc>
          <w:tcPr>
            <w:tcW w:w="992" w:type="dxa"/>
            <w:tcBorders>
              <w:top w:val="nil"/>
              <w:left w:val="nil"/>
              <w:bottom w:val="single" w:sz="4" w:space="0" w:color="auto"/>
              <w:right w:val="nil"/>
            </w:tcBorders>
          </w:tcPr>
          <w:p w:rsidR="00687002" w:rsidRPr="00687002" w:rsidRDefault="00687002" w:rsidP="00042BC7">
            <w:pPr>
              <w:spacing w:before="120" w:after="60" w:line="240" w:lineRule="auto"/>
              <w:rPr>
                <w:rFonts w:ascii="Times New Roman" w:hAnsi="Times New Roman" w:cs="Times New Roman"/>
                <w:sz w:val="20"/>
                <w:szCs w:val="20"/>
              </w:rPr>
            </w:pPr>
          </w:p>
        </w:tc>
        <w:tc>
          <w:tcPr>
            <w:tcW w:w="1843" w:type="dxa"/>
            <w:tcBorders>
              <w:top w:val="nil"/>
              <w:left w:val="nil"/>
              <w:bottom w:val="single" w:sz="4" w:space="0" w:color="auto"/>
              <w:right w:val="nil"/>
            </w:tcBorders>
          </w:tcPr>
          <w:p w:rsidR="00687002" w:rsidRPr="00687002" w:rsidRDefault="00687002" w:rsidP="00042BC7">
            <w:pPr>
              <w:spacing w:before="120" w:after="60" w:line="240" w:lineRule="auto"/>
              <w:rPr>
                <w:rFonts w:ascii="Times New Roman" w:hAnsi="Times New Roman" w:cs="Times New Roman"/>
                <w:sz w:val="20"/>
                <w:szCs w:val="20"/>
              </w:rPr>
            </w:pPr>
          </w:p>
        </w:tc>
        <w:tc>
          <w:tcPr>
            <w:tcW w:w="1178" w:type="dxa"/>
            <w:tcBorders>
              <w:top w:val="nil"/>
              <w:left w:val="nil"/>
              <w:bottom w:val="single" w:sz="4" w:space="0" w:color="auto"/>
              <w:right w:val="nil"/>
            </w:tcBorders>
            <w:vAlign w:val="center"/>
          </w:tcPr>
          <w:p w:rsidR="00687002" w:rsidRPr="00687002" w:rsidRDefault="00687002" w:rsidP="00042BC7">
            <w:pPr>
              <w:spacing w:before="120" w:after="60" w:line="240" w:lineRule="auto"/>
              <w:jc w:val="center"/>
              <w:rPr>
                <w:rFonts w:ascii="Times New Roman" w:hAnsi="Times New Roman" w:cs="Times New Roman"/>
                <w:sz w:val="20"/>
                <w:szCs w:val="20"/>
              </w:rPr>
            </w:pPr>
            <w:r w:rsidRPr="00687002">
              <w:rPr>
                <w:rFonts w:ascii="Times New Roman" w:hAnsi="Times New Roman" w:cs="Times New Roman"/>
                <w:sz w:val="20"/>
                <w:szCs w:val="20"/>
              </w:rPr>
              <w:t>1.56</w:t>
            </w:r>
          </w:p>
        </w:tc>
        <w:tc>
          <w:tcPr>
            <w:tcW w:w="1231" w:type="dxa"/>
            <w:tcBorders>
              <w:top w:val="nil"/>
              <w:left w:val="nil"/>
              <w:bottom w:val="single" w:sz="4" w:space="0" w:color="auto"/>
              <w:right w:val="nil"/>
            </w:tcBorders>
            <w:vAlign w:val="center"/>
          </w:tcPr>
          <w:p w:rsidR="00687002" w:rsidRPr="00687002" w:rsidRDefault="00687002" w:rsidP="00042BC7">
            <w:pPr>
              <w:spacing w:before="120" w:after="60" w:line="240" w:lineRule="auto"/>
              <w:jc w:val="center"/>
              <w:rPr>
                <w:rFonts w:ascii="Times New Roman" w:hAnsi="Times New Roman" w:cs="Times New Roman"/>
                <w:sz w:val="20"/>
                <w:szCs w:val="20"/>
              </w:rPr>
            </w:pPr>
            <w:r w:rsidRPr="00687002">
              <w:rPr>
                <w:rFonts w:ascii="Times New Roman" w:hAnsi="Times New Roman" w:cs="Times New Roman"/>
                <w:sz w:val="20"/>
                <w:szCs w:val="20"/>
              </w:rPr>
              <w:t>50</w:t>
            </w:r>
          </w:p>
        </w:tc>
        <w:tc>
          <w:tcPr>
            <w:tcW w:w="851" w:type="dxa"/>
            <w:tcBorders>
              <w:top w:val="nil"/>
              <w:left w:val="nil"/>
              <w:bottom w:val="single" w:sz="4" w:space="0" w:color="auto"/>
              <w:right w:val="nil"/>
            </w:tcBorders>
            <w:vAlign w:val="center"/>
          </w:tcPr>
          <w:p w:rsidR="00687002" w:rsidRPr="00687002" w:rsidRDefault="00687002" w:rsidP="00042BC7">
            <w:pPr>
              <w:spacing w:before="120" w:after="60" w:line="240" w:lineRule="auto"/>
              <w:jc w:val="center"/>
              <w:rPr>
                <w:rFonts w:ascii="Times New Roman" w:hAnsi="Times New Roman" w:cs="Times New Roman"/>
                <w:sz w:val="20"/>
                <w:szCs w:val="20"/>
              </w:rPr>
            </w:pPr>
            <w:r w:rsidRPr="00687002">
              <w:rPr>
                <w:rFonts w:ascii="Times New Roman" w:hAnsi="Times New Roman" w:cs="Times New Roman"/>
                <w:sz w:val="20"/>
                <w:szCs w:val="20"/>
              </w:rPr>
              <w:t>6.25</w:t>
            </w:r>
          </w:p>
        </w:tc>
        <w:tc>
          <w:tcPr>
            <w:tcW w:w="1007" w:type="dxa"/>
            <w:tcBorders>
              <w:top w:val="nil"/>
              <w:left w:val="nil"/>
              <w:bottom w:val="single" w:sz="4" w:space="0" w:color="auto"/>
              <w:right w:val="nil"/>
            </w:tcBorders>
            <w:vAlign w:val="center"/>
          </w:tcPr>
          <w:p w:rsidR="00687002" w:rsidRPr="00687002" w:rsidRDefault="00687002" w:rsidP="00042BC7">
            <w:pPr>
              <w:spacing w:before="120" w:after="60" w:line="240" w:lineRule="auto"/>
              <w:jc w:val="center"/>
              <w:rPr>
                <w:rFonts w:ascii="Times New Roman" w:hAnsi="Times New Roman" w:cs="Times New Roman"/>
                <w:sz w:val="20"/>
                <w:szCs w:val="20"/>
              </w:rPr>
            </w:pPr>
            <w:r w:rsidRPr="00687002">
              <w:rPr>
                <w:rFonts w:ascii="Times New Roman" w:hAnsi="Times New Roman" w:cs="Times New Roman"/>
                <w:sz w:val="20"/>
                <w:szCs w:val="20"/>
              </w:rPr>
              <w:t>0.78</w:t>
            </w:r>
          </w:p>
        </w:tc>
      </w:tr>
    </w:tbl>
    <w:p w:rsidR="00687002" w:rsidRPr="00042BC7" w:rsidRDefault="00687002" w:rsidP="00042BC7">
      <w:pPr>
        <w:spacing w:before="60" w:after="0" w:line="240" w:lineRule="auto"/>
        <w:ind w:left="187"/>
        <w:jc w:val="both"/>
        <w:rPr>
          <w:rFonts w:ascii="Times New Roman" w:hAnsi="Times New Roman"/>
          <w:sz w:val="18"/>
          <w:szCs w:val="18"/>
        </w:rPr>
      </w:pPr>
      <w:r w:rsidRPr="00042BC7">
        <w:rPr>
          <w:rFonts w:ascii="Times New Roman" w:hAnsi="Times New Roman"/>
          <w:sz w:val="18"/>
          <w:szCs w:val="18"/>
          <w:vertAlign w:val="superscript"/>
        </w:rPr>
        <w:t>a</w:t>
      </w:r>
      <w:r w:rsidRPr="00042BC7">
        <w:rPr>
          <w:rFonts w:ascii="Times New Roman" w:hAnsi="Times New Roman"/>
          <w:sz w:val="18"/>
          <w:szCs w:val="18"/>
        </w:rPr>
        <w:t xml:space="preserve"> Data represent mean ± standard deviation of three replicate experiments; </w:t>
      </w:r>
      <w:r w:rsidRPr="00042BC7">
        <w:rPr>
          <w:rFonts w:ascii="Times New Roman" w:hAnsi="Times New Roman"/>
          <w:sz w:val="18"/>
          <w:szCs w:val="18"/>
          <w:vertAlign w:val="superscript"/>
        </w:rPr>
        <w:t>b</w:t>
      </w:r>
      <w:r w:rsidRPr="00042BC7">
        <w:rPr>
          <w:rFonts w:ascii="Times New Roman" w:hAnsi="Times New Roman"/>
          <w:sz w:val="18"/>
          <w:szCs w:val="18"/>
        </w:rPr>
        <w:t xml:space="preserve"> Positive control; B: Barks; L: Leaves; </w:t>
      </w:r>
      <w:r w:rsidRPr="00042BC7">
        <w:rPr>
          <w:rFonts w:ascii="Times New Roman" w:hAnsi="Times New Roman"/>
          <w:i/>
          <w:sz w:val="18"/>
          <w:szCs w:val="18"/>
        </w:rPr>
        <w:t>B. s</w:t>
      </w:r>
      <w:r w:rsidRPr="00042BC7">
        <w:rPr>
          <w:rFonts w:ascii="Times New Roman" w:hAnsi="Times New Roman"/>
          <w:sz w:val="18"/>
          <w:szCs w:val="18"/>
        </w:rPr>
        <w:t xml:space="preserve">: </w:t>
      </w:r>
      <w:r w:rsidRPr="00042BC7">
        <w:rPr>
          <w:rFonts w:ascii="Times New Roman" w:hAnsi="Times New Roman"/>
          <w:i/>
          <w:sz w:val="18"/>
          <w:szCs w:val="18"/>
        </w:rPr>
        <w:t>Bacillus subtilis</w:t>
      </w:r>
      <w:r w:rsidRPr="00042BC7">
        <w:rPr>
          <w:rFonts w:ascii="Times New Roman" w:hAnsi="Times New Roman"/>
          <w:sz w:val="18"/>
          <w:szCs w:val="18"/>
        </w:rPr>
        <w:t xml:space="preserve">; </w:t>
      </w:r>
      <w:r w:rsidRPr="00042BC7">
        <w:rPr>
          <w:rFonts w:ascii="Times New Roman" w:hAnsi="Times New Roman"/>
          <w:i/>
          <w:sz w:val="18"/>
          <w:szCs w:val="18"/>
        </w:rPr>
        <w:t>S. a</w:t>
      </w:r>
      <w:r w:rsidRPr="00042BC7">
        <w:rPr>
          <w:rFonts w:ascii="Times New Roman" w:hAnsi="Times New Roman"/>
          <w:sz w:val="18"/>
          <w:szCs w:val="18"/>
        </w:rPr>
        <w:t xml:space="preserve">: </w:t>
      </w:r>
      <w:r w:rsidRPr="00042BC7">
        <w:rPr>
          <w:rFonts w:ascii="Times New Roman" w:hAnsi="Times New Roman"/>
          <w:i/>
          <w:sz w:val="18"/>
          <w:szCs w:val="18"/>
        </w:rPr>
        <w:t>Staphylococcus aureus</w:t>
      </w:r>
      <w:r w:rsidRPr="00042BC7">
        <w:rPr>
          <w:rFonts w:ascii="Times New Roman" w:hAnsi="Times New Roman"/>
          <w:sz w:val="18"/>
          <w:szCs w:val="18"/>
        </w:rPr>
        <w:t xml:space="preserve">; </w:t>
      </w:r>
      <w:r w:rsidRPr="00042BC7">
        <w:rPr>
          <w:rFonts w:ascii="Times New Roman" w:hAnsi="Times New Roman"/>
          <w:i/>
          <w:sz w:val="18"/>
          <w:szCs w:val="18"/>
        </w:rPr>
        <w:t>P. a</w:t>
      </w:r>
      <w:r w:rsidRPr="00042BC7">
        <w:rPr>
          <w:rFonts w:ascii="Times New Roman" w:hAnsi="Times New Roman"/>
          <w:sz w:val="18"/>
          <w:szCs w:val="18"/>
        </w:rPr>
        <w:t xml:space="preserve">: </w:t>
      </w:r>
      <w:r w:rsidRPr="00042BC7">
        <w:rPr>
          <w:rFonts w:ascii="Times New Roman" w:hAnsi="Times New Roman"/>
          <w:i/>
          <w:sz w:val="18"/>
          <w:szCs w:val="18"/>
        </w:rPr>
        <w:t>Pseudomonas aeruginosa</w:t>
      </w:r>
      <w:r w:rsidRPr="00042BC7">
        <w:rPr>
          <w:rFonts w:ascii="Times New Roman" w:hAnsi="Times New Roman"/>
          <w:sz w:val="18"/>
          <w:szCs w:val="18"/>
        </w:rPr>
        <w:t xml:space="preserve">; </w:t>
      </w:r>
      <w:r w:rsidRPr="00042BC7">
        <w:rPr>
          <w:rFonts w:ascii="Times New Roman" w:hAnsi="Times New Roman"/>
          <w:i/>
          <w:sz w:val="18"/>
          <w:szCs w:val="18"/>
        </w:rPr>
        <w:t>E. c</w:t>
      </w:r>
      <w:r w:rsidRPr="00042BC7">
        <w:rPr>
          <w:rFonts w:ascii="Times New Roman" w:hAnsi="Times New Roman"/>
          <w:sz w:val="18"/>
          <w:szCs w:val="18"/>
        </w:rPr>
        <w:t xml:space="preserve">: </w:t>
      </w:r>
      <w:r w:rsidRPr="00042BC7">
        <w:rPr>
          <w:rFonts w:ascii="Times New Roman" w:hAnsi="Times New Roman"/>
          <w:i/>
          <w:sz w:val="18"/>
          <w:szCs w:val="18"/>
        </w:rPr>
        <w:t>Escherichia coli</w:t>
      </w:r>
      <w:r w:rsidRPr="00042BC7">
        <w:rPr>
          <w:rFonts w:ascii="Times New Roman" w:hAnsi="Times New Roman"/>
          <w:sz w:val="18"/>
          <w:szCs w:val="18"/>
        </w:rPr>
        <w:t>; SS: Streptomycin Sulphate.</w:t>
      </w:r>
    </w:p>
    <w:p w:rsidR="00687002" w:rsidRPr="00687002" w:rsidRDefault="00687002" w:rsidP="00042BC7">
      <w:pPr>
        <w:spacing w:after="120" w:line="240" w:lineRule="auto"/>
        <w:jc w:val="both"/>
        <w:rPr>
          <w:rFonts w:ascii="Times New Roman" w:hAnsi="Times New Roman"/>
          <w:sz w:val="20"/>
          <w:szCs w:val="20"/>
        </w:rPr>
      </w:pPr>
    </w:p>
    <w:p w:rsidR="00687002" w:rsidRPr="00687002" w:rsidRDefault="00687002" w:rsidP="00687002">
      <w:pPr>
        <w:spacing w:after="0" w:line="240" w:lineRule="auto"/>
        <w:jc w:val="both"/>
        <w:rPr>
          <w:rFonts w:ascii="Times New Roman" w:hAnsi="Times New Roman"/>
          <w:sz w:val="20"/>
          <w:szCs w:val="20"/>
          <w:lang w:val="en-GB"/>
        </w:rPr>
      </w:pPr>
      <w:r w:rsidRPr="00687002">
        <w:rPr>
          <w:rFonts w:ascii="Times New Roman" w:hAnsi="Times New Roman"/>
          <w:sz w:val="20"/>
          <w:szCs w:val="20"/>
          <w:lang w:val="en-GB"/>
        </w:rPr>
        <w:t xml:space="preserve">The dichloromethane extract from bark of </w:t>
      </w:r>
      <w:r w:rsidRPr="00687002">
        <w:rPr>
          <w:rFonts w:ascii="Times New Roman" w:hAnsi="Times New Roman"/>
          <w:i/>
          <w:sz w:val="20"/>
          <w:szCs w:val="20"/>
          <w:lang w:val="en-GB"/>
        </w:rPr>
        <w:t>C. ferrugineum</w:t>
      </w:r>
      <w:r w:rsidRPr="00687002">
        <w:rPr>
          <w:rFonts w:ascii="Times New Roman" w:hAnsi="Times New Roman"/>
          <w:sz w:val="20"/>
          <w:szCs w:val="20"/>
          <w:lang w:val="en-GB"/>
        </w:rPr>
        <w:t xml:space="preserve"> showed moderate MIC value against Gram positive bacteria, </w:t>
      </w:r>
      <w:r w:rsidRPr="00687002">
        <w:rPr>
          <w:rFonts w:ascii="Times New Roman" w:hAnsi="Times New Roman"/>
          <w:i/>
          <w:sz w:val="20"/>
          <w:szCs w:val="20"/>
          <w:lang w:val="en-GB"/>
        </w:rPr>
        <w:t>B. subtilis</w:t>
      </w:r>
      <w:r w:rsidRPr="00687002">
        <w:rPr>
          <w:rFonts w:ascii="Times New Roman" w:hAnsi="Times New Roman"/>
          <w:sz w:val="20"/>
          <w:szCs w:val="20"/>
          <w:lang w:val="en-GB"/>
        </w:rPr>
        <w:t xml:space="preserve"> and </w:t>
      </w:r>
      <w:r w:rsidRPr="00687002">
        <w:rPr>
          <w:rFonts w:ascii="Times New Roman" w:hAnsi="Times New Roman"/>
          <w:i/>
          <w:sz w:val="20"/>
          <w:szCs w:val="20"/>
          <w:lang w:val="en-GB"/>
        </w:rPr>
        <w:t>S. aureus</w:t>
      </w:r>
      <w:r w:rsidRPr="00687002">
        <w:rPr>
          <w:rFonts w:ascii="Times New Roman" w:hAnsi="Times New Roman"/>
          <w:sz w:val="20"/>
          <w:szCs w:val="20"/>
          <w:lang w:val="en-GB"/>
        </w:rPr>
        <w:t xml:space="preserve"> at 125 µg/mL. It was suggested that high content of bark resins in the dichloromethane extracts of </w:t>
      </w:r>
      <w:r w:rsidRPr="00687002">
        <w:rPr>
          <w:rFonts w:ascii="Times New Roman" w:hAnsi="Times New Roman"/>
          <w:i/>
          <w:sz w:val="20"/>
          <w:szCs w:val="20"/>
          <w:lang w:val="en-GB"/>
        </w:rPr>
        <w:t>C. ferrugineum</w:t>
      </w:r>
      <w:r w:rsidRPr="00687002">
        <w:rPr>
          <w:rFonts w:ascii="Times New Roman" w:hAnsi="Times New Roman"/>
          <w:sz w:val="20"/>
          <w:szCs w:val="20"/>
          <w:lang w:val="en-GB"/>
        </w:rPr>
        <w:t xml:space="preserve"> is responsible to the antibacterial activity. This justification is supported by the previous finding on the strong antimicrobial properties of the bark resins from </w:t>
      </w:r>
      <w:r w:rsidRPr="00687002">
        <w:rPr>
          <w:rFonts w:ascii="Times New Roman" w:hAnsi="Times New Roman"/>
          <w:i/>
          <w:sz w:val="20"/>
          <w:szCs w:val="20"/>
          <w:lang w:val="en-GB"/>
        </w:rPr>
        <w:t>C. inophyllum</w:t>
      </w:r>
      <w:r w:rsidRPr="00687002">
        <w:rPr>
          <w:rFonts w:ascii="Times New Roman" w:hAnsi="Times New Roman"/>
          <w:sz w:val="20"/>
          <w:szCs w:val="20"/>
          <w:lang w:val="en-GB"/>
        </w:rPr>
        <w:t xml:space="preserve"> and </w:t>
      </w:r>
      <w:r w:rsidRPr="00687002">
        <w:rPr>
          <w:rFonts w:ascii="Times New Roman" w:hAnsi="Times New Roman"/>
          <w:i/>
          <w:sz w:val="20"/>
          <w:szCs w:val="20"/>
          <w:lang w:val="en-GB"/>
        </w:rPr>
        <w:t>C. antillanum</w:t>
      </w:r>
      <w:r w:rsidRPr="00687002">
        <w:rPr>
          <w:rFonts w:ascii="Times New Roman" w:hAnsi="Times New Roman"/>
          <w:sz w:val="20"/>
          <w:szCs w:val="20"/>
          <w:lang w:val="en-GB"/>
        </w:rPr>
        <w:t xml:space="preserve"> </w:t>
      </w:r>
      <w:r w:rsidRPr="00687002">
        <w:rPr>
          <w:rFonts w:ascii="Times New Roman" w:hAnsi="Times New Roman"/>
          <w:sz w:val="20"/>
          <w:szCs w:val="20"/>
          <w:lang w:val="en-GB"/>
        </w:rPr>
        <w:fldChar w:fldCharType="begin" w:fldLock="1"/>
      </w:r>
      <w:r w:rsidRPr="00687002">
        <w:rPr>
          <w:rFonts w:ascii="Times New Roman" w:hAnsi="Times New Roman"/>
          <w:sz w:val="20"/>
          <w:szCs w:val="20"/>
          <w:lang w:val="en-GB"/>
        </w:rPr>
        <w:instrText>ADDIN CSL_CITATION { "citationItems" : [ { "id" : "ITEM-1", "itemData" : { "DOI" : "10.1002/ptr.5506", "ISSN" : "0951418X", "author" : [ { "dropping-particle" : "", "family" : "Cuesta-Rubio", "given" : "Osmany", "non-dropping-particle" : "", "parse-names" : false, "suffix" : "" }, { "dropping-particle" : "", "family" : "Oubada", "given" : "Ahmad", "non-dropping-particle" : "", "parse-names" : false, "suffix" : "" }, { "dropping-particle" : "", "family" : "Bello", "given" : "Adonis", "non-dropping-particle" : "", "parse-names" : false, "suffix" : "" }, { "dropping-particle" : "", "family" : "Maes", "given" : "Louis", "non-dropping-particle" : "", "parse-names" : false, "suffix" : "" }, { "dropping-particle" : "", "family" : "Cos", "given" : "Paul", "non-dropping-particle" : "", "parse-names" : false, "suffix" : "" }, { "dropping-particle" : "", "family" : "Monzote", "given" : "Lianet", "non-dropping-particle" : "", "parse-names" : false, "suffix" : "" } ], "container-title" : "Phytotherapy Research", "id" : "ITEM-1", "issue" : "October", "issued" : { "date-parts" : [ [ "2015" ] ] }, "page" : "n/a-n/a", "title" : "Antimicrobial Assessment of Resins from Calophyllum Antillanum and Calophyllum Inophyllum", "type" : "article-journal", "volume" : "1994" }, "uris" : [ "http://www.mendeley.com/documents/?uuid=f5e52226-236a-4f63-bdb5-3e779ff242e0" ] } ], "mendeley" : { "formattedCitation" : "[14]", "plainTextFormattedCitation" : "[14]", "previouslyFormattedCitation" : "(Cuesta-Rubio et al., 2015)" }, "properties" : {  }, "schema" : "https://github.com/citation-style-language/schema/raw/master/csl-citation.json" }</w:instrText>
      </w:r>
      <w:r w:rsidRPr="00687002">
        <w:rPr>
          <w:rFonts w:ascii="Times New Roman" w:hAnsi="Times New Roman"/>
          <w:sz w:val="20"/>
          <w:szCs w:val="20"/>
          <w:lang w:val="en-GB"/>
        </w:rPr>
        <w:fldChar w:fldCharType="separate"/>
      </w:r>
      <w:r w:rsidRPr="00687002">
        <w:rPr>
          <w:rFonts w:ascii="Times New Roman" w:hAnsi="Times New Roman"/>
          <w:sz w:val="20"/>
          <w:szCs w:val="20"/>
          <w:lang w:val="en-GB"/>
        </w:rPr>
        <w:t>[14]</w:t>
      </w:r>
      <w:r w:rsidRPr="00687002">
        <w:rPr>
          <w:rFonts w:ascii="Times New Roman" w:hAnsi="Times New Roman"/>
          <w:sz w:val="20"/>
          <w:szCs w:val="20"/>
          <w:lang w:val="en-GB"/>
        </w:rPr>
        <w:fldChar w:fldCharType="end"/>
      </w:r>
      <w:r w:rsidRPr="00687002">
        <w:rPr>
          <w:rFonts w:ascii="Times New Roman" w:hAnsi="Times New Roman"/>
          <w:sz w:val="20"/>
          <w:szCs w:val="20"/>
          <w:lang w:val="en-GB"/>
        </w:rPr>
        <w:t xml:space="preserve">. Chromanone carboxylic acids compounds are presented as major compounds in the bark resin of </w:t>
      </w:r>
      <w:r w:rsidRPr="00687002">
        <w:rPr>
          <w:rFonts w:ascii="Times New Roman" w:hAnsi="Times New Roman"/>
          <w:i/>
          <w:sz w:val="20"/>
          <w:szCs w:val="20"/>
          <w:lang w:val="en-GB"/>
        </w:rPr>
        <w:t>Calophyllum</w:t>
      </w:r>
      <w:r w:rsidRPr="00687002">
        <w:rPr>
          <w:rFonts w:ascii="Times New Roman" w:hAnsi="Times New Roman"/>
          <w:sz w:val="20"/>
          <w:szCs w:val="20"/>
          <w:lang w:val="en-GB"/>
        </w:rPr>
        <w:t xml:space="preserve"> species and these compounds are reported to have antibacterial activities.  Previous report on the isolation of six chromanone acids from </w:t>
      </w:r>
      <w:r w:rsidRPr="00687002">
        <w:rPr>
          <w:rFonts w:ascii="Times New Roman" w:hAnsi="Times New Roman"/>
          <w:i/>
          <w:sz w:val="20"/>
          <w:szCs w:val="20"/>
          <w:lang w:val="en-GB"/>
        </w:rPr>
        <w:t xml:space="preserve">C. brasiliense </w:t>
      </w:r>
      <w:r w:rsidRPr="00687002">
        <w:rPr>
          <w:rFonts w:ascii="Times New Roman" w:hAnsi="Times New Roman"/>
          <w:sz w:val="20"/>
          <w:szCs w:val="20"/>
          <w:lang w:val="en-GB"/>
        </w:rPr>
        <w:t>also demonstrated a moderate-to-strong antibacterial activity especially to Gram</w:t>
      </w:r>
      <w:r w:rsidRPr="00687002">
        <w:rPr>
          <w:rFonts w:ascii="Times New Roman" w:hAnsi="Times New Roman"/>
          <w:i/>
          <w:sz w:val="20"/>
          <w:szCs w:val="20"/>
          <w:lang w:val="en-GB"/>
        </w:rPr>
        <w:t>-</w:t>
      </w:r>
      <w:r w:rsidRPr="00687002">
        <w:rPr>
          <w:rFonts w:ascii="Times New Roman" w:hAnsi="Times New Roman"/>
          <w:sz w:val="20"/>
          <w:szCs w:val="20"/>
          <w:lang w:val="en-GB"/>
        </w:rPr>
        <w:t xml:space="preserve">positive bacteria </w:t>
      </w:r>
      <w:r w:rsidRPr="00687002">
        <w:rPr>
          <w:rFonts w:ascii="Times New Roman" w:hAnsi="Times New Roman"/>
          <w:sz w:val="20"/>
          <w:szCs w:val="20"/>
          <w:lang w:val="en-GB"/>
        </w:rPr>
        <w:fldChar w:fldCharType="begin" w:fldLock="1"/>
      </w:r>
      <w:r w:rsidRPr="00687002">
        <w:rPr>
          <w:rFonts w:ascii="Times New Roman" w:hAnsi="Times New Roman"/>
          <w:sz w:val="20"/>
          <w:szCs w:val="20"/>
          <w:lang w:val="en-GB"/>
        </w:rPr>
        <w:instrText>ADDIN CSL_CITATION { "citationItems" : [ { "id" : "ITEM-1", "itemData" : { "author" : [ { "dropping-particle" : "", "family" : "Cottiglia", "given" : "Filippo", "non-dropping-particle" : "", "parse-names" : false, "suffix" : "" }, { "dropping-particle" : "", "family" : "Dhanapal", "given" : "Boopathy", "non-dropping-particle" : "", "parse-names" : false, "suffix" : "" }, { "dropping-particle" : "", "family" : "Sticher", "given" : "Otto", "non-dropping-particle" : "", "parse-names" : false, "suffix" : "" }, { "dropping-particle" : "", "family" : "Heilmann", "given" : "J\u00f6rg", "non-dropping-particle" : "", "parse-names" : false, "suffix" : "" } ], "container-title" : "Journal of Natural Products", "id" : "ITEM-1", "issued" : { "date-parts" : [ [ "2004" ] ] }, "page" : "537-541", "title" : "New Chromanone Acids with Antibacterial Activity from Calophyllum brasiliense", "type" : "article-journal", "volume" : "67" }, "uris" : [ "http://www.mendeley.com/documents/?uuid=b84889d9-cae2-4821-a5f2-e4473b46822e" ] } ], "mendeley" : { "formattedCitation" : "[15]", "plainTextFormattedCitation" : "[15]", "previouslyFormattedCitation" : "(Cottiglia, Dhanapal, Sticher, &amp; Heilmann, 2004)" }, "properties" : {  }, "schema" : "https://github.com/citation-style-language/schema/raw/master/csl-citation.json" }</w:instrText>
      </w:r>
      <w:r w:rsidRPr="00687002">
        <w:rPr>
          <w:rFonts w:ascii="Times New Roman" w:hAnsi="Times New Roman"/>
          <w:sz w:val="20"/>
          <w:szCs w:val="20"/>
          <w:lang w:val="en-GB"/>
        </w:rPr>
        <w:fldChar w:fldCharType="separate"/>
      </w:r>
      <w:r w:rsidRPr="00687002">
        <w:rPr>
          <w:rFonts w:ascii="Times New Roman" w:hAnsi="Times New Roman"/>
          <w:sz w:val="20"/>
          <w:szCs w:val="20"/>
          <w:lang w:val="en-GB"/>
        </w:rPr>
        <w:t>[15]</w:t>
      </w:r>
      <w:r w:rsidRPr="00687002">
        <w:rPr>
          <w:rFonts w:ascii="Times New Roman" w:hAnsi="Times New Roman"/>
          <w:sz w:val="20"/>
          <w:szCs w:val="20"/>
          <w:lang w:val="en-GB"/>
        </w:rPr>
        <w:fldChar w:fldCharType="end"/>
      </w:r>
      <w:r w:rsidRPr="00687002">
        <w:rPr>
          <w:rFonts w:ascii="Times New Roman" w:hAnsi="Times New Roman"/>
          <w:sz w:val="20"/>
          <w:szCs w:val="20"/>
          <w:lang w:val="en-GB"/>
        </w:rPr>
        <w:t xml:space="preserve">, thus supporting these findings. In contrast, the dichloromethane extract from bark of </w:t>
      </w:r>
      <w:r w:rsidRPr="00687002">
        <w:rPr>
          <w:rFonts w:ascii="Times New Roman" w:hAnsi="Times New Roman"/>
          <w:i/>
          <w:sz w:val="20"/>
          <w:szCs w:val="20"/>
          <w:lang w:val="en-GB"/>
        </w:rPr>
        <w:t>C. incrassatum</w:t>
      </w:r>
      <w:r w:rsidRPr="00687002">
        <w:rPr>
          <w:rFonts w:ascii="Times New Roman" w:hAnsi="Times New Roman"/>
          <w:sz w:val="20"/>
          <w:szCs w:val="20"/>
          <w:lang w:val="en-GB"/>
        </w:rPr>
        <w:t xml:space="preserve"> showed inactive antibacterial activity against all strains. This result suggested that there </w:t>
      </w:r>
      <w:r w:rsidRPr="00687002">
        <w:rPr>
          <w:rFonts w:ascii="Times New Roman" w:hAnsi="Times New Roman"/>
          <w:sz w:val="20"/>
          <w:szCs w:val="20"/>
          <w:lang w:val="en-GB"/>
        </w:rPr>
        <w:lastRenderedPageBreak/>
        <w:t xml:space="preserve">were no chromanone carboxylic acids types of compound present in the bark extract. The bark of </w:t>
      </w:r>
      <w:r w:rsidRPr="00687002">
        <w:rPr>
          <w:rFonts w:ascii="Times New Roman" w:hAnsi="Times New Roman"/>
          <w:i/>
          <w:sz w:val="20"/>
          <w:szCs w:val="20"/>
          <w:lang w:val="en-GB"/>
        </w:rPr>
        <w:t>C. incrassatum</w:t>
      </w:r>
      <w:r w:rsidRPr="00687002">
        <w:rPr>
          <w:rFonts w:ascii="Times New Roman" w:hAnsi="Times New Roman"/>
          <w:sz w:val="20"/>
          <w:szCs w:val="20"/>
          <w:lang w:val="en-GB"/>
        </w:rPr>
        <w:t xml:space="preserve"> also did not contain resin, thus suggesting that no chromanone carboxylic acid can be isolated from this species. Meanwhile, the other crude extracts showed weak or inactive inhibition towards all bacterial strains tested.</w:t>
      </w:r>
    </w:p>
    <w:p w:rsidR="00687002" w:rsidRPr="00687002" w:rsidRDefault="00687002" w:rsidP="00687002">
      <w:pPr>
        <w:spacing w:after="0" w:line="240" w:lineRule="auto"/>
        <w:ind w:firstLine="720"/>
        <w:jc w:val="both"/>
        <w:rPr>
          <w:rFonts w:ascii="Times New Roman" w:hAnsi="Times New Roman"/>
          <w:sz w:val="20"/>
          <w:szCs w:val="20"/>
        </w:rPr>
      </w:pPr>
    </w:p>
    <w:p w:rsidR="00687002" w:rsidRPr="00687002" w:rsidRDefault="00687002" w:rsidP="00687002">
      <w:pPr>
        <w:spacing w:after="0" w:line="240" w:lineRule="auto"/>
        <w:jc w:val="both"/>
        <w:rPr>
          <w:rFonts w:ascii="Times New Roman" w:hAnsi="Times New Roman"/>
          <w:b/>
          <w:sz w:val="20"/>
          <w:szCs w:val="20"/>
        </w:rPr>
      </w:pPr>
      <w:r w:rsidRPr="00687002">
        <w:rPr>
          <w:rFonts w:ascii="Times New Roman" w:hAnsi="Times New Roman"/>
          <w:b/>
          <w:sz w:val="20"/>
          <w:szCs w:val="20"/>
        </w:rPr>
        <w:t>Antioxidant activity</w:t>
      </w:r>
    </w:p>
    <w:p w:rsidR="00687002" w:rsidRPr="00687002" w:rsidRDefault="00687002" w:rsidP="00687002">
      <w:pPr>
        <w:autoSpaceDE w:val="0"/>
        <w:autoSpaceDN w:val="0"/>
        <w:adjustRightInd w:val="0"/>
        <w:spacing w:after="0" w:line="240" w:lineRule="auto"/>
        <w:jc w:val="both"/>
        <w:rPr>
          <w:rFonts w:ascii="Times New Roman" w:hAnsi="Times New Roman"/>
          <w:sz w:val="20"/>
          <w:szCs w:val="20"/>
          <w:lang w:val="en-GB"/>
        </w:rPr>
      </w:pPr>
      <w:r w:rsidRPr="00687002">
        <w:rPr>
          <w:rFonts w:ascii="Times New Roman" w:hAnsi="Times New Roman"/>
          <w:sz w:val="20"/>
          <w:szCs w:val="20"/>
          <w:lang w:val="en-GB"/>
        </w:rPr>
        <w:t>Spectrophotometric assay that involves the use of specific chromophore such as Folin-Ciocalteu (FC) reagent is commonly chosen, since it is simple and less time consuming as well as suitable for screening purposes. In general, yellow coloured FC reagent containing molybdenum, Mo</w:t>
      </w:r>
      <w:r w:rsidRPr="00687002">
        <w:rPr>
          <w:rFonts w:ascii="Times New Roman" w:hAnsi="Times New Roman"/>
          <w:sz w:val="20"/>
          <w:szCs w:val="20"/>
          <w:vertAlign w:val="superscript"/>
          <w:lang w:val="en-GB"/>
        </w:rPr>
        <w:t>6+</w:t>
      </w:r>
      <w:r w:rsidRPr="00687002">
        <w:rPr>
          <w:rFonts w:ascii="Times New Roman" w:hAnsi="Times New Roman"/>
          <w:sz w:val="20"/>
          <w:szCs w:val="20"/>
          <w:lang w:val="en-GB"/>
        </w:rPr>
        <w:t xml:space="preserve"> will reduce to Mo</w:t>
      </w:r>
      <w:r w:rsidRPr="00687002">
        <w:rPr>
          <w:rFonts w:ascii="Times New Roman" w:hAnsi="Times New Roman"/>
          <w:sz w:val="20"/>
          <w:szCs w:val="20"/>
          <w:vertAlign w:val="superscript"/>
          <w:lang w:val="en-GB"/>
        </w:rPr>
        <w:t>5+</w:t>
      </w:r>
      <w:r w:rsidRPr="00687002">
        <w:rPr>
          <w:rFonts w:ascii="Times New Roman" w:hAnsi="Times New Roman"/>
          <w:sz w:val="20"/>
          <w:szCs w:val="20"/>
          <w:lang w:val="en-GB"/>
        </w:rPr>
        <w:t xml:space="preserve"> in the presence of reducing agent in basic medium to form dark blue complex </w:t>
      </w:r>
      <w:r w:rsidRPr="00687002">
        <w:rPr>
          <w:rFonts w:ascii="Times New Roman" w:hAnsi="Times New Roman"/>
          <w:sz w:val="20"/>
          <w:szCs w:val="20"/>
          <w:lang w:val="en-GB"/>
        </w:rPr>
        <w:fldChar w:fldCharType="begin" w:fldLock="1"/>
      </w:r>
      <w:r w:rsidRPr="00687002">
        <w:rPr>
          <w:rFonts w:ascii="Times New Roman" w:hAnsi="Times New Roman"/>
          <w:sz w:val="20"/>
          <w:szCs w:val="20"/>
          <w:lang w:val="en-GB"/>
        </w:rPr>
        <w:instrText>ADDIN CSL_CITATION { "citationItems" : [ { "id" : "ITEM-1", "itemData" : { "DOI" : "10.1111/1750-3841.13077", "author" : [ { "dropping-particle" : "", "family" : "Margraf", "given" : "Tiago", "non-dropping-particle" : "", "parse-names" : false, "suffix" : "" }, { "dropping-particle" : "", "family" : "Karnopp", "given" : "Ariadne Roberto", "non-dropping-particle" : "", "parse-names" : false, "suffix" : "" }, { "dropping-particle" : "", "family" : "Rosso", "given" : "Neiva Deliberali", "non-dropping-particle" : "", "parse-names" : false, "suffix" : "" }, { "dropping-particle" : "", "family" : "Granato", "given" : "Daniel", "non-dropping-particle" : "", "parse-names" : false, "suffix" : "" } ], "id" : "ITEM-1", "issue" : "11", "issued" : { "date-parts" : [ [ "2015" ] ] }, "page" : "2397-2403", "title" : "Comparison between Folin-Ciocalteu and Prussian Blue Assays to Estimate The Total Phenolic Content of Juices and Teas Using 96-Well Microplates", "type" : "article-journal", "volume" : "80" }, "uris" : [ "http://www.mendeley.com/documents/?uuid=f13cb6b6-5bf1-4868-ad0d-fd1e08deb981" ] } ], "mendeley" : { "formattedCitation" : "[16]", "plainTextFormattedCitation" : "[16]", "previouslyFormattedCitation" : "(Margraf, Karnopp, Rosso, &amp; Granato, 2015)" }, "properties" : {  }, "schema" : "https://github.com/citation-style-language/schema/raw/master/csl-citation.json" }</w:instrText>
      </w:r>
      <w:r w:rsidRPr="00687002">
        <w:rPr>
          <w:rFonts w:ascii="Times New Roman" w:hAnsi="Times New Roman"/>
          <w:sz w:val="20"/>
          <w:szCs w:val="20"/>
          <w:lang w:val="en-GB"/>
        </w:rPr>
        <w:fldChar w:fldCharType="separate"/>
      </w:r>
      <w:r w:rsidRPr="00687002">
        <w:rPr>
          <w:rFonts w:ascii="Times New Roman" w:hAnsi="Times New Roman"/>
          <w:sz w:val="20"/>
          <w:szCs w:val="20"/>
          <w:lang w:val="en-GB"/>
        </w:rPr>
        <w:t>[16]</w:t>
      </w:r>
      <w:r w:rsidRPr="00687002">
        <w:rPr>
          <w:rFonts w:ascii="Times New Roman" w:hAnsi="Times New Roman"/>
          <w:sz w:val="20"/>
          <w:szCs w:val="20"/>
          <w:lang w:val="en-GB"/>
        </w:rPr>
        <w:fldChar w:fldCharType="end"/>
      </w:r>
      <w:r w:rsidRPr="00687002">
        <w:rPr>
          <w:rFonts w:ascii="Times New Roman" w:hAnsi="Times New Roman"/>
          <w:sz w:val="20"/>
          <w:szCs w:val="20"/>
          <w:lang w:val="en-GB"/>
        </w:rPr>
        <w:t xml:space="preserve">. The standard calibration curve of gallic acid </w:t>
      </w:r>
      <w:r w:rsidRPr="00687002">
        <w:rPr>
          <w:rFonts w:ascii="Times New Roman" w:hAnsi="Times New Roman"/>
          <w:bCs/>
          <w:sz w:val="20"/>
          <w:szCs w:val="20"/>
          <w:lang w:val="en-GB"/>
        </w:rPr>
        <w:t>(Figure 1)</w:t>
      </w:r>
      <w:r w:rsidRPr="00687002">
        <w:rPr>
          <w:rFonts w:ascii="Times New Roman" w:hAnsi="Times New Roman"/>
          <w:b/>
          <w:bCs/>
          <w:sz w:val="20"/>
          <w:szCs w:val="20"/>
          <w:lang w:val="en-GB"/>
        </w:rPr>
        <w:t xml:space="preserve"> </w:t>
      </w:r>
      <w:r w:rsidRPr="00687002">
        <w:rPr>
          <w:rFonts w:ascii="Times New Roman" w:hAnsi="Times New Roman"/>
          <w:sz w:val="20"/>
          <w:szCs w:val="20"/>
          <w:lang w:val="en-GB"/>
        </w:rPr>
        <w:t xml:space="preserve">was constructed to calculate the total phenolic content expressed as mg gallic acid equivalent (GAE) per gram of extract (y = 0.0107x + 2.6402, </w:t>
      </w:r>
      <w:r w:rsidRPr="00687002">
        <w:rPr>
          <w:rFonts w:ascii="Times New Roman" w:hAnsi="Times New Roman"/>
          <w:i/>
          <w:iCs/>
          <w:sz w:val="20"/>
          <w:szCs w:val="20"/>
          <w:lang w:val="en-GB"/>
        </w:rPr>
        <w:t>R</w:t>
      </w:r>
      <w:r w:rsidRPr="00687002">
        <w:rPr>
          <w:rFonts w:ascii="Times New Roman" w:hAnsi="Times New Roman"/>
          <w:i/>
          <w:iCs/>
          <w:sz w:val="20"/>
          <w:szCs w:val="20"/>
          <w:vertAlign w:val="superscript"/>
          <w:lang w:val="en-GB"/>
        </w:rPr>
        <w:t>2</w:t>
      </w:r>
      <w:r w:rsidRPr="00687002">
        <w:rPr>
          <w:rFonts w:ascii="Times New Roman" w:hAnsi="Times New Roman"/>
          <w:i/>
          <w:iCs/>
          <w:sz w:val="20"/>
          <w:szCs w:val="20"/>
          <w:lang w:val="en-GB"/>
        </w:rPr>
        <w:t xml:space="preserve"> </w:t>
      </w:r>
      <w:r w:rsidRPr="00687002">
        <w:rPr>
          <w:rFonts w:ascii="Times New Roman" w:hAnsi="Times New Roman"/>
          <w:sz w:val="20"/>
          <w:szCs w:val="20"/>
          <w:lang w:val="en-GB"/>
        </w:rPr>
        <w:t>= 0.9978). In general, the MeOH extracts showed the highest TPC value followed by EtOAc extracts. It can be deduced from the trend that the TPC increased as the solvent polarity increased since the phenolic compounds normally constitutes in more polar extract. Meanwhile, all dichloromethane extracts tested were devoid to this assay and no phenolic content was detected.</w:t>
      </w:r>
    </w:p>
    <w:p w:rsidR="00687002" w:rsidRPr="00687002" w:rsidRDefault="00687002" w:rsidP="00042BC7">
      <w:pPr>
        <w:autoSpaceDE w:val="0"/>
        <w:autoSpaceDN w:val="0"/>
        <w:adjustRightInd w:val="0"/>
        <w:spacing w:after="120" w:line="240" w:lineRule="auto"/>
        <w:jc w:val="both"/>
        <w:rPr>
          <w:rFonts w:ascii="Times New Roman" w:hAnsi="Times New Roman"/>
          <w:sz w:val="20"/>
          <w:szCs w:val="20"/>
        </w:rPr>
      </w:pPr>
      <w:r w:rsidRPr="00687002">
        <w:rPr>
          <w:rFonts w:ascii="Times New Roman" w:hAnsi="Times New Roman"/>
          <w:sz w:val="20"/>
          <w:szCs w:val="20"/>
        </w:rPr>
        <w:t xml:space="preserve"> </w:t>
      </w:r>
    </w:p>
    <w:p w:rsidR="00687002" w:rsidRPr="00687002" w:rsidRDefault="00581130" w:rsidP="00581130">
      <w:pPr>
        <w:autoSpaceDE w:val="0"/>
        <w:autoSpaceDN w:val="0"/>
        <w:adjustRightInd w:val="0"/>
        <w:spacing w:after="120" w:line="240" w:lineRule="auto"/>
        <w:jc w:val="center"/>
        <w:rPr>
          <w:rFonts w:ascii="Times New Roman" w:hAnsi="Times New Roman"/>
          <w:sz w:val="20"/>
          <w:szCs w:val="20"/>
        </w:rPr>
      </w:pPr>
      <w:r w:rsidRPr="00C928F1">
        <w:rPr>
          <w:noProof/>
          <w:sz w:val="20"/>
          <w:szCs w:val="20"/>
          <w:lang w:bidi="ar-SA"/>
        </w:rPr>
        <w:drawing>
          <wp:inline distT="0" distB="0" distL="0" distR="0" wp14:anchorId="7A04C74D" wp14:editId="245ED195">
            <wp:extent cx="3429000" cy="2743200"/>
            <wp:effectExtent l="0" t="0" r="19050" b="19050"/>
            <wp:docPr id="712" name="Chart 7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7002" w:rsidRPr="00687002" w:rsidRDefault="00687002" w:rsidP="00042BC7">
      <w:pPr>
        <w:autoSpaceDE w:val="0"/>
        <w:autoSpaceDN w:val="0"/>
        <w:adjustRightInd w:val="0"/>
        <w:spacing w:after="0" w:line="240" w:lineRule="auto"/>
        <w:jc w:val="center"/>
        <w:rPr>
          <w:rFonts w:ascii="Times New Roman" w:hAnsi="Times New Roman"/>
          <w:sz w:val="20"/>
          <w:szCs w:val="20"/>
        </w:rPr>
      </w:pPr>
      <w:r w:rsidRPr="00687002">
        <w:rPr>
          <w:rFonts w:ascii="Times New Roman" w:hAnsi="Times New Roman"/>
          <w:sz w:val="20"/>
          <w:szCs w:val="20"/>
        </w:rPr>
        <w:t xml:space="preserve">Figure 1. </w:t>
      </w:r>
      <w:r w:rsidR="00042BC7">
        <w:rPr>
          <w:rFonts w:ascii="Times New Roman" w:hAnsi="Times New Roman"/>
          <w:sz w:val="20"/>
          <w:szCs w:val="20"/>
        </w:rPr>
        <w:t xml:space="preserve"> </w:t>
      </w:r>
      <w:r w:rsidRPr="00687002">
        <w:rPr>
          <w:rFonts w:ascii="Times New Roman" w:hAnsi="Times New Roman"/>
          <w:sz w:val="20"/>
          <w:szCs w:val="20"/>
        </w:rPr>
        <w:t>Gallic acid calibration curve</w:t>
      </w:r>
    </w:p>
    <w:p w:rsidR="00687002" w:rsidRPr="00687002" w:rsidRDefault="00687002" w:rsidP="00042BC7">
      <w:pPr>
        <w:autoSpaceDE w:val="0"/>
        <w:autoSpaceDN w:val="0"/>
        <w:adjustRightInd w:val="0"/>
        <w:spacing w:after="120" w:line="240" w:lineRule="auto"/>
        <w:jc w:val="both"/>
        <w:rPr>
          <w:rFonts w:ascii="Times New Roman" w:hAnsi="Times New Roman"/>
          <w:sz w:val="20"/>
          <w:szCs w:val="20"/>
        </w:rPr>
      </w:pPr>
    </w:p>
    <w:p w:rsidR="00687002" w:rsidRPr="00687002" w:rsidRDefault="00687002" w:rsidP="00687002">
      <w:pPr>
        <w:autoSpaceDE w:val="0"/>
        <w:autoSpaceDN w:val="0"/>
        <w:adjustRightInd w:val="0"/>
        <w:spacing w:after="0" w:line="240" w:lineRule="auto"/>
        <w:jc w:val="both"/>
        <w:rPr>
          <w:rFonts w:ascii="Times New Roman" w:hAnsi="Times New Roman"/>
          <w:sz w:val="20"/>
          <w:szCs w:val="20"/>
          <w:lang w:val="en-GB"/>
        </w:rPr>
      </w:pPr>
      <w:r w:rsidRPr="00687002">
        <w:rPr>
          <w:rFonts w:ascii="Times New Roman" w:hAnsi="Times New Roman"/>
          <w:sz w:val="20"/>
          <w:szCs w:val="20"/>
          <w:lang w:val="en-GB"/>
        </w:rPr>
        <w:t xml:space="preserve">The methanol extract of leaves and barks of </w:t>
      </w:r>
      <w:r w:rsidRPr="00687002">
        <w:rPr>
          <w:rFonts w:ascii="Times New Roman" w:hAnsi="Times New Roman"/>
          <w:i/>
          <w:sz w:val="20"/>
          <w:szCs w:val="20"/>
          <w:lang w:val="en-GB"/>
        </w:rPr>
        <w:t>C. ferrugineum</w:t>
      </w:r>
      <w:r w:rsidRPr="00687002">
        <w:rPr>
          <w:rFonts w:ascii="Times New Roman" w:hAnsi="Times New Roman"/>
          <w:sz w:val="20"/>
          <w:szCs w:val="20"/>
          <w:lang w:val="en-GB"/>
        </w:rPr>
        <w:t xml:space="preserve"> showed the highest TPC value at 122.08 mg GAE/g and 118.48 mg GAE/g, respectively. These TPC values were higher compared to the barks and leaves of </w:t>
      </w:r>
      <w:r w:rsidRPr="00687002">
        <w:rPr>
          <w:rFonts w:ascii="Times New Roman" w:hAnsi="Times New Roman"/>
          <w:i/>
          <w:sz w:val="20"/>
          <w:szCs w:val="20"/>
          <w:lang w:val="en-GB"/>
        </w:rPr>
        <w:t>C. incrassatum</w:t>
      </w:r>
      <w:r w:rsidRPr="00687002">
        <w:rPr>
          <w:rFonts w:ascii="Times New Roman" w:hAnsi="Times New Roman"/>
          <w:sz w:val="20"/>
          <w:szCs w:val="20"/>
          <w:lang w:val="en-GB"/>
        </w:rPr>
        <w:t xml:space="preserve"> at 91.61 mg GAE/g and 45.68 mg GAE/g, respectively. A similar trend was also observed where ethyl acetate extracts from </w:t>
      </w:r>
      <w:r w:rsidRPr="00687002">
        <w:rPr>
          <w:rFonts w:ascii="Times New Roman" w:hAnsi="Times New Roman"/>
          <w:i/>
          <w:sz w:val="20"/>
          <w:szCs w:val="20"/>
          <w:lang w:val="en-GB"/>
        </w:rPr>
        <w:t>C. ferrugineum</w:t>
      </w:r>
      <w:r w:rsidRPr="00687002">
        <w:rPr>
          <w:rFonts w:ascii="Times New Roman" w:hAnsi="Times New Roman"/>
          <w:sz w:val="20"/>
          <w:szCs w:val="20"/>
          <w:lang w:val="en-GB"/>
        </w:rPr>
        <w:t xml:space="preserve"> showed higher TPC values compared to </w:t>
      </w:r>
      <w:r w:rsidRPr="00687002">
        <w:rPr>
          <w:rFonts w:ascii="Times New Roman" w:hAnsi="Times New Roman"/>
          <w:i/>
          <w:sz w:val="20"/>
          <w:szCs w:val="20"/>
          <w:lang w:val="en-GB"/>
        </w:rPr>
        <w:t>C. incrassatum</w:t>
      </w:r>
      <w:r w:rsidRPr="00687002">
        <w:rPr>
          <w:rFonts w:ascii="Times New Roman" w:hAnsi="Times New Roman"/>
          <w:sz w:val="20"/>
          <w:szCs w:val="20"/>
          <w:lang w:val="en-GB"/>
        </w:rPr>
        <w:t xml:space="preserve">. These results suggested that </w:t>
      </w:r>
      <w:r w:rsidRPr="00687002">
        <w:rPr>
          <w:rFonts w:ascii="Times New Roman" w:hAnsi="Times New Roman"/>
          <w:i/>
          <w:sz w:val="20"/>
          <w:szCs w:val="20"/>
          <w:lang w:val="en-GB"/>
        </w:rPr>
        <w:t>C. ferrugineum</w:t>
      </w:r>
      <w:r w:rsidRPr="00687002">
        <w:rPr>
          <w:rFonts w:ascii="Times New Roman" w:hAnsi="Times New Roman"/>
          <w:sz w:val="20"/>
          <w:szCs w:val="20"/>
          <w:lang w:val="en-GB"/>
        </w:rPr>
        <w:t xml:space="preserve"> is richer with phenolic constituents compared to </w:t>
      </w:r>
      <w:r w:rsidRPr="00687002">
        <w:rPr>
          <w:rFonts w:ascii="Times New Roman" w:hAnsi="Times New Roman"/>
          <w:i/>
          <w:sz w:val="20"/>
          <w:szCs w:val="20"/>
          <w:lang w:val="en-GB"/>
        </w:rPr>
        <w:t>C. incrassatum</w:t>
      </w:r>
      <w:r w:rsidRPr="00687002">
        <w:rPr>
          <w:rFonts w:ascii="Times New Roman" w:hAnsi="Times New Roman"/>
          <w:sz w:val="20"/>
          <w:szCs w:val="20"/>
          <w:lang w:val="en-GB"/>
        </w:rPr>
        <w:t xml:space="preserve">. </w:t>
      </w:r>
    </w:p>
    <w:p w:rsidR="00687002" w:rsidRPr="00687002" w:rsidRDefault="00687002" w:rsidP="00687002">
      <w:pPr>
        <w:autoSpaceDE w:val="0"/>
        <w:autoSpaceDN w:val="0"/>
        <w:adjustRightInd w:val="0"/>
        <w:spacing w:after="0" w:line="240" w:lineRule="auto"/>
        <w:jc w:val="both"/>
        <w:rPr>
          <w:rFonts w:ascii="Times New Roman" w:hAnsi="Times New Roman"/>
          <w:sz w:val="20"/>
          <w:szCs w:val="20"/>
          <w:lang w:val="en-GB"/>
        </w:rPr>
      </w:pPr>
    </w:p>
    <w:p w:rsidR="00687002" w:rsidRPr="00687002" w:rsidRDefault="00687002" w:rsidP="00687002">
      <w:pPr>
        <w:spacing w:after="0" w:line="240" w:lineRule="auto"/>
        <w:jc w:val="both"/>
        <w:rPr>
          <w:rFonts w:ascii="Times New Roman" w:hAnsi="Times New Roman"/>
          <w:sz w:val="20"/>
          <w:szCs w:val="20"/>
          <w:lang w:val="en-GB"/>
        </w:rPr>
      </w:pPr>
      <w:r w:rsidRPr="00687002">
        <w:rPr>
          <w:rFonts w:ascii="Times New Roman" w:hAnsi="Times New Roman"/>
          <w:sz w:val="20"/>
          <w:szCs w:val="20"/>
          <w:lang w:val="en-GB"/>
        </w:rPr>
        <w:t>The concentration of sample needed to scavenge 50% of DPPH radical activity (SC</w:t>
      </w:r>
      <w:r w:rsidRPr="00687002">
        <w:rPr>
          <w:rFonts w:ascii="Times New Roman" w:hAnsi="Times New Roman"/>
          <w:sz w:val="20"/>
          <w:szCs w:val="20"/>
          <w:vertAlign w:val="subscript"/>
          <w:lang w:val="en-GB"/>
        </w:rPr>
        <w:t>50</w:t>
      </w:r>
      <w:r w:rsidRPr="00687002">
        <w:rPr>
          <w:rFonts w:ascii="Times New Roman" w:hAnsi="Times New Roman"/>
          <w:sz w:val="20"/>
          <w:szCs w:val="20"/>
          <w:lang w:val="en-GB"/>
        </w:rPr>
        <w:t>) of the extracts is summarised in Table 2. All tested samples that showed (</w:t>
      </w:r>
      <w:r w:rsidRPr="00687002">
        <w:rPr>
          <w:rFonts w:ascii="Times New Roman" w:hAnsi="Times New Roman"/>
          <w:i/>
          <w:sz w:val="20"/>
          <w:szCs w:val="20"/>
          <w:lang w:val="en-GB"/>
        </w:rPr>
        <w:t>P</w:t>
      </w:r>
      <w:r w:rsidRPr="00687002">
        <w:rPr>
          <w:rFonts w:ascii="Times New Roman" w:hAnsi="Times New Roman"/>
          <w:sz w:val="20"/>
          <w:szCs w:val="20"/>
          <w:lang w:val="en-GB"/>
        </w:rPr>
        <w:t xml:space="preserve"> &lt; 0.05) were considered as statistically significant and different compared to ascorbic acid as the positive control. Blois had classified the antioxidant activity of the tested samples with the SC</w:t>
      </w:r>
      <w:r w:rsidRPr="00687002">
        <w:rPr>
          <w:rFonts w:ascii="Times New Roman" w:hAnsi="Times New Roman"/>
          <w:sz w:val="20"/>
          <w:szCs w:val="20"/>
          <w:vertAlign w:val="subscript"/>
          <w:lang w:val="en-GB"/>
        </w:rPr>
        <w:t>50</w:t>
      </w:r>
      <w:r w:rsidRPr="00687002">
        <w:rPr>
          <w:rFonts w:ascii="Times New Roman" w:hAnsi="Times New Roman"/>
          <w:sz w:val="20"/>
          <w:szCs w:val="20"/>
          <w:lang w:val="en-GB"/>
        </w:rPr>
        <w:t xml:space="preserve"> value as very strong (SC</w:t>
      </w:r>
      <w:r w:rsidRPr="00687002">
        <w:rPr>
          <w:rFonts w:ascii="Times New Roman" w:hAnsi="Times New Roman"/>
          <w:sz w:val="20"/>
          <w:szCs w:val="20"/>
          <w:vertAlign w:val="subscript"/>
          <w:lang w:val="en-GB"/>
        </w:rPr>
        <w:t>50</w:t>
      </w:r>
      <w:r w:rsidRPr="00687002">
        <w:rPr>
          <w:rFonts w:ascii="Times New Roman" w:hAnsi="Times New Roman"/>
          <w:sz w:val="20"/>
          <w:szCs w:val="20"/>
          <w:lang w:val="en-GB"/>
        </w:rPr>
        <w:t xml:space="preserve"> &lt; 50 µg/mL), strong (50 µg/mL &lt; SC</w:t>
      </w:r>
      <w:r w:rsidRPr="00687002">
        <w:rPr>
          <w:rFonts w:ascii="Times New Roman" w:hAnsi="Times New Roman"/>
          <w:sz w:val="20"/>
          <w:szCs w:val="20"/>
          <w:vertAlign w:val="subscript"/>
          <w:lang w:val="en-GB"/>
        </w:rPr>
        <w:t>50</w:t>
      </w:r>
      <w:r w:rsidRPr="00687002">
        <w:rPr>
          <w:rFonts w:ascii="Times New Roman" w:hAnsi="Times New Roman"/>
          <w:sz w:val="20"/>
          <w:szCs w:val="20"/>
          <w:lang w:val="en-GB"/>
        </w:rPr>
        <w:t xml:space="preserve"> &lt; 100 µg/mL), moderate (100 µg/mL &lt; SC</w:t>
      </w:r>
      <w:r w:rsidRPr="00687002">
        <w:rPr>
          <w:rFonts w:ascii="Times New Roman" w:hAnsi="Times New Roman"/>
          <w:sz w:val="20"/>
          <w:szCs w:val="20"/>
          <w:vertAlign w:val="subscript"/>
          <w:lang w:val="en-GB"/>
        </w:rPr>
        <w:t>50</w:t>
      </w:r>
      <w:r w:rsidRPr="00687002">
        <w:rPr>
          <w:rFonts w:ascii="Times New Roman" w:hAnsi="Times New Roman"/>
          <w:sz w:val="20"/>
          <w:szCs w:val="20"/>
          <w:lang w:val="en-GB"/>
        </w:rPr>
        <w:t xml:space="preserve"> &lt; 150 µg/mL), weak (150 µg/mL &lt; SC</w:t>
      </w:r>
      <w:r w:rsidRPr="00687002">
        <w:rPr>
          <w:rFonts w:ascii="Times New Roman" w:hAnsi="Times New Roman"/>
          <w:sz w:val="20"/>
          <w:szCs w:val="20"/>
          <w:vertAlign w:val="subscript"/>
          <w:lang w:val="en-GB"/>
        </w:rPr>
        <w:t>50</w:t>
      </w:r>
      <w:r w:rsidRPr="00687002">
        <w:rPr>
          <w:rFonts w:ascii="Times New Roman" w:hAnsi="Times New Roman"/>
          <w:sz w:val="20"/>
          <w:szCs w:val="20"/>
          <w:lang w:val="en-GB"/>
        </w:rPr>
        <w:t xml:space="preserve"> &lt; 200 µg/mL), very weak (200 µg/mL &lt; SC</w:t>
      </w:r>
      <w:r w:rsidRPr="00687002">
        <w:rPr>
          <w:rFonts w:ascii="Times New Roman" w:hAnsi="Times New Roman"/>
          <w:sz w:val="20"/>
          <w:szCs w:val="20"/>
          <w:vertAlign w:val="subscript"/>
          <w:lang w:val="en-GB"/>
        </w:rPr>
        <w:t>50</w:t>
      </w:r>
      <w:r w:rsidRPr="00687002">
        <w:rPr>
          <w:rFonts w:ascii="Times New Roman" w:hAnsi="Times New Roman"/>
          <w:sz w:val="20"/>
          <w:szCs w:val="20"/>
          <w:lang w:val="en-GB"/>
        </w:rPr>
        <w:t xml:space="preserve"> &lt; 250 µg/mL) and inactive (SC</w:t>
      </w:r>
      <w:r w:rsidRPr="00687002">
        <w:rPr>
          <w:rFonts w:ascii="Times New Roman" w:hAnsi="Times New Roman"/>
          <w:sz w:val="20"/>
          <w:szCs w:val="20"/>
          <w:vertAlign w:val="subscript"/>
          <w:lang w:val="en-GB"/>
        </w:rPr>
        <w:t xml:space="preserve">50 </w:t>
      </w:r>
      <w:r w:rsidRPr="00687002">
        <w:rPr>
          <w:rFonts w:ascii="Times New Roman" w:hAnsi="Times New Roman"/>
          <w:sz w:val="20"/>
          <w:szCs w:val="20"/>
          <w:lang w:val="en-GB"/>
        </w:rPr>
        <w:t xml:space="preserve">&gt; 250 µg/mL) </w:t>
      </w:r>
      <w:r w:rsidRPr="00687002">
        <w:rPr>
          <w:rFonts w:ascii="Times New Roman" w:hAnsi="Times New Roman"/>
          <w:sz w:val="20"/>
          <w:szCs w:val="20"/>
          <w:lang w:val="en-GB"/>
        </w:rPr>
        <w:fldChar w:fldCharType="begin" w:fldLock="1"/>
      </w:r>
      <w:r w:rsidRPr="00687002">
        <w:rPr>
          <w:rFonts w:ascii="Times New Roman" w:hAnsi="Times New Roman"/>
          <w:sz w:val="20"/>
          <w:szCs w:val="20"/>
          <w:lang w:val="en-GB"/>
        </w:rPr>
        <w:instrText>ADDIN CSL_CITATION { "citationItems" : [ { "id" : "ITEM-1", "itemData" : { "author" : [ { "dropping-particle" : "", "family" : "Blois", "given" : "M.S.", "non-dropping-particle" : "", "parse-names" : false, "suffix" : "" } ], "container-title" : "Nature", "id" : "ITEM-1", "issued" : { "date-parts" : [ [ "1958" ] ] }, "page" : "1199-1200", "title" : "Antioxidant Determinations by the Use of A Stable Free Radical", "type" : "article-journal", "volume" : "181" }, "uris" : [ "http://www.mendeley.com/documents/?uuid=bfa7ff3e-d59e-4df2-b866-9adb1d88f572" ] } ], "mendeley" : { "formattedCitation" : "[17]", "plainTextFormattedCitation" : "[17]", "previouslyFormattedCitation" : "(Blois, 1958)" }, "properties" : {  }, "schema" : "https://github.com/citation-style-language/schema/raw/master/csl-citation.json" }</w:instrText>
      </w:r>
      <w:r w:rsidRPr="00687002">
        <w:rPr>
          <w:rFonts w:ascii="Times New Roman" w:hAnsi="Times New Roman"/>
          <w:sz w:val="20"/>
          <w:szCs w:val="20"/>
          <w:lang w:val="en-GB"/>
        </w:rPr>
        <w:fldChar w:fldCharType="separate"/>
      </w:r>
      <w:r w:rsidRPr="00687002">
        <w:rPr>
          <w:rFonts w:ascii="Times New Roman" w:hAnsi="Times New Roman"/>
          <w:sz w:val="20"/>
          <w:szCs w:val="20"/>
          <w:lang w:val="en-GB"/>
        </w:rPr>
        <w:t>[17]</w:t>
      </w:r>
      <w:r w:rsidRPr="00687002">
        <w:rPr>
          <w:rFonts w:ascii="Times New Roman" w:hAnsi="Times New Roman"/>
          <w:sz w:val="20"/>
          <w:szCs w:val="20"/>
          <w:lang w:val="en-GB"/>
        </w:rPr>
        <w:fldChar w:fldCharType="end"/>
      </w:r>
      <w:r w:rsidRPr="00687002">
        <w:rPr>
          <w:rFonts w:ascii="Times New Roman" w:hAnsi="Times New Roman"/>
          <w:sz w:val="20"/>
          <w:szCs w:val="20"/>
          <w:lang w:val="en-GB"/>
        </w:rPr>
        <w:t>.</w:t>
      </w:r>
    </w:p>
    <w:p w:rsidR="00687002" w:rsidRDefault="00687002" w:rsidP="00687002">
      <w:pPr>
        <w:spacing w:after="0" w:line="240" w:lineRule="auto"/>
        <w:jc w:val="both"/>
        <w:rPr>
          <w:rFonts w:ascii="Times New Roman" w:hAnsi="Times New Roman"/>
          <w:sz w:val="20"/>
          <w:szCs w:val="20"/>
        </w:rPr>
      </w:pPr>
    </w:p>
    <w:p w:rsidR="00042BC7" w:rsidRDefault="00042BC7" w:rsidP="00687002">
      <w:pPr>
        <w:spacing w:after="0" w:line="240" w:lineRule="auto"/>
        <w:jc w:val="both"/>
        <w:rPr>
          <w:rFonts w:ascii="Times New Roman" w:hAnsi="Times New Roman"/>
          <w:sz w:val="20"/>
          <w:szCs w:val="20"/>
        </w:rPr>
      </w:pPr>
    </w:p>
    <w:p w:rsidR="00042BC7" w:rsidRDefault="00042BC7" w:rsidP="00687002">
      <w:pPr>
        <w:spacing w:after="0" w:line="240" w:lineRule="auto"/>
        <w:jc w:val="both"/>
        <w:rPr>
          <w:rFonts w:ascii="Times New Roman" w:hAnsi="Times New Roman"/>
          <w:sz w:val="20"/>
          <w:szCs w:val="20"/>
        </w:rPr>
      </w:pPr>
    </w:p>
    <w:p w:rsidR="00AB550A" w:rsidRPr="00687002" w:rsidRDefault="00AB550A" w:rsidP="00687002">
      <w:pPr>
        <w:spacing w:after="0" w:line="240" w:lineRule="auto"/>
        <w:jc w:val="both"/>
        <w:rPr>
          <w:rFonts w:ascii="Times New Roman" w:hAnsi="Times New Roman"/>
          <w:sz w:val="20"/>
          <w:szCs w:val="20"/>
        </w:rPr>
      </w:pPr>
    </w:p>
    <w:p w:rsidR="00687002" w:rsidRPr="00687002" w:rsidRDefault="00687002" w:rsidP="00042BC7">
      <w:pPr>
        <w:spacing w:after="120" w:line="240" w:lineRule="auto"/>
        <w:jc w:val="center"/>
        <w:rPr>
          <w:rFonts w:ascii="Times New Roman" w:hAnsi="Times New Roman"/>
          <w:sz w:val="20"/>
          <w:szCs w:val="20"/>
        </w:rPr>
      </w:pPr>
      <w:r w:rsidRPr="00687002">
        <w:rPr>
          <w:rFonts w:ascii="Times New Roman" w:hAnsi="Times New Roman"/>
          <w:sz w:val="20"/>
          <w:szCs w:val="20"/>
        </w:rPr>
        <w:lastRenderedPageBreak/>
        <w:t xml:space="preserve">Table 2. </w:t>
      </w:r>
      <w:r w:rsidR="00042BC7">
        <w:rPr>
          <w:rFonts w:ascii="Times New Roman" w:hAnsi="Times New Roman"/>
          <w:sz w:val="20"/>
          <w:szCs w:val="20"/>
        </w:rPr>
        <w:t xml:space="preserve"> </w:t>
      </w:r>
      <w:r w:rsidRPr="00687002">
        <w:rPr>
          <w:rFonts w:ascii="Times New Roman" w:hAnsi="Times New Roman"/>
          <w:sz w:val="20"/>
          <w:szCs w:val="20"/>
        </w:rPr>
        <w:t>TPC, DPPH SC</w:t>
      </w:r>
      <w:r w:rsidRPr="00687002">
        <w:rPr>
          <w:rFonts w:ascii="Times New Roman" w:hAnsi="Times New Roman"/>
          <w:sz w:val="20"/>
          <w:szCs w:val="20"/>
          <w:vertAlign w:val="subscript"/>
        </w:rPr>
        <w:t>50</w:t>
      </w:r>
      <w:r w:rsidRPr="00687002">
        <w:rPr>
          <w:rFonts w:ascii="Times New Roman" w:hAnsi="Times New Roman"/>
          <w:sz w:val="20"/>
          <w:szCs w:val="20"/>
        </w:rPr>
        <w:t xml:space="preserve"> and Pearson correlation coefficient values</w:t>
      </w:r>
    </w:p>
    <w:tbl>
      <w:tblPr>
        <w:tblStyle w:val="TableGrid"/>
        <w:tblW w:w="9539" w:type="dxa"/>
        <w:jc w:val="center"/>
        <w:tblLayout w:type="fixed"/>
        <w:tblLook w:val="04A0" w:firstRow="1" w:lastRow="0" w:firstColumn="1" w:lastColumn="0" w:noHBand="0" w:noVBand="1"/>
      </w:tblPr>
      <w:tblGrid>
        <w:gridCol w:w="1791"/>
        <w:gridCol w:w="709"/>
        <w:gridCol w:w="1843"/>
        <w:gridCol w:w="1749"/>
        <w:gridCol w:w="1988"/>
        <w:gridCol w:w="1459"/>
      </w:tblGrid>
      <w:tr w:rsidR="00687002" w:rsidRPr="00687002" w:rsidTr="00042BC7">
        <w:trPr>
          <w:trHeight w:val="314"/>
          <w:jc w:val="center"/>
        </w:trPr>
        <w:tc>
          <w:tcPr>
            <w:tcW w:w="1791" w:type="dxa"/>
            <w:vMerge w:val="restart"/>
            <w:tcBorders>
              <w:top w:val="single" w:sz="4" w:space="0" w:color="auto"/>
              <w:left w:val="nil"/>
              <w:bottom w:val="nil"/>
              <w:right w:val="nil"/>
            </w:tcBorders>
            <w:vAlign w:val="center"/>
          </w:tcPr>
          <w:p w:rsidR="00687002" w:rsidRPr="00687002" w:rsidRDefault="00687002" w:rsidP="00042BC7">
            <w:pPr>
              <w:spacing w:after="0" w:line="240" w:lineRule="auto"/>
              <w:rPr>
                <w:rFonts w:ascii="Times New Roman" w:hAnsi="Times New Roman" w:cs="Times New Roman"/>
                <w:b/>
                <w:sz w:val="20"/>
                <w:szCs w:val="20"/>
              </w:rPr>
            </w:pPr>
            <w:r w:rsidRPr="00687002">
              <w:rPr>
                <w:rFonts w:ascii="Times New Roman" w:hAnsi="Times New Roman" w:cs="Times New Roman"/>
                <w:b/>
                <w:i/>
                <w:sz w:val="20"/>
                <w:szCs w:val="20"/>
              </w:rPr>
              <w:t xml:space="preserve">Calophyllum </w:t>
            </w:r>
            <w:r w:rsidRPr="00687002">
              <w:rPr>
                <w:rFonts w:ascii="Times New Roman" w:hAnsi="Times New Roman" w:cs="Times New Roman"/>
                <w:b/>
                <w:sz w:val="20"/>
                <w:szCs w:val="20"/>
              </w:rPr>
              <w:t>Species</w:t>
            </w:r>
          </w:p>
        </w:tc>
        <w:tc>
          <w:tcPr>
            <w:tcW w:w="709" w:type="dxa"/>
            <w:vMerge w:val="restart"/>
            <w:tcBorders>
              <w:top w:val="single" w:sz="4" w:space="0" w:color="auto"/>
              <w:left w:val="nil"/>
              <w:bottom w:val="nil"/>
              <w:right w:val="nil"/>
            </w:tcBorders>
            <w:vAlign w:val="center"/>
          </w:tcPr>
          <w:p w:rsidR="00687002" w:rsidRPr="00687002" w:rsidRDefault="00687002" w:rsidP="00687002">
            <w:pPr>
              <w:spacing w:after="0" w:line="240" w:lineRule="auto"/>
              <w:jc w:val="both"/>
              <w:rPr>
                <w:rFonts w:ascii="Times New Roman" w:hAnsi="Times New Roman" w:cs="Times New Roman"/>
                <w:b/>
                <w:sz w:val="20"/>
                <w:szCs w:val="20"/>
              </w:rPr>
            </w:pPr>
            <w:r w:rsidRPr="00687002">
              <w:rPr>
                <w:rFonts w:ascii="Times New Roman" w:hAnsi="Times New Roman" w:cs="Times New Roman"/>
                <w:b/>
                <w:sz w:val="20"/>
                <w:szCs w:val="20"/>
              </w:rPr>
              <w:t>Part</w:t>
            </w:r>
          </w:p>
        </w:tc>
        <w:tc>
          <w:tcPr>
            <w:tcW w:w="1843" w:type="dxa"/>
            <w:vMerge w:val="restart"/>
            <w:tcBorders>
              <w:top w:val="single" w:sz="4" w:space="0" w:color="auto"/>
              <w:left w:val="nil"/>
              <w:bottom w:val="nil"/>
              <w:right w:val="nil"/>
            </w:tcBorders>
            <w:vAlign w:val="center"/>
          </w:tcPr>
          <w:p w:rsidR="00687002" w:rsidRPr="00687002" w:rsidRDefault="00687002" w:rsidP="00042BC7">
            <w:pPr>
              <w:spacing w:after="0" w:line="240" w:lineRule="auto"/>
              <w:rPr>
                <w:rFonts w:ascii="Times New Roman" w:hAnsi="Times New Roman" w:cs="Times New Roman"/>
                <w:b/>
                <w:sz w:val="20"/>
                <w:szCs w:val="20"/>
              </w:rPr>
            </w:pPr>
            <w:r w:rsidRPr="00687002">
              <w:rPr>
                <w:rFonts w:ascii="Times New Roman" w:hAnsi="Times New Roman" w:cs="Times New Roman"/>
                <w:b/>
                <w:sz w:val="20"/>
                <w:szCs w:val="20"/>
              </w:rPr>
              <w:t>Crude (Abbreviation)</w:t>
            </w:r>
          </w:p>
        </w:tc>
        <w:tc>
          <w:tcPr>
            <w:tcW w:w="3737" w:type="dxa"/>
            <w:gridSpan w:val="2"/>
            <w:tcBorders>
              <w:top w:val="single" w:sz="4" w:space="0" w:color="auto"/>
              <w:left w:val="nil"/>
              <w:bottom w:val="single" w:sz="4" w:space="0" w:color="auto"/>
              <w:right w:val="nil"/>
            </w:tcBorders>
            <w:vAlign w:val="center"/>
          </w:tcPr>
          <w:p w:rsidR="00687002" w:rsidRPr="00687002" w:rsidRDefault="00687002" w:rsidP="00042BC7">
            <w:pPr>
              <w:spacing w:after="0" w:line="240" w:lineRule="auto"/>
              <w:jc w:val="center"/>
              <w:rPr>
                <w:rFonts w:ascii="Times New Roman" w:hAnsi="Times New Roman" w:cs="Times New Roman"/>
                <w:b/>
                <w:sz w:val="20"/>
                <w:szCs w:val="20"/>
              </w:rPr>
            </w:pPr>
            <w:r w:rsidRPr="00687002">
              <w:rPr>
                <w:rFonts w:ascii="Times New Roman" w:hAnsi="Times New Roman" w:cs="Times New Roman"/>
                <w:b/>
                <w:sz w:val="20"/>
                <w:szCs w:val="20"/>
              </w:rPr>
              <w:t>Antioxidant Activity</w:t>
            </w:r>
          </w:p>
        </w:tc>
        <w:tc>
          <w:tcPr>
            <w:tcW w:w="1459" w:type="dxa"/>
            <w:vMerge w:val="restart"/>
            <w:tcBorders>
              <w:top w:val="single" w:sz="4" w:space="0" w:color="auto"/>
              <w:left w:val="nil"/>
              <w:bottom w:val="nil"/>
              <w:right w:val="nil"/>
            </w:tcBorders>
            <w:vAlign w:val="center"/>
          </w:tcPr>
          <w:p w:rsidR="00687002" w:rsidRPr="00687002" w:rsidRDefault="00687002" w:rsidP="00687002">
            <w:pPr>
              <w:spacing w:after="0" w:line="240" w:lineRule="auto"/>
              <w:jc w:val="both"/>
              <w:rPr>
                <w:rFonts w:ascii="Times New Roman" w:hAnsi="Times New Roman" w:cs="Times New Roman"/>
                <w:b/>
                <w:sz w:val="20"/>
                <w:szCs w:val="20"/>
              </w:rPr>
            </w:pPr>
            <w:r w:rsidRPr="00687002">
              <w:rPr>
                <w:rFonts w:ascii="Times New Roman" w:hAnsi="Times New Roman" w:cs="Times New Roman"/>
                <w:b/>
                <w:i/>
                <w:sz w:val="20"/>
                <w:szCs w:val="20"/>
              </w:rPr>
              <w:t>r</w:t>
            </w:r>
            <w:r w:rsidRPr="00687002">
              <w:rPr>
                <w:rFonts w:ascii="Times New Roman" w:hAnsi="Times New Roman" w:cs="Times New Roman"/>
                <w:b/>
                <w:sz w:val="20"/>
                <w:szCs w:val="20"/>
              </w:rPr>
              <w:t xml:space="preserve"> coefficient</w:t>
            </w:r>
          </w:p>
        </w:tc>
      </w:tr>
      <w:tr w:rsidR="00687002" w:rsidRPr="00687002" w:rsidTr="00042BC7">
        <w:trPr>
          <w:trHeight w:val="319"/>
          <w:jc w:val="center"/>
        </w:trPr>
        <w:tc>
          <w:tcPr>
            <w:tcW w:w="1791" w:type="dxa"/>
            <w:vMerge/>
            <w:tcBorders>
              <w:top w:val="nil"/>
              <w:left w:val="nil"/>
              <w:bottom w:val="single" w:sz="4" w:space="0" w:color="auto"/>
              <w:right w:val="nil"/>
            </w:tcBorders>
            <w:vAlign w:val="center"/>
          </w:tcPr>
          <w:p w:rsidR="00687002" w:rsidRPr="00687002" w:rsidRDefault="00687002" w:rsidP="00042BC7">
            <w:pPr>
              <w:spacing w:after="0" w:line="240" w:lineRule="auto"/>
              <w:rPr>
                <w:rFonts w:ascii="Times New Roman" w:hAnsi="Times New Roman" w:cs="Times New Roman"/>
                <w:b/>
                <w:sz w:val="20"/>
                <w:szCs w:val="20"/>
              </w:rPr>
            </w:pPr>
          </w:p>
        </w:tc>
        <w:tc>
          <w:tcPr>
            <w:tcW w:w="709" w:type="dxa"/>
            <w:vMerge/>
            <w:tcBorders>
              <w:top w:val="nil"/>
              <w:left w:val="nil"/>
              <w:bottom w:val="single" w:sz="4" w:space="0" w:color="auto"/>
              <w:right w:val="nil"/>
            </w:tcBorders>
          </w:tcPr>
          <w:p w:rsidR="00687002" w:rsidRPr="00687002" w:rsidRDefault="00687002" w:rsidP="00687002">
            <w:pPr>
              <w:spacing w:after="0" w:line="240" w:lineRule="auto"/>
              <w:jc w:val="both"/>
              <w:rPr>
                <w:rFonts w:ascii="Times New Roman" w:hAnsi="Times New Roman" w:cs="Times New Roman"/>
                <w:b/>
                <w:sz w:val="20"/>
                <w:szCs w:val="20"/>
              </w:rPr>
            </w:pPr>
          </w:p>
        </w:tc>
        <w:tc>
          <w:tcPr>
            <w:tcW w:w="1843" w:type="dxa"/>
            <w:vMerge/>
            <w:tcBorders>
              <w:top w:val="nil"/>
              <w:left w:val="nil"/>
              <w:bottom w:val="single" w:sz="4" w:space="0" w:color="auto"/>
              <w:right w:val="nil"/>
            </w:tcBorders>
          </w:tcPr>
          <w:p w:rsidR="00687002" w:rsidRPr="00687002" w:rsidRDefault="00687002" w:rsidP="00042BC7">
            <w:pPr>
              <w:spacing w:after="0" w:line="240" w:lineRule="auto"/>
              <w:rPr>
                <w:rFonts w:ascii="Times New Roman" w:hAnsi="Times New Roman" w:cs="Times New Roman"/>
                <w:b/>
                <w:sz w:val="20"/>
                <w:szCs w:val="20"/>
              </w:rPr>
            </w:pPr>
          </w:p>
        </w:tc>
        <w:tc>
          <w:tcPr>
            <w:tcW w:w="1749" w:type="dxa"/>
            <w:tcBorders>
              <w:top w:val="single" w:sz="4" w:space="0" w:color="auto"/>
              <w:left w:val="nil"/>
              <w:bottom w:val="single" w:sz="4" w:space="0" w:color="auto"/>
              <w:right w:val="nil"/>
            </w:tcBorders>
            <w:vAlign w:val="center"/>
          </w:tcPr>
          <w:p w:rsidR="00687002" w:rsidRPr="00687002" w:rsidRDefault="00687002" w:rsidP="00042BC7">
            <w:pPr>
              <w:spacing w:after="0" w:line="240" w:lineRule="auto"/>
              <w:jc w:val="center"/>
              <w:rPr>
                <w:rFonts w:ascii="Times New Roman" w:hAnsi="Times New Roman" w:cs="Times New Roman"/>
                <w:b/>
                <w:sz w:val="20"/>
                <w:szCs w:val="20"/>
              </w:rPr>
            </w:pPr>
            <w:r w:rsidRPr="00687002">
              <w:rPr>
                <w:rFonts w:ascii="Times New Roman" w:hAnsi="Times New Roman" w:cs="Times New Roman"/>
                <w:b/>
                <w:sz w:val="20"/>
                <w:szCs w:val="20"/>
              </w:rPr>
              <w:t>TPC</w:t>
            </w:r>
          </w:p>
          <w:p w:rsidR="00687002" w:rsidRPr="00687002" w:rsidRDefault="00687002" w:rsidP="00042BC7">
            <w:pPr>
              <w:spacing w:after="60" w:line="240" w:lineRule="auto"/>
              <w:jc w:val="center"/>
              <w:rPr>
                <w:rFonts w:ascii="Times New Roman" w:hAnsi="Times New Roman" w:cs="Times New Roman"/>
                <w:b/>
                <w:sz w:val="20"/>
                <w:szCs w:val="20"/>
              </w:rPr>
            </w:pPr>
            <w:r w:rsidRPr="00687002">
              <w:rPr>
                <w:rFonts w:ascii="Times New Roman" w:hAnsi="Times New Roman" w:cs="Times New Roman"/>
                <w:b/>
                <w:sz w:val="20"/>
                <w:szCs w:val="20"/>
              </w:rPr>
              <w:t>(mg GAE/g)</w:t>
            </w:r>
            <w:r w:rsidRPr="00687002">
              <w:rPr>
                <w:rFonts w:ascii="Times New Roman" w:hAnsi="Times New Roman" w:cs="Times New Roman"/>
                <w:b/>
                <w:sz w:val="20"/>
                <w:szCs w:val="20"/>
                <w:vertAlign w:val="superscript"/>
              </w:rPr>
              <w:t>a</w:t>
            </w:r>
          </w:p>
        </w:tc>
        <w:tc>
          <w:tcPr>
            <w:tcW w:w="1988" w:type="dxa"/>
            <w:tcBorders>
              <w:top w:val="single" w:sz="4" w:space="0" w:color="auto"/>
              <w:left w:val="nil"/>
              <w:bottom w:val="single" w:sz="4" w:space="0" w:color="auto"/>
              <w:right w:val="nil"/>
            </w:tcBorders>
            <w:vAlign w:val="center"/>
          </w:tcPr>
          <w:p w:rsidR="00687002" w:rsidRPr="00687002" w:rsidRDefault="00687002" w:rsidP="00042BC7">
            <w:pPr>
              <w:spacing w:after="0" w:line="240" w:lineRule="auto"/>
              <w:jc w:val="center"/>
              <w:rPr>
                <w:rFonts w:ascii="Times New Roman" w:hAnsi="Times New Roman" w:cs="Times New Roman"/>
                <w:b/>
                <w:sz w:val="20"/>
                <w:szCs w:val="20"/>
              </w:rPr>
            </w:pPr>
            <w:r w:rsidRPr="00687002">
              <w:rPr>
                <w:rFonts w:ascii="Times New Roman" w:hAnsi="Times New Roman" w:cs="Times New Roman"/>
                <w:b/>
                <w:sz w:val="20"/>
                <w:szCs w:val="20"/>
              </w:rPr>
              <w:t>DPPH</w:t>
            </w:r>
          </w:p>
          <w:p w:rsidR="00687002" w:rsidRPr="00687002" w:rsidRDefault="00687002" w:rsidP="00042BC7">
            <w:pPr>
              <w:spacing w:after="60" w:line="240" w:lineRule="auto"/>
              <w:jc w:val="center"/>
              <w:rPr>
                <w:rFonts w:ascii="Times New Roman" w:hAnsi="Times New Roman" w:cs="Times New Roman"/>
                <w:b/>
                <w:sz w:val="20"/>
                <w:szCs w:val="20"/>
              </w:rPr>
            </w:pPr>
            <w:r w:rsidRPr="00687002">
              <w:rPr>
                <w:rFonts w:ascii="Times New Roman" w:hAnsi="Times New Roman" w:cs="Times New Roman"/>
                <w:b/>
                <w:sz w:val="20"/>
                <w:szCs w:val="20"/>
              </w:rPr>
              <w:t>SC</w:t>
            </w:r>
            <w:r w:rsidRPr="00687002">
              <w:rPr>
                <w:rFonts w:ascii="Times New Roman" w:hAnsi="Times New Roman" w:cs="Times New Roman"/>
                <w:b/>
                <w:sz w:val="20"/>
                <w:szCs w:val="20"/>
                <w:vertAlign w:val="subscript"/>
              </w:rPr>
              <w:t>50</w:t>
            </w:r>
            <w:r w:rsidRPr="00687002">
              <w:rPr>
                <w:rFonts w:ascii="Times New Roman" w:hAnsi="Times New Roman" w:cs="Times New Roman"/>
                <w:b/>
                <w:sz w:val="20"/>
                <w:szCs w:val="20"/>
              </w:rPr>
              <w:t xml:space="preserve"> (µg/mL)</w:t>
            </w:r>
            <w:r w:rsidRPr="00687002">
              <w:rPr>
                <w:rFonts w:ascii="Times New Roman" w:hAnsi="Times New Roman" w:cs="Times New Roman"/>
                <w:b/>
                <w:sz w:val="20"/>
                <w:szCs w:val="20"/>
                <w:vertAlign w:val="superscript"/>
              </w:rPr>
              <w:t>a</w:t>
            </w:r>
          </w:p>
        </w:tc>
        <w:tc>
          <w:tcPr>
            <w:tcW w:w="1459" w:type="dxa"/>
            <w:vMerge/>
            <w:tcBorders>
              <w:top w:val="nil"/>
              <w:left w:val="nil"/>
              <w:bottom w:val="single" w:sz="4" w:space="0" w:color="auto"/>
              <w:right w:val="nil"/>
            </w:tcBorders>
          </w:tcPr>
          <w:p w:rsidR="00687002" w:rsidRPr="00687002" w:rsidRDefault="00687002" w:rsidP="00687002">
            <w:pPr>
              <w:spacing w:after="0" w:line="240" w:lineRule="auto"/>
              <w:jc w:val="both"/>
              <w:rPr>
                <w:rFonts w:ascii="Times New Roman" w:hAnsi="Times New Roman" w:cs="Times New Roman"/>
                <w:b/>
                <w:sz w:val="20"/>
                <w:szCs w:val="20"/>
              </w:rPr>
            </w:pPr>
          </w:p>
        </w:tc>
      </w:tr>
      <w:tr w:rsidR="00687002" w:rsidRPr="00687002" w:rsidTr="00042BC7">
        <w:trPr>
          <w:trHeight w:val="182"/>
          <w:jc w:val="center"/>
        </w:trPr>
        <w:tc>
          <w:tcPr>
            <w:tcW w:w="1791" w:type="dxa"/>
            <w:tcBorders>
              <w:top w:val="single" w:sz="4" w:space="0" w:color="auto"/>
              <w:left w:val="nil"/>
              <w:bottom w:val="nil"/>
              <w:right w:val="nil"/>
            </w:tcBorders>
            <w:vAlign w:val="center"/>
          </w:tcPr>
          <w:p w:rsidR="00687002" w:rsidRPr="00687002" w:rsidRDefault="00687002" w:rsidP="00042BC7">
            <w:pPr>
              <w:spacing w:before="60" w:after="0" w:line="240" w:lineRule="auto"/>
              <w:rPr>
                <w:rFonts w:ascii="Times New Roman" w:hAnsi="Times New Roman" w:cs="Times New Roman"/>
                <w:i/>
                <w:sz w:val="20"/>
                <w:szCs w:val="20"/>
              </w:rPr>
            </w:pPr>
            <w:r w:rsidRPr="00687002">
              <w:rPr>
                <w:rFonts w:ascii="Times New Roman" w:hAnsi="Times New Roman" w:cs="Times New Roman"/>
                <w:i/>
                <w:sz w:val="20"/>
                <w:szCs w:val="20"/>
              </w:rPr>
              <w:t>C. ferrugineum</w:t>
            </w:r>
          </w:p>
        </w:tc>
        <w:tc>
          <w:tcPr>
            <w:tcW w:w="709" w:type="dxa"/>
            <w:tcBorders>
              <w:top w:val="single" w:sz="4" w:space="0" w:color="auto"/>
              <w:left w:val="nil"/>
              <w:bottom w:val="nil"/>
              <w:right w:val="nil"/>
            </w:tcBorders>
            <w:vAlign w:val="center"/>
          </w:tcPr>
          <w:p w:rsidR="00687002" w:rsidRPr="00687002" w:rsidRDefault="00687002" w:rsidP="00042BC7">
            <w:pPr>
              <w:spacing w:before="60" w:after="0" w:line="240" w:lineRule="auto"/>
              <w:jc w:val="both"/>
              <w:rPr>
                <w:rFonts w:ascii="Times New Roman" w:hAnsi="Times New Roman" w:cs="Times New Roman"/>
                <w:sz w:val="20"/>
                <w:szCs w:val="20"/>
              </w:rPr>
            </w:pPr>
            <w:r w:rsidRPr="00687002">
              <w:rPr>
                <w:rFonts w:ascii="Times New Roman" w:hAnsi="Times New Roman" w:cs="Times New Roman"/>
                <w:sz w:val="20"/>
                <w:szCs w:val="20"/>
              </w:rPr>
              <w:t>B</w:t>
            </w:r>
          </w:p>
        </w:tc>
        <w:tc>
          <w:tcPr>
            <w:tcW w:w="1843" w:type="dxa"/>
            <w:tcBorders>
              <w:top w:val="single" w:sz="4" w:space="0" w:color="auto"/>
              <w:left w:val="nil"/>
              <w:bottom w:val="nil"/>
              <w:right w:val="nil"/>
            </w:tcBorders>
            <w:vAlign w:val="center"/>
          </w:tcPr>
          <w:p w:rsidR="00687002" w:rsidRPr="00687002" w:rsidRDefault="00687002" w:rsidP="00042BC7">
            <w:pPr>
              <w:spacing w:before="60" w:after="0" w:line="240" w:lineRule="auto"/>
              <w:rPr>
                <w:rFonts w:ascii="Times New Roman" w:hAnsi="Times New Roman" w:cs="Times New Roman"/>
                <w:sz w:val="20"/>
                <w:szCs w:val="20"/>
              </w:rPr>
            </w:pPr>
            <w:r w:rsidRPr="00687002">
              <w:rPr>
                <w:rFonts w:ascii="Times New Roman" w:hAnsi="Times New Roman" w:cs="Times New Roman"/>
                <w:sz w:val="20"/>
                <w:szCs w:val="20"/>
              </w:rPr>
              <w:t>CH</w:t>
            </w:r>
            <w:r w:rsidRPr="00687002">
              <w:rPr>
                <w:rFonts w:ascii="Times New Roman" w:hAnsi="Times New Roman" w:cs="Times New Roman"/>
                <w:sz w:val="20"/>
                <w:szCs w:val="20"/>
                <w:vertAlign w:val="subscript"/>
              </w:rPr>
              <w:t>2</w:t>
            </w:r>
            <w:r w:rsidRPr="00687002">
              <w:rPr>
                <w:rFonts w:ascii="Times New Roman" w:hAnsi="Times New Roman" w:cs="Times New Roman"/>
                <w:sz w:val="20"/>
                <w:szCs w:val="20"/>
              </w:rPr>
              <w:t>Cl</w:t>
            </w:r>
            <w:r w:rsidRPr="00687002">
              <w:rPr>
                <w:rFonts w:ascii="Times New Roman" w:hAnsi="Times New Roman" w:cs="Times New Roman"/>
                <w:sz w:val="20"/>
                <w:szCs w:val="20"/>
                <w:vertAlign w:val="subscript"/>
              </w:rPr>
              <w:t>2</w:t>
            </w:r>
            <w:r w:rsidRPr="00687002">
              <w:rPr>
                <w:rFonts w:ascii="Times New Roman" w:hAnsi="Times New Roman" w:cs="Times New Roman"/>
                <w:sz w:val="20"/>
                <w:szCs w:val="20"/>
              </w:rPr>
              <w:t xml:space="preserve"> (CFBD)</w:t>
            </w:r>
          </w:p>
        </w:tc>
        <w:tc>
          <w:tcPr>
            <w:tcW w:w="1749" w:type="dxa"/>
            <w:tcBorders>
              <w:top w:val="single" w:sz="4" w:space="0" w:color="auto"/>
              <w:left w:val="nil"/>
              <w:bottom w:val="nil"/>
              <w:right w:val="nil"/>
            </w:tcBorders>
            <w:vAlign w:val="center"/>
          </w:tcPr>
          <w:p w:rsidR="00687002" w:rsidRPr="00687002" w:rsidRDefault="00687002" w:rsidP="00042BC7">
            <w:pPr>
              <w:autoSpaceDE w:val="0"/>
              <w:autoSpaceDN w:val="0"/>
              <w:adjustRightInd w:val="0"/>
              <w:spacing w:before="6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ND</w:t>
            </w:r>
          </w:p>
        </w:tc>
        <w:tc>
          <w:tcPr>
            <w:tcW w:w="1988" w:type="dxa"/>
            <w:tcBorders>
              <w:top w:val="single" w:sz="4" w:space="0" w:color="auto"/>
              <w:left w:val="nil"/>
              <w:bottom w:val="nil"/>
              <w:right w:val="nil"/>
            </w:tcBorders>
            <w:vAlign w:val="center"/>
          </w:tcPr>
          <w:p w:rsidR="00687002" w:rsidRPr="00687002" w:rsidRDefault="00687002" w:rsidP="00042BC7">
            <w:pPr>
              <w:autoSpaceDE w:val="0"/>
              <w:autoSpaceDN w:val="0"/>
              <w:adjustRightInd w:val="0"/>
              <w:spacing w:before="6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 1000</w:t>
            </w:r>
          </w:p>
        </w:tc>
        <w:tc>
          <w:tcPr>
            <w:tcW w:w="1459" w:type="dxa"/>
            <w:tcBorders>
              <w:top w:val="single" w:sz="4" w:space="0" w:color="auto"/>
              <w:left w:val="nil"/>
              <w:bottom w:val="nil"/>
              <w:right w:val="nil"/>
            </w:tcBorders>
            <w:vAlign w:val="center"/>
          </w:tcPr>
          <w:p w:rsidR="00687002" w:rsidRPr="00687002" w:rsidRDefault="00687002" w:rsidP="00042BC7">
            <w:pPr>
              <w:spacing w:before="6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0.607</w:t>
            </w:r>
          </w:p>
        </w:tc>
      </w:tr>
      <w:tr w:rsidR="00687002" w:rsidRPr="00687002" w:rsidTr="00687002">
        <w:trPr>
          <w:trHeight w:val="139"/>
          <w:jc w:val="center"/>
        </w:trPr>
        <w:tc>
          <w:tcPr>
            <w:tcW w:w="1791" w:type="dxa"/>
            <w:tcBorders>
              <w:top w:val="nil"/>
              <w:left w:val="nil"/>
              <w:bottom w:val="nil"/>
              <w:right w:val="nil"/>
            </w:tcBorders>
            <w:vAlign w:val="center"/>
          </w:tcPr>
          <w:p w:rsidR="00687002" w:rsidRPr="00687002" w:rsidRDefault="00687002" w:rsidP="00042BC7">
            <w:pPr>
              <w:spacing w:after="0" w:line="240" w:lineRule="auto"/>
              <w:rPr>
                <w:rFonts w:ascii="Times New Roman" w:hAnsi="Times New Roman" w:cs="Times New Roman"/>
                <w:i/>
                <w:sz w:val="20"/>
                <w:szCs w:val="20"/>
              </w:rPr>
            </w:pPr>
          </w:p>
        </w:tc>
        <w:tc>
          <w:tcPr>
            <w:tcW w:w="709" w:type="dxa"/>
            <w:tcBorders>
              <w:top w:val="nil"/>
              <w:left w:val="nil"/>
              <w:bottom w:val="nil"/>
              <w:right w:val="nil"/>
            </w:tcBorders>
          </w:tcPr>
          <w:p w:rsidR="00687002" w:rsidRPr="00687002" w:rsidRDefault="00687002" w:rsidP="00687002">
            <w:pPr>
              <w:spacing w:after="0" w:line="240" w:lineRule="auto"/>
              <w:jc w:val="both"/>
              <w:rPr>
                <w:rFonts w:ascii="Times New Roman" w:hAnsi="Times New Roman" w:cs="Times New Roman"/>
                <w:sz w:val="20"/>
                <w:szCs w:val="20"/>
              </w:rPr>
            </w:pPr>
          </w:p>
        </w:tc>
        <w:tc>
          <w:tcPr>
            <w:tcW w:w="1843" w:type="dxa"/>
            <w:tcBorders>
              <w:top w:val="nil"/>
              <w:left w:val="nil"/>
              <w:bottom w:val="nil"/>
              <w:right w:val="nil"/>
            </w:tcBorders>
          </w:tcPr>
          <w:p w:rsidR="00687002" w:rsidRPr="00687002" w:rsidRDefault="00687002" w:rsidP="00042BC7">
            <w:pPr>
              <w:spacing w:after="0" w:line="240" w:lineRule="auto"/>
              <w:rPr>
                <w:rFonts w:ascii="Times New Roman" w:hAnsi="Times New Roman" w:cs="Times New Roman"/>
                <w:sz w:val="20"/>
                <w:szCs w:val="20"/>
              </w:rPr>
            </w:pPr>
            <w:r w:rsidRPr="00687002">
              <w:rPr>
                <w:rFonts w:ascii="Times New Roman" w:hAnsi="Times New Roman" w:cs="Times New Roman"/>
                <w:sz w:val="20"/>
                <w:szCs w:val="20"/>
              </w:rPr>
              <w:t>EtOAc (CFBE)</w:t>
            </w:r>
          </w:p>
        </w:tc>
        <w:tc>
          <w:tcPr>
            <w:tcW w:w="1749" w:type="dxa"/>
            <w:tcBorders>
              <w:top w:val="nil"/>
              <w:left w:val="nil"/>
              <w:bottom w:val="nil"/>
              <w:right w:val="nil"/>
            </w:tcBorders>
          </w:tcPr>
          <w:p w:rsidR="00687002" w:rsidRPr="00687002" w:rsidRDefault="00687002" w:rsidP="00042BC7">
            <w:pPr>
              <w:autoSpaceDE w:val="0"/>
              <w:autoSpaceDN w:val="0"/>
              <w:adjustRightInd w:val="0"/>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84.09 ± 0.30*</w:t>
            </w:r>
          </w:p>
        </w:tc>
        <w:tc>
          <w:tcPr>
            <w:tcW w:w="1988" w:type="dxa"/>
            <w:tcBorders>
              <w:top w:val="nil"/>
              <w:left w:val="nil"/>
              <w:bottom w:val="nil"/>
              <w:right w:val="nil"/>
            </w:tcBorders>
          </w:tcPr>
          <w:p w:rsidR="00687002" w:rsidRPr="00687002" w:rsidRDefault="00687002" w:rsidP="00042BC7">
            <w:pPr>
              <w:autoSpaceDE w:val="0"/>
              <w:autoSpaceDN w:val="0"/>
              <w:adjustRightInd w:val="0"/>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26.72 ± 0.15***</w:t>
            </w:r>
          </w:p>
        </w:tc>
        <w:tc>
          <w:tcPr>
            <w:tcW w:w="1459" w:type="dxa"/>
            <w:tcBorders>
              <w:top w:val="nil"/>
              <w:left w:val="nil"/>
              <w:bottom w:val="nil"/>
              <w:right w:val="nil"/>
            </w:tcBorders>
          </w:tcPr>
          <w:p w:rsidR="00687002" w:rsidRPr="00687002" w:rsidRDefault="00687002" w:rsidP="00042BC7">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0.810*</w:t>
            </w:r>
          </w:p>
        </w:tc>
      </w:tr>
      <w:tr w:rsidR="00687002" w:rsidRPr="00687002" w:rsidTr="00687002">
        <w:trPr>
          <w:trHeight w:val="72"/>
          <w:jc w:val="center"/>
        </w:trPr>
        <w:tc>
          <w:tcPr>
            <w:tcW w:w="1791" w:type="dxa"/>
            <w:tcBorders>
              <w:top w:val="nil"/>
              <w:left w:val="nil"/>
              <w:bottom w:val="nil"/>
              <w:right w:val="nil"/>
            </w:tcBorders>
            <w:vAlign w:val="center"/>
          </w:tcPr>
          <w:p w:rsidR="00687002" w:rsidRPr="00687002" w:rsidRDefault="00687002" w:rsidP="00042BC7">
            <w:pPr>
              <w:spacing w:after="0" w:line="240" w:lineRule="auto"/>
              <w:rPr>
                <w:rFonts w:ascii="Times New Roman" w:hAnsi="Times New Roman" w:cs="Times New Roman"/>
                <w:sz w:val="20"/>
                <w:szCs w:val="20"/>
              </w:rPr>
            </w:pPr>
          </w:p>
        </w:tc>
        <w:tc>
          <w:tcPr>
            <w:tcW w:w="709" w:type="dxa"/>
            <w:tcBorders>
              <w:top w:val="nil"/>
              <w:left w:val="nil"/>
              <w:bottom w:val="nil"/>
              <w:right w:val="nil"/>
            </w:tcBorders>
          </w:tcPr>
          <w:p w:rsidR="00687002" w:rsidRPr="00687002" w:rsidRDefault="00687002" w:rsidP="00687002">
            <w:pPr>
              <w:spacing w:after="0" w:line="240" w:lineRule="auto"/>
              <w:jc w:val="both"/>
              <w:rPr>
                <w:rFonts w:ascii="Times New Roman" w:hAnsi="Times New Roman" w:cs="Times New Roman"/>
                <w:sz w:val="20"/>
                <w:szCs w:val="20"/>
              </w:rPr>
            </w:pPr>
          </w:p>
        </w:tc>
        <w:tc>
          <w:tcPr>
            <w:tcW w:w="1843" w:type="dxa"/>
            <w:tcBorders>
              <w:top w:val="nil"/>
              <w:left w:val="nil"/>
              <w:bottom w:val="nil"/>
              <w:right w:val="nil"/>
            </w:tcBorders>
          </w:tcPr>
          <w:p w:rsidR="00687002" w:rsidRPr="00687002" w:rsidRDefault="00687002" w:rsidP="00042BC7">
            <w:pPr>
              <w:spacing w:after="0" w:line="240" w:lineRule="auto"/>
              <w:rPr>
                <w:rFonts w:ascii="Times New Roman" w:hAnsi="Times New Roman" w:cs="Times New Roman"/>
                <w:sz w:val="20"/>
                <w:szCs w:val="20"/>
              </w:rPr>
            </w:pPr>
            <w:r w:rsidRPr="00687002">
              <w:rPr>
                <w:rFonts w:ascii="Times New Roman" w:hAnsi="Times New Roman" w:cs="Times New Roman"/>
                <w:sz w:val="20"/>
                <w:szCs w:val="20"/>
              </w:rPr>
              <w:t>MeOH (CFBM)</w:t>
            </w:r>
          </w:p>
        </w:tc>
        <w:tc>
          <w:tcPr>
            <w:tcW w:w="1749" w:type="dxa"/>
            <w:tcBorders>
              <w:top w:val="nil"/>
              <w:left w:val="nil"/>
              <w:bottom w:val="nil"/>
              <w:right w:val="nil"/>
            </w:tcBorders>
          </w:tcPr>
          <w:p w:rsidR="00687002" w:rsidRPr="00687002" w:rsidRDefault="00687002" w:rsidP="00042BC7">
            <w:pPr>
              <w:autoSpaceDE w:val="0"/>
              <w:autoSpaceDN w:val="0"/>
              <w:adjustRightInd w:val="0"/>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118.48 ± 0.01*</w:t>
            </w:r>
          </w:p>
        </w:tc>
        <w:tc>
          <w:tcPr>
            <w:tcW w:w="1988" w:type="dxa"/>
            <w:tcBorders>
              <w:top w:val="nil"/>
              <w:left w:val="nil"/>
              <w:bottom w:val="nil"/>
              <w:right w:val="nil"/>
            </w:tcBorders>
          </w:tcPr>
          <w:p w:rsidR="00687002" w:rsidRPr="00687002" w:rsidRDefault="00687002" w:rsidP="00042BC7">
            <w:pPr>
              <w:autoSpaceDE w:val="0"/>
              <w:autoSpaceDN w:val="0"/>
              <w:adjustRightInd w:val="0"/>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18.82 ± 0.38***</w:t>
            </w:r>
          </w:p>
        </w:tc>
        <w:tc>
          <w:tcPr>
            <w:tcW w:w="1459" w:type="dxa"/>
            <w:tcBorders>
              <w:top w:val="nil"/>
              <w:left w:val="nil"/>
              <w:bottom w:val="nil"/>
              <w:right w:val="nil"/>
            </w:tcBorders>
          </w:tcPr>
          <w:p w:rsidR="00687002" w:rsidRPr="00687002" w:rsidRDefault="00687002" w:rsidP="00042BC7">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0.473</w:t>
            </w:r>
          </w:p>
        </w:tc>
      </w:tr>
      <w:tr w:rsidR="00687002" w:rsidRPr="00687002" w:rsidTr="00687002">
        <w:trPr>
          <w:trHeight w:val="53"/>
          <w:jc w:val="center"/>
        </w:trPr>
        <w:tc>
          <w:tcPr>
            <w:tcW w:w="1791" w:type="dxa"/>
            <w:tcBorders>
              <w:top w:val="nil"/>
              <w:left w:val="nil"/>
              <w:bottom w:val="nil"/>
              <w:right w:val="nil"/>
            </w:tcBorders>
            <w:vAlign w:val="center"/>
          </w:tcPr>
          <w:p w:rsidR="00687002" w:rsidRPr="00687002" w:rsidRDefault="00687002" w:rsidP="00042BC7">
            <w:pPr>
              <w:spacing w:after="0" w:line="240" w:lineRule="auto"/>
              <w:rPr>
                <w:rFonts w:ascii="Times New Roman" w:hAnsi="Times New Roman" w:cs="Times New Roman"/>
                <w:sz w:val="20"/>
                <w:szCs w:val="20"/>
              </w:rPr>
            </w:pPr>
          </w:p>
        </w:tc>
        <w:tc>
          <w:tcPr>
            <w:tcW w:w="709" w:type="dxa"/>
            <w:tcBorders>
              <w:top w:val="nil"/>
              <w:left w:val="nil"/>
              <w:bottom w:val="nil"/>
              <w:right w:val="nil"/>
            </w:tcBorders>
          </w:tcPr>
          <w:p w:rsidR="00687002" w:rsidRPr="00687002" w:rsidRDefault="00687002" w:rsidP="00042BC7">
            <w:pPr>
              <w:spacing w:before="60" w:after="0" w:line="240" w:lineRule="auto"/>
              <w:jc w:val="both"/>
              <w:rPr>
                <w:rFonts w:ascii="Times New Roman" w:hAnsi="Times New Roman" w:cs="Times New Roman"/>
                <w:sz w:val="20"/>
                <w:szCs w:val="20"/>
              </w:rPr>
            </w:pPr>
            <w:r w:rsidRPr="00687002">
              <w:rPr>
                <w:rFonts w:ascii="Times New Roman" w:hAnsi="Times New Roman" w:cs="Times New Roman"/>
                <w:sz w:val="20"/>
                <w:szCs w:val="20"/>
              </w:rPr>
              <w:t>L</w:t>
            </w:r>
          </w:p>
        </w:tc>
        <w:tc>
          <w:tcPr>
            <w:tcW w:w="1843" w:type="dxa"/>
            <w:tcBorders>
              <w:top w:val="nil"/>
              <w:left w:val="nil"/>
              <w:bottom w:val="nil"/>
              <w:right w:val="nil"/>
            </w:tcBorders>
          </w:tcPr>
          <w:p w:rsidR="00687002" w:rsidRPr="00687002" w:rsidRDefault="00687002" w:rsidP="00042BC7">
            <w:pPr>
              <w:spacing w:before="60" w:after="0" w:line="240" w:lineRule="auto"/>
              <w:rPr>
                <w:rFonts w:ascii="Times New Roman" w:hAnsi="Times New Roman" w:cs="Times New Roman"/>
                <w:sz w:val="20"/>
                <w:szCs w:val="20"/>
              </w:rPr>
            </w:pPr>
            <w:r w:rsidRPr="00687002">
              <w:rPr>
                <w:rFonts w:ascii="Times New Roman" w:hAnsi="Times New Roman" w:cs="Times New Roman"/>
                <w:sz w:val="20"/>
                <w:szCs w:val="20"/>
              </w:rPr>
              <w:t>CH</w:t>
            </w:r>
            <w:r w:rsidRPr="00687002">
              <w:rPr>
                <w:rFonts w:ascii="Times New Roman" w:hAnsi="Times New Roman" w:cs="Times New Roman"/>
                <w:sz w:val="20"/>
                <w:szCs w:val="20"/>
                <w:vertAlign w:val="subscript"/>
              </w:rPr>
              <w:t>2</w:t>
            </w:r>
            <w:r w:rsidRPr="00687002">
              <w:rPr>
                <w:rFonts w:ascii="Times New Roman" w:hAnsi="Times New Roman" w:cs="Times New Roman"/>
                <w:sz w:val="20"/>
                <w:szCs w:val="20"/>
              </w:rPr>
              <w:t>Cl</w:t>
            </w:r>
            <w:r w:rsidRPr="00687002">
              <w:rPr>
                <w:rFonts w:ascii="Times New Roman" w:hAnsi="Times New Roman" w:cs="Times New Roman"/>
                <w:sz w:val="20"/>
                <w:szCs w:val="20"/>
                <w:vertAlign w:val="subscript"/>
              </w:rPr>
              <w:t>2</w:t>
            </w:r>
            <w:r w:rsidRPr="00687002">
              <w:rPr>
                <w:rFonts w:ascii="Times New Roman" w:hAnsi="Times New Roman" w:cs="Times New Roman"/>
                <w:sz w:val="20"/>
                <w:szCs w:val="20"/>
              </w:rPr>
              <w:t xml:space="preserve"> (CFLD)</w:t>
            </w:r>
          </w:p>
        </w:tc>
        <w:tc>
          <w:tcPr>
            <w:tcW w:w="1749" w:type="dxa"/>
            <w:tcBorders>
              <w:top w:val="nil"/>
              <w:left w:val="nil"/>
              <w:bottom w:val="nil"/>
              <w:right w:val="nil"/>
            </w:tcBorders>
          </w:tcPr>
          <w:p w:rsidR="00687002" w:rsidRPr="00687002" w:rsidRDefault="00687002" w:rsidP="00042BC7">
            <w:pPr>
              <w:autoSpaceDE w:val="0"/>
              <w:autoSpaceDN w:val="0"/>
              <w:adjustRightInd w:val="0"/>
              <w:spacing w:before="6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ND</w:t>
            </w:r>
          </w:p>
        </w:tc>
        <w:tc>
          <w:tcPr>
            <w:tcW w:w="1988" w:type="dxa"/>
            <w:tcBorders>
              <w:top w:val="nil"/>
              <w:left w:val="nil"/>
              <w:bottom w:val="nil"/>
              <w:right w:val="nil"/>
            </w:tcBorders>
          </w:tcPr>
          <w:p w:rsidR="00687002" w:rsidRPr="00687002" w:rsidRDefault="00687002" w:rsidP="00042BC7">
            <w:pPr>
              <w:autoSpaceDE w:val="0"/>
              <w:autoSpaceDN w:val="0"/>
              <w:adjustRightInd w:val="0"/>
              <w:spacing w:before="6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 1000</w:t>
            </w:r>
          </w:p>
        </w:tc>
        <w:tc>
          <w:tcPr>
            <w:tcW w:w="1459" w:type="dxa"/>
            <w:tcBorders>
              <w:top w:val="nil"/>
              <w:left w:val="nil"/>
              <w:bottom w:val="nil"/>
              <w:right w:val="nil"/>
            </w:tcBorders>
          </w:tcPr>
          <w:p w:rsidR="00687002" w:rsidRPr="00687002" w:rsidRDefault="00687002" w:rsidP="00042BC7">
            <w:pPr>
              <w:spacing w:before="6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0.623</w:t>
            </w:r>
          </w:p>
        </w:tc>
      </w:tr>
      <w:tr w:rsidR="00687002" w:rsidRPr="00687002" w:rsidTr="00687002">
        <w:trPr>
          <w:trHeight w:val="77"/>
          <w:jc w:val="center"/>
        </w:trPr>
        <w:tc>
          <w:tcPr>
            <w:tcW w:w="1791" w:type="dxa"/>
            <w:tcBorders>
              <w:top w:val="nil"/>
              <w:left w:val="nil"/>
              <w:bottom w:val="nil"/>
              <w:right w:val="nil"/>
            </w:tcBorders>
            <w:vAlign w:val="center"/>
          </w:tcPr>
          <w:p w:rsidR="00687002" w:rsidRPr="00687002" w:rsidRDefault="00687002" w:rsidP="00042BC7">
            <w:pPr>
              <w:spacing w:after="0" w:line="240" w:lineRule="auto"/>
              <w:rPr>
                <w:rFonts w:ascii="Times New Roman" w:hAnsi="Times New Roman" w:cs="Times New Roman"/>
                <w:sz w:val="20"/>
                <w:szCs w:val="20"/>
              </w:rPr>
            </w:pPr>
          </w:p>
        </w:tc>
        <w:tc>
          <w:tcPr>
            <w:tcW w:w="709" w:type="dxa"/>
            <w:tcBorders>
              <w:top w:val="nil"/>
              <w:left w:val="nil"/>
              <w:bottom w:val="nil"/>
              <w:right w:val="nil"/>
            </w:tcBorders>
          </w:tcPr>
          <w:p w:rsidR="00687002" w:rsidRPr="00687002" w:rsidRDefault="00687002" w:rsidP="00687002">
            <w:pPr>
              <w:spacing w:after="0" w:line="240" w:lineRule="auto"/>
              <w:jc w:val="both"/>
              <w:rPr>
                <w:rFonts w:ascii="Times New Roman" w:hAnsi="Times New Roman" w:cs="Times New Roman"/>
                <w:sz w:val="20"/>
                <w:szCs w:val="20"/>
              </w:rPr>
            </w:pPr>
          </w:p>
        </w:tc>
        <w:tc>
          <w:tcPr>
            <w:tcW w:w="1843" w:type="dxa"/>
            <w:tcBorders>
              <w:top w:val="nil"/>
              <w:left w:val="nil"/>
              <w:bottom w:val="nil"/>
              <w:right w:val="nil"/>
            </w:tcBorders>
          </w:tcPr>
          <w:p w:rsidR="00687002" w:rsidRPr="00687002" w:rsidRDefault="00687002" w:rsidP="00042BC7">
            <w:pPr>
              <w:spacing w:after="0" w:line="240" w:lineRule="auto"/>
              <w:rPr>
                <w:rFonts w:ascii="Times New Roman" w:hAnsi="Times New Roman" w:cs="Times New Roman"/>
                <w:sz w:val="20"/>
                <w:szCs w:val="20"/>
              </w:rPr>
            </w:pPr>
            <w:r w:rsidRPr="00687002">
              <w:rPr>
                <w:rFonts w:ascii="Times New Roman" w:hAnsi="Times New Roman" w:cs="Times New Roman"/>
                <w:sz w:val="20"/>
                <w:szCs w:val="20"/>
              </w:rPr>
              <w:t>EtOAc (CFLE)</w:t>
            </w:r>
          </w:p>
        </w:tc>
        <w:tc>
          <w:tcPr>
            <w:tcW w:w="1749" w:type="dxa"/>
            <w:tcBorders>
              <w:top w:val="nil"/>
              <w:left w:val="nil"/>
              <w:bottom w:val="nil"/>
              <w:right w:val="nil"/>
            </w:tcBorders>
          </w:tcPr>
          <w:p w:rsidR="00687002" w:rsidRPr="00687002" w:rsidRDefault="00687002" w:rsidP="00042BC7">
            <w:pPr>
              <w:autoSpaceDE w:val="0"/>
              <w:autoSpaceDN w:val="0"/>
              <w:adjustRightInd w:val="0"/>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75.68 ± 0.16*</w:t>
            </w:r>
          </w:p>
        </w:tc>
        <w:tc>
          <w:tcPr>
            <w:tcW w:w="1988" w:type="dxa"/>
            <w:tcBorders>
              <w:top w:val="nil"/>
              <w:left w:val="nil"/>
              <w:bottom w:val="nil"/>
              <w:right w:val="nil"/>
            </w:tcBorders>
          </w:tcPr>
          <w:p w:rsidR="00687002" w:rsidRPr="00687002" w:rsidRDefault="00687002" w:rsidP="00042BC7">
            <w:pPr>
              <w:autoSpaceDE w:val="0"/>
              <w:autoSpaceDN w:val="0"/>
              <w:adjustRightInd w:val="0"/>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18.70 ± 1.50**</w:t>
            </w:r>
          </w:p>
        </w:tc>
        <w:tc>
          <w:tcPr>
            <w:tcW w:w="1459" w:type="dxa"/>
            <w:tcBorders>
              <w:top w:val="nil"/>
              <w:left w:val="nil"/>
              <w:bottom w:val="nil"/>
              <w:right w:val="nil"/>
            </w:tcBorders>
          </w:tcPr>
          <w:p w:rsidR="00687002" w:rsidRPr="00687002" w:rsidRDefault="00687002" w:rsidP="00042BC7">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0.893**</w:t>
            </w:r>
          </w:p>
        </w:tc>
      </w:tr>
      <w:tr w:rsidR="00687002" w:rsidRPr="00687002" w:rsidTr="00687002">
        <w:trPr>
          <w:trHeight w:val="53"/>
          <w:jc w:val="center"/>
        </w:trPr>
        <w:tc>
          <w:tcPr>
            <w:tcW w:w="1791" w:type="dxa"/>
            <w:tcBorders>
              <w:top w:val="nil"/>
              <w:left w:val="nil"/>
              <w:bottom w:val="nil"/>
              <w:right w:val="nil"/>
            </w:tcBorders>
            <w:vAlign w:val="center"/>
          </w:tcPr>
          <w:p w:rsidR="00687002" w:rsidRPr="00687002" w:rsidRDefault="00687002" w:rsidP="00042BC7">
            <w:pPr>
              <w:spacing w:after="0" w:line="240" w:lineRule="auto"/>
              <w:rPr>
                <w:rFonts w:ascii="Times New Roman" w:hAnsi="Times New Roman" w:cs="Times New Roman"/>
                <w:sz w:val="20"/>
                <w:szCs w:val="20"/>
              </w:rPr>
            </w:pPr>
          </w:p>
        </w:tc>
        <w:tc>
          <w:tcPr>
            <w:tcW w:w="709" w:type="dxa"/>
            <w:tcBorders>
              <w:top w:val="nil"/>
              <w:left w:val="nil"/>
              <w:bottom w:val="nil"/>
              <w:right w:val="nil"/>
            </w:tcBorders>
          </w:tcPr>
          <w:p w:rsidR="00687002" w:rsidRPr="00687002" w:rsidRDefault="00687002" w:rsidP="00687002">
            <w:pPr>
              <w:spacing w:after="0" w:line="240" w:lineRule="auto"/>
              <w:jc w:val="both"/>
              <w:rPr>
                <w:rFonts w:ascii="Times New Roman" w:hAnsi="Times New Roman" w:cs="Times New Roman"/>
                <w:sz w:val="20"/>
                <w:szCs w:val="20"/>
              </w:rPr>
            </w:pPr>
          </w:p>
        </w:tc>
        <w:tc>
          <w:tcPr>
            <w:tcW w:w="1843" w:type="dxa"/>
            <w:tcBorders>
              <w:top w:val="nil"/>
              <w:left w:val="nil"/>
              <w:bottom w:val="nil"/>
              <w:right w:val="nil"/>
            </w:tcBorders>
          </w:tcPr>
          <w:p w:rsidR="00687002" w:rsidRPr="00687002" w:rsidRDefault="00687002" w:rsidP="00042BC7">
            <w:pPr>
              <w:spacing w:after="0" w:line="240" w:lineRule="auto"/>
              <w:rPr>
                <w:rFonts w:ascii="Times New Roman" w:hAnsi="Times New Roman" w:cs="Times New Roman"/>
                <w:sz w:val="20"/>
                <w:szCs w:val="20"/>
              </w:rPr>
            </w:pPr>
            <w:r w:rsidRPr="00687002">
              <w:rPr>
                <w:rFonts w:ascii="Times New Roman" w:hAnsi="Times New Roman" w:cs="Times New Roman"/>
                <w:sz w:val="20"/>
                <w:szCs w:val="20"/>
              </w:rPr>
              <w:t>MeOH (CFLM)</w:t>
            </w:r>
          </w:p>
        </w:tc>
        <w:tc>
          <w:tcPr>
            <w:tcW w:w="1749" w:type="dxa"/>
            <w:tcBorders>
              <w:top w:val="nil"/>
              <w:left w:val="nil"/>
              <w:bottom w:val="nil"/>
              <w:right w:val="nil"/>
            </w:tcBorders>
          </w:tcPr>
          <w:p w:rsidR="00687002" w:rsidRPr="00687002" w:rsidRDefault="00687002" w:rsidP="00042BC7">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122.08 ± 0.04*</w:t>
            </w:r>
          </w:p>
        </w:tc>
        <w:tc>
          <w:tcPr>
            <w:tcW w:w="1988" w:type="dxa"/>
            <w:tcBorders>
              <w:top w:val="nil"/>
              <w:left w:val="nil"/>
              <w:bottom w:val="nil"/>
              <w:right w:val="nil"/>
            </w:tcBorders>
          </w:tcPr>
          <w:p w:rsidR="00687002" w:rsidRPr="00687002" w:rsidRDefault="00687002" w:rsidP="00042BC7">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11.80 ± 1.03*</w:t>
            </w:r>
          </w:p>
        </w:tc>
        <w:tc>
          <w:tcPr>
            <w:tcW w:w="1459" w:type="dxa"/>
            <w:tcBorders>
              <w:top w:val="nil"/>
              <w:left w:val="nil"/>
              <w:bottom w:val="nil"/>
              <w:right w:val="nil"/>
            </w:tcBorders>
          </w:tcPr>
          <w:p w:rsidR="00687002" w:rsidRPr="00687002" w:rsidRDefault="00687002" w:rsidP="00042BC7">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0.867**</w:t>
            </w:r>
          </w:p>
        </w:tc>
      </w:tr>
      <w:tr w:rsidR="00687002" w:rsidRPr="00687002" w:rsidTr="00687002">
        <w:trPr>
          <w:trHeight w:val="97"/>
          <w:jc w:val="center"/>
        </w:trPr>
        <w:tc>
          <w:tcPr>
            <w:tcW w:w="1791" w:type="dxa"/>
            <w:tcBorders>
              <w:top w:val="nil"/>
              <w:left w:val="nil"/>
              <w:bottom w:val="nil"/>
              <w:right w:val="nil"/>
            </w:tcBorders>
            <w:vAlign w:val="center"/>
          </w:tcPr>
          <w:p w:rsidR="00687002" w:rsidRPr="00687002" w:rsidRDefault="00687002" w:rsidP="00042BC7">
            <w:pPr>
              <w:spacing w:before="120" w:after="0" w:line="240" w:lineRule="auto"/>
              <w:rPr>
                <w:rFonts w:ascii="Times New Roman" w:hAnsi="Times New Roman" w:cs="Times New Roman"/>
                <w:i/>
                <w:sz w:val="20"/>
                <w:szCs w:val="20"/>
              </w:rPr>
            </w:pPr>
            <w:r w:rsidRPr="00687002">
              <w:rPr>
                <w:rFonts w:ascii="Times New Roman" w:hAnsi="Times New Roman" w:cs="Times New Roman"/>
                <w:i/>
                <w:sz w:val="20"/>
                <w:szCs w:val="20"/>
              </w:rPr>
              <w:t>C. incrassatum</w:t>
            </w:r>
          </w:p>
        </w:tc>
        <w:tc>
          <w:tcPr>
            <w:tcW w:w="709" w:type="dxa"/>
            <w:tcBorders>
              <w:top w:val="nil"/>
              <w:left w:val="nil"/>
              <w:bottom w:val="nil"/>
              <w:right w:val="nil"/>
            </w:tcBorders>
          </w:tcPr>
          <w:p w:rsidR="00687002" w:rsidRPr="00687002" w:rsidRDefault="00687002" w:rsidP="00042BC7">
            <w:pPr>
              <w:spacing w:before="120" w:after="0" w:line="240" w:lineRule="auto"/>
              <w:jc w:val="both"/>
              <w:rPr>
                <w:rFonts w:ascii="Times New Roman" w:hAnsi="Times New Roman" w:cs="Times New Roman"/>
                <w:sz w:val="20"/>
                <w:szCs w:val="20"/>
              </w:rPr>
            </w:pPr>
            <w:r w:rsidRPr="00687002">
              <w:rPr>
                <w:rFonts w:ascii="Times New Roman" w:hAnsi="Times New Roman" w:cs="Times New Roman"/>
                <w:sz w:val="20"/>
                <w:szCs w:val="20"/>
              </w:rPr>
              <w:t>B</w:t>
            </w:r>
          </w:p>
        </w:tc>
        <w:tc>
          <w:tcPr>
            <w:tcW w:w="1843" w:type="dxa"/>
            <w:tcBorders>
              <w:top w:val="nil"/>
              <w:left w:val="nil"/>
              <w:bottom w:val="nil"/>
              <w:right w:val="nil"/>
            </w:tcBorders>
          </w:tcPr>
          <w:p w:rsidR="00687002" w:rsidRPr="00687002" w:rsidRDefault="00687002" w:rsidP="00042BC7">
            <w:pPr>
              <w:spacing w:before="120" w:after="0" w:line="240" w:lineRule="auto"/>
              <w:rPr>
                <w:rFonts w:ascii="Times New Roman" w:hAnsi="Times New Roman" w:cs="Times New Roman"/>
                <w:sz w:val="20"/>
                <w:szCs w:val="20"/>
              </w:rPr>
            </w:pPr>
            <w:r w:rsidRPr="00687002">
              <w:rPr>
                <w:rFonts w:ascii="Times New Roman" w:hAnsi="Times New Roman" w:cs="Times New Roman"/>
                <w:sz w:val="20"/>
                <w:szCs w:val="20"/>
              </w:rPr>
              <w:t>CH</w:t>
            </w:r>
            <w:r w:rsidRPr="00687002">
              <w:rPr>
                <w:rFonts w:ascii="Times New Roman" w:hAnsi="Times New Roman" w:cs="Times New Roman"/>
                <w:sz w:val="20"/>
                <w:szCs w:val="20"/>
                <w:vertAlign w:val="subscript"/>
              </w:rPr>
              <w:t>2</w:t>
            </w:r>
            <w:r w:rsidRPr="00687002">
              <w:rPr>
                <w:rFonts w:ascii="Times New Roman" w:hAnsi="Times New Roman" w:cs="Times New Roman"/>
                <w:sz w:val="20"/>
                <w:szCs w:val="20"/>
              </w:rPr>
              <w:t>Cl</w:t>
            </w:r>
            <w:r w:rsidRPr="00687002">
              <w:rPr>
                <w:rFonts w:ascii="Times New Roman" w:hAnsi="Times New Roman" w:cs="Times New Roman"/>
                <w:sz w:val="20"/>
                <w:szCs w:val="20"/>
                <w:vertAlign w:val="subscript"/>
              </w:rPr>
              <w:t>2</w:t>
            </w:r>
            <w:r w:rsidRPr="00687002">
              <w:rPr>
                <w:rFonts w:ascii="Times New Roman" w:hAnsi="Times New Roman" w:cs="Times New Roman"/>
                <w:sz w:val="20"/>
                <w:szCs w:val="20"/>
              </w:rPr>
              <w:t xml:space="preserve"> (CIBD)</w:t>
            </w:r>
          </w:p>
        </w:tc>
        <w:tc>
          <w:tcPr>
            <w:tcW w:w="1749" w:type="dxa"/>
            <w:tcBorders>
              <w:top w:val="nil"/>
              <w:left w:val="nil"/>
              <w:bottom w:val="nil"/>
              <w:right w:val="nil"/>
            </w:tcBorders>
          </w:tcPr>
          <w:p w:rsidR="00687002" w:rsidRPr="00687002" w:rsidRDefault="00687002" w:rsidP="00042BC7">
            <w:pPr>
              <w:autoSpaceDE w:val="0"/>
              <w:autoSpaceDN w:val="0"/>
              <w:adjustRightInd w:val="0"/>
              <w:spacing w:before="12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ND</w:t>
            </w:r>
          </w:p>
        </w:tc>
        <w:tc>
          <w:tcPr>
            <w:tcW w:w="1988" w:type="dxa"/>
            <w:tcBorders>
              <w:top w:val="nil"/>
              <w:left w:val="nil"/>
              <w:bottom w:val="nil"/>
              <w:right w:val="nil"/>
            </w:tcBorders>
          </w:tcPr>
          <w:p w:rsidR="00687002" w:rsidRPr="00687002" w:rsidRDefault="00687002" w:rsidP="00042BC7">
            <w:pPr>
              <w:autoSpaceDE w:val="0"/>
              <w:autoSpaceDN w:val="0"/>
              <w:adjustRightInd w:val="0"/>
              <w:spacing w:before="12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 1000</w:t>
            </w:r>
          </w:p>
        </w:tc>
        <w:tc>
          <w:tcPr>
            <w:tcW w:w="1459" w:type="dxa"/>
            <w:tcBorders>
              <w:top w:val="nil"/>
              <w:left w:val="nil"/>
              <w:bottom w:val="nil"/>
              <w:right w:val="nil"/>
            </w:tcBorders>
          </w:tcPr>
          <w:p w:rsidR="00687002" w:rsidRPr="00687002" w:rsidRDefault="00687002" w:rsidP="00042BC7">
            <w:pPr>
              <w:spacing w:before="12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0.550</w:t>
            </w:r>
          </w:p>
        </w:tc>
      </w:tr>
      <w:tr w:rsidR="00687002" w:rsidRPr="00687002" w:rsidTr="00687002">
        <w:trPr>
          <w:trHeight w:val="171"/>
          <w:jc w:val="center"/>
        </w:trPr>
        <w:tc>
          <w:tcPr>
            <w:tcW w:w="1791" w:type="dxa"/>
            <w:tcBorders>
              <w:top w:val="nil"/>
              <w:left w:val="nil"/>
              <w:bottom w:val="nil"/>
              <w:right w:val="nil"/>
            </w:tcBorders>
            <w:vAlign w:val="center"/>
          </w:tcPr>
          <w:p w:rsidR="00687002" w:rsidRPr="00687002" w:rsidRDefault="00687002" w:rsidP="00042BC7">
            <w:pPr>
              <w:spacing w:after="0" w:line="240" w:lineRule="auto"/>
              <w:rPr>
                <w:rFonts w:ascii="Times New Roman" w:hAnsi="Times New Roman" w:cs="Times New Roman"/>
                <w:i/>
                <w:sz w:val="20"/>
                <w:szCs w:val="20"/>
              </w:rPr>
            </w:pPr>
          </w:p>
        </w:tc>
        <w:tc>
          <w:tcPr>
            <w:tcW w:w="709" w:type="dxa"/>
            <w:tcBorders>
              <w:top w:val="nil"/>
              <w:left w:val="nil"/>
              <w:bottom w:val="nil"/>
              <w:right w:val="nil"/>
            </w:tcBorders>
          </w:tcPr>
          <w:p w:rsidR="00687002" w:rsidRPr="00687002" w:rsidRDefault="00687002" w:rsidP="00687002">
            <w:pPr>
              <w:spacing w:after="0" w:line="240" w:lineRule="auto"/>
              <w:jc w:val="both"/>
              <w:rPr>
                <w:rFonts w:ascii="Times New Roman" w:hAnsi="Times New Roman" w:cs="Times New Roman"/>
                <w:sz w:val="20"/>
                <w:szCs w:val="20"/>
              </w:rPr>
            </w:pPr>
          </w:p>
        </w:tc>
        <w:tc>
          <w:tcPr>
            <w:tcW w:w="1843" w:type="dxa"/>
            <w:tcBorders>
              <w:top w:val="nil"/>
              <w:left w:val="nil"/>
              <w:bottom w:val="nil"/>
              <w:right w:val="nil"/>
            </w:tcBorders>
          </w:tcPr>
          <w:p w:rsidR="00687002" w:rsidRPr="00687002" w:rsidRDefault="00687002" w:rsidP="00042BC7">
            <w:pPr>
              <w:spacing w:after="0" w:line="240" w:lineRule="auto"/>
              <w:rPr>
                <w:rFonts w:ascii="Times New Roman" w:hAnsi="Times New Roman" w:cs="Times New Roman"/>
                <w:sz w:val="20"/>
                <w:szCs w:val="20"/>
              </w:rPr>
            </w:pPr>
            <w:r w:rsidRPr="00687002">
              <w:rPr>
                <w:rFonts w:ascii="Times New Roman" w:hAnsi="Times New Roman" w:cs="Times New Roman"/>
                <w:sz w:val="20"/>
                <w:szCs w:val="20"/>
              </w:rPr>
              <w:t>EtOAc (CIBE)</w:t>
            </w:r>
          </w:p>
        </w:tc>
        <w:tc>
          <w:tcPr>
            <w:tcW w:w="1749" w:type="dxa"/>
            <w:tcBorders>
              <w:top w:val="nil"/>
              <w:left w:val="nil"/>
              <w:bottom w:val="nil"/>
              <w:right w:val="nil"/>
            </w:tcBorders>
          </w:tcPr>
          <w:p w:rsidR="00687002" w:rsidRPr="00687002" w:rsidRDefault="00687002" w:rsidP="00042BC7">
            <w:pPr>
              <w:autoSpaceDE w:val="0"/>
              <w:autoSpaceDN w:val="0"/>
              <w:adjustRightInd w:val="0"/>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18.29 ± 0.20*</w:t>
            </w:r>
          </w:p>
        </w:tc>
        <w:tc>
          <w:tcPr>
            <w:tcW w:w="1988" w:type="dxa"/>
            <w:tcBorders>
              <w:top w:val="nil"/>
              <w:left w:val="nil"/>
              <w:bottom w:val="nil"/>
              <w:right w:val="nil"/>
            </w:tcBorders>
          </w:tcPr>
          <w:p w:rsidR="00687002" w:rsidRPr="00687002" w:rsidRDefault="00687002" w:rsidP="00042BC7">
            <w:pPr>
              <w:autoSpaceDE w:val="0"/>
              <w:autoSpaceDN w:val="0"/>
              <w:adjustRightInd w:val="0"/>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49.90 ± 1.97***</w:t>
            </w:r>
          </w:p>
        </w:tc>
        <w:tc>
          <w:tcPr>
            <w:tcW w:w="1459" w:type="dxa"/>
            <w:tcBorders>
              <w:top w:val="nil"/>
              <w:left w:val="nil"/>
              <w:bottom w:val="nil"/>
              <w:right w:val="nil"/>
            </w:tcBorders>
          </w:tcPr>
          <w:p w:rsidR="00687002" w:rsidRPr="00687002" w:rsidRDefault="00687002" w:rsidP="00042BC7">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0.800*</w:t>
            </w:r>
          </w:p>
        </w:tc>
      </w:tr>
      <w:tr w:rsidR="00687002" w:rsidRPr="00687002" w:rsidTr="00687002">
        <w:trPr>
          <w:trHeight w:val="104"/>
          <w:jc w:val="center"/>
        </w:trPr>
        <w:tc>
          <w:tcPr>
            <w:tcW w:w="1791" w:type="dxa"/>
            <w:tcBorders>
              <w:top w:val="nil"/>
              <w:left w:val="nil"/>
              <w:bottom w:val="nil"/>
              <w:right w:val="nil"/>
            </w:tcBorders>
            <w:vAlign w:val="center"/>
          </w:tcPr>
          <w:p w:rsidR="00687002" w:rsidRPr="00687002" w:rsidRDefault="00687002" w:rsidP="00042BC7">
            <w:pPr>
              <w:spacing w:after="0" w:line="240" w:lineRule="auto"/>
              <w:rPr>
                <w:rFonts w:ascii="Times New Roman" w:hAnsi="Times New Roman" w:cs="Times New Roman"/>
                <w:i/>
                <w:sz w:val="20"/>
                <w:szCs w:val="20"/>
              </w:rPr>
            </w:pPr>
          </w:p>
        </w:tc>
        <w:tc>
          <w:tcPr>
            <w:tcW w:w="709" w:type="dxa"/>
            <w:tcBorders>
              <w:top w:val="nil"/>
              <w:left w:val="nil"/>
              <w:bottom w:val="nil"/>
              <w:right w:val="nil"/>
            </w:tcBorders>
          </w:tcPr>
          <w:p w:rsidR="00687002" w:rsidRPr="00687002" w:rsidRDefault="00687002" w:rsidP="00687002">
            <w:pPr>
              <w:spacing w:after="0" w:line="240" w:lineRule="auto"/>
              <w:jc w:val="both"/>
              <w:rPr>
                <w:rFonts w:ascii="Times New Roman" w:hAnsi="Times New Roman" w:cs="Times New Roman"/>
                <w:sz w:val="20"/>
                <w:szCs w:val="20"/>
              </w:rPr>
            </w:pPr>
          </w:p>
        </w:tc>
        <w:tc>
          <w:tcPr>
            <w:tcW w:w="1843" w:type="dxa"/>
            <w:tcBorders>
              <w:top w:val="nil"/>
              <w:left w:val="nil"/>
              <w:bottom w:val="nil"/>
              <w:right w:val="nil"/>
            </w:tcBorders>
          </w:tcPr>
          <w:p w:rsidR="00687002" w:rsidRPr="00687002" w:rsidRDefault="00687002" w:rsidP="00042BC7">
            <w:pPr>
              <w:spacing w:after="0" w:line="240" w:lineRule="auto"/>
              <w:rPr>
                <w:rFonts w:ascii="Times New Roman" w:hAnsi="Times New Roman" w:cs="Times New Roman"/>
                <w:sz w:val="20"/>
                <w:szCs w:val="20"/>
              </w:rPr>
            </w:pPr>
            <w:r w:rsidRPr="00687002">
              <w:rPr>
                <w:rFonts w:ascii="Times New Roman" w:hAnsi="Times New Roman" w:cs="Times New Roman"/>
                <w:sz w:val="20"/>
                <w:szCs w:val="20"/>
              </w:rPr>
              <w:t>MeOH (CIBM)</w:t>
            </w:r>
          </w:p>
        </w:tc>
        <w:tc>
          <w:tcPr>
            <w:tcW w:w="1749" w:type="dxa"/>
            <w:tcBorders>
              <w:top w:val="nil"/>
              <w:left w:val="nil"/>
              <w:bottom w:val="nil"/>
              <w:right w:val="nil"/>
            </w:tcBorders>
          </w:tcPr>
          <w:p w:rsidR="00687002" w:rsidRPr="00687002" w:rsidRDefault="00687002" w:rsidP="00042BC7">
            <w:pPr>
              <w:autoSpaceDE w:val="0"/>
              <w:autoSpaceDN w:val="0"/>
              <w:adjustRightInd w:val="0"/>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91.61 ± 0.01*</w:t>
            </w:r>
          </w:p>
        </w:tc>
        <w:tc>
          <w:tcPr>
            <w:tcW w:w="1988" w:type="dxa"/>
            <w:tcBorders>
              <w:top w:val="nil"/>
              <w:left w:val="nil"/>
              <w:bottom w:val="nil"/>
              <w:right w:val="nil"/>
            </w:tcBorders>
          </w:tcPr>
          <w:p w:rsidR="00687002" w:rsidRPr="00687002" w:rsidRDefault="00687002" w:rsidP="00042BC7">
            <w:pPr>
              <w:autoSpaceDE w:val="0"/>
              <w:autoSpaceDN w:val="0"/>
              <w:adjustRightInd w:val="0"/>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17.23 ± 1.21**</w:t>
            </w:r>
          </w:p>
        </w:tc>
        <w:tc>
          <w:tcPr>
            <w:tcW w:w="1459" w:type="dxa"/>
            <w:tcBorders>
              <w:top w:val="nil"/>
              <w:left w:val="nil"/>
              <w:bottom w:val="nil"/>
              <w:right w:val="nil"/>
            </w:tcBorders>
          </w:tcPr>
          <w:p w:rsidR="00687002" w:rsidRPr="00687002" w:rsidRDefault="00687002" w:rsidP="00042BC7">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0.709*</w:t>
            </w:r>
          </w:p>
        </w:tc>
      </w:tr>
      <w:tr w:rsidR="00687002" w:rsidRPr="00687002" w:rsidTr="00687002">
        <w:trPr>
          <w:trHeight w:val="177"/>
          <w:jc w:val="center"/>
        </w:trPr>
        <w:tc>
          <w:tcPr>
            <w:tcW w:w="1791" w:type="dxa"/>
            <w:tcBorders>
              <w:top w:val="nil"/>
              <w:left w:val="nil"/>
              <w:bottom w:val="nil"/>
              <w:right w:val="nil"/>
            </w:tcBorders>
            <w:vAlign w:val="center"/>
          </w:tcPr>
          <w:p w:rsidR="00687002" w:rsidRPr="00687002" w:rsidRDefault="00687002" w:rsidP="00042BC7">
            <w:pPr>
              <w:spacing w:after="0" w:line="240" w:lineRule="auto"/>
              <w:rPr>
                <w:rFonts w:ascii="Times New Roman" w:hAnsi="Times New Roman" w:cs="Times New Roman"/>
                <w:i/>
                <w:sz w:val="20"/>
                <w:szCs w:val="20"/>
              </w:rPr>
            </w:pPr>
          </w:p>
        </w:tc>
        <w:tc>
          <w:tcPr>
            <w:tcW w:w="709" w:type="dxa"/>
            <w:tcBorders>
              <w:top w:val="nil"/>
              <w:left w:val="nil"/>
              <w:bottom w:val="nil"/>
              <w:right w:val="nil"/>
            </w:tcBorders>
          </w:tcPr>
          <w:p w:rsidR="00687002" w:rsidRPr="00687002" w:rsidRDefault="00687002" w:rsidP="00042BC7">
            <w:pPr>
              <w:spacing w:before="60" w:after="0" w:line="240" w:lineRule="auto"/>
              <w:jc w:val="both"/>
              <w:rPr>
                <w:rFonts w:ascii="Times New Roman" w:hAnsi="Times New Roman" w:cs="Times New Roman"/>
                <w:sz w:val="20"/>
                <w:szCs w:val="20"/>
              </w:rPr>
            </w:pPr>
            <w:r w:rsidRPr="00687002">
              <w:rPr>
                <w:rFonts w:ascii="Times New Roman" w:hAnsi="Times New Roman" w:cs="Times New Roman"/>
                <w:sz w:val="20"/>
                <w:szCs w:val="20"/>
              </w:rPr>
              <w:t>L</w:t>
            </w:r>
          </w:p>
        </w:tc>
        <w:tc>
          <w:tcPr>
            <w:tcW w:w="1843" w:type="dxa"/>
            <w:tcBorders>
              <w:top w:val="nil"/>
              <w:left w:val="nil"/>
              <w:bottom w:val="nil"/>
              <w:right w:val="nil"/>
            </w:tcBorders>
          </w:tcPr>
          <w:p w:rsidR="00687002" w:rsidRPr="00687002" w:rsidRDefault="00687002" w:rsidP="00042BC7">
            <w:pPr>
              <w:spacing w:before="60" w:after="0" w:line="240" w:lineRule="auto"/>
              <w:rPr>
                <w:rFonts w:ascii="Times New Roman" w:hAnsi="Times New Roman" w:cs="Times New Roman"/>
                <w:sz w:val="20"/>
                <w:szCs w:val="20"/>
              </w:rPr>
            </w:pPr>
            <w:r w:rsidRPr="00687002">
              <w:rPr>
                <w:rFonts w:ascii="Times New Roman" w:hAnsi="Times New Roman" w:cs="Times New Roman"/>
                <w:sz w:val="20"/>
                <w:szCs w:val="20"/>
              </w:rPr>
              <w:t>CH</w:t>
            </w:r>
            <w:r w:rsidRPr="00687002">
              <w:rPr>
                <w:rFonts w:ascii="Times New Roman" w:hAnsi="Times New Roman" w:cs="Times New Roman"/>
                <w:sz w:val="20"/>
                <w:szCs w:val="20"/>
                <w:vertAlign w:val="subscript"/>
              </w:rPr>
              <w:t>2</w:t>
            </w:r>
            <w:r w:rsidRPr="00687002">
              <w:rPr>
                <w:rFonts w:ascii="Times New Roman" w:hAnsi="Times New Roman" w:cs="Times New Roman"/>
                <w:sz w:val="20"/>
                <w:szCs w:val="20"/>
              </w:rPr>
              <w:t>Cl</w:t>
            </w:r>
            <w:r w:rsidRPr="00687002">
              <w:rPr>
                <w:rFonts w:ascii="Times New Roman" w:hAnsi="Times New Roman" w:cs="Times New Roman"/>
                <w:sz w:val="20"/>
                <w:szCs w:val="20"/>
                <w:vertAlign w:val="subscript"/>
              </w:rPr>
              <w:t>2</w:t>
            </w:r>
            <w:r w:rsidRPr="00687002">
              <w:rPr>
                <w:rFonts w:ascii="Times New Roman" w:hAnsi="Times New Roman" w:cs="Times New Roman"/>
                <w:sz w:val="20"/>
                <w:szCs w:val="20"/>
              </w:rPr>
              <w:t xml:space="preserve"> (CILD)</w:t>
            </w:r>
          </w:p>
        </w:tc>
        <w:tc>
          <w:tcPr>
            <w:tcW w:w="1749" w:type="dxa"/>
            <w:tcBorders>
              <w:top w:val="nil"/>
              <w:left w:val="nil"/>
              <w:bottom w:val="nil"/>
              <w:right w:val="nil"/>
            </w:tcBorders>
          </w:tcPr>
          <w:p w:rsidR="00687002" w:rsidRPr="00687002" w:rsidRDefault="00687002" w:rsidP="00042BC7">
            <w:pPr>
              <w:autoSpaceDE w:val="0"/>
              <w:autoSpaceDN w:val="0"/>
              <w:adjustRightInd w:val="0"/>
              <w:spacing w:before="6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ND</w:t>
            </w:r>
          </w:p>
        </w:tc>
        <w:tc>
          <w:tcPr>
            <w:tcW w:w="1988" w:type="dxa"/>
            <w:tcBorders>
              <w:top w:val="nil"/>
              <w:left w:val="nil"/>
              <w:bottom w:val="nil"/>
              <w:right w:val="nil"/>
            </w:tcBorders>
          </w:tcPr>
          <w:p w:rsidR="00687002" w:rsidRPr="00687002" w:rsidRDefault="00687002" w:rsidP="00042BC7">
            <w:pPr>
              <w:autoSpaceDE w:val="0"/>
              <w:autoSpaceDN w:val="0"/>
              <w:adjustRightInd w:val="0"/>
              <w:spacing w:before="6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&gt; 1000</w:t>
            </w:r>
          </w:p>
        </w:tc>
        <w:tc>
          <w:tcPr>
            <w:tcW w:w="1459" w:type="dxa"/>
            <w:tcBorders>
              <w:top w:val="nil"/>
              <w:left w:val="nil"/>
              <w:bottom w:val="nil"/>
              <w:right w:val="nil"/>
            </w:tcBorders>
          </w:tcPr>
          <w:p w:rsidR="00687002" w:rsidRPr="00687002" w:rsidRDefault="00687002" w:rsidP="00042BC7">
            <w:pPr>
              <w:spacing w:before="6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0.509</w:t>
            </w:r>
          </w:p>
        </w:tc>
      </w:tr>
      <w:tr w:rsidR="00687002" w:rsidRPr="00687002" w:rsidTr="00687002">
        <w:trPr>
          <w:trHeight w:val="140"/>
          <w:jc w:val="center"/>
        </w:trPr>
        <w:tc>
          <w:tcPr>
            <w:tcW w:w="1791" w:type="dxa"/>
            <w:tcBorders>
              <w:top w:val="nil"/>
              <w:left w:val="nil"/>
              <w:bottom w:val="nil"/>
              <w:right w:val="nil"/>
            </w:tcBorders>
            <w:vAlign w:val="center"/>
          </w:tcPr>
          <w:p w:rsidR="00687002" w:rsidRPr="00687002" w:rsidRDefault="00687002" w:rsidP="00042BC7">
            <w:pPr>
              <w:spacing w:after="0" w:line="240" w:lineRule="auto"/>
              <w:rPr>
                <w:rFonts w:ascii="Times New Roman" w:hAnsi="Times New Roman" w:cs="Times New Roman"/>
                <w:i/>
                <w:sz w:val="20"/>
                <w:szCs w:val="20"/>
              </w:rPr>
            </w:pPr>
          </w:p>
        </w:tc>
        <w:tc>
          <w:tcPr>
            <w:tcW w:w="709" w:type="dxa"/>
            <w:tcBorders>
              <w:top w:val="nil"/>
              <w:left w:val="nil"/>
              <w:bottom w:val="nil"/>
              <w:right w:val="nil"/>
            </w:tcBorders>
          </w:tcPr>
          <w:p w:rsidR="00687002" w:rsidRPr="00687002" w:rsidRDefault="00687002" w:rsidP="00687002">
            <w:pPr>
              <w:spacing w:after="0" w:line="240" w:lineRule="auto"/>
              <w:jc w:val="both"/>
              <w:rPr>
                <w:rFonts w:ascii="Times New Roman" w:hAnsi="Times New Roman" w:cs="Times New Roman"/>
                <w:sz w:val="20"/>
                <w:szCs w:val="20"/>
              </w:rPr>
            </w:pPr>
          </w:p>
        </w:tc>
        <w:tc>
          <w:tcPr>
            <w:tcW w:w="1843" w:type="dxa"/>
            <w:tcBorders>
              <w:top w:val="nil"/>
              <w:left w:val="nil"/>
              <w:bottom w:val="nil"/>
              <w:right w:val="nil"/>
            </w:tcBorders>
          </w:tcPr>
          <w:p w:rsidR="00687002" w:rsidRPr="00687002" w:rsidRDefault="00687002" w:rsidP="00042BC7">
            <w:pPr>
              <w:spacing w:after="0" w:line="240" w:lineRule="auto"/>
              <w:rPr>
                <w:rFonts w:ascii="Times New Roman" w:hAnsi="Times New Roman" w:cs="Times New Roman"/>
                <w:sz w:val="20"/>
                <w:szCs w:val="20"/>
              </w:rPr>
            </w:pPr>
            <w:r w:rsidRPr="00687002">
              <w:rPr>
                <w:rFonts w:ascii="Times New Roman" w:hAnsi="Times New Roman" w:cs="Times New Roman"/>
                <w:sz w:val="20"/>
                <w:szCs w:val="20"/>
              </w:rPr>
              <w:t>EtOAc (CILE)</w:t>
            </w:r>
          </w:p>
        </w:tc>
        <w:tc>
          <w:tcPr>
            <w:tcW w:w="1749" w:type="dxa"/>
            <w:tcBorders>
              <w:top w:val="nil"/>
              <w:left w:val="nil"/>
              <w:bottom w:val="nil"/>
              <w:right w:val="nil"/>
            </w:tcBorders>
          </w:tcPr>
          <w:p w:rsidR="00687002" w:rsidRPr="00687002" w:rsidRDefault="00687002" w:rsidP="00042BC7">
            <w:pPr>
              <w:autoSpaceDE w:val="0"/>
              <w:autoSpaceDN w:val="0"/>
              <w:adjustRightInd w:val="0"/>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35.86 ± 0.01*</w:t>
            </w:r>
          </w:p>
        </w:tc>
        <w:tc>
          <w:tcPr>
            <w:tcW w:w="1988" w:type="dxa"/>
            <w:tcBorders>
              <w:top w:val="nil"/>
              <w:left w:val="nil"/>
              <w:bottom w:val="nil"/>
              <w:right w:val="nil"/>
            </w:tcBorders>
          </w:tcPr>
          <w:p w:rsidR="00687002" w:rsidRPr="00687002" w:rsidRDefault="00687002" w:rsidP="00042BC7">
            <w:pPr>
              <w:autoSpaceDE w:val="0"/>
              <w:autoSpaceDN w:val="0"/>
              <w:adjustRightInd w:val="0"/>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52.62 ± 1.38***</w:t>
            </w:r>
          </w:p>
        </w:tc>
        <w:tc>
          <w:tcPr>
            <w:tcW w:w="1459" w:type="dxa"/>
            <w:tcBorders>
              <w:top w:val="nil"/>
              <w:left w:val="nil"/>
              <w:bottom w:val="nil"/>
              <w:right w:val="nil"/>
            </w:tcBorders>
          </w:tcPr>
          <w:p w:rsidR="00687002" w:rsidRPr="00687002" w:rsidRDefault="00687002" w:rsidP="00042BC7">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0.652</w:t>
            </w:r>
          </w:p>
        </w:tc>
      </w:tr>
      <w:tr w:rsidR="00687002" w:rsidRPr="00687002" w:rsidTr="00687002">
        <w:trPr>
          <w:trHeight w:val="53"/>
          <w:jc w:val="center"/>
        </w:trPr>
        <w:tc>
          <w:tcPr>
            <w:tcW w:w="1791" w:type="dxa"/>
            <w:tcBorders>
              <w:top w:val="nil"/>
              <w:left w:val="nil"/>
              <w:bottom w:val="nil"/>
              <w:right w:val="nil"/>
            </w:tcBorders>
            <w:vAlign w:val="center"/>
          </w:tcPr>
          <w:p w:rsidR="00687002" w:rsidRPr="00687002" w:rsidRDefault="00687002" w:rsidP="00042BC7">
            <w:pPr>
              <w:spacing w:after="0" w:line="240" w:lineRule="auto"/>
              <w:rPr>
                <w:rFonts w:ascii="Times New Roman" w:hAnsi="Times New Roman" w:cs="Times New Roman"/>
                <w:i/>
                <w:sz w:val="20"/>
                <w:szCs w:val="20"/>
              </w:rPr>
            </w:pPr>
          </w:p>
        </w:tc>
        <w:tc>
          <w:tcPr>
            <w:tcW w:w="709" w:type="dxa"/>
            <w:tcBorders>
              <w:top w:val="nil"/>
              <w:left w:val="nil"/>
              <w:bottom w:val="nil"/>
              <w:right w:val="nil"/>
            </w:tcBorders>
          </w:tcPr>
          <w:p w:rsidR="00687002" w:rsidRPr="00687002" w:rsidRDefault="00687002" w:rsidP="00687002">
            <w:pPr>
              <w:spacing w:after="0" w:line="240" w:lineRule="auto"/>
              <w:jc w:val="both"/>
              <w:rPr>
                <w:rFonts w:ascii="Times New Roman" w:hAnsi="Times New Roman" w:cs="Times New Roman"/>
                <w:sz w:val="20"/>
                <w:szCs w:val="20"/>
              </w:rPr>
            </w:pPr>
          </w:p>
        </w:tc>
        <w:tc>
          <w:tcPr>
            <w:tcW w:w="1843" w:type="dxa"/>
            <w:tcBorders>
              <w:top w:val="nil"/>
              <w:left w:val="nil"/>
              <w:bottom w:val="nil"/>
              <w:right w:val="nil"/>
            </w:tcBorders>
          </w:tcPr>
          <w:p w:rsidR="00687002" w:rsidRPr="00687002" w:rsidRDefault="00687002" w:rsidP="00042BC7">
            <w:pPr>
              <w:spacing w:after="0" w:line="240" w:lineRule="auto"/>
              <w:rPr>
                <w:rFonts w:ascii="Times New Roman" w:hAnsi="Times New Roman" w:cs="Times New Roman"/>
                <w:sz w:val="20"/>
                <w:szCs w:val="20"/>
              </w:rPr>
            </w:pPr>
            <w:r w:rsidRPr="00687002">
              <w:rPr>
                <w:rFonts w:ascii="Times New Roman" w:hAnsi="Times New Roman" w:cs="Times New Roman"/>
                <w:sz w:val="20"/>
                <w:szCs w:val="20"/>
              </w:rPr>
              <w:t>MeOH (CILM)</w:t>
            </w:r>
          </w:p>
        </w:tc>
        <w:tc>
          <w:tcPr>
            <w:tcW w:w="1749" w:type="dxa"/>
            <w:tcBorders>
              <w:top w:val="nil"/>
              <w:left w:val="nil"/>
              <w:bottom w:val="nil"/>
              <w:right w:val="nil"/>
            </w:tcBorders>
          </w:tcPr>
          <w:p w:rsidR="00687002" w:rsidRPr="00687002" w:rsidRDefault="00687002" w:rsidP="00042BC7">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45.68 ± 0.10*</w:t>
            </w:r>
          </w:p>
        </w:tc>
        <w:tc>
          <w:tcPr>
            <w:tcW w:w="1988" w:type="dxa"/>
            <w:tcBorders>
              <w:top w:val="nil"/>
              <w:left w:val="nil"/>
              <w:bottom w:val="nil"/>
              <w:right w:val="nil"/>
            </w:tcBorders>
          </w:tcPr>
          <w:p w:rsidR="00687002" w:rsidRPr="00687002" w:rsidRDefault="00687002" w:rsidP="00042BC7">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53.33 ± 1.98**</w:t>
            </w:r>
          </w:p>
        </w:tc>
        <w:tc>
          <w:tcPr>
            <w:tcW w:w="1459" w:type="dxa"/>
            <w:tcBorders>
              <w:top w:val="nil"/>
              <w:left w:val="nil"/>
              <w:bottom w:val="nil"/>
              <w:right w:val="nil"/>
            </w:tcBorders>
          </w:tcPr>
          <w:p w:rsidR="00687002" w:rsidRPr="00687002" w:rsidRDefault="00687002" w:rsidP="00042BC7">
            <w:pPr>
              <w:spacing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0.612</w:t>
            </w:r>
          </w:p>
        </w:tc>
      </w:tr>
      <w:tr w:rsidR="00687002" w:rsidRPr="00687002" w:rsidTr="00042BC7">
        <w:trPr>
          <w:trHeight w:val="129"/>
          <w:jc w:val="center"/>
        </w:trPr>
        <w:tc>
          <w:tcPr>
            <w:tcW w:w="1791" w:type="dxa"/>
            <w:tcBorders>
              <w:top w:val="nil"/>
              <w:left w:val="nil"/>
              <w:bottom w:val="nil"/>
              <w:right w:val="nil"/>
            </w:tcBorders>
            <w:vAlign w:val="center"/>
          </w:tcPr>
          <w:p w:rsidR="00687002" w:rsidRPr="00687002" w:rsidRDefault="00687002" w:rsidP="00042BC7">
            <w:pPr>
              <w:spacing w:before="120" w:after="0" w:line="240" w:lineRule="auto"/>
              <w:rPr>
                <w:rFonts w:ascii="Times New Roman" w:hAnsi="Times New Roman" w:cs="Times New Roman"/>
                <w:sz w:val="20"/>
                <w:szCs w:val="20"/>
              </w:rPr>
            </w:pPr>
            <w:r w:rsidRPr="00687002">
              <w:rPr>
                <w:rFonts w:ascii="Times New Roman" w:hAnsi="Times New Roman" w:cs="Times New Roman"/>
                <w:sz w:val="20"/>
                <w:szCs w:val="20"/>
              </w:rPr>
              <w:t>AA</w:t>
            </w:r>
            <w:r w:rsidRPr="00687002">
              <w:rPr>
                <w:rFonts w:ascii="Times New Roman" w:hAnsi="Times New Roman" w:cs="Times New Roman"/>
                <w:sz w:val="20"/>
                <w:szCs w:val="20"/>
                <w:vertAlign w:val="superscript"/>
              </w:rPr>
              <w:t>b</w:t>
            </w:r>
          </w:p>
        </w:tc>
        <w:tc>
          <w:tcPr>
            <w:tcW w:w="709" w:type="dxa"/>
            <w:tcBorders>
              <w:top w:val="nil"/>
              <w:left w:val="nil"/>
              <w:bottom w:val="nil"/>
              <w:right w:val="nil"/>
            </w:tcBorders>
          </w:tcPr>
          <w:p w:rsidR="00687002" w:rsidRPr="00687002" w:rsidRDefault="00687002" w:rsidP="00042BC7">
            <w:pPr>
              <w:spacing w:before="120" w:after="0" w:line="240" w:lineRule="auto"/>
              <w:jc w:val="both"/>
              <w:rPr>
                <w:rFonts w:ascii="Times New Roman" w:hAnsi="Times New Roman" w:cs="Times New Roman"/>
                <w:sz w:val="20"/>
                <w:szCs w:val="20"/>
              </w:rPr>
            </w:pPr>
          </w:p>
        </w:tc>
        <w:tc>
          <w:tcPr>
            <w:tcW w:w="1843" w:type="dxa"/>
            <w:tcBorders>
              <w:top w:val="nil"/>
              <w:left w:val="nil"/>
              <w:bottom w:val="nil"/>
              <w:right w:val="nil"/>
            </w:tcBorders>
          </w:tcPr>
          <w:p w:rsidR="00687002" w:rsidRPr="00687002" w:rsidRDefault="00687002" w:rsidP="00042BC7">
            <w:pPr>
              <w:spacing w:before="120" w:after="0" w:line="240" w:lineRule="auto"/>
              <w:rPr>
                <w:rFonts w:ascii="Times New Roman" w:hAnsi="Times New Roman" w:cs="Times New Roman"/>
                <w:sz w:val="20"/>
                <w:szCs w:val="20"/>
              </w:rPr>
            </w:pPr>
          </w:p>
        </w:tc>
        <w:tc>
          <w:tcPr>
            <w:tcW w:w="1749" w:type="dxa"/>
            <w:tcBorders>
              <w:top w:val="nil"/>
              <w:left w:val="nil"/>
              <w:bottom w:val="nil"/>
              <w:right w:val="nil"/>
            </w:tcBorders>
          </w:tcPr>
          <w:p w:rsidR="00687002" w:rsidRPr="00687002" w:rsidRDefault="00687002" w:rsidP="00042BC7">
            <w:pPr>
              <w:spacing w:before="12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NA</w:t>
            </w:r>
          </w:p>
        </w:tc>
        <w:tc>
          <w:tcPr>
            <w:tcW w:w="1988" w:type="dxa"/>
            <w:tcBorders>
              <w:top w:val="nil"/>
              <w:left w:val="nil"/>
              <w:bottom w:val="nil"/>
              <w:right w:val="nil"/>
            </w:tcBorders>
          </w:tcPr>
          <w:p w:rsidR="00687002" w:rsidRPr="00687002" w:rsidRDefault="00687002" w:rsidP="00042BC7">
            <w:pPr>
              <w:spacing w:before="12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8.90 ± 0.27</w:t>
            </w:r>
          </w:p>
        </w:tc>
        <w:tc>
          <w:tcPr>
            <w:tcW w:w="1459" w:type="dxa"/>
            <w:tcBorders>
              <w:top w:val="nil"/>
              <w:left w:val="nil"/>
              <w:bottom w:val="nil"/>
              <w:right w:val="nil"/>
            </w:tcBorders>
          </w:tcPr>
          <w:p w:rsidR="00687002" w:rsidRPr="00687002" w:rsidRDefault="00687002" w:rsidP="00042BC7">
            <w:pPr>
              <w:spacing w:before="120" w:after="0" w:line="240" w:lineRule="auto"/>
              <w:jc w:val="center"/>
              <w:rPr>
                <w:rFonts w:ascii="Times New Roman" w:hAnsi="Times New Roman" w:cs="Times New Roman"/>
                <w:sz w:val="20"/>
                <w:szCs w:val="20"/>
              </w:rPr>
            </w:pPr>
            <w:r w:rsidRPr="00687002">
              <w:rPr>
                <w:rFonts w:ascii="Times New Roman" w:hAnsi="Times New Roman" w:cs="Times New Roman"/>
                <w:sz w:val="20"/>
                <w:szCs w:val="20"/>
              </w:rPr>
              <w:t>NA</w:t>
            </w:r>
          </w:p>
        </w:tc>
      </w:tr>
      <w:tr w:rsidR="00687002" w:rsidRPr="00687002" w:rsidTr="00042BC7">
        <w:trPr>
          <w:trHeight w:val="204"/>
          <w:jc w:val="center"/>
        </w:trPr>
        <w:tc>
          <w:tcPr>
            <w:tcW w:w="1791" w:type="dxa"/>
            <w:tcBorders>
              <w:top w:val="nil"/>
              <w:left w:val="nil"/>
              <w:bottom w:val="single" w:sz="4" w:space="0" w:color="auto"/>
              <w:right w:val="nil"/>
            </w:tcBorders>
            <w:vAlign w:val="center"/>
          </w:tcPr>
          <w:p w:rsidR="00687002" w:rsidRPr="00687002" w:rsidRDefault="00687002" w:rsidP="00042BC7">
            <w:pPr>
              <w:spacing w:before="120" w:after="60" w:line="240" w:lineRule="auto"/>
              <w:rPr>
                <w:rFonts w:ascii="Times New Roman" w:hAnsi="Times New Roman" w:cs="Times New Roman"/>
                <w:sz w:val="20"/>
                <w:szCs w:val="20"/>
              </w:rPr>
            </w:pPr>
            <w:r w:rsidRPr="00687002">
              <w:rPr>
                <w:rFonts w:ascii="Times New Roman" w:hAnsi="Times New Roman" w:cs="Times New Roman"/>
                <w:sz w:val="20"/>
                <w:szCs w:val="20"/>
              </w:rPr>
              <w:t>BHT</w:t>
            </w:r>
            <w:r w:rsidRPr="00687002">
              <w:rPr>
                <w:rFonts w:ascii="Times New Roman" w:hAnsi="Times New Roman" w:cs="Times New Roman"/>
                <w:sz w:val="20"/>
                <w:szCs w:val="20"/>
                <w:vertAlign w:val="superscript"/>
              </w:rPr>
              <w:t>b</w:t>
            </w:r>
          </w:p>
        </w:tc>
        <w:tc>
          <w:tcPr>
            <w:tcW w:w="709" w:type="dxa"/>
            <w:tcBorders>
              <w:top w:val="nil"/>
              <w:left w:val="nil"/>
              <w:bottom w:val="single" w:sz="4" w:space="0" w:color="auto"/>
              <w:right w:val="nil"/>
            </w:tcBorders>
          </w:tcPr>
          <w:p w:rsidR="00687002" w:rsidRPr="00687002" w:rsidRDefault="00687002" w:rsidP="00042BC7">
            <w:pPr>
              <w:spacing w:before="120" w:after="60" w:line="240" w:lineRule="auto"/>
              <w:jc w:val="both"/>
              <w:rPr>
                <w:rFonts w:ascii="Times New Roman" w:hAnsi="Times New Roman" w:cs="Times New Roman"/>
                <w:sz w:val="20"/>
                <w:szCs w:val="20"/>
              </w:rPr>
            </w:pPr>
          </w:p>
        </w:tc>
        <w:tc>
          <w:tcPr>
            <w:tcW w:w="1843" w:type="dxa"/>
            <w:tcBorders>
              <w:top w:val="nil"/>
              <w:left w:val="nil"/>
              <w:bottom w:val="single" w:sz="4" w:space="0" w:color="auto"/>
              <w:right w:val="nil"/>
            </w:tcBorders>
          </w:tcPr>
          <w:p w:rsidR="00687002" w:rsidRPr="00687002" w:rsidRDefault="00687002" w:rsidP="00042BC7">
            <w:pPr>
              <w:spacing w:before="120" w:after="60" w:line="240" w:lineRule="auto"/>
              <w:rPr>
                <w:rFonts w:ascii="Times New Roman" w:hAnsi="Times New Roman" w:cs="Times New Roman"/>
                <w:sz w:val="20"/>
                <w:szCs w:val="20"/>
              </w:rPr>
            </w:pPr>
          </w:p>
        </w:tc>
        <w:tc>
          <w:tcPr>
            <w:tcW w:w="1749" w:type="dxa"/>
            <w:tcBorders>
              <w:top w:val="nil"/>
              <w:left w:val="nil"/>
              <w:bottom w:val="single" w:sz="4" w:space="0" w:color="auto"/>
              <w:right w:val="nil"/>
            </w:tcBorders>
          </w:tcPr>
          <w:p w:rsidR="00687002" w:rsidRPr="00687002" w:rsidRDefault="00687002" w:rsidP="00042BC7">
            <w:pPr>
              <w:spacing w:before="120" w:after="60" w:line="240" w:lineRule="auto"/>
              <w:jc w:val="center"/>
              <w:rPr>
                <w:rFonts w:ascii="Times New Roman" w:hAnsi="Times New Roman" w:cs="Times New Roman"/>
                <w:sz w:val="20"/>
                <w:szCs w:val="20"/>
              </w:rPr>
            </w:pPr>
            <w:r w:rsidRPr="00687002">
              <w:rPr>
                <w:rFonts w:ascii="Times New Roman" w:hAnsi="Times New Roman" w:cs="Times New Roman"/>
                <w:sz w:val="20"/>
                <w:szCs w:val="20"/>
              </w:rPr>
              <w:t>NA</w:t>
            </w:r>
          </w:p>
        </w:tc>
        <w:tc>
          <w:tcPr>
            <w:tcW w:w="1988" w:type="dxa"/>
            <w:tcBorders>
              <w:top w:val="nil"/>
              <w:left w:val="nil"/>
              <w:bottom w:val="single" w:sz="4" w:space="0" w:color="auto"/>
              <w:right w:val="nil"/>
            </w:tcBorders>
          </w:tcPr>
          <w:p w:rsidR="00687002" w:rsidRPr="00687002" w:rsidRDefault="00687002" w:rsidP="00042BC7">
            <w:pPr>
              <w:spacing w:before="120" w:after="60" w:line="240" w:lineRule="auto"/>
              <w:jc w:val="center"/>
              <w:rPr>
                <w:rFonts w:ascii="Times New Roman" w:hAnsi="Times New Roman" w:cs="Times New Roman"/>
                <w:sz w:val="20"/>
                <w:szCs w:val="20"/>
              </w:rPr>
            </w:pPr>
            <w:r w:rsidRPr="00687002">
              <w:rPr>
                <w:rFonts w:ascii="Times New Roman" w:hAnsi="Times New Roman" w:cs="Times New Roman"/>
                <w:sz w:val="20"/>
                <w:szCs w:val="20"/>
              </w:rPr>
              <w:t>15.30 ± 0.63</w:t>
            </w:r>
          </w:p>
        </w:tc>
        <w:tc>
          <w:tcPr>
            <w:tcW w:w="1459" w:type="dxa"/>
            <w:tcBorders>
              <w:top w:val="nil"/>
              <w:left w:val="nil"/>
              <w:bottom w:val="single" w:sz="4" w:space="0" w:color="auto"/>
              <w:right w:val="nil"/>
            </w:tcBorders>
          </w:tcPr>
          <w:p w:rsidR="00687002" w:rsidRPr="00687002" w:rsidRDefault="00687002" w:rsidP="00042BC7">
            <w:pPr>
              <w:spacing w:before="120" w:after="60" w:line="240" w:lineRule="auto"/>
              <w:jc w:val="center"/>
              <w:rPr>
                <w:rFonts w:ascii="Times New Roman" w:hAnsi="Times New Roman" w:cs="Times New Roman"/>
                <w:sz w:val="20"/>
                <w:szCs w:val="20"/>
              </w:rPr>
            </w:pPr>
            <w:r w:rsidRPr="00687002">
              <w:rPr>
                <w:rFonts w:ascii="Times New Roman" w:hAnsi="Times New Roman" w:cs="Times New Roman"/>
                <w:sz w:val="20"/>
                <w:szCs w:val="20"/>
              </w:rPr>
              <w:t>NA</w:t>
            </w:r>
          </w:p>
        </w:tc>
      </w:tr>
    </w:tbl>
    <w:p w:rsidR="00687002" w:rsidRPr="00042BC7" w:rsidRDefault="00687002" w:rsidP="00042BC7">
      <w:pPr>
        <w:autoSpaceDE w:val="0"/>
        <w:autoSpaceDN w:val="0"/>
        <w:adjustRightInd w:val="0"/>
        <w:spacing w:before="60" w:after="0" w:line="240" w:lineRule="auto"/>
        <w:jc w:val="both"/>
        <w:rPr>
          <w:rFonts w:ascii="Times New Roman" w:hAnsi="Times New Roman"/>
          <w:sz w:val="18"/>
          <w:szCs w:val="18"/>
        </w:rPr>
      </w:pPr>
      <w:r w:rsidRPr="00042BC7">
        <w:rPr>
          <w:rFonts w:ascii="Times New Roman" w:hAnsi="Times New Roman"/>
          <w:sz w:val="18"/>
          <w:szCs w:val="18"/>
          <w:vertAlign w:val="superscript"/>
        </w:rPr>
        <w:t xml:space="preserve">a </w:t>
      </w:r>
      <w:r w:rsidRPr="00042BC7">
        <w:rPr>
          <w:rFonts w:ascii="Times New Roman" w:hAnsi="Times New Roman"/>
          <w:sz w:val="18"/>
          <w:szCs w:val="18"/>
        </w:rPr>
        <w:t xml:space="preserve">Data represent mean ± standard deviation of three replicate experiments; </w:t>
      </w:r>
      <w:r w:rsidRPr="00042BC7">
        <w:rPr>
          <w:rFonts w:ascii="Times New Roman" w:hAnsi="Times New Roman"/>
          <w:sz w:val="18"/>
          <w:szCs w:val="18"/>
          <w:vertAlign w:val="superscript"/>
        </w:rPr>
        <w:t>b</w:t>
      </w:r>
      <w:r w:rsidRPr="00042BC7">
        <w:rPr>
          <w:rFonts w:ascii="Times New Roman" w:hAnsi="Times New Roman"/>
          <w:sz w:val="18"/>
          <w:szCs w:val="18"/>
        </w:rPr>
        <w:t xml:space="preserve"> Positive control; B: Barks; L: Leaves; * </w:t>
      </w:r>
      <w:r w:rsidRPr="00042BC7">
        <w:rPr>
          <w:rFonts w:ascii="Times New Roman" w:hAnsi="Times New Roman"/>
          <w:i/>
          <w:iCs/>
          <w:sz w:val="18"/>
          <w:szCs w:val="18"/>
        </w:rPr>
        <w:t xml:space="preserve">P </w:t>
      </w:r>
      <w:r w:rsidRPr="00042BC7">
        <w:rPr>
          <w:rFonts w:ascii="Times New Roman" w:hAnsi="Times New Roman"/>
          <w:sz w:val="18"/>
          <w:szCs w:val="18"/>
        </w:rPr>
        <w:t xml:space="preserve">&lt; 0.05, ** </w:t>
      </w:r>
      <w:r w:rsidRPr="00042BC7">
        <w:rPr>
          <w:rFonts w:ascii="Times New Roman" w:hAnsi="Times New Roman"/>
          <w:i/>
          <w:iCs/>
          <w:sz w:val="18"/>
          <w:szCs w:val="18"/>
        </w:rPr>
        <w:t xml:space="preserve">P </w:t>
      </w:r>
      <w:r w:rsidRPr="00042BC7">
        <w:rPr>
          <w:rFonts w:ascii="Times New Roman" w:hAnsi="Times New Roman"/>
          <w:sz w:val="18"/>
          <w:szCs w:val="18"/>
        </w:rPr>
        <w:t xml:space="preserve">&lt; 0.01,*** </w:t>
      </w:r>
      <w:r w:rsidRPr="00042BC7">
        <w:rPr>
          <w:rFonts w:ascii="Times New Roman" w:hAnsi="Times New Roman"/>
          <w:i/>
          <w:iCs/>
          <w:sz w:val="18"/>
          <w:szCs w:val="18"/>
        </w:rPr>
        <w:t xml:space="preserve">P </w:t>
      </w:r>
      <w:r w:rsidRPr="00042BC7">
        <w:rPr>
          <w:rFonts w:ascii="Times New Roman" w:hAnsi="Times New Roman"/>
          <w:sz w:val="18"/>
          <w:szCs w:val="18"/>
        </w:rPr>
        <w:t>&lt; 0.001; AA = Ascorbic acid; BHT: Butylated Hydroxytoluene;  NA = Not Available.</w:t>
      </w:r>
    </w:p>
    <w:p w:rsidR="00687002" w:rsidRPr="00687002" w:rsidRDefault="00687002" w:rsidP="00042BC7">
      <w:pPr>
        <w:spacing w:after="120" w:line="240" w:lineRule="auto"/>
        <w:jc w:val="both"/>
        <w:rPr>
          <w:rFonts w:ascii="Times New Roman" w:hAnsi="Times New Roman"/>
          <w:sz w:val="20"/>
          <w:szCs w:val="20"/>
        </w:rPr>
      </w:pPr>
    </w:p>
    <w:p w:rsidR="00687002" w:rsidRDefault="00687002" w:rsidP="00687002">
      <w:pPr>
        <w:spacing w:after="0" w:line="240" w:lineRule="auto"/>
        <w:jc w:val="both"/>
        <w:rPr>
          <w:rFonts w:ascii="Times New Roman" w:hAnsi="Times New Roman"/>
          <w:sz w:val="20"/>
          <w:szCs w:val="20"/>
          <w:lang w:val="en-GB"/>
        </w:rPr>
      </w:pPr>
      <w:r w:rsidRPr="00687002">
        <w:rPr>
          <w:rFonts w:ascii="Times New Roman" w:hAnsi="Times New Roman"/>
          <w:sz w:val="20"/>
          <w:szCs w:val="20"/>
          <w:lang w:val="en-GB"/>
        </w:rPr>
        <w:t>All dichloromethane crude extracts displayed inactive DPPH radical scavenging activity with SC</w:t>
      </w:r>
      <w:r w:rsidRPr="00687002">
        <w:rPr>
          <w:rFonts w:ascii="Times New Roman" w:hAnsi="Times New Roman"/>
          <w:sz w:val="20"/>
          <w:szCs w:val="20"/>
          <w:vertAlign w:val="subscript"/>
          <w:lang w:val="en-GB"/>
        </w:rPr>
        <w:t>50</w:t>
      </w:r>
      <w:r w:rsidRPr="00687002">
        <w:rPr>
          <w:rFonts w:ascii="Times New Roman" w:hAnsi="Times New Roman"/>
          <w:sz w:val="20"/>
          <w:szCs w:val="20"/>
          <w:lang w:val="en-GB"/>
        </w:rPr>
        <w:t xml:space="preserve"> values of more than 1000 µg/mL. In contrast, all methanol and ethyl acetate extracts possessed significant DPPH radical scavenging activity in dose-dependent manner as depicted in Figure 2 and Figure 3, respectively. The methanol extract from the leaves of </w:t>
      </w:r>
      <w:r w:rsidRPr="00687002">
        <w:rPr>
          <w:rFonts w:ascii="Times New Roman" w:hAnsi="Times New Roman"/>
          <w:i/>
          <w:sz w:val="20"/>
          <w:szCs w:val="20"/>
          <w:lang w:val="en-GB"/>
        </w:rPr>
        <w:t>C. ferrugineum</w:t>
      </w:r>
      <w:r w:rsidRPr="00687002">
        <w:rPr>
          <w:rFonts w:ascii="Times New Roman" w:hAnsi="Times New Roman"/>
          <w:sz w:val="20"/>
          <w:szCs w:val="20"/>
          <w:lang w:val="en-GB"/>
        </w:rPr>
        <w:t xml:space="preserve"> displayed the lowest SC</w:t>
      </w:r>
      <w:r w:rsidRPr="00687002">
        <w:rPr>
          <w:rFonts w:ascii="Times New Roman" w:hAnsi="Times New Roman"/>
          <w:sz w:val="20"/>
          <w:szCs w:val="20"/>
          <w:vertAlign w:val="subscript"/>
          <w:lang w:val="en-GB"/>
        </w:rPr>
        <w:t>50</w:t>
      </w:r>
      <w:r w:rsidRPr="00687002">
        <w:rPr>
          <w:rFonts w:ascii="Times New Roman" w:hAnsi="Times New Roman"/>
          <w:sz w:val="20"/>
          <w:szCs w:val="20"/>
          <w:lang w:val="en-GB"/>
        </w:rPr>
        <w:t xml:space="preserve"> value (11.80 µg/mL) compared to the positive control, butylated hydroxytoluene (BHT) (SC</w:t>
      </w:r>
      <w:r w:rsidRPr="00687002">
        <w:rPr>
          <w:rFonts w:ascii="Times New Roman" w:hAnsi="Times New Roman"/>
          <w:sz w:val="20"/>
          <w:szCs w:val="20"/>
          <w:vertAlign w:val="subscript"/>
          <w:lang w:val="en-GB"/>
        </w:rPr>
        <w:t xml:space="preserve">50 </w:t>
      </w:r>
      <w:r w:rsidRPr="00687002">
        <w:rPr>
          <w:rFonts w:ascii="Times New Roman" w:hAnsi="Times New Roman"/>
          <w:sz w:val="20"/>
          <w:szCs w:val="20"/>
          <w:lang w:val="en-GB"/>
        </w:rPr>
        <w:t xml:space="preserve">15.30 µg/mL). In addition, the DPPH radical scavenging activities of methanol extracts from barks of </w:t>
      </w:r>
      <w:r w:rsidRPr="00687002">
        <w:rPr>
          <w:rFonts w:ascii="Times New Roman" w:hAnsi="Times New Roman"/>
          <w:i/>
          <w:sz w:val="20"/>
          <w:szCs w:val="20"/>
          <w:lang w:val="en-GB"/>
        </w:rPr>
        <w:t xml:space="preserve">C. incrassatum </w:t>
      </w:r>
      <w:r w:rsidRPr="00687002">
        <w:rPr>
          <w:rFonts w:ascii="Times New Roman" w:hAnsi="Times New Roman"/>
          <w:sz w:val="20"/>
          <w:szCs w:val="20"/>
          <w:lang w:val="en-GB"/>
        </w:rPr>
        <w:t>and barks of</w:t>
      </w:r>
      <w:r w:rsidRPr="00687002">
        <w:rPr>
          <w:rFonts w:ascii="Times New Roman" w:hAnsi="Times New Roman"/>
          <w:i/>
          <w:sz w:val="20"/>
          <w:szCs w:val="20"/>
          <w:lang w:val="en-GB"/>
        </w:rPr>
        <w:t xml:space="preserve"> C. ferrugineum</w:t>
      </w:r>
      <w:r w:rsidRPr="00687002">
        <w:rPr>
          <w:rFonts w:ascii="Times New Roman" w:hAnsi="Times New Roman"/>
          <w:sz w:val="20"/>
          <w:szCs w:val="20"/>
          <w:lang w:val="en-GB"/>
        </w:rPr>
        <w:t xml:space="preserve">, as well as the ethyl acetate extract from the leaves of </w:t>
      </w:r>
      <w:r w:rsidRPr="00687002">
        <w:rPr>
          <w:rFonts w:ascii="Times New Roman" w:hAnsi="Times New Roman"/>
          <w:i/>
          <w:sz w:val="20"/>
          <w:szCs w:val="20"/>
          <w:lang w:val="en-GB"/>
        </w:rPr>
        <w:t xml:space="preserve">C. ferrugineum </w:t>
      </w:r>
      <w:r w:rsidRPr="00687002">
        <w:rPr>
          <w:rFonts w:ascii="Times New Roman" w:hAnsi="Times New Roman"/>
          <w:sz w:val="20"/>
          <w:szCs w:val="20"/>
          <w:lang w:val="en-GB"/>
        </w:rPr>
        <w:t>were comparable to BHT since their SC</w:t>
      </w:r>
      <w:r w:rsidRPr="00687002">
        <w:rPr>
          <w:rFonts w:ascii="Times New Roman" w:hAnsi="Times New Roman"/>
          <w:sz w:val="20"/>
          <w:szCs w:val="20"/>
          <w:vertAlign w:val="subscript"/>
          <w:lang w:val="en-GB"/>
        </w:rPr>
        <w:t>50</w:t>
      </w:r>
      <w:r w:rsidRPr="00687002">
        <w:rPr>
          <w:rFonts w:ascii="Times New Roman" w:hAnsi="Times New Roman"/>
          <w:sz w:val="20"/>
          <w:szCs w:val="20"/>
          <w:lang w:val="en-GB"/>
        </w:rPr>
        <w:t xml:space="preserve"> values lies in the range of 17.23 – 20.51 µg/mL. This shows that high TPC values of the methanol extracts are strongly associated with the present findings. Phenolic compounds that are rich in hydroxyl groups serve as a hydrogen donor to the radical</w:t>
      </w:r>
      <w:r w:rsidR="00581130">
        <w:rPr>
          <w:rFonts w:ascii="Times New Roman" w:hAnsi="Times New Roman"/>
          <w:sz w:val="20"/>
          <w:szCs w:val="20"/>
          <w:lang w:val="en-GB"/>
        </w:rPr>
        <w:t xml:space="preserve"> thus act as good antioxidants.</w:t>
      </w:r>
    </w:p>
    <w:p w:rsidR="00581130" w:rsidRPr="00581130" w:rsidRDefault="00581130" w:rsidP="00687002">
      <w:pPr>
        <w:spacing w:after="0" w:line="240" w:lineRule="auto"/>
        <w:jc w:val="both"/>
        <w:rPr>
          <w:rFonts w:ascii="Times New Roman" w:hAnsi="Times New Roman"/>
          <w:sz w:val="20"/>
          <w:szCs w:val="20"/>
          <w:lang w:val="en-GB"/>
        </w:rPr>
      </w:pPr>
    </w:p>
    <w:p w:rsidR="004E2E3D" w:rsidRDefault="00AB550A" w:rsidP="00AB550A">
      <w:pPr>
        <w:spacing w:after="120" w:line="240" w:lineRule="auto"/>
        <w:jc w:val="center"/>
        <w:rPr>
          <w:rFonts w:ascii="Times New Roman" w:hAnsi="Times New Roman"/>
          <w:sz w:val="20"/>
          <w:szCs w:val="20"/>
        </w:rPr>
      </w:pPr>
      <w:r w:rsidRPr="00C928F1">
        <w:rPr>
          <w:noProof/>
          <w:sz w:val="20"/>
          <w:szCs w:val="20"/>
          <w:lang w:bidi="ar-SA"/>
        </w:rPr>
        <w:drawing>
          <wp:inline distT="0" distB="0" distL="0" distR="0" wp14:anchorId="6B28392C" wp14:editId="012644CD">
            <wp:extent cx="2743200" cy="2194560"/>
            <wp:effectExtent l="0" t="0" r="19050" b="15240"/>
            <wp:docPr id="713" name="Chart 7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87002" w:rsidRPr="00687002" w:rsidRDefault="00687002" w:rsidP="004E2E3D">
      <w:pPr>
        <w:spacing w:after="120" w:line="240" w:lineRule="auto"/>
        <w:jc w:val="center"/>
        <w:rPr>
          <w:rFonts w:ascii="Times New Roman" w:hAnsi="Times New Roman"/>
          <w:sz w:val="20"/>
          <w:szCs w:val="20"/>
        </w:rPr>
      </w:pPr>
      <w:r w:rsidRPr="00687002">
        <w:rPr>
          <w:rFonts w:ascii="Times New Roman" w:hAnsi="Times New Roman"/>
          <w:sz w:val="20"/>
          <w:szCs w:val="20"/>
        </w:rPr>
        <w:t xml:space="preserve">Figure 2. </w:t>
      </w:r>
      <w:r w:rsidR="00AB550A">
        <w:rPr>
          <w:rFonts w:ascii="Times New Roman" w:hAnsi="Times New Roman"/>
          <w:sz w:val="20"/>
          <w:szCs w:val="20"/>
        </w:rPr>
        <w:t xml:space="preserve"> </w:t>
      </w:r>
      <w:r w:rsidRPr="00687002">
        <w:rPr>
          <w:rFonts w:ascii="Times New Roman" w:hAnsi="Times New Roman"/>
          <w:sz w:val="20"/>
          <w:szCs w:val="20"/>
        </w:rPr>
        <w:t>Percentage ınhibition of DPPH radical scavenging activity of EtOAc extracts</w:t>
      </w:r>
    </w:p>
    <w:p w:rsidR="00687002" w:rsidRPr="00687002" w:rsidRDefault="00687002" w:rsidP="004E2E3D">
      <w:pPr>
        <w:spacing w:after="120" w:line="240" w:lineRule="auto"/>
        <w:jc w:val="center"/>
        <w:rPr>
          <w:rFonts w:ascii="Times New Roman" w:hAnsi="Times New Roman"/>
          <w:sz w:val="20"/>
          <w:szCs w:val="20"/>
        </w:rPr>
      </w:pPr>
      <w:r w:rsidRPr="00687002">
        <w:rPr>
          <w:rFonts w:ascii="Times New Roman" w:hAnsi="Times New Roman"/>
          <w:noProof/>
          <w:sz w:val="20"/>
          <w:szCs w:val="20"/>
          <w:lang w:bidi="ar-SA"/>
        </w:rPr>
        <w:lastRenderedPageBreak/>
        <w:drawing>
          <wp:inline distT="0" distB="0" distL="0" distR="0" wp14:anchorId="5AB18B14" wp14:editId="683157F4">
            <wp:extent cx="2743200" cy="2194560"/>
            <wp:effectExtent l="0" t="0" r="19050" b="15240"/>
            <wp:docPr id="714" name="Chart 7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87002" w:rsidRPr="00687002" w:rsidRDefault="00687002" w:rsidP="004E2E3D">
      <w:pPr>
        <w:spacing w:after="0" w:line="240" w:lineRule="auto"/>
        <w:jc w:val="center"/>
        <w:rPr>
          <w:rFonts w:ascii="Times New Roman" w:hAnsi="Times New Roman"/>
          <w:sz w:val="20"/>
          <w:szCs w:val="20"/>
        </w:rPr>
      </w:pPr>
      <w:r w:rsidRPr="00687002">
        <w:rPr>
          <w:rFonts w:ascii="Times New Roman" w:hAnsi="Times New Roman"/>
          <w:sz w:val="20"/>
          <w:szCs w:val="20"/>
        </w:rPr>
        <w:t xml:space="preserve">Figure 3. </w:t>
      </w:r>
      <w:r w:rsidR="004E2E3D">
        <w:rPr>
          <w:rFonts w:ascii="Times New Roman" w:hAnsi="Times New Roman"/>
          <w:sz w:val="20"/>
          <w:szCs w:val="20"/>
        </w:rPr>
        <w:t xml:space="preserve"> </w:t>
      </w:r>
      <w:r w:rsidRPr="00687002">
        <w:rPr>
          <w:rFonts w:ascii="Times New Roman" w:hAnsi="Times New Roman"/>
          <w:sz w:val="20"/>
          <w:szCs w:val="20"/>
        </w:rPr>
        <w:t>Percentage ınhibition of DPPH radical scavenging activity of MeOH extracts</w:t>
      </w:r>
    </w:p>
    <w:p w:rsidR="00687002" w:rsidRPr="00687002" w:rsidRDefault="00687002" w:rsidP="004E2E3D">
      <w:pPr>
        <w:spacing w:after="120" w:line="240" w:lineRule="auto"/>
        <w:jc w:val="both"/>
        <w:rPr>
          <w:rFonts w:ascii="Times New Roman" w:hAnsi="Times New Roman"/>
          <w:sz w:val="20"/>
          <w:szCs w:val="20"/>
        </w:rPr>
      </w:pPr>
    </w:p>
    <w:p w:rsidR="00687002" w:rsidRDefault="00687002" w:rsidP="00687002">
      <w:pPr>
        <w:spacing w:after="0" w:line="240" w:lineRule="auto"/>
        <w:jc w:val="both"/>
        <w:rPr>
          <w:rFonts w:ascii="Times New Roman" w:hAnsi="Times New Roman"/>
          <w:sz w:val="20"/>
          <w:szCs w:val="20"/>
          <w:lang w:val="en-GB"/>
        </w:rPr>
      </w:pPr>
      <w:r w:rsidRPr="00687002">
        <w:rPr>
          <w:rFonts w:ascii="Times New Roman" w:hAnsi="Times New Roman"/>
          <w:sz w:val="20"/>
          <w:szCs w:val="20"/>
          <w:lang w:val="en-GB"/>
        </w:rPr>
        <w:t xml:space="preserve">The correlations between TPC and DPPH radical scavenging activity for each crude extract were evaluated using Pearson’s correlation coefficient as tabulated in Table 1. In this study, the two variables were positively correlated with the </w:t>
      </w:r>
      <w:r w:rsidRPr="00687002">
        <w:rPr>
          <w:rFonts w:ascii="Times New Roman" w:hAnsi="Times New Roman"/>
          <w:i/>
          <w:sz w:val="20"/>
          <w:szCs w:val="20"/>
          <w:lang w:val="en-GB"/>
        </w:rPr>
        <w:t xml:space="preserve">r </w:t>
      </w:r>
      <w:r w:rsidRPr="00687002">
        <w:rPr>
          <w:rFonts w:ascii="Times New Roman" w:hAnsi="Times New Roman"/>
          <w:sz w:val="20"/>
          <w:szCs w:val="20"/>
          <w:lang w:val="en-GB"/>
        </w:rPr>
        <w:t xml:space="preserve">coefficient value in the range of 0.473 – 0.893. This indicates a positive correlation whereby high total phenolic content is proportional to strong DPPH radical scavenging activity. Previous work on the bioassay-guided fractionation of the methanol and ethanol extracts from several </w:t>
      </w:r>
      <w:r w:rsidRPr="00687002">
        <w:rPr>
          <w:rFonts w:ascii="Times New Roman" w:hAnsi="Times New Roman"/>
          <w:i/>
          <w:sz w:val="20"/>
          <w:szCs w:val="20"/>
          <w:lang w:val="en-GB"/>
        </w:rPr>
        <w:t>Calophyllum</w:t>
      </w:r>
      <w:r w:rsidRPr="00687002">
        <w:rPr>
          <w:rFonts w:ascii="Times New Roman" w:hAnsi="Times New Roman"/>
          <w:sz w:val="20"/>
          <w:szCs w:val="20"/>
          <w:lang w:val="en-GB"/>
        </w:rPr>
        <w:t xml:space="preserve"> species that gave high DPPH radical scavenging activity led to the isolation phenolic compounds; flavonoids and xanthones </w:t>
      </w:r>
      <w:r w:rsidRPr="00687002">
        <w:rPr>
          <w:rFonts w:ascii="Times New Roman" w:hAnsi="Times New Roman"/>
          <w:sz w:val="20"/>
          <w:szCs w:val="20"/>
          <w:lang w:val="en-GB"/>
        </w:rPr>
        <w:fldChar w:fldCharType="begin" w:fldLock="1"/>
      </w:r>
      <w:r w:rsidRPr="00687002">
        <w:rPr>
          <w:rFonts w:ascii="Times New Roman" w:hAnsi="Times New Roman"/>
          <w:sz w:val="20"/>
          <w:szCs w:val="20"/>
          <w:lang w:val="en-GB"/>
        </w:rPr>
        <w:instrText>ADDIN CSL_CITATION { "citationItems" : [ { "id" : "ITEM-1", "itemData" : { "DOI" : "10.1080/14786410600899118", "ISSN" : "1478-6427", "PMID" : "19384730", "abstract" : "Extracts from three Calophyllum species endemic to Sri Lanka were tested for antifungal and antioxidant activities. Of them, only the root methanol extract of Calophyllum thwaitesii showed activity, and the active extract on activity guided fractionation yielded four antifungal active and three inactive xanthones. Antifungal active xanthones were identified as 1,6-dihydroxy-5-methoxyxanthone, 1-hydroxy-5,6-dimethoxyxanthone, 1-hydroxy-5-methoxyxanthone and 1-methoxy-5-hydroxyxanthone, using spectroscopic methods and comparison with literature data. Inactive compounds were identified as 1-hydroxy-7-methoxyxanthone, 1,5-dihydroxy-6-methoxyxanthone and 1,7-dihydroxy xanthone. This is the first report of above xanthones except the latter from C. thwaitesii. Further, five of the above xanthones along with thwaitesixanthone and calothwaitesixanthone, which have been previously reported from the root bark of the same species, showed free radical scavenging properties when tested with DPPH. Further, this is the first report of methylated xanthones from C. thwaitesii. Previous work on stem bark, root bark and the stem of the same species yielded only nonmethylated xanthones, indicating the absence of methylating enzymes in the plant. However, this new finding suggests the presence of methylating enzymes in the root stem of C. thwaitesii.", "author" : [ { "dropping-particle" : "", "family" : "Dharmaratne", "given" : "H R W", "non-dropping-particle" : "", "parse-names" : false, "suffix" : "" }, { "dropping-particle" : "", "family" : "Napagoda", "given" : "M T", "non-dropping-particle" : "", "parse-names" : false, "suffix" : "" }, { "dropping-particle" : "", "family" : "Tennakoon", "given" : "S B", "non-dropping-particle" : "", "parse-names" : false, "suffix" : "" } ], "container-title" : "Natural product research", "id" : "ITEM-1", "issue" : "6", "issued" : { "date-parts" : [ [ "2009", "1" ] ] }, "page" : "539-45", "title" : "Xanthones from roots of Calophyllum thwaitesii and their bioactivity.", "type" : "article-journal", "volume" : "23" }, "uris" : [ "http://www.mendeley.com/documents/?uuid=b0f3b9cc-01c4-46bd-934c-41e201097b07" ] }, { "id" : "ITEM-2", "itemData" : { "author" : [ { "dropping-particle" : "", "family" : "Katrin", "given" : "", "non-dropping-particle" : "", "parse-names" : false, "suffix" : "" }, { "dropping-particle" : "", "family" : "Elya", "given" : "Berna", "non-dropping-particle" : "", "parse-names" : false, "suffix" : "" }, { "dropping-particle" : "", "family" : "Mahamufrudho", "given" : "Angger", "non-dropping-particle" : "", "parse-names" : false, "suffix" : "" }, { "dropping-particle" : "", "family" : "Rissyelly", "given" : "", "non-dropping-particle" : "", "parse-names" : false, "suffix" : "" } ], "container-title" : "International Journal of PharmTech Research", "id" : "ITEM-2", "issue" : "1", "issued" : { "date-parts" : [ [ "2014" ] ] }, "page" : "396-402", "title" : "Radical Scavenging Activity of Extract , Fraction and Chemical Compound from Calophyllum sclerophyllum vesq . Stembark by Using 1 , 1-Diphenyl-2-Picryl Hydrazil ( DPPH )", "type" : "article-journal", "volume" : "6" }, "uris" : [ "http://www.mendeley.com/documents/?uuid=cb59649a-a5b8-466e-b268-b60fc9e139a1" ] } ], "mendeley" : { "formattedCitation" : "[18,19]", "plainTextFormattedCitation" : "[18,19]", "previouslyFormattedCitation" : "(Dharmaratne, Napagoda, &amp; Tennakoon, 2009; Katrin, Elya, Mahamufrudho, &amp; Rissyelly, 2014)" }, "properties" : {  }, "schema" : "https://github.com/citation-style-language/schema/raw/master/csl-citation.json" }</w:instrText>
      </w:r>
      <w:r w:rsidRPr="00687002">
        <w:rPr>
          <w:rFonts w:ascii="Times New Roman" w:hAnsi="Times New Roman"/>
          <w:sz w:val="20"/>
          <w:szCs w:val="20"/>
          <w:lang w:val="en-GB"/>
        </w:rPr>
        <w:fldChar w:fldCharType="separate"/>
      </w:r>
      <w:r w:rsidRPr="00687002">
        <w:rPr>
          <w:rFonts w:ascii="Times New Roman" w:hAnsi="Times New Roman"/>
          <w:sz w:val="20"/>
          <w:szCs w:val="20"/>
          <w:lang w:val="en-GB"/>
        </w:rPr>
        <w:t>[18,19]</w:t>
      </w:r>
      <w:r w:rsidRPr="00687002">
        <w:rPr>
          <w:rFonts w:ascii="Times New Roman" w:hAnsi="Times New Roman"/>
          <w:sz w:val="20"/>
          <w:szCs w:val="20"/>
          <w:lang w:val="en-GB"/>
        </w:rPr>
        <w:fldChar w:fldCharType="end"/>
      </w:r>
      <w:r w:rsidRPr="00687002">
        <w:rPr>
          <w:rFonts w:ascii="Times New Roman" w:hAnsi="Times New Roman"/>
          <w:sz w:val="20"/>
          <w:szCs w:val="20"/>
          <w:lang w:val="en-GB"/>
        </w:rPr>
        <w:t>.</w:t>
      </w:r>
    </w:p>
    <w:p w:rsidR="004E2E3D" w:rsidRPr="00687002" w:rsidRDefault="004E2E3D" w:rsidP="00687002">
      <w:pPr>
        <w:spacing w:after="0" w:line="240" w:lineRule="auto"/>
        <w:jc w:val="both"/>
        <w:rPr>
          <w:rFonts w:ascii="Times New Roman" w:hAnsi="Times New Roman"/>
          <w:sz w:val="20"/>
          <w:szCs w:val="20"/>
          <w:lang w:val="en-GB"/>
        </w:rPr>
      </w:pPr>
    </w:p>
    <w:p w:rsidR="00687002" w:rsidRPr="00687002" w:rsidRDefault="00687002" w:rsidP="00687002">
      <w:pPr>
        <w:spacing w:after="0" w:line="240" w:lineRule="auto"/>
        <w:jc w:val="both"/>
        <w:rPr>
          <w:rFonts w:ascii="Times New Roman" w:hAnsi="Times New Roman"/>
          <w:sz w:val="20"/>
          <w:szCs w:val="20"/>
          <w:lang w:val="en-GB"/>
        </w:rPr>
      </w:pPr>
      <w:r w:rsidRPr="00687002">
        <w:rPr>
          <w:rFonts w:ascii="Times New Roman" w:hAnsi="Times New Roman"/>
          <w:sz w:val="20"/>
          <w:szCs w:val="20"/>
          <w:lang w:val="en-GB"/>
        </w:rPr>
        <w:t xml:space="preserve">Ferric Reducing Antioxidant Power (FRAP) involves the redox reaction between ferric (III) tripyridyltriazine complex and a reducing agent to form ferrous (II) tripyridyltriazine complex. The reduction process increases the absorbance value measured at 593 nm due to the colour changes from pale brown to intense blue </w:t>
      </w:r>
      <w:r w:rsidRPr="00687002">
        <w:rPr>
          <w:rFonts w:ascii="Times New Roman" w:hAnsi="Times New Roman"/>
          <w:sz w:val="20"/>
          <w:szCs w:val="20"/>
          <w:lang w:val="en-GB"/>
        </w:rPr>
        <w:fldChar w:fldCharType="begin" w:fldLock="1"/>
      </w:r>
      <w:r w:rsidRPr="00687002">
        <w:rPr>
          <w:rFonts w:ascii="Times New Roman" w:hAnsi="Times New Roman"/>
          <w:sz w:val="20"/>
          <w:szCs w:val="20"/>
          <w:lang w:val="en-GB"/>
        </w:rPr>
        <w:instrText>ADDIN CSL_CITATION { "citationItems" : [ { "id" : "ITEM-1", "itemData" : { "author" : [ { "dropping-particle" : "", "family" : "Cahnnarong", "given" : "Sunee", "non-dropping-particle" : "", "parse-names" : false, "suffix" : "" }, { "dropping-particle" : "", "family" : "Jutiviboonsuk", "given" : "Aranya", "non-dropping-particle" : "", "parse-names" : false, "suffix" : "" }, { "dropping-particle" : "", "family" : "Korsanan", "given" : "Sarun", "non-dropping-particle" : "", "parse-names" : false, "suffix" : "" } ], "container-title" : "Thai Pharm Health Sci J", "id" : "ITEM-1", "issue" : "3", "issued" : { "date-parts" : [ [ "0" ] ] }, "page" : "111-114", "title" : "Total Reducing Antioxidant Capacity of Thai Herbal Aromatic powder (Ya-Hom) Measured by FRAP Assay.", "type" : "article-journal", "volume" : "7" }, "uris" : [ "http://www.mendeley.com/documents/?uuid=dd1bf23d-f99c-4375-91bb-c7ad0fc442ee" ] } ], "mendeley" : { "formattedCitation" : "[20]", "plainTextFormattedCitation" : "[20]", "previouslyFormattedCitation" : "(Cahnnarong, Jutiviboonsuk, &amp; Korsanan, n.d.)" }, "properties" : {  }, "schema" : "https://github.com/citation-style-language/schema/raw/master/csl-citation.json" }</w:instrText>
      </w:r>
      <w:r w:rsidRPr="00687002">
        <w:rPr>
          <w:rFonts w:ascii="Times New Roman" w:hAnsi="Times New Roman"/>
          <w:sz w:val="20"/>
          <w:szCs w:val="20"/>
          <w:lang w:val="en-GB"/>
        </w:rPr>
        <w:fldChar w:fldCharType="separate"/>
      </w:r>
      <w:r w:rsidRPr="00687002">
        <w:rPr>
          <w:rFonts w:ascii="Times New Roman" w:hAnsi="Times New Roman"/>
          <w:sz w:val="20"/>
          <w:szCs w:val="20"/>
          <w:lang w:val="en-GB"/>
        </w:rPr>
        <w:t>[20]</w:t>
      </w:r>
      <w:r w:rsidRPr="00687002">
        <w:rPr>
          <w:rFonts w:ascii="Times New Roman" w:hAnsi="Times New Roman"/>
          <w:sz w:val="20"/>
          <w:szCs w:val="20"/>
          <w:lang w:val="en-GB"/>
        </w:rPr>
        <w:fldChar w:fldCharType="end"/>
      </w:r>
      <w:r w:rsidRPr="00687002">
        <w:rPr>
          <w:rFonts w:ascii="Times New Roman" w:hAnsi="Times New Roman"/>
          <w:sz w:val="20"/>
          <w:szCs w:val="20"/>
          <w:lang w:val="en-GB"/>
        </w:rPr>
        <w:t>. The FRAP values were determined using standard calibration curve of standard FeSO</w:t>
      </w:r>
      <w:r w:rsidRPr="00687002">
        <w:rPr>
          <w:rFonts w:ascii="Times New Roman" w:hAnsi="Times New Roman"/>
          <w:sz w:val="20"/>
          <w:szCs w:val="20"/>
          <w:vertAlign w:val="subscript"/>
          <w:lang w:val="en-GB"/>
        </w:rPr>
        <w:t>4</w:t>
      </w:r>
      <w:r w:rsidRPr="00687002">
        <w:rPr>
          <w:rFonts w:ascii="Times New Roman" w:hAnsi="Times New Roman"/>
          <w:sz w:val="20"/>
          <w:szCs w:val="20"/>
          <w:lang w:val="en-GB"/>
        </w:rPr>
        <w:t>.7H</w:t>
      </w:r>
      <w:r w:rsidRPr="00687002">
        <w:rPr>
          <w:rFonts w:ascii="Times New Roman" w:hAnsi="Times New Roman"/>
          <w:sz w:val="20"/>
          <w:szCs w:val="20"/>
          <w:vertAlign w:val="subscript"/>
          <w:lang w:val="en-GB"/>
        </w:rPr>
        <w:t>2</w:t>
      </w:r>
      <w:r w:rsidRPr="00687002">
        <w:rPr>
          <w:rFonts w:ascii="Times New Roman" w:hAnsi="Times New Roman"/>
          <w:sz w:val="20"/>
          <w:szCs w:val="20"/>
          <w:lang w:val="en-GB"/>
        </w:rPr>
        <w:t xml:space="preserve">O (y = 0.0005x + 0.0708, </w:t>
      </w:r>
      <w:r w:rsidRPr="00687002">
        <w:rPr>
          <w:rFonts w:ascii="Times New Roman" w:hAnsi="Times New Roman"/>
          <w:i/>
          <w:sz w:val="20"/>
          <w:szCs w:val="20"/>
          <w:lang w:val="en-GB"/>
        </w:rPr>
        <w:t>R</w:t>
      </w:r>
      <w:r w:rsidRPr="00687002">
        <w:rPr>
          <w:rFonts w:ascii="Times New Roman" w:hAnsi="Times New Roman"/>
          <w:i/>
          <w:sz w:val="20"/>
          <w:szCs w:val="20"/>
          <w:vertAlign w:val="superscript"/>
          <w:lang w:val="en-GB"/>
        </w:rPr>
        <w:t>2</w:t>
      </w:r>
      <w:r w:rsidRPr="00687002">
        <w:rPr>
          <w:rFonts w:ascii="Times New Roman" w:hAnsi="Times New Roman"/>
          <w:sz w:val="20"/>
          <w:szCs w:val="20"/>
          <w:lang w:val="en-GB"/>
        </w:rPr>
        <w:t xml:space="preserve"> = 0.9992) as shown in Figure 4</w:t>
      </w:r>
      <w:r w:rsidRPr="00687002">
        <w:rPr>
          <w:rFonts w:ascii="Times New Roman" w:hAnsi="Times New Roman"/>
          <w:b/>
          <w:sz w:val="20"/>
          <w:szCs w:val="20"/>
          <w:lang w:val="en-GB"/>
        </w:rPr>
        <w:t xml:space="preserve"> </w:t>
      </w:r>
      <w:r w:rsidRPr="00687002">
        <w:rPr>
          <w:rFonts w:ascii="Times New Roman" w:hAnsi="Times New Roman"/>
          <w:sz w:val="20"/>
          <w:szCs w:val="20"/>
          <w:lang w:val="en-GB"/>
        </w:rPr>
        <w:t>and expressed as mM FRAP equivalent to FeSO</w:t>
      </w:r>
      <w:r w:rsidRPr="00687002">
        <w:rPr>
          <w:rFonts w:ascii="Times New Roman" w:hAnsi="Times New Roman"/>
          <w:sz w:val="20"/>
          <w:szCs w:val="20"/>
          <w:vertAlign w:val="subscript"/>
          <w:lang w:val="en-GB"/>
        </w:rPr>
        <w:t>4</w:t>
      </w:r>
      <w:r w:rsidRPr="00687002">
        <w:rPr>
          <w:rFonts w:ascii="Times New Roman" w:hAnsi="Times New Roman"/>
          <w:sz w:val="20"/>
          <w:szCs w:val="20"/>
          <w:lang w:val="en-GB"/>
        </w:rPr>
        <w:t>.7H</w:t>
      </w:r>
      <w:r w:rsidRPr="00687002">
        <w:rPr>
          <w:rFonts w:ascii="Times New Roman" w:hAnsi="Times New Roman"/>
          <w:sz w:val="20"/>
          <w:szCs w:val="20"/>
          <w:vertAlign w:val="subscript"/>
          <w:lang w:val="en-GB"/>
        </w:rPr>
        <w:t>2</w:t>
      </w:r>
      <w:r w:rsidRPr="00687002">
        <w:rPr>
          <w:rFonts w:ascii="Times New Roman" w:hAnsi="Times New Roman"/>
          <w:sz w:val="20"/>
          <w:szCs w:val="20"/>
          <w:lang w:val="en-GB"/>
        </w:rPr>
        <w:t xml:space="preserve">O. </w:t>
      </w:r>
    </w:p>
    <w:p w:rsidR="00687002" w:rsidRPr="00687002" w:rsidRDefault="00687002" w:rsidP="004E2E3D">
      <w:pPr>
        <w:spacing w:after="120" w:line="240" w:lineRule="auto"/>
        <w:jc w:val="both"/>
        <w:rPr>
          <w:rFonts w:ascii="Times New Roman" w:hAnsi="Times New Roman"/>
          <w:sz w:val="20"/>
          <w:szCs w:val="20"/>
        </w:rPr>
      </w:pPr>
    </w:p>
    <w:p w:rsidR="00687002" w:rsidRPr="00687002" w:rsidRDefault="00687002" w:rsidP="004E2E3D">
      <w:pPr>
        <w:spacing w:after="120" w:line="240" w:lineRule="auto"/>
        <w:jc w:val="center"/>
        <w:rPr>
          <w:rFonts w:ascii="Times New Roman" w:hAnsi="Times New Roman"/>
          <w:sz w:val="20"/>
          <w:szCs w:val="20"/>
        </w:rPr>
      </w:pPr>
      <w:r w:rsidRPr="00687002">
        <w:rPr>
          <w:rFonts w:ascii="Times New Roman" w:hAnsi="Times New Roman"/>
          <w:noProof/>
          <w:sz w:val="20"/>
          <w:szCs w:val="20"/>
          <w:lang w:bidi="ar-SA"/>
        </w:rPr>
        <w:drawing>
          <wp:inline distT="0" distB="0" distL="0" distR="0" wp14:anchorId="11093867" wp14:editId="29C57F77">
            <wp:extent cx="2743200" cy="2194560"/>
            <wp:effectExtent l="0" t="0" r="1905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87002" w:rsidRPr="00687002" w:rsidRDefault="00687002" w:rsidP="004E2E3D">
      <w:pPr>
        <w:autoSpaceDE w:val="0"/>
        <w:autoSpaceDN w:val="0"/>
        <w:adjustRightInd w:val="0"/>
        <w:spacing w:after="0" w:line="240" w:lineRule="auto"/>
        <w:jc w:val="center"/>
        <w:rPr>
          <w:rFonts w:ascii="Times New Roman" w:hAnsi="Times New Roman"/>
          <w:sz w:val="20"/>
          <w:szCs w:val="20"/>
        </w:rPr>
      </w:pPr>
      <w:r w:rsidRPr="00687002">
        <w:rPr>
          <w:rFonts w:ascii="Times New Roman" w:hAnsi="Times New Roman"/>
          <w:sz w:val="20"/>
          <w:szCs w:val="20"/>
        </w:rPr>
        <w:t xml:space="preserve">Figure 4. </w:t>
      </w:r>
      <w:r w:rsidR="004E2E3D">
        <w:rPr>
          <w:rFonts w:ascii="Times New Roman" w:hAnsi="Times New Roman"/>
          <w:sz w:val="20"/>
          <w:szCs w:val="20"/>
        </w:rPr>
        <w:t xml:space="preserve"> </w:t>
      </w:r>
      <w:r w:rsidRPr="00687002">
        <w:rPr>
          <w:rFonts w:ascii="Times New Roman" w:hAnsi="Times New Roman"/>
          <w:sz w:val="20"/>
          <w:szCs w:val="20"/>
        </w:rPr>
        <w:t>FeSO</w:t>
      </w:r>
      <w:r w:rsidRPr="00687002">
        <w:rPr>
          <w:rFonts w:ascii="Times New Roman" w:hAnsi="Times New Roman"/>
          <w:sz w:val="20"/>
          <w:szCs w:val="20"/>
          <w:vertAlign w:val="subscript"/>
        </w:rPr>
        <w:t>4</w:t>
      </w:r>
      <w:r w:rsidRPr="00687002">
        <w:rPr>
          <w:rFonts w:ascii="Times New Roman" w:hAnsi="Times New Roman"/>
          <w:sz w:val="20"/>
          <w:szCs w:val="20"/>
        </w:rPr>
        <w:t>.7H</w:t>
      </w:r>
      <w:r w:rsidRPr="00687002">
        <w:rPr>
          <w:rFonts w:ascii="Times New Roman" w:hAnsi="Times New Roman"/>
          <w:sz w:val="20"/>
          <w:szCs w:val="20"/>
          <w:vertAlign w:val="subscript"/>
        </w:rPr>
        <w:t>2</w:t>
      </w:r>
      <w:r w:rsidRPr="00687002">
        <w:rPr>
          <w:rFonts w:ascii="Times New Roman" w:hAnsi="Times New Roman"/>
          <w:sz w:val="20"/>
          <w:szCs w:val="20"/>
        </w:rPr>
        <w:t>O standard calibration curve</w:t>
      </w:r>
    </w:p>
    <w:p w:rsidR="00687002" w:rsidRPr="00687002" w:rsidRDefault="00687002" w:rsidP="004E2E3D">
      <w:pPr>
        <w:spacing w:after="120" w:line="240" w:lineRule="auto"/>
        <w:jc w:val="both"/>
        <w:rPr>
          <w:rFonts w:ascii="Times New Roman" w:hAnsi="Times New Roman"/>
          <w:sz w:val="20"/>
          <w:szCs w:val="20"/>
        </w:rPr>
      </w:pPr>
    </w:p>
    <w:p w:rsidR="00687002" w:rsidRPr="00687002" w:rsidRDefault="00687002" w:rsidP="00687002">
      <w:pPr>
        <w:spacing w:after="0" w:line="240" w:lineRule="auto"/>
        <w:jc w:val="both"/>
        <w:rPr>
          <w:rFonts w:ascii="Times New Roman" w:hAnsi="Times New Roman"/>
          <w:sz w:val="20"/>
          <w:szCs w:val="20"/>
          <w:lang w:val="en-GB"/>
        </w:rPr>
      </w:pPr>
      <w:r w:rsidRPr="00687002">
        <w:rPr>
          <w:rFonts w:ascii="Times New Roman" w:hAnsi="Times New Roman"/>
          <w:sz w:val="20"/>
          <w:szCs w:val="20"/>
          <w:lang w:val="en-GB"/>
        </w:rPr>
        <w:t xml:space="preserve">The FRAP values of the crude extracts for the concentrations of 1.0, 0.8, 0.6, 0.4, 0.2 and 0.1 mM were summarised in Table 3. The trend for ferric ion reducing activities of the dichloromethane, ethyl acetate and methanol extracts from the barks and leaves of </w:t>
      </w:r>
      <w:r w:rsidRPr="00687002">
        <w:rPr>
          <w:rFonts w:ascii="Times New Roman" w:hAnsi="Times New Roman"/>
          <w:i/>
          <w:sz w:val="20"/>
          <w:szCs w:val="20"/>
          <w:lang w:val="en-GB"/>
        </w:rPr>
        <w:t xml:space="preserve">C. incrassatum </w:t>
      </w:r>
      <w:r w:rsidRPr="00687002">
        <w:rPr>
          <w:rFonts w:ascii="Times New Roman" w:hAnsi="Times New Roman"/>
          <w:sz w:val="20"/>
          <w:szCs w:val="20"/>
          <w:lang w:val="en-GB"/>
        </w:rPr>
        <w:t xml:space="preserve">and </w:t>
      </w:r>
      <w:r w:rsidRPr="00687002">
        <w:rPr>
          <w:rFonts w:ascii="Times New Roman" w:hAnsi="Times New Roman"/>
          <w:i/>
          <w:sz w:val="20"/>
          <w:szCs w:val="20"/>
          <w:lang w:val="en-GB"/>
        </w:rPr>
        <w:t>C. ferrugineum</w:t>
      </w:r>
      <w:r w:rsidRPr="00687002">
        <w:rPr>
          <w:rFonts w:ascii="Times New Roman" w:hAnsi="Times New Roman"/>
          <w:sz w:val="20"/>
          <w:szCs w:val="20"/>
          <w:lang w:val="en-GB"/>
        </w:rPr>
        <w:t xml:space="preserve"> are illustrated in Figures 5-7, respectively</w:t>
      </w:r>
      <w:r w:rsidRPr="00687002">
        <w:rPr>
          <w:rFonts w:ascii="Times New Roman" w:hAnsi="Times New Roman"/>
          <w:i/>
          <w:sz w:val="20"/>
          <w:szCs w:val="20"/>
          <w:lang w:val="en-GB"/>
        </w:rPr>
        <w:t>.</w:t>
      </w:r>
      <w:r w:rsidRPr="00687002">
        <w:rPr>
          <w:rFonts w:ascii="Times New Roman" w:hAnsi="Times New Roman"/>
          <w:sz w:val="20"/>
          <w:szCs w:val="20"/>
          <w:lang w:val="en-GB"/>
        </w:rPr>
        <w:t xml:space="preserve"> The </w:t>
      </w:r>
      <w:r w:rsidRPr="00687002">
        <w:rPr>
          <w:rFonts w:ascii="Times New Roman" w:hAnsi="Times New Roman"/>
          <w:sz w:val="20"/>
          <w:szCs w:val="20"/>
          <w:lang w:val="en-GB"/>
        </w:rPr>
        <w:lastRenderedPageBreak/>
        <w:t xml:space="preserve">methanol extracts showed the highest reducing activities followed by ethyl acetate and dichloromethane extracts for all </w:t>
      </w:r>
      <w:r w:rsidRPr="00687002">
        <w:rPr>
          <w:rFonts w:ascii="Times New Roman" w:hAnsi="Times New Roman"/>
          <w:i/>
          <w:sz w:val="20"/>
          <w:szCs w:val="20"/>
          <w:lang w:val="en-GB"/>
        </w:rPr>
        <w:t>Calophyllum</w:t>
      </w:r>
      <w:r w:rsidRPr="00687002">
        <w:rPr>
          <w:rFonts w:ascii="Times New Roman" w:hAnsi="Times New Roman"/>
          <w:sz w:val="20"/>
          <w:szCs w:val="20"/>
          <w:lang w:val="en-GB"/>
        </w:rPr>
        <w:t xml:space="preserve"> species. Similar trend was observed for the total phenolic content determination as discussed earlier. Thus, it can be deduced that high concentration of phenolic compounds in more polar extracts acts as reducing agent in this FRAP assay. </w:t>
      </w:r>
    </w:p>
    <w:p w:rsidR="00687002" w:rsidRPr="00687002" w:rsidRDefault="00687002" w:rsidP="004E2E3D">
      <w:pPr>
        <w:spacing w:after="120" w:line="240" w:lineRule="auto"/>
        <w:jc w:val="both"/>
        <w:rPr>
          <w:rFonts w:ascii="Times New Roman" w:hAnsi="Times New Roman"/>
          <w:sz w:val="20"/>
          <w:szCs w:val="20"/>
        </w:rPr>
      </w:pPr>
    </w:p>
    <w:p w:rsidR="00687002" w:rsidRPr="00687002" w:rsidRDefault="00687002" w:rsidP="004E2E3D">
      <w:pPr>
        <w:spacing w:after="120" w:line="240" w:lineRule="auto"/>
        <w:jc w:val="center"/>
        <w:rPr>
          <w:rFonts w:ascii="Times New Roman" w:hAnsi="Times New Roman"/>
          <w:sz w:val="20"/>
          <w:szCs w:val="20"/>
        </w:rPr>
      </w:pPr>
      <w:r w:rsidRPr="00687002">
        <w:rPr>
          <w:rFonts w:ascii="Times New Roman" w:hAnsi="Times New Roman"/>
          <w:sz w:val="20"/>
          <w:szCs w:val="20"/>
        </w:rPr>
        <w:t xml:space="preserve">Table 3. </w:t>
      </w:r>
      <w:r w:rsidR="004E2E3D">
        <w:rPr>
          <w:rFonts w:ascii="Times New Roman" w:hAnsi="Times New Roman"/>
          <w:sz w:val="20"/>
          <w:szCs w:val="20"/>
        </w:rPr>
        <w:t xml:space="preserve"> </w:t>
      </w:r>
      <w:r w:rsidRPr="00687002">
        <w:rPr>
          <w:rFonts w:ascii="Times New Roman" w:hAnsi="Times New Roman"/>
          <w:sz w:val="20"/>
          <w:szCs w:val="20"/>
        </w:rPr>
        <w:t xml:space="preserve">FRAP equivalent of the extracts from </w:t>
      </w:r>
      <w:r w:rsidRPr="00687002">
        <w:rPr>
          <w:rFonts w:ascii="Times New Roman" w:hAnsi="Times New Roman"/>
          <w:i/>
          <w:sz w:val="20"/>
          <w:szCs w:val="20"/>
        </w:rPr>
        <w:t>Calophyllum</w:t>
      </w:r>
      <w:r w:rsidRPr="00687002">
        <w:rPr>
          <w:rFonts w:ascii="Times New Roman" w:hAnsi="Times New Roman"/>
          <w:sz w:val="20"/>
          <w:szCs w:val="20"/>
        </w:rPr>
        <w:t xml:space="preserve"> species</w:t>
      </w:r>
    </w:p>
    <w:tbl>
      <w:tblPr>
        <w:tblW w:w="0" w:type="auto"/>
        <w:jc w:val="center"/>
        <w:tblBorders>
          <w:top w:val="single" w:sz="4" w:space="0" w:color="auto"/>
          <w:bottom w:val="single" w:sz="4" w:space="0" w:color="auto"/>
        </w:tblBorders>
        <w:tblLook w:val="04A0" w:firstRow="1" w:lastRow="0" w:firstColumn="1" w:lastColumn="0" w:noHBand="0" w:noVBand="1"/>
      </w:tblPr>
      <w:tblGrid>
        <w:gridCol w:w="1956"/>
        <w:gridCol w:w="1126"/>
        <w:gridCol w:w="1126"/>
        <w:gridCol w:w="1126"/>
        <w:gridCol w:w="1126"/>
        <w:gridCol w:w="1126"/>
        <w:gridCol w:w="1126"/>
      </w:tblGrid>
      <w:tr w:rsidR="00687002" w:rsidRPr="00687002" w:rsidTr="00687002">
        <w:trPr>
          <w:trHeight w:val="299"/>
          <w:jc w:val="center"/>
        </w:trPr>
        <w:tc>
          <w:tcPr>
            <w:tcW w:w="0" w:type="auto"/>
            <w:vMerge w:val="restart"/>
            <w:tcBorders>
              <w:top w:val="single" w:sz="4" w:space="0" w:color="auto"/>
              <w:bottom w:val="single" w:sz="4" w:space="0" w:color="auto"/>
              <w:right w:val="nil"/>
            </w:tcBorders>
            <w:shd w:val="clear" w:color="auto" w:fill="auto"/>
            <w:noWrap/>
            <w:vAlign w:val="center"/>
            <w:hideMark/>
          </w:tcPr>
          <w:p w:rsidR="00687002" w:rsidRPr="00687002" w:rsidRDefault="00687002" w:rsidP="00687002">
            <w:pPr>
              <w:spacing w:after="0" w:line="240" w:lineRule="auto"/>
              <w:jc w:val="both"/>
              <w:rPr>
                <w:rFonts w:ascii="Times New Roman" w:hAnsi="Times New Roman"/>
                <w:b/>
                <w:sz w:val="20"/>
                <w:szCs w:val="20"/>
              </w:rPr>
            </w:pPr>
            <w:r w:rsidRPr="00687002">
              <w:rPr>
                <w:rFonts w:ascii="Times New Roman" w:hAnsi="Times New Roman"/>
                <w:b/>
                <w:i/>
                <w:sz w:val="20"/>
                <w:szCs w:val="20"/>
              </w:rPr>
              <w:t xml:space="preserve">Calophyllum </w:t>
            </w:r>
            <w:r w:rsidRPr="00687002">
              <w:rPr>
                <w:rFonts w:ascii="Times New Roman" w:hAnsi="Times New Roman"/>
                <w:b/>
                <w:sz w:val="20"/>
                <w:szCs w:val="20"/>
              </w:rPr>
              <w:t>Species</w:t>
            </w:r>
          </w:p>
        </w:tc>
        <w:tc>
          <w:tcPr>
            <w:tcW w:w="0" w:type="auto"/>
            <w:gridSpan w:val="6"/>
            <w:tcBorders>
              <w:top w:val="single" w:sz="4" w:space="0" w:color="auto"/>
              <w:left w:val="nil"/>
              <w:bottom w:val="single" w:sz="4" w:space="0" w:color="auto"/>
            </w:tcBorders>
            <w:shd w:val="clear" w:color="auto" w:fill="auto"/>
            <w:vAlign w:val="center"/>
          </w:tcPr>
          <w:p w:rsidR="00687002" w:rsidRPr="00687002" w:rsidRDefault="00687002" w:rsidP="004E2E3D">
            <w:pPr>
              <w:spacing w:before="60" w:after="0" w:line="240" w:lineRule="auto"/>
              <w:jc w:val="center"/>
              <w:rPr>
                <w:rFonts w:ascii="Times New Roman" w:hAnsi="Times New Roman"/>
                <w:b/>
                <w:sz w:val="20"/>
                <w:szCs w:val="20"/>
              </w:rPr>
            </w:pPr>
            <w:r w:rsidRPr="00687002">
              <w:rPr>
                <w:rFonts w:ascii="Times New Roman" w:hAnsi="Times New Roman"/>
                <w:b/>
                <w:sz w:val="20"/>
                <w:szCs w:val="20"/>
              </w:rPr>
              <w:t>FRAP Equivalent to FeSO</w:t>
            </w:r>
            <w:r w:rsidRPr="00687002">
              <w:rPr>
                <w:rFonts w:ascii="Times New Roman" w:hAnsi="Times New Roman"/>
                <w:b/>
                <w:sz w:val="20"/>
                <w:szCs w:val="20"/>
                <w:vertAlign w:val="subscript"/>
              </w:rPr>
              <w:t>4</w:t>
            </w:r>
            <w:r w:rsidRPr="00687002">
              <w:rPr>
                <w:rFonts w:ascii="Times New Roman" w:hAnsi="Times New Roman"/>
                <w:b/>
                <w:sz w:val="20"/>
                <w:szCs w:val="20"/>
              </w:rPr>
              <w:t>.7H</w:t>
            </w:r>
            <w:r w:rsidRPr="00687002">
              <w:rPr>
                <w:rFonts w:ascii="Times New Roman" w:hAnsi="Times New Roman"/>
                <w:b/>
                <w:sz w:val="20"/>
                <w:szCs w:val="20"/>
                <w:vertAlign w:val="subscript"/>
              </w:rPr>
              <w:t>2</w:t>
            </w:r>
            <w:r w:rsidRPr="00687002">
              <w:rPr>
                <w:rFonts w:ascii="Times New Roman" w:hAnsi="Times New Roman"/>
                <w:b/>
                <w:sz w:val="20"/>
                <w:szCs w:val="20"/>
              </w:rPr>
              <w:t>O (mM)</w:t>
            </w:r>
            <w:r w:rsidRPr="00687002">
              <w:rPr>
                <w:rFonts w:ascii="Times New Roman" w:hAnsi="Times New Roman"/>
                <w:b/>
                <w:sz w:val="20"/>
                <w:szCs w:val="20"/>
                <w:vertAlign w:val="superscript"/>
              </w:rPr>
              <w:t>a</w:t>
            </w:r>
          </w:p>
        </w:tc>
      </w:tr>
      <w:tr w:rsidR="00687002" w:rsidRPr="00687002" w:rsidTr="00687002">
        <w:trPr>
          <w:trHeight w:val="299"/>
          <w:jc w:val="center"/>
        </w:trPr>
        <w:tc>
          <w:tcPr>
            <w:tcW w:w="0" w:type="auto"/>
            <w:vMerge/>
            <w:tcBorders>
              <w:top w:val="single" w:sz="4" w:space="0" w:color="auto"/>
              <w:bottom w:val="single" w:sz="4" w:space="0" w:color="auto"/>
              <w:right w:val="nil"/>
            </w:tcBorders>
            <w:shd w:val="clear" w:color="auto" w:fill="auto"/>
            <w:noWrap/>
            <w:hideMark/>
          </w:tcPr>
          <w:p w:rsidR="00687002" w:rsidRPr="00687002" w:rsidRDefault="00687002" w:rsidP="00687002">
            <w:pPr>
              <w:spacing w:after="0" w:line="240" w:lineRule="auto"/>
              <w:jc w:val="both"/>
              <w:rPr>
                <w:rFonts w:ascii="Times New Roman" w:hAnsi="Times New Roman"/>
                <w:b/>
                <w:sz w:val="20"/>
                <w:szCs w:val="20"/>
              </w:rPr>
            </w:pPr>
          </w:p>
        </w:tc>
        <w:tc>
          <w:tcPr>
            <w:tcW w:w="0" w:type="auto"/>
            <w:tcBorders>
              <w:top w:val="single" w:sz="4" w:space="0" w:color="auto"/>
              <w:left w:val="nil"/>
              <w:bottom w:val="single" w:sz="4" w:space="0" w:color="auto"/>
              <w:right w:val="nil"/>
            </w:tcBorders>
            <w:shd w:val="clear" w:color="auto" w:fill="auto"/>
            <w:vAlign w:val="center"/>
          </w:tcPr>
          <w:p w:rsidR="00687002" w:rsidRPr="00687002" w:rsidRDefault="00687002" w:rsidP="004E2E3D">
            <w:pPr>
              <w:spacing w:after="60" w:line="240" w:lineRule="auto"/>
              <w:jc w:val="center"/>
              <w:rPr>
                <w:rFonts w:ascii="Times New Roman" w:hAnsi="Times New Roman"/>
                <w:b/>
                <w:sz w:val="20"/>
                <w:szCs w:val="20"/>
              </w:rPr>
            </w:pPr>
            <w:r w:rsidRPr="00687002">
              <w:rPr>
                <w:rFonts w:ascii="Times New Roman" w:hAnsi="Times New Roman"/>
                <w:b/>
                <w:sz w:val="20"/>
                <w:szCs w:val="20"/>
              </w:rPr>
              <w:t>1.0</w:t>
            </w:r>
          </w:p>
        </w:tc>
        <w:tc>
          <w:tcPr>
            <w:tcW w:w="0" w:type="auto"/>
            <w:tcBorders>
              <w:top w:val="single" w:sz="4" w:space="0" w:color="auto"/>
              <w:left w:val="nil"/>
              <w:bottom w:val="single" w:sz="4" w:space="0" w:color="auto"/>
              <w:right w:val="nil"/>
            </w:tcBorders>
          </w:tcPr>
          <w:p w:rsidR="00687002" w:rsidRPr="00687002" w:rsidRDefault="00687002" w:rsidP="004E2E3D">
            <w:pPr>
              <w:spacing w:after="60" w:line="240" w:lineRule="auto"/>
              <w:jc w:val="center"/>
              <w:rPr>
                <w:rFonts w:ascii="Times New Roman" w:hAnsi="Times New Roman"/>
                <w:b/>
                <w:sz w:val="20"/>
                <w:szCs w:val="20"/>
              </w:rPr>
            </w:pPr>
            <w:r w:rsidRPr="00687002">
              <w:rPr>
                <w:rFonts w:ascii="Times New Roman" w:hAnsi="Times New Roman"/>
                <w:b/>
                <w:sz w:val="20"/>
                <w:szCs w:val="20"/>
              </w:rPr>
              <w:t>0.8</w:t>
            </w:r>
          </w:p>
        </w:tc>
        <w:tc>
          <w:tcPr>
            <w:tcW w:w="0" w:type="auto"/>
            <w:tcBorders>
              <w:top w:val="single" w:sz="4" w:space="0" w:color="auto"/>
              <w:left w:val="nil"/>
              <w:bottom w:val="single" w:sz="4" w:space="0" w:color="auto"/>
              <w:right w:val="nil"/>
            </w:tcBorders>
            <w:shd w:val="clear" w:color="auto" w:fill="auto"/>
            <w:vAlign w:val="center"/>
          </w:tcPr>
          <w:p w:rsidR="00687002" w:rsidRPr="00687002" w:rsidRDefault="00687002" w:rsidP="004E2E3D">
            <w:pPr>
              <w:spacing w:after="60" w:line="240" w:lineRule="auto"/>
              <w:jc w:val="center"/>
              <w:rPr>
                <w:rFonts w:ascii="Times New Roman" w:hAnsi="Times New Roman"/>
                <w:b/>
                <w:sz w:val="20"/>
                <w:szCs w:val="20"/>
              </w:rPr>
            </w:pPr>
            <w:r w:rsidRPr="00687002">
              <w:rPr>
                <w:rFonts w:ascii="Times New Roman" w:hAnsi="Times New Roman"/>
                <w:b/>
                <w:sz w:val="20"/>
                <w:szCs w:val="20"/>
              </w:rPr>
              <w:t>0.6</w:t>
            </w:r>
          </w:p>
        </w:tc>
        <w:tc>
          <w:tcPr>
            <w:tcW w:w="0" w:type="auto"/>
            <w:tcBorders>
              <w:top w:val="single" w:sz="4" w:space="0" w:color="auto"/>
              <w:left w:val="nil"/>
              <w:bottom w:val="single" w:sz="4" w:space="0" w:color="auto"/>
            </w:tcBorders>
            <w:shd w:val="clear" w:color="auto" w:fill="auto"/>
            <w:vAlign w:val="center"/>
          </w:tcPr>
          <w:p w:rsidR="00687002" w:rsidRPr="00687002" w:rsidRDefault="00687002" w:rsidP="004E2E3D">
            <w:pPr>
              <w:spacing w:after="60" w:line="240" w:lineRule="auto"/>
              <w:jc w:val="center"/>
              <w:rPr>
                <w:rFonts w:ascii="Times New Roman" w:hAnsi="Times New Roman"/>
                <w:b/>
                <w:sz w:val="20"/>
                <w:szCs w:val="20"/>
              </w:rPr>
            </w:pPr>
            <w:r w:rsidRPr="00687002">
              <w:rPr>
                <w:rFonts w:ascii="Times New Roman" w:hAnsi="Times New Roman"/>
                <w:b/>
                <w:sz w:val="20"/>
                <w:szCs w:val="20"/>
              </w:rPr>
              <w:t>0.4</w:t>
            </w:r>
          </w:p>
        </w:tc>
        <w:tc>
          <w:tcPr>
            <w:tcW w:w="0" w:type="auto"/>
            <w:tcBorders>
              <w:top w:val="single" w:sz="4" w:space="0" w:color="auto"/>
              <w:left w:val="nil"/>
              <w:bottom w:val="single" w:sz="4" w:space="0" w:color="auto"/>
            </w:tcBorders>
          </w:tcPr>
          <w:p w:rsidR="00687002" w:rsidRPr="00687002" w:rsidRDefault="00687002" w:rsidP="004E2E3D">
            <w:pPr>
              <w:spacing w:after="60" w:line="240" w:lineRule="auto"/>
              <w:jc w:val="center"/>
              <w:rPr>
                <w:rFonts w:ascii="Times New Roman" w:hAnsi="Times New Roman"/>
                <w:b/>
                <w:sz w:val="20"/>
                <w:szCs w:val="20"/>
              </w:rPr>
            </w:pPr>
            <w:r w:rsidRPr="00687002">
              <w:rPr>
                <w:rFonts w:ascii="Times New Roman" w:hAnsi="Times New Roman"/>
                <w:b/>
                <w:sz w:val="20"/>
                <w:szCs w:val="20"/>
              </w:rPr>
              <w:t>0.2</w:t>
            </w:r>
          </w:p>
        </w:tc>
        <w:tc>
          <w:tcPr>
            <w:tcW w:w="0" w:type="auto"/>
            <w:tcBorders>
              <w:top w:val="single" w:sz="4" w:space="0" w:color="auto"/>
              <w:left w:val="nil"/>
              <w:bottom w:val="single" w:sz="4" w:space="0" w:color="auto"/>
            </w:tcBorders>
          </w:tcPr>
          <w:p w:rsidR="00687002" w:rsidRPr="00687002" w:rsidRDefault="00687002" w:rsidP="004E2E3D">
            <w:pPr>
              <w:spacing w:after="60" w:line="240" w:lineRule="auto"/>
              <w:jc w:val="center"/>
              <w:rPr>
                <w:rFonts w:ascii="Times New Roman" w:hAnsi="Times New Roman"/>
                <w:b/>
                <w:sz w:val="20"/>
                <w:szCs w:val="20"/>
              </w:rPr>
            </w:pPr>
            <w:r w:rsidRPr="00687002">
              <w:rPr>
                <w:rFonts w:ascii="Times New Roman" w:hAnsi="Times New Roman"/>
                <w:b/>
                <w:sz w:val="20"/>
                <w:szCs w:val="20"/>
              </w:rPr>
              <w:t>0.1</w:t>
            </w:r>
          </w:p>
        </w:tc>
      </w:tr>
      <w:tr w:rsidR="00687002" w:rsidRPr="00687002" w:rsidTr="00687002">
        <w:trPr>
          <w:trHeight w:val="299"/>
          <w:jc w:val="center"/>
        </w:trPr>
        <w:tc>
          <w:tcPr>
            <w:tcW w:w="0" w:type="auto"/>
            <w:tcBorders>
              <w:top w:val="single" w:sz="4" w:space="0" w:color="auto"/>
              <w:bottom w:val="single" w:sz="4" w:space="0" w:color="auto"/>
              <w:right w:val="nil"/>
            </w:tcBorders>
            <w:shd w:val="clear" w:color="auto" w:fill="auto"/>
            <w:noWrap/>
          </w:tcPr>
          <w:p w:rsidR="00687002" w:rsidRPr="00687002" w:rsidRDefault="00687002" w:rsidP="004E2E3D">
            <w:pPr>
              <w:spacing w:before="60" w:after="60" w:line="240" w:lineRule="auto"/>
              <w:jc w:val="both"/>
              <w:rPr>
                <w:rFonts w:ascii="Times New Roman" w:hAnsi="Times New Roman"/>
                <w:b/>
                <w:sz w:val="20"/>
                <w:szCs w:val="20"/>
              </w:rPr>
            </w:pPr>
            <w:r w:rsidRPr="00687002">
              <w:rPr>
                <w:rFonts w:ascii="Times New Roman" w:hAnsi="Times New Roman"/>
                <w:i/>
                <w:sz w:val="20"/>
                <w:szCs w:val="20"/>
              </w:rPr>
              <w:t>C. ferrugineum</w:t>
            </w:r>
          </w:p>
        </w:tc>
        <w:tc>
          <w:tcPr>
            <w:tcW w:w="0" w:type="auto"/>
            <w:tcBorders>
              <w:top w:val="single" w:sz="4" w:space="0" w:color="auto"/>
              <w:left w:val="nil"/>
              <w:bottom w:val="single" w:sz="4" w:space="0" w:color="auto"/>
              <w:right w:val="nil"/>
            </w:tcBorders>
            <w:shd w:val="clear" w:color="auto" w:fill="auto"/>
            <w:vAlign w:val="center"/>
          </w:tcPr>
          <w:p w:rsidR="00687002" w:rsidRPr="00687002" w:rsidRDefault="00687002" w:rsidP="00687002">
            <w:pPr>
              <w:spacing w:after="0" w:line="240" w:lineRule="auto"/>
              <w:jc w:val="both"/>
              <w:rPr>
                <w:rFonts w:ascii="Times New Roman" w:hAnsi="Times New Roman"/>
                <w:b/>
                <w:sz w:val="20"/>
                <w:szCs w:val="20"/>
              </w:rPr>
            </w:pPr>
          </w:p>
        </w:tc>
        <w:tc>
          <w:tcPr>
            <w:tcW w:w="0" w:type="auto"/>
            <w:tcBorders>
              <w:top w:val="single" w:sz="4" w:space="0" w:color="auto"/>
              <w:left w:val="nil"/>
              <w:bottom w:val="single" w:sz="4" w:space="0" w:color="auto"/>
              <w:right w:val="nil"/>
            </w:tcBorders>
          </w:tcPr>
          <w:p w:rsidR="00687002" w:rsidRPr="00687002" w:rsidRDefault="00687002" w:rsidP="00687002">
            <w:pPr>
              <w:spacing w:after="0" w:line="240" w:lineRule="auto"/>
              <w:jc w:val="both"/>
              <w:rPr>
                <w:rFonts w:ascii="Times New Roman" w:hAnsi="Times New Roman"/>
                <w:b/>
                <w:sz w:val="20"/>
                <w:szCs w:val="20"/>
              </w:rPr>
            </w:pPr>
          </w:p>
        </w:tc>
        <w:tc>
          <w:tcPr>
            <w:tcW w:w="0" w:type="auto"/>
            <w:tcBorders>
              <w:top w:val="single" w:sz="4" w:space="0" w:color="auto"/>
              <w:left w:val="nil"/>
              <w:bottom w:val="single" w:sz="4" w:space="0" w:color="auto"/>
              <w:right w:val="nil"/>
            </w:tcBorders>
            <w:shd w:val="clear" w:color="auto" w:fill="auto"/>
            <w:vAlign w:val="center"/>
          </w:tcPr>
          <w:p w:rsidR="00687002" w:rsidRPr="00687002" w:rsidRDefault="00687002" w:rsidP="00687002">
            <w:pPr>
              <w:spacing w:after="0" w:line="240" w:lineRule="auto"/>
              <w:jc w:val="both"/>
              <w:rPr>
                <w:rFonts w:ascii="Times New Roman" w:hAnsi="Times New Roman"/>
                <w:b/>
                <w:sz w:val="20"/>
                <w:szCs w:val="20"/>
              </w:rPr>
            </w:pPr>
          </w:p>
        </w:tc>
        <w:tc>
          <w:tcPr>
            <w:tcW w:w="0" w:type="auto"/>
            <w:tcBorders>
              <w:top w:val="single" w:sz="4" w:space="0" w:color="auto"/>
              <w:left w:val="nil"/>
              <w:bottom w:val="single" w:sz="4" w:space="0" w:color="auto"/>
            </w:tcBorders>
            <w:shd w:val="clear" w:color="auto" w:fill="auto"/>
            <w:vAlign w:val="center"/>
          </w:tcPr>
          <w:p w:rsidR="00687002" w:rsidRPr="00687002" w:rsidRDefault="00687002" w:rsidP="00687002">
            <w:pPr>
              <w:spacing w:after="0" w:line="240" w:lineRule="auto"/>
              <w:jc w:val="both"/>
              <w:rPr>
                <w:rFonts w:ascii="Times New Roman" w:hAnsi="Times New Roman"/>
                <w:b/>
                <w:sz w:val="20"/>
                <w:szCs w:val="20"/>
              </w:rPr>
            </w:pPr>
          </w:p>
        </w:tc>
        <w:tc>
          <w:tcPr>
            <w:tcW w:w="0" w:type="auto"/>
            <w:tcBorders>
              <w:top w:val="single" w:sz="4" w:space="0" w:color="auto"/>
              <w:left w:val="nil"/>
              <w:bottom w:val="single" w:sz="4" w:space="0" w:color="auto"/>
            </w:tcBorders>
          </w:tcPr>
          <w:p w:rsidR="00687002" w:rsidRPr="00687002" w:rsidRDefault="00687002" w:rsidP="00687002">
            <w:pPr>
              <w:spacing w:after="0" w:line="240" w:lineRule="auto"/>
              <w:jc w:val="both"/>
              <w:rPr>
                <w:rFonts w:ascii="Times New Roman" w:hAnsi="Times New Roman"/>
                <w:b/>
                <w:sz w:val="20"/>
                <w:szCs w:val="20"/>
              </w:rPr>
            </w:pPr>
          </w:p>
        </w:tc>
        <w:tc>
          <w:tcPr>
            <w:tcW w:w="0" w:type="auto"/>
            <w:tcBorders>
              <w:top w:val="single" w:sz="4" w:space="0" w:color="auto"/>
              <w:left w:val="nil"/>
              <w:bottom w:val="single" w:sz="4" w:space="0" w:color="auto"/>
            </w:tcBorders>
          </w:tcPr>
          <w:p w:rsidR="00687002" w:rsidRPr="00687002" w:rsidRDefault="00687002" w:rsidP="00687002">
            <w:pPr>
              <w:spacing w:after="0" w:line="240" w:lineRule="auto"/>
              <w:jc w:val="both"/>
              <w:rPr>
                <w:rFonts w:ascii="Times New Roman" w:hAnsi="Times New Roman"/>
                <w:b/>
                <w:sz w:val="20"/>
                <w:szCs w:val="20"/>
              </w:rPr>
            </w:pPr>
          </w:p>
        </w:tc>
      </w:tr>
      <w:tr w:rsidR="00687002" w:rsidRPr="00687002" w:rsidTr="00687002">
        <w:trPr>
          <w:trHeight w:val="299"/>
          <w:jc w:val="center"/>
        </w:trPr>
        <w:tc>
          <w:tcPr>
            <w:tcW w:w="0" w:type="auto"/>
            <w:tcBorders>
              <w:top w:val="single" w:sz="4" w:space="0" w:color="auto"/>
              <w:bottom w:val="nil"/>
              <w:right w:val="nil"/>
            </w:tcBorders>
            <w:shd w:val="clear" w:color="auto" w:fill="auto"/>
            <w:noWrap/>
          </w:tcPr>
          <w:p w:rsidR="00687002" w:rsidRPr="00687002" w:rsidRDefault="00687002" w:rsidP="004E2E3D">
            <w:pPr>
              <w:spacing w:before="60" w:after="0" w:line="240" w:lineRule="auto"/>
              <w:jc w:val="both"/>
              <w:rPr>
                <w:rFonts w:ascii="Times New Roman" w:hAnsi="Times New Roman"/>
                <w:sz w:val="20"/>
                <w:szCs w:val="20"/>
              </w:rPr>
            </w:pPr>
            <w:r w:rsidRPr="00687002">
              <w:rPr>
                <w:rFonts w:ascii="Times New Roman" w:hAnsi="Times New Roman"/>
                <w:sz w:val="20"/>
                <w:szCs w:val="20"/>
              </w:rPr>
              <w:t>CFBD</w:t>
            </w:r>
          </w:p>
        </w:tc>
        <w:tc>
          <w:tcPr>
            <w:tcW w:w="0" w:type="auto"/>
            <w:tcBorders>
              <w:top w:val="single" w:sz="4" w:space="0" w:color="auto"/>
              <w:left w:val="nil"/>
              <w:bottom w:val="nil"/>
              <w:right w:val="nil"/>
            </w:tcBorders>
            <w:shd w:val="clear" w:color="auto" w:fill="auto"/>
            <w:vAlign w:val="center"/>
          </w:tcPr>
          <w:p w:rsidR="00687002" w:rsidRPr="004E2E3D" w:rsidRDefault="00687002" w:rsidP="004E2E3D">
            <w:pPr>
              <w:spacing w:before="60" w:after="0" w:line="240" w:lineRule="auto"/>
              <w:jc w:val="both"/>
              <w:rPr>
                <w:rFonts w:ascii="Times New Roman" w:hAnsi="Times New Roman"/>
                <w:sz w:val="20"/>
                <w:szCs w:val="20"/>
              </w:rPr>
            </w:pPr>
            <w:r w:rsidRPr="004E2E3D">
              <w:rPr>
                <w:rFonts w:ascii="Times New Roman" w:hAnsi="Times New Roman"/>
                <w:sz w:val="20"/>
                <w:szCs w:val="20"/>
              </w:rPr>
              <w:t>0.24 ± 0.01</w:t>
            </w:r>
          </w:p>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w:t>
            </w:r>
          </w:p>
        </w:tc>
        <w:tc>
          <w:tcPr>
            <w:tcW w:w="0" w:type="auto"/>
            <w:tcBorders>
              <w:top w:val="single" w:sz="4" w:space="0" w:color="auto"/>
              <w:left w:val="nil"/>
              <w:bottom w:val="nil"/>
              <w:right w:val="nil"/>
            </w:tcBorders>
          </w:tcPr>
          <w:p w:rsidR="00687002" w:rsidRPr="004E2E3D" w:rsidRDefault="00687002" w:rsidP="004E2E3D">
            <w:pPr>
              <w:spacing w:before="60" w:after="0" w:line="240" w:lineRule="auto"/>
              <w:jc w:val="both"/>
              <w:rPr>
                <w:rFonts w:ascii="Times New Roman" w:hAnsi="Times New Roman"/>
                <w:sz w:val="20"/>
                <w:szCs w:val="20"/>
              </w:rPr>
            </w:pPr>
            <w:r w:rsidRPr="004E2E3D">
              <w:rPr>
                <w:rFonts w:ascii="Times New Roman" w:hAnsi="Times New Roman"/>
                <w:sz w:val="20"/>
                <w:szCs w:val="20"/>
              </w:rPr>
              <w:t>0.18 ± 0.02</w:t>
            </w:r>
          </w:p>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w:t>
            </w:r>
          </w:p>
        </w:tc>
        <w:tc>
          <w:tcPr>
            <w:tcW w:w="0" w:type="auto"/>
            <w:tcBorders>
              <w:top w:val="single" w:sz="4" w:space="0" w:color="auto"/>
              <w:left w:val="nil"/>
              <w:bottom w:val="nil"/>
              <w:right w:val="nil"/>
            </w:tcBorders>
            <w:shd w:val="clear" w:color="auto" w:fill="auto"/>
            <w:vAlign w:val="center"/>
          </w:tcPr>
          <w:p w:rsidR="00687002" w:rsidRPr="004E2E3D" w:rsidRDefault="00687002" w:rsidP="004E2E3D">
            <w:pPr>
              <w:spacing w:before="60" w:after="0" w:line="240" w:lineRule="auto"/>
              <w:jc w:val="both"/>
              <w:rPr>
                <w:rFonts w:ascii="Times New Roman" w:hAnsi="Times New Roman"/>
                <w:sz w:val="20"/>
                <w:szCs w:val="20"/>
              </w:rPr>
            </w:pPr>
            <w:r w:rsidRPr="004E2E3D">
              <w:rPr>
                <w:rFonts w:ascii="Times New Roman" w:hAnsi="Times New Roman"/>
                <w:sz w:val="20"/>
                <w:szCs w:val="20"/>
              </w:rPr>
              <w:t>0.16 ± 0.01</w:t>
            </w:r>
          </w:p>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w:t>
            </w:r>
          </w:p>
        </w:tc>
        <w:tc>
          <w:tcPr>
            <w:tcW w:w="0" w:type="auto"/>
            <w:tcBorders>
              <w:top w:val="single" w:sz="4" w:space="0" w:color="auto"/>
              <w:left w:val="nil"/>
              <w:bottom w:val="nil"/>
            </w:tcBorders>
            <w:shd w:val="clear" w:color="auto" w:fill="auto"/>
            <w:vAlign w:val="center"/>
          </w:tcPr>
          <w:p w:rsidR="00687002" w:rsidRPr="004E2E3D" w:rsidRDefault="00687002" w:rsidP="004E2E3D">
            <w:pPr>
              <w:spacing w:before="60" w:after="0" w:line="240" w:lineRule="auto"/>
              <w:jc w:val="both"/>
              <w:rPr>
                <w:rFonts w:ascii="Times New Roman" w:hAnsi="Times New Roman"/>
                <w:sz w:val="20"/>
                <w:szCs w:val="20"/>
              </w:rPr>
            </w:pPr>
            <w:r w:rsidRPr="004E2E3D">
              <w:rPr>
                <w:rFonts w:ascii="Times New Roman" w:hAnsi="Times New Roman"/>
                <w:sz w:val="20"/>
                <w:szCs w:val="20"/>
              </w:rPr>
              <w:t>0.16 ± 0.02</w:t>
            </w:r>
          </w:p>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w:t>
            </w:r>
          </w:p>
        </w:tc>
        <w:tc>
          <w:tcPr>
            <w:tcW w:w="0" w:type="auto"/>
            <w:tcBorders>
              <w:top w:val="single" w:sz="4" w:space="0" w:color="auto"/>
              <w:left w:val="nil"/>
              <w:bottom w:val="nil"/>
            </w:tcBorders>
          </w:tcPr>
          <w:p w:rsidR="00687002" w:rsidRPr="004E2E3D" w:rsidRDefault="00687002" w:rsidP="004E2E3D">
            <w:pPr>
              <w:spacing w:before="60" w:after="0" w:line="240" w:lineRule="auto"/>
              <w:jc w:val="both"/>
              <w:rPr>
                <w:rFonts w:ascii="Times New Roman" w:hAnsi="Times New Roman"/>
                <w:sz w:val="20"/>
                <w:szCs w:val="20"/>
              </w:rPr>
            </w:pPr>
            <w:r w:rsidRPr="004E2E3D">
              <w:rPr>
                <w:rFonts w:ascii="Times New Roman" w:hAnsi="Times New Roman"/>
                <w:sz w:val="20"/>
                <w:szCs w:val="20"/>
              </w:rPr>
              <w:t>0.12 ± 0.01</w:t>
            </w:r>
          </w:p>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w:t>
            </w:r>
          </w:p>
        </w:tc>
        <w:tc>
          <w:tcPr>
            <w:tcW w:w="0" w:type="auto"/>
            <w:tcBorders>
              <w:top w:val="single" w:sz="4" w:space="0" w:color="auto"/>
              <w:left w:val="nil"/>
              <w:bottom w:val="nil"/>
            </w:tcBorders>
          </w:tcPr>
          <w:p w:rsidR="00687002" w:rsidRPr="004E2E3D" w:rsidRDefault="00687002" w:rsidP="004E2E3D">
            <w:pPr>
              <w:spacing w:before="60" w:after="0" w:line="240" w:lineRule="auto"/>
              <w:jc w:val="both"/>
              <w:rPr>
                <w:rFonts w:ascii="Times New Roman" w:hAnsi="Times New Roman"/>
                <w:sz w:val="20"/>
                <w:szCs w:val="20"/>
              </w:rPr>
            </w:pPr>
            <w:r w:rsidRPr="004E2E3D">
              <w:rPr>
                <w:rFonts w:ascii="Times New Roman" w:hAnsi="Times New Roman"/>
                <w:sz w:val="20"/>
                <w:szCs w:val="20"/>
              </w:rPr>
              <w:t>0.11 ± 0.01</w:t>
            </w:r>
          </w:p>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w:t>
            </w:r>
          </w:p>
        </w:tc>
      </w:tr>
      <w:tr w:rsidR="00687002" w:rsidRPr="00687002" w:rsidTr="00687002">
        <w:trPr>
          <w:trHeight w:val="299"/>
          <w:jc w:val="center"/>
        </w:trPr>
        <w:tc>
          <w:tcPr>
            <w:tcW w:w="0" w:type="auto"/>
            <w:tcBorders>
              <w:top w:val="nil"/>
              <w:bottom w:val="nil"/>
              <w:right w:val="nil"/>
            </w:tcBorders>
            <w:shd w:val="clear" w:color="auto" w:fill="auto"/>
            <w:noWrap/>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CFBE</w:t>
            </w:r>
          </w:p>
        </w:tc>
        <w:tc>
          <w:tcPr>
            <w:tcW w:w="0" w:type="auto"/>
            <w:tcBorders>
              <w:top w:val="nil"/>
              <w:left w:val="nil"/>
              <w:bottom w:val="nil"/>
              <w:right w:val="nil"/>
            </w:tcBorders>
            <w:shd w:val="clear" w:color="auto" w:fill="auto"/>
            <w:vAlign w:val="center"/>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2.98 ± 0.65</w:t>
            </w:r>
          </w:p>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w:t>
            </w:r>
          </w:p>
        </w:tc>
        <w:tc>
          <w:tcPr>
            <w:tcW w:w="0" w:type="auto"/>
            <w:tcBorders>
              <w:top w:val="nil"/>
              <w:left w:val="nil"/>
              <w:bottom w:val="nil"/>
              <w:right w:val="nil"/>
            </w:tcBorders>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1.98 ± 0.17</w:t>
            </w:r>
          </w:p>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w:t>
            </w:r>
          </w:p>
        </w:tc>
        <w:tc>
          <w:tcPr>
            <w:tcW w:w="0" w:type="auto"/>
            <w:tcBorders>
              <w:top w:val="nil"/>
              <w:left w:val="nil"/>
              <w:bottom w:val="nil"/>
              <w:right w:val="nil"/>
            </w:tcBorders>
            <w:shd w:val="clear" w:color="auto" w:fill="auto"/>
            <w:vAlign w:val="center"/>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1.88 ± 0.79</w:t>
            </w:r>
          </w:p>
          <w:p w:rsidR="00687002" w:rsidRPr="004E2E3D" w:rsidRDefault="00687002" w:rsidP="00687002">
            <w:pPr>
              <w:spacing w:after="0" w:line="240" w:lineRule="auto"/>
              <w:jc w:val="both"/>
              <w:rPr>
                <w:rFonts w:ascii="Times New Roman" w:hAnsi="Times New Roman"/>
                <w:sz w:val="20"/>
                <w:szCs w:val="20"/>
              </w:rPr>
            </w:pPr>
          </w:p>
        </w:tc>
        <w:tc>
          <w:tcPr>
            <w:tcW w:w="0" w:type="auto"/>
            <w:tcBorders>
              <w:top w:val="nil"/>
              <w:left w:val="nil"/>
              <w:bottom w:val="nil"/>
            </w:tcBorders>
            <w:shd w:val="clear" w:color="auto" w:fill="auto"/>
            <w:vAlign w:val="center"/>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1.13 ± 0.06</w:t>
            </w:r>
          </w:p>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w:t>
            </w:r>
          </w:p>
        </w:tc>
        <w:tc>
          <w:tcPr>
            <w:tcW w:w="0" w:type="auto"/>
            <w:tcBorders>
              <w:top w:val="nil"/>
              <w:left w:val="nil"/>
              <w:bottom w:val="nil"/>
            </w:tcBorders>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0.87 ± 0.21</w:t>
            </w:r>
          </w:p>
        </w:tc>
        <w:tc>
          <w:tcPr>
            <w:tcW w:w="0" w:type="auto"/>
            <w:tcBorders>
              <w:top w:val="nil"/>
              <w:left w:val="nil"/>
              <w:bottom w:val="nil"/>
            </w:tcBorders>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0.37 ± 0.02</w:t>
            </w:r>
          </w:p>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w:t>
            </w:r>
          </w:p>
        </w:tc>
      </w:tr>
      <w:tr w:rsidR="00687002" w:rsidRPr="00687002" w:rsidTr="00687002">
        <w:trPr>
          <w:trHeight w:val="299"/>
          <w:jc w:val="center"/>
        </w:trPr>
        <w:tc>
          <w:tcPr>
            <w:tcW w:w="0" w:type="auto"/>
            <w:tcBorders>
              <w:top w:val="nil"/>
              <w:bottom w:val="nil"/>
              <w:right w:val="nil"/>
            </w:tcBorders>
            <w:shd w:val="clear" w:color="auto" w:fill="auto"/>
            <w:noWrap/>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CFBM</w:t>
            </w:r>
          </w:p>
        </w:tc>
        <w:tc>
          <w:tcPr>
            <w:tcW w:w="0" w:type="auto"/>
            <w:tcBorders>
              <w:top w:val="nil"/>
              <w:left w:val="nil"/>
              <w:bottom w:val="nil"/>
              <w:right w:val="nil"/>
            </w:tcBorders>
            <w:shd w:val="clear" w:color="auto" w:fill="auto"/>
            <w:vAlign w:val="center"/>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3.72 ± 0.46</w:t>
            </w:r>
          </w:p>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w:t>
            </w:r>
          </w:p>
        </w:tc>
        <w:tc>
          <w:tcPr>
            <w:tcW w:w="0" w:type="auto"/>
            <w:tcBorders>
              <w:top w:val="nil"/>
              <w:left w:val="nil"/>
              <w:bottom w:val="nil"/>
              <w:right w:val="nil"/>
            </w:tcBorders>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2.74 ± 1.11</w:t>
            </w:r>
          </w:p>
        </w:tc>
        <w:tc>
          <w:tcPr>
            <w:tcW w:w="0" w:type="auto"/>
            <w:tcBorders>
              <w:top w:val="nil"/>
              <w:left w:val="nil"/>
              <w:bottom w:val="nil"/>
              <w:right w:val="nil"/>
            </w:tcBorders>
            <w:shd w:val="clear" w:color="auto" w:fill="auto"/>
            <w:vAlign w:val="center"/>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2.03± 0.63</w:t>
            </w:r>
          </w:p>
          <w:p w:rsidR="00687002" w:rsidRPr="004E2E3D" w:rsidRDefault="00687002" w:rsidP="00687002">
            <w:pPr>
              <w:spacing w:after="0" w:line="240" w:lineRule="auto"/>
              <w:jc w:val="both"/>
              <w:rPr>
                <w:rFonts w:ascii="Times New Roman" w:hAnsi="Times New Roman"/>
                <w:sz w:val="20"/>
                <w:szCs w:val="20"/>
              </w:rPr>
            </w:pPr>
          </w:p>
        </w:tc>
        <w:tc>
          <w:tcPr>
            <w:tcW w:w="0" w:type="auto"/>
            <w:tcBorders>
              <w:top w:val="nil"/>
              <w:left w:val="nil"/>
              <w:bottom w:val="nil"/>
            </w:tcBorders>
            <w:shd w:val="clear" w:color="auto" w:fill="auto"/>
            <w:vAlign w:val="center"/>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1.41 ± 0.25</w:t>
            </w:r>
          </w:p>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w:t>
            </w:r>
          </w:p>
        </w:tc>
        <w:tc>
          <w:tcPr>
            <w:tcW w:w="0" w:type="auto"/>
            <w:tcBorders>
              <w:top w:val="nil"/>
              <w:left w:val="nil"/>
              <w:bottom w:val="nil"/>
            </w:tcBorders>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0.74 ± 0.19</w:t>
            </w:r>
          </w:p>
        </w:tc>
        <w:tc>
          <w:tcPr>
            <w:tcW w:w="0" w:type="auto"/>
            <w:tcBorders>
              <w:top w:val="nil"/>
              <w:left w:val="nil"/>
              <w:bottom w:val="nil"/>
            </w:tcBorders>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0.40 ± 0.08</w:t>
            </w:r>
          </w:p>
        </w:tc>
      </w:tr>
      <w:tr w:rsidR="00687002" w:rsidRPr="00687002" w:rsidTr="00687002">
        <w:trPr>
          <w:trHeight w:val="299"/>
          <w:jc w:val="center"/>
        </w:trPr>
        <w:tc>
          <w:tcPr>
            <w:tcW w:w="0" w:type="auto"/>
            <w:tcBorders>
              <w:top w:val="nil"/>
              <w:bottom w:val="nil"/>
              <w:right w:val="nil"/>
            </w:tcBorders>
            <w:shd w:val="clear" w:color="auto" w:fill="auto"/>
            <w:noWrap/>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CFLD</w:t>
            </w:r>
          </w:p>
        </w:tc>
        <w:tc>
          <w:tcPr>
            <w:tcW w:w="0" w:type="auto"/>
            <w:tcBorders>
              <w:top w:val="nil"/>
              <w:left w:val="nil"/>
              <w:bottom w:val="nil"/>
              <w:right w:val="nil"/>
            </w:tcBorders>
            <w:shd w:val="clear" w:color="auto" w:fill="auto"/>
            <w:vAlign w:val="center"/>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0.37 ± 0.10</w:t>
            </w:r>
          </w:p>
          <w:p w:rsidR="00687002" w:rsidRPr="004E2E3D" w:rsidRDefault="00687002" w:rsidP="00687002">
            <w:pPr>
              <w:spacing w:after="0" w:line="240" w:lineRule="auto"/>
              <w:jc w:val="both"/>
              <w:rPr>
                <w:rFonts w:ascii="Times New Roman" w:hAnsi="Times New Roman"/>
                <w:sz w:val="20"/>
                <w:szCs w:val="20"/>
              </w:rPr>
            </w:pPr>
          </w:p>
        </w:tc>
        <w:tc>
          <w:tcPr>
            <w:tcW w:w="0" w:type="auto"/>
            <w:tcBorders>
              <w:top w:val="nil"/>
              <w:left w:val="nil"/>
              <w:bottom w:val="nil"/>
              <w:right w:val="nil"/>
            </w:tcBorders>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0.26 ± 0.02</w:t>
            </w:r>
          </w:p>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w:t>
            </w:r>
          </w:p>
        </w:tc>
        <w:tc>
          <w:tcPr>
            <w:tcW w:w="0" w:type="auto"/>
            <w:tcBorders>
              <w:top w:val="nil"/>
              <w:left w:val="nil"/>
              <w:bottom w:val="nil"/>
              <w:right w:val="nil"/>
            </w:tcBorders>
            <w:shd w:val="clear" w:color="auto" w:fill="auto"/>
            <w:vAlign w:val="center"/>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0.20 ± 0.01</w:t>
            </w:r>
          </w:p>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w:t>
            </w:r>
          </w:p>
        </w:tc>
        <w:tc>
          <w:tcPr>
            <w:tcW w:w="0" w:type="auto"/>
            <w:tcBorders>
              <w:top w:val="nil"/>
              <w:left w:val="nil"/>
              <w:bottom w:val="nil"/>
            </w:tcBorders>
            <w:shd w:val="clear" w:color="auto" w:fill="auto"/>
            <w:vAlign w:val="center"/>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0.15 ± 0.01</w:t>
            </w:r>
          </w:p>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w:t>
            </w:r>
          </w:p>
        </w:tc>
        <w:tc>
          <w:tcPr>
            <w:tcW w:w="0" w:type="auto"/>
            <w:tcBorders>
              <w:top w:val="nil"/>
              <w:left w:val="nil"/>
              <w:bottom w:val="nil"/>
            </w:tcBorders>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0.13 ± 0.01</w:t>
            </w:r>
          </w:p>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w:t>
            </w:r>
          </w:p>
        </w:tc>
        <w:tc>
          <w:tcPr>
            <w:tcW w:w="0" w:type="auto"/>
            <w:tcBorders>
              <w:top w:val="nil"/>
              <w:left w:val="nil"/>
              <w:bottom w:val="nil"/>
            </w:tcBorders>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0.10 ± 0.01</w:t>
            </w:r>
          </w:p>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w:t>
            </w:r>
          </w:p>
        </w:tc>
      </w:tr>
      <w:tr w:rsidR="00687002" w:rsidRPr="00687002" w:rsidTr="00687002">
        <w:trPr>
          <w:trHeight w:val="299"/>
          <w:jc w:val="center"/>
        </w:trPr>
        <w:tc>
          <w:tcPr>
            <w:tcW w:w="0" w:type="auto"/>
            <w:tcBorders>
              <w:top w:val="nil"/>
              <w:bottom w:val="nil"/>
              <w:right w:val="nil"/>
            </w:tcBorders>
            <w:shd w:val="clear" w:color="auto" w:fill="auto"/>
            <w:noWrap/>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CFLE</w:t>
            </w:r>
          </w:p>
        </w:tc>
        <w:tc>
          <w:tcPr>
            <w:tcW w:w="0" w:type="auto"/>
            <w:tcBorders>
              <w:top w:val="nil"/>
              <w:left w:val="nil"/>
              <w:bottom w:val="nil"/>
              <w:right w:val="nil"/>
            </w:tcBorders>
            <w:shd w:val="clear" w:color="auto" w:fill="auto"/>
            <w:vAlign w:val="center"/>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3.24 ± 1.04</w:t>
            </w:r>
          </w:p>
          <w:p w:rsidR="00687002" w:rsidRPr="004E2E3D" w:rsidRDefault="00687002" w:rsidP="00687002">
            <w:pPr>
              <w:spacing w:after="0" w:line="240" w:lineRule="auto"/>
              <w:jc w:val="both"/>
              <w:rPr>
                <w:rFonts w:ascii="Times New Roman" w:hAnsi="Times New Roman"/>
                <w:sz w:val="20"/>
                <w:szCs w:val="20"/>
              </w:rPr>
            </w:pPr>
          </w:p>
        </w:tc>
        <w:tc>
          <w:tcPr>
            <w:tcW w:w="0" w:type="auto"/>
            <w:tcBorders>
              <w:top w:val="nil"/>
              <w:left w:val="nil"/>
              <w:bottom w:val="nil"/>
              <w:right w:val="nil"/>
            </w:tcBorders>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1.24 ± 0.14</w:t>
            </w:r>
          </w:p>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w:t>
            </w:r>
          </w:p>
        </w:tc>
        <w:tc>
          <w:tcPr>
            <w:tcW w:w="0" w:type="auto"/>
            <w:tcBorders>
              <w:top w:val="nil"/>
              <w:left w:val="nil"/>
              <w:bottom w:val="nil"/>
              <w:right w:val="nil"/>
            </w:tcBorders>
            <w:shd w:val="clear" w:color="auto" w:fill="auto"/>
            <w:vAlign w:val="center"/>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1.17 ± 0.42</w:t>
            </w:r>
          </w:p>
          <w:p w:rsidR="00687002" w:rsidRPr="004E2E3D" w:rsidRDefault="00687002" w:rsidP="00687002">
            <w:pPr>
              <w:spacing w:after="0" w:line="240" w:lineRule="auto"/>
              <w:jc w:val="both"/>
              <w:rPr>
                <w:rFonts w:ascii="Times New Roman" w:hAnsi="Times New Roman"/>
                <w:sz w:val="20"/>
                <w:szCs w:val="20"/>
              </w:rPr>
            </w:pPr>
          </w:p>
        </w:tc>
        <w:tc>
          <w:tcPr>
            <w:tcW w:w="0" w:type="auto"/>
            <w:tcBorders>
              <w:top w:val="nil"/>
              <w:left w:val="nil"/>
              <w:bottom w:val="nil"/>
            </w:tcBorders>
            <w:shd w:val="clear" w:color="auto" w:fill="auto"/>
            <w:vAlign w:val="center"/>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0.68 ± 0.10</w:t>
            </w:r>
          </w:p>
          <w:p w:rsidR="00687002" w:rsidRPr="004E2E3D" w:rsidRDefault="00687002" w:rsidP="00687002">
            <w:pPr>
              <w:spacing w:after="0" w:line="240" w:lineRule="auto"/>
              <w:jc w:val="both"/>
              <w:rPr>
                <w:rFonts w:ascii="Times New Roman" w:hAnsi="Times New Roman"/>
                <w:sz w:val="20"/>
                <w:szCs w:val="20"/>
              </w:rPr>
            </w:pPr>
          </w:p>
        </w:tc>
        <w:tc>
          <w:tcPr>
            <w:tcW w:w="0" w:type="auto"/>
            <w:tcBorders>
              <w:top w:val="nil"/>
              <w:left w:val="nil"/>
              <w:bottom w:val="nil"/>
            </w:tcBorders>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0.55 ± 0.05</w:t>
            </w:r>
          </w:p>
        </w:tc>
        <w:tc>
          <w:tcPr>
            <w:tcW w:w="0" w:type="auto"/>
            <w:tcBorders>
              <w:top w:val="nil"/>
              <w:left w:val="nil"/>
              <w:bottom w:val="nil"/>
            </w:tcBorders>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0.22 ± 0.6</w:t>
            </w:r>
          </w:p>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w:t>
            </w:r>
          </w:p>
        </w:tc>
      </w:tr>
      <w:tr w:rsidR="00687002" w:rsidRPr="00687002" w:rsidTr="00687002">
        <w:trPr>
          <w:trHeight w:val="299"/>
          <w:jc w:val="center"/>
        </w:trPr>
        <w:tc>
          <w:tcPr>
            <w:tcW w:w="0" w:type="auto"/>
            <w:tcBorders>
              <w:top w:val="nil"/>
              <w:bottom w:val="single" w:sz="4" w:space="0" w:color="auto"/>
              <w:right w:val="nil"/>
            </w:tcBorders>
            <w:shd w:val="clear" w:color="auto" w:fill="auto"/>
            <w:noWrap/>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CFLM</w:t>
            </w:r>
          </w:p>
        </w:tc>
        <w:tc>
          <w:tcPr>
            <w:tcW w:w="0" w:type="auto"/>
            <w:tcBorders>
              <w:top w:val="nil"/>
              <w:left w:val="nil"/>
              <w:bottom w:val="single" w:sz="4" w:space="0" w:color="auto"/>
              <w:right w:val="nil"/>
            </w:tcBorders>
            <w:shd w:val="clear" w:color="auto" w:fill="auto"/>
            <w:vAlign w:val="center"/>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2.57 ± 0.44</w:t>
            </w:r>
          </w:p>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w:t>
            </w:r>
          </w:p>
        </w:tc>
        <w:tc>
          <w:tcPr>
            <w:tcW w:w="0" w:type="auto"/>
            <w:tcBorders>
              <w:top w:val="nil"/>
              <w:left w:val="nil"/>
              <w:bottom w:val="single" w:sz="4" w:space="0" w:color="auto"/>
              <w:right w:val="nil"/>
            </w:tcBorders>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1.94 ± 0.72</w:t>
            </w:r>
          </w:p>
        </w:tc>
        <w:tc>
          <w:tcPr>
            <w:tcW w:w="0" w:type="auto"/>
            <w:tcBorders>
              <w:top w:val="nil"/>
              <w:left w:val="nil"/>
              <w:bottom w:val="single" w:sz="4" w:space="0" w:color="auto"/>
              <w:right w:val="nil"/>
            </w:tcBorders>
            <w:shd w:val="clear" w:color="auto" w:fill="auto"/>
            <w:vAlign w:val="center"/>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1.37 ± 0.31</w:t>
            </w:r>
          </w:p>
          <w:p w:rsidR="00687002" w:rsidRPr="004E2E3D" w:rsidRDefault="00687002" w:rsidP="00687002">
            <w:pPr>
              <w:spacing w:after="0" w:line="240" w:lineRule="auto"/>
              <w:jc w:val="both"/>
              <w:rPr>
                <w:rFonts w:ascii="Times New Roman" w:hAnsi="Times New Roman"/>
                <w:sz w:val="20"/>
                <w:szCs w:val="20"/>
              </w:rPr>
            </w:pPr>
          </w:p>
        </w:tc>
        <w:tc>
          <w:tcPr>
            <w:tcW w:w="0" w:type="auto"/>
            <w:tcBorders>
              <w:top w:val="nil"/>
              <w:left w:val="nil"/>
              <w:bottom w:val="single" w:sz="4" w:space="0" w:color="auto"/>
            </w:tcBorders>
            <w:shd w:val="clear" w:color="auto" w:fill="auto"/>
            <w:vAlign w:val="center"/>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0.91 ± 0.12</w:t>
            </w:r>
          </w:p>
          <w:p w:rsidR="00687002" w:rsidRPr="004E2E3D" w:rsidRDefault="00687002" w:rsidP="00687002">
            <w:pPr>
              <w:spacing w:after="0" w:line="240" w:lineRule="auto"/>
              <w:jc w:val="both"/>
              <w:rPr>
                <w:rFonts w:ascii="Times New Roman" w:hAnsi="Times New Roman"/>
                <w:sz w:val="20"/>
                <w:szCs w:val="20"/>
              </w:rPr>
            </w:pPr>
          </w:p>
        </w:tc>
        <w:tc>
          <w:tcPr>
            <w:tcW w:w="0" w:type="auto"/>
            <w:tcBorders>
              <w:top w:val="nil"/>
              <w:left w:val="nil"/>
              <w:bottom w:val="single" w:sz="4" w:space="0" w:color="auto"/>
            </w:tcBorders>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0.72 ± 0.07</w:t>
            </w:r>
          </w:p>
        </w:tc>
        <w:tc>
          <w:tcPr>
            <w:tcW w:w="0" w:type="auto"/>
            <w:tcBorders>
              <w:top w:val="nil"/>
              <w:left w:val="nil"/>
              <w:bottom w:val="single" w:sz="4" w:space="0" w:color="auto"/>
            </w:tcBorders>
          </w:tcPr>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0.32 ± 0.03</w:t>
            </w:r>
          </w:p>
          <w:p w:rsidR="00687002" w:rsidRPr="004E2E3D" w:rsidRDefault="00687002" w:rsidP="00687002">
            <w:pPr>
              <w:spacing w:after="0" w:line="240" w:lineRule="auto"/>
              <w:jc w:val="both"/>
              <w:rPr>
                <w:rFonts w:ascii="Times New Roman" w:hAnsi="Times New Roman"/>
                <w:sz w:val="20"/>
                <w:szCs w:val="20"/>
              </w:rPr>
            </w:pPr>
            <w:r w:rsidRPr="004E2E3D">
              <w:rPr>
                <w:rFonts w:ascii="Times New Roman" w:hAnsi="Times New Roman"/>
                <w:sz w:val="20"/>
                <w:szCs w:val="20"/>
              </w:rPr>
              <w:t>*</w:t>
            </w:r>
          </w:p>
        </w:tc>
      </w:tr>
      <w:tr w:rsidR="00687002" w:rsidRPr="00687002" w:rsidTr="00687002">
        <w:trPr>
          <w:trHeight w:val="299"/>
          <w:jc w:val="center"/>
        </w:trPr>
        <w:tc>
          <w:tcPr>
            <w:tcW w:w="0" w:type="auto"/>
            <w:tcBorders>
              <w:top w:val="single" w:sz="4" w:space="0" w:color="auto"/>
              <w:bottom w:val="single" w:sz="4" w:space="0" w:color="auto"/>
              <w:right w:val="nil"/>
            </w:tcBorders>
            <w:shd w:val="clear" w:color="auto" w:fill="auto"/>
            <w:noWrap/>
          </w:tcPr>
          <w:p w:rsidR="00687002" w:rsidRPr="00687002" w:rsidRDefault="00687002" w:rsidP="004E2E3D">
            <w:pPr>
              <w:spacing w:before="60" w:after="60" w:line="240" w:lineRule="auto"/>
              <w:jc w:val="both"/>
              <w:rPr>
                <w:rFonts w:ascii="Times New Roman" w:hAnsi="Times New Roman"/>
                <w:b/>
                <w:sz w:val="20"/>
                <w:szCs w:val="20"/>
              </w:rPr>
            </w:pPr>
            <w:r w:rsidRPr="00687002">
              <w:rPr>
                <w:rFonts w:ascii="Times New Roman" w:hAnsi="Times New Roman"/>
                <w:i/>
                <w:sz w:val="20"/>
                <w:szCs w:val="20"/>
              </w:rPr>
              <w:t>C. incrassatum</w:t>
            </w:r>
          </w:p>
        </w:tc>
        <w:tc>
          <w:tcPr>
            <w:tcW w:w="0" w:type="auto"/>
            <w:tcBorders>
              <w:top w:val="single" w:sz="4" w:space="0" w:color="auto"/>
              <w:left w:val="nil"/>
              <w:bottom w:val="single" w:sz="4" w:space="0" w:color="auto"/>
              <w:right w:val="nil"/>
            </w:tcBorders>
            <w:shd w:val="clear" w:color="auto" w:fill="auto"/>
            <w:vAlign w:val="center"/>
          </w:tcPr>
          <w:p w:rsidR="00687002" w:rsidRPr="00687002" w:rsidRDefault="00687002" w:rsidP="004E2E3D">
            <w:pPr>
              <w:spacing w:before="60" w:after="60" w:line="240" w:lineRule="auto"/>
              <w:jc w:val="both"/>
              <w:rPr>
                <w:rFonts w:ascii="Times New Roman" w:hAnsi="Times New Roman"/>
                <w:b/>
                <w:sz w:val="20"/>
                <w:szCs w:val="20"/>
              </w:rPr>
            </w:pPr>
          </w:p>
        </w:tc>
        <w:tc>
          <w:tcPr>
            <w:tcW w:w="0" w:type="auto"/>
            <w:tcBorders>
              <w:top w:val="single" w:sz="4" w:space="0" w:color="auto"/>
              <w:left w:val="nil"/>
              <w:bottom w:val="single" w:sz="4" w:space="0" w:color="auto"/>
              <w:right w:val="nil"/>
            </w:tcBorders>
          </w:tcPr>
          <w:p w:rsidR="00687002" w:rsidRPr="00687002" w:rsidRDefault="00687002" w:rsidP="004E2E3D">
            <w:pPr>
              <w:spacing w:before="60" w:after="60" w:line="240" w:lineRule="auto"/>
              <w:jc w:val="both"/>
              <w:rPr>
                <w:rFonts w:ascii="Times New Roman" w:hAnsi="Times New Roman"/>
                <w:b/>
                <w:sz w:val="20"/>
                <w:szCs w:val="20"/>
              </w:rPr>
            </w:pPr>
          </w:p>
        </w:tc>
        <w:tc>
          <w:tcPr>
            <w:tcW w:w="0" w:type="auto"/>
            <w:tcBorders>
              <w:top w:val="single" w:sz="4" w:space="0" w:color="auto"/>
              <w:left w:val="nil"/>
              <w:bottom w:val="single" w:sz="4" w:space="0" w:color="auto"/>
              <w:right w:val="nil"/>
            </w:tcBorders>
            <w:shd w:val="clear" w:color="auto" w:fill="auto"/>
            <w:vAlign w:val="center"/>
          </w:tcPr>
          <w:p w:rsidR="00687002" w:rsidRPr="00687002" w:rsidRDefault="00687002" w:rsidP="004E2E3D">
            <w:pPr>
              <w:spacing w:before="60" w:after="60" w:line="240" w:lineRule="auto"/>
              <w:jc w:val="both"/>
              <w:rPr>
                <w:rFonts w:ascii="Times New Roman" w:hAnsi="Times New Roman"/>
                <w:b/>
                <w:sz w:val="20"/>
                <w:szCs w:val="20"/>
              </w:rPr>
            </w:pPr>
          </w:p>
        </w:tc>
        <w:tc>
          <w:tcPr>
            <w:tcW w:w="0" w:type="auto"/>
            <w:tcBorders>
              <w:top w:val="single" w:sz="4" w:space="0" w:color="auto"/>
              <w:left w:val="nil"/>
              <w:bottom w:val="single" w:sz="4" w:space="0" w:color="auto"/>
            </w:tcBorders>
            <w:shd w:val="clear" w:color="auto" w:fill="auto"/>
            <w:vAlign w:val="center"/>
          </w:tcPr>
          <w:p w:rsidR="00687002" w:rsidRPr="00687002" w:rsidRDefault="00687002" w:rsidP="004E2E3D">
            <w:pPr>
              <w:spacing w:before="60" w:after="60" w:line="240" w:lineRule="auto"/>
              <w:jc w:val="both"/>
              <w:rPr>
                <w:rFonts w:ascii="Times New Roman" w:hAnsi="Times New Roman"/>
                <w:b/>
                <w:sz w:val="20"/>
                <w:szCs w:val="20"/>
              </w:rPr>
            </w:pPr>
          </w:p>
        </w:tc>
        <w:tc>
          <w:tcPr>
            <w:tcW w:w="0" w:type="auto"/>
            <w:tcBorders>
              <w:top w:val="single" w:sz="4" w:space="0" w:color="auto"/>
              <w:left w:val="nil"/>
              <w:bottom w:val="single" w:sz="4" w:space="0" w:color="auto"/>
            </w:tcBorders>
          </w:tcPr>
          <w:p w:rsidR="00687002" w:rsidRPr="00687002" w:rsidRDefault="00687002" w:rsidP="004E2E3D">
            <w:pPr>
              <w:spacing w:before="60" w:after="60" w:line="240" w:lineRule="auto"/>
              <w:jc w:val="both"/>
              <w:rPr>
                <w:rFonts w:ascii="Times New Roman" w:hAnsi="Times New Roman"/>
                <w:b/>
                <w:sz w:val="20"/>
                <w:szCs w:val="20"/>
              </w:rPr>
            </w:pPr>
          </w:p>
        </w:tc>
        <w:tc>
          <w:tcPr>
            <w:tcW w:w="0" w:type="auto"/>
            <w:tcBorders>
              <w:top w:val="single" w:sz="4" w:space="0" w:color="auto"/>
              <w:left w:val="nil"/>
              <w:bottom w:val="single" w:sz="4" w:space="0" w:color="auto"/>
            </w:tcBorders>
          </w:tcPr>
          <w:p w:rsidR="00687002" w:rsidRPr="00687002" w:rsidRDefault="00687002" w:rsidP="004E2E3D">
            <w:pPr>
              <w:spacing w:before="60" w:after="60" w:line="240" w:lineRule="auto"/>
              <w:jc w:val="both"/>
              <w:rPr>
                <w:rFonts w:ascii="Times New Roman" w:hAnsi="Times New Roman"/>
                <w:b/>
                <w:sz w:val="20"/>
                <w:szCs w:val="20"/>
              </w:rPr>
            </w:pPr>
          </w:p>
        </w:tc>
      </w:tr>
      <w:tr w:rsidR="00687002" w:rsidRPr="00687002" w:rsidTr="00687002">
        <w:trPr>
          <w:trHeight w:val="299"/>
          <w:jc w:val="center"/>
        </w:trPr>
        <w:tc>
          <w:tcPr>
            <w:tcW w:w="0" w:type="auto"/>
            <w:tcBorders>
              <w:top w:val="single" w:sz="4" w:space="0" w:color="auto"/>
            </w:tcBorders>
            <w:shd w:val="clear" w:color="auto" w:fill="auto"/>
            <w:noWrap/>
          </w:tcPr>
          <w:p w:rsidR="00687002" w:rsidRPr="00687002" w:rsidRDefault="00687002" w:rsidP="004E2E3D">
            <w:pPr>
              <w:spacing w:before="60" w:after="0" w:line="240" w:lineRule="auto"/>
              <w:jc w:val="both"/>
              <w:rPr>
                <w:rFonts w:ascii="Times New Roman" w:hAnsi="Times New Roman"/>
                <w:sz w:val="20"/>
                <w:szCs w:val="20"/>
              </w:rPr>
            </w:pPr>
            <w:r w:rsidRPr="00687002">
              <w:rPr>
                <w:rFonts w:ascii="Times New Roman" w:hAnsi="Times New Roman"/>
                <w:sz w:val="20"/>
                <w:szCs w:val="20"/>
              </w:rPr>
              <w:t>CIBD</w:t>
            </w:r>
          </w:p>
        </w:tc>
        <w:tc>
          <w:tcPr>
            <w:tcW w:w="0" w:type="auto"/>
            <w:tcBorders>
              <w:top w:val="single" w:sz="4" w:space="0" w:color="auto"/>
            </w:tcBorders>
            <w:shd w:val="clear" w:color="auto" w:fill="auto"/>
            <w:vAlign w:val="center"/>
          </w:tcPr>
          <w:p w:rsidR="00687002" w:rsidRPr="00687002" w:rsidRDefault="00687002" w:rsidP="004E2E3D">
            <w:pPr>
              <w:spacing w:before="60" w:after="0" w:line="240" w:lineRule="auto"/>
              <w:jc w:val="both"/>
              <w:rPr>
                <w:rFonts w:ascii="Times New Roman" w:hAnsi="Times New Roman"/>
                <w:sz w:val="20"/>
                <w:szCs w:val="20"/>
              </w:rPr>
            </w:pPr>
            <w:r w:rsidRPr="00687002">
              <w:rPr>
                <w:rFonts w:ascii="Times New Roman" w:hAnsi="Times New Roman"/>
                <w:sz w:val="20"/>
                <w:szCs w:val="20"/>
              </w:rPr>
              <w:t>0.23 ± 0.07</w:t>
            </w:r>
          </w:p>
          <w:p w:rsidR="00687002" w:rsidRPr="00687002" w:rsidRDefault="00687002" w:rsidP="004E2E3D">
            <w:pPr>
              <w:spacing w:after="0" w:line="240" w:lineRule="auto"/>
              <w:jc w:val="both"/>
              <w:rPr>
                <w:rFonts w:ascii="Times New Roman" w:hAnsi="Times New Roman"/>
                <w:sz w:val="20"/>
                <w:szCs w:val="20"/>
              </w:rPr>
            </w:pPr>
            <w:r w:rsidRPr="00687002">
              <w:rPr>
                <w:rFonts w:ascii="Times New Roman" w:hAnsi="Times New Roman"/>
                <w:sz w:val="20"/>
                <w:szCs w:val="20"/>
              </w:rPr>
              <w:t>*</w:t>
            </w:r>
          </w:p>
        </w:tc>
        <w:tc>
          <w:tcPr>
            <w:tcW w:w="0" w:type="auto"/>
            <w:tcBorders>
              <w:top w:val="single" w:sz="4" w:space="0" w:color="auto"/>
            </w:tcBorders>
          </w:tcPr>
          <w:p w:rsidR="00687002" w:rsidRPr="00687002" w:rsidRDefault="00687002" w:rsidP="004E2E3D">
            <w:pPr>
              <w:spacing w:before="60" w:after="0" w:line="240" w:lineRule="auto"/>
              <w:jc w:val="both"/>
              <w:rPr>
                <w:rFonts w:ascii="Times New Roman" w:hAnsi="Times New Roman"/>
                <w:sz w:val="20"/>
                <w:szCs w:val="20"/>
              </w:rPr>
            </w:pPr>
            <w:r w:rsidRPr="00687002">
              <w:rPr>
                <w:rFonts w:ascii="Times New Roman" w:hAnsi="Times New Roman"/>
                <w:sz w:val="20"/>
                <w:szCs w:val="20"/>
              </w:rPr>
              <w:t>0.23 ± 0.02</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w:t>
            </w:r>
          </w:p>
        </w:tc>
        <w:tc>
          <w:tcPr>
            <w:tcW w:w="0" w:type="auto"/>
            <w:tcBorders>
              <w:top w:val="single" w:sz="4" w:space="0" w:color="auto"/>
            </w:tcBorders>
            <w:shd w:val="clear" w:color="auto" w:fill="auto"/>
            <w:vAlign w:val="center"/>
          </w:tcPr>
          <w:p w:rsidR="00687002" w:rsidRPr="00687002" w:rsidRDefault="00687002" w:rsidP="004E2E3D">
            <w:pPr>
              <w:spacing w:before="60" w:after="0" w:line="240" w:lineRule="auto"/>
              <w:jc w:val="both"/>
              <w:rPr>
                <w:rFonts w:ascii="Times New Roman" w:hAnsi="Times New Roman"/>
                <w:sz w:val="20"/>
                <w:szCs w:val="20"/>
              </w:rPr>
            </w:pPr>
            <w:r w:rsidRPr="00687002">
              <w:rPr>
                <w:rFonts w:ascii="Times New Roman" w:hAnsi="Times New Roman"/>
                <w:sz w:val="20"/>
                <w:szCs w:val="20"/>
              </w:rPr>
              <w:t>0.16 ± 0.02</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w:t>
            </w:r>
          </w:p>
        </w:tc>
        <w:tc>
          <w:tcPr>
            <w:tcW w:w="0" w:type="auto"/>
            <w:tcBorders>
              <w:top w:val="single" w:sz="4" w:space="0" w:color="auto"/>
            </w:tcBorders>
            <w:shd w:val="clear" w:color="auto" w:fill="auto"/>
            <w:vAlign w:val="center"/>
          </w:tcPr>
          <w:p w:rsidR="00687002" w:rsidRPr="00687002" w:rsidRDefault="00687002" w:rsidP="004E2E3D">
            <w:pPr>
              <w:spacing w:before="60" w:after="0" w:line="240" w:lineRule="auto"/>
              <w:jc w:val="both"/>
              <w:rPr>
                <w:rFonts w:ascii="Times New Roman" w:hAnsi="Times New Roman"/>
                <w:sz w:val="20"/>
                <w:szCs w:val="20"/>
              </w:rPr>
            </w:pPr>
            <w:r w:rsidRPr="00687002">
              <w:rPr>
                <w:rFonts w:ascii="Times New Roman" w:hAnsi="Times New Roman"/>
                <w:sz w:val="20"/>
                <w:szCs w:val="20"/>
              </w:rPr>
              <w:t>0.12 ± 0.01</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w:t>
            </w:r>
          </w:p>
        </w:tc>
        <w:tc>
          <w:tcPr>
            <w:tcW w:w="0" w:type="auto"/>
            <w:tcBorders>
              <w:top w:val="single" w:sz="4" w:space="0" w:color="auto"/>
            </w:tcBorders>
          </w:tcPr>
          <w:p w:rsidR="00687002" w:rsidRPr="00687002" w:rsidRDefault="00687002" w:rsidP="004E2E3D">
            <w:pPr>
              <w:spacing w:before="60" w:after="0" w:line="240" w:lineRule="auto"/>
              <w:jc w:val="both"/>
              <w:rPr>
                <w:rFonts w:ascii="Times New Roman" w:hAnsi="Times New Roman"/>
                <w:sz w:val="20"/>
                <w:szCs w:val="20"/>
              </w:rPr>
            </w:pPr>
            <w:r w:rsidRPr="00687002">
              <w:rPr>
                <w:rFonts w:ascii="Times New Roman" w:hAnsi="Times New Roman"/>
                <w:sz w:val="20"/>
                <w:szCs w:val="20"/>
              </w:rPr>
              <w:t>0.07 ± 0.01</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w:t>
            </w:r>
          </w:p>
        </w:tc>
        <w:tc>
          <w:tcPr>
            <w:tcW w:w="0" w:type="auto"/>
            <w:tcBorders>
              <w:top w:val="single" w:sz="4" w:space="0" w:color="auto"/>
            </w:tcBorders>
          </w:tcPr>
          <w:p w:rsidR="00687002" w:rsidRPr="00687002" w:rsidRDefault="00687002" w:rsidP="004E2E3D">
            <w:pPr>
              <w:spacing w:before="60" w:after="0" w:line="240" w:lineRule="auto"/>
              <w:jc w:val="both"/>
              <w:rPr>
                <w:rFonts w:ascii="Times New Roman" w:hAnsi="Times New Roman"/>
                <w:sz w:val="20"/>
                <w:szCs w:val="20"/>
              </w:rPr>
            </w:pPr>
            <w:r w:rsidRPr="00687002">
              <w:rPr>
                <w:rFonts w:ascii="Times New Roman" w:hAnsi="Times New Roman"/>
                <w:sz w:val="20"/>
                <w:szCs w:val="20"/>
              </w:rPr>
              <w:t>0.05 ± 0.01</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w:t>
            </w:r>
          </w:p>
        </w:tc>
      </w:tr>
      <w:tr w:rsidR="00687002" w:rsidRPr="00687002" w:rsidTr="00687002">
        <w:trPr>
          <w:trHeight w:val="299"/>
          <w:jc w:val="center"/>
        </w:trPr>
        <w:tc>
          <w:tcPr>
            <w:tcW w:w="0" w:type="auto"/>
            <w:shd w:val="clear" w:color="auto" w:fill="auto"/>
            <w:noWrap/>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CIBE</w:t>
            </w:r>
          </w:p>
        </w:tc>
        <w:tc>
          <w:tcPr>
            <w:tcW w:w="0" w:type="auto"/>
            <w:shd w:val="clear" w:color="auto" w:fill="auto"/>
            <w:vAlign w:val="center"/>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1.35 ± 0.04</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w:t>
            </w:r>
          </w:p>
        </w:tc>
        <w:tc>
          <w:tcPr>
            <w:tcW w:w="0" w:type="auto"/>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1.15 ± 0.25</w:t>
            </w:r>
          </w:p>
        </w:tc>
        <w:tc>
          <w:tcPr>
            <w:tcW w:w="0" w:type="auto"/>
            <w:shd w:val="clear" w:color="auto" w:fill="auto"/>
            <w:vAlign w:val="center"/>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0.65 ± 0.09</w:t>
            </w:r>
          </w:p>
          <w:p w:rsidR="00687002" w:rsidRPr="00687002" w:rsidRDefault="00687002" w:rsidP="00687002">
            <w:pPr>
              <w:spacing w:after="0" w:line="240" w:lineRule="auto"/>
              <w:jc w:val="both"/>
              <w:rPr>
                <w:rFonts w:ascii="Times New Roman" w:hAnsi="Times New Roman"/>
                <w:sz w:val="20"/>
                <w:szCs w:val="20"/>
              </w:rPr>
            </w:pPr>
          </w:p>
        </w:tc>
        <w:tc>
          <w:tcPr>
            <w:tcW w:w="0" w:type="auto"/>
            <w:shd w:val="clear" w:color="auto" w:fill="auto"/>
            <w:vAlign w:val="center"/>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0.40 ± 0.02</w:t>
            </w:r>
          </w:p>
          <w:p w:rsidR="00687002" w:rsidRPr="00687002" w:rsidRDefault="00687002" w:rsidP="00687002">
            <w:pPr>
              <w:spacing w:after="0" w:line="240" w:lineRule="auto"/>
              <w:jc w:val="both"/>
              <w:rPr>
                <w:rFonts w:ascii="Times New Roman" w:hAnsi="Times New Roman"/>
                <w:sz w:val="20"/>
                <w:szCs w:val="20"/>
              </w:rPr>
            </w:pPr>
          </w:p>
        </w:tc>
        <w:tc>
          <w:tcPr>
            <w:tcW w:w="0" w:type="auto"/>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0.18 ± 0.02</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w:t>
            </w:r>
          </w:p>
        </w:tc>
        <w:tc>
          <w:tcPr>
            <w:tcW w:w="0" w:type="auto"/>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0.09 ± 0.01</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w:t>
            </w:r>
          </w:p>
        </w:tc>
      </w:tr>
      <w:tr w:rsidR="00687002" w:rsidRPr="00687002" w:rsidTr="00687002">
        <w:trPr>
          <w:trHeight w:val="299"/>
          <w:jc w:val="center"/>
        </w:trPr>
        <w:tc>
          <w:tcPr>
            <w:tcW w:w="0" w:type="auto"/>
            <w:shd w:val="clear" w:color="auto" w:fill="auto"/>
            <w:noWrap/>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CIBM</w:t>
            </w:r>
          </w:p>
        </w:tc>
        <w:tc>
          <w:tcPr>
            <w:tcW w:w="0" w:type="auto"/>
            <w:shd w:val="clear" w:color="auto" w:fill="auto"/>
            <w:vAlign w:val="center"/>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3.23 ± 0.22</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w:t>
            </w:r>
          </w:p>
        </w:tc>
        <w:tc>
          <w:tcPr>
            <w:tcW w:w="0" w:type="auto"/>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2.44 ± 0.18</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w:t>
            </w:r>
          </w:p>
        </w:tc>
        <w:tc>
          <w:tcPr>
            <w:tcW w:w="0" w:type="auto"/>
            <w:shd w:val="clear" w:color="auto" w:fill="auto"/>
            <w:vAlign w:val="center"/>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2.00 ± 0.22</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w:t>
            </w:r>
          </w:p>
        </w:tc>
        <w:tc>
          <w:tcPr>
            <w:tcW w:w="0" w:type="auto"/>
            <w:shd w:val="clear" w:color="auto" w:fill="auto"/>
            <w:vAlign w:val="center"/>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1.40 ± 0.03</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w:t>
            </w:r>
          </w:p>
        </w:tc>
        <w:tc>
          <w:tcPr>
            <w:tcW w:w="0" w:type="auto"/>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0.54 ± 0.04</w:t>
            </w:r>
          </w:p>
        </w:tc>
        <w:tc>
          <w:tcPr>
            <w:tcW w:w="0" w:type="auto"/>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0.20 ± 0.01</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w:t>
            </w:r>
          </w:p>
        </w:tc>
      </w:tr>
      <w:tr w:rsidR="00687002" w:rsidRPr="00687002" w:rsidTr="00687002">
        <w:trPr>
          <w:trHeight w:val="299"/>
          <w:jc w:val="center"/>
        </w:trPr>
        <w:tc>
          <w:tcPr>
            <w:tcW w:w="0" w:type="auto"/>
            <w:shd w:val="clear" w:color="auto" w:fill="auto"/>
            <w:noWrap/>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CILD</w:t>
            </w:r>
          </w:p>
        </w:tc>
        <w:tc>
          <w:tcPr>
            <w:tcW w:w="0" w:type="auto"/>
            <w:shd w:val="clear" w:color="auto" w:fill="auto"/>
            <w:vAlign w:val="center"/>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0.17 ± 0.05</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w:t>
            </w:r>
          </w:p>
        </w:tc>
        <w:tc>
          <w:tcPr>
            <w:tcW w:w="0" w:type="auto"/>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0.11 ± 0.02</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w:t>
            </w:r>
          </w:p>
        </w:tc>
        <w:tc>
          <w:tcPr>
            <w:tcW w:w="0" w:type="auto"/>
            <w:shd w:val="clear" w:color="auto" w:fill="auto"/>
            <w:vAlign w:val="center"/>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0.10 ± 0.02</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w:t>
            </w:r>
          </w:p>
        </w:tc>
        <w:tc>
          <w:tcPr>
            <w:tcW w:w="0" w:type="auto"/>
            <w:shd w:val="clear" w:color="auto" w:fill="auto"/>
            <w:vAlign w:val="center"/>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0.10 ± 0.01</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w:t>
            </w:r>
          </w:p>
        </w:tc>
        <w:tc>
          <w:tcPr>
            <w:tcW w:w="0" w:type="auto"/>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0.06 ± 0.01</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w:t>
            </w:r>
          </w:p>
        </w:tc>
        <w:tc>
          <w:tcPr>
            <w:tcW w:w="0" w:type="auto"/>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0.05 ± 0.01</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w:t>
            </w:r>
          </w:p>
        </w:tc>
      </w:tr>
      <w:tr w:rsidR="00687002" w:rsidRPr="00687002" w:rsidTr="00687002">
        <w:trPr>
          <w:trHeight w:val="299"/>
          <w:jc w:val="center"/>
        </w:trPr>
        <w:tc>
          <w:tcPr>
            <w:tcW w:w="0" w:type="auto"/>
            <w:shd w:val="clear" w:color="auto" w:fill="auto"/>
            <w:noWrap/>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CILE</w:t>
            </w:r>
          </w:p>
        </w:tc>
        <w:tc>
          <w:tcPr>
            <w:tcW w:w="0" w:type="auto"/>
            <w:shd w:val="clear" w:color="auto" w:fill="auto"/>
            <w:vAlign w:val="center"/>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1.10 ± 0.27</w:t>
            </w:r>
          </w:p>
          <w:p w:rsidR="00687002" w:rsidRPr="00687002" w:rsidRDefault="00687002" w:rsidP="00687002">
            <w:pPr>
              <w:spacing w:after="0" w:line="240" w:lineRule="auto"/>
              <w:jc w:val="both"/>
              <w:rPr>
                <w:rFonts w:ascii="Times New Roman" w:hAnsi="Times New Roman"/>
                <w:sz w:val="20"/>
                <w:szCs w:val="20"/>
              </w:rPr>
            </w:pPr>
          </w:p>
        </w:tc>
        <w:tc>
          <w:tcPr>
            <w:tcW w:w="0" w:type="auto"/>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0.62 ± 0.09</w:t>
            </w:r>
          </w:p>
        </w:tc>
        <w:tc>
          <w:tcPr>
            <w:tcW w:w="0" w:type="auto"/>
            <w:shd w:val="clear" w:color="auto" w:fill="auto"/>
            <w:vAlign w:val="center"/>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0.57 ± 0.11</w:t>
            </w:r>
          </w:p>
          <w:p w:rsidR="00687002" w:rsidRPr="00687002" w:rsidRDefault="00687002" w:rsidP="00687002">
            <w:pPr>
              <w:spacing w:after="0" w:line="240" w:lineRule="auto"/>
              <w:jc w:val="both"/>
              <w:rPr>
                <w:rFonts w:ascii="Times New Roman" w:hAnsi="Times New Roman"/>
                <w:sz w:val="20"/>
                <w:szCs w:val="20"/>
              </w:rPr>
            </w:pPr>
          </w:p>
        </w:tc>
        <w:tc>
          <w:tcPr>
            <w:tcW w:w="0" w:type="auto"/>
            <w:shd w:val="clear" w:color="auto" w:fill="auto"/>
            <w:vAlign w:val="center"/>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0.39 ± 0.03</w:t>
            </w:r>
          </w:p>
          <w:p w:rsidR="00687002" w:rsidRPr="00687002" w:rsidRDefault="00687002" w:rsidP="00687002">
            <w:pPr>
              <w:spacing w:after="0" w:line="240" w:lineRule="auto"/>
              <w:jc w:val="both"/>
              <w:rPr>
                <w:rFonts w:ascii="Times New Roman" w:hAnsi="Times New Roman"/>
                <w:sz w:val="20"/>
                <w:szCs w:val="20"/>
              </w:rPr>
            </w:pPr>
          </w:p>
        </w:tc>
        <w:tc>
          <w:tcPr>
            <w:tcW w:w="0" w:type="auto"/>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0.22 ± 0.02</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w:t>
            </w:r>
          </w:p>
        </w:tc>
        <w:tc>
          <w:tcPr>
            <w:tcW w:w="0" w:type="auto"/>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0.14 ± 0.01</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w:t>
            </w:r>
          </w:p>
        </w:tc>
      </w:tr>
      <w:tr w:rsidR="00687002" w:rsidRPr="00687002" w:rsidTr="00687002">
        <w:trPr>
          <w:trHeight w:val="299"/>
          <w:jc w:val="center"/>
        </w:trPr>
        <w:tc>
          <w:tcPr>
            <w:tcW w:w="0" w:type="auto"/>
            <w:shd w:val="clear" w:color="auto" w:fill="auto"/>
            <w:noWrap/>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CILM</w:t>
            </w:r>
          </w:p>
        </w:tc>
        <w:tc>
          <w:tcPr>
            <w:tcW w:w="0" w:type="auto"/>
            <w:shd w:val="clear" w:color="auto" w:fill="auto"/>
            <w:vAlign w:val="center"/>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1.41 ± 0.29</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w:t>
            </w:r>
          </w:p>
        </w:tc>
        <w:tc>
          <w:tcPr>
            <w:tcW w:w="0" w:type="auto"/>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0.98 ± 0.01</w:t>
            </w:r>
          </w:p>
        </w:tc>
        <w:tc>
          <w:tcPr>
            <w:tcW w:w="0" w:type="auto"/>
            <w:shd w:val="clear" w:color="auto" w:fill="auto"/>
            <w:vAlign w:val="center"/>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0.84 ± 0.09</w:t>
            </w:r>
          </w:p>
          <w:p w:rsidR="00687002" w:rsidRPr="00687002" w:rsidRDefault="00687002" w:rsidP="00687002">
            <w:pPr>
              <w:spacing w:after="0" w:line="240" w:lineRule="auto"/>
              <w:jc w:val="both"/>
              <w:rPr>
                <w:rFonts w:ascii="Times New Roman" w:hAnsi="Times New Roman"/>
                <w:sz w:val="20"/>
                <w:szCs w:val="20"/>
              </w:rPr>
            </w:pPr>
          </w:p>
        </w:tc>
        <w:tc>
          <w:tcPr>
            <w:tcW w:w="0" w:type="auto"/>
            <w:shd w:val="clear" w:color="auto" w:fill="auto"/>
            <w:vAlign w:val="center"/>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0.57 ± 0.06</w:t>
            </w:r>
          </w:p>
          <w:p w:rsidR="00687002" w:rsidRPr="00687002" w:rsidRDefault="00687002" w:rsidP="00687002">
            <w:pPr>
              <w:spacing w:after="0" w:line="240" w:lineRule="auto"/>
              <w:jc w:val="both"/>
              <w:rPr>
                <w:rFonts w:ascii="Times New Roman" w:hAnsi="Times New Roman"/>
                <w:sz w:val="20"/>
                <w:szCs w:val="20"/>
              </w:rPr>
            </w:pPr>
          </w:p>
        </w:tc>
        <w:tc>
          <w:tcPr>
            <w:tcW w:w="0" w:type="auto"/>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0.34 ± 0.04</w:t>
            </w:r>
          </w:p>
        </w:tc>
        <w:tc>
          <w:tcPr>
            <w:tcW w:w="0" w:type="auto"/>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0.22 ± 0.11</w:t>
            </w:r>
          </w:p>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w:t>
            </w:r>
          </w:p>
        </w:tc>
      </w:tr>
      <w:tr w:rsidR="00687002" w:rsidRPr="00687002" w:rsidTr="00687002">
        <w:trPr>
          <w:trHeight w:val="299"/>
          <w:jc w:val="center"/>
        </w:trPr>
        <w:tc>
          <w:tcPr>
            <w:tcW w:w="0" w:type="auto"/>
            <w:shd w:val="clear" w:color="auto" w:fill="auto"/>
            <w:noWrap/>
            <w:hideMark/>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AA</w:t>
            </w:r>
            <w:r w:rsidRPr="00687002">
              <w:rPr>
                <w:rFonts w:ascii="Times New Roman" w:hAnsi="Times New Roman"/>
                <w:sz w:val="20"/>
                <w:szCs w:val="20"/>
                <w:vertAlign w:val="superscript"/>
              </w:rPr>
              <w:t>b</w:t>
            </w:r>
          </w:p>
        </w:tc>
        <w:tc>
          <w:tcPr>
            <w:tcW w:w="0" w:type="auto"/>
            <w:vAlign w:val="center"/>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0.94 ± 0.24</w:t>
            </w:r>
          </w:p>
        </w:tc>
        <w:tc>
          <w:tcPr>
            <w:tcW w:w="0" w:type="auto"/>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0.29 ± 0.07</w:t>
            </w:r>
          </w:p>
        </w:tc>
        <w:tc>
          <w:tcPr>
            <w:tcW w:w="0" w:type="auto"/>
            <w:vAlign w:val="center"/>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0.37 ± 0.09</w:t>
            </w:r>
          </w:p>
        </w:tc>
        <w:tc>
          <w:tcPr>
            <w:tcW w:w="0" w:type="auto"/>
            <w:vAlign w:val="center"/>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0.17 ± 0.05</w:t>
            </w:r>
          </w:p>
        </w:tc>
        <w:tc>
          <w:tcPr>
            <w:tcW w:w="0" w:type="auto"/>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0.08 ± 0.01</w:t>
            </w:r>
          </w:p>
        </w:tc>
        <w:tc>
          <w:tcPr>
            <w:tcW w:w="0" w:type="auto"/>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0.07 ± 0.01</w:t>
            </w:r>
          </w:p>
        </w:tc>
      </w:tr>
      <w:tr w:rsidR="00687002" w:rsidRPr="00687002" w:rsidTr="00687002">
        <w:trPr>
          <w:trHeight w:val="299"/>
          <w:jc w:val="center"/>
        </w:trPr>
        <w:tc>
          <w:tcPr>
            <w:tcW w:w="0" w:type="auto"/>
            <w:shd w:val="clear" w:color="auto" w:fill="auto"/>
            <w:noWrap/>
            <w:hideMark/>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BHA</w:t>
            </w:r>
            <w:r w:rsidRPr="00687002">
              <w:rPr>
                <w:rFonts w:ascii="Times New Roman" w:hAnsi="Times New Roman"/>
                <w:sz w:val="20"/>
                <w:szCs w:val="20"/>
                <w:vertAlign w:val="superscript"/>
              </w:rPr>
              <w:t>b</w:t>
            </w:r>
          </w:p>
        </w:tc>
        <w:tc>
          <w:tcPr>
            <w:tcW w:w="0" w:type="auto"/>
            <w:vAlign w:val="center"/>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1.30 ± 0.33</w:t>
            </w:r>
          </w:p>
        </w:tc>
        <w:tc>
          <w:tcPr>
            <w:tcW w:w="0" w:type="auto"/>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1.07 ± 0.14</w:t>
            </w:r>
          </w:p>
        </w:tc>
        <w:tc>
          <w:tcPr>
            <w:tcW w:w="0" w:type="auto"/>
            <w:vAlign w:val="center"/>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0.83 ± 0.13</w:t>
            </w:r>
          </w:p>
        </w:tc>
        <w:tc>
          <w:tcPr>
            <w:tcW w:w="0" w:type="auto"/>
            <w:vAlign w:val="center"/>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0.62 ± 0.11</w:t>
            </w:r>
          </w:p>
        </w:tc>
        <w:tc>
          <w:tcPr>
            <w:tcW w:w="0" w:type="auto"/>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0.33 ± 0.09</w:t>
            </w:r>
          </w:p>
        </w:tc>
        <w:tc>
          <w:tcPr>
            <w:tcW w:w="0" w:type="auto"/>
          </w:tcPr>
          <w:p w:rsidR="00687002" w:rsidRPr="00687002" w:rsidRDefault="00687002" w:rsidP="00687002">
            <w:pPr>
              <w:spacing w:after="0" w:line="240" w:lineRule="auto"/>
              <w:jc w:val="both"/>
              <w:rPr>
                <w:rFonts w:ascii="Times New Roman" w:hAnsi="Times New Roman"/>
                <w:sz w:val="20"/>
                <w:szCs w:val="20"/>
              </w:rPr>
            </w:pPr>
            <w:r w:rsidRPr="00687002">
              <w:rPr>
                <w:rFonts w:ascii="Times New Roman" w:hAnsi="Times New Roman"/>
                <w:sz w:val="20"/>
                <w:szCs w:val="20"/>
              </w:rPr>
              <w:t>0.22 ± 0.06</w:t>
            </w:r>
          </w:p>
        </w:tc>
      </w:tr>
      <w:tr w:rsidR="00687002" w:rsidRPr="00687002" w:rsidTr="00687002">
        <w:trPr>
          <w:trHeight w:val="299"/>
          <w:jc w:val="center"/>
        </w:trPr>
        <w:tc>
          <w:tcPr>
            <w:tcW w:w="0" w:type="auto"/>
            <w:shd w:val="clear" w:color="auto" w:fill="auto"/>
            <w:noWrap/>
            <w:hideMark/>
          </w:tcPr>
          <w:p w:rsidR="00687002" w:rsidRPr="00687002" w:rsidRDefault="00687002" w:rsidP="004E2E3D">
            <w:pPr>
              <w:spacing w:after="60" w:line="240" w:lineRule="auto"/>
              <w:jc w:val="both"/>
              <w:rPr>
                <w:rFonts w:ascii="Times New Roman" w:hAnsi="Times New Roman"/>
                <w:sz w:val="20"/>
                <w:szCs w:val="20"/>
              </w:rPr>
            </w:pPr>
            <w:r w:rsidRPr="00687002">
              <w:rPr>
                <w:rFonts w:ascii="Times New Roman" w:hAnsi="Times New Roman"/>
                <w:sz w:val="20"/>
                <w:szCs w:val="20"/>
              </w:rPr>
              <w:t>BHT</w:t>
            </w:r>
            <w:r w:rsidRPr="00687002">
              <w:rPr>
                <w:rFonts w:ascii="Times New Roman" w:hAnsi="Times New Roman"/>
                <w:sz w:val="20"/>
                <w:szCs w:val="20"/>
                <w:vertAlign w:val="superscript"/>
              </w:rPr>
              <w:t>b</w:t>
            </w:r>
          </w:p>
        </w:tc>
        <w:tc>
          <w:tcPr>
            <w:tcW w:w="0" w:type="auto"/>
            <w:vAlign w:val="center"/>
          </w:tcPr>
          <w:p w:rsidR="00687002" w:rsidRPr="00687002" w:rsidRDefault="00687002" w:rsidP="004E2E3D">
            <w:pPr>
              <w:spacing w:after="60" w:line="240" w:lineRule="auto"/>
              <w:jc w:val="both"/>
              <w:rPr>
                <w:rFonts w:ascii="Times New Roman" w:hAnsi="Times New Roman"/>
                <w:sz w:val="20"/>
                <w:szCs w:val="20"/>
              </w:rPr>
            </w:pPr>
            <w:r w:rsidRPr="00687002">
              <w:rPr>
                <w:rFonts w:ascii="Times New Roman" w:hAnsi="Times New Roman"/>
                <w:sz w:val="20"/>
                <w:szCs w:val="20"/>
              </w:rPr>
              <w:t>0.59 ± 0.21</w:t>
            </w:r>
          </w:p>
        </w:tc>
        <w:tc>
          <w:tcPr>
            <w:tcW w:w="0" w:type="auto"/>
          </w:tcPr>
          <w:p w:rsidR="00687002" w:rsidRPr="00687002" w:rsidRDefault="00687002" w:rsidP="004E2E3D">
            <w:pPr>
              <w:spacing w:after="60" w:line="240" w:lineRule="auto"/>
              <w:jc w:val="both"/>
              <w:rPr>
                <w:rFonts w:ascii="Times New Roman" w:hAnsi="Times New Roman"/>
                <w:sz w:val="20"/>
                <w:szCs w:val="20"/>
              </w:rPr>
            </w:pPr>
            <w:r w:rsidRPr="00687002">
              <w:rPr>
                <w:rFonts w:ascii="Times New Roman" w:hAnsi="Times New Roman"/>
                <w:sz w:val="20"/>
                <w:szCs w:val="20"/>
              </w:rPr>
              <w:t>0.36 ± 0.06</w:t>
            </w:r>
          </w:p>
        </w:tc>
        <w:tc>
          <w:tcPr>
            <w:tcW w:w="0" w:type="auto"/>
            <w:vAlign w:val="center"/>
          </w:tcPr>
          <w:p w:rsidR="00687002" w:rsidRPr="00687002" w:rsidRDefault="00687002" w:rsidP="004E2E3D">
            <w:pPr>
              <w:spacing w:after="60" w:line="240" w:lineRule="auto"/>
              <w:jc w:val="both"/>
              <w:rPr>
                <w:rFonts w:ascii="Times New Roman" w:hAnsi="Times New Roman"/>
                <w:sz w:val="20"/>
                <w:szCs w:val="20"/>
              </w:rPr>
            </w:pPr>
            <w:r w:rsidRPr="00687002">
              <w:rPr>
                <w:rFonts w:ascii="Times New Roman" w:hAnsi="Times New Roman"/>
                <w:sz w:val="20"/>
                <w:szCs w:val="20"/>
              </w:rPr>
              <w:t>0.28 ± 0.05</w:t>
            </w:r>
          </w:p>
        </w:tc>
        <w:tc>
          <w:tcPr>
            <w:tcW w:w="0" w:type="auto"/>
            <w:vAlign w:val="center"/>
          </w:tcPr>
          <w:p w:rsidR="00687002" w:rsidRPr="00687002" w:rsidRDefault="00687002" w:rsidP="004E2E3D">
            <w:pPr>
              <w:spacing w:after="60" w:line="240" w:lineRule="auto"/>
              <w:jc w:val="both"/>
              <w:rPr>
                <w:rFonts w:ascii="Times New Roman" w:hAnsi="Times New Roman"/>
                <w:sz w:val="20"/>
                <w:szCs w:val="20"/>
              </w:rPr>
            </w:pPr>
            <w:r w:rsidRPr="00687002">
              <w:rPr>
                <w:rFonts w:ascii="Times New Roman" w:hAnsi="Times New Roman"/>
                <w:sz w:val="20"/>
                <w:szCs w:val="20"/>
              </w:rPr>
              <w:t>0.21 ± 0.02</w:t>
            </w:r>
          </w:p>
        </w:tc>
        <w:tc>
          <w:tcPr>
            <w:tcW w:w="0" w:type="auto"/>
          </w:tcPr>
          <w:p w:rsidR="00687002" w:rsidRPr="00687002" w:rsidRDefault="00687002" w:rsidP="004E2E3D">
            <w:pPr>
              <w:spacing w:after="60" w:line="240" w:lineRule="auto"/>
              <w:jc w:val="both"/>
              <w:rPr>
                <w:rFonts w:ascii="Times New Roman" w:hAnsi="Times New Roman"/>
                <w:sz w:val="20"/>
                <w:szCs w:val="20"/>
              </w:rPr>
            </w:pPr>
            <w:r w:rsidRPr="00687002">
              <w:rPr>
                <w:rFonts w:ascii="Times New Roman" w:hAnsi="Times New Roman"/>
                <w:sz w:val="20"/>
                <w:szCs w:val="20"/>
              </w:rPr>
              <w:t>0.19 ± 0.04</w:t>
            </w:r>
          </w:p>
        </w:tc>
        <w:tc>
          <w:tcPr>
            <w:tcW w:w="0" w:type="auto"/>
          </w:tcPr>
          <w:p w:rsidR="00687002" w:rsidRPr="00687002" w:rsidRDefault="00687002" w:rsidP="004E2E3D">
            <w:pPr>
              <w:spacing w:after="60" w:line="240" w:lineRule="auto"/>
              <w:jc w:val="both"/>
              <w:rPr>
                <w:rFonts w:ascii="Times New Roman" w:hAnsi="Times New Roman"/>
                <w:sz w:val="20"/>
                <w:szCs w:val="20"/>
              </w:rPr>
            </w:pPr>
            <w:r w:rsidRPr="00687002">
              <w:rPr>
                <w:rFonts w:ascii="Times New Roman" w:hAnsi="Times New Roman"/>
                <w:sz w:val="20"/>
                <w:szCs w:val="20"/>
              </w:rPr>
              <w:t>0.09 ± 0.04</w:t>
            </w:r>
          </w:p>
        </w:tc>
      </w:tr>
    </w:tbl>
    <w:p w:rsidR="00687002" w:rsidRPr="003B7D29" w:rsidRDefault="00687002" w:rsidP="003B7D29">
      <w:pPr>
        <w:autoSpaceDE w:val="0"/>
        <w:autoSpaceDN w:val="0"/>
        <w:adjustRightInd w:val="0"/>
        <w:spacing w:before="60" w:after="0" w:line="240" w:lineRule="auto"/>
        <w:ind w:left="360" w:right="331"/>
        <w:jc w:val="both"/>
        <w:rPr>
          <w:rFonts w:ascii="Times New Roman" w:hAnsi="Times New Roman"/>
          <w:sz w:val="18"/>
          <w:szCs w:val="18"/>
        </w:rPr>
      </w:pPr>
      <w:r w:rsidRPr="003B7D29">
        <w:rPr>
          <w:rFonts w:ascii="Times New Roman" w:hAnsi="Times New Roman"/>
          <w:sz w:val="18"/>
          <w:szCs w:val="18"/>
          <w:vertAlign w:val="superscript"/>
        </w:rPr>
        <w:t xml:space="preserve">a </w:t>
      </w:r>
      <w:r w:rsidRPr="003B7D29">
        <w:rPr>
          <w:rFonts w:ascii="Times New Roman" w:hAnsi="Times New Roman"/>
          <w:sz w:val="18"/>
          <w:szCs w:val="18"/>
        </w:rPr>
        <w:t xml:space="preserve">Data represent mean ± standard deviation of three replicate experiments; </w:t>
      </w:r>
      <w:r w:rsidRPr="003B7D29">
        <w:rPr>
          <w:rFonts w:ascii="Times New Roman" w:hAnsi="Times New Roman"/>
          <w:sz w:val="18"/>
          <w:szCs w:val="18"/>
          <w:vertAlign w:val="superscript"/>
        </w:rPr>
        <w:t>b</w:t>
      </w:r>
      <w:r w:rsidRPr="003B7D29">
        <w:rPr>
          <w:rFonts w:ascii="Times New Roman" w:hAnsi="Times New Roman"/>
          <w:sz w:val="18"/>
          <w:szCs w:val="18"/>
        </w:rPr>
        <w:t xml:space="preserve"> Positive control; AA = Ascorbic acid; BHT: Butylated Hydroxytoluene; BHA: Butylated Hydroxyanisole;  * </w:t>
      </w:r>
      <w:r w:rsidRPr="003B7D29">
        <w:rPr>
          <w:rFonts w:ascii="Times New Roman" w:hAnsi="Times New Roman"/>
          <w:i/>
          <w:iCs/>
          <w:sz w:val="18"/>
          <w:szCs w:val="18"/>
        </w:rPr>
        <w:t xml:space="preserve">P </w:t>
      </w:r>
      <w:r w:rsidRPr="003B7D29">
        <w:rPr>
          <w:rFonts w:ascii="Times New Roman" w:hAnsi="Times New Roman"/>
          <w:sz w:val="18"/>
          <w:szCs w:val="18"/>
        </w:rPr>
        <w:t xml:space="preserve">&lt; 0.05, ** </w:t>
      </w:r>
      <w:r w:rsidRPr="003B7D29">
        <w:rPr>
          <w:rFonts w:ascii="Times New Roman" w:hAnsi="Times New Roman"/>
          <w:i/>
          <w:iCs/>
          <w:sz w:val="18"/>
          <w:szCs w:val="18"/>
        </w:rPr>
        <w:t xml:space="preserve">P </w:t>
      </w:r>
      <w:r w:rsidRPr="003B7D29">
        <w:rPr>
          <w:rFonts w:ascii="Times New Roman" w:hAnsi="Times New Roman"/>
          <w:sz w:val="18"/>
          <w:szCs w:val="18"/>
        </w:rPr>
        <w:t xml:space="preserve">&lt; 0.01,*** </w:t>
      </w:r>
      <w:r w:rsidRPr="003B7D29">
        <w:rPr>
          <w:rFonts w:ascii="Times New Roman" w:hAnsi="Times New Roman"/>
          <w:i/>
          <w:iCs/>
          <w:sz w:val="18"/>
          <w:szCs w:val="18"/>
        </w:rPr>
        <w:t xml:space="preserve">P </w:t>
      </w:r>
      <w:r w:rsidRPr="003B7D29">
        <w:rPr>
          <w:rFonts w:ascii="Times New Roman" w:hAnsi="Times New Roman"/>
          <w:sz w:val="18"/>
          <w:szCs w:val="18"/>
        </w:rPr>
        <w:t>&lt; 0.001</w:t>
      </w:r>
    </w:p>
    <w:p w:rsidR="00687002" w:rsidRPr="00687002" w:rsidRDefault="00687002" w:rsidP="003B7D29">
      <w:pPr>
        <w:spacing w:after="120" w:line="240" w:lineRule="auto"/>
        <w:jc w:val="both"/>
        <w:rPr>
          <w:rFonts w:ascii="Times New Roman" w:hAnsi="Times New Roman"/>
          <w:sz w:val="20"/>
          <w:szCs w:val="20"/>
        </w:rPr>
      </w:pPr>
    </w:p>
    <w:p w:rsidR="00687002" w:rsidRPr="00687002" w:rsidRDefault="00687002" w:rsidP="00687002">
      <w:pPr>
        <w:spacing w:after="0" w:line="240" w:lineRule="auto"/>
        <w:jc w:val="both"/>
        <w:rPr>
          <w:rFonts w:ascii="Times New Roman" w:hAnsi="Times New Roman"/>
          <w:sz w:val="20"/>
          <w:szCs w:val="20"/>
          <w:lang w:val="en-GB"/>
        </w:rPr>
      </w:pPr>
      <w:r w:rsidRPr="00687002">
        <w:rPr>
          <w:rFonts w:ascii="Times New Roman" w:hAnsi="Times New Roman"/>
          <w:sz w:val="20"/>
          <w:szCs w:val="20"/>
          <w:lang w:val="en-GB"/>
        </w:rPr>
        <w:t xml:space="preserve">The dichloromethane extract from the leaves of </w:t>
      </w:r>
      <w:r w:rsidRPr="00687002">
        <w:rPr>
          <w:rFonts w:ascii="Times New Roman" w:hAnsi="Times New Roman"/>
          <w:i/>
          <w:sz w:val="20"/>
          <w:szCs w:val="20"/>
          <w:lang w:val="en-GB"/>
        </w:rPr>
        <w:t>C. ferrugineum</w:t>
      </w:r>
      <w:r w:rsidRPr="00687002">
        <w:rPr>
          <w:rFonts w:ascii="Times New Roman" w:hAnsi="Times New Roman"/>
          <w:sz w:val="20"/>
          <w:szCs w:val="20"/>
          <w:lang w:val="en-GB"/>
        </w:rPr>
        <w:t xml:space="preserve"> (CFLD) displayed the highest FRAP equivalent to FeSO</w:t>
      </w:r>
      <w:r w:rsidRPr="00687002">
        <w:rPr>
          <w:rFonts w:ascii="Times New Roman" w:hAnsi="Times New Roman"/>
          <w:sz w:val="20"/>
          <w:szCs w:val="20"/>
          <w:vertAlign w:val="subscript"/>
          <w:lang w:val="en-GB"/>
        </w:rPr>
        <w:t>4</w:t>
      </w:r>
      <w:r w:rsidRPr="00687002">
        <w:rPr>
          <w:rFonts w:ascii="Times New Roman" w:hAnsi="Times New Roman"/>
          <w:sz w:val="20"/>
          <w:szCs w:val="20"/>
          <w:lang w:val="en-GB"/>
        </w:rPr>
        <w:t>.7H</w:t>
      </w:r>
      <w:r w:rsidRPr="00687002">
        <w:rPr>
          <w:rFonts w:ascii="Times New Roman" w:hAnsi="Times New Roman"/>
          <w:sz w:val="20"/>
          <w:szCs w:val="20"/>
          <w:vertAlign w:val="subscript"/>
          <w:lang w:val="en-GB"/>
        </w:rPr>
        <w:t>2</w:t>
      </w:r>
      <w:r w:rsidRPr="00687002">
        <w:rPr>
          <w:rFonts w:ascii="Times New Roman" w:hAnsi="Times New Roman"/>
          <w:sz w:val="20"/>
          <w:szCs w:val="20"/>
          <w:lang w:val="en-GB"/>
        </w:rPr>
        <w:t xml:space="preserve">O among all dichloromethane extracts followed by the bark extract of </w:t>
      </w:r>
      <w:r w:rsidRPr="00687002">
        <w:rPr>
          <w:rFonts w:ascii="Times New Roman" w:hAnsi="Times New Roman"/>
          <w:i/>
          <w:sz w:val="20"/>
          <w:szCs w:val="20"/>
          <w:lang w:val="en-GB"/>
        </w:rPr>
        <w:t>C. ferrugineum</w:t>
      </w:r>
      <w:r w:rsidRPr="00687002">
        <w:rPr>
          <w:rFonts w:ascii="Times New Roman" w:hAnsi="Times New Roman"/>
          <w:sz w:val="20"/>
          <w:szCs w:val="20"/>
          <w:lang w:val="en-GB"/>
        </w:rPr>
        <w:t xml:space="preserve"> and </w:t>
      </w:r>
      <w:r w:rsidRPr="00687002">
        <w:rPr>
          <w:rFonts w:ascii="Times New Roman" w:hAnsi="Times New Roman"/>
          <w:i/>
          <w:sz w:val="20"/>
          <w:szCs w:val="20"/>
          <w:lang w:val="en-GB"/>
        </w:rPr>
        <w:t>C. incrassatum</w:t>
      </w:r>
      <w:r w:rsidRPr="00687002">
        <w:rPr>
          <w:rFonts w:ascii="Times New Roman" w:hAnsi="Times New Roman"/>
          <w:sz w:val="20"/>
          <w:szCs w:val="20"/>
          <w:lang w:val="en-GB"/>
        </w:rPr>
        <w:t xml:space="preserve"> as shown in Figure 5. Meanwhile, the ethyl acetate extract from the bark of </w:t>
      </w:r>
      <w:r w:rsidRPr="00687002">
        <w:rPr>
          <w:rFonts w:ascii="Times New Roman" w:hAnsi="Times New Roman"/>
          <w:i/>
          <w:sz w:val="20"/>
          <w:szCs w:val="20"/>
          <w:lang w:val="en-GB"/>
        </w:rPr>
        <w:t>C. ferrugineum</w:t>
      </w:r>
      <w:r w:rsidRPr="00687002">
        <w:rPr>
          <w:rFonts w:ascii="Times New Roman" w:hAnsi="Times New Roman"/>
          <w:sz w:val="20"/>
          <w:szCs w:val="20"/>
          <w:lang w:val="en-GB"/>
        </w:rPr>
        <w:t xml:space="preserve"> followed by ethyl acetate extract from the leaves of </w:t>
      </w:r>
      <w:r w:rsidRPr="00687002">
        <w:rPr>
          <w:rFonts w:ascii="Times New Roman" w:hAnsi="Times New Roman"/>
          <w:i/>
          <w:sz w:val="20"/>
          <w:szCs w:val="20"/>
          <w:lang w:val="en-GB"/>
        </w:rPr>
        <w:t>C. ferrugineum</w:t>
      </w:r>
      <w:r w:rsidRPr="00687002">
        <w:rPr>
          <w:rFonts w:ascii="Times New Roman" w:hAnsi="Times New Roman"/>
          <w:sz w:val="20"/>
          <w:szCs w:val="20"/>
          <w:lang w:val="en-GB"/>
        </w:rPr>
        <w:t xml:space="preserve">, ethyl acetate extract from the bark of </w:t>
      </w:r>
      <w:r w:rsidRPr="00687002">
        <w:rPr>
          <w:rFonts w:ascii="Times New Roman" w:hAnsi="Times New Roman"/>
          <w:i/>
          <w:sz w:val="20"/>
          <w:szCs w:val="20"/>
          <w:lang w:val="en-GB"/>
        </w:rPr>
        <w:t>C. incrassatum</w:t>
      </w:r>
      <w:r w:rsidRPr="00687002">
        <w:rPr>
          <w:rFonts w:ascii="Times New Roman" w:hAnsi="Times New Roman"/>
          <w:sz w:val="20"/>
          <w:szCs w:val="20"/>
          <w:lang w:val="en-GB"/>
        </w:rPr>
        <w:t xml:space="preserve"> and ethyl acetate extract from leaves of </w:t>
      </w:r>
      <w:r w:rsidRPr="00687002">
        <w:rPr>
          <w:rFonts w:ascii="Times New Roman" w:hAnsi="Times New Roman"/>
          <w:i/>
          <w:sz w:val="20"/>
          <w:szCs w:val="20"/>
          <w:lang w:val="en-GB"/>
        </w:rPr>
        <w:t>C. incrassatum</w:t>
      </w:r>
      <w:r w:rsidRPr="00687002">
        <w:rPr>
          <w:rFonts w:ascii="Times New Roman" w:hAnsi="Times New Roman"/>
          <w:sz w:val="20"/>
          <w:szCs w:val="20"/>
          <w:lang w:val="en-GB"/>
        </w:rPr>
        <w:t xml:space="preserve"> showed the FRAP equivalent to FeSO</w:t>
      </w:r>
      <w:r w:rsidRPr="00687002">
        <w:rPr>
          <w:rFonts w:ascii="Times New Roman" w:hAnsi="Times New Roman"/>
          <w:sz w:val="20"/>
          <w:szCs w:val="20"/>
          <w:vertAlign w:val="subscript"/>
          <w:lang w:val="en-GB"/>
        </w:rPr>
        <w:t>4</w:t>
      </w:r>
      <w:r w:rsidRPr="00687002">
        <w:rPr>
          <w:rFonts w:ascii="Times New Roman" w:hAnsi="Times New Roman"/>
          <w:sz w:val="20"/>
          <w:szCs w:val="20"/>
          <w:lang w:val="en-GB"/>
        </w:rPr>
        <w:t>.7H</w:t>
      </w:r>
      <w:r w:rsidRPr="00687002">
        <w:rPr>
          <w:rFonts w:ascii="Times New Roman" w:hAnsi="Times New Roman"/>
          <w:sz w:val="20"/>
          <w:szCs w:val="20"/>
          <w:vertAlign w:val="subscript"/>
          <w:lang w:val="en-GB"/>
        </w:rPr>
        <w:t>2</w:t>
      </w:r>
      <w:r w:rsidRPr="00687002">
        <w:rPr>
          <w:rFonts w:ascii="Times New Roman" w:hAnsi="Times New Roman"/>
          <w:sz w:val="20"/>
          <w:szCs w:val="20"/>
          <w:lang w:val="en-GB"/>
        </w:rPr>
        <w:t xml:space="preserve">O in decreasing order (Figure 6). Moreover, the methanol extracts from bark of </w:t>
      </w:r>
      <w:r w:rsidRPr="00687002">
        <w:rPr>
          <w:rFonts w:ascii="Times New Roman" w:hAnsi="Times New Roman"/>
          <w:i/>
          <w:sz w:val="20"/>
          <w:szCs w:val="20"/>
          <w:lang w:val="en-GB"/>
        </w:rPr>
        <w:t>C. ferrugineum</w:t>
      </w:r>
      <w:r w:rsidRPr="00687002">
        <w:rPr>
          <w:rFonts w:ascii="Times New Roman" w:hAnsi="Times New Roman"/>
          <w:sz w:val="20"/>
          <w:szCs w:val="20"/>
          <w:lang w:val="en-GB"/>
        </w:rPr>
        <w:t xml:space="preserve">, bark of </w:t>
      </w:r>
      <w:r w:rsidRPr="00687002">
        <w:rPr>
          <w:rFonts w:ascii="Times New Roman" w:hAnsi="Times New Roman"/>
          <w:i/>
          <w:sz w:val="20"/>
          <w:szCs w:val="20"/>
          <w:lang w:val="en-GB"/>
        </w:rPr>
        <w:t>C. incrassatum</w:t>
      </w:r>
      <w:r w:rsidRPr="00687002">
        <w:rPr>
          <w:rFonts w:ascii="Times New Roman" w:hAnsi="Times New Roman"/>
          <w:sz w:val="20"/>
          <w:szCs w:val="20"/>
          <w:lang w:val="en-GB"/>
        </w:rPr>
        <w:t xml:space="preserve"> and leaves of </w:t>
      </w:r>
      <w:r w:rsidRPr="00687002">
        <w:rPr>
          <w:rFonts w:ascii="Times New Roman" w:hAnsi="Times New Roman"/>
          <w:i/>
          <w:sz w:val="20"/>
          <w:szCs w:val="20"/>
          <w:lang w:val="en-GB"/>
        </w:rPr>
        <w:t>C. ferrugineum</w:t>
      </w:r>
      <w:r w:rsidRPr="00687002">
        <w:rPr>
          <w:rFonts w:ascii="Times New Roman" w:hAnsi="Times New Roman"/>
          <w:sz w:val="20"/>
          <w:szCs w:val="20"/>
          <w:lang w:val="en-GB"/>
        </w:rPr>
        <w:t xml:space="preserve"> also depicted high FRAP equivalent to FeSO</w:t>
      </w:r>
      <w:r w:rsidRPr="00687002">
        <w:rPr>
          <w:rFonts w:ascii="Times New Roman" w:hAnsi="Times New Roman"/>
          <w:sz w:val="20"/>
          <w:szCs w:val="20"/>
          <w:vertAlign w:val="subscript"/>
          <w:lang w:val="en-GB"/>
        </w:rPr>
        <w:t>4</w:t>
      </w:r>
      <w:r w:rsidRPr="00687002">
        <w:rPr>
          <w:rFonts w:ascii="Times New Roman" w:hAnsi="Times New Roman"/>
          <w:sz w:val="20"/>
          <w:szCs w:val="20"/>
          <w:lang w:val="en-GB"/>
        </w:rPr>
        <w:t>.7H</w:t>
      </w:r>
      <w:r w:rsidRPr="00687002">
        <w:rPr>
          <w:rFonts w:ascii="Times New Roman" w:hAnsi="Times New Roman"/>
          <w:sz w:val="20"/>
          <w:szCs w:val="20"/>
          <w:vertAlign w:val="subscript"/>
          <w:lang w:val="en-GB"/>
        </w:rPr>
        <w:t>2</w:t>
      </w:r>
      <w:r w:rsidRPr="00687002">
        <w:rPr>
          <w:rFonts w:ascii="Times New Roman" w:hAnsi="Times New Roman"/>
          <w:sz w:val="20"/>
          <w:szCs w:val="20"/>
          <w:lang w:val="en-GB"/>
        </w:rPr>
        <w:t>O among all methanol extracts displayed in Figure 7.</w:t>
      </w:r>
    </w:p>
    <w:p w:rsidR="00687002" w:rsidRPr="00687002" w:rsidRDefault="00687002" w:rsidP="00687002">
      <w:pPr>
        <w:spacing w:after="0" w:line="240" w:lineRule="auto"/>
        <w:jc w:val="both"/>
        <w:rPr>
          <w:rFonts w:ascii="Times New Roman" w:hAnsi="Times New Roman"/>
          <w:sz w:val="20"/>
          <w:szCs w:val="20"/>
        </w:rPr>
      </w:pPr>
    </w:p>
    <w:p w:rsidR="00687002" w:rsidRPr="00687002" w:rsidRDefault="00687002" w:rsidP="003B7D29">
      <w:pPr>
        <w:spacing w:after="120" w:line="240" w:lineRule="auto"/>
        <w:jc w:val="center"/>
        <w:rPr>
          <w:rFonts w:ascii="Times New Roman" w:hAnsi="Times New Roman"/>
          <w:sz w:val="20"/>
          <w:szCs w:val="20"/>
        </w:rPr>
      </w:pPr>
      <w:r w:rsidRPr="00687002">
        <w:rPr>
          <w:rFonts w:ascii="Times New Roman" w:hAnsi="Times New Roman"/>
          <w:noProof/>
          <w:sz w:val="20"/>
          <w:szCs w:val="20"/>
          <w:lang w:bidi="ar-SA"/>
        </w:rPr>
        <w:lastRenderedPageBreak/>
        <w:drawing>
          <wp:inline distT="0" distB="0" distL="0" distR="0" wp14:anchorId="706C427B" wp14:editId="043F6E5C">
            <wp:extent cx="2743200" cy="2194560"/>
            <wp:effectExtent l="0" t="0" r="1905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87002" w:rsidRPr="00687002" w:rsidRDefault="00687002" w:rsidP="003B7D29">
      <w:pPr>
        <w:spacing w:after="0" w:line="240" w:lineRule="auto"/>
        <w:jc w:val="center"/>
        <w:rPr>
          <w:rFonts w:ascii="Times New Roman" w:hAnsi="Times New Roman"/>
          <w:sz w:val="20"/>
          <w:szCs w:val="20"/>
        </w:rPr>
      </w:pPr>
      <w:r w:rsidRPr="00687002">
        <w:rPr>
          <w:rFonts w:ascii="Times New Roman" w:hAnsi="Times New Roman"/>
          <w:sz w:val="20"/>
          <w:szCs w:val="20"/>
        </w:rPr>
        <w:t xml:space="preserve">Figure 5. </w:t>
      </w:r>
      <w:r w:rsidR="003B7D29">
        <w:rPr>
          <w:rFonts w:ascii="Times New Roman" w:hAnsi="Times New Roman"/>
          <w:sz w:val="20"/>
          <w:szCs w:val="20"/>
        </w:rPr>
        <w:t xml:space="preserve"> </w:t>
      </w:r>
      <w:r w:rsidRPr="00687002">
        <w:rPr>
          <w:rFonts w:ascii="Times New Roman" w:hAnsi="Times New Roman"/>
          <w:sz w:val="20"/>
          <w:szCs w:val="20"/>
        </w:rPr>
        <w:t>FRAP equivalent to FeSO</w:t>
      </w:r>
      <w:r w:rsidRPr="00687002">
        <w:rPr>
          <w:rFonts w:ascii="Times New Roman" w:hAnsi="Times New Roman"/>
          <w:sz w:val="20"/>
          <w:szCs w:val="20"/>
          <w:vertAlign w:val="subscript"/>
        </w:rPr>
        <w:t>4</w:t>
      </w:r>
      <w:r w:rsidRPr="00687002">
        <w:rPr>
          <w:rFonts w:ascii="Times New Roman" w:hAnsi="Times New Roman"/>
          <w:sz w:val="20"/>
          <w:szCs w:val="20"/>
        </w:rPr>
        <w:t>.7H</w:t>
      </w:r>
      <w:r w:rsidRPr="00687002">
        <w:rPr>
          <w:rFonts w:ascii="Times New Roman" w:hAnsi="Times New Roman"/>
          <w:sz w:val="20"/>
          <w:szCs w:val="20"/>
          <w:vertAlign w:val="subscript"/>
        </w:rPr>
        <w:t>2</w:t>
      </w:r>
      <w:r w:rsidRPr="00687002">
        <w:rPr>
          <w:rFonts w:ascii="Times New Roman" w:hAnsi="Times New Roman"/>
          <w:sz w:val="20"/>
          <w:szCs w:val="20"/>
        </w:rPr>
        <w:t>O of dichloromethane extracts</w:t>
      </w:r>
    </w:p>
    <w:p w:rsidR="00687002" w:rsidRPr="00687002" w:rsidRDefault="00687002" w:rsidP="003B7D29">
      <w:pPr>
        <w:spacing w:after="120" w:line="240" w:lineRule="auto"/>
        <w:jc w:val="center"/>
        <w:rPr>
          <w:rFonts w:ascii="Times New Roman" w:hAnsi="Times New Roman"/>
          <w:sz w:val="20"/>
          <w:szCs w:val="20"/>
        </w:rPr>
      </w:pPr>
    </w:p>
    <w:p w:rsidR="00687002" w:rsidRPr="00687002" w:rsidRDefault="00687002" w:rsidP="003B7D29">
      <w:pPr>
        <w:spacing w:after="120" w:line="240" w:lineRule="auto"/>
        <w:jc w:val="center"/>
        <w:rPr>
          <w:rFonts w:ascii="Times New Roman" w:hAnsi="Times New Roman"/>
          <w:sz w:val="20"/>
          <w:szCs w:val="20"/>
        </w:rPr>
      </w:pPr>
      <w:r w:rsidRPr="00687002">
        <w:rPr>
          <w:rFonts w:ascii="Times New Roman" w:hAnsi="Times New Roman"/>
          <w:noProof/>
          <w:sz w:val="20"/>
          <w:szCs w:val="20"/>
          <w:lang w:bidi="ar-SA"/>
        </w:rPr>
        <w:drawing>
          <wp:inline distT="0" distB="0" distL="0" distR="0" wp14:anchorId="0BCA8C6D" wp14:editId="7479D70F">
            <wp:extent cx="2743200" cy="2194560"/>
            <wp:effectExtent l="0" t="0" r="1905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87002" w:rsidRPr="00687002" w:rsidRDefault="00687002" w:rsidP="003B7D29">
      <w:pPr>
        <w:spacing w:after="0" w:line="240" w:lineRule="auto"/>
        <w:jc w:val="center"/>
        <w:rPr>
          <w:rFonts w:ascii="Times New Roman" w:hAnsi="Times New Roman"/>
          <w:sz w:val="20"/>
          <w:szCs w:val="20"/>
        </w:rPr>
      </w:pPr>
      <w:r w:rsidRPr="00687002">
        <w:rPr>
          <w:rFonts w:ascii="Times New Roman" w:hAnsi="Times New Roman"/>
          <w:sz w:val="20"/>
          <w:szCs w:val="20"/>
        </w:rPr>
        <w:t xml:space="preserve">Figure 6. </w:t>
      </w:r>
      <w:r w:rsidR="003B7D29">
        <w:rPr>
          <w:rFonts w:ascii="Times New Roman" w:hAnsi="Times New Roman"/>
          <w:sz w:val="20"/>
          <w:szCs w:val="20"/>
        </w:rPr>
        <w:t xml:space="preserve"> </w:t>
      </w:r>
      <w:r w:rsidRPr="00687002">
        <w:rPr>
          <w:rFonts w:ascii="Times New Roman" w:hAnsi="Times New Roman"/>
          <w:sz w:val="20"/>
          <w:szCs w:val="20"/>
        </w:rPr>
        <w:t>FRAP equivalent to FeSO</w:t>
      </w:r>
      <w:r w:rsidRPr="00687002">
        <w:rPr>
          <w:rFonts w:ascii="Times New Roman" w:hAnsi="Times New Roman"/>
          <w:sz w:val="20"/>
          <w:szCs w:val="20"/>
          <w:vertAlign w:val="subscript"/>
        </w:rPr>
        <w:t>4</w:t>
      </w:r>
      <w:r w:rsidRPr="00687002">
        <w:rPr>
          <w:rFonts w:ascii="Times New Roman" w:hAnsi="Times New Roman"/>
          <w:sz w:val="20"/>
          <w:szCs w:val="20"/>
        </w:rPr>
        <w:t>.7H</w:t>
      </w:r>
      <w:r w:rsidRPr="00687002">
        <w:rPr>
          <w:rFonts w:ascii="Times New Roman" w:hAnsi="Times New Roman"/>
          <w:sz w:val="20"/>
          <w:szCs w:val="20"/>
          <w:vertAlign w:val="subscript"/>
        </w:rPr>
        <w:t>2</w:t>
      </w:r>
      <w:r w:rsidRPr="00687002">
        <w:rPr>
          <w:rFonts w:ascii="Times New Roman" w:hAnsi="Times New Roman"/>
          <w:sz w:val="20"/>
          <w:szCs w:val="20"/>
        </w:rPr>
        <w:t>O of ethyl acetate extracts</w:t>
      </w:r>
    </w:p>
    <w:p w:rsidR="00687002" w:rsidRPr="00687002" w:rsidRDefault="00687002" w:rsidP="003B7D29">
      <w:pPr>
        <w:spacing w:after="120" w:line="240" w:lineRule="auto"/>
        <w:jc w:val="center"/>
        <w:rPr>
          <w:rFonts w:ascii="Times New Roman" w:hAnsi="Times New Roman"/>
          <w:sz w:val="20"/>
          <w:szCs w:val="20"/>
        </w:rPr>
      </w:pPr>
    </w:p>
    <w:p w:rsidR="00687002" w:rsidRPr="00687002" w:rsidRDefault="00687002" w:rsidP="003B7D29">
      <w:pPr>
        <w:spacing w:after="120" w:line="240" w:lineRule="auto"/>
        <w:jc w:val="center"/>
        <w:rPr>
          <w:rFonts w:ascii="Times New Roman" w:hAnsi="Times New Roman"/>
          <w:sz w:val="20"/>
          <w:szCs w:val="20"/>
        </w:rPr>
      </w:pPr>
      <w:r w:rsidRPr="00687002">
        <w:rPr>
          <w:rFonts w:ascii="Times New Roman" w:hAnsi="Times New Roman"/>
          <w:noProof/>
          <w:sz w:val="20"/>
          <w:szCs w:val="20"/>
          <w:lang w:bidi="ar-SA"/>
        </w:rPr>
        <w:drawing>
          <wp:inline distT="0" distB="0" distL="0" distR="0" wp14:anchorId="511BFB49" wp14:editId="3984002E">
            <wp:extent cx="2743200" cy="2194560"/>
            <wp:effectExtent l="0" t="0" r="19050" b="152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87002" w:rsidRPr="00687002" w:rsidRDefault="00687002" w:rsidP="003B7D29">
      <w:pPr>
        <w:spacing w:after="0" w:line="240" w:lineRule="auto"/>
        <w:jc w:val="center"/>
        <w:rPr>
          <w:rFonts w:ascii="Times New Roman" w:hAnsi="Times New Roman"/>
          <w:sz w:val="20"/>
          <w:szCs w:val="20"/>
        </w:rPr>
      </w:pPr>
      <w:r w:rsidRPr="00687002">
        <w:rPr>
          <w:rFonts w:ascii="Times New Roman" w:hAnsi="Times New Roman"/>
          <w:sz w:val="20"/>
          <w:szCs w:val="20"/>
        </w:rPr>
        <w:t xml:space="preserve">Figure 7. </w:t>
      </w:r>
      <w:r w:rsidR="003B7D29">
        <w:rPr>
          <w:rFonts w:ascii="Times New Roman" w:hAnsi="Times New Roman"/>
          <w:sz w:val="20"/>
          <w:szCs w:val="20"/>
        </w:rPr>
        <w:t xml:space="preserve"> </w:t>
      </w:r>
      <w:r w:rsidRPr="00687002">
        <w:rPr>
          <w:rFonts w:ascii="Times New Roman" w:hAnsi="Times New Roman"/>
          <w:sz w:val="20"/>
          <w:szCs w:val="20"/>
        </w:rPr>
        <w:t>FRAP equivalent to FeSO</w:t>
      </w:r>
      <w:r w:rsidRPr="00687002">
        <w:rPr>
          <w:rFonts w:ascii="Times New Roman" w:hAnsi="Times New Roman"/>
          <w:sz w:val="20"/>
          <w:szCs w:val="20"/>
          <w:vertAlign w:val="subscript"/>
        </w:rPr>
        <w:t>4</w:t>
      </w:r>
      <w:r w:rsidRPr="00687002">
        <w:rPr>
          <w:rFonts w:ascii="Times New Roman" w:hAnsi="Times New Roman"/>
          <w:sz w:val="20"/>
          <w:szCs w:val="20"/>
        </w:rPr>
        <w:t>.7H</w:t>
      </w:r>
      <w:r w:rsidRPr="00687002">
        <w:rPr>
          <w:rFonts w:ascii="Times New Roman" w:hAnsi="Times New Roman"/>
          <w:sz w:val="20"/>
          <w:szCs w:val="20"/>
          <w:vertAlign w:val="subscript"/>
        </w:rPr>
        <w:t>2</w:t>
      </w:r>
      <w:r w:rsidRPr="00687002">
        <w:rPr>
          <w:rFonts w:ascii="Times New Roman" w:hAnsi="Times New Roman"/>
          <w:sz w:val="20"/>
          <w:szCs w:val="20"/>
        </w:rPr>
        <w:t>O of methanol extracts</w:t>
      </w:r>
    </w:p>
    <w:p w:rsidR="00687002" w:rsidRPr="00687002" w:rsidRDefault="00687002" w:rsidP="00687002">
      <w:pPr>
        <w:autoSpaceDE w:val="0"/>
        <w:autoSpaceDN w:val="0"/>
        <w:adjustRightInd w:val="0"/>
        <w:spacing w:after="0" w:line="240" w:lineRule="auto"/>
        <w:jc w:val="both"/>
        <w:rPr>
          <w:rFonts w:ascii="Times New Roman" w:hAnsi="Times New Roman"/>
          <w:sz w:val="20"/>
          <w:szCs w:val="20"/>
        </w:rPr>
      </w:pPr>
    </w:p>
    <w:p w:rsidR="00687002" w:rsidRDefault="00687002" w:rsidP="00687002">
      <w:pPr>
        <w:spacing w:after="0" w:line="240" w:lineRule="auto"/>
        <w:jc w:val="both"/>
        <w:rPr>
          <w:rFonts w:ascii="Times New Roman" w:hAnsi="Times New Roman"/>
          <w:sz w:val="20"/>
          <w:szCs w:val="20"/>
          <w:lang w:val="en-GB"/>
        </w:rPr>
      </w:pPr>
      <w:r w:rsidRPr="00687002">
        <w:rPr>
          <w:rFonts w:ascii="Times New Roman" w:hAnsi="Times New Roman"/>
          <w:sz w:val="20"/>
          <w:szCs w:val="20"/>
          <w:lang w:val="en-GB"/>
        </w:rPr>
        <w:t>The antioxidant powers of CFBM, CFLM, CIBM, CFBE and CFLE extracts that showed highest FRAP equivalent to FeSO</w:t>
      </w:r>
      <w:r w:rsidRPr="00687002">
        <w:rPr>
          <w:rFonts w:ascii="Times New Roman" w:hAnsi="Times New Roman"/>
          <w:sz w:val="20"/>
          <w:szCs w:val="20"/>
          <w:vertAlign w:val="subscript"/>
          <w:lang w:val="en-GB"/>
        </w:rPr>
        <w:t>4</w:t>
      </w:r>
      <w:r w:rsidRPr="00687002">
        <w:rPr>
          <w:rFonts w:ascii="Times New Roman" w:hAnsi="Times New Roman"/>
          <w:sz w:val="20"/>
          <w:szCs w:val="20"/>
          <w:lang w:val="en-GB"/>
        </w:rPr>
        <w:t>.7H</w:t>
      </w:r>
      <w:r w:rsidRPr="00687002">
        <w:rPr>
          <w:rFonts w:ascii="Times New Roman" w:hAnsi="Times New Roman"/>
          <w:sz w:val="20"/>
          <w:szCs w:val="20"/>
          <w:vertAlign w:val="subscript"/>
          <w:lang w:val="en-GB"/>
        </w:rPr>
        <w:t>2</w:t>
      </w:r>
      <w:r w:rsidRPr="00687002">
        <w:rPr>
          <w:rFonts w:ascii="Times New Roman" w:hAnsi="Times New Roman"/>
          <w:sz w:val="20"/>
          <w:szCs w:val="20"/>
          <w:lang w:val="en-GB"/>
        </w:rPr>
        <w:t>O with respect to their respective type of extracts were compared with antioxidant power of ascorbic acid (AA), butylated hydroxyanisole (BHA) and butylated hydroxytoluene (BHT) as the positive controls. From the graph (Figure 8), all extracts display higher FRAP equivalent to FeSO</w:t>
      </w:r>
      <w:r w:rsidRPr="00687002">
        <w:rPr>
          <w:rFonts w:ascii="Times New Roman" w:hAnsi="Times New Roman"/>
          <w:sz w:val="20"/>
          <w:szCs w:val="20"/>
          <w:vertAlign w:val="subscript"/>
          <w:lang w:val="en-GB"/>
        </w:rPr>
        <w:t>4</w:t>
      </w:r>
      <w:r w:rsidRPr="00687002">
        <w:rPr>
          <w:rFonts w:ascii="Times New Roman" w:hAnsi="Times New Roman"/>
          <w:sz w:val="20"/>
          <w:szCs w:val="20"/>
          <w:lang w:val="en-GB"/>
        </w:rPr>
        <w:t>.7H</w:t>
      </w:r>
      <w:r w:rsidRPr="00687002">
        <w:rPr>
          <w:rFonts w:ascii="Times New Roman" w:hAnsi="Times New Roman"/>
          <w:sz w:val="20"/>
          <w:szCs w:val="20"/>
          <w:vertAlign w:val="subscript"/>
          <w:lang w:val="en-GB"/>
        </w:rPr>
        <w:t>2</w:t>
      </w:r>
      <w:r w:rsidRPr="00687002">
        <w:rPr>
          <w:rFonts w:ascii="Times New Roman" w:hAnsi="Times New Roman"/>
          <w:sz w:val="20"/>
          <w:szCs w:val="20"/>
          <w:lang w:val="en-GB"/>
        </w:rPr>
        <w:t>O compared to all positive controls. It justified their stronger antioxidant power compared to the positive controls. The CFBM extract was found to have the highest antioxidant power among all extracts followed by CIBM and CFBE.</w:t>
      </w:r>
    </w:p>
    <w:p w:rsidR="003B7D29" w:rsidRPr="00687002" w:rsidRDefault="003B7D29" w:rsidP="003B7D29">
      <w:pPr>
        <w:spacing w:after="120" w:line="240" w:lineRule="auto"/>
        <w:jc w:val="both"/>
        <w:rPr>
          <w:rFonts w:ascii="Times New Roman" w:hAnsi="Times New Roman"/>
          <w:sz w:val="20"/>
          <w:szCs w:val="20"/>
          <w:lang w:val="en-GB"/>
        </w:rPr>
      </w:pPr>
    </w:p>
    <w:p w:rsidR="00687002" w:rsidRPr="00687002" w:rsidRDefault="00687002" w:rsidP="003B7D29">
      <w:pPr>
        <w:autoSpaceDE w:val="0"/>
        <w:autoSpaceDN w:val="0"/>
        <w:adjustRightInd w:val="0"/>
        <w:spacing w:after="120" w:line="240" w:lineRule="auto"/>
        <w:jc w:val="center"/>
        <w:rPr>
          <w:rFonts w:ascii="Times New Roman" w:hAnsi="Times New Roman"/>
          <w:sz w:val="20"/>
          <w:szCs w:val="20"/>
        </w:rPr>
      </w:pPr>
      <w:r w:rsidRPr="00687002">
        <w:rPr>
          <w:rFonts w:ascii="Times New Roman" w:hAnsi="Times New Roman"/>
          <w:noProof/>
          <w:sz w:val="20"/>
          <w:szCs w:val="20"/>
          <w:lang w:bidi="ar-SA"/>
        </w:rPr>
        <w:drawing>
          <wp:inline distT="0" distB="0" distL="0" distR="0" wp14:anchorId="594A40D2" wp14:editId="10A5A0AB">
            <wp:extent cx="2743200" cy="2194560"/>
            <wp:effectExtent l="0" t="0" r="19050" b="152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87002" w:rsidRPr="00687002" w:rsidRDefault="00687002" w:rsidP="003B7D29">
      <w:pPr>
        <w:spacing w:after="0" w:line="240" w:lineRule="auto"/>
        <w:jc w:val="center"/>
        <w:rPr>
          <w:rFonts w:ascii="Times New Roman" w:hAnsi="Times New Roman"/>
          <w:sz w:val="20"/>
          <w:szCs w:val="20"/>
        </w:rPr>
      </w:pPr>
      <w:r w:rsidRPr="00687002">
        <w:rPr>
          <w:rFonts w:ascii="Times New Roman" w:hAnsi="Times New Roman"/>
          <w:sz w:val="20"/>
          <w:szCs w:val="20"/>
        </w:rPr>
        <w:t xml:space="preserve">Figure 8. </w:t>
      </w:r>
      <w:r w:rsidR="003B7D29">
        <w:rPr>
          <w:rFonts w:ascii="Times New Roman" w:hAnsi="Times New Roman"/>
          <w:sz w:val="20"/>
          <w:szCs w:val="20"/>
        </w:rPr>
        <w:t xml:space="preserve"> </w:t>
      </w:r>
      <w:r w:rsidRPr="00687002">
        <w:rPr>
          <w:rFonts w:ascii="Times New Roman" w:hAnsi="Times New Roman"/>
          <w:sz w:val="20"/>
          <w:szCs w:val="20"/>
        </w:rPr>
        <w:t>FRAP equivalent to FeSO</w:t>
      </w:r>
      <w:r w:rsidRPr="00687002">
        <w:rPr>
          <w:rFonts w:ascii="Times New Roman" w:hAnsi="Times New Roman"/>
          <w:sz w:val="20"/>
          <w:szCs w:val="20"/>
          <w:vertAlign w:val="subscript"/>
        </w:rPr>
        <w:t>4</w:t>
      </w:r>
      <w:r w:rsidRPr="00687002">
        <w:rPr>
          <w:rFonts w:ascii="Times New Roman" w:hAnsi="Times New Roman"/>
          <w:sz w:val="20"/>
          <w:szCs w:val="20"/>
        </w:rPr>
        <w:t>.7H</w:t>
      </w:r>
      <w:r w:rsidRPr="00687002">
        <w:rPr>
          <w:rFonts w:ascii="Times New Roman" w:hAnsi="Times New Roman"/>
          <w:sz w:val="20"/>
          <w:szCs w:val="20"/>
          <w:vertAlign w:val="subscript"/>
        </w:rPr>
        <w:t>2</w:t>
      </w:r>
      <w:r w:rsidRPr="00687002">
        <w:rPr>
          <w:rFonts w:ascii="Times New Roman" w:hAnsi="Times New Roman"/>
          <w:sz w:val="20"/>
          <w:szCs w:val="20"/>
        </w:rPr>
        <w:t>O of selected extracts and positive controls</w:t>
      </w:r>
    </w:p>
    <w:p w:rsidR="00AC0033" w:rsidRDefault="00AC0033" w:rsidP="00687002">
      <w:pPr>
        <w:spacing w:after="0" w:line="240" w:lineRule="auto"/>
        <w:jc w:val="center"/>
        <w:rPr>
          <w:rFonts w:ascii="Times New Roman" w:hAnsi="Times New Roman"/>
          <w:noProof/>
          <w:sz w:val="20"/>
          <w:szCs w:val="20"/>
          <w:lang w:bidi="ar-SA"/>
        </w:rPr>
      </w:pPr>
    </w:p>
    <w:p w:rsidR="003B7D29" w:rsidRPr="00F447A7" w:rsidRDefault="003B7D29" w:rsidP="00687002">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AC0033" w:rsidRPr="003B7D29" w:rsidRDefault="003B7D29" w:rsidP="003B7D29">
      <w:pPr>
        <w:spacing w:after="0" w:line="240" w:lineRule="auto"/>
        <w:jc w:val="both"/>
        <w:rPr>
          <w:rFonts w:ascii="Times New Roman" w:hAnsi="Times New Roman"/>
          <w:sz w:val="20"/>
          <w:szCs w:val="20"/>
          <w:lang w:val="en-GB"/>
        </w:rPr>
      </w:pPr>
      <w:r w:rsidRPr="003B7D29">
        <w:rPr>
          <w:rFonts w:ascii="Times New Roman" w:hAnsi="Times New Roman"/>
          <w:sz w:val="20"/>
          <w:szCs w:val="20"/>
          <w:lang w:val="en-GB"/>
        </w:rPr>
        <w:t xml:space="preserve">Based on the findings, both </w:t>
      </w:r>
      <w:r w:rsidRPr="003B7D29">
        <w:rPr>
          <w:rFonts w:ascii="Times New Roman" w:hAnsi="Times New Roman"/>
          <w:i/>
          <w:sz w:val="20"/>
          <w:szCs w:val="20"/>
          <w:lang w:val="en-GB"/>
        </w:rPr>
        <w:t>Calophyllum</w:t>
      </w:r>
      <w:r w:rsidRPr="003B7D29">
        <w:rPr>
          <w:rFonts w:ascii="Times New Roman" w:hAnsi="Times New Roman"/>
          <w:sz w:val="20"/>
          <w:szCs w:val="20"/>
          <w:lang w:val="en-GB"/>
        </w:rPr>
        <w:t xml:space="preserve"> species showed a strong antioxidant activity especially from the methanol extracts, suggesting potent antioxidant agents may be isolated. Meanwhile, the dichloromethane extract from the bark of </w:t>
      </w:r>
      <w:r w:rsidRPr="003B7D29">
        <w:rPr>
          <w:rFonts w:ascii="Times New Roman" w:hAnsi="Times New Roman"/>
          <w:i/>
          <w:sz w:val="20"/>
          <w:szCs w:val="20"/>
          <w:lang w:val="en-GB"/>
        </w:rPr>
        <w:t>C. ferrugineum</w:t>
      </w:r>
      <w:r w:rsidRPr="003B7D29">
        <w:rPr>
          <w:rFonts w:ascii="Times New Roman" w:hAnsi="Times New Roman"/>
          <w:sz w:val="20"/>
          <w:szCs w:val="20"/>
          <w:lang w:val="en-GB"/>
        </w:rPr>
        <w:t xml:space="preserve"> showed potent antibacterial activities selectively against the Gram</w:t>
      </w:r>
      <w:r w:rsidRPr="003B7D29">
        <w:rPr>
          <w:rFonts w:ascii="Times New Roman" w:hAnsi="Times New Roman"/>
          <w:i/>
          <w:sz w:val="20"/>
          <w:szCs w:val="20"/>
          <w:lang w:val="en-GB"/>
        </w:rPr>
        <w:t>-</w:t>
      </w:r>
      <w:r w:rsidRPr="003B7D29">
        <w:rPr>
          <w:rFonts w:ascii="Times New Roman" w:hAnsi="Times New Roman"/>
          <w:sz w:val="20"/>
          <w:szCs w:val="20"/>
          <w:lang w:val="en-GB"/>
        </w:rPr>
        <w:t>positive bacteria, suggesting it may serve as possible source for new antibacterial agents. Mode of antibacterial action of the extracts and isolated phytochemicals specifically against Gram</w:t>
      </w:r>
      <w:r w:rsidRPr="003B7D29">
        <w:rPr>
          <w:rFonts w:ascii="Times New Roman" w:hAnsi="Times New Roman"/>
          <w:i/>
          <w:sz w:val="20"/>
          <w:szCs w:val="20"/>
          <w:lang w:val="en-GB"/>
        </w:rPr>
        <w:t>-</w:t>
      </w:r>
      <w:r w:rsidRPr="003B7D29">
        <w:rPr>
          <w:rFonts w:ascii="Times New Roman" w:hAnsi="Times New Roman"/>
          <w:sz w:val="20"/>
          <w:szCs w:val="20"/>
          <w:lang w:val="en-GB"/>
        </w:rPr>
        <w:t xml:space="preserve">positive bacteria can be further studied.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B7D29" w:rsidRPr="003B7D29" w:rsidRDefault="003B7D29" w:rsidP="003B7D29">
      <w:pPr>
        <w:pStyle w:val="ListParagraph"/>
        <w:numPr>
          <w:ilvl w:val="0"/>
          <w:numId w:val="3"/>
        </w:numPr>
        <w:spacing w:after="0" w:line="240" w:lineRule="auto"/>
        <w:contextualSpacing w:val="0"/>
        <w:jc w:val="both"/>
        <w:rPr>
          <w:rFonts w:ascii="Times New Roman" w:hAnsi="Times New Roman"/>
          <w:sz w:val="20"/>
          <w:szCs w:val="20"/>
        </w:rPr>
      </w:pPr>
      <w:r w:rsidRPr="003B7D29">
        <w:rPr>
          <w:rFonts w:ascii="Times New Roman" w:hAnsi="Times New Roman"/>
          <w:noProof/>
          <w:sz w:val="20"/>
          <w:szCs w:val="20"/>
        </w:rPr>
        <w:t xml:space="preserve">Stevens, P. F. (1980). </w:t>
      </w:r>
      <w:r w:rsidRPr="003B7D29">
        <w:rPr>
          <w:rFonts w:ascii="Times New Roman" w:hAnsi="Times New Roman"/>
          <w:i/>
          <w:noProof/>
          <w:sz w:val="20"/>
          <w:szCs w:val="20"/>
        </w:rPr>
        <w:t>Journal of the Arnold Arboretum</w:t>
      </w:r>
      <w:r w:rsidRPr="003B7D29">
        <w:rPr>
          <w:rFonts w:ascii="Times New Roman" w:hAnsi="Times New Roman"/>
          <w:noProof/>
          <w:sz w:val="20"/>
          <w:szCs w:val="20"/>
        </w:rPr>
        <w:t>. USA: Harvard University. 117–424.</w:t>
      </w:r>
    </w:p>
    <w:p w:rsidR="003B7D29" w:rsidRPr="003B7D29" w:rsidRDefault="003B7D29" w:rsidP="003B7D29">
      <w:pPr>
        <w:pStyle w:val="ListParagraph"/>
        <w:widowControl w:val="0"/>
        <w:numPr>
          <w:ilvl w:val="0"/>
          <w:numId w:val="3"/>
        </w:numPr>
        <w:autoSpaceDE w:val="0"/>
        <w:autoSpaceDN w:val="0"/>
        <w:adjustRightInd w:val="0"/>
        <w:spacing w:after="0" w:line="240" w:lineRule="auto"/>
        <w:contextualSpacing w:val="0"/>
        <w:jc w:val="both"/>
        <w:rPr>
          <w:rFonts w:ascii="Times New Roman" w:hAnsi="Times New Roman"/>
          <w:noProof/>
          <w:sz w:val="20"/>
          <w:szCs w:val="20"/>
        </w:rPr>
      </w:pPr>
      <w:r w:rsidRPr="003B7D29">
        <w:rPr>
          <w:rFonts w:ascii="Times New Roman" w:hAnsi="Times New Roman"/>
          <w:noProof/>
          <w:sz w:val="20"/>
          <w:szCs w:val="20"/>
        </w:rPr>
        <w:t xml:space="preserve">Alkhamaiseh, S. I., Taher, M. and Ahmad, F. (2011). The phytochemical contents and antimicrobial activities of Malaysian </w:t>
      </w:r>
      <w:r w:rsidRPr="003B7D29">
        <w:rPr>
          <w:rFonts w:ascii="Times New Roman" w:hAnsi="Times New Roman"/>
          <w:i/>
          <w:noProof/>
          <w:sz w:val="20"/>
          <w:szCs w:val="20"/>
        </w:rPr>
        <w:t>Calophyllum Rubiginosum</w:t>
      </w:r>
      <w:r w:rsidRPr="003B7D29">
        <w:rPr>
          <w:rFonts w:ascii="Times New Roman" w:hAnsi="Times New Roman"/>
          <w:noProof/>
          <w:sz w:val="20"/>
          <w:szCs w:val="20"/>
        </w:rPr>
        <w:t xml:space="preserve">. </w:t>
      </w:r>
      <w:r w:rsidRPr="003B7D29">
        <w:rPr>
          <w:rFonts w:ascii="Times New Roman" w:hAnsi="Times New Roman"/>
          <w:i/>
          <w:iCs/>
          <w:noProof/>
          <w:sz w:val="20"/>
          <w:szCs w:val="20"/>
        </w:rPr>
        <w:t>American Journal of Applied Sciences,</w:t>
      </w:r>
      <w:r w:rsidRPr="003B7D29">
        <w:rPr>
          <w:rFonts w:ascii="Times New Roman" w:hAnsi="Times New Roman"/>
          <w:noProof/>
          <w:sz w:val="20"/>
          <w:szCs w:val="20"/>
        </w:rPr>
        <w:t xml:space="preserve"> 8: 201-205.</w:t>
      </w:r>
    </w:p>
    <w:p w:rsidR="003B7D29" w:rsidRPr="003B7D29" w:rsidRDefault="003B7D29" w:rsidP="003B7D29">
      <w:pPr>
        <w:pStyle w:val="ListParagraph"/>
        <w:numPr>
          <w:ilvl w:val="0"/>
          <w:numId w:val="3"/>
        </w:numPr>
        <w:spacing w:after="0" w:line="240" w:lineRule="auto"/>
        <w:contextualSpacing w:val="0"/>
        <w:jc w:val="both"/>
        <w:rPr>
          <w:rFonts w:ascii="Times New Roman" w:hAnsi="Times New Roman"/>
          <w:sz w:val="20"/>
          <w:szCs w:val="20"/>
        </w:rPr>
      </w:pPr>
      <w:r w:rsidRPr="003B7D29">
        <w:rPr>
          <w:rFonts w:ascii="Times New Roman" w:hAnsi="Times New Roman"/>
          <w:noProof/>
          <w:sz w:val="20"/>
          <w:szCs w:val="20"/>
        </w:rPr>
        <w:t xml:space="preserve">Kawamura, F., Muhamud, A., Hashim, R., Sulaiman, O. and Ohara, S. (2012). Two antifungal xanthones from the heartwood of </w:t>
      </w:r>
      <w:r w:rsidRPr="003B7D29">
        <w:rPr>
          <w:rFonts w:ascii="Times New Roman" w:hAnsi="Times New Roman"/>
          <w:i/>
          <w:noProof/>
          <w:sz w:val="20"/>
          <w:szCs w:val="20"/>
        </w:rPr>
        <w:t>Calophyllum symingtonianum</w:t>
      </w:r>
      <w:r w:rsidRPr="003B7D29">
        <w:rPr>
          <w:rFonts w:ascii="Times New Roman" w:hAnsi="Times New Roman"/>
          <w:noProof/>
          <w:sz w:val="20"/>
          <w:szCs w:val="20"/>
        </w:rPr>
        <w:t xml:space="preserve">. </w:t>
      </w:r>
      <w:r w:rsidRPr="003B7D29">
        <w:rPr>
          <w:rFonts w:ascii="Times New Roman" w:hAnsi="Times New Roman"/>
          <w:i/>
          <w:iCs/>
          <w:noProof/>
          <w:sz w:val="20"/>
          <w:szCs w:val="20"/>
        </w:rPr>
        <w:t>Japan Agricultural Research Quarterly,</w:t>
      </w:r>
      <w:r w:rsidRPr="003B7D29">
        <w:rPr>
          <w:rFonts w:ascii="Times New Roman" w:hAnsi="Times New Roman"/>
          <w:noProof/>
          <w:sz w:val="20"/>
          <w:szCs w:val="20"/>
        </w:rPr>
        <w:t xml:space="preserve"> 46: 181-185.</w:t>
      </w:r>
    </w:p>
    <w:p w:rsidR="003B7D29" w:rsidRPr="003B7D29" w:rsidRDefault="003B7D29" w:rsidP="003B7D29">
      <w:pPr>
        <w:pStyle w:val="ListParagraph"/>
        <w:numPr>
          <w:ilvl w:val="0"/>
          <w:numId w:val="3"/>
        </w:numPr>
        <w:spacing w:after="0" w:line="240" w:lineRule="auto"/>
        <w:contextualSpacing w:val="0"/>
        <w:jc w:val="both"/>
        <w:rPr>
          <w:rFonts w:ascii="Times New Roman" w:hAnsi="Times New Roman"/>
          <w:sz w:val="20"/>
          <w:szCs w:val="20"/>
        </w:rPr>
      </w:pPr>
      <w:r w:rsidRPr="003B7D29">
        <w:rPr>
          <w:rFonts w:ascii="Times New Roman" w:hAnsi="Times New Roman"/>
          <w:noProof/>
          <w:sz w:val="20"/>
          <w:szCs w:val="20"/>
        </w:rPr>
        <w:t xml:space="preserve">Su, X. H., Zhang, M. L., Li, G. L., Huo, C. H., Gu, Y. C. and Shi, Q. W. (2008). Chemical constituents of the plants of the genus </w:t>
      </w:r>
      <w:r w:rsidRPr="003B7D29">
        <w:rPr>
          <w:rFonts w:ascii="Times New Roman" w:hAnsi="Times New Roman"/>
          <w:i/>
          <w:noProof/>
          <w:sz w:val="20"/>
          <w:szCs w:val="20"/>
        </w:rPr>
        <w:t>Calophyllum.</w:t>
      </w:r>
      <w:r w:rsidRPr="003B7D29">
        <w:rPr>
          <w:rFonts w:ascii="Times New Roman" w:hAnsi="Times New Roman"/>
          <w:noProof/>
          <w:sz w:val="20"/>
          <w:szCs w:val="20"/>
        </w:rPr>
        <w:t xml:space="preserve"> </w:t>
      </w:r>
      <w:r w:rsidRPr="003B7D29">
        <w:rPr>
          <w:rFonts w:ascii="Times New Roman" w:hAnsi="Times New Roman"/>
          <w:i/>
          <w:iCs/>
          <w:noProof/>
          <w:sz w:val="20"/>
          <w:szCs w:val="20"/>
        </w:rPr>
        <w:t>Chemistry &amp; Biodiversity,</w:t>
      </w:r>
      <w:r w:rsidRPr="003B7D29">
        <w:rPr>
          <w:rFonts w:ascii="Times New Roman" w:hAnsi="Times New Roman"/>
          <w:noProof/>
          <w:sz w:val="20"/>
          <w:szCs w:val="20"/>
        </w:rPr>
        <w:t xml:space="preserve"> 5: 2579-2608.</w:t>
      </w:r>
    </w:p>
    <w:p w:rsidR="003B7D29" w:rsidRPr="003B7D29" w:rsidRDefault="003B7D29" w:rsidP="003B7D29">
      <w:pPr>
        <w:pStyle w:val="ListParagraph"/>
        <w:numPr>
          <w:ilvl w:val="0"/>
          <w:numId w:val="3"/>
        </w:numPr>
        <w:spacing w:after="0" w:line="240" w:lineRule="auto"/>
        <w:contextualSpacing w:val="0"/>
        <w:jc w:val="both"/>
        <w:rPr>
          <w:rFonts w:ascii="Times New Roman" w:hAnsi="Times New Roman"/>
          <w:sz w:val="20"/>
          <w:szCs w:val="20"/>
        </w:rPr>
      </w:pPr>
      <w:r w:rsidRPr="003B7D29">
        <w:rPr>
          <w:rFonts w:ascii="Times New Roman" w:hAnsi="Times New Roman"/>
          <w:noProof/>
          <w:sz w:val="20"/>
          <w:szCs w:val="20"/>
        </w:rPr>
        <w:t xml:space="preserve">Kashman, Y., Gustafson, K. R., Fuller, R. W., Cardellina, J. H., McMahon, J. B., Currens, M. J., Buckheit, R. W., Hughes, S. H., Cragg, G. M. and Boyd, M. R. (1992). The calanolides, A novel HIV-ınhibitory class of coumarin derivatives from the tropical rainforest tree, </w:t>
      </w:r>
      <w:r w:rsidRPr="003B7D29">
        <w:rPr>
          <w:rFonts w:ascii="Times New Roman" w:hAnsi="Times New Roman"/>
          <w:i/>
          <w:noProof/>
          <w:sz w:val="20"/>
          <w:szCs w:val="20"/>
        </w:rPr>
        <w:t>Calophyllum lanigerum</w:t>
      </w:r>
      <w:r w:rsidRPr="003B7D29">
        <w:rPr>
          <w:rFonts w:ascii="Times New Roman" w:hAnsi="Times New Roman"/>
          <w:noProof/>
          <w:sz w:val="20"/>
          <w:szCs w:val="20"/>
        </w:rPr>
        <w:t xml:space="preserve">. </w:t>
      </w:r>
      <w:r w:rsidRPr="003B7D29">
        <w:rPr>
          <w:rFonts w:ascii="Times New Roman" w:hAnsi="Times New Roman"/>
          <w:i/>
          <w:iCs/>
          <w:noProof/>
          <w:sz w:val="20"/>
          <w:szCs w:val="20"/>
        </w:rPr>
        <w:t>Journal of Medicinal Chemistry,</w:t>
      </w:r>
      <w:r w:rsidRPr="003B7D29">
        <w:rPr>
          <w:rFonts w:ascii="Times New Roman" w:hAnsi="Times New Roman"/>
          <w:noProof/>
          <w:sz w:val="20"/>
          <w:szCs w:val="20"/>
        </w:rPr>
        <w:t xml:space="preserve"> 35: 2735-2743.</w:t>
      </w:r>
    </w:p>
    <w:p w:rsidR="003B7D29" w:rsidRPr="003B7D29" w:rsidRDefault="003B7D29" w:rsidP="003B7D29">
      <w:pPr>
        <w:pStyle w:val="ListParagraph"/>
        <w:numPr>
          <w:ilvl w:val="0"/>
          <w:numId w:val="3"/>
        </w:numPr>
        <w:spacing w:after="0" w:line="240" w:lineRule="auto"/>
        <w:contextualSpacing w:val="0"/>
        <w:jc w:val="both"/>
        <w:rPr>
          <w:rFonts w:ascii="Times New Roman" w:hAnsi="Times New Roman"/>
          <w:sz w:val="20"/>
          <w:szCs w:val="20"/>
        </w:rPr>
      </w:pPr>
      <w:r w:rsidRPr="003B7D29">
        <w:rPr>
          <w:rFonts w:ascii="Times New Roman" w:hAnsi="Times New Roman"/>
          <w:sz w:val="20"/>
          <w:szCs w:val="20"/>
        </w:rPr>
        <w:t xml:space="preserve">Aminudin, N. I., Ahmad, F., Taher, M., Zulkifli, R.M. (2015). α-Glucosidase and 15-Lipoxygenase inhibitory activities of phytochemicals from </w:t>
      </w:r>
      <w:r w:rsidRPr="003B7D29">
        <w:rPr>
          <w:rFonts w:ascii="Times New Roman" w:hAnsi="Times New Roman"/>
          <w:i/>
          <w:sz w:val="20"/>
          <w:szCs w:val="20"/>
        </w:rPr>
        <w:t>Calophyllum symingtonianum</w:t>
      </w:r>
      <w:r w:rsidRPr="003B7D29">
        <w:rPr>
          <w:rFonts w:ascii="Times New Roman" w:hAnsi="Times New Roman"/>
          <w:sz w:val="20"/>
          <w:szCs w:val="20"/>
        </w:rPr>
        <w:t xml:space="preserve">. </w:t>
      </w:r>
      <w:r w:rsidRPr="003B7D29">
        <w:rPr>
          <w:rFonts w:ascii="Times New Roman" w:hAnsi="Times New Roman"/>
          <w:i/>
          <w:sz w:val="20"/>
          <w:szCs w:val="20"/>
        </w:rPr>
        <w:t>Natural Product Communications,</w:t>
      </w:r>
      <w:r w:rsidRPr="003B7D29">
        <w:rPr>
          <w:rFonts w:ascii="Times New Roman" w:hAnsi="Times New Roman"/>
          <w:sz w:val="20"/>
          <w:szCs w:val="20"/>
        </w:rPr>
        <w:t xml:space="preserve"> 10: 1585-1587.</w:t>
      </w:r>
    </w:p>
    <w:p w:rsidR="003B7D29" w:rsidRPr="003B7D29" w:rsidRDefault="003B7D29" w:rsidP="003B7D29">
      <w:pPr>
        <w:pStyle w:val="ListParagraph"/>
        <w:numPr>
          <w:ilvl w:val="0"/>
          <w:numId w:val="3"/>
        </w:numPr>
        <w:spacing w:after="0" w:line="240" w:lineRule="auto"/>
        <w:contextualSpacing w:val="0"/>
        <w:jc w:val="both"/>
        <w:rPr>
          <w:rFonts w:ascii="Times New Roman" w:hAnsi="Times New Roman"/>
          <w:sz w:val="20"/>
          <w:szCs w:val="20"/>
        </w:rPr>
      </w:pPr>
      <w:r w:rsidRPr="003B7D29">
        <w:rPr>
          <w:rFonts w:ascii="Times New Roman" w:hAnsi="Times New Roman"/>
          <w:sz w:val="20"/>
          <w:szCs w:val="20"/>
        </w:rPr>
        <w:t xml:space="preserve">Aminudin, N. I., Ahmad, F., Taher, M., Zulkifli, R.M. (2016). Cytotoxic and antibacterial evaluation of coumarins and chromanone acid from </w:t>
      </w:r>
      <w:r w:rsidRPr="003B7D29">
        <w:rPr>
          <w:rFonts w:ascii="Times New Roman" w:hAnsi="Times New Roman"/>
          <w:i/>
          <w:sz w:val="20"/>
          <w:szCs w:val="20"/>
        </w:rPr>
        <w:t>Calophyllum symingtonianum. Journal of Applied Pharmaceutical Science</w:t>
      </w:r>
      <w:r w:rsidRPr="003B7D29">
        <w:rPr>
          <w:rFonts w:ascii="Times New Roman" w:hAnsi="Times New Roman"/>
          <w:sz w:val="20"/>
          <w:szCs w:val="20"/>
        </w:rPr>
        <w:t>, 6: 23-27.</w:t>
      </w:r>
    </w:p>
    <w:p w:rsidR="003B7D29" w:rsidRPr="003B7D29" w:rsidRDefault="003B7D29" w:rsidP="003B7D29">
      <w:pPr>
        <w:pStyle w:val="ListParagraph"/>
        <w:numPr>
          <w:ilvl w:val="0"/>
          <w:numId w:val="3"/>
        </w:numPr>
        <w:spacing w:after="0" w:line="240" w:lineRule="auto"/>
        <w:contextualSpacing w:val="0"/>
        <w:jc w:val="both"/>
        <w:rPr>
          <w:rFonts w:ascii="Times New Roman" w:hAnsi="Times New Roman"/>
          <w:sz w:val="20"/>
          <w:szCs w:val="20"/>
        </w:rPr>
      </w:pPr>
      <w:r w:rsidRPr="003B7D29">
        <w:rPr>
          <w:rFonts w:ascii="Times New Roman" w:hAnsi="Times New Roman"/>
          <w:sz w:val="20"/>
          <w:szCs w:val="20"/>
        </w:rPr>
        <w:lastRenderedPageBreak/>
        <w:t xml:space="preserve">Aminudin, N. I., Ahmad, F., Taher, M. (2015). </w:t>
      </w:r>
      <w:r w:rsidRPr="003B7D29">
        <w:rPr>
          <w:rFonts w:ascii="Times New Roman" w:hAnsi="Times New Roman"/>
          <w:i/>
          <w:sz w:val="20"/>
          <w:szCs w:val="20"/>
        </w:rPr>
        <w:t>In vitro</w:t>
      </w:r>
      <w:r w:rsidRPr="003B7D29">
        <w:rPr>
          <w:rFonts w:ascii="Times New Roman" w:hAnsi="Times New Roman"/>
          <w:sz w:val="20"/>
          <w:szCs w:val="20"/>
        </w:rPr>
        <w:t xml:space="preserve"> antioxidant, cholinesterase and tyrosinase inhibitory activities of </w:t>
      </w:r>
      <w:r w:rsidRPr="003B7D29">
        <w:rPr>
          <w:rFonts w:ascii="Times New Roman" w:hAnsi="Times New Roman"/>
          <w:i/>
          <w:sz w:val="20"/>
          <w:szCs w:val="20"/>
        </w:rPr>
        <w:t>Calophyllum symingtonianum</w:t>
      </w:r>
      <w:r w:rsidRPr="003B7D29">
        <w:rPr>
          <w:rFonts w:ascii="Times New Roman" w:hAnsi="Times New Roman"/>
          <w:sz w:val="20"/>
          <w:szCs w:val="20"/>
        </w:rPr>
        <w:t xml:space="preserve"> and </w:t>
      </w:r>
      <w:r w:rsidRPr="003B7D29">
        <w:rPr>
          <w:rFonts w:ascii="Times New Roman" w:hAnsi="Times New Roman"/>
          <w:i/>
          <w:sz w:val="20"/>
          <w:szCs w:val="20"/>
        </w:rPr>
        <w:t>Calophyllum depressinervosum</w:t>
      </w:r>
      <w:r w:rsidRPr="003B7D29">
        <w:rPr>
          <w:rFonts w:ascii="Times New Roman" w:hAnsi="Times New Roman"/>
          <w:sz w:val="20"/>
          <w:szCs w:val="20"/>
        </w:rPr>
        <w:t xml:space="preserve"> (Guttiferae). </w:t>
      </w:r>
      <w:r w:rsidRPr="003B7D29">
        <w:rPr>
          <w:rFonts w:ascii="Times New Roman" w:hAnsi="Times New Roman"/>
          <w:i/>
          <w:sz w:val="20"/>
          <w:szCs w:val="20"/>
        </w:rPr>
        <w:t>Journal of Coastal Life Medicine</w:t>
      </w:r>
      <w:r w:rsidRPr="003B7D29">
        <w:rPr>
          <w:rFonts w:ascii="Times New Roman" w:hAnsi="Times New Roman"/>
          <w:sz w:val="20"/>
          <w:szCs w:val="20"/>
        </w:rPr>
        <w:t>, 3: 126–131.</w:t>
      </w:r>
    </w:p>
    <w:p w:rsidR="003B7D29" w:rsidRPr="003B7D29" w:rsidRDefault="003B7D29" w:rsidP="003B7D29">
      <w:pPr>
        <w:pStyle w:val="ListParagraph"/>
        <w:numPr>
          <w:ilvl w:val="0"/>
          <w:numId w:val="3"/>
        </w:numPr>
        <w:spacing w:after="0" w:line="240" w:lineRule="auto"/>
        <w:contextualSpacing w:val="0"/>
        <w:jc w:val="both"/>
        <w:rPr>
          <w:rFonts w:ascii="Times New Roman" w:hAnsi="Times New Roman"/>
          <w:sz w:val="20"/>
          <w:szCs w:val="20"/>
        </w:rPr>
      </w:pPr>
      <w:r w:rsidRPr="003B7D29">
        <w:rPr>
          <w:rFonts w:ascii="Times New Roman" w:hAnsi="Times New Roman"/>
          <w:sz w:val="20"/>
          <w:szCs w:val="20"/>
        </w:rPr>
        <w:t xml:space="preserve">Aminudin, N. I., Ahmad, F., Taher, M., Zulkifli, R. M. (2016). Incrassamarin A–D: Four new 4-substituted coumarins from </w:t>
      </w:r>
      <w:r w:rsidRPr="003B7D29">
        <w:rPr>
          <w:rFonts w:ascii="Times New Roman" w:hAnsi="Times New Roman"/>
          <w:i/>
          <w:sz w:val="20"/>
          <w:szCs w:val="20"/>
        </w:rPr>
        <w:t>Calophyllum incrassatum</w:t>
      </w:r>
      <w:r w:rsidRPr="003B7D29">
        <w:rPr>
          <w:rFonts w:ascii="Times New Roman" w:hAnsi="Times New Roman"/>
          <w:sz w:val="20"/>
          <w:szCs w:val="20"/>
        </w:rPr>
        <w:t xml:space="preserve"> and their biological activities. </w:t>
      </w:r>
      <w:r w:rsidRPr="003B7D29">
        <w:rPr>
          <w:rFonts w:ascii="Times New Roman" w:hAnsi="Times New Roman"/>
          <w:i/>
          <w:sz w:val="20"/>
          <w:szCs w:val="20"/>
        </w:rPr>
        <w:t>Phytochemistry Letters,</w:t>
      </w:r>
      <w:r w:rsidRPr="003B7D29">
        <w:rPr>
          <w:rFonts w:ascii="Times New Roman" w:hAnsi="Times New Roman"/>
          <w:sz w:val="20"/>
          <w:szCs w:val="20"/>
        </w:rPr>
        <w:t xml:space="preserve"> 16: 287-293.</w:t>
      </w:r>
    </w:p>
    <w:p w:rsidR="003B7D29" w:rsidRPr="003B7D29" w:rsidRDefault="003B7D29" w:rsidP="003B7D29">
      <w:pPr>
        <w:pStyle w:val="ListParagraph"/>
        <w:widowControl w:val="0"/>
        <w:numPr>
          <w:ilvl w:val="0"/>
          <w:numId w:val="3"/>
        </w:numPr>
        <w:autoSpaceDE w:val="0"/>
        <w:autoSpaceDN w:val="0"/>
        <w:adjustRightInd w:val="0"/>
        <w:spacing w:after="0" w:line="240" w:lineRule="auto"/>
        <w:contextualSpacing w:val="0"/>
        <w:jc w:val="both"/>
        <w:rPr>
          <w:rFonts w:ascii="Times New Roman" w:hAnsi="Times New Roman"/>
          <w:noProof/>
          <w:sz w:val="20"/>
          <w:szCs w:val="20"/>
        </w:rPr>
      </w:pPr>
      <w:r w:rsidRPr="003B7D29">
        <w:rPr>
          <w:rFonts w:ascii="Times New Roman" w:hAnsi="Times New Roman"/>
          <w:noProof/>
          <w:sz w:val="20"/>
          <w:szCs w:val="20"/>
        </w:rPr>
        <w:t xml:space="preserve">Kassim, N. K., Rahmani, M., Ismail, A., Sukari, M. A., Ee, G. C. L., Nasir, N. M. and Awang, K. (2013). Antioxidant activity-guided separation of coumarins and lignan from </w:t>
      </w:r>
      <w:r w:rsidRPr="003B7D29">
        <w:rPr>
          <w:rFonts w:ascii="Times New Roman" w:hAnsi="Times New Roman"/>
          <w:i/>
          <w:noProof/>
          <w:sz w:val="20"/>
          <w:szCs w:val="20"/>
        </w:rPr>
        <w:t>Melicope glabra</w:t>
      </w:r>
      <w:r w:rsidRPr="003B7D29">
        <w:rPr>
          <w:rFonts w:ascii="Times New Roman" w:hAnsi="Times New Roman"/>
          <w:noProof/>
          <w:sz w:val="20"/>
          <w:szCs w:val="20"/>
        </w:rPr>
        <w:t xml:space="preserve"> (Rutaceae). </w:t>
      </w:r>
      <w:r w:rsidRPr="003B7D29">
        <w:rPr>
          <w:rFonts w:ascii="Times New Roman" w:hAnsi="Times New Roman"/>
          <w:i/>
          <w:iCs/>
          <w:noProof/>
          <w:sz w:val="20"/>
          <w:szCs w:val="20"/>
        </w:rPr>
        <w:t>Food Chemistry,</w:t>
      </w:r>
      <w:r w:rsidRPr="003B7D29">
        <w:rPr>
          <w:rFonts w:ascii="Times New Roman" w:hAnsi="Times New Roman"/>
          <w:noProof/>
          <w:sz w:val="20"/>
          <w:szCs w:val="20"/>
        </w:rPr>
        <w:t xml:space="preserve"> 139: 87–92.</w:t>
      </w:r>
    </w:p>
    <w:p w:rsidR="003B7D29" w:rsidRPr="003B7D29" w:rsidRDefault="003B7D29" w:rsidP="003B7D29">
      <w:pPr>
        <w:pStyle w:val="ListParagraph"/>
        <w:numPr>
          <w:ilvl w:val="0"/>
          <w:numId w:val="3"/>
        </w:numPr>
        <w:spacing w:after="0" w:line="240" w:lineRule="auto"/>
        <w:contextualSpacing w:val="0"/>
        <w:jc w:val="both"/>
        <w:rPr>
          <w:rFonts w:ascii="Times New Roman" w:hAnsi="Times New Roman"/>
          <w:sz w:val="20"/>
          <w:szCs w:val="20"/>
        </w:rPr>
      </w:pPr>
      <w:r w:rsidRPr="003B7D29">
        <w:rPr>
          <w:rFonts w:ascii="Times New Roman" w:hAnsi="Times New Roman"/>
          <w:sz w:val="20"/>
          <w:szCs w:val="20"/>
        </w:rPr>
        <w:t xml:space="preserve">Arriffin, N. M., Jamil, S., Basar, N., Khamis, S., Abdullah, and A. and Lathiff, S. M. A. (2017). Phytochemical studies and antioxidant activities of </w:t>
      </w:r>
      <w:r w:rsidRPr="003B7D29">
        <w:rPr>
          <w:rFonts w:ascii="Times New Roman" w:hAnsi="Times New Roman"/>
          <w:i/>
          <w:sz w:val="20"/>
          <w:szCs w:val="20"/>
        </w:rPr>
        <w:t xml:space="preserve">Artocarpus scortechinii </w:t>
      </w:r>
      <w:r w:rsidRPr="003B7D29">
        <w:rPr>
          <w:rFonts w:ascii="Times New Roman" w:hAnsi="Times New Roman"/>
          <w:sz w:val="20"/>
          <w:szCs w:val="20"/>
        </w:rPr>
        <w:t xml:space="preserve">king. </w:t>
      </w:r>
      <w:r w:rsidRPr="003B7D29">
        <w:rPr>
          <w:rFonts w:ascii="Times New Roman" w:hAnsi="Times New Roman"/>
          <w:i/>
          <w:sz w:val="20"/>
          <w:szCs w:val="20"/>
        </w:rPr>
        <w:t>Records of Natural Products</w:t>
      </w:r>
      <w:r w:rsidRPr="003B7D29">
        <w:rPr>
          <w:rFonts w:ascii="Times New Roman" w:hAnsi="Times New Roman"/>
          <w:sz w:val="20"/>
          <w:szCs w:val="20"/>
        </w:rPr>
        <w:t>, 3: 299-303.</w:t>
      </w:r>
    </w:p>
    <w:p w:rsidR="003B7D29" w:rsidRPr="003B7D29" w:rsidRDefault="003B7D29" w:rsidP="003B7D29">
      <w:pPr>
        <w:pStyle w:val="ListParagraph"/>
        <w:widowControl w:val="0"/>
        <w:numPr>
          <w:ilvl w:val="0"/>
          <w:numId w:val="3"/>
        </w:numPr>
        <w:autoSpaceDE w:val="0"/>
        <w:autoSpaceDN w:val="0"/>
        <w:adjustRightInd w:val="0"/>
        <w:spacing w:after="0" w:line="240" w:lineRule="auto"/>
        <w:contextualSpacing w:val="0"/>
        <w:jc w:val="both"/>
        <w:rPr>
          <w:rFonts w:ascii="Times New Roman" w:hAnsi="Times New Roman"/>
          <w:noProof/>
          <w:sz w:val="20"/>
          <w:szCs w:val="20"/>
        </w:rPr>
      </w:pPr>
      <w:r w:rsidRPr="003B7D29">
        <w:rPr>
          <w:rFonts w:ascii="Times New Roman" w:hAnsi="Times New Roman"/>
          <w:noProof/>
          <w:sz w:val="20"/>
          <w:szCs w:val="20"/>
        </w:rPr>
        <w:t xml:space="preserve">Sousa, R. M. F., Morais, S. A. L. D, Vieira, R. B. K., Napolitano, D. R., Guzman, V. B., Moraes, T. S., Cunha, L. C. S., Nascimento, E. A. D. and Oliveira, A. D. (2015). Chemical composition, cytotoxic, and antibacterial activity of the essential oil from </w:t>
      </w:r>
      <w:r w:rsidRPr="003B7D29">
        <w:rPr>
          <w:rFonts w:ascii="Times New Roman" w:hAnsi="Times New Roman"/>
          <w:i/>
          <w:noProof/>
          <w:sz w:val="20"/>
          <w:szCs w:val="20"/>
        </w:rPr>
        <w:t>Eugenia calycina</w:t>
      </w:r>
      <w:r w:rsidRPr="003B7D29">
        <w:rPr>
          <w:rFonts w:ascii="Times New Roman" w:hAnsi="Times New Roman"/>
          <w:noProof/>
          <w:sz w:val="20"/>
          <w:szCs w:val="20"/>
        </w:rPr>
        <w:t xml:space="preserve"> cambess. leaves against oral bacteria. </w:t>
      </w:r>
      <w:r w:rsidRPr="003B7D29">
        <w:rPr>
          <w:rFonts w:ascii="Times New Roman" w:hAnsi="Times New Roman"/>
          <w:i/>
          <w:iCs/>
          <w:noProof/>
          <w:sz w:val="20"/>
          <w:szCs w:val="20"/>
        </w:rPr>
        <w:t>Industrial Crops and Products,</w:t>
      </w:r>
      <w:r w:rsidRPr="003B7D29">
        <w:rPr>
          <w:rFonts w:ascii="Times New Roman" w:hAnsi="Times New Roman"/>
          <w:noProof/>
          <w:sz w:val="20"/>
          <w:szCs w:val="20"/>
        </w:rPr>
        <w:t xml:space="preserve"> 65: 71-78.</w:t>
      </w:r>
    </w:p>
    <w:p w:rsidR="003B7D29" w:rsidRPr="003B7D29" w:rsidRDefault="003B7D29" w:rsidP="003B7D29">
      <w:pPr>
        <w:pStyle w:val="ListParagraph"/>
        <w:numPr>
          <w:ilvl w:val="0"/>
          <w:numId w:val="3"/>
        </w:numPr>
        <w:spacing w:after="0" w:line="240" w:lineRule="auto"/>
        <w:contextualSpacing w:val="0"/>
        <w:jc w:val="both"/>
        <w:rPr>
          <w:rFonts w:ascii="Times New Roman" w:hAnsi="Times New Roman"/>
          <w:sz w:val="20"/>
          <w:szCs w:val="20"/>
        </w:rPr>
      </w:pPr>
      <w:r w:rsidRPr="003B7D29">
        <w:rPr>
          <w:rFonts w:ascii="Times New Roman" w:hAnsi="Times New Roman"/>
          <w:noProof/>
          <w:sz w:val="20"/>
          <w:szCs w:val="20"/>
        </w:rPr>
        <w:t xml:space="preserve">Ríos, J. L. and Recio, M. C. (2005). Medicinal plants and antimicrobial activity. </w:t>
      </w:r>
      <w:r w:rsidRPr="003B7D29">
        <w:rPr>
          <w:rFonts w:ascii="Times New Roman" w:hAnsi="Times New Roman"/>
          <w:i/>
          <w:iCs/>
          <w:noProof/>
          <w:sz w:val="20"/>
          <w:szCs w:val="20"/>
        </w:rPr>
        <w:t>Journal of Ethnopharmacology,</w:t>
      </w:r>
      <w:r w:rsidRPr="003B7D29">
        <w:rPr>
          <w:rFonts w:ascii="Times New Roman" w:hAnsi="Times New Roman"/>
          <w:noProof/>
          <w:sz w:val="20"/>
          <w:szCs w:val="20"/>
        </w:rPr>
        <w:t xml:space="preserve"> 100: 80-84.</w:t>
      </w:r>
    </w:p>
    <w:p w:rsidR="003B7D29" w:rsidRPr="003B7D29" w:rsidRDefault="003B7D29" w:rsidP="003B7D29">
      <w:pPr>
        <w:pStyle w:val="ListParagraph"/>
        <w:numPr>
          <w:ilvl w:val="0"/>
          <w:numId w:val="3"/>
        </w:numPr>
        <w:spacing w:after="0" w:line="240" w:lineRule="auto"/>
        <w:contextualSpacing w:val="0"/>
        <w:jc w:val="both"/>
        <w:rPr>
          <w:rFonts w:ascii="Times New Roman" w:hAnsi="Times New Roman"/>
          <w:sz w:val="20"/>
          <w:szCs w:val="20"/>
        </w:rPr>
      </w:pPr>
      <w:r w:rsidRPr="003B7D29">
        <w:rPr>
          <w:rFonts w:ascii="Times New Roman" w:hAnsi="Times New Roman"/>
          <w:noProof/>
          <w:sz w:val="20"/>
          <w:szCs w:val="20"/>
        </w:rPr>
        <w:t xml:space="preserve">Cuesta-Rubio, O., Oubada, A., Bello, A., Maes, L., Cos, P. and Monzote, L. (2015). Antimicrobial assessment of resins from </w:t>
      </w:r>
      <w:r w:rsidRPr="003B7D29">
        <w:rPr>
          <w:rFonts w:ascii="Times New Roman" w:hAnsi="Times New Roman"/>
          <w:i/>
          <w:noProof/>
          <w:sz w:val="20"/>
          <w:szCs w:val="20"/>
        </w:rPr>
        <w:t>Calophyllum antillanum</w:t>
      </w:r>
      <w:r w:rsidRPr="003B7D29">
        <w:rPr>
          <w:rFonts w:ascii="Times New Roman" w:hAnsi="Times New Roman"/>
          <w:noProof/>
          <w:sz w:val="20"/>
          <w:szCs w:val="20"/>
        </w:rPr>
        <w:t xml:space="preserve"> and </w:t>
      </w:r>
      <w:r w:rsidRPr="003B7D29">
        <w:rPr>
          <w:rFonts w:ascii="Times New Roman" w:hAnsi="Times New Roman"/>
          <w:i/>
          <w:noProof/>
          <w:sz w:val="20"/>
          <w:szCs w:val="20"/>
        </w:rPr>
        <w:t>Calophyllum inophyllum</w:t>
      </w:r>
      <w:r w:rsidRPr="003B7D29">
        <w:rPr>
          <w:rFonts w:ascii="Times New Roman" w:hAnsi="Times New Roman"/>
          <w:noProof/>
          <w:sz w:val="20"/>
          <w:szCs w:val="20"/>
        </w:rPr>
        <w:t xml:space="preserve">. </w:t>
      </w:r>
      <w:r w:rsidRPr="003B7D29">
        <w:rPr>
          <w:rFonts w:ascii="Times New Roman" w:hAnsi="Times New Roman"/>
          <w:i/>
          <w:iCs/>
          <w:noProof/>
          <w:sz w:val="20"/>
          <w:szCs w:val="20"/>
        </w:rPr>
        <w:t xml:space="preserve">Phythotherapy Research, </w:t>
      </w:r>
      <w:r w:rsidRPr="003B7D29">
        <w:rPr>
          <w:rFonts w:ascii="Times New Roman" w:hAnsi="Times New Roman"/>
          <w:noProof/>
          <w:sz w:val="20"/>
          <w:szCs w:val="20"/>
        </w:rPr>
        <w:t>29: 1991-1994.</w:t>
      </w:r>
    </w:p>
    <w:p w:rsidR="003B7D29" w:rsidRPr="003B7D29" w:rsidRDefault="003B7D29" w:rsidP="003B7D29">
      <w:pPr>
        <w:pStyle w:val="ListParagraph"/>
        <w:numPr>
          <w:ilvl w:val="0"/>
          <w:numId w:val="3"/>
        </w:numPr>
        <w:spacing w:after="0" w:line="240" w:lineRule="auto"/>
        <w:contextualSpacing w:val="0"/>
        <w:jc w:val="both"/>
        <w:rPr>
          <w:rFonts w:ascii="Times New Roman" w:hAnsi="Times New Roman"/>
          <w:sz w:val="20"/>
          <w:szCs w:val="20"/>
        </w:rPr>
      </w:pPr>
      <w:r w:rsidRPr="003B7D29">
        <w:rPr>
          <w:rFonts w:ascii="Times New Roman" w:hAnsi="Times New Roman"/>
          <w:noProof/>
          <w:sz w:val="20"/>
          <w:szCs w:val="20"/>
        </w:rPr>
        <w:t xml:space="preserve">Cottiglia, F., Dhanapal, B., Sticher, O. and Heilmann, J. (2004). New chromanone acids with antibacterial activity from </w:t>
      </w:r>
      <w:r w:rsidRPr="003B7D29">
        <w:rPr>
          <w:rFonts w:ascii="Times New Roman" w:hAnsi="Times New Roman"/>
          <w:i/>
          <w:noProof/>
          <w:sz w:val="20"/>
          <w:szCs w:val="20"/>
        </w:rPr>
        <w:t>Calophyllum brasiliense</w:t>
      </w:r>
      <w:r w:rsidRPr="003B7D29">
        <w:rPr>
          <w:rFonts w:ascii="Times New Roman" w:hAnsi="Times New Roman"/>
          <w:noProof/>
          <w:sz w:val="20"/>
          <w:szCs w:val="20"/>
        </w:rPr>
        <w:t xml:space="preserve">. </w:t>
      </w:r>
      <w:r w:rsidRPr="003B7D29">
        <w:rPr>
          <w:rFonts w:ascii="Times New Roman" w:hAnsi="Times New Roman"/>
          <w:i/>
          <w:iCs/>
          <w:noProof/>
          <w:sz w:val="20"/>
          <w:szCs w:val="20"/>
        </w:rPr>
        <w:t>Journal of Natural Products,</w:t>
      </w:r>
      <w:r w:rsidRPr="003B7D29">
        <w:rPr>
          <w:rFonts w:ascii="Times New Roman" w:hAnsi="Times New Roman"/>
          <w:noProof/>
          <w:sz w:val="20"/>
          <w:szCs w:val="20"/>
        </w:rPr>
        <w:t xml:space="preserve"> 67: 537-541.</w:t>
      </w:r>
    </w:p>
    <w:p w:rsidR="003B7D29" w:rsidRPr="003B7D29" w:rsidRDefault="003B7D29" w:rsidP="003B7D29">
      <w:pPr>
        <w:pStyle w:val="ListParagraph"/>
        <w:numPr>
          <w:ilvl w:val="0"/>
          <w:numId w:val="3"/>
        </w:numPr>
        <w:spacing w:after="0" w:line="240" w:lineRule="auto"/>
        <w:contextualSpacing w:val="0"/>
        <w:jc w:val="both"/>
        <w:rPr>
          <w:rFonts w:ascii="Times New Roman" w:hAnsi="Times New Roman"/>
          <w:sz w:val="20"/>
          <w:szCs w:val="20"/>
        </w:rPr>
      </w:pPr>
      <w:r w:rsidRPr="003B7D29">
        <w:rPr>
          <w:rFonts w:ascii="Times New Roman" w:hAnsi="Times New Roman"/>
          <w:noProof/>
          <w:sz w:val="20"/>
          <w:szCs w:val="20"/>
        </w:rPr>
        <w:t xml:space="preserve">Margraf, T., Karnopp, A. R., Rosso, N. D. and Granato, D. (2015). Comparison between Folin-Ciocalteu and Prussian Blue assays to estimate the total phenolic content of juices and teas using 96-well microplates. </w:t>
      </w:r>
      <w:r w:rsidRPr="003B7D29">
        <w:rPr>
          <w:rFonts w:ascii="Times New Roman" w:hAnsi="Times New Roman"/>
          <w:i/>
          <w:noProof/>
          <w:sz w:val="20"/>
          <w:szCs w:val="20"/>
        </w:rPr>
        <w:t>Journal of Food Science</w:t>
      </w:r>
      <w:r w:rsidRPr="003B7D29">
        <w:rPr>
          <w:rFonts w:ascii="Times New Roman" w:hAnsi="Times New Roman"/>
          <w:noProof/>
          <w:sz w:val="20"/>
          <w:szCs w:val="20"/>
        </w:rPr>
        <w:t>, 80: 2397-2403.</w:t>
      </w:r>
    </w:p>
    <w:p w:rsidR="003B7D29" w:rsidRPr="003B7D29" w:rsidRDefault="003B7D29" w:rsidP="003B7D29">
      <w:pPr>
        <w:pStyle w:val="ListParagraph"/>
        <w:numPr>
          <w:ilvl w:val="0"/>
          <w:numId w:val="3"/>
        </w:numPr>
        <w:spacing w:after="0" w:line="240" w:lineRule="auto"/>
        <w:contextualSpacing w:val="0"/>
        <w:jc w:val="both"/>
        <w:rPr>
          <w:rFonts w:ascii="Times New Roman" w:hAnsi="Times New Roman"/>
          <w:sz w:val="20"/>
          <w:szCs w:val="20"/>
        </w:rPr>
      </w:pPr>
      <w:r w:rsidRPr="003B7D29">
        <w:rPr>
          <w:rFonts w:ascii="Times New Roman" w:hAnsi="Times New Roman"/>
          <w:noProof/>
          <w:sz w:val="20"/>
          <w:szCs w:val="20"/>
        </w:rPr>
        <w:t xml:space="preserve">Blois, M. S. (1958). Antioxidant determinations by the use of a stable free radical. </w:t>
      </w:r>
      <w:r w:rsidRPr="003B7D29">
        <w:rPr>
          <w:rFonts w:ascii="Times New Roman" w:hAnsi="Times New Roman"/>
          <w:i/>
          <w:iCs/>
          <w:noProof/>
          <w:sz w:val="20"/>
          <w:szCs w:val="20"/>
        </w:rPr>
        <w:t xml:space="preserve">Nature, </w:t>
      </w:r>
      <w:r w:rsidRPr="003B7D29">
        <w:rPr>
          <w:rFonts w:ascii="Times New Roman" w:hAnsi="Times New Roman"/>
          <w:noProof/>
          <w:sz w:val="20"/>
          <w:szCs w:val="20"/>
        </w:rPr>
        <w:t>181: 1199–1200.</w:t>
      </w:r>
    </w:p>
    <w:p w:rsidR="003B7D29" w:rsidRPr="003B7D29" w:rsidRDefault="003B7D29" w:rsidP="003B7D29">
      <w:pPr>
        <w:pStyle w:val="ListParagraph"/>
        <w:numPr>
          <w:ilvl w:val="0"/>
          <w:numId w:val="3"/>
        </w:numPr>
        <w:spacing w:after="0" w:line="240" w:lineRule="auto"/>
        <w:contextualSpacing w:val="0"/>
        <w:jc w:val="both"/>
        <w:rPr>
          <w:rFonts w:ascii="Times New Roman" w:hAnsi="Times New Roman"/>
          <w:sz w:val="20"/>
          <w:szCs w:val="20"/>
        </w:rPr>
      </w:pPr>
      <w:r w:rsidRPr="003B7D29">
        <w:rPr>
          <w:rFonts w:ascii="Times New Roman" w:hAnsi="Times New Roman"/>
          <w:noProof/>
          <w:sz w:val="20"/>
          <w:szCs w:val="20"/>
        </w:rPr>
        <w:t xml:space="preserve">Dharmaratne, H. R. W., Napagoda, M. T. and Tennakoon, S. B. (2009). Xanthones from roots of </w:t>
      </w:r>
      <w:r w:rsidRPr="003B7D29">
        <w:rPr>
          <w:rFonts w:ascii="Times New Roman" w:hAnsi="Times New Roman"/>
          <w:i/>
          <w:noProof/>
          <w:sz w:val="20"/>
          <w:szCs w:val="20"/>
        </w:rPr>
        <w:t>Calophyllum thwaitesii</w:t>
      </w:r>
      <w:r w:rsidRPr="003B7D29">
        <w:rPr>
          <w:rFonts w:ascii="Times New Roman" w:hAnsi="Times New Roman"/>
          <w:noProof/>
          <w:sz w:val="20"/>
          <w:szCs w:val="20"/>
        </w:rPr>
        <w:t xml:space="preserve"> and their bioactivity. </w:t>
      </w:r>
      <w:r w:rsidRPr="003B7D29">
        <w:rPr>
          <w:rFonts w:ascii="Times New Roman" w:hAnsi="Times New Roman"/>
          <w:i/>
          <w:iCs/>
          <w:noProof/>
          <w:sz w:val="20"/>
          <w:szCs w:val="20"/>
        </w:rPr>
        <w:t xml:space="preserve">Natural Product Research, </w:t>
      </w:r>
      <w:r w:rsidRPr="003B7D29">
        <w:rPr>
          <w:rFonts w:ascii="Times New Roman" w:hAnsi="Times New Roman"/>
          <w:noProof/>
          <w:sz w:val="20"/>
          <w:szCs w:val="20"/>
        </w:rPr>
        <w:t>23: 539-545.</w:t>
      </w:r>
    </w:p>
    <w:p w:rsidR="003B7D29" w:rsidRPr="003B7D29" w:rsidRDefault="003B7D29" w:rsidP="003B7D29">
      <w:pPr>
        <w:pStyle w:val="ListParagraph"/>
        <w:numPr>
          <w:ilvl w:val="0"/>
          <w:numId w:val="3"/>
        </w:numPr>
        <w:spacing w:after="0" w:line="240" w:lineRule="auto"/>
        <w:contextualSpacing w:val="0"/>
        <w:jc w:val="both"/>
        <w:rPr>
          <w:rFonts w:ascii="Times New Roman" w:hAnsi="Times New Roman"/>
          <w:sz w:val="20"/>
          <w:szCs w:val="20"/>
        </w:rPr>
      </w:pPr>
      <w:r w:rsidRPr="003B7D29">
        <w:rPr>
          <w:rFonts w:ascii="Times New Roman" w:hAnsi="Times New Roman"/>
          <w:noProof/>
          <w:sz w:val="20"/>
          <w:szCs w:val="20"/>
        </w:rPr>
        <w:t xml:space="preserve">Katrin, Elya, B., Mahamufrudho, A. and Rissyelly. (2014). Radical scavenging activity of extract, fraction and chemical compound from </w:t>
      </w:r>
      <w:r w:rsidRPr="003B7D29">
        <w:rPr>
          <w:rFonts w:ascii="Times New Roman" w:hAnsi="Times New Roman"/>
          <w:i/>
          <w:noProof/>
          <w:sz w:val="20"/>
          <w:szCs w:val="20"/>
        </w:rPr>
        <w:t>Calophyllum sclerophyllum</w:t>
      </w:r>
      <w:r w:rsidRPr="003B7D29">
        <w:rPr>
          <w:rFonts w:ascii="Times New Roman" w:hAnsi="Times New Roman"/>
          <w:noProof/>
          <w:sz w:val="20"/>
          <w:szCs w:val="20"/>
        </w:rPr>
        <w:t xml:space="preserve"> vesq. stembark by using 1,1-Diphenyl-2-Picryl Hydrazil (DPPH). </w:t>
      </w:r>
      <w:r w:rsidRPr="003B7D29">
        <w:rPr>
          <w:rFonts w:ascii="Times New Roman" w:hAnsi="Times New Roman"/>
          <w:i/>
          <w:iCs/>
          <w:noProof/>
          <w:sz w:val="20"/>
          <w:szCs w:val="20"/>
        </w:rPr>
        <w:t>International Journal of PharmTech Research,</w:t>
      </w:r>
      <w:r w:rsidRPr="003B7D29">
        <w:rPr>
          <w:rFonts w:ascii="Times New Roman" w:hAnsi="Times New Roman"/>
          <w:noProof/>
          <w:sz w:val="20"/>
          <w:szCs w:val="20"/>
        </w:rPr>
        <w:t xml:space="preserve"> 6: 396-402.</w:t>
      </w:r>
    </w:p>
    <w:p w:rsidR="003B7D29" w:rsidRPr="003B7D29" w:rsidRDefault="003B7D29" w:rsidP="003B7D29">
      <w:pPr>
        <w:pStyle w:val="ListParagraph"/>
        <w:widowControl w:val="0"/>
        <w:numPr>
          <w:ilvl w:val="0"/>
          <w:numId w:val="3"/>
        </w:numPr>
        <w:autoSpaceDE w:val="0"/>
        <w:autoSpaceDN w:val="0"/>
        <w:adjustRightInd w:val="0"/>
        <w:spacing w:after="0" w:line="240" w:lineRule="auto"/>
        <w:contextualSpacing w:val="0"/>
        <w:jc w:val="both"/>
        <w:rPr>
          <w:rFonts w:ascii="Times New Roman" w:hAnsi="Times New Roman"/>
          <w:noProof/>
          <w:sz w:val="20"/>
          <w:szCs w:val="20"/>
        </w:rPr>
      </w:pPr>
      <w:r w:rsidRPr="003B7D29">
        <w:rPr>
          <w:rFonts w:ascii="Times New Roman" w:hAnsi="Times New Roman"/>
          <w:noProof/>
          <w:sz w:val="20"/>
          <w:szCs w:val="20"/>
        </w:rPr>
        <w:t xml:space="preserve">Cahnnarong, S., Jutiviboonsuk, A. and Korsanan, S. (2012). Total reducing antioxidant capacity of thai herbal aromatic powder (Ya-Hom) measured by FRAP assay. </w:t>
      </w:r>
      <w:r w:rsidRPr="003B7D29">
        <w:rPr>
          <w:rFonts w:ascii="Times New Roman" w:hAnsi="Times New Roman"/>
          <w:i/>
          <w:iCs/>
          <w:noProof/>
          <w:sz w:val="20"/>
          <w:szCs w:val="20"/>
        </w:rPr>
        <w:t>Thai Pharmaceutical and Health Science Journal</w:t>
      </w:r>
      <w:r w:rsidRPr="003B7D29">
        <w:rPr>
          <w:rFonts w:ascii="Times New Roman" w:hAnsi="Times New Roman"/>
          <w:noProof/>
          <w:sz w:val="20"/>
          <w:szCs w:val="20"/>
        </w:rPr>
        <w:t>, 7:111-114.</w:t>
      </w:r>
    </w:p>
    <w:p w:rsidR="00C16C2F" w:rsidRPr="00C928F1" w:rsidRDefault="00C16C2F" w:rsidP="003B7D29">
      <w:pPr>
        <w:spacing w:after="0" w:line="240" w:lineRule="auto"/>
        <w:ind w:left="360"/>
        <w:jc w:val="both"/>
        <w:rPr>
          <w:sz w:val="20"/>
          <w:szCs w:val="20"/>
        </w:rPr>
      </w:pPr>
    </w:p>
    <w:sectPr w:rsidR="00C16C2F" w:rsidRPr="00C928F1" w:rsidSect="00B96385">
      <w:headerReference w:type="even" r:id="rId19"/>
      <w:headerReference w:type="default" r:id="rId20"/>
      <w:footerReference w:type="even" r:id="rId21"/>
      <w:footerReference w:type="default" r:id="rId22"/>
      <w:pgSz w:w="12240" w:h="15840" w:code="1"/>
      <w:pgMar w:top="1800" w:right="1469" w:bottom="1699" w:left="1440" w:header="706" w:footer="706" w:gutter="0"/>
      <w:pgNumType w:start="63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002" w:rsidRDefault="00687002" w:rsidP="00FB4C59">
      <w:pPr>
        <w:spacing w:after="0" w:line="240" w:lineRule="auto"/>
      </w:pPr>
      <w:r>
        <w:separator/>
      </w:r>
    </w:p>
  </w:endnote>
  <w:endnote w:type="continuationSeparator" w:id="0">
    <w:p w:rsidR="00687002" w:rsidRDefault="0068700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002" w:rsidRPr="00BE588C" w:rsidRDefault="00687002">
    <w:pPr>
      <w:pStyle w:val="Footer"/>
      <w:rPr>
        <w:rFonts w:ascii="Times New Roman" w:hAnsi="Times New Roman"/>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A037E5">
      <w:rPr>
        <w:rFonts w:ascii="Times New Roman" w:hAnsi="Times New Roman"/>
        <w:noProof/>
      </w:rPr>
      <w:t>646</w:t>
    </w:r>
    <w:r w:rsidRPr="008B5904">
      <w:rPr>
        <w:rFonts w:ascii="Times New Roman" w:hAnsi="Times New Roman"/>
        <w:noProof/>
      </w:rPr>
      <w:fldChar w:fldCharType="end"/>
    </w:r>
  </w:p>
  <w:p w:rsidR="00687002" w:rsidRDefault="006870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002" w:rsidRPr="00BE588C" w:rsidRDefault="00687002">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A037E5">
      <w:rPr>
        <w:rFonts w:ascii="Times New Roman" w:hAnsi="Times New Roman"/>
        <w:noProof/>
      </w:rPr>
      <w:t>647</w:t>
    </w:r>
    <w:r w:rsidRPr="008B5904">
      <w:rPr>
        <w:rFonts w:ascii="Times New Roman" w:hAnsi="Times New Roman"/>
        <w:noProof/>
      </w:rPr>
      <w:fldChar w:fldCharType="end"/>
    </w:r>
  </w:p>
  <w:p w:rsidR="00687002" w:rsidRDefault="006870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002" w:rsidRDefault="00687002" w:rsidP="00FB4C59">
      <w:pPr>
        <w:spacing w:after="0" w:line="240" w:lineRule="auto"/>
      </w:pPr>
      <w:r>
        <w:separator/>
      </w:r>
    </w:p>
  </w:footnote>
  <w:footnote w:type="continuationSeparator" w:id="0">
    <w:p w:rsidR="00687002" w:rsidRDefault="0068700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002" w:rsidRPr="00687002" w:rsidRDefault="00687002" w:rsidP="00687002">
    <w:pPr>
      <w:spacing w:after="0" w:line="240" w:lineRule="auto"/>
      <w:ind w:left="1620" w:hanging="1620"/>
      <w:rPr>
        <w:rFonts w:ascii="Times New Roman" w:hAnsi="Times New Roman"/>
        <w:i/>
        <w:sz w:val="20"/>
        <w:szCs w:val="20"/>
      </w:rPr>
    </w:pPr>
    <w:r>
      <w:rPr>
        <w:rFonts w:ascii="Times New Roman" w:hAnsi="Times New Roman"/>
        <w:sz w:val="20"/>
        <w:szCs w:val="20"/>
      </w:rPr>
      <w:t>Nurul Iman et al</w:t>
    </w:r>
    <w:r w:rsidRPr="00687002">
      <w:rPr>
        <w:rFonts w:ascii="Times New Roman" w:hAnsi="Times New Roman"/>
        <w:sz w:val="20"/>
        <w:szCs w:val="20"/>
      </w:rPr>
      <w:t xml:space="preserve">:    </w:t>
    </w:r>
    <w:r>
      <w:rPr>
        <w:rFonts w:ascii="Times New Roman" w:hAnsi="Times New Roman"/>
        <w:sz w:val="20"/>
        <w:szCs w:val="20"/>
      </w:rPr>
      <w:tab/>
    </w:r>
    <w:r w:rsidRPr="00687002">
      <w:rPr>
        <w:rFonts w:ascii="Times New Roman" w:hAnsi="Times New Roman"/>
        <w:sz w:val="20"/>
        <w:szCs w:val="20"/>
      </w:rPr>
      <w:t xml:space="preserve">ANTIBACTERIAL AND ANTIOXIDANT ACTIVITIES OF EXTRACTS FROM </w:t>
    </w:r>
    <w:r w:rsidRPr="00687002">
      <w:rPr>
        <w:rFonts w:ascii="Times New Roman" w:hAnsi="Times New Roman"/>
        <w:i/>
        <w:sz w:val="20"/>
        <w:szCs w:val="20"/>
      </w:rPr>
      <w:t>Calophyllum ferrugineum</w:t>
    </w:r>
    <w:r w:rsidRPr="00687002">
      <w:rPr>
        <w:rFonts w:ascii="Times New Roman" w:hAnsi="Times New Roman"/>
        <w:sz w:val="20"/>
        <w:szCs w:val="20"/>
      </w:rPr>
      <w:t xml:space="preserve"> AND </w:t>
    </w:r>
    <w:r w:rsidRPr="00687002">
      <w:rPr>
        <w:rFonts w:ascii="Times New Roman" w:hAnsi="Times New Roman"/>
        <w:i/>
        <w:sz w:val="20"/>
        <w:szCs w:val="20"/>
      </w:rPr>
      <w:t>Calophyllum incrassatum</w:t>
    </w:r>
  </w:p>
  <w:p w:rsidR="00687002" w:rsidRDefault="00687002" w:rsidP="00687002">
    <w:pPr>
      <w:autoSpaceDE w:val="0"/>
      <w:autoSpaceDN w:val="0"/>
      <w:adjustRightInd w:val="0"/>
      <w:spacing w:after="0" w:line="240" w:lineRule="auto"/>
      <w:ind w:left="1260" w:hanging="12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002" w:rsidRDefault="00687002"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23</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(201</w:t>
    </w:r>
    <w:r>
      <w:rPr>
        <w:rFonts w:ascii="Times New Roman" w:hAnsi="Times New Roman"/>
        <w:i/>
        <w:lang w:val="en-US"/>
      </w:rPr>
      <w:t>9</w:t>
    </w:r>
    <w:r w:rsidRPr="00D75B35">
      <w:rPr>
        <w:rFonts w:ascii="Times New Roman" w:hAnsi="Times New Roman"/>
        <w:i/>
      </w:rPr>
      <w:t xml:space="preserve">): </w:t>
    </w:r>
    <w:r w:rsidR="00B96385">
      <w:rPr>
        <w:rFonts w:ascii="Times New Roman" w:hAnsi="Times New Roman"/>
        <w:i/>
        <w:lang w:val="en-US"/>
      </w:rPr>
      <w:t>63</w:t>
    </w:r>
    <w:r w:rsidR="00EB509D">
      <w:rPr>
        <w:rFonts w:ascii="Times New Roman" w:hAnsi="Times New Roman"/>
        <w:i/>
        <w:lang w:val="en-US"/>
      </w:rPr>
      <w:t>7</w:t>
    </w:r>
    <w:r>
      <w:rPr>
        <w:rFonts w:ascii="Times New Roman" w:hAnsi="Times New Roman"/>
        <w:i/>
        <w:lang w:val="en-US"/>
      </w:rPr>
      <w:t xml:space="preserve"> -</w:t>
    </w:r>
    <w:r w:rsidR="00B96385">
      <w:rPr>
        <w:rFonts w:ascii="Times New Roman" w:hAnsi="Times New Roman"/>
        <w:i/>
        <w:lang w:val="en-US"/>
      </w:rPr>
      <w:t xml:space="preserve"> 64</w:t>
    </w:r>
    <w:r w:rsidR="00EB509D">
      <w:rPr>
        <w:rFonts w:ascii="Times New Roman" w:hAnsi="Times New Roman"/>
        <w:i/>
        <w:lang w:val="en-US"/>
      </w:rPr>
      <w:t>7</w:t>
    </w:r>
  </w:p>
  <w:p w:rsidR="00687002" w:rsidRPr="00687002" w:rsidRDefault="00687002" w:rsidP="00687002">
    <w:pPr>
      <w:pStyle w:val="Header"/>
      <w:jc w:val="right"/>
      <w:rPr>
        <w:rFonts w:ascii="Times New Roman" w:hAnsi="Times New Roman"/>
        <w:i/>
        <w:lang w:val="en-US"/>
      </w:rPr>
    </w:pPr>
    <w:r>
      <w:rPr>
        <w:rFonts w:ascii="Times New Roman" w:hAnsi="Times New Roman"/>
        <w:i/>
        <w:lang w:val="en-US"/>
      </w:rPr>
      <w:t>DOI: https://doi.org/10.17576/mjas-2019-2304</w:t>
    </w:r>
    <w:r w:rsidR="00EB509D">
      <w:rPr>
        <w:rFonts w:ascii="Times New Roman" w:hAnsi="Times New Roman"/>
        <w:i/>
        <w:lang w:val="en-US"/>
      </w:rPr>
      <w:t>-09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31B"/>
    <w:multiLevelType w:val="hybridMultilevel"/>
    <w:tmpl w:val="33D838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42BC7"/>
    <w:rsid w:val="00067E6B"/>
    <w:rsid w:val="00070F31"/>
    <w:rsid w:val="00084936"/>
    <w:rsid w:val="000875CD"/>
    <w:rsid w:val="000C49FF"/>
    <w:rsid w:val="000D16A1"/>
    <w:rsid w:val="000D2B0C"/>
    <w:rsid w:val="000F77DA"/>
    <w:rsid w:val="001068E8"/>
    <w:rsid w:val="001106D8"/>
    <w:rsid w:val="00117BCD"/>
    <w:rsid w:val="001D035A"/>
    <w:rsid w:val="001D3855"/>
    <w:rsid w:val="001D6F2C"/>
    <w:rsid w:val="001F27E8"/>
    <w:rsid w:val="00204298"/>
    <w:rsid w:val="00277498"/>
    <w:rsid w:val="0028007D"/>
    <w:rsid w:val="002860B7"/>
    <w:rsid w:val="00290F4D"/>
    <w:rsid w:val="002A2FC0"/>
    <w:rsid w:val="002B188F"/>
    <w:rsid w:val="002B3BD8"/>
    <w:rsid w:val="002F3F91"/>
    <w:rsid w:val="00304767"/>
    <w:rsid w:val="00304B34"/>
    <w:rsid w:val="00361BAF"/>
    <w:rsid w:val="00362FCE"/>
    <w:rsid w:val="00367D1F"/>
    <w:rsid w:val="00374BCC"/>
    <w:rsid w:val="003B6019"/>
    <w:rsid w:val="003B7D29"/>
    <w:rsid w:val="003D4CDD"/>
    <w:rsid w:val="003D585B"/>
    <w:rsid w:val="003E7DA6"/>
    <w:rsid w:val="003F12FF"/>
    <w:rsid w:val="00401EB9"/>
    <w:rsid w:val="0043729D"/>
    <w:rsid w:val="0047088F"/>
    <w:rsid w:val="004760D4"/>
    <w:rsid w:val="00494C46"/>
    <w:rsid w:val="004B43FF"/>
    <w:rsid w:val="004D7E25"/>
    <w:rsid w:val="004E2E3D"/>
    <w:rsid w:val="00502641"/>
    <w:rsid w:val="00532F4B"/>
    <w:rsid w:val="00581130"/>
    <w:rsid w:val="005C6768"/>
    <w:rsid w:val="005E4871"/>
    <w:rsid w:val="00601C8A"/>
    <w:rsid w:val="00623CB8"/>
    <w:rsid w:val="006257E5"/>
    <w:rsid w:val="00634C25"/>
    <w:rsid w:val="006416AB"/>
    <w:rsid w:val="0065447F"/>
    <w:rsid w:val="006768E9"/>
    <w:rsid w:val="00687002"/>
    <w:rsid w:val="00687982"/>
    <w:rsid w:val="0069647A"/>
    <w:rsid w:val="006B3EC8"/>
    <w:rsid w:val="006B72B0"/>
    <w:rsid w:val="006D286E"/>
    <w:rsid w:val="006D695E"/>
    <w:rsid w:val="00725A6A"/>
    <w:rsid w:val="007943F3"/>
    <w:rsid w:val="007964D6"/>
    <w:rsid w:val="007A0583"/>
    <w:rsid w:val="007A738C"/>
    <w:rsid w:val="007B1349"/>
    <w:rsid w:val="007C0FAD"/>
    <w:rsid w:val="007C28A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D030D"/>
    <w:rsid w:val="00A037E5"/>
    <w:rsid w:val="00A14DB9"/>
    <w:rsid w:val="00A4762A"/>
    <w:rsid w:val="00A74A7E"/>
    <w:rsid w:val="00A91EFF"/>
    <w:rsid w:val="00AB550A"/>
    <w:rsid w:val="00AC0033"/>
    <w:rsid w:val="00AD1B8A"/>
    <w:rsid w:val="00AE713F"/>
    <w:rsid w:val="00AF2305"/>
    <w:rsid w:val="00AF2821"/>
    <w:rsid w:val="00B1121C"/>
    <w:rsid w:val="00B25B65"/>
    <w:rsid w:val="00B2770A"/>
    <w:rsid w:val="00B314AD"/>
    <w:rsid w:val="00B75BF6"/>
    <w:rsid w:val="00B7735A"/>
    <w:rsid w:val="00B91DE7"/>
    <w:rsid w:val="00B96385"/>
    <w:rsid w:val="00BA1595"/>
    <w:rsid w:val="00BA1F7B"/>
    <w:rsid w:val="00BA7D4B"/>
    <w:rsid w:val="00BB58AF"/>
    <w:rsid w:val="00BE588C"/>
    <w:rsid w:val="00BE7C30"/>
    <w:rsid w:val="00C055BF"/>
    <w:rsid w:val="00C16C2F"/>
    <w:rsid w:val="00C2226A"/>
    <w:rsid w:val="00C234BA"/>
    <w:rsid w:val="00C94D92"/>
    <w:rsid w:val="00C97340"/>
    <w:rsid w:val="00CA513F"/>
    <w:rsid w:val="00CB3AA6"/>
    <w:rsid w:val="00CC20C2"/>
    <w:rsid w:val="00CF05FF"/>
    <w:rsid w:val="00D340BB"/>
    <w:rsid w:val="00D505D5"/>
    <w:rsid w:val="00D75B35"/>
    <w:rsid w:val="00D76E09"/>
    <w:rsid w:val="00D9736F"/>
    <w:rsid w:val="00D9792A"/>
    <w:rsid w:val="00DD377F"/>
    <w:rsid w:val="00E16130"/>
    <w:rsid w:val="00E25547"/>
    <w:rsid w:val="00E3287E"/>
    <w:rsid w:val="00E54D12"/>
    <w:rsid w:val="00E66197"/>
    <w:rsid w:val="00EB509D"/>
    <w:rsid w:val="00F31093"/>
    <w:rsid w:val="00F412AF"/>
    <w:rsid w:val="00F43667"/>
    <w:rsid w:val="00F447A7"/>
    <w:rsid w:val="00F4760B"/>
    <w:rsid w:val="00FB4C59"/>
    <w:rsid w:val="00FB6730"/>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Abstract">
    <w:name w:val="Abstract"/>
    <w:qFormat/>
    <w:rsid w:val="00C16C2F"/>
    <w:pPr>
      <w:spacing w:line="480" w:lineRule="auto"/>
      <w:jc w:val="both"/>
    </w:pPr>
    <w:rPr>
      <w:rFonts w:ascii="Times New Roman" w:eastAsiaTheme="minorHAnsi" w:hAnsi="Times New Roman" w:cstheme="minorBidi"/>
      <w:color w:val="000000" w:themeColor="text1"/>
      <w:sz w:val="24"/>
      <w:szCs w:val="22"/>
    </w:rPr>
  </w:style>
  <w:style w:type="character" w:styleId="CommentReference">
    <w:name w:val="annotation reference"/>
    <w:basedOn w:val="DefaultParagraphFont"/>
    <w:uiPriority w:val="99"/>
    <w:semiHidden/>
    <w:unhideWhenUsed/>
    <w:rsid w:val="00C16C2F"/>
    <w:rPr>
      <w:sz w:val="16"/>
      <w:szCs w:val="16"/>
    </w:rPr>
  </w:style>
  <w:style w:type="paragraph" w:styleId="CommentText">
    <w:name w:val="annotation text"/>
    <w:basedOn w:val="Normal"/>
    <w:link w:val="CommentTextChar"/>
    <w:uiPriority w:val="99"/>
    <w:semiHidden/>
    <w:unhideWhenUsed/>
    <w:rsid w:val="00C16C2F"/>
    <w:pPr>
      <w:spacing w:line="240" w:lineRule="auto"/>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C16C2F"/>
    <w:rPr>
      <w:rFonts w:asciiTheme="minorHAnsi" w:eastAsiaTheme="minorHAnsi" w:hAnsiTheme="minorHAnsi" w:cstheme="minorBidi"/>
    </w:rPr>
  </w:style>
  <w:style w:type="paragraph" w:customStyle="1" w:styleId="Default">
    <w:name w:val="Default"/>
    <w:rsid w:val="00C16C2F"/>
    <w:pPr>
      <w:autoSpaceDE w:val="0"/>
      <w:autoSpaceDN w:val="0"/>
      <w:adjustRightInd w:val="0"/>
    </w:pPr>
    <w:rPr>
      <w:rFonts w:ascii="Century Gothic" w:eastAsiaTheme="minorHAnsi" w:hAnsi="Century Gothic" w:cs="Century Gothic"/>
      <w:color w:val="000000"/>
      <w:sz w:val="24"/>
      <w:szCs w:val="24"/>
    </w:rPr>
  </w:style>
  <w:style w:type="paragraph" w:customStyle="1" w:styleId="Affiliation">
    <w:name w:val="Affiliation"/>
    <w:qFormat/>
    <w:rsid w:val="00C16C2F"/>
    <w:pPr>
      <w:spacing w:line="480" w:lineRule="auto"/>
      <w:jc w:val="center"/>
    </w:pPr>
    <w:rPr>
      <w:rFonts w:ascii="Times New Roman" w:eastAsiaTheme="minorHAnsi" w:hAnsi="Times New Roman"/>
      <w:color w:val="000000" w:themeColor="text1"/>
      <w:sz w:val="24"/>
      <w:szCs w:val="24"/>
    </w:rPr>
  </w:style>
  <w:style w:type="table" w:styleId="TableGrid">
    <w:name w:val="Table Grid"/>
    <w:basedOn w:val="TableNormal"/>
    <w:uiPriority w:val="59"/>
    <w:rsid w:val="00C16C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Abstract">
    <w:name w:val="Abstract"/>
    <w:qFormat/>
    <w:rsid w:val="00C16C2F"/>
    <w:pPr>
      <w:spacing w:line="480" w:lineRule="auto"/>
      <w:jc w:val="both"/>
    </w:pPr>
    <w:rPr>
      <w:rFonts w:ascii="Times New Roman" w:eastAsiaTheme="minorHAnsi" w:hAnsi="Times New Roman" w:cstheme="minorBidi"/>
      <w:color w:val="000000" w:themeColor="text1"/>
      <w:sz w:val="24"/>
      <w:szCs w:val="22"/>
    </w:rPr>
  </w:style>
  <w:style w:type="character" w:styleId="CommentReference">
    <w:name w:val="annotation reference"/>
    <w:basedOn w:val="DefaultParagraphFont"/>
    <w:uiPriority w:val="99"/>
    <w:semiHidden/>
    <w:unhideWhenUsed/>
    <w:rsid w:val="00C16C2F"/>
    <w:rPr>
      <w:sz w:val="16"/>
      <w:szCs w:val="16"/>
    </w:rPr>
  </w:style>
  <w:style w:type="paragraph" w:styleId="CommentText">
    <w:name w:val="annotation text"/>
    <w:basedOn w:val="Normal"/>
    <w:link w:val="CommentTextChar"/>
    <w:uiPriority w:val="99"/>
    <w:semiHidden/>
    <w:unhideWhenUsed/>
    <w:rsid w:val="00C16C2F"/>
    <w:pPr>
      <w:spacing w:line="240" w:lineRule="auto"/>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C16C2F"/>
    <w:rPr>
      <w:rFonts w:asciiTheme="minorHAnsi" w:eastAsiaTheme="minorHAnsi" w:hAnsiTheme="minorHAnsi" w:cstheme="minorBidi"/>
    </w:rPr>
  </w:style>
  <w:style w:type="paragraph" w:customStyle="1" w:styleId="Default">
    <w:name w:val="Default"/>
    <w:rsid w:val="00C16C2F"/>
    <w:pPr>
      <w:autoSpaceDE w:val="0"/>
      <w:autoSpaceDN w:val="0"/>
      <w:adjustRightInd w:val="0"/>
    </w:pPr>
    <w:rPr>
      <w:rFonts w:ascii="Century Gothic" w:eastAsiaTheme="minorHAnsi" w:hAnsi="Century Gothic" w:cs="Century Gothic"/>
      <w:color w:val="000000"/>
      <w:sz w:val="24"/>
      <w:szCs w:val="24"/>
    </w:rPr>
  </w:style>
  <w:style w:type="paragraph" w:customStyle="1" w:styleId="Affiliation">
    <w:name w:val="Affiliation"/>
    <w:qFormat/>
    <w:rsid w:val="00C16C2F"/>
    <w:pPr>
      <w:spacing w:line="480" w:lineRule="auto"/>
      <w:jc w:val="center"/>
    </w:pPr>
    <w:rPr>
      <w:rFonts w:ascii="Times New Roman" w:eastAsiaTheme="minorHAnsi" w:hAnsi="Times New Roman"/>
      <w:color w:val="000000" w:themeColor="text1"/>
      <w:sz w:val="24"/>
      <w:szCs w:val="24"/>
    </w:rPr>
  </w:style>
  <w:style w:type="table" w:styleId="TableGrid">
    <w:name w:val="Table Grid"/>
    <w:basedOn w:val="TableNormal"/>
    <w:uiPriority w:val="59"/>
    <w:rsid w:val="00C16C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45V\Documents\PHD%20RESEARCH\RESULTS%20BIOASSAYS%20MICROPLATE\TPC\GALLIC%20ACI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45V\Documents\PHD%20RESEARCH\RESULTS%20BIOASSAYS%20MICROPLATE\DPPH\DPPH%20REVISED\CRUD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45V\Documents\PHD%20RESEARCH\RESULTS%20BIOASSAYS%20MICROPLATE\DPPH\DPPH%20REVISED\CRUD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45V\Documents\PHD%20RESEARCH\RESULTS%20BIOASSAYS%20MICROPLATE\FRAP%202\SUMMARY%20FRAP%20RESUL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45V\Documents\PHD%20RESEARCH\RESULTS%20BIOASSAYS%20MICROPLATE\FRAP%202\SUMMARY%20FRAP%20RESUL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45V\Documents\PHD%20RESEARCH\RESULTS%20BIOASSAYS%20MICROPLATE\FRAP%202\SUMMARY%20FRAP%20RESUL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45V\Documents\PHD%20RESEARCH\RESULTS%20BIOASSAYS%20MICROPLATE\FRAP%202\SUMMARY%20FRAP%20RESUL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45V\Documents\PHD%20RESEARCH\RESULTS%20BIOASSAYS%20MICROPLATE\FRAP%202\SUMMARY%20FRAP%20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scatterChart>
        <c:scatterStyle val="lineMarker"/>
        <c:varyColors val="0"/>
        <c:ser>
          <c:idx val="0"/>
          <c:order val="0"/>
          <c:tx>
            <c:v>Absorbance</c:v>
          </c:tx>
          <c:spPr>
            <a:ln w="47625">
              <a:noFill/>
            </a:ln>
            <a:effectLst/>
          </c:spPr>
          <c:marker>
            <c:spPr>
              <a:effectLst/>
            </c:spPr>
          </c:marker>
          <c:trendline>
            <c:trendlineType val="linear"/>
            <c:dispRSqr val="1"/>
            <c:dispEq val="1"/>
            <c:trendlineLbl>
              <c:layout>
                <c:manualLayout>
                  <c:x val="8.6093175992697866E-4"/>
                  <c:y val="0.21963249339330515"/>
                </c:manualLayout>
              </c:layout>
              <c:tx>
                <c:rich>
                  <a:bodyPr/>
                  <a:lstStyle/>
                  <a:p>
                    <a:pPr>
                      <a:defRPr sz="800"/>
                    </a:pPr>
                    <a:r>
                      <a:rPr lang="en-US" sz="800"/>
                      <a:t>y = 0.0107x + 2.6402
R² = 0.9978</a:t>
                    </a:r>
                  </a:p>
                </c:rich>
              </c:tx>
              <c:numFmt formatCode="General" sourceLinked="0"/>
              <c:spPr>
                <a:ln w="6350"/>
              </c:spPr>
            </c:trendlineLbl>
          </c:trendline>
          <c:xVal>
            <c:numRef>
              <c:f>'\Users\A45V\Documents\RESEARCH\RESULTS BIOASSAYS MICROPLATE\ANTIOXIDANT\nurul iman tpc\[TPC METHOD UM.xlsx]Sheet1'!$J$15:$J$19</c:f>
              <c:numCache>
                <c:formatCode>General</c:formatCode>
                <c:ptCount val="5"/>
                <c:pt idx="0">
                  <c:v>125</c:v>
                </c:pt>
                <c:pt idx="1">
                  <c:v>62.5</c:v>
                </c:pt>
                <c:pt idx="2">
                  <c:v>31.25</c:v>
                </c:pt>
                <c:pt idx="3">
                  <c:v>15.63</c:v>
                </c:pt>
                <c:pt idx="4">
                  <c:v>7.81</c:v>
                </c:pt>
              </c:numCache>
            </c:numRef>
          </c:xVal>
          <c:yVal>
            <c:numRef>
              <c:f>'\Users\A45V\Documents\RESEARCH\RESULTS BIOASSAYS MICROPLATE\ANTIOXIDANT\nurul iman tpc\[TPC METHOD UM.xlsx]Sheet1'!$K$15:$K$19</c:f>
              <c:numCache>
                <c:formatCode>General</c:formatCode>
                <c:ptCount val="5"/>
                <c:pt idx="0">
                  <c:v>3.972</c:v>
                </c:pt>
                <c:pt idx="1">
                  <c:v>3.3</c:v>
                </c:pt>
                <c:pt idx="2">
                  <c:v>3.0150000000000001</c:v>
                </c:pt>
                <c:pt idx="3">
                  <c:v>2.8010000000000002</c:v>
                </c:pt>
                <c:pt idx="4">
                  <c:v>2.7010000000000001</c:v>
                </c:pt>
              </c:numCache>
            </c:numRef>
          </c:yVal>
          <c:smooth val="0"/>
          <c:extLst xmlns:c16r2="http://schemas.microsoft.com/office/drawing/2015/06/chart">
            <c:ext xmlns:c16="http://schemas.microsoft.com/office/drawing/2014/chart" uri="{C3380CC4-5D6E-409C-BE32-E72D297353CC}">
              <c16:uniqueId val="{00000001-FF49-48FA-98FD-903C0B56CE2B}"/>
            </c:ext>
          </c:extLst>
        </c:ser>
        <c:dLbls>
          <c:showLegendKey val="0"/>
          <c:showVal val="0"/>
          <c:showCatName val="0"/>
          <c:showSerName val="0"/>
          <c:showPercent val="0"/>
          <c:showBubbleSize val="0"/>
        </c:dLbls>
        <c:axId val="67825024"/>
        <c:axId val="98682368"/>
      </c:scatterChart>
      <c:valAx>
        <c:axId val="67825024"/>
        <c:scaling>
          <c:orientation val="minMax"/>
        </c:scaling>
        <c:delete val="0"/>
        <c:axPos val="b"/>
        <c:title>
          <c:tx>
            <c:rich>
              <a:bodyPr/>
              <a:lstStyle/>
              <a:p>
                <a:pPr>
                  <a:defRPr sz="1000" b="1"/>
                </a:pPr>
                <a:r>
                  <a:rPr lang="en-US" sz="1000" b="1"/>
                  <a:t>Concentration (µg/mL)</a:t>
                </a:r>
              </a:p>
            </c:rich>
          </c:tx>
          <c:layout/>
          <c:overlay val="0"/>
        </c:title>
        <c:numFmt formatCode="General" sourceLinked="1"/>
        <c:majorTickMark val="out"/>
        <c:minorTickMark val="none"/>
        <c:tickLblPos val="nextTo"/>
        <c:crossAx val="98682368"/>
        <c:crosses val="autoZero"/>
        <c:crossBetween val="midCat"/>
      </c:valAx>
      <c:valAx>
        <c:axId val="98682368"/>
        <c:scaling>
          <c:orientation val="minMax"/>
          <c:max val="5"/>
          <c:min val="0"/>
        </c:scaling>
        <c:delete val="0"/>
        <c:axPos val="l"/>
        <c:title>
          <c:tx>
            <c:rich>
              <a:bodyPr rot="-5400000" vert="horz"/>
              <a:lstStyle/>
              <a:p>
                <a:pPr>
                  <a:defRPr sz="1000" b="1">
                    <a:latin typeface="Times New Roman" pitchFamily="18" charset="0"/>
                    <a:cs typeface="Times New Roman" pitchFamily="18" charset="0"/>
                  </a:defRPr>
                </a:pPr>
                <a:r>
                  <a:rPr lang="en-US" sz="1000" b="1">
                    <a:latin typeface="Times New Roman" pitchFamily="18" charset="0"/>
                    <a:cs typeface="Times New Roman" pitchFamily="18" charset="0"/>
                  </a:rPr>
                  <a:t>Absorbance</a:t>
                </a:r>
              </a:p>
            </c:rich>
          </c:tx>
          <c:layout/>
          <c:overlay val="0"/>
        </c:title>
        <c:numFmt formatCode="General" sourceLinked="1"/>
        <c:majorTickMark val="out"/>
        <c:minorTickMark val="none"/>
        <c:tickLblPos val="nextTo"/>
        <c:crossAx val="67825024"/>
        <c:crosses val="autoZero"/>
        <c:crossBetween val="midCat"/>
        <c:majorUnit val="1"/>
      </c:valAx>
    </c:plotArea>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07401769257588"/>
          <c:y val="4.8511576626240352E-2"/>
          <c:w val="0.7311250717050739"/>
          <c:h val="0.76751912074937712"/>
        </c:manualLayout>
      </c:layout>
      <c:scatterChart>
        <c:scatterStyle val="smoothMarker"/>
        <c:varyColors val="0"/>
        <c:ser>
          <c:idx val="0"/>
          <c:order val="0"/>
          <c:tx>
            <c:v>CFBE</c:v>
          </c:tx>
          <c:xVal>
            <c:numRef>
              <c:f>'SUMMARY OF CRUDE EXTRACTS'!$K$14:$K$21</c:f>
              <c:numCache>
                <c:formatCode>General</c:formatCode>
                <c:ptCount val="8"/>
                <c:pt idx="0">
                  <c:v>1000</c:v>
                </c:pt>
                <c:pt idx="1">
                  <c:v>500</c:v>
                </c:pt>
                <c:pt idx="2">
                  <c:v>250</c:v>
                </c:pt>
                <c:pt idx="3">
                  <c:v>125</c:v>
                </c:pt>
                <c:pt idx="4">
                  <c:v>62.5</c:v>
                </c:pt>
                <c:pt idx="5">
                  <c:v>31.25</c:v>
                </c:pt>
                <c:pt idx="6">
                  <c:v>15.63</c:v>
                </c:pt>
                <c:pt idx="7">
                  <c:v>7.81</c:v>
                </c:pt>
              </c:numCache>
            </c:numRef>
          </c:xVal>
          <c:yVal>
            <c:numRef>
              <c:f>'SUMMARY OF CRUDE EXTRACTS'!$O$14:$O$21</c:f>
              <c:numCache>
                <c:formatCode>General</c:formatCode>
                <c:ptCount val="8"/>
                <c:pt idx="0">
                  <c:v>99.917228331559656</c:v>
                </c:pt>
                <c:pt idx="1">
                  <c:v>103.35225257183397</c:v>
                </c:pt>
                <c:pt idx="2">
                  <c:v>100.12415750266052</c:v>
                </c:pt>
                <c:pt idx="3">
                  <c:v>98.137637460092222</c:v>
                </c:pt>
                <c:pt idx="4">
                  <c:v>84.77001300697647</c:v>
                </c:pt>
                <c:pt idx="5">
                  <c:v>51.702731465058527</c:v>
                </c:pt>
                <c:pt idx="6">
                  <c:v>27.988648456899622</c:v>
                </c:pt>
                <c:pt idx="7">
                  <c:v>15.862599030389042</c:v>
                </c:pt>
              </c:numCache>
            </c:numRef>
          </c:yVal>
          <c:smooth val="1"/>
          <c:extLst xmlns:c16r2="http://schemas.microsoft.com/office/drawing/2015/06/chart">
            <c:ext xmlns:c16="http://schemas.microsoft.com/office/drawing/2014/chart" uri="{C3380CC4-5D6E-409C-BE32-E72D297353CC}">
              <c16:uniqueId val="{00000000-6EF3-4791-A476-ADFD4324CA56}"/>
            </c:ext>
          </c:extLst>
        </c:ser>
        <c:ser>
          <c:idx val="1"/>
          <c:order val="1"/>
          <c:tx>
            <c:v>CFLE</c:v>
          </c:tx>
          <c:xVal>
            <c:numRef>
              <c:f>'SUMMARY OF CRUDE EXTRACTS'!$K$47:$K$54</c:f>
              <c:numCache>
                <c:formatCode>General</c:formatCode>
                <c:ptCount val="8"/>
                <c:pt idx="0">
                  <c:v>1000</c:v>
                </c:pt>
                <c:pt idx="1">
                  <c:v>500</c:v>
                </c:pt>
                <c:pt idx="2">
                  <c:v>250</c:v>
                </c:pt>
                <c:pt idx="3">
                  <c:v>125</c:v>
                </c:pt>
                <c:pt idx="4">
                  <c:v>62.5</c:v>
                </c:pt>
                <c:pt idx="5">
                  <c:v>31.25</c:v>
                </c:pt>
                <c:pt idx="6">
                  <c:v>15.63</c:v>
                </c:pt>
                <c:pt idx="7">
                  <c:v>7.81</c:v>
                </c:pt>
              </c:numCache>
            </c:numRef>
          </c:xVal>
          <c:yVal>
            <c:numRef>
              <c:f>'SUMMARY OF CRUDE EXTRACTS'!$O$47:$O$54</c:f>
              <c:numCache>
                <c:formatCode>General</c:formatCode>
                <c:ptCount val="8"/>
                <c:pt idx="0">
                  <c:v>105.71124512238383</c:v>
                </c:pt>
                <c:pt idx="1">
                  <c:v>103.97304008513659</c:v>
                </c:pt>
                <c:pt idx="2">
                  <c:v>99.917228331559656</c:v>
                </c:pt>
                <c:pt idx="3">
                  <c:v>98.592881636514122</c:v>
                </c:pt>
                <c:pt idx="4">
                  <c:v>94.992314059359117</c:v>
                </c:pt>
                <c:pt idx="5">
                  <c:v>67.346576800283799</c:v>
                </c:pt>
                <c:pt idx="6">
                  <c:v>40.321627054511062</c:v>
                </c:pt>
                <c:pt idx="7">
                  <c:v>22.111859997635108</c:v>
                </c:pt>
              </c:numCache>
            </c:numRef>
          </c:yVal>
          <c:smooth val="1"/>
          <c:extLst xmlns:c16r2="http://schemas.microsoft.com/office/drawing/2015/06/chart">
            <c:ext xmlns:c16="http://schemas.microsoft.com/office/drawing/2014/chart" uri="{C3380CC4-5D6E-409C-BE32-E72D297353CC}">
              <c16:uniqueId val="{00000001-6EF3-4791-A476-ADFD4324CA56}"/>
            </c:ext>
          </c:extLst>
        </c:ser>
        <c:ser>
          <c:idx val="2"/>
          <c:order val="2"/>
          <c:tx>
            <c:v>CIBE</c:v>
          </c:tx>
          <c:xVal>
            <c:numRef>
              <c:f>'SUMMARY OF CRUDE EXTRACTS'!$T$14:$T$21</c:f>
              <c:numCache>
                <c:formatCode>General</c:formatCode>
                <c:ptCount val="8"/>
                <c:pt idx="0">
                  <c:v>1000</c:v>
                </c:pt>
                <c:pt idx="1">
                  <c:v>500</c:v>
                </c:pt>
                <c:pt idx="2">
                  <c:v>250</c:v>
                </c:pt>
                <c:pt idx="3">
                  <c:v>125</c:v>
                </c:pt>
                <c:pt idx="4">
                  <c:v>62.5</c:v>
                </c:pt>
                <c:pt idx="5">
                  <c:v>31.25</c:v>
                </c:pt>
                <c:pt idx="6">
                  <c:v>15.63</c:v>
                </c:pt>
                <c:pt idx="7">
                  <c:v>7.81</c:v>
                </c:pt>
              </c:numCache>
            </c:numRef>
          </c:xVal>
          <c:yVal>
            <c:numRef>
              <c:f>'SUMMARY OF CRUDE EXTRACTS'!$X$14:$X$21</c:f>
              <c:numCache>
                <c:formatCode>General</c:formatCode>
                <c:ptCount val="8"/>
                <c:pt idx="0">
                  <c:v>96.151117417523935</c:v>
                </c:pt>
                <c:pt idx="1">
                  <c:v>95.944188246423082</c:v>
                </c:pt>
                <c:pt idx="2">
                  <c:v>95.737259075322228</c:v>
                </c:pt>
                <c:pt idx="3">
                  <c:v>91.764218990185626</c:v>
                </c:pt>
                <c:pt idx="4">
                  <c:v>55.965472389736313</c:v>
                </c:pt>
                <c:pt idx="5">
                  <c:v>28.899136809743414</c:v>
                </c:pt>
                <c:pt idx="6">
                  <c:v>12.882818966536611</c:v>
                </c:pt>
                <c:pt idx="7">
                  <c:v>5.7230696464467412</c:v>
                </c:pt>
              </c:numCache>
            </c:numRef>
          </c:yVal>
          <c:smooth val="1"/>
          <c:extLst xmlns:c16r2="http://schemas.microsoft.com/office/drawing/2015/06/chart">
            <c:ext xmlns:c16="http://schemas.microsoft.com/office/drawing/2014/chart" uri="{C3380CC4-5D6E-409C-BE32-E72D297353CC}">
              <c16:uniqueId val="{00000002-6EF3-4791-A476-ADFD4324CA56}"/>
            </c:ext>
          </c:extLst>
        </c:ser>
        <c:ser>
          <c:idx val="3"/>
          <c:order val="3"/>
          <c:tx>
            <c:v>CILE</c:v>
          </c:tx>
          <c:xVal>
            <c:numRef>
              <c:f>'SUMMARY OF CRUDE EXTRACTS'!$T$47:$T$54</c:f>
              <c:numCache>
                <c:formatCode>General</c:formatCode>
                <c:ptCount val="8"/>
                <c:pt idx="0">
                  <c:v>1000</c:v>
                </c:pt>
                <c:pt idx="1">
                  <c:v>500</c:v>
                </c:pt>
                <c:pt idx="2">
                  <c:v>250</c:v>
                </c:pt>
                <c:pt idx="3">
                  <c:v>125</c:v>
                </c:pt>
                <c:pt idx="4">
                  <c:v>62.5</c:v>
                </c:pt>
                <c:pt idx="5">
                  <c:v>31.25</c:v>
                </c:pt>
                <c:pt idx="6">
                  <c:v>15.63</c:v>
                </c:pt>
                <c:pt idx="7">
                  <c:v>7.81</c:v>
                </c:pt>
              </c:numCache>
            </c:numRef>
          </c:xVal>
          <c:yVal>
            <c:numRef>
              <c:f>'SUMMARY OF CRUDE EXTRACTS'!$X$47:$X$54</c:f>
              <c:numCache>
                <c:formatCode>General</c:formatCode>
                <c:ptCount val="8"/>
                <c:pt idx="0">
                  <c:v>98.799810807614975</c:v>
                </c:pt>
                <c:pt idx="1">
                  <c:v>98.054865791651878</c:v>
                </c:pt>
                <c:pt idx="2">
                  <c:v>97.061605770367734</c:v>
                </c:pt>
                <c:pt idx="3">
                  <c:v>84.480312167435272</c:v>
                </c:pt>
                <c:pt idx="4">
                  <c:v>52.654605652122505</c:v>
                </c:pt>
                <c:pt idx="5">
                  <c:v>29.437152654605669</c:v>
                </c:pt>
                <c:pt idx="6">
                  <c:v>14.621024003783861</c:v>
                </c:pt>
                <c:pt idx="7">
                  <c:v>5.0608962989239741</c:v>
                </c:pt>
              </c:numCache>
            </c:numRef>
          </c:yVal>
          <c:smooth val="1"/>
          <c:extLst xmlns:c16r2="http://schemas.microsoft.com/office/drawing/2015/06/chart">
            <c:ext xmlns:c16="http://schemas.microsoft.com/office/drawing/2014/chart" uri="{C3380CC4-5D6E-409C-BE32-E72D297353CC}">
              <c16:uniqueId val="{00000003-6EF3-4791-A476-ADFD4324CA56}"/>
            </c:ext>
          </c:extLst>
        </c:ser>
        <c:ser>
          <c:idx val="4"/>
          <c:order val="4"/>
          <c:tx>
            <c:v>AA</c:v>
          </c:tx>
          <c:xVal>
            <c:numRef>
              <c:f>'[AA BHT.xlsx]Plate 2 - Sheet1'!$B$34:$B$41</c:f>
              <c:numCache>
                <c:formatCode>General</c:formatCode>
                <c:ptCount val="8"/>
                <c:pt idx="0">
                  <c:v>1000</c:v>
                </c:pt>
                <c:pt idx="1">
                  <c:v>500</c:v>
                </c:pt>
                <c:pt idx="2">
                  <c:v>250</c:v>
                </c:pt>
                <c:pt idx="3">
                  <c:v>125</c:v>
                </c:pt>
                <c:pt idx="4">
                  <c:v>62.5</c:v>
                </c:pt>
                <c:pt idx="5">
                  <c:v>31.25</c:v>
                </c:pt>
                <c:pt idx="6">
                  <c:v>15.63</c:v>
                </c:pt>
                <c:pt idx="7">
                  <c:v>7.81</c:v>
                </c:pt>
              </c:numCache>
            </c:numRef>
          </c:xVal>
          <c:yVal>
            <c:numRef>
              <c:f>'[AA BHT.xlsx]Plate 2 - Sheet1'!$H$34:$H$41</c:f>
              <c:numCache>
                <c:formatCode>General</c:formatCode>
                <c:ptCount val="8"/>
                <c:pt idx="0">
                  <c:v>94.103773584905653</c:v>
                </c:pt>
                <c:pt idx="1">
                  <c:v>94.221698113207538</c:v>
                </c:pt>
                <c:pt idx="2">
                  <c:v>94.221698113207538</c:v>
                </c:pt>
                <c:pt idx="3">
                  <c:v>94.103773584905653</c:v>
                </c:pt>
                <c:pt idx="4">
                  <c:v>94.339622641509422</c:v>
                </c:pt>
                <c:pt idx="5">
                  <c:v>93.985849056603769</c:v>
                </c:pt>
                <c:pt idx="6">
                  <c:v>79.481132075471692</c:v>
                </c:pt>
                <c:pt idx="7">
                  <c:v>37.264150943396224</c:v>
                </c:pt>
              </c:numCache>
            </c:numRef>
          </c:yVal>
          <c:smooth val="1"/>
          <c:extLst xmlns:c16r2="http://schemas.microsoft.com/office/drawing/2015/06/chart">
            <c:ext xmlns:c16="http://schemas.microsoft.com/office/drawing/2014/chart" uri="{C3380CC4-5D6E-409C-BE32-E72D297353CC}">
              <c16:uniqueId val="{00000004-6EF3-4791-A476-ADFD4324CA56}"/>
            </c:ext>
          </c:extLst>
        </c:ser>
        <c:ser>
          <c:idx val="5"/>
          <c:order val="5"/>
          <c:tx>
            <c:v>BHT</c:v>
          </c:tx>
          <c:xVal>
            <c:numRef>
              <c:f>'[AA BHT.xlsx]Plate 2 - Sheet1'!$B$34:$B$41</c:f>
              <c:numCache>
                <c:formatCode>General</c:formatCode>
                <c:ptCount val="8"/>
                <c:pt idx="0">
                  <c:v>1000</c:v>
                </c:pt>
                <c:pt idx="1">
                  <c:v>500</c:v>
                </c:pt>
                <c:pt idx="2">
                  <c:v>250</c:v>
                </c:pt>
                <c:pt idx="3">
                  <c:v>125</c:v>
                </c:pt>
                <c:pt idx="4">
                  <c:v>62.5</c:v>
                </c:pt>
                <c:pt idx="5">
                  <c:v>31.25</c:v>
                </c:pt>
                <c:pt idx="6">
                  <c:v>15.63</c:v>
                </c:pt>
                <c:pt idx="7">
                  <c:v>7.81</c:v>
                </c:pt>
              </c:numCache>
            </c:numRef>
          </c:xVal>
          <c:yVal>
            <c:numRef>
              <c:f>'[AA BHT.xlsx]Plate 2 - Sheet1'!$C$34:$C$41</c:f>
              <c:numCache>
                <c:formatCode>General</c:formatCode>
                <c:ptCount val="8"/>
                <c:pt idx="0">
                  <c:v>93.396226415094333</c:v>
                </c:pt>
                <c:pt idx="1">
                  <c:v>93.396226415094333</c:v>
                </c:pt>
                <c:pt idx="2">
                  <c:v>93.396226415094333</c:v>
                </c:pt>
                <c:pt idx="3">
                  <c:v>93.042452830188665</c:v>
                </c:pt>
                <c:pt idx="4">
                  <c:v>85.731132075471692</c:v>
                </c:pt>
                <c:pt idx="5">
                  <c:v>71.344339622641513</c:v>
                </c:pt>
                <c:pt idx="6">
                  <c:v>52.240566037735846</c:v>
                </c:pt>
                <c:pt idx="7">
                  <c:v>37.146226415094333</c:v>
                </c:pt>
              </c:numCache>
            </c:numRef>
          </c:yVal>
          <c:smooth val="1"/>
          <c:extLst xmlns:c16r2="http://schemas.microsoft.com/office/drawing/2015/06/chart">
            <c:ext xmlns:c16="http://schemas.microsoft.com/office/drawing/2014/chart" uri="{C3380CC4-5D6E-409C-BE32-E72D297353CC}">
              <c16:uniqueId val="{00000005-6EF3-4791-A476-ADFD4324CA56}"/>
            </c:ext>
          </c:extLst>
        </c:ser>
        <c:dLbls>
          <c:showLegendKey val="0"/>
          <c:showVal val="0"/>
          <c:showCatName val="0"/>
          <c:showSerName val="0"/>
          <c:showPercent val="0"/>
          <c:showBubbleSize val="0"/>
        </c:dLbls>
        <c:axId val="120001664"/>
        <c:axId val="120815616"/>
      </c:scatterChart>
      <c:valAx>
        <c:axId val="120001664"/>
        <c:scaling>
          <c:orientation val="minMax"/>
          <c:max val="1000"/>
        </c:scaling>
        <c:delete val="0"/>
        <c:axPos val="b"/>
        <c:title>
          <c:tx>
            <c:rich>
              <a:bodyPr/>
              <a:lstStyle/>
              <a:p>
                <a:pPr>
                  <a:defRPr sz="1000" b="1"/>
                </a:pPr>
                <a:r>
                  <a:rPr lang="en-US" sz="1000" b="1"/>
                  <a:t>Concentration (µg/mL)</a:t>
                </a:r>
              </a:p>
            </c:rich>
          </c:tx>
          <c:layout>
            <c:manualLayout>
              <c:xMode val="edge"/>
              <c:yMode val="edge"/>
              <c:x val="0.3458038815883594"/>
              <c:y val="0.89632100287353822"/>
            </c:manualLayout>
          </c:layout>
          <c:overlay val="0"/>
        </c:title>
        <c:numFmt formatCode="General" sourceLinked="1"/>
        <c:majorTickMark val="out"/>
        <c:minorTickMark val="none"/>
        <c:tickLblPos val="nextTo"/>
        <c:txPr>
          <a:bodyPr/>
          <a:lstStyle/>
          <a:p>
            <a:pPr>
              <a:defRPr sz="900"/>
            </a:pPr>
            <a:endParaRPr lang="en-US"/>
          </a:p>
        </c:txPr>
        <c:crossAx val="120815616"/>
        <c:crosses val="autoZero"/>
        <c:crossBetween val="midCat"/>
      </c:valAx>
      <c:valAx>
        <c:axId val="120815616"/>
        <c:scaling>
          <c:orientation val="minMax"/>
          <c:max val="100"/>
        </c:scaling>
        <c:delete val="0"/>
        <c:axPos val="l"/>
        <c:title>
          <c:tx>
            <c:rich>
              <a:bodyPr rot="-5400000" vert="horz"/>
              <a:lstStyle/>
              <a:p>
                <a:pPr>
                  <a:defRPr sz="1000" b="1"/>
                </a:pPr>
                <a:r>
                  <a:rPr lang="en-US" sz="1000" b="1"/>
                  <a:t>Percentage Inhibition (%)</a:t>
                </a:r>
              </a:p>
            </c:rich>
          </c:tx>
          <c:layout/>
          <c:overlay val="0"/>
        </c:title>
        <c:numFmt formatCode="General" sourceLinked="1"/>
        <c:majorTickMark val="out"/>
        <c:minorTickMark val="none"/>
        <c:tickLblPos val="nextTo"/>
        <c:txPr>
          <a:bodyPr/>
          <a:lstStyle/>
          <a:p>
            <a:pPr>
              <a:defRPr sz="900"/>
            </a:pPr>
            <a:endParaRPr lang="en-US"/>
          </a:p>
        </c:txPr>
        <c:crossAx val="120001664"/>
        <c:crosses val="autoZero"/>
        <c:crossBetween val="midCat"/>
        <c:majorUnit val="20"/>
      </c:valAx>
    </c:plotArea>
    <c:legend>
      <c:legendPos val="r"/>
      <c:layout>
        <c:manualLayout>
          <c:xMode val="edge"/>
          <c:yMode val="edge"/>
          <c:x val="0.73891297191661254"/>
          <c:y val="0.30456970717690057"/>
          <c:w val="0.23991927362933929"/>
          <c:h val="0.31147765845697073"/>
        </c:manualLayout>
      </c:layout>
      <c:overlay val="0"/>
      <c:txPr>
        <a:bodyPr/>
        <a:lstStyle/>
        <a:p>
          <a:pPr>
            <a:defRPr sz="800"/>
          </a:pPr>
          <a:endParaRPr lang="en-US"/>
        </a:p>
      </c:txPr>
    </c:legend>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07401769257588"/>
          <c:y val="4.8511576626240352E-2"/>
          <c:w val="0.74442547742036747"/>
          <c:h val="0.76751912074937712"/>
        </c:manualLayout>
      </c:layout>
      <c:scatterChart>
        <c:scatterStyle val="smoothMarker"/>
        <c:varyColors val="0"/>
        <c:ser>
          <c:idx val="2"/>
          <c:order val="0"/>
          <c:tx>
            <c:v>CFBM</c:v>
          </c:tx>
          <c:xVal>
            <c:numRef>
              <c:f>'SUMMARY OF CRUDE EXTRACTS'!$K$25:$K$32</c:f>
              <c:numCache>
                <c:formatCode>General</c:formatCode>
                <c:ptCount val="8"/>
                <c:pt idx="0">
                  <c:v>1000</c:v>
                </c:pt>
                <c:pt idx="1">
                  <c:v>500</c:v>
                </c:pt>
                <c:pt idx="2">
                  <c:v>250</c:v>
                </c:pt>
                <c:pt idx="3">
                  <c:v>125</c:v>
                </c:pt>
                <c:pt idx="4">
                  <c:v>62.5</c:v>
                </c:pt>
                <c:pt idx="5">
                  <c:v>31.25</c:v>
                </c:pt>
                <c:pt idx="6">
                  <c:v>15.63</c:v>
                </c:pt>
                <c:pt idx="7">
                  <c:v>7.81</c:v>
                </c:pt>
              </c:numCache>
            </c:numRef>
          </c:xVal>
          <c:yVal>
            <c:numRef>
              <c:f>'SUMMARY OF CRUDE EXTRACTS'!$O$25:$O$32</c:f>
              <c:numCache>
                <c:formatCode>General</c:formatCode>
                <c:ptCount val="8"/>
                <c:pt idx="0">
                  <c:v>97.889322454771204</c:v>
                </c:pt>
                <c:pt idx="1">
                  <c:v>98.054865791651878</c:v>
                </c:pt>
                <c:pt idx="2">
                  <c:v>97.144377438808093</c:v>
                </c:pt>
                <c:pt idx="3">
                  <c:v>97.682393283670322</c:v>
                </c:pt>
                <c:pt idx="4">
                  <c:v>96.523589925505505</c:v>
                </c:pt>
                <c:pt idx="5">
                  <c:v>84.438926333215093</c:v>
                </c:pt>
                <c:pt idx="6">
                  <c:v>34.817311103228107</c:v>
                </c:pt>
                <c:pt idx="7">
                  <c:v>6.3024713255291589</c:v>
                </c:pt>
              </c:numCache>
            </c:numRef>
          </c:yVal>
          <c:smooth val="1"/>
          <c:extLst xmlns:c16r2="http://schemas.microsoft.com/office/drawing/2015/06/chart">
            <c:ext xmlns:c16="http://schemas.microsoft.com/office/drawing/2014/chart" uri="{C3380CC4-5D6E-409C-BE32-E72D297353CC}">
              <c16:uniqueId val="{00000000-87EC-4B9A-8103-89B55C8F99C6}"/>
            </c:ext>
          </c:extLst>
        </c:ser>
        <c:ser>
          <c:idx val="3"/>
          <c:order val="1"/>
          <c:tx>
            <c:v>CFLM</c:v>
          </c:tx>
          <c:xVal>
            <c:numRef>
              <c:f>'SUMMARY OF CRUDE EXTRACTS'!$K$58:$K$65</c:f>
              <c:numCache>
                <c:formatCode>General</c:formatCode>
                <c:ptCount val="8"/>
                <c:pt idx="0">
                  <c:v>1000</c:v>
                </c:pt>
                <c:pt idx="1">
                  <c:v>500</c:v>
                </c:pt>
                <c:pt idx="2">
                  <c:v>250</c:v>
                </c:pt>
                <c:pt idx="3">
                  <c:v>125</c:v>
                </c:pt>
                <c:pt idx="4">
                  <c:v>62.5</c:v>
                </c:pt>
                <c:pt idx="5">
                  <c:v>31.25</c:v>
                </c:pt>
                <c:pt idx="6">
                  <c:v>15.63</c:v>
                </c:pt>
                <c:pt idx="7">
                  <c:v>7.81</c:v>
                </c:pt>
              </c:numCache>
            </c:numRef>
          </c:xVal>
          <c:yVal>
            <c:numRef>
              <c:f>'SUMMARY OF CRUDE EXTRACTS'!$O$58:$O$65</c:f>
              <c:numCache>
                <c:formatCode>General</c:formatCode>
                <c:ptCount val="8"/>
                <c:pt idx="0">
                  <c:v>97.392692444129125</c:v>
                </c:pt>
                <c:pt idx="1">
                  <c:v>97.889322454771175</c:v>
                </c:pt>
                <c:pt idx="2">
                  <c:v>97.516849946789648</c:v>
                </c:pt>
                <c:pt idx="3">
                  <c:v>97.268534941468602</c:v>
                </c:pt>
                <c:pt idx="4">
                  <c:v>97.351306609908946</c:v>
                </c:pt>
                <c:pt idx="5">
                  <c:v>87.832564739269245</c:v>
                </c:pt>
                <c:pt idx="6">
                  <c:v>59.152181624689604</c:v>
                </c:pt>
                <c:pt idx="7">
                  <c:v>34.15513775570534</c:v>
                </c:pt>
              </c:numCache>
            </c:numRef>
          </c:yVal>
          <c:smooth val="1"/>
          <c:extLst xmlns:c16r2="http://schemas.microsoft.com/office/drawing/2015/06/chart">
            <c:ext xmlns:c16="http://schemas.microsoft.com/office/drawing/2014/chart" uri="{C3380CC4-5D6E-409C-BE32-E72D297353CC}">
              <c16:uniqueId val="{00000001-87EC-4B9A-8103-89B55C8F99C6}"/>
            </c:ext>
          </c:extLst>
        </c:ser>
        <c:ser>
          <c:idx val="4"/>
          <c:order val="2"/>
          <c:tx>
            <c:v>CIBM</c:v>
          </c:tx>
          <c:xVal>
            <c:numRef>
              <c:f>'SUMMARY OF CRUDE EXTRACTS'!$T$25:$T$32</c:f>
              <c:numCache>
                <c:formatCode>General</c:formatCode>
                <c:ptCount val="8"/>
                <c:pt idx="0">
                  <c:v>1000</c:v>
                </c:pt>
                <c:pt idx="1">
                  <c:v>500</c:v>
                </c:pt>
                <c:pt idx="2">
                  <c:v>250</c:v>
                </c:pt>
                <c:pt idx="3">
                  <c:v>125</c:v>
                </c:pt>
                <c:pt idx="4">
                  <c:v>62.5</c:v>
                </c:pt>
                <c:pt idx="5">
                  <c:v>31.25</c:v>
                </c:pt>
                <c:pt idx="6">
                  <c:v>15.63</c:v>
                </c:pt>
                <c:pt idx="7">
                  <c:v>7.81</c:v>
                </c:pt>
              </c:numCache>
            </c:numRef>
          </c:xVal>
          <c:yVal>
            <c:numRef>
              <c:f>'SUMMARY OF CRUDE EXTRACTS'!$X$25:$X$32</c:f>
              <c:numCache>
                <c:formatCode>General</c:formatCode>
                <c:ptCount val="8"/>
                <c:pt idx="0">
                  <c:v>96.358046588624802</c:v>
                </c:pt>
                <c:pt idx="1">
                  <c:v>97.185763273028257</c:v>
                </c:pt>
                <c:pt idx="2">
                  <c:v>97.102991604587899</c:v>
                </c:pt>
                <c:pt idx="3">
                  <c:v>97.144377438808078</c:v>
                </c:pt>
                <c:pt idx="4">
                  <c:v>97.682393283670322</c:v>
                </c:pt>
                <c:pt idx="5">
                  <c:v>76.534231997162109</c:v>
                </c:pt>
                <c:pt idx="6">
                  <c:v>42.763391273501242</c:v>
                </c:pt>
                <c:pt idx="7">
                  <c:v>19.918410783965953</c:v>
                </c:pt>
              </c:numCache>
            </c:numRef>
          </c:yVal>
          <c:smooth val="1"/>
          <c:extLst xmlns:c16r2="http://schemas.microsoft.com/office/drawing/2015/06/chart">
            <c:ext xmlns:c16="http://schemas.microsoft.com/office/drawing/2014/chart" uri="{C3380CC4-5D6E-409C-BE32-E72D297353CC}">
              <c16:uniqueId val="{00000002-87EC-4B9A-8103-89B55C8F99C6}"/>
            </c:ext>
          </c:extLst>
        </c:ser>
        <c:ser>
          <c:idx val="5"/>
          <c:order val="3"/>
          <c:tx>
            <c:v>CILM</c:v>
          </c:tx>
          <c:xVal>
            <c:numRef>
              <c:f>'SUMMARY OF CRUDE EXTRACTS'!$T$58:$T$65</c:f>
              <c:numCache>
                <c:formatCode>General</c:formatCode>
                <c:ptCount val="8"/>
                <c:pt idx="0">
                  <c:v>1000</c:v>
                </c:pt>
                <c:pt idx="1">
                  <c:v>500</c:v>
                </c:pt>
                <c:pt idx="2">
                  <c:v>250</c:v>
                </c:pt>
                <c:pt idx="3">
                  <c:v>125</c:v>
                </c:pt>
                <c:pt idx="4">
                  <c:v>62.5</c:v>
                </c:pt>
                <c:pt idx="5">
                  <c:v>31.25</c:v>
                </c:pt>
                <c:pt idx="6">
                  <c:v>15.63</c:v>
                </c:pt>
                <c:pt idx="7">
                  <c:v>7.81</c:v>
                </c:pt>
              </c:numCache>
            </c:numRef>
          </c:xVal>
          <c:yVal>
            <c:numRef>
              <c:f>'SUMMARY OF CRUDE EXTRACTS'!$X$58:$X$65</c:f>
              <c:numCache>
                <c:formatCode>General</c:formatCode>
                <c:ptCount val="8"/>
                <c:pt idx="0">
                  <c:v>94.578455717157382</c:v>
                </c:pt>
                <c:pt idx="1">
                  <c:v>96.192503251744128</c:v>
                </c:pt>
                <c:pt idx="2">
                  <c:v>95.2820148989003</c:v>
                </c:pt>
                <c:pt idx="3">
                  <c:v>88.080879744590277</c:v>
                </c:pt>
                <c:pt idx="4">
                  <c:v>53.482322336525954</c:v>
                </c:pt>
                <c:pt idx="5">
                  <c:v>27.03677426983565</c:v>
                </c:pt>
                <c:pt idx="6">
                  <c:v>12.386188955894538</c:v>
                </c:pt>
                <c:pt idx="7">
                  <c:v>2.4949745772732776</c:v>
                </c:pt>
              </c:numCache>
            </c:numRef>
          </c:yVal>
          <c:smooth val="1"/>
          <c:extLst xmlns:c16r2="http://schemas.microsoft.com/office/drawing/2015/06/chart">
            <c:ext xmlns:c16="http://schemas.microsoft.com/office/drawing/2014/chart" uri="{C3380CC4-5D6E-409C-BE32-E72D297353CC}">
              <c16:uniqueId val="{00000003-87EC-4B9A-8103-89B55C8F99C6}"/>
            </c:ext>
          </c:extLst>
        </c:ser>
        <c:ser>
          <c:idx val="6"/>
          <c:order val="4"/>
          <c:tx>
            <c:v>AA</c:v>
          </c:tx>
          <c:xVal>
            <c:numRef>
              <c:f>'[AA BHT.xlsx]Plate 2 - Sheet1'!$B$34:$B$41</c:f>
              <c:numCache>
                <c:formatCode>General</c:formatCode>
                <c:ptCount val="8"/>
                <c:pt idx="0">
                  <c:v>1000</c:v>
                </c:pt>
                <c:pt idx="1">
                  <c:v>500</c:v>
                </c:pt>
                <c:pt idx="2">
                  <c:v>250</c:v>
                </c:pt>
                <c:pt idx="3">
                  <c:v>125</c:v>
                </c:pt>
                <c:pt idx="4">
                  <c:v>62.5</c:v>
                </c:pt>
                <c:pt idx="5">
                  <c:v>31.25</c:v>
                </c:pt>
                <c:pt idx="6">
                  <c:v>15.63</c:v>
                </c:pt>
                <c:pt idx="7">
                  <c:v>7.81</c:v>
                </c:pt>
              </c:numCache>
            </c:numRef>
          </c:xVal>
          <c:yVal>
            <c:numRef>
              <c:f>'[AA BHT.xlsx]Plate 2 - Sheet1'!$H$34:$H$41</c:f>
              <c:numCache>
                <c:formatCode>General</c:formatCode>
                <c:ptCount val="8"/>
                <c:pt idx="0">
                  <c:v>94.103773584905653</c:v>
                </c:pt>
                <c:pt idx="1">
                  <c:v>94.221698113207538</c:v>
                </c:pt>
                <c:pt idx="2">
                  <c:v>94.221698113207538</c:v>
                </c:pt>
                <c:pt idx="3">
                  <c:v>94.103773584905653</c:v>
                </c:pt>
                <c:pt idx="4">
                  <c:v>94.339622641509422</c:v>
                </c:pt>
                <c:pt idx="5">
                  <c:v>93.985849056603769</c:v>
                </c:pt>
                <c:pt idx="6">
                  <c:v>79.481132075471692</c:v>
                </c:pt>
                <c:pt idx="7">
                  <c:v>37.264150943396224</c:v>
                </c:pt>
              </c:numCache>
            </c:numRef>
          </c:yVal>
          <c:smooth val="1"/>
          <c:extLst xmlns:c16r2="http://schemas.microsoft.com/office/drawing/2015/06/chart">
            <c:ext xmlns:c16="http://schemas.microsoft.com/office/drawing/2014/chart" uri="{C3380CC4-5D6E-409C-BE32-E72D297353CC}">
              <c16:uniqueId val="{00000004-87EC-4B9A-8103-89B55C8F99C6}"/>
            </c:ext>
          </c:extLst>
        </c:ser>
        <c:ser>
          <c:idx val="7"/>
          <c:order val="5"/>
          <c:tx>
            <c:v>BHT</c:v>
          </c:tx>
          <c:xVal>
            <c:numRef>
              <c:f>'[AA BHT.xlsx]Plate 2 - Sheet1'!$B$34:$B$41</c:f>
              <c:numCache>
                <c:formatCode>General</c:formatCode>
                <c:ptCount val="8"/>
                <c:pt idx="0">
                  <c:v>1000</c:v>
                </c:pt>
                <c:pt idx="1">
                  <c:v>500</c:v>
                </c:pt>
                <c:pt idx="2">
                  <c:v>250</c:v>
                </c:pt>
                <c:pt idx="3">
                  <c:v>125</c:v>
                </c:pt>
                <c:pt idx="4">
                  <c:v>62.5</c:v>
                </c:pt>
                <c:pt idx="5">
                  <c:v>31.25</c:v>
                </c:pt>
                <c:pt idx="6">
                  <c:v>15.63</c:v>
                </c:pt>
                <c:pt idx="7">
                  <c:v>7.81</c:v>
                </c:pt>
              </c:numCache>
            </c:numRef>
          </c:xVal>
          <c:yVal>
            <c:numRef>
              <c:f>'[AA BHT.xlsx]Plate 2 - Sheet1'!$C$34:$C$41</c:f>
              <c:numCache>
                <c:formatCode>General</c:formatCode>
                <c:ptCount val="8"/>
                <c:pt idx="0">
                  <c:v>93.396226415094333</c:v>
                </c:pt>
                <c:pt idx="1">
                  <c:v>93.396226415094333</c:v>
                </c:pt>
                <c:pt idx="2">
                  <c:v>93.396226415094333</c:v>
                </c:pt>
                <c:pt idx="3">
                  <c:v>93.042452830188665</c:v>
                </c:pt>
                <c:pt idx="4">
                  <c:v>85.731132075471692</c:v>
                </c:pt>
                <c:pt idx="5">
                  <c:v>71.344339622641513</c:v>
                </c:pt>
                <c:pt idx="6">
                  <c:v>52.240566037735846</c:v>
                </c:pt>
                <c:pt idx="7">
                  <c:v>37.146226415094333</c:v>
                </c:pt>
              </c:numCache>
            </c:numRef>
          </c:yVal>
          <c:smooth val="1"/>
          <c:extLst xmlns:c16r2="http://schemas.microsoft.com/office/drawing/2015/06/chart">
            <c:ext xmlns:c16="http://schemas.microsoft.com/office/drawing/2014/chart" uri="{C3380CC4-5D6E-409C-BE32-E72D297353CC}">
              <c16:uniqueId val="{00000005-87EC-4B9A-8103-89B55C8F99C6}"/>
            </c:ext>
          </c:extLst>
        </c:ser>
        <c:dLbls>
          <c:showLegendKey val="0"/>
          <c:showVal val="0"/>
          <c:showCatName val="0"/>
          <c:showSerName val="0"/>
          <c:showPercent val="0"/>
          <c:showBubbleSize val="0"/>
        </c:dLbls>
        <c:axId val="31935872"/>
        <c:axId val="31946240"/>
      </c:scatterChart>
      <c:valAx>
        <c:axId val="31935872"/>
        <c:scaling>
          <c:orientation val="minMax"/>
          <c:max val="1000"/>
        </c:scaling>
        <c:delete val="0"/>
        <c:axPos val="b"/>
        <c:title>
          <c:tx>
            <c:rich>
              <a:bodyPr/>
              <a:lstStyle/>
              <a:p>
                <a:pPr>
                  <a:defRPr sz="1000" b="1"/>
                </a:pPr>
                <a:r>
                  <a:rPr lang="en-US" sz="1000" b="1"/>
                  <a:t>Concentration (µg/mL)</a:t>
                </a:r>
              </a:p>
            </c:rich>
          </c:tx>
          <c:layout/>
          <c:overlay val="0"/>
        </c:title>
        <c:numFmt formatCode="General" sourceLinked="1"/>
        <c:majorTickMark val="out"/>
        <c:minorTickMark val="none"/>
        <c:tickLblPos val="nextTo"/>
        <c:txPr>
          <a:bodyPr/>
          <a:lstStyle/>
          <a:p>
            <a:pPr>
              <a:defRPr sz="900"/>
            </a:pPr>
            <a:endParaRPr lang="en-US"/>
          </a:p>
        </c:txPr>
        <c:crossAx val="31946240"/>
        <c:crosses val="autoZero"/>
        <c:crossBetween val="midCat"/>
      </c:valAx>
      <c:valAx>
        <c:axId val="31946240"/>
        <c:scaling>
          <c:orientation val="minMax"/>
          <c:max val="100"/>
        </c:scaling>
        <c:delete val="0"/>
        <c:axPos val="l"/>
        <c:title>
          <c:tx>
            <c:rich>
              <a:bodyPr rot="-5400000" vert="horz"/>
              <a:lstStyle/>
              <a:p>
                <a:pPr>
                  <a:defRPr sz="1000"/>
                </a:pPr>
                <a:r>
                  <a:rPr lang="en-US" sz="1000"/>
                  <a:t>Percentage Inhibition (%)</a:t>
                </a:r>
              </a:p>
            </c:rich>
          </c:tx>
          <c:layout>
            <c:manualLayout>
              <c:xMode val="edge"/>
              <c:yMode val="edge"/>
              <c:x val="3.2267213731816777E-2"/>
              <c:y val="0.23205410238824889"/>
            </c:manualLayout>
          </c:layout>
          <c:overlay val="0"/>
        </c:title>
        <c:numFmt formatCode="General" sourceLinked="1"/>
        <c:majorTickMark val="out"/>
        <c:minorTickMark val="none"/>
        <c:tickLblPos val="nextTo"/>
        <c:txPr>
          <a:bodyPr/>
          <a:lstStyle/>
          <a:p>
            <a:pPr>
              <a:defRPr sz="900"/>
            </a:pPr>
            <a:endParaRPr lang="en-US"/>
          </a:p>
        </c:txPr>
        <c:crossAx val="31935872"/>
        <c:crosses val="autoZero"/>
        <c:crossBetween val="midCat"/>
        <c:majorUnit val="20"/>
      </c:valAx>
    </c:plotArea>
    <c:legend>
      <c:legendPos val="r"/>
      <c:layout>
        <c:manualLayout>
          <c:xMode val="edge"/>
          <c:yMode val="edge"/>
          <c:x val="0.79454888654000277"/>
          <c:y val="0.30456970717690057"/>
          <c:w val="0.18428335900594892"/>
          <c:h val="0.31588780178662895"/>
        </c:manualLayout>
      </c:layout>
      <c:overlay val="0"/>
      <c:txPr>
        <a:bodyPr/>
        <a:lstStyle/>
        <a:p>
          <a:pPr>
            <a:defRPr sz="800"/>
          </a:pPr>
          <a:endParaRPr lang="en-US"/>
        </a:p>
      </c:txPr>
    </c:legend>
    <c:plotVisOnly val="1"/>
    <c:dispBlanksAs val="gap"/>
    <c:showDLblsOverMax val="0"/>
  </c:chart>
  <c:spPr>
    <a:ln w="6350">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FeSO4.7H2O</c:v>
          </c:tx>
          <c:trendline>
            <c:trendlineType val="linear"/>
            <c:dispRSqr val="1"/>
            <c:dispEq val="1"/>
            <c:trendlineLbl>
              <c:layout>
                <c:manualLayout>
                  <c:x val="9.9025644373391411E-2"/>
                  <c:y val="0.28751287015253191"/>
                </c:manualLayout>
              </c:layout>
              <c:numFmt formatCode="General" sourceLinked="0"/>
              <c:txPr>
                <a:bodyPr/>
                <a:lstStyle/>
                <a:p>
                  <a:pPr>
                    <a:defRPr sz="800"/>
                  </a:pPr>
                  <a:endParaRPr lang="en-US"/>
                </a:p>
              </c:txPr>
            </c:trendlineLbl>
          </c:trendline>
          <c:xVal>
            <c:numRef>
              <c:f>'[41 42 43 44 feso4.xlsx]Plate 9 - Sheet1'!$A$79:$A$83</c:f>
              <c:numCache>
                <c:formatCode>General</c:formatCode>
                <c:ptCount val="5"/>
                <c:pt idx="0">
                  <c:v>0.8</c:v>
                </c:pt>
                <c:pt idx="1">
                  <c:v>0.6</c:v>
                </c:pt>
                <c:pt idx="2">
                  <c:v>0.4</c:v>
                </c:pt>
                <c:pt idx="3">
                  <c:v>0.2</c:v>
                </c:pt>
                <c:pt idx="4">
                  <c:v>0.1</c:v>
                </c:pt>
              </c:numCache>
            </c:numRef>
          </c:xVal>
          <c:yVal>
            <c:numRef>
              <c:f>'[41 42 43 44 feso4.xlsx]Plate 9 - Sheet1'!$B$79:$B$83</c:f>
              <c:numCache>
                <c:formatCode>General</c:formatCode>
                <c:ptCount val="5"/>
                <c:pt idx="0">
                  <c:v>0.44900000000000001</c:v>
                </c:pt>
                <c:pt idx="1">
                  <c:v>0.34899999999999998</c:v>
                </c:pt>
                <c:pt idx="2">
                  <c:v>0.26</c:v>
                </c:pt>
                <c:pt idx="3">
                  <c:v>0.16</c:v>
                </c:pt>
                <c:pt idx="4">
                  <c:v>0.122</c:v>
                </c:pt>
              </c:numCache>
            </c:numRef>
          </c:yVal>
          <c:smooth val="1"/>
          <c:extLst xmlns:c16r2="http://schemas.microsoft.com/office/drawing/2015/06/chart">
            <c:ext xmlns:c16="http://schemas.microsoft.com/office/drawing/2014/chart" uri="{C3380CC4-5D6E-409C-BE32-E72D297353CC}">
              <c16:uniqueId val="{00000001-4F32-4E5E-9A9A-B81DA5E87430}"/>
            </c:ext>
          </c:extLst>
        </c:ser>
        <c:dLbls>
          <c:showLegendKey val="0"/>
          <c:showVal val="0"/>
          <c:showCatName val="0"/>
          <c:showSerName val="0"/>
          <c:showPercent val="0"/>
          <c:showBubbleSize val="0"/>
        </c:dLbls>
        <c:axId val="31954048"/>
        <c:axId val="31955968"/>
      </c:scatterChart>
      <c:valAx>
        <c:axId val="31954048"/>
        <c:scaling>
          <c:orientation val="minMax"/>
        </c:scaling>
        <c:delete val="0"/>
        <c:axPos val="b"/>
        <c:title>
          <c:tx>
            <c:rich>
              <a:bodyPr/>
              <a:lstStyle/>
              <a:p>
                <a:pPr>
                  <a:defRPr sz="1000" b="1"/>
                </a:pPr>
                <a:r>
                  <a:rPr lang="en-US" sz="1000" b="1"/>
                  <a:t>Concentration (mM)</a:t>
                </a:r>
              </a:p>
            </c:rich>
          </c:tx>
          <c:layout/>
          <c:overlay val="0"/>
        </c:title>
        <c:numFmt formatCode="General" sourceLinked="1"/>
        <c:majorTickMark val="out"/>
        <c:minorTickMark val="none"/>
        <c:tickLblPos val="nextTo"/>
        <c:txPr>
          <a:bodyPr/>
          <a:lstStyle/>
          <a:p>
            <a:pPr>
              <a:defRPr sz="900"/>
            </a:pPr>
            <a:endParaRPr lang="en-US"/>
          </a:p>
        </c:txPr>
        <c:crossAx val="31955968"/>
        <c:crosses val="autoZero"/>
        <c:crossBetween val="midCat"/>
      </c:valAx>
      <c:valAx>
        <c:axId val="31955968"/>
        <c:scaling>
          <c:orientation val="minMax"/>
        </c:scaling>
        <c:delete val="0"/>
        <c:axPos val="l"/>
        <c:title>
          <c:tx>
            <c:rich>
              <a:bodyPr rot="-5400000" vert="horz"/>
              <a:lstStyle/>
              <a:p>
                <a:pPr>
                  <a:defRPr sz="1000"/>
                </a:pPr>
                <a:r>
                  <a:rPr lang="en-US" sz="1000"/>
                  <a:t>Absorbance</a:t>
                </a:r>
              </a:p>
            </c:rich>
          </c:tx>
          <c:layout/>
          <c:overlay val="0"/>
        </c:title>
        <c:numFmt formatCode="General" sourceLinked="1"/>
        <c:majorTickMark val="out"/>
        <c:minorTickMark val="none"/>
        <c:tickLblPos val="nextTo"/>
        <c:txPr>
          <a:bodyPr/>
          <a:lstStyle/>
          <a:p>
            <a:pPr>
              <a:defRPr sz="900"/>
            </a:pPr>
            <a:endParaRPr lang="en-US"/>
          </a:p>
        </c:txPr>
        <c:crossAx val="31954048"/>
        <c:crosses val="autoZero"/>
        <c:crossBetween val="midCat"/>
      </c:valAx>
    </c:plotArea>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71538815189113"/>
          <c:y val="4.8511576626240352E-2"/>
          <c:w val="0.76626937773191117"/>
          <c:h val="0.76751912074937712"/>
        </c:manualLayout>
      </c:layout>
      <c:scatterChart>
        <c:scatterStyle val="lineMarker"/>
        <c:varyColors val="0"/>
        <c:ser>
          <c:idx val="2"/>
          <c:order val="0"/>
          <c:tx>
            <c:v>CFBD</c:v>
          </c:tx>
          <c:xVal>
            <c:numRef>
              <c:f>Sheet1!$L$58:$Q$58</c:f>
              <c:numCache>
                <c:formatCode>General</c:formatCode>
                <c:ptCount val="6"/>
                <c:pt idx="0">
                  <c:v>1</c:v>
                </c:pt>
                <c:pt idx="1">
                  <c:v>0.8</c:v>
                </c:pt>
                <c:pt idx="2">
                  <c:v>0.6</c:v>
                </c:pt>
                <c:pt idx="3">
                  <c:v>0.4</c:v>
                </c:pt>
                <c:pt idx="4">
                  <c:v>0.2</c:v>
                </c:pt>
                <c:pt idx="5">
                  <c:v>0.1</c:v>
                </c:pt>
              </c:numCache>
            </c:numRef>
          </c:xVal>
          <c:yVal>
            <c:numRef>
              <c:f>Sheet1!$L$14:$Q$14</c:f>
              <c:numCache>
                <c:formatCode>General</c:formatCode>
                <c:ptCount val="6"/>
                <c:pt idx="0">
                  <c:v>0.24465743698970532</c:v>
                </c:pt>
                <c:pt idx="1">
                  <c:v>0.177209797657082</c:v>
                </c:pt>
                <c:pt idx="2">
                  <c:v>0.16230031948881787</c:v>
                </c:pt>
                <c:pt idx="3">
                  <c:v>0.15875044373446931</c:v>
                </c:pt>
                <c:pt idx="4">
                  <c:v>0.1161519346822861</c:v>
                </c:pt>
                <c:pt idx="5">
                  <c:v>0.11331203407880724</c:v>
                </c:pt>
              </c:numCache>
            </c:numRef>
          </c:yVal>
          <c:smooth val="0"/>
          <c:extLst xmlns:c16r2="http://schemas.microsoft.com/office/drawing/2015/06/chart">
            <c:ext xmlns:c16="http://schemas.microsoft.com/office/drawing/2014/chart" uri="{C3380CC4-5D6E-409C-BE32-E72D297353CC}">
              <c16:uniqueId val="{00000000-0706-453F-A26A-18A73AEBCAAB}"/>
            </c:ext>
          </c:extLst>
        </c:ser>
        <c:ser>
          <c:idx val="3"/>
          <c:order val="1"/>
          <c:tx>
            <c:v>CFLD</c:v>
          </c:tx>
          <c:xVal>
            <c:numRef>
              <c:f>Sheet1!$L$58:$Q$58</c:f>
              <c:numCache>
                <c:formatCode>General</c:formatCode>
                <c:ptCount val="6"/>
                <c:pt idx="0">
                  <c:v>1</c:v>
                </c:pt>
                <c:pt idx="1">
                  <c:v>0.8</c:v>
                </c:pt>
                <c:pt idx="2">
                  <c:v>0.6</c:v>
                </c:pt>
                <c:pt idx="3">
                  <c:v>0.4</c:v>
                </c:pt>
                <c:pt idx="4">
                  <c:v>0.2</c:v>
                </c:pt>
                <c:pt idx="5">
                  <c:v>0.1</c:v>
                </c:pt>
              </c:numCache>
            </c:numRef>
          </c:xVal>
          <c:yVal>
            <c:numRef>
              <c:f>Sheet1!$L$17:$Q$17</c:f>
              <c:numCache>
                <c:formatCode>General</c:formatCode>
                <c:ptCount val="6"/>
                <c:pt idx="0">
                  <c:v>0.37032303869364575</c:v>
                </c:pt>
                <c:pt idx="1">
                  <c:v>0.26453674121405746</c:v>
                </c:pt>
                <c:pt idx="2">
                  <c:v>0.19921902733404331</c:v>
                </c:pt>
                <c:pt idx="3">
                  <c:v>0.1537806176783813</c:v>
                </c:pt>
                <c:pt idx="4">
                  <c:v>0.12893148739794108</c:v>
                </c:pt>
                <c:pt idx="5">
                  <c:v>0.10053248136315228</c:v>
                </c:pt>
              </c:numCache>
            </c:numRef>
          </c:yVal>
          <c:smooth val="0"/>
          <c:extLst xmlns:c16r2="http://schemas.microsoft.com/office/drawing/2015/06/chart">
            <c:ext xmlns:c16="http://schemas.microsoft.com/office/drawing/2014/chart" uri="{C3380CC4-5D6E-409C-BE32-E72D297353CC}">
              <c16:uniqueId val="{00000001-0706-453F-A26A-18A73AEBCAAB}"/>
            </c:ext>
          </c:extLst>
        </c:ser>
        <c:ser>
          <c:idx val="4"/>
          <c:order val="2"/>
          <c:tx>
            <c:v>CIBD</c:v>
          </c:tx>
          <c:xVal>
            <c:numRef>
              <c:f>Sheet1!$L$58:$Q$58</c:f>
              <c:numCache>
                <c:formatCode>General</c:formatCode>
                <c:ptCount val="6"/>
                <c:pt idx="0">
                  <c:v>1</c:v>
                </c:pt>
                <c:pt idx="1">
                  <c:v>0.8</c:v>
                </c:pt>
                <c:pt idx="2">
                  <c:v>0.6</c:v>
                </c:pt>
                <c:pt idx="3">
                  <c:v>0.4</c:v>
                </c:pt>
                <c:pt idx="4">
                  <c:v>0.2</c:v>
                </c:pt>
                <c:pt idx="5">
                  <c:v>0.1</c:v>
                </c:pt>
              </c:numCache>
            </c:numRef>
          </c:xVal>
          <c:yVal>
            <c:numRef>
              <c:f>Sheet1!$L$24:$Q$24</c:f>
              <c:numCache>
                <c:formatCode>General</c:formatCode>
                <c:ptCount val="6"/>
                <c:pt idx="0">
                  <c:v>0.23400780972665958</c:v>
                </c:pt>
                <c:pt idx="1">
                  <c:v>0.23329783457578981</c:v>
                </c:pt>
                <c:pt idx="2">
                  <c:v>0.16159034433794825</c:v>
                </c:pt>
                <c:pt idx="3">
                  <c:v>0.12112176073837419</c:v>
                </c:pt>
                <c:pt idx="4">
                  <c:v>7.2133475328363519E-2</c:v>
                </c:pt>
                <c:pt idx="5">
                  <c:v>5.4384096556620534E-2</c:v>
                </c:pt>
              </c:numCache>
            </c:numRef>
          </c:yVal>
          <c:smooth val="0"/>
          <c:extLst xmlns:c16r2="http://schemas.microsoft.com/office/drawing/2015/06/chart">
            <c:ext xmlns:c16="http://schemas.microsoft.com/office/drawing/2014/chart" uri="{C3380CC4-5D6E-409C-BE32-E72D297353CC}">
              <c16:uniqueId val="{00000002-0706-453F-A26A-18A73AEBCAAB}"/>
            </c:ext>
          </c:extLst>
        </c:ser>
        <c:ser>
          <c:idx val="5"/>
          <c:order val="3"/>
          <c:tx>
            <c:v>CILD</c:v>
          </c:tx>
          <c:xVal>
            <c:numRef>
              <c:f>Sheet1!$L$58:$Q$58</c:f>
              <c:numCache>
                <c:formatCode>General</c:formatCode>
                <c:ptCount val="6"/>
                <c:pt idx="0">
                  <c:v>1</c:v>
                </c:pt>
                <c:pt idx="1">
                  <c:v>0.8</c:v>
                </c:pt>
                <c:pt idx="2">
                  <c:v>0.6</c:v>
                </c:pt>
                <c:pt idx="3">
                  <c:v>0.4</c:v>
                </c:pt>
                <c:pt idx="4">
                  <c:v>0.2</c:v>
                </c:pt>
                <c:pt idx="5">
                  <c:v>0.1</c:v>
                </c:pt>
              </c:numCache>
            </c:numRef>
          </c:xVal>
          <c:yVal>
            <c:numRef>
              <c:f>Sheet1!$L$27:$Q$27</c:f>
              <c:numCache>
                <c:formatCode>General</c:formatCode>
                <c:ptCount val="6"/>
                <c:pt idx="0">
                  <c:v>0.17365992190273338</c:v>
                </c:pt>
                <c:pt idx="1">
                  <c:v>0.10905218317358892</c:v>
                </c:pt>
                <c:pt idx="2">
                  <c:v>0.10408235711750087</c:v>
                </c:pt>
                <c:pt idx="3">
                  <c:v>9.9112531061412851E-2</c:v>
                </c:pt>
                <c:pt idx="4">
                  <c:v>6.0063897763578317E-2</c:v>
                </c:pt>
                <c:pt idx="5">
                  <c:v>5.2964146254881099E-2</c:v>
                </c:pt>
              </c:numCache>
            </c:numRef>
          </c:yVal>
          <c:smooth val="0"/>
          <c:extLst xmlns:c16r2="http://schemas.microsoft.com/office/drawing/2015/06/chart">
            <c:ext xmlns:c16="http://schemas.microsoft.com/office/drawing/2014/chart" uri="{C3380CC4-5D6E-409C-BE32-E72D297353CC}">
              <c16:uniqueId val="{00000003-0706-453F-A26A-18A73AEBCAAB}"/>
            </c:ext>
          </c:extLst>
        </c:ser>
        <c:dLbls>
          <c:showLegendKey val="0"/>
          <c:showVal val="0"/>
          <c:showCatName val="0"/>
          <c:showSerName val="0"/>
          <c:showPercent val="0"/>
          <c:showBubbleSize val="0"/>
        </c:dLbls>
        <c:axId val="34138752"/>
        <c:axId val="34235136"/>
      </c:scatterChart>
      <c:valAx>
        <c:axId val="34138752"/>
        <c:scaling>
          <c:orientation val="minMax"/>
        </c:scaling>
        <c:delete val="0"/>
        <c:axPos val="b"/>
        <c:title>
          <c:tx>
            <c:rich>
              <a:bodyPr/>
              <a:lstStyle/>
              <a:p>
                <a:pPr>
                  <a:defRPr sz="1000" b="1"/>
                </a:pPr>
                <a:r>
                  <a:rPr lang="en-US" sz="1000" b="1">
                    <a:latin typeface="Times New Roman" pitchFamily="18" charset="0"/>
                    <a:cs typeface="Times New Roman" pitchFamily="18" charset="0"/>
                  </a:rPr>
                  <a:t>Concentration (µM)</a:t>
                </a:r>
              </a:p>
            </c:rich>
          </c:tx>
          <c:layout/>
          <c:overlay val="0"/>
        </c:title>
        <c:numFmt formatCode="General" sourceLinked="1"/>
        <c:majorTickMark val="out"/>
        <c:minorTickMark val="none"/>
        <c:tickLblPos val="nextTo"/>
        <c:txPr>
          <a:bodyPr/>
          <a:lstStyle/>
          <a:p>
            <a:pPr>
              <a:defRPr sz="900"/>
            </a:pPr>
            <a:endParaRPr lang="en-US"/>
          </a:p>
        </c:txPr>
        <c:crossAx val="34235136"/>
        <c:crosses val="autoZero"/>
        <c:crossBetween val="midCat"/>
      </c:valAx>
      <c:valAx>
        <c:axId val="34235136"/>
        <c:scaling>
          <c:orientation val="minMax"/>
        </c:scaling>
        <c:delete val="0"/>
        <c:axPos val="l"/>
        <c:title>
          <c:tx>
            <c:rich>
              <a:bodyPr rot="-5400000" vert="horz"/>
              <a:lstStyle/>
              <a:p>
                <a:pPr>
                  <a:defRPr sz="1000"/>
                </a:pPr>
                <a:r>
                  <a:rPr lang="en-MY" sz="1000"/>
                  <a:t>FRAP Equivalent to FeSO4.7H2O (mM)</a:t>
                </a:r>
                <a:endParaRPr lang="en-US" sz="1000"/>
              </a:p>
            </c:rich>
          </c:tx>
          <c:layout/>
          <c:overlay val="0"/>
        </c:title>
        <c:numFmt formatCode="General" sourceLinked="1"/>
        <c:majorTickMark val="out"/>
        <c:minorTickMark val="none"/>
        <c:tickLblPos val="nextTo"/>
        <c:txPr>
          <a:bodyPr/>
          <a:lstStyle/>
          <a:p>
            <a:pPr>
              <a:defRPr sz="900"/>
            </a:pPr>
            <a:endParaRPr lang="en-US"/>
          </a:p>
        </c:txPr>
        <c:crossAx val="34138752"/>
        <c:crosses val="autoZero"/>
        <c:crossBetween val="midCat"/>
      </c:valAx>
    </c:plotArea>
    <c:legend>
      <c:legendPos val="r"/>
      <c:layout>
        <c:manualLayout>
          <c:xMode val="edge"/>
          <c:yMode val="edge"/>
          <c:x val="0.79927635170140687"/>
          <c:y val="0.40058408354964459"/>
          <c:w val="0.17955589384454479"/>
          <c:h val="0.22970248895293821"/>
        </c:manualLayout>
      </c:layout>
      <c:overlay val="0"/>
      <c:txPr>
        <a:bodyPr/>
        <a:lstStyle/>
        <a:p>
          <a:pPr>
            <a:defRPr sz="800"/>
          </a:pPr>
          <a:endParaRPr lang="en-US"/>
        </a:p>
      </c:txPr>
    </c:legend>
    <c:plotVisOnly val="1"/>
    <c:dispBlanksAs val="zero"/>
    <c:showDLblsOverMax val="0"/>
  </c:chart>
  <c:spPr>
    <a:ln w="6350">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25412000338907"/>
          <c:y val="4.8511576626240352E-2"/>
          <c:w val="0.76375869315506495"/>
          <c:h val="0.76751912074937712"/>
        </c:manualLayout>
      </c:layout>
      <c:scatterChart>
        <c:scatterStyle val="lineMarker"/>
        <c:varyColors val="0"/>
        <c:ser>
          <c:idx val="0"/>
          <c:order val="0"/>
          <c:tx>
            <c:v>CFBE</c:v>
          </c:tx>
          <c:xVal>
            <c:numRef>
              <c:f>Sheet1!$L$58:$Q$58</c:f>
              <c:numCache>
                <c:formatCode>General</c:formatCode>
                <c:ptCount val="6"/>
                <c:pt idx="0">
                  <c:v>1</c:v>
                </c:pt>
                <c:pt idx="1">
                  <c:v>0.8</c:v>
                </c:pt>
                <c:pt idx="2">
                  <c:v>0.6</c:v>
                </c:pt>
                <c:pt idx="3">
                  <c:v>0.4</c:v>
                </c:pt>
                <c:pt idx="4">
                  <c:v>0.2</c:v>
                </c:pt>
                <c:pt idx="5">
                  <c:v>0.1</c:v>
                </c:pt>
              </c:numCache>
            </c:numRef>
          </c:xVal>
          <c:yVal>
            <c:numRef>
              <c:f>Sheet1!$L$15:$Q$15</c:f>
              <c:numCache>
                <c:formatCode>General</c:formatCode>
                <c:ptCount val="6"/>
                <c:pt idx="0">
                  <c:v>2.9809016684416045</c:v>
                </c:pt>
                <c:pt idx="1">
                  <c:v>1.9833865814696487</c:v>
                </c:pt>
                <c:pt idx="2">
                  <c:v>1.8825701100461485</c:v>
                </c:pt>
                <c:pt idx="3">
                  <c:v>1.1264465743698973</c:v>
                </c:pt>
                <c:pt idx="4">
                  <c:v>0.86943556975505865</c:v>
                </c:pt>
                <c:pt idx="5">
                  <c:v>0.36535321263755766</c:v>
                </c:pt>
              </c:numCache>
            </c:numRef>
          </c:yVal>
          <c:smooth val="0"/>
          <c:extLst xmlns:c16r2="http://schemas.microsoft.com/office/drawing/2015/06/chart">
            <c:ext xmlns:c16="http://schemas.microsoft.com/office/drawing/2014/chart" uri="{C3380CC4-5D6E-409C-BE32-E72D297353CC}">
              <c16:uniqueId val="{00000000-C2BF-4CBE-AAB7-EBF291262E1C}"/>
            </c:ext>
          </c:extLst>
        </c:ser>
        <c:ser>
          <c:idx val="1"/>
          <c:order val="1"/>
          <c:tx>
            <c:v>CFLE</c:v>
          </c:tx>
          <c:xVal>
            <c:numRef>
              <c:f>Sheet1!$L$58:$Q$58</c:f>
              <c:numCache>
                <c:formatCode>General</c:formatCode>
                <c:ptCount val="6"/>
                <c:pt idx="0">
                  <c:v>1</c:v>
                </c:pt>
                <c:pt idx="1">
                  <c:v>0.8</c:v>
                </c:pt>
                <c:pt idx="2">
                  <c:v>0.6</c:v>
                </c:pt>
                <c:pt idx="3">
                  <c:v>0.4</c:v>
                </c:pt>
                <c:pt idx="4">
                  <c:v>0.2</c:v>
                </c:pt>
                <c:pt idx="5">
                  <c:v>0.1</c:v>
                </c:pt>
              </c:numCache>
            </c:numRef>
          </c:xVal>
          <c:yVal>
            <c:numRef>
              <c:f>Sheet1!$L$18:$Q$18</c:f>
              <c:numCache>
                <c:formatCode>General</c:formatCode>
                <c:ptCount val="6"/>
                <c:pt idx="0">
                  <c:v>3.2357827476038343</c:v>
                </c:pt>
                <c:pt idx="1">
                  <c:v>1.2364927227547033</c:v>
                </c:pt>
                <c:pt idx="2">
                  <c:v>1.1740149094781684</c:v>
                </c:pt>
                <c:pt idx="3">
                  <c:v>0.67845225417110411</c:v>
                </c:pt>
                <c:pt idx="4">
                  <c:v>0.54781682641107565</c:v>
                </c:pt>
                <c:pt idx="5">
                  <c:v>0.21767838125665606</c:v>
                </c:pt>
              </c:numCache>
            </c:numRef>
          </c:yVal>
          <c:smooth val="0"/>
          <c:extLst xmlns:c16r2="http://schemas.microsoft.com/office/drawing/2015/06/chart">
            <c:ext xmlns:c16="http://schemas.microsoft.com/office/drawing/2014/chart" uri="{C3380CC4-5D6E-409C-BE32-E72D297353CC}">
              <c16:uniqueId val="{00000001-C2BF-4CBE-AAB7-EBF291262E1C}"/>
            </c:ext>
          </c:extLst>
        </c:ser>
        <c:ser>
          <c:idx val="2"/>
          <c:order val="2"/>
          <c:tx>
            <c:v>CIBE</c:v>
          </c:tx>
          <c:xVal>
            <c:numRef>
              <c:f>Sheet1!$L$58:$Q$58</c:f>
              <c:numCache>
                <c:formatCode>General</c:formatCode>
                <c:ptCount val="6"/>
                <c:pt idx="0">
                  <c:v>1</c:v>
                </c:pt>
                <c:pt idx="1">
                  <c:v>0.8</c:v>
                </c:pt>
                <c:pt idx="2">
                  <c:v>0.6</c:v>
                </c:pt>
                <c:pt idx="3">
                  <c:v>0.4</c:v>
                </c:pt>
                <c:pt idx="4">
                  <c:v>0.2</c:v>
                </c:pt>
                <c:pt idx="5">
                  <c:v>0.1</c:v>
                </c:pt>
              </c:numCache>
            </c:numRef>
          </c:xVal>
          <c:yVal>
            <c:numRef>
              <c:f>Sheet1!$L$25:$Q$25</c:f>
              <c:numCache>
                <c:formatCode>General</c:formatCode>
                <c:ptCount val="6"/>
                <c:pt idx="0">
                  <c:v>1.3507987220447284</c:v>
                </c:pt>
                <c:pt idx="1">
                  <c:v>1.1541356052538163</c:v>
                </c:pt>
                <c:pt idx="2">
                  <c:v>0.65147319843805462</c:v>
                </c:pt>
                <c:pt idx="3">
                  <c:v>0.39517216897408597</c:v>
                </c:pt>
                <c:pt idx="4">
                  <c:v>0.18430954916577919</c:v>
                </c:pt>
                <c:pt idx="5">
                  <c:v>9.059282925097624E-2</c:v>
                </c:pt>
              </c:numCache>
            </c:numRef>
          </c:yVal>
          <c:smooth val="0"/>
          <c:extLst xmlns:c16r2="http://schemas.microsoft.com/office/drawing/2015/06/chart">
            <c:ext xmlns:c16="http://schemas.microsoft.com/office/drawing/2014/chart" uri="{C3380CC4-5D6E-409C-BE32-E72D297353CC}">
              <c16:uniqueId val="{00000002-C2BF-4CBE-AAB7-EBF291262E1C}"/>
            </c:ext>
          </c:extLst>
        </c:ser>
        <c:ser>
          <c:idx val="3"/>
          <c:order val="3"/>
          <c:tx>
            <c:v>CILE</c:v>
          </c:tx>
          <c:xVal>
            <c:numRef>
              <c:f>Sheet1!$L$58:$Q$58</c:f>
              <c:numCache>
                <c:formatCode>General</c:formatCode>
                <c:ptCount val="6"/>
                <c:pt idx="0">
                  <c:v>1</c:v>
                </c:pt>
                <c:pt idx="1">
                  <c:v>0.8</c:v>
                </c:pt>
                <c:pt idx="2">
                  <c:v>0.6</c:v>
                </c:pt>
                <c:pt idx="3">
                  <c:v>0.4</c:v>
                </c:pt>
                <c:pt idx="4">
                  <c:v>0.2</c:v>
                </c:pt>
                <c:pt idx="5">
                  <c:v>0.1</c:v>
                </c:pt>
              </c:numCache>
            </c:numRef>
          </c:xVal>
          <c:yVal>
            <c:numRef>
              <c:f>Sheet1!$L$28:$Q$28</c:f>
              <c:numCache>
                <c:formatCode>General</c:formatCode>
                <c:ptCount val="6"/>
                <c:pt idx="0">
                  <c:v>1.0973375931842386</c:v>
                </c:pt>
                <c:pt idx="1">
                  <c:v>0.61668441604543844</c:v>
                </c:pt>
                <c:pt idx="2">
                  <c:v>0.56911608093716726</c:v>
                </c:pt>
                <c:pt idx="3">
                  <c:v>0.39233226837060708</c:v>
                </c:pt>
                <c:pt idx="4">
                  <c:v>0.22335818246361377</c:v>
                </c:pt>
                <c:pt idx="5">
                  <c:v>0.13532126375576856</c:v>
                </c:pt>
              </c:numCache>
            </c:numRef>
          </c:yVal>
          <c:smooth val="0"/>
          <c:extLst xmlns:c16r2="http://schemas.microsoft.com/office/drawing/2015/06/chart">
            <c:ext xmlns:c16="http://schemas.microsoft.com/office/drawing/2014/chart" uri="{C3380CC4-5D6E-409C-BE32-E72D297353CC}">
              <c16:uniqueId val="{00000003-C2BF-4CBE-AAB7-EBF291262E1C}"/>
            </c:ext>
          </c:extLst>
        </c:ser>
        <c:dLbls>
          <c:showLegendKey val="0"/>
          <c:showVal val="0"/>
          <c:showCatName val="0"/>
          <c:showSerName val="0"/>
          <c:showPercent val="0"/>
          <c:showBubbleSize val="0"/>
        </c:dLbls>
        <c:axId val="34382592"/>
        <c:axId val="34384512"/>
      </c:scatterChart>
      <c:valAx>
        <c:axId val="34382592"/>
        <c:scaling>
          <c:orientation val="minMax"/>
        </c:scaling>
        <c:delete val="0"/>
        <c:axPos val="b"/>
        <c:title>
          <c:tx>
            <c:rich>
              <a:bodyPr/>
              <a:lstStyle/>
              <a:p>
                <a:pPr>
                  <a:defRPr sz="1000" b="1"/>
                </a:pPr>
                <a:r>
                  <a:rPr lang="en-US" sz="1000" b="1"/>
                  <a:t>Concentration (µM)</a:t>
                </a:r>
              </a:p>
            </c:rich>
          </c:tx>
          <c:layout/>
          <c:overlay val="0"/>
        </c:title>
        <c:numFmt formatCode="General" sourceLinked="1"/>
        <c:majorTickMark val="out"/>
        <c:minorTickMark val="none"/>
        <c:tickLblPos val="nextTo"/>
        <c:txPr>
          <a:bodyPr/>
          <a:lstStyle/>
          <a:p>
            <a:pPr>
              <a:defRPr sz="900"/>
            </a:pPr>
            <a:endParaRPr lang="en-US"/>
          </a:p>
        </c:txPr>
        <c:crossAx val="34384512"/>
        <c:crosses val="autoZero"/>
        <c:crossBetween val="midCat"/>
      </c:valAx>
      <c:valAx>
        <c:axId val="34384512"/>
        <c:scaling>
          <c:orientation val="minMax"/>
        </c:scaling>
        <c:delete val="0"/>
        <c:axPos val="l"/>
        <c:title>
          <c:tx>
            <c:rich>
              <a:bodyPr rot="-5400000" vert="horz"/>
              <a:lstStyle/>
              <a:p>
                <a:pPr>
                  <a:defRPr sz="1000"/>
                </a:pPr>
                <a:r>
                  <a:rPr lang="en-MY" sz="1000"/>
                  <a:t>FRAP Equivalent to FeSO4.7H2O (mM)</a:t>
                </a:r>
                <a:endParaRPr lang="en-US" sz="1000"/>
              </a:p>
            </c:rich>
          </c:tx>
          <c:layout/>
          <c:overlay val="0"/>
        </c:title>
        <c:numFmt formatCode="General" sourceLinked="1"/>
        <c:majorTickMark val="out"/>
        <c:minorTickMark val="none"/>
        <c:tickLblPos val="nextTo"/>
        <c:txPr>
          <a:bodyPr/>
          <a:lstStyle/>
          <a:p>
            <a:pPr>
              <a:defRPr sz="900"/>
            </a:pPr>
            <a:endParaRPr lang="en-US"/>
          </a:p>
        </c:txPr>
        <c:crossAx val="34382592"/>
        <c:crosses val="autoZero"/>
        <c:crossBetween val="midCat"/>
      </c:valAx>
    </c:plotArea>
    <c:legend>
      <c:legendPos val="r"/>
      <c:layout>
        <c:manualLayout>
          <c:xMode val="edge"/>
          <c:yMode val="edge"/>
          <c:x val="0.80241623527875738"/>
          <c:y val="0.40499422687930281"/>
          <c:w val="0.17641601026719428"/>
          <c:h val="0.22529234562327999"/>
        </c:manualLayout>
      </c:layout>
      <c:overlay val="0"/>
      <c:txPr>
        <a:bodyPr/>
        <a:lstStyle/>
        <a:p>
          <a:pPr>
            <a:defRPr sz="800"/>
          </a:pPr>
          <a:endParaRPr lang="en-US"/>
        </a:p>
      </c:txPr>
    </c:legend>
    <c:plotVisOnly val="1"/>
    <c:dispBlanksAs val="zero"/>
    <c:showDLblsOverMax val="0"/>
  </c:chart>
  <c:spPr>
    <a:ln w="6350">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25412000338907"/>
          <c:y val="4.8511576626240352E-2"/>
          <c:w val="0.74883542626496069"/>
          <c:h val="0.76751912074937712"/>
        </c:manualLayout>
      </c:layout>
      <c:scatterChart>
        <c:scatterStyle val="lineMarker"/>
        <c:varyColors val="0"/>
        <c:ser>
          <c:idx val="2"/>
          <c:order val="0"/>
          <c:tx>
            <c:v>CFBM</c:v>
          </c:tx>
          <c:xVal>
            <c:numRef>
              <c:f>Sheet1!$L$58:$Q$58</c:f>
              <c:numCache>
                <c:formatCode>General</c:formatCode>
                <c:ptCount val="6"/>
                <c:pt idx="0">
                  <c:v>1</c:v>
                </c:pt>
                <c:pt idx="1">
                  <c:v>0.8</c:v>
                </c:pt>
                <c:pt idx="2">
                  <c:v>0.6</c:v>
                </c:pt>
                <c:pt idx="3">
                  <c:v>0.4</c:v>
                </c:pt>
                <c:pt idx="4">
                  <c:v>0.2</c:v>
                </c:pt>
                <c:pt idx="5">
                  <c:v>0.1</c:v>
                </c:pt>
              </c:numCache>
            </c:numRef>
          </c:xVal>
          <c:yVal>
            <c:numRef>
              <c:f>Sheet1!$L$16:$Q$16</c:f>
              <c:numCache>
                <c:formatCode>General</c:formatCode>
                <c:ptCount val="6"/>
                <c:pt idx="0">
                  <c:v>3.7249556265530708</c:v>
                </c:pt>
                <c:pt idx="1">
                  <c:v>2.7373801916932905</c:v>
                </c:pt>
                <c:pt idx="2">
                  <c:v>2.0259850905218317</c:v>
                </c:pt>
                <c:pt idx="3">
                  <c:v>1.4132765353212637</c:v>
                </c:pt>
                <c:pt idx="4">
                  <c:v>0.73525026624068146</c:v>
                </c:pt>
                <c:pt idx="5">
                  <c:v>0.3980120695775648</c:v>
                </c:pt>
              </c:numCache>
            </c:numRef>
          </c:yVal>
          <c:smooth val="0"/>
          <c:extLst xmlns:c16r2="http://schemas.microsoft.com/office/drawing/2015/06/chart">
            <c:ext xmlns:c16="http://schemas.microsoft.com/office/drawing/2014/chart" uri="{C3380CC4-5D6E-409C-BE32-E72D297353CC}">
              <c16:uniqueId val="{00000000-496C-4471-9AE0-297DE74BD15D}"/>
            </c:ext>
          </c:extLst>
        </c:ser>
        <c:ser>
          <c:idx val="3"/>
          <c:order val="1"/>
          <c:tx>
            <c:v>CFLM</c:v>
          </c:tx>
          <c:xVal>
            <c:numRef>
              <c:f>Sheet1!$L$58:$Q$58</c:f>
              <c:numCache>
                <c:formatCode>General</c:formatCode>
                <c:ptCount val="6"/>
                <c:pt idx="0">
                  <c:v>1</c:v>
                </c:pt>
                <c:pt idx="1">
                  <c:v>0.8</c:v>
                </c:pt>
                <c:pt idx="2">
                  <c:v>0.6</c:v>
                </c:pt>
                <c:pt idx="3">
                  <c:v>0.4</c:v>
                </c:pt>
                <c:pt idx="4">
                  <c:v>0.2</c:v>
                </c:pt>
                <c:pt idx="5">
                  <c:v>0.1</c:v>
                </c:pt>
              </c:numCache>
            </c:numRef>
          </c:xVal>
          <c:yVal>
            <c:numRef>
              <c:f>Sheet1!$L$19:$Q$19</c:f>
              <c:numCache>
                <c:formatCode>General</c:formatCode>
                <c:ptCount val="6"/>
                <c:pt idx="0">
                  <c:v>2.5691160809371674</c:v>
                </c:pt>
                <c:pt idx="1">
                  <c:v>1.9372381966631169</c:v>
                </c:pt>
                <c:pt idx="2">
                  <c:v>1.3678381256656018</c:v>
                </c:pt>
                <c:pt idx="3">
                  <c:v>0.9134540291089811</c:v>
                </c:pt>
                <c:pt idx="4">
                  <c:v>0.72105076322328732</c:v>
                </c:pt>
                <c:pt idx="5">
                  <c:v>0.32275470358537456</c:v>
                </c:pt>
              </c:numCache>
            </c:numRef>
          </c:yVal>
          <c:smooth val="0"/>
          <c:extLst xmlns:c16r2="http://schemas.microsoft.com/office/drawing/2015/06/chart">
            <c:ext xmlns:c16="http://schemas.microsoft.com/office/drawing/2014/chart" uri="{C3380CC4-5D6E-409C-BE32-E72D297353CC}">
              <c16:uniqueId val="{00000001-496C-4471-9AE0-297DE74BD15D}"/>
            </c:ext>
          </c:extLst>
        </c:ser>
        <c:ser>
          <c:idx val="4"/>
          <c:order val="2"/>
          <c:tx>
            <c:v>CIBM</c:v>
          </c:tx>
          <c:xVal>
            <c:numRef>
              <c:f>Sheet1!$L$58:$Q$58</c:f>
              <c:numCache>
                <c:formatCode>General</c:formatCode>
                <c:ptCount val="6"/>
                <c:pt idx="0">
                  <c:v>1</c:v>
                </c:pt>
                <c:pt idx="1">
                  <c:v>0.8</c:v>
                </c:pt>
                <c:pt idx="2">
                  <c:v>0.6</c:v>
                </c:pt>
                <c:pt idx="3">
                  <c:v>0.4</c:v>
                </c:pt>
                <c:pt idx="4">
                  <c:v>0.2</c:v>
                </c:pt>
                <c:pt idx="5">
                  <c:v>0.1</c:v>
                </c:pt>
              </c:numCache>
            </c:numRef>
          </c:xVal>
          <c:yVal>
            <c:numRef>
              <c:f>Sheet1!$L$26:$Q$26</c:f>
              <c:numCache>
                <c:formatCode>General</c:formatCode>
                <c:ptCount val="6"/>
                <c:pt idx="0">
                  <c:v>3.2336528221512246</c:v>
                </c:pt>
                <c:pt idx="1">
                  <c:v>2.4377706780262693</c:v>
                </c:pt>
                <c:pt idx="2">
                  <c:v>1.997586084487043</c:v>
                </c:pt>
                <c:pt idx="3">
                  <c:v>1.4012069577564787</c:v>
                </c:pt>
                <c:pt idx="4">
                  <c:v>0.54284700035498767</c:v>
                </c:pt>
                <c:pt idx="5">
                  <c:v>0.19708910188143416</c:v>
                </c:pt>
              </c:numCache>
            </c:numRef>
          </c:yVal>
          <c:smooth val="0"/>
          <c:extLst xmlns:c16r2="http://schemas.microsoft.com/office/drawing/2015/06/chart">
            <c:ext xmlns:c16="http://schemas.microsoft.com/office/drawing/2014/chart" uri="{C3380CC4-5D6E-409C-BE32-E72D297353CC}">
              <c16:uniqueId val="{00000002-496C-4471-9AE0-297DE74BD15D}"/>
            </c:ext>
          </c:extLst>
        </c:ser>
        <c:ser>
          <c:idx val="5"/>
          <c:order val="3"/>
          <c:tx>
            <c:v>CILM</c:v>
          </c:tx>
          <c:xVal>
            <c:numRef>
              <c:f>Sheet1!$L$58:$Q$58</c:f>
              <c:numCache>
                <c:formatCode>General</c:formatCode>
                <c:ptCount val="6"/>
                <c:pt idx="0">
                  <c:v>1</c:v>
                </c:pt>
                <c:pt idx="1">
                  <c:v>0.8</c:v>
                </c:pt>
                <c:pt idx="2">
                  <c:v>0.6</c:v>
                </c:pt>
                <c:pt idx="3">
                  <c:v>0.4</c:v>
                </c:pt>
                <c:pt idx="4">
                  <c:v>0.2</c:v>
                </c:pt>
                <c:pt idx="5">
                  <c:v>0.1</c:v>
                </c:pt>
              </c:numCache>
            </c:numRef>
          </c:xVal>
          <c:yVal>
            <c:numRef>
              <c:f>Sheet1!$L$29:$Q$29</c:f>
              <c:numCache>
                <c:formatCode>General</c:formatCode>
                <c:ptCount val="6"/>
                <c:pt idx="0">
                  <c:v>1.408306709265176</c:v>
                </c:pt>
                <c:pt idx="1">
                  <c:v>0.9794817181398654</c:v>
                </c:pt>
                <c:pt idx="2">
                  <c:v>0.84387646432374874</c:v>
                </c:pt>
                <c:pt idx="3">
                  <c:v>0.5747958821441248</c:v>
                </c:pt>
                <c:pt idx="4">
                  <c:v>0.33908413205537802</c:v>
                </c:pt>
                <c:pt idx="5">
                  <c:v>0.21838835640752577</c:v>
                </c:pt>
              </c:numCache>
            </c:numRef>
          </c:yVal>
          <c:smooth val="0"/>
          <c:extLst xmlns:c16r2="http://schemas.microsoft.com/office/drawing/2015/06/chart">
            <c:ext xmlns:c16="http://schemas.microsoft.com/office/drawing/2014/chart" uri="{C3380CC4-5D6E-409C-BE32-E72D297353CC}">
              <c16:uniqueId val="{00000003-496C-4471-9AE0-297DE74BD15D}"/>
            </c:ext>
          </c:extLst>
        </c:ser>
        <c:dLbls>
          <c:showLegendKey val="0"/>
          <c:showVal val="0"/>
          <c:showCatName val="0"/>
          <c:showSerName val="0"/>
          <c:showPercent val="0"/>
          <c:showBubbleSize val="0"/>
        </c:dLbls>
        <c:axId val="34404992"/>
        <c:axId val="35627776"/>
      </c:scatterChart>
      <c:valAx>
        <c:axId val="34404992"/>
        <c:scaling>
          <c:orientation val="minMax"/>
        </c:scaling>
        <c:delete val="0"/>
        <c:axPos val="b"/>
        <c:title>
          <c:tx>
            <c:rich>
              <a:bodyPr/>
              <a:lstStyle/>
              <a:p>
                <a:pPr>
                  <a:defRPr sz="1000" b="1"/>
                </a:pPr>
                <a:r>
                  <a:rPr lang="en-US" sz="1000" b="1"/>
                  <a:t>Concentration (µM)</a:t>
                </a:r>
              </a:p>
            </c:rich>
          </c:tx>
          <c:layout/>
          <c:overlay val="0"/>
        </c:title>
        <c:numFmt formatCode="General" sourceLinked="1"/>
        <c:majorTickMark val="out"/>
        <c:minorTickMark val="none"/>
        <c:tickLblPos val="nextTo"/>
        <c:txPr>
          <a:bodyPr/>
          <a:lstStyle/>
          <a:p>
            <a:pPr>
              <a:defRPr sz="900"/>
            </a:pPr>
            <a:endParaRPr lang="en-US"/>
          </a:p>
        </c:txPr>
        <c:crossAx val="35627776"/>
        <c:crosses val="autoZero"/>
        <c:crossBetween val="midCat"/>
      </c:valAx>
      <c:valAx>
        <c:axId val="35627776"/>
        <c:scaling>
          <c:orientation val="minMax"/>
        </c:scaling>
        <c:delete val="0"/>
        <c:axPos val="l"/>
        <c:title>
          <c:tx>
            <c:rich>
              <a:bodyPr rot="-5400000" vert="horz"/>
              <a:lstStyle/>
              <a:p>
                <a:pPr>
                  <a:defRPr sz="1000"/>
                </a:pPr>
                <a:r>
                  <a:rPr lang="en-MY" sz="1000"/>
                  <a:t>FRAP Equivalent to FeSO4.7H2O (mM)</a:t>
                </a:r>
                <a:endParaRPr lang="en-US" sz="1000"/>
              </a:p>
            </c:rich>
          </c:tx>
          <c:layout/>
          <c:overlay val="0"/>
        </c:title>
        <c:numFmt formatCode="General" sourceLinked="1"/>
        <c:majorTickMark val="out"/>
        <c:minorTickMark val="none"/>
        <c:tickLblPos val="nextTo"/>
        <c:txPr>
          <a:bodyPr/>
          <a:lstStyle/>
          <a:p>
            <a:pPr>
              <a:defRPr sz="900"/>
            </a:pPr>
            <a:endParaRPr lang="en-US"/>
          </a:p>
        </c:txPr>
        <c:crossAx val="34404992"/>
        <c:crosses val="autoZero"/>
        <c:crossBetween val="midCat"/>
      </c:valAx>
    </c:plotArea>
    <c:legend>
      <c:legendPos val="r"/>
      <c:layout>
        <c:manualLayout>
          <c:xMode val="edge"/>
          <c:yMode val="edge"/>
          <c:x val="0.79454888654000277"/>
          <c:y val="0.36971308024203697"/>
          <c:w val="0.18428335900594892"/>
          <c:h val="0.21647205896396357"/>
        </c:manualLayout>
      </c:layout>
      <c:overlay val="0"/>
      <c:txPr>
        <a:bodyPr/>
        <a:lstStyle/>
        <a:p>
          <a:pPr>
            <a:defRPr sz="800"/>
          </a:pPr>
          <a:endParaRPr lang="en-US"/>
        </a:p>
      </c:txPr>
    </c:legend>
    <c:plotVisOnly val="1"/>
    <c:dispBlanksAs val="zero"/>
    <c:showDLblsOverMax val="0"/>
  </c:chart>
  <c:spPr>
    <a:ln w="6350">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89375148445129"/>
          <c:y val="4.8511576626240352E-2"/>
          <c:w val="0.73116340700841576"/>
          <c:h val="0.7607424320030558"/>
        </c:manualLayout>
      </c:layout>
      <c:scatterChart>
        <c:scatterStyle val="lineMarker"/>
        <c:varyColors val="0"/>
        <c:ser>
          <c:idx val="3"/>
          <c:order val="0"/>
          <c:tx>
            <c:v>AA</c:v>
          </c:tx>
          <c:xVal>
            <c:numRef>
              <c:f>Sheet1!$L$58:$Q$58</c:f>
              <c:numCache>
                <c:formatCode>General</c:formatCode>
                <c:ptCount val="6"/>
                <c:pt idx="0">
                  <c:v>1</c:v>
                </c:pt>
                <c:pt idx="1">
                  <c:v>0.8</c:v>
                </c:pt>
                <c:pt idx="2">
                  <c:v>0.6</c:v>
                </c:pt>
                <c:pt idx="3">
                  <c:v>0.4</c:v>
                </c:pt>
                <c:pt idx="4">
                  <c:v>0.2</c:v>
                </c:pt>
                <c:pt idx="5">
                  <c:v>0.1</c:v>
                </c:pt>
              </c:numCache>
            </c:numRef>
          </c:xVal>
          <c:yVal>
            <c:numRef>
              <c:f>Sheet1!$L$54:$Q$54</c:f>
              <c:numCache>
                <c:formatCode>General</c:formatCode>
                <c:ptCount val="6"/>
                <c:pt idx="0">
                  <c:v>0.93546325878594239</c:v>
                </c:pt>
                <c:pt idx="1">
                  <c:v>0.29009584664536742</c:v>
                </c:pt>
                <c:pt idx="2">
                  <c:v>0.36606318778842745</c:v>
                </c:pt>
                <c:pt idx="3">
                  <c:v>0.1743698970536032</c:v>
                </c:pt>
                <c:pt idx="4">
                  <c:v>7.9233226837060702E-2</c:v>
                </c:pt>
                <c:pt idx="5">
                  <c:v>7.2133475328363519E-2</c:v>
                </c:pt>
              </c:numCache>
            </c:numRef>
          </c:yVal>
          <c:smooth val="0"/>
          <c:extLst xmlns:c16r2="http://schemas.microsoft.com/office/drawing/2015/06/chart">
            <c:ext xmlns:c16="http://schemas.microsoft.com/office/drawing/2014/chart" uri="{C3380CC4-5D6E-409C-BE32-E72D297353CC}">
              <c16:uniqueId val="{00000000-BFE1-4E63-80A1-C87E5BBFAD10}"/>
            </c:ext>
          </c:extLst>
        </c:ser>
        <c:ser>
          <c:idx val="4"/>
          <c:order val="1"/>
          <c:tx>
            <c:v>BHA</c:v>
          </c:tx>
          <c:xVal>
            <c:numRef>
              <c:f>Sheet1!$L$58:$Q$58</c:f>
              <c:numCache>
                <c:formatCode>General</c:formatCode>
                <c:ptCount val="6"/>
                <c:pt idx="0">
                  <c:v>1</c:v>
                </c:pt>
                <c:pt idx="1">
                  <c:v>0.8</c:v>
                </c:pt>
                <c:pt idx="2">
                  <c:v>0.6</c:v>
                </c:pt>
                <c:pt idx="3">
                  <c:v>0.4</c:v>
                </c:pt>
                <c:pt idx="4">
                  <c:v>0.2</c:v>
                </c:pt>
                <c:pt idx="5">
                  <c:v>0.1</c:v>
                </c:pt>
              </c:numCache>
            </c:numRef>
          </c:xVal>
          <c:yVal>
            <c:numRef>
              <c:f>Sheet1!$L$55:$Q$55</c:f>
              <c:numCache>
                <c:formatCode>General</c:formatCode>
                <c:ptCount val="6"/>
                <c:pt idx="0">
                  <c:v>1.3018104366347178</c:v>
                </c:pt>
                <c:pt idx="1">
                  <c:v>1.0739084132055381</c:v>
                </c:pt>
                <c:pt idx="2">
                  <c:v>0.83464678736244224</c:v>
                </c:pt>
                <c:pt idx="3">
                  <c:v>0.61526446574369886</c:v>
                </c:pt>
                <c:pt idx="4">
                  <c:v>0.33127440539581121</c:v>
                </c:pt>
                <c:pt idx="5">
                  <c:v>0.22051828186013486</c:v>
                </c:pt>
              </c:numCache>
            </c:numRef>
          </c:yVal>
          <c:smooth val="0"/>
          <c:extLst xmlns:c16r2="http://schemas.microsoft.com/office/drawing/2015/06/chart">
            <c:ext xmlns:c16="http://schemas.microsoft.com/office/drawing/2014/chart" uri="{C3380CC4-5D6E-409C-BE32-E72D297353CC}">
              <c16:uniqueId val="{00000001-BFE1-4E63-80A1-C87E5BBFAD10}"/>
            </c:ext>
          </c:extLst>
        </c:ser>
        <c:ser>
          <c:idx val="5"/>
          <c:order val="2"/>
          <c:tx>
            <c:v>BHT</c:v>
          </c:tx>
          <c:xVal>
            <c:numRef>
              <c:f>Sheet1!$L$58:$Q$58</c:f>
              <c:numCache>
                <c:formatCode>General</c:formatCode>
                <c:ptCount val="6"/>
                <c:pt idx="0">
                  <c:v>1</c:v>
                </c:pt>
                <c:pt idx="1">
                  <c:v>0.8</c:v>
                </c:pt>
                <c:pt idx="2">
                  <c:v>0.6</c:v>
                </c:pt>
                <c:pt idx="3">
                  <c:v>0.4</c:v>
                </c:pt>
                <c:pt idx="4">
                  <c:v>0.2</c:v>
                </c:pt>
                <c:pt idx="5">
                  <c:v>0.1</c:v>
                </c:pt>
              </c:numCache>
            </c:numRef>
          </c:xVal>
          <c:yVal>
            <c:numRef>
              <c:f>Sheet1!$L$56:$Q$56</c:f>
              <c:numCache>
                <c:formatCode>General</c:formatCode>
                <c:ptCount val="6"/>
                <c:pt idx="0">
                  <c:v>0.59325523606673758</c:v>
                </c:pt>
                <c:pt idx="1">
                  <c:v>0.36180333688320909</c:v>
                </c:pt>
                <c:pt idx="2">
                  <c:v>0.28086616968406108</c:v>
                </c:pt>
                <c:pt idx="3">
                  <c:v>0.21341853035143774</c:v>
                </c:pt>
                <c:pt idx="4">
                  <c:v>0.18572949946751866</c:v>
                </c:pt>
                <c:pt idx="5">
                  <c:v>9.2722754703585361E-2</c:v>
                </c:pt>
              </c:numCache>
            </c:numRef>
          </c:yVal>
          <c:smooth val="0"/>
          <c:extLst xmlns:c16r2="http://schemas.microsoft.com/office/drawing/2015/06/chart">
            <c:ext xmlns:c16="http://schemas.microsoft.com/office/drawing/2014/chart" uri="{C3380CC4-5D6E-409C-BE32-E72D297353CC}">
              <c16:uniqueId val="{00000002-BFE1-4E63-80A1-C87E5BBFAD10}"/>
            </c:ext>
          </c:extLst>
        </c:ser>
        <c:ser>
          <c:idx val="0"/>
          <c:order val="3"/>
          <c:tx>
            <c:v>CFBM</c:v>
          </c:tx>
          <c:xVal>
            <c:numRef>
              <c:f>Sheet1!$L$58:$Q$58</c:f>
              <c:numCache>
                <c:formatCode>General</c:formatCode>
                <c:ptCount val="6"/>
                <c:pt idx="0">
                  <c:v>1</c:v>
                </c:pt>
                <c:pt idx="1">
                  <c:v>0.8</c:v>
                </c:pt>
                <c:pt idx="2">
                  <c:v>0.6</c:v>
                </c:pt>
                <c:pt idx="3">
                  <c:v>0.4</c:v>
                </c:pt>
                <c:pt idx="4">
                  <c:v>0.2</c:v>
                </c:pt>
                <c:pt idx="5">
                  <c:v>0.1</c:v>
                </c:pt>
              </c:numCache>
            </c:numRef>
          </c:xVal>
          <c:yVal>
            <c:numRef>
              <c:f>Sheet1!$L$16:$Q$16</c:f>
              <c:numCache>
                <c:formatCode>General</c:formatCode>
                <c:ptCount val="6"/>
                <c:pt idx="0">
                  <c:v>3.7249556265530708</c:v>
                </c:pt>
                <c:pt idx="1">
                  <c:v>2.7373801916932905</c:v>
                </c:pt>
                <c:pt idx="2">
                  <c:v>2.0259850905218317</c:v>
                </c:pt>
                <c:pt idx="3">
                  <c:v>1.4132765353212637</c:v>
                </c:pt>
                <c:pt idx="4">
                  <c:v>0.73525026624068146</c:v>
                </c:pt>
                <c:pt idx="5">
                  <c:v>0.3980120695775648</c:v>
                </c:pt>
              </c:numCache>
            </c:numRef>
          </c:yVal>
          <c:smooth val="0"/>
          <c:extLst xmlns:c16r2="http://schemas.microsoft.com/office/drawing/2015/06/chart">
            <c:ext xmlns:c16="http://schemas.microsoft.com/office/drawing/2014/chart" uri="{C3380CC4-5D6E-409C-BE32-E72D297353CC}">
              <c16:uniqueId val="{00000003-BFE1-4E63-80A1-C87E5BBFAD10}"/>
            </c:ext>
          </c:extLst>
        </c:ser>
        <c:ser>
          <c:idx val="1"/>
          <c:order val="4"/>
          <c:tx>
            <c:v>CFBE</c:v>
          </c:tx>
          <c:xVal>
            <c:numRef>
              <c:f>Sheet1!$L$58:$Q$58</c:f>
              <c:numCache>
                <c:formatCode>General</c:formatCode>
                <c:ptCount val="6"/>
                <c:pt idx="0">
                  <c:v>1</c:v>
                </c:pt>
                <c:pt idx="1">
                  <c:v>0.8</c:v>
                </c:pt>
                <c:pt idx="2">
                  <c:v>0.6</c:v>
                </c:pt>
                <c:pt idx="3">
                  <c:v>0.4</c:v>
                </c:pt>
                <c:pt idx="4">
                  <c:v>0.2</c:v>
                </c:pt>
                <c:pt idx="5">
                  <c:v>0.1</c:v>
                </c:pt>
              </c:numCache>
            </c:numRef>
          </c:xVal>
          <c:yVal>
            <c:numRef>
              <c:f>Sheet1!$L$15:$Q$15</c:f>
              <c:numCache>
                <c:formatCode>General</c:formatCode>
                <c:ptCount val="6"/>
                <c:pt idx="0">
                  <c:v>2.9809016684416045</c:v>
                </c:pt>
                <c:pt idx="1">
                  <c:v>1.9833865814696487</c:v>
                </c:pt>
                <c:pt idx="2">
                  <c:v>1.8825701100461485</c:v>
                </c:pt>
                <c:pt idx="3">
                  <c:v>1.1264465743698973</c:v>
                </c:pt>
                <c:pt idx="4">
                  <c:v>0.86943556975505865</c:v>
                </c:pt>
                <c:pt idx="5">
                  <c:v>0.36535321263755766</c:v>
                </c:pt>
              </c:numCache>
            </c:numRef>
          </c:yVal>
          <c:smooth val="0"/>
          <c:extLst xmlns:c16r2="http://schemas.microsoft.com/office/drawing/2015/06/chart">
            <c:ext xmlns:c16="http://schemas.microsoft.com/office/drawing/2014/chart" uri="{C3380CC4-5D6E-409C-BE32-E72D297353CC}">
              <c16:uniqueId val="{00000004-BFE1-4E63-80A1-C87E5BBFAD10}"/>
            </c:ext>
          </c:extLst>
        </c:ser>
        <c:ser>
          <c:idx val="6"/>
          <c:order val="5"/>
          <c:tx>
            <c:v>CFLE</c:v>
          </c:tx>
          <c:xVal>
            <c:numRef>
              <c:f>Sheet1!$L$58:$Q$58</c:f>
              <c:numCache>
                <c:formatCode>General</c:formatCode>
                <c:ptCount val="6"/>
                <c:pt idx="0">
                  <c:v>1</c:v>
                </c:pt>
                <c:pt idx="1">
                  <c:v>0.8</c:v>
                </c:pt>
                <c:pt idx="2">
                  <c:v>0.6</c:v>
                </c:pt>
                <c:pt idx="3">
                  <c:v>0.4</c:v>
                </c:pt>
                <c:pt idx="4">
                  <c:v>0.2</c:v>
                </c:pt>
                <c:pt idx="5">
                  <c:v>0.1</c:v>
                </c:pt>
              </c:numCache>
            </c:numRef>
          </c:xVal>
          <c:yVal>
            <c:numRef>
              <c:f>Sheet1!$L$18:$Q$18</c:f>
              <c:numCache>
                <c:formatCode>General</c:formatCode>
                <c:ptCount val="6"/>
                <c:pt idx="0">
                  <c:v>3.2357827476038343</c:v>
                </c:pt>
                <c:pt idx="1">
                  <c:v>1.2364927227547033</c:v>
                </c:pt>
                <c:pt idx="2">
                  <c:v>1.1740149094781684</c:v>
                </c:pt>
                <c:pt idx="3">
                  <c:v>0.67845225417110411</c:v>
                </c:pt>
                <c:pt idx="4">
                  <c:v>0.54781682641107565</c:v>
                </c:pt>
                <c:pt idx="5">
                  <c:v>0.21767838125665606</c:v>
                </c:pt>
              </c:numCache>
            </c:numRef>
          </c:yVal>
          <c:smooth val="0"/>
          <c:extLst xmlns:c16r2="http://schemas.microsoft.com/office/drawing/2015/06/chart">
            <c:ext xmlns:c16="http://schemas.microsoft.com/office/drawing/2014/chart" uri="{C3380CC4-5D6E-409C-BE32-E72D297353CC}">
              <c16:uniqueId val="{00000005-BFE1-4E63-80A1-C87E5BBFAD10}"/>
            </c:ext>
          </c:extLst>
        </c:ser>
        <c:ser>
          <c:idx val="8"/>
          <c:order val="6"/>
          <c:tx>
            <c:v>CFLM</c:v>
          </c:tx>
          <c:xVal>
            <c:numRef>
              <c:f>Sheet1!$L$58:$Q$58</c:f>
              <c:numCache>
                <c:formatCode>General</c:formatCode>
                <c:ptCount val="6"/>
                <c:pt idx="0">
                  <c:v>1</c:v>
                </c:pt>
                <c:pt idx="1">
                  <c:v>0.8</c:v>
                </c:pt>
                <c:pt idx="2">
                  <c:v>0.6</c:v>
                </c:pt>
                <c:pt idx="3">
                  <c:v>0.4</c:v>
                </c:pt>
                <c:pt idx="4">
                  <c:v>0.2</c:v>
                </c:pt>
                <c:pt idx="5">
                  <c:v>0.1</c:v>
                </c:pt>
              </c:numCache>
            </c:numRef>
          </c:xVal>
          <c:yVal>
            <c:numRef>
              <c:f>Sheet1!$L$19:$Q$19</c:f>
              <c:numCache>
                <c:formatCode>General</c:formatCode>
                <c:ptCount val="6"/>
                <c:pt idx="0">
                  <c:v>2.5691160809371674</c:v>
                </c:pt>
                <c:pt idx="1">
                  <c:v>1.9372381966631169</c:v>
                </c:pt>
                <c:pt idx="2">
                  <c:v>1.3678381256656018</c:v>
                </c:pt>
                <c:pt idx="3">
                  <c:v>0.9134540291089811</c:v>
                </c:pt>
                <c:pt idx="4">
                  <c:v>0.72105076322328732</c:v>
                </c:pt>
                <c:pt idx="5">
                  <c:v>0.32275470358537456</c:v>
                </c:pt>
              </c:numCache>
            </c:numRef>
          </c:yVal>
          <c:smooth val="0"/>
          <c:extLst xmlns:c16r2="http://schemas.microsoft.com/office/drawing/2015/06/chart">
            <c:ext xmlns:c16="http://schemas.microsoft.com/office/drawing/2014/chart" uri="{C3380CC4-5D6E-409C-BE32-E72D297353CC}">
              <c16:uniqueId val="{00000006-BFE1-4E63-80A1-C87E5BBFAD10}"/>
            </c:ext>
          </c:extLst>
        </c:ser>
        <c:ser>
          <c:idx val="7"/>
          <c:order val="7"/>
          <c:tx>
            <c:v>CIBM</c:v>
          </c:tx>
          <c:xVal>
            <c:numRef>
              <c:f>Sheet1!$L$58:$Q$58</c:f>
              <c:numCache>
                <c:formatCode>General</c:formatCode>
                <c:ptCount val="6"/>
                <c:pt idx="0">
                  <c:v>1</c:v>
                </c:pt>
                <c:pt idx="1">
                  <c:v>0.8</c:v>
                </c:pt>
                <c:pt idx="2">
                  <c:v>0.6</c:v>
                </c:pt>
                <c:pt idx="3">
                  <c:v>0.4</c:v>
                </c:pt>
                <c:pt idx="4">
                  <c:v>0.2</c:v>
                </c:pt>
                <c:pt idx="5">
                  <c:v>0.1</c:v>
                </c:pt>
              </c:numCache>
            </c:numRef>
          </c:xVal>
          <c:yVal>
            <c:numRef>
              <c:f>Sheet1!$L$26:$Q$26</c:f>
              <c:numCache>
                <c:formatCode>General</c:formatCode>
                <c:ptCount val="6"/>
                <c:pt idx="0">
                  <c:v>3.2336528221512246</c:v>
                </c:pt>
                <c:pt idx="1">
                  <c:v>2.4377706780262693</c:v>
                </c:pt>
                <c:pt idx="2">
                  <c:v>1.997586084487043</c:v>
                </c:pt>
                <c:pt idx="3">
                  <c:v>1.4012069577564787</c:v>
                </c:pt>
                <c:pt idx="4">
                  <c:v>0.54284700035498767</c:v>
                </c:pt>
                <c:pt idx="5">
                  <c:v>0.19708910188143416</c:v>
                </c:pt>
              </c:numCache>
            </c:numRef>
          </c:yVal>
          <c:smooth val="0"/>
          <c:extLst xmlns:c16r2="http://schemas.microsoft.com/office/drawing/2015/06/chart">
            <c:ext xmlns:c16="http://schemas.microsoft.com/office/drawing/2014/chart" uri="{C3380CC4-5D6E-409C-BE32-E72D297353CC}">
              <c16:uniqueId val="{00000007-BFE1-4E63-80A1-C87E5BBFAD10}"/>
            </c:ext>
          </c:extLst>
        </c:ser>
        <c:dLbls>
          <c:showLegendKey val="0"/>
          <c:showVal val="0"/>
          <c:showCatName val="0"/>
          <c:showSerName val="0"/>
          <c:showPercent val="0"/>
          <c:showBubbleSize val="0"/>
        </c:dLbls>
        <c:axId val="35681408"/>
        <c:axId val="35683328"/>
      </c:scatterChart>
      <c:valAx>
        <c:axId val="35681408"/>
        <c:scaling>
          <c:orientation val="minMax"/>
        </c:scaling>
        <c:delete val="0"/>
        <c:axPos val="b"/>
        <c:title>
          <c:tx>
            <c:rich>
              <a:bodyPr/>
              <a:lstStyle/>
              <a:p>
                <a:pPr>
                  <a:defRPr sz="1000" b="1">
                    <a:latin typeface="Times New Roman" pitchFamily="18" charset="0"/>
                    <a:cs typeface="Times New Roman" pitchFamily="18" charset="0"/>
                  </a:defRPr>
                </a:pPr>
                <a:r>
                  <a:rPr lang="en-US" sz="1000" b="1">
                    <a:latin typeface="Times New Roman" pitchFamily="18" charset="0"/>
                    <a:cs typeface="Times New Roman" pitchFamily="18" charset="0"/>
                  </a:rPr>
                  <a:t>Concentration (mM)</a:t>
                </a:r>
              </a:p>
            </c:rich>
          </c:tx>
          <c:layout>
            <c:manualLayout>
              <c:xMode val="edge"/>
              <c:yMode val="edge"/>
              <c:x val="0.3679450007817755"/>
              <c:y val="0.92047447719323527"/>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35683328"/>
        <c:crosses val="autoZero"/>
        <c:crossBetween val="midCat"/>
      </c:valAx>
      <c:valAx>
        <c:axId val="35683328"/>
        <c:scaling>
          <c:orientation val="minMax"/>
        </c:scaling>
        <c:delete val="0"/>
        <c:axPos val="l"/>
        <c:title>
          <c:tx>
            <c:rich>
              <a:bodyPr rot="-5400000" vert="horz"/>
              <a:lstStyle/>
              <a:p>
                <a:pPr>
                  <a:defRPr sz="1000"/>
                </a:pPr>
                <a:r>
                  <a:rPr lang="en-MY" sz="1000" b="1" i="0" baseline="0">
                    <a:effectLst/>
                    <a:latin typeface="Times New Roman" pitchFamily="18" charset="0"/>
                    <a:cs typeface="Times New Roman" pitchFamily="18" charset="0"/>
                  </a:rPr>
                  <a:t>FRAP Equivalent to FeSO4.7H2O (mM)</a:t>
                </a:r>
                <a:endParaRPr lang="en-US" sz="1000">
                  <a:effectLst/>
                  <a:latin typeface="Times New Roman" pitchFamily="18" charset="0"/>
                  <a:cs typeface="Times New Roman" pitchFamily="18" charset="0"/>
                </a:endParaRPr>
              </a:p>
            </c:rich>
          </c:tx>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35681408"/>
        <c:crosses val="autoZero"/>
        <c:crossBetween val="midCat"/>
      </c:valAx>
    </c:plotArea>
    <c:legend>
      <c:legendPos val="r"/>
      <c:layout>
        <c:manualLayout>
          <c:xMode val="edge"/>
          <c:yMode val="edge"/>
          <c:x val="0.80550333836599941"/>
          <c:y val="0.22361926920105218"/>
          <c:w val="0.17332890717995231"/>
          <c:h val="0.4821988210679839"/>
        </c:manualLayout>
      </c:layout>
      <c:overlay val="0"/>
      <c:txPr>
        <a:bodyPr/>
        <a:lstStyle/>
        <a:p>
          <a:pPr>
            <a:defRPr sz="800"/>
          </a:pPr>
          <a:endParaRPr lang="en-US"/>
        </a:p>
      </c:txPr>
    </c:legend>
    <c:plotVisOnly val="1"/>
    <c:dispBlanksAs val="zero"/>
    <c:showDLblsOverMax val="0"/>
  </c:chart>
  <c:spPr>
    <a:ln w="6350">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1023E-2CFD-47FA-ABF8-775EE10EE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10756</Words>
  <Characters>59486</Characters>
  <Application>Microsoft Office Word</Application>
  <DocSecurity>0</DocSecurity>
  <Lines>1802</Lines>
  <Paragraphs>1097</Paragraphs>
  <ScaleCrop>false</ScaleCrop>
  <HeadingPairs>
    <vt:vector size="2" baseType="variant">
      <vt:variant>
        <vt:lpstr>Title</vt:lpstr>
      </vt:variant>
      <vt:variant>
        <vt:i4>1</vt:i4>
      </vt:variant>
    </vt:vector>
  </HeadingPairs>
  <TitlesOfParts>
    <vt:vector size="1" baseType="lpstr">
      <vt:lpstr>MJAS Vol 23 No 4 (2019)</vt:lpstr>
    </vt:vector>
  </TitlesOfParts>
  <Company>UKM</Company>
  <LinksUpToDate>false</LinksUpToDate>
  <CharactersWithSpaces>69145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4 (2019)</dc:title>
  <dc:creator>Harun Hj Hamzah</dc:creator>
  <cp:lastModifiedBy>Harun Hamzah</cp:lastModifiedBy>
  <cp:revision>11</cp:revision>
  <cp:lastPrinted>2019-08-18T07:02:00Z</cp:lastPrinted>
  <dcterms:created xsi:type="dcterms:W3CDTF">2019-07-31T09:05:00Z</dcterms:created>
  <dcterms:modified xsi:type="dcterms:W3CDTF">2019-08-18T07:02:00Z</dcterms:modified>
</cp:coreProperties>
</file>